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03884">
      <w:pPr>
        <w:keepNext w:val="0"/>
        <w:keepLines w:val="0"/>
        <w:pageBreakBefore w:val="0"/>
        <w:widowControl w:val="0"/>
        <w:kinsoku/>
        <w:wordWrap/>
        <w:overflowPunct/>
        <w:topLinePunct w:val="0"/>
        <w:autoSpaceDE/>
        <w:autoSpaceDN/>
        <w:bidi w:val="0"/>
        <w:adjustRightInd/>
        <w:snapToGrid/>
        <w:spacing w:before="157" w:beforeLines="50" w:line="460" w:lineRule="exact"/>
        <w:jc w:val="center"/>
        <w:textAlignment w:val="auto"/>
        <w:rPr>
          <w:rFonts w:hint="eastAsia" w:cs="宋体" w:asciiTheme="majorEastAsia" w:hAnsiTheme="majorEastAsia" w:eastAsiaTheme="majorEastAsia"/>
          <w:b/>
          <w:bCs/>
          <w:color w:val="auto"/>
          <w:spacing w:val="0"/>
          <w:kern w:val="0"/>
          <w:sz w:val="44"/>
          <w:szCs w:val="44"/>
          <w:highlight w:val="none"/>
          <w:lang w:eastAsia="zh-CN"/>
        </w:rPr>
      </w:pPr>
      <w:r>
        <w:rPr>
          <w:rFonts w:hint="eastAsia" w:cs="宋体" w:asciiTheme="majorEastAsia" w:hAnsiTheme="majorEastAsia" w:eastAsiaTheme="majorEastAsia"/>
          <w:b/>
          <w:bCs/>
          <w:color w:val="auto"/>
          <w:spacing w:val="0"/>
          <w:kern w:val="0"/>
          <w:sz w:val="44"/>
          <w:szCs w:val="44"/>
          <w:highlight w:val="none"/>
          <w:lang w:eastAsia="zh-CN"/>
        </w:rPr>
        <w:t>嵊州市会展中心及居然之家配套设施项目</w:t>
      </w:r>
    </w:p>
    <w:p w14:paraId="132B6832">
      <w:pPr>
        <w:keepNext w:val="0"/>
        <w:keepLines w:val="0"/>
        <w:pageBreakBefore w:val="0"/>
        <w:widowControl w:val="0"/>
        <w:kinsoku/>
        <w:wordWrap/>
        <w:overflowPunct/>
        <w:topLinePunct w:val="0"/>
        <w:autoSpaceDE/>
        <w:autoSpaceDN/>
        <w:bidi w:val="0"/>
        <w:adjustRightInd/>
        <w:snapToGrid/>
        <w:spacing w:before="313" w:beforeLines="100" w:line="460" w:lineRule="exact"/>
        <w:jc w:val="center"/>
        <w:textAlignment w:val="auto"/>
        <w:rPr>
          <w:rFonts w:hint="eastAsia" w:cs="宋体" w:asciiTheme="majorEastAsia" w:hAnsiTheme="majorEastAsia" w:eastAsiaTheme="majorEastAsia"/>
          <w:b/>
          <w:bCs/>
          <w:color w:val="auto"/>
          <w:spacing w:val="-11"/>
          <w:kern w:val="0"/>
          <w:sz w:val="44"/>
          <w:szCs w:val="44"/>
          <w:highlight w:val="none"/>
          <w:lang w:eastAsia="zh-CN"/>
        </w:rPr>
      </w:pPr>
      <w:r>
        <w:rPr>
          <w:rFonts w:hint="eastAsia" w:cs="宋体" w:asciiTheme="majorEastAsia" w:hAnsiTheme="majorEastAsia" w:eastAsiaTheme="majorEastAsia"/>
          <w:b/>
          <w:bCs/>
          <w:color w:val="auto"/>
          <w:spacing w:val="0"/>
          <w:kern w:val="0"/>
          <w:sz w:val="44"/>
          <w:szCs w:val="44"/>
          <w:highlight w:val="none"/>
          <w:lang w:eastAsia="zh-CN"/>
        </w:rPr>
        <w:t>--路灯采购项目</w:t>
      </w:r>
    </w:p>
    <w:p w14:paraId="73813244">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（项目编号：</w:t>
      </w:r>
      <w:r>
        <w:rPr>
          <w:rFonts w:hint="eastAsia" w:ascii="宋体" w:hAnsi="宋体" w:cs="宋体"/>
          <w:b w:val="0"/>
          <w:bCs w:val="0"/>
          <w:color w:val="auto"/>
          <w:sz w:val="32"/>
          <w:szCs w:val="32"/>
          <w:highlight w:val="none"/>
          <w:lang w:val="en-US" w:eastAsia="zh-CN"/>
        </w:rPr>
        <w:t>SZMY-H20250718</w:t>
      </w:r>
      <w:r>
        <w:rPr>
          <w:rFonts w:hint="eastAsia" w:ascii="宋体" w:hAnsi="宋体" w:eastAsia="宋体" w:cs="宋体"/>
          <w:b w:val="0"/>
          <w:bCs w:val="0"/>
          <w:color w:val="auto"/>
          <w:sz w:val="28"/>
          <w:szCs w:val="28"/>
          <w:highlight w:val="none"/>
        </w:rPr>
        <w:t>）</w:t>
      </w:r>
    </w:p>
    <w:p w14:paraId="4F35288B">
      <w:pPr>
        <w:keepNext w:val="0"/>
        <w:keepLines w:val="0"/>
        <w:pageBreakBefore w:val="0"/>
        <w:widowControl w:val="0"/>
        <w:kinsoku/>
        <w:wordWrap/>
        <w:overflowPunct/>
        <w:topLinePunct w:val="0"/>
        <w:autoSpaceDE/>
        <w:autoSpaceDN/>
        <w:bidi w:val="0"/>
        <w:adjustRightInd/>
        <w:snapToGrid w:val="0"/>
        <w:spacing w:before="157" w:beforeLines="50"/>
        <w:jc w:val="center"/>
        <w:textAlignment w:val="auto"/>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（国企采购）</w:t>
      </w:r>
    </w:p>
    <w:p w14:paraId="001C9ACB">
      <w:pPr>
        <w:keepNext w:val="0"/>
        <w:keepLines w:val="0"/>
        <w:pageBreakBefore w:val="0"/>
        <w:widowControl w:val="0"/>
        <w:kinsoku/>
        <w:wordWrap/>
        <w:overflowPunct/>
        <w:topLinePunct w:val="0"/>
        <w:autoSpaceDE/>
        <w:autoSpaceDN/>
        <w:bidi w:val="0"/>
        <w:adjustRightInd/>
        <w:snapToGrid/>
        <w:spacing w:before="1093" w:beforeLines="350" w:line="1000" w:lineRule="exact"/>
        <w:jc w:val="center"/>
        <w:textAlignment w:val="auto"/>
        <w:outlineLvl w:val="0"/>
        <w:rPr>
          <w:rFonts w:hint="eastAsia" w:ascii="仿宋" w:hAnsi="仿宋" w:eastAsia="仿宋" w:cs="仿宋"/>
          <w:b/>
          <w:bCs w:val="0"/>
          <w:color w:val="auto"/>
          <w:spacing w:val="-11"/>
          <w:sz w:val="84"/>
          <w:szCs w:val="84"/>
          <w:highlight w:val="none"/>
        </w:rPr>
      </w:pPr>
      <w:r>
        <w:rPr>
          <w:rFonts w:hint="eastAsia" w:ascii="仿宋" w:hAnsi="仿宋" w:eastAsia="仿宋" w:cs="仿宋"/>
          <w:b/>
          <w:bCs w:val="0"/>
          <w:color w:val="auto"/>
          <w:sz w:val="84"/>
          <w:szCs w:val="84"/>
          <w:highlight w:val="none"/>
        </w:rPr>
        <w:t>公</w:t>
      </w:r>
    </w:p>
    <w:p w14:paraId="3B771D4B">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开</w:t>
      </w:r>
    </w:p>
    <w:p w14:paraId="7DD32258">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招</w:t>
      </w:r>
    </w:p>
    <w:p w14:paraId="1EAF5277">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标</w:t>
      </w:r>
    </w:p>
    <w:p w14:paraId="7480B74C">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84"/>
          <w:szCs w:val="84"/>
          <w:highlight w:val="none"/>
        </w:rPr>
      </w:pPr>
      <w:r>
        <w:rPr>
          <w:rFonts w:hint="eastAsia" w:ascii="仿宋" w:hAnsi="仿宋" w:eastAsia="仿宋" w:cs="仿宋"/>
          <w:b/>
          <w:bCs w:val="0"/>
          <w:color w:val="auto"/>
          <w:sz w:val="84"/>
          <w:szCs w:val="84"/>
          <w:highlight w:val="none"/>
        </w:rPr>
        <w:t>文</w:t>
      </w:r>
    </w:p>
    <w:p w14:paraId="463899B5">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hint="eastAsia" w:ascii="仿宋" w:hAnsi="仿宋" w:eastAsia="仿宋" w:cs="仿宋"/>
          <w:b/>
          <w:bCs w:val="0"/>
          <w:color w:val="auto"/>
          <w:sz w:val="44"/>
          <w:highlight w:val="none"/>
        </w:rPr>
      </w:pPr>
      <w:r>
        <w:rPr>
          <w:rFonts w:hint="eastAsia" w:ascii="仿宋" w:hAnsi="仿宋" w:eastAsia="仿宋" w:cs="仿宋"/>
          <w:b/>
          <w:bCs w:val="0"/>
          <w:color w:val="auto"/>
          <w:sz w:val="84"/>
          <w:szCs w:val="84"/>
          <w:highlight w:val="none"/>
        </w:rPr>
        <w:t>件</w:t>
      </w:r>
    </w:p>
    <w:p w14:paraId="61629209">
      <w:pPr>
        <w:keepNext w:val="0"/>
        <w:keepLines w:val="0"/>
        <w:pageBreakBefore w:val="0"/>
        <w:widowControl w:val="0"/>
        <w:kinsoku/>
        <w:wordWrap/>
        <w:overflowPunct/>
        <w:topLinePunct w:val="0"/>
        <w:autoSpaceDE/>
        <w:autoSpaceDN/>
        <w:bidi w:val="0"/>
        <w:adjustRightInd/>
        <w:snapToGrid/>
        <w:spacing w:before="625" w:beforeLines="200" w:line="600" w:lineRule="exact"/>
        <w:jc w:val="both"/>
        <w:textAlignment w:val="auto"/>
        <w:rPr>
          <w:rFonts w:hint="eastAsia" w:ascii="宋体" w:hAnsi="宋体" w:eastAsia="宋体" w:cs="宋体"/>
          <w:bCs/>
          <w:color w:val="auto"/>
          <w:sz w:val="32"/>
          <w:szCs w:val="32"/>
          <w:highlight w:val="none"/>
          <w:lang w:eastAsia="zh-CN"/>
        </w:rPr>
      </w:pPr>
    </w:p>
    <w:tbl>
      <w:tblPr>
        <w:tblStyle w:val="31"/>
        <w:tblW w:w="8128" w:type="dxa"/>
        <w:jc w:val="center"/>
        <w:tblLayout w:type="fixed"/>
        <w:tblCellMar>
          <w:top w:w="0" w:type="dxa"/>
          <w:left w:w="108" w:type="dxa"/>
          <w:bottom w:w="0" w:type="dxa"/>
          <w:right w:w="108" w:type="dxa"/>
        </w:tblCellMar>
      </w:tblPr>
      <w:tblGrid>
        <w:gridCol w:w="2219"/>
        <w:gridCol w:w="5909"/>
      </w:tblGrid>
      <w:tr w14:paraId="0E208318">
        <w:tblPrEx>
          <w:tblCellMar>
            <w:top w:w="0" w:type="dxa"/>
            <w:left w:w="108" w:type="dxa"/>
            <w:bottom w:w="0" w:type="dxa"/>
            <w:right w:w="108" w:type="dxa"/>
          </w:tblCellMar>
        </w:tblPrEx>
        <w:trPr>
          <w:trHeight w:val="443" w:hRule="atLeast"/>
          <w:jc w:val="center"/>
        </w:trPr>
        <w:tc>
          <w:tcPr>
            <w:tcW w:w="2219" w:type="dxa"/>
          </w:tcPr>
          <w:p w14:paraId="5CC7DC17">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eastAsia="宋体" w:cs="宋体"/>
                <w:b w:val="0"/>
                <w:bCs w:val="0"/>
                <w:color w:val="auto"/>
                <w:sz w:val="28"/>
                <w:szCs w:val="28"/>
                <w:highlight w:val="none"/>
                <w:u w:val="none"/>
                <w:lang w:eastAsia="zh-CN"/>
              </w:rPr>
              <w:t>采购单位：</w:t>
            </w:r>
          </w:p>
        </w:tc>
        <w:tc>
          <w:tcPr>
            <w:tcW w:w="5909" w:type="dxa"/>
            <w:vAlign w:val="center"/>
          </w:tcPr>
          <w:p w14:paraId="1DD32B48">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cs="宋体"/>
                <w:b w:val="0"/>
                <w:bCs w:val="0"/>
                <w:color w:val="auto"/>
                <w:sz w:val="28"/>
                <w:szCs w:val="28"/>
                <w:highlight w:val="none"/>
                <w:u w:val="none"/>
                <w:lang w:eastAsia="zh-CN"/>
              </w:rPr>
              <w:t>嵊州市城市建设投资发展集团有限公司</w:t>
            </w:r>
          </w:p>
        </w:tc>
      </w:tr>
      <w:tr w14:paraId="67AB3111">
        <w:tblPrEx>
          <w:tblCellMar>
            <w:top w:w="0" w:type="dxa"/>
            <w:left w:w="108" w:type="dxa"/>
            <w:bottom w:w="0" w:type="dxa"/>
            <w:right w:w="108" w:type="dxa"/>
          </w:tblCellMar>
        </w:tblPrEx>
        <w:trPr>
          <w:trHeight w:val="494" w:hRule="atLeast"/>
          <w:jc w:val="center"/>
        </w:trPr>
        <w:tc>
          <w:tcPr>
            <w:tcW w:w="2219" w:type="dxa"/>
          </w:tcPr>
          <w:p w14:paraId="036B7A4B">
            <w:pPr>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outlineLvl w:val="0"/>
              <w:rPr>
                <w:rFonts w:hint="eastAsia" w:ascii="宋体" w:hAnsi="宋体" w:eastAsia="宋体" w:cs="宋体"/>
                <w:b w:val="0"/>
                <w:bCs w:val="0"/>
                <w:color w:val="auto"/>
                <w:sz w:val="28"/>
                <w:szCs w:val="28"/>
                <w:highlight w:val="none"/>
                <w:u w:val="none"/>
                <w:lang w:eastAsia="zh-CN"/>
              </w:rPr>
            </w:pPr>
            <w:r>
              <w:rPr>
                <w:rFonts w:hint="eastAsia" w:ascii="宋体" w:hAnsi="宋体" w:eastAsia="宋体" w:cs="宋体"/>
                <w:b w:val="0"/>
                <w:bCs w:val="0"/>
                <w:color w:val="auto"/>
                <w:sz w:val="28"/>
                <w:szCs w:val="28"/>
                <w:highlight w:val="none"/>
                <w:u w:val="none"/>
                <w:lang w:eastAsia="zh-CN"/>
              </w:rPr>
              <w:t>采购代理机构：</w:t>
            </w:r>
          </w:p>
        </w:tc>
        <w:tc>
          <w:tcPr>
            <w:tcW w:w="5909" w:type="dxa"/>
          </w:tcPr>
          <w:p w14:paraId="3AFB46A0">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outlineLvl w:val="0"/>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Cs/>
                <w:color w:val="auto"/>
                <w:sz w:val="28"/>
                <w:szCs w:val="28"/>
                <w:highlight w:val="none"/>
              </w:rPr>
              <w:t>浙江明业项目管理有限公司 </w:t>
            </w:r>
          </w:p>
        </w:tc>
      </w:tr>
      <w:tr w14:paraId="2A2D999D">
        <w:tblPrEx>
          <w:tblCellMar>
            <w:top w:w="0" w:type="dxa"/>
            <w:left w:w="108" w:type="dxa"/>
            <w:bottom w:w="0" w:type="dxa"/>
            <w:right w:w="108" w:type="dxa"/>
          </w:tblCellMar>
        </w:tblPrEx>
        <w:trPr>
          <w:trHeight w:val="333" w:hRule="atLeast"/>
          <w:jc w:val="center"/>
        </w:trPr>
        <w:tc>
          <w:tcPr>
            <w:tcW w:w="8128" w:type="dxa"/>
            <w:gridSpan w:val="2"/>
          </w:tcPr>
          <w:p w14:paraId="59ABFACC">
            <w:pPr>
              <w:keepNext w:val="0"/>
              <w:keepLines w:val="0"/>
              <w:pageBreakBefore w:val="0"/>
              <w:widowControl w:val="0"/>
              <w:kinsoku/>
              <w:wordWrap/>
              <w:overflowPunct/>
              <w:topLinePunct w:val="0"/>
              <w:autoSpaceDE/>
              <w:autoSpaceDN/>
              <w:bidi w:val="0"/>
              <w:snapToGrid/>
              <w:spacing w:afterAutospacing="0" w:line="6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tc>
      </w:tr>
    </w:tbl>
    <w:p w14:paraId="7C6A2D50">
      <w:pPr>
        <w:pStyle w:val="18"/>
        <w:widowControl w:val="0"/>
        <w:spacing w:line="580" w:lineRule="exact"/>
        <w:jc w:val="both"/>
        <w:rPr>
          <w:rFonts w:hint="eastAsia" w:ascii="宋体" w:hAnsi="宋体" w:eastAsia="宋体" w:cs="宋体"/>
          <w:bCs/>
          <w:color w:val="auto"/>
          <w:sz w:val="44"/>
          <w:szCs w:val="44"/>
          <w:highlight w:val="none"/>
        </w:rPr>
      </w:pPr>
      <w:bookmarkStart w:id="0" w:name="用户单位名称"/>
      <w:bookmarkEnd w:id="0"/>
    </w:p>
    <w:p w14:paraId="0460C4B2">
      <w:pPr>
        <w:pStyle w:val="18"/>
        <w:widowControl w:val="0"/>
        <w:spacing w:line="58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目  录</w:t>
      </w:r>
    </w:p>
    <w:p w14:paraId="1FA3A713">
      <w:pPr>
        <w:rPr>
          <w:rFonts w:ascii="宋体" w:hAnsi="宋体" w:cs="宋体"/>
          <w:color w:val="auto"/>
          <w:highlight w:val="none"/>
        </w:rPr>
      </w:pPr>
    </w:p>
    <w:p w14:paraId="589A9670">
      <w:pPr>
        <w:rPr>
          <w:rFonts w:ascii="宋体" w:hAnsi="宋体" w:cs="宋体"/>
          <w:color w:val="auto"/>
          <w:highlight w:val="none"/>
        </w:rPr>
      </w:pPr>
    </w:p>
    <w:p w14:paraId="2A14F1BA">
      <w:pPr>
        <w:rPr>
          <w:rFonts w:ascii="宋体" w:hAnsi="宋体" w:cs="宋体"/>
          <w:color w:val="auto"/>
          <w:highlight w:val="none"/>
        </w:rPr>
      </w:pPr>
    </w:p>
    <w:p w14:paraId="62FE1FDB">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"1-2"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"_Toc513456138" </w:instrText>
      </w:r>
      <w:r>
        <w:rPr>
          <w:color w:val="auto"/>
          <w:highlight w:val="none"/>
        </w:rPr>
        <w:fldChar w:fldCharType="separate"/>
      </w:r>
      <w:r>
        <w:rPr>
          <w:rStyle w:val="36"/>
          <w:rFonts w:hint="eastAsia" w:ascii="宋体" w:hAnsi="宋体" w:cs="宋体"/>
          <w:b w:val="0"/>
          <w:bCs/>
          <w:color w:val="auto"/>
          <w:sz w:val="28"/>
          <w:szCs w:val="28"/>
          <w:highlight w:val="none"/>
        </w:rPr>
        <w:t>第一部分  招标公告</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1</w:t>
      </w:r>
      <w:r>
        <w:rPr>
          <w:rFonts w:hint="eastAsia" w:ascii="宋体" w:hAnsi="宋体" w:cs="宋体"/>
          <w:b w:val="0"/>
          <w:bCs/>
          <w:color w:val="auto"/>
          <w:sz w:val="28"/>
          <w:szCs w:val="28"/>
          <w:highlight w:val="none"/>
        </w:rPr>
        <w:fldChar w:fldCharType="end"/>
      </w:r>
    </w:p>
    <w:p w14:paraId="3DA5AB05">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ascii="宋体" w:hAnsi="宋体" w:cs="宋体"/>
          <w:b w:val="0"/>
          <w:bCs/>
          <w:caps w:val="0"/>
          <w:color w:val="auto"/>
          <w:sz w:val="28"/>
          <w:szCs w:val="28"/>
          <w:highlight w:val="none"/>
        </w:rPr>
      </w:pPr>
      <w:r>
        <w:rPr>
          <w:color w:val="auto"/>
          <w:highlight w:val="none"/>
        </w:rPr>
        <w:fldChar w:fldCharType="begin"/>
      </w:r>
      <w:r>
        <w:rPr>
          <w:color w:val="auto"/>
          <w:highlight w:val="none"/>
        </w:rPr>
        <w:instrText xml:space="preserve"> HYPERLINK \l "_Toc513456139" </w:instrText>
      </w:r>
      <w:r>
        <w:rPr>
          <w:color w:val="auto"/>
          <w:highlight w:val="none"/>
        </w:rPr>
        <w:fldChar w:fldCharType="separate"/>
      </w:r>
      <w:r>
        <w:rPr>
          <w:rStyle w:val="36"/>
          <w:rFonts w:hint="eastAsia" w:ascii="宋体" w:hAnsi="宋体" w:cs="宋体"/>
          <w:b w:val="0"/>
          <w:bCs/>
          <w:color w:val="auto"/>
          <w:sz w:val="28"/>
          <w:szCs w:val="28"/>
          <w:highlight w:val="none"/>
        </w:rPr>
        <w:t>第二部分  投标须知</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5</w:t>
      </w:r>
      <w:r>
        <w:rPr>
          <w:rFonts w:hint="eastAsia" w:ascii="宋体" w:hAnsi="宋体" w:cs="宋体"/>
          <w:b w:val="0"/>
          <w:bCs/>
          <w:color w:val="auto"/>
          <w:sz w:val="28"/>
          <w:szCs w:val="28"/>
          <w:highlight w:val="none"/>
        </w:rPr>
        <w:fldChar w:fldCharType="end"/>
      </w:r>
    </w:p>
    <w:p w14:paraId="45A9C5A9">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eastAsia"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"_Toc513456147" </w:instrText>
      </w:r>
      <w:r>
        <w:rPr>
          <w:color w:val="auto"/>
          <w:highlight w:val="none"/>
        </w:rPr>
        <w:fldChar w:fldCharType="separate"/>
      </w:r>
      <w:r>
        <w:rPr>
          <w:rStyle w:val="36"/>
          <w:rFonts w:hint="eastAsia" w:ascii="宋体" w:hAnsi="宋体" w:cs="宋体"/>
          <w:b w:val="0"/>
          <w:bCs/>
          <w:color w:val="auto"/>
          <w:sz w:val="28"/>
          <w:szCs w:val="28"/>
          <w:highlight w:val="none"/>
        </w:rPr>
        <w:t>第三部分  项目招标范围及服务要求</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lang w:val="en-US" w:eastAsia="zh-CN"/>
        </w:rPr>
        <w:t>2</w:t>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w:t>
      </w:r>
    </w:p>
    <w:p w14:paraId="70ACC75A">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"_Toc513456150" </w:instrText>
      </w:r>
      <w:r>
        <w:rPr>
          <w:color w:val="auto"/>
          <w:highlight w:val="none"/>
        </w:rPr>
        <w:fldChar w:fldCharType="separate"/>
      </w:r>
      <w:r>
        <w:rPr>
          <w:rStyle w:val="36"/>
          <w:rFonts w:hint="eastAsia" w:ascii="宋体" w:hAnsi="宋体" w:cs="宋体"/>
          <w:b w:val="0"/>
          <w:bCs/>
          <w:color w:val="auto"/>
          <w:sz w:val="28"/>
          <w:szCs w:val="28"/>
          <w:highlight w:val="none"/>
        </w:rPr>
        <w:t>第四部分  评标办</w:t>
      </w:r>
      <w:bookmarkStart w:id="1" w:name="_Hlt516404789"/>
      <w:bookmarkStart w:id="2" w:name="_Hlt516404788"/>
      <w:r>
        <w:rPr>
          <w:rStyle w:val="36"/>
          <w:rFonts w:hint="eastAsia" w:ascii="宋体" w:hAnsi="宋体" w:cs="宋体"/>
          <w:b w:val="0"/>
          <w:bCs/>
          <w:color w:val="auto"/>
          <w:sz w:val="28"/>
          <w:szCs w:val="28"/>
          <w:highlight w:val="none"/>
        </w:rPr>
        <w:t>法</w:t>
      </w:r>
      <w:bookmarkEnd w:id="1"/>
      <w:bookmarkEnd w:id="2"/>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37</w:t>
      </w:r>
    </w:p>
    <w:p w14:paraId="35FCC0D5">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b w:val="0"/>
          <w:bCs/>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"_Toc513456151" </w:instrText>
      </w:r>
      <w:r>
        <w:rPr>
          <w:color w:val="auto"/>
          <w:highlight w:val="none"/>
        </w:rPr>
        <w:fldChar w:fldCharType="separate"/>
      </w:r>
      <w:r>
        <w:rPr>
          <w:rStyle w:val="36"/>
          <w:rFonts w:hint="eastAsia" w:ascii="宋体" w:hAnsi="宋体" w:cs="宋体"/>
          <w:b w:val="0"/>
          <w:bCs/>
          <w:color w:val="auto"/>
          <w:sz w:val="28"/>
          <w:szCs w:val="28"/>
          <w:highlight w:val="none"/>
        </w:rPr>
        <w:t>第五部分  合同主要条款</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40</w:t>
      </w:r>
    </w:p>
    <w:p w14:paraId="71A880A2">
      <w:pPr>
        <w:pStyle w:val="22"/>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"_Toc513456152" </w:instrText>
      </w:r>
      <w:r>
        <w:rPr>
          <w:color w:val="auto"/>
          <w:highlight w:val="none"/>
        </w:rPr>
        <w:fldChar w:fldCharType="separate"/>
      </w:r>
      <w:r>
        <w:rPr>
          <w:rStyle w:val="36"/>
          <w:rFonts w:hint="eastAsia" w:ascii="宋体" w:hAnsi="宋体" w:cs="宋体"/>
          <w:b w:val="0"/>
          <w:bCs/>
          <w:color w:val="auto"/>
          <w:sz w:val="28"/>
          <w:szCs w:val="28"/>
          <w:highlight w:val="none"/>
        </w:rPr>
        <w:t>第六部分  投标文件</w:t>
      </w:r>
      <w:r>
        <w:rPr>
          <w:rStyle w:val="36"/>
          <w:rFonts w:hint="eastAsia" w:ascii="宋体" w:hAnsi="宋体" w:cs="宋体"/>
          <w:b w:val="0"/>
          <w:bCs/>
          <w:color w:val="auto"/>
          <w:sz w:val="28"/>
          <w:szCs w:val="28"/>
          <w:highlight w:val="none"/>
          <w:lang w:val="en-US" w:eastAsia="zh-CN"/>
        </w:rPr>
        <w:t>及其附件</w:t>
      </w:r>
      <w:r>
        <w:rPr>
          <w:rStyle w:val="36"/>
          <w:rFonts w:hint="eastAsia" w:ascii="宋体" w:hAnsi="宋体" w:cs="宋体"/>
          <w:b w:val="0"/>
          <w:bCs/>
          <w:color w:val="auto"/>
          <w:sz w:val="28"/>
          <w:szCs w:val="28"/>
          <w:highlight w:val="none"/>
        </w:rPr>
        <w:t>格式</w:t>
      </w:r>
      <w:r>
        <w:rPr>
          <w:rFonts w:hint="eastAsia" w:ascii="宋体" w:hAnsi="宋体" w:cs="宋体"/>
          <w:b w:val="0"/>
          <w:bCs/>
          <w:color w:val="auto"/>
          <w:sz w:val="28"/>
          <w:szCs w:val="28"/>
          <w:highlight w:val="none"/>
        </w:rPr>
        <w:tab/>
      </w:r>
      <w:r>
        <w:rPr>
          <w:rFonts w:hint="eastAsia" w:ascii="宋体" w:hAnsi="宋体" w:cs="宋体"/>
          <w:b w:val="0"/>
          <w:bCs/>
          <w:color w:val="auto"/>
          <w:sz w:val="28"/>
          <w:szCs w:val="28"/>
          <w:highlight w:val="none"/>
        </w:rPr>
        <w:fldChar w:fldCharType="end"/>
      </w:r>
      <w:r>
        <w:rPr>
          <w:rFonts w:hint="eastAsia" w:ascii="宋体" w:hAnsi="宋体" w:cs="宋体"/>
          <w:b w:val="0"/>
          <w:bCs/>
          <w:color w:val="auto"/>
          <w:sz w:val="28"/>
          <w:szCs w:val="28"/>
          <w:highlight w:val="none"/>
          <w:lang w:val="en-US" w:eastAsia="zh-CN"/>
        </w:rPr>
        <w:t>47</w:t>
      </w:r>
    </w:p>
    <w:p w14:paraId="0581073B">
      <w:pPr>
        <w:rPr>
          <w:rFonts w:ascii="宋体" w:hAnsi="宋体" w:cs="宋体"/>
          <w:color w:val="auto"/>
          <w:highlight w:val="none"/>
        </w:rPr>
      </w:pPr>
    </w:p>
    <w:p w14:paraId="117FBF4C">
      <w:pPr>
        <w:rPr>
          <w:rFonts w:ascii="宋体" w:hAnsi="宋体" w:cs="宋体"/>
          <w:color w:val="auto"/>
          <w:highlight w:val="none"/>
        </w:rPr>
      </w:pPr>
    </w:p>
    <w:p w14:paraId="4E43BB87">
      <w:pPr>
        <w:pStyle w:val="44"/>
        <w:rPr>
          <w:color w:val="auto"/>
          <w:highlight w:val="none"/>
        </w:rPr>
      </w:pPr>
    </w:p>
    <w:p w14:paraId="321DBF06">
      <w:pPr>
        <w:rPr>
          <w:rFonts w:hint="eastAsia" w:hAnsi="宋体" w:cs="宋体"/>
          <w:color w:val="auto"/>
          <w:highlight w:val="none"/>
        </w:rPr>
      </w:pPr>
      <w:r>
        <w:rPr>
          <w:rFonts w:hint="eastAsia" w:hAnsi="宋体" w:cs="宋体"/>
          <w:color w:val="auto"/>
          <w:highlight w:val="none"/>
        </w:rPr>
        <w:fldChar w:fldCharType="end"/>
      </w:r>
      <w:bookmarkStart w:id="3" w:name="_Toc15829"/>
    </w:p>
    <w:p w14:paraId="640561D0">
      <w:pPr>
        <w:rPr>
          <w:rFonts w:hint="eastAsia" w:hAnsi="宋体" w:cs="宋体"/>
          <w:color w:val="auto"/>
          <w:highlight w:val="none"/>
        </w:rPr>
      </w:pPr>
    </w:p>
    <w:p w14:paraId="6F2343AE">
      <w:pPr>
        <w:rPr>
          <w:rFonts w:hint="eastAsia" w:hAnsi="宋体" w:cs="宋体"/>
          <w:color w:val="auto"/>
          <w:highlight w:val="none"/>
        </w:rPr>
      </w:pPr>
    </w:p>
    <w:p w14:paraId="7F607DDD">
      <w:pPr>
        <w:rPr>
          <w:rFonts w:hint="eastAsia" w:hAnsi="宋体" w:cs="宋体"/>
          <w:color w:val="auto"/>
          <w:highlight w:val="none"/>
        </w:rPr>
      </w:pPr>
    </w:p>
    <w:p w14:paraId="61895188">
      <w:pPr>
        <w:rPr>
          <w:rFonts w:hint="eastAsia" w:hAnsi="宋体" w:cs="宋体"/>
          <w:color w:val="auto"/>
          <w:highlight w:val="none"/>
        </w:rPr>
      </w:pPr>
    </w:p>
    <w:p w14:paraId="313EC243">
      <w:pPr>
        <w:rPr>
          <w:rFonts w:hint="eastAsia" w:hAnsi="宋体" w:cs="宋体"/>
          <w:color w:val="auto"/>
          <w:highlight w:val="none"/>
        </w:rPr>
      </w:pPr>
    </w:p>
    <w:p w14:paraId="316461C5">
      <w:pPr>
        <w:rPr>
          <w:rFonts w:hint="eastAsia" w:hAnsi="宋体" w:cs="宋体"/>
          <w:color w:val="auto"/>
          <w:highlight w:val="none"/>
        </w:rPr>
      </w:pPr>
    </w:p>
    <w:p w14:paraId="5FAC3F6C">
      <w:pPr>
        <w:rPr>
          <w:rFonts w:hint="eastAsia" w:hAnsi="宋体" w:cs="宋体"/>
          <w:color w:val="auto"/>
          <w:highlight w:val="none"/>
        </w:rPr>
      </w:pPr>
    </w:p>
    <w:p w14:paraId="4AFC791D">
      <w:pPr>
        <w:rPr>
          <w:rFonts w:hint="eastAsia" w:hAnsi="宋体" w:cs="宋体"/>
          <w:color w:val="auto"/>
          <w:highlight w:val="none"/>
        </w:rPr>
      </w:pPr>
    </w:p>
    <w:p w14:paraId="7517CBDC">
      <w:pPr>
        <w:rPr>
          <w:rFonts w:hint="eastAsia" w:hAnsi="宋体" w:cs="宋体"/>
          <w:color w:val="auto"/>
          <w:highlight w:val="none"/>
        </w:rPr>
      </w:pPr>
    </w:p>
    <w:p w14:paraId="22C414E1">
      <w:pPr>
        <w:rPr>
          <w:rFonts w:hint="eastAsia" w:hAnsi="宋体" w:cs="宋体"/>
          <w:color w:val="auto"/>
          <w:highlight w:val="none"/>
        </w:rPr>
      </w:pPr>
    </w:p>
    <w:p w14:paraId="116580D8">
      <w:pPr>
        <w:pStyle w:val="2"/>
        <w:rPr>
          <w:rFonts w:hint="eastAsia"/>
          <w:color w:val="auto"/>
          <w:highlight w:val="none"/>
        </w:rPr>
      </w:pPr>
    </w:p>
    <w:p w14:paraId="01EB975B">
      <w:pPr>
        <w:rPr>
          <w:rFonts w:hint="eastAsia"/>
          <w:color w:val="auto"/>
          <w:highlight w:val="none"/>
        </w:rPr>
      </w:pPr>
    </w:p>
    <w:p w14:paraId="62EB8C65">
      <w:pPr>
        <w:pStyle w:val="40"/>
        <w:rPr>
          <w:rFonts w:hint="eastAsia"/>
          <w:color w:val="auto"/>
          <w:highlight w:val="none"/>
        </w:rPr>
      </w:pPr>
    </w:p>
    <w:p w14:paraId="43F67B31">
      <w:pPr>
        <w:pStyle w:val="41"/>
        <w:rPr>
          <w:rFonts w:hint="eastAsia"/>
          <w:color w:val="auto"/>
          <w:highlight w:val="none"/>
        </w:rPr>
      </w:pPr>
    </w:p>
    <w:p w14:paraId="7872A349">
      <w:pPr>
        <w:rPr>
          <w:rFonts w:hint="eastAsia" w:hAnsi="宋体" w:cs="宋体"/>
          <w:color w:val="auto"/>
          <w:highlight w:val="none"/>
        </w:rPr>
        <w:sectPr>
          <w:footerReference r:id="rId3" w:type="default"/>
          <w:pgSz w:w="11906" w:h="16838"/>
          <w:pgMar w:top="1587" w:right="1570" w:bottom="1587" w:left="1570" w:header="851" w:footer="851" w:gutter="0"/>
          <w:pgNumType w:start="1"/>
          <w:cols w:space="720" w:num="1"/>
          <w:docGrid w:type="lines" w:linePitch="312" w:charSpace="0"/>
        </w:sectPr>
      </w:pPr>
    </w:p>
    <w:p w14:paraId="1CDE5FED">
      <w:pPr>
        <w:jc w:val="center"/>
        <w:rPr>
          <w:rFonts w:ascii="宋体" w:hAnsi="宋体" w:cs="宋体"/>
          <w:b/>
          <w:bCs/>
          <w:color w:val="auto"/>
          <w:kern w:val="0"/>
          <w:sz w:val="36"/>
          <w:highlight w:val="none"/>
        </w:rPr>
      </w:pPr>
      <w:r>
        <w:rPr>
          <w:rFonts w:hint="eastAsia" w:ascii="宋体" w:hAnsi="宋体" w:cs="宋体"/>
          <w:b/>
          <w:bCs/>
          <w:color w:val="auto"/>
          <w:kern w:val="0"/>
          <w:sz w:val="36"/>
          <w:highlight w:val="none"/>
        </w:rPr>
        <w:t>第一部分  招标公告</w:t>
      </w:r>
      <w:bookmarkEnd w:id="3"/>
    </w:p>
    <w:p w14:paraId="26D7F7C3">
      <w:pPr>
        <w:spacing w:line="300" w:lineRule="exact"/>
        <w:jc w:val="center"/>
        <w:rPr>
          <w:rFonts w:ascii="宋体" w:hAnsi="宋体" w:cs="宋体"/>
          <w:color w:val="auto"/>
          <w:spacing w:val="6"/>
          <w:sz w:val="21"/>
          <w:szCs w:val="21"/>
          <w:highlight w:val="none"/>
        </w:rPr>
      </w:pPr>
    </w:p>
    <w:p w14:paraId="495D1E7E">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项目概况</w:t>
      </w:r>
    </w:p>
    <w:p w14:paraId="3B1EC2A1">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Cs w:val="24"/>
          <w:highlight w:val="none"/>
        </w:rPr>
      </w:pPr>
      <w:r>
        <w:rPr>
          <w:rFonts w:hint="eastAsia" w:ascii="宋体" w:hAnsi="宋体" w:cs="宋体"/>
          <w:color w:val="auto"/>
          <w:highlight w:val="none"/>
          <w:u w:val="single"/>
          <w:lang w:eastAsia="zh-CN"/>
        </w:rPr>
        <w:t>嵊州市会展中心及居然之家配套设施项目--路灯采购项目</w:t>
      </w:r>
      <w:r>
        <w:rPr>
          <w:rFonts w:hint="eastAsia" w:ascii="宋体" w:hAnsi="宋体" w:cs="宋体"/>
          <w:color w:val="auto"/>
          <w:szCs w:val="24"/>
          <w:highlight w:val="none"/>
        </w:rPr>
        <w:t>的潜在投标人应在</w:t>
      </w:r>
      <w:r>
        <w:rPr>
          <w:rFonts w:hint="eastAsia" w:ascii="宋体" w:hAnsi="宋体" w:cs="宋体"/>
          <w:color w:val="auto"/>
          <w:spacing w:val="6"/>
          <w:szCs w:val="24"/>
          <w:highlight w:val="none"/>
        </w:rPr>
        <w:t>乐采云平台</w:t>
      </w:r>
      <w:r>
        <w:rPr>
          <w:color w:val="auto"/>
          <w:highlight w:val="none"/>
        </w:rPr>
        <w:fldChar w:fldCharType="begin"/>
      </w:r>
      <w:r>
        <w:rPr>
          <w:color w:val="auto"/>
          <w:highlight w:val="none"/>
        </w:rPr>
        <w:instrText xml:space="preserve"> HYPERLINK "http://www.zcygov.cn/获取采购文件，并于2023年" </w:instrText>
      </w:r>
      <w:r>
        <w:rPr>
          <w:color w:val="auto"/>
          <w:highlight w:val="none"/>
        </w:rPr>
        <w:fldChar w:fldCharType="separate"/>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 </w:instrText>
      </w:r>
      <w:r>
        <w:rPr>
          <w:rFonts w:hint="eastAsia" w:ascii="宋体" w:hAnsi="宋体" w:eastAsia="宋体" w:cs="宋体"/>
          <w:color w:val="auto"/>
          <w:highlight w:val="none"/>
          <w:u w:val="single"/>
        </w:rPr>
        <w:fldChar w:fldCharType="separate"/>
      </w:r>
      <w:r>
        <w:rPr>
          <w:rStyle w:val="36"/>
          <w:rFonts w:hint="eastAsia" w:ascii="宋体" w:hAnsi="宋体" w:eastAsia="宋体" w:cs="宋体"/>
          <w:color w:val="auto"/>
          <w:sz w:val="24"/>
          <w:highlight w:val="none"/>
          <w:u w:val="single"/>
        </w:rPr>
        <w:t>https://www.lecaiyun.com/</w:t>
      </w:r>
      <w:r>
        <w:rPr>
          <w:rStyle w:val="36"/>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w:t>
      </w:r>
      <w:r>
        <w:rPr>
          <w:rStyle w:val="36"/>
          <w:rFonts w:hint="eastAsia" w:ascii="宋体" w:hAnsi="宋体" w:cs="宋体"/>
          <w:color w:val="auto"/>
          <w:szCs w:val="24"/>
          <w:highlight w:val="none"/>
          <w:u w:val="none"/>
        </w:rPr>
        <w:t>获取采购文件，并于</w:t>
      </w:r>
      <w:r>
        <w:rPr>
          <w:rStyle w:val="36"/>
          <w:rFonts w:hint="eastAsia" w:ascii="宋体" w:hAnsi="宋体" w:cs="宋体"/>
          <w:color w:val="auto"/>
          <w:szCs w:val="24"/>
          <w:highlight w:val="none"/>
        </w:rPr>
        <w:t>202</w:t>
      </w:r>
      <w:r>
        <w:rPr>
          <w:rStyle w:val="36"/>
          <w:rFonts w:hint="eastAsia" w:ascii="宋体" w:hAnsi="宋体" w:cs="宋体"/>
          <w:color w:val="auto"/>
          <w:szCs w:val="24"/>
          <w:highlight w:val="none"/>
          <w:lang w:val="en-US" w:eastAsia="zh-CN"/>
        </w:rPr>
        <w:t>5</w:t>
      </w:r>
      <w:r>
        <w:rPr>
          <w:rStyle w:val="36"/>
          <w:rFonts w:hint="eastAsia" w:ascii="宋体" w:hAnsi="宋体" w:cs="宋体"/>
          <w:color w:val="auto"/>
          <w:szCs w:val="24"/>
          <w:highlight w:val="none"/>
          <w:u w:val="none"/>
        </w:rPr>
        <w:t>年</w:t>
      </w:r>
      <w:r>
        <w:rPr>
          <w:rStyle w:val="36"/>
          <w:rFonts w:hint="eastAsia" w:ascii="宋体" w:hAnsi="宋体" w:cs="宋体"/>
          <w:color w:val="auto"/>
          <w:szCs w:val="24"/>
          <w:highlight w:val="none"/>
          <w:u w:val="none"/>
        </w:rPr>
        <w:fldChar w:fldCharType="end"/>
      </w:r>
      <w:r>
        <w:rPr>
          <w:rStyle w:val="36"/>
          <w:rFonts w:hint="eastAsia" w:ascii="宋体" w:hAnsi="宋体" w:cs="宋体"/>
          <w:color w:val="auto"/>
          <w:szCs w:val="24"/>
          <w:highlight w:val="none"/>
          <w:u w:val="single"/>
          <w:lang w:val="en-US" w:eastAsia="zh-CN"/>
        </w:rPr>
        <w:t xml:space="preserve"> 8 </w:t>
      </w:r>
      <w:r>
        <w:rPr>
          <w:rFonts w:hint="eastAsia" w:ascii="宋体" w:hAnsi="宋体" w:cs="宋体"/>
          <w:color w:val="auto"/>
          <w:szCs w:val="24"/>
          <w:highlight w:val="none"/>
        </w:rPr>
        <w:t>月</w:t>
      </w:r>
      <w:r>
        <w:rPr>
          <w:rFonts w:hint="eastAsia" w:ascii="宋体" w:hAnsi="宋体" w:cs="宋体"/>
          <w:color w:val="auto"/>
          <w:szCs w:val="24"/>
          <w:highlight w:val="none"/>
          <w:u w:val="single"/>
          <w:lang w:val="en-US" w:eastAsia="zh-CN"/>
        </w:rPr>
        <w:t xml:space="preserve"> 5 </w:t>
      </w:r>
      <w:r>
        <w:rPr>
          <w:rFonts w:hint="eastAsia" w:ascii="宋体" w:hAnsi="宋体" w:cs="宋体"/>
          <w:color w:val="auto"/>
          <w:szCs w:val="24"/>
          <w:highlight w:val="none"/>
        </w:rPr>
        <w:t>日</w:t>
      </w:r>
      <w:r>
        <w:rPr>
          <w:rFonts w:hint="eastAsia" w:ascii="宋体" w:hAnsi="宋体" w:cs="宋体"/>
          <w:color w:val="auto"/>
          <w:szCs w:val="24"/>
          <w:highlight w:val="none"/>
          <w:u w:val="single"/>
          <w:lang w:val="en-US" w:eastAsia="zh-CN"/>
        </w:rPr>
        <w:t xml:space="preserve"> 9 </w:t>
      </w:r>
      <w:r>
        <w:rPr>
          <w:rFonts w:hint="eastAsia" w:ascii="宋体" w:hAnsi="宋体" w:cs="宋体"/>
          <w:color w:val="auto"/>
          <w:szCs w:val="24"/>
          <w:highlight w:val="none"/>
        </w:rPr>
        <w:t>点</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lang w:val="en-US" w:eastAsia="zh-CN"/>
        </w:rPr>
        <w:t>00</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分</w:t>
      </w:r>
      <w:r>
        <w:rPr>
          <w:rFonts w:hint="eastAsia" w:ascii="宋体" w:hAnsi="宋体" w:cs="宋体"/>
          <w:bCs/>
          <w:color w:val="auto"/>
          <w:szCs w:val="24"/>
          <w:highlight w:val="none"/>
        </w:rPr>
        <w:t>（北京时间）前递交投标文件</w:t>
      </w:r>
      <w:r>
        <w:rPr>
          <w:rFonts w:hint="eastAsia" w:ascii="宋体" w:hAnsi="宋体" w:cs="宋体"/>
          <w:color w:val="auto"/>
          <w:szCs w:val="24"/>
          <w:highlight w:val="none"/>
        </w:rPr>
        <w:t>。</w:t>
      </w:r>
    </w:p>
    <w:p w14:paraId="54704C48">
      <w:pPr>
        <w:spacing w:line="440" w:lineRule="exact"/>
        <w:rPr>
          <w:rFonts w:ascii="宋体" w:hAnsi="宋体" w:cs="宋体"/>
          <w:b/>
          <w:bCs/>
          <w:color w:val="auto"/>
          <w:spacing w:val="6"/>
          <w:szCs w:val="24"/>
          <w:highlight w:val="none"/>
        </w:rPr>
      </w:pPr>
      <w:bookmarkStart w:id="4" w:name="_Toc35393621"/>
      <w:bookmarkStart w:id="5" w:name="_Toc28359079"/>
      <w:bookmarkStart w:id="6" w:name="_Toc28359002"/>
      <w:bookmarkStart w:id="7" w:name="_Toc35393790"/>
      <w:bookmarkStart w:id="8" w:name="_Hlk24379207"/>
      <w:r>
        <w:rPr>
          <w:rFonts w:hint="eastAsia" w:ascii="宋体" w:hAnsi="宋体" w:cs="宋体"/>
          <w:b/>
          <w:bCs/>
          <w:color w:val="auto"/>
          <w:spacing w:val="6"/>
          <w:szCs w:val="24"/>
          <w:highlight w:val="none"/>
        </w:rPr>
        <w:t>一、项目基本情况</w:t>
      </w:r>
      <w:bookmarkEnd w:id="4"/>
      <w:bookmarkEnd w:id="5"/>
      <w:bookmarkEnd w:id="6"/>
      <w:bookmarkEnd w:id="7"/>
    </w:p>
    <w:p w14:paraId="41943978">
      <w:pPr>
        <w:spacing w:line="480" w:lineRule="exact"/>
        <w:ind w:firstLine="480" w:firstLineChars="200"/>
        <w:rPr>
          <w:rFonts w:hint="eastAsia" w:ascii="宋体" w:hAnsi="宋体" w:eastAsia="宋体" w:cs="宋体"/>
          <w:color w:val="auto"/>
          <w:highlight w:val="none"/>
          <w:u w:val="single"/>
          <w:lang w:val="en-US" w:eastAsia="zh-CN"/>
        </w:rPr>
      </w:pPr>
      <w:r>
        <w:rPr>
          <w:rFonts w:hint="eastAsia" w:ascii="宋体" w:hAnsi="宋体" w:cs="宋体"/>
          <w:color w:val="auto"/>
          <w:szCs w:val="24"/>
          <w:highlight w:val="none"/>
        </w:rPr>
        <w:t>1.项目编号：</w:t>
      </w:r>
      <w:r>
        <w:rPr>
          <w:rFonts w:hint="eastAsia" w:ascii="宋体" w:hAnsi="宋体" w:cs="宋体"/>
          <w:color w:val="auto"/>
          <w:highlight w:val="none"/>
          <w:u w:val="single"/>
          <w:lang w:val="en-US" w:eastAsia="zh-CN"/>
        </w:rPr>
        <w:t>SZMY-H20250718</w:t>
      </w:r>
    </w:p>
    <w:p w14:paraId="734FE159">
      <w:pPr>
        <w:spacing w:line="48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highlight w:val="none"/>
          <w:u w:val="single"/>
          <w:lang w:eastAsia="zh-CN"/>
        </w:rPr>
        <w:t>嵊州市会展中心及居然之家配套设施项目--路灯采购项目</w:t>
      </w:r>
      <w:r>
        <w:rPr>
          <w:rFonts w:hint="eastAsia" w:ascii="宋体" w:hAnsi="宋体" w:cs="宋体"/>
          <w:color w:val="auto"/>
          <w:szCs w:val="24"/>
          <w:highlight w:val="none"/>
        </w:rPr>
        <w:t>。</w:t>
      </w:r>
    </w:p>
    <w:bookmarkEnd w:id="8"/>
    <w:p w14:paraId="483E738A">
      <w:pPr>
        <w:spacing w:line="480" w:lineRule="exact"/>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3.预算金额</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3880000.00</w:t>
      </w:r>
    </w:p>
    <w:p w14:paraId="7FB27D58">
      <w:pPr>
        <w:spacing w:line="440" w:lineRule="exact"/>
        <w:ind w:firstLine="48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4.最高限价</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元）</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3492000.00</w:t>
      </w:r>
    </w:p>
    <w:p w14:paraId="511E0CF7">
      <w:pPr>
        <w:pStyle w:val="82"/>
        <w:spacing w:afterLines="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5.采购需求：</w:t>
      </w:r>
    </w:p>
    <w:p w14:paraId="726A21D4">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标项一:</w:t>
      </w:r>
    </w:p>
    <w:p w14:paraId="7F837DD5">
      <w:pPr>
        <w:pStyle w:val="82"/>
        <w:spacing w:afterLines="0" w:line="440" w:lineRule="exact"/>
        <w:ind w:firstLine="480"/>
        <w:rPr>
          <w:rFonts w:hint="eastAsia" w:ascii="宋体" w:hAnsi="宋体" w:cs="宋体"/>
          <w:color w:val="auto"/>
          <w:highlight w:val="none"/>
          <w:u w:val="single"/>
          <w:lang w:eastAsia="zh-CN"/>
        </w:rPr>
      </w:pPr>
      <w:r>
        <w:rPr>
          <w:rFonts w:hint="eastAsia" w:ascii="宋体" w:hAnsi="宋体" w:eastAsia="宋体" w:cs="宋体"/>
          <w:color w:val="auto"/>
          <w:kern w:val="2"/>
          <w:sz w:val="24"/>
          <w:szCs w:val="24"/>
          <w:highlight w:val="none"/>
          <w:lang w:val="en-US" w:eastAsia="zh-CN" w:bidi="ar-SA"/>
        </w:rPr>
        <w:t xml:space="preserve">标项名称: </w:t>
      </w:r>
      <w:r>
        <w:rPr>
          <w:rFonts w:hint="eastAsia" w:ascii="宋体" w:hAnsi="宋体" w:cs="宋体"/>
          <w:color w:val="auto"/>
          <w:highlight w:val="none"/>
          <w:u w:val="single"/>
          <w:lang w:eastAsia="zh-CN"/>
        </w:rPr>
        <w:t>嵊州市会展中心及居然之家配套设施项目--路灯采购项目</w:t>
      </w:r>
    </w:p>
    <w:p w14:paraId="5CF3D136">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 xml:space="preserve"> 1批  </w:t>
      </w:r>
      <w:r>
        <w:rPr>
          <w:rFonts w:hint="eastAsia" w:ascii="宋体" w:hAnsi="宋体" w:eastAsia="宋体" w:cs="宋体"/>
          <w:color w:val="auto"/>
          <w:kern w:val="2"/>
          <w:sz w:val="24"/>
          <w:szCs w:val="24"/>
          <w:highlight w:val="none"/>
          <w:lang w:val="en-US" w:eastAsia="zh-CN" w:bidi="ar-SA"/>
        </w:rPr>
        <w:t>。</w:t>
      </w:r>
    </w:p>
    <w:p w14:paraId="2DAB231B">
      <w:pPr>
        <w:pStyle w:val="82"/>
        <w:spacing w:afterLines="0" w:line="440" w:lineRule="exact"/>
        <w:ind w:firstLine="48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auto"/>
          <w:kern w:val="2"/>
          <w:sz w:val="24"/>
          <w:szCs w:val="24"/>
          <w:highlight w:val="none"/>
          <w:lang w:val="en-US" w:eastAsia="zh-CN" w:bidi="ar-SA"/>
        </w:rPr>
        <w:t>3880000.00</w:t>
      </w:r>
    </w:p>
    <w:p w14:paraId="10ED19F0">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简要规格描述或项目基本概况介绍、用途：详见</w:t>
      </w: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文件 </w:t>
      </w:r>
    </w:p>
    <w:p w14:paraId="45BE6DBB">
      <w:pPr>
        <w:pStyle w:val="82"/>
        <w:spacing w:afterLines="0" w:line="44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合同履约期限：</w:t>
      </w:r>
      <w:r>
        <w:rPr>
          <w:rFonts w:hint="eastAsia" w:ascii="宋体" w:hAnsi="宋体" w:cs="宋体"/>
          <w:color w:val="auto"/>
          <w:kern w:val="2"/>
          <w:sz w:val="24"/>
          <w:szCs w:val="24"/>
          <w:highlight w:val="none"/>
          <w:lang w:val="en-US" w:eastAsia="zh-CN" w:bidi="ar-SA"/>
        </w:rPr>
        <w:t>详见招标文件</w:t>
      </w:r>
      <w:r>
        <w:rPr>
          <w:rFonts w:hint="eastAsia" w:ascii="宋体" w:hAnsi="宋体" w:eastAsia="宋体" w:cs="宋体"/>
          <w:color w:val="auto"/>
          <w:kern w:val="2"/>
          <w:sz w:val="24"/>
          <w:szCs w:val="24"/>
          <w:highlight w:val="none"/>
          <w:lang w:val="en-US" w:eastAsia="zh-CN" w:bidi="ar-SA"/>
        </w:rPr>
        <w:t>。</w:t>
      </w:r>
    </w:p>
    <w:p w14:paraId="7A2BDB35">
      <w:pPr>
        <w:spacing w:line="440" w:lineRule="exact"/>
        <w:ind w:firstLine="480" w:firstLineChars="200"/>
        <w:rPr>
          <w:rFonts w:hint="eastAsia" w:ascii="宋体" w:hAnsi="宋体" w:eastAsia="宋体" w:cs="宋体"/>
          <w:color w:val="auto"/>
          <w:kern w:val="2"/>
          <w:sz w:val="24"/>
          <w:szCs w:val="24"/>
          <w:highlight w:val="none"/>
          <w:lang w:val="en-US" w:eastAsia="zh-CN" w:bidi="ar-SA"/>
        </w:rPr>
      </w:pPr>
      <w:bookmarkStart w:id="9" w:name="_Toc28359003"/>
      <w:bookmarkStart w:id="10" w:name="_Toc28359080"/>
      <w:bookmarkStart w:id="11" w:name="_Toc35393791"/>
      <w:bookmarkStart w:id="12" w:name="_Toc35393622"/>
      <w:r>
        <w:rPr>
          <w:rFonts w:hint="eastAsia" w:ascii="宋体" w:hAnsi="宋体" w:eastAsia="宋体" w:cs="宋体"/>
          <w:color w:val="auto"/>
          <w:kern w:val="2"/>
          <w:sz w:val="24"/>
          <w:szCs w:val="24"/>
          <w:highlight w:val="none"/>
          <w:lang w:val="en-US" w:eastAsia="zh-CN" w:bidi="ar-SA"/>
        </w:rPr>
        <w:t>本项目接受联合体投标：☑ 否。</w:t>
      </w:r>
    </w:p>
    <w:bookmarkEnd w:id="9"/>
    <w:bookmarkEnd w:id="10"/>
    <w:bookmarkEnd w:id="11"/>
    <w:bookmarkEnd w:id="12"/>
    <w:p w14:paraId="7E45F307">
      <w:pPr>
        <w:spacing w:line="440" w:lineRule="exact"/>
        <w:rPr>
          <w:rFonts w:hint="eastAsia" w:ascii="宋体" w:hAnsi="宋体" w:eastAsia="宋体" w:cs="宋体"/>
          <w:b/>
          <w:color w:val="auto"/>
          <w:sz w:val="24"/>
          <w:szCs w:val="24"/>
          <w:highlight w:val="none"/>
        </w:rPr>
      </w:pPr>
      <w:bookmarkStart w:id="13" w:name="_Toc35393792"/>
      <w:bookmarkStart w:id="14" w:name="_Toc28359081"/>
      <w:bookmarkStart w:id="15" w:name="_Toc28359004"/>
      <w:bookmarkStart w:id="16" w:name="_Toc35393623"/>
      <w:r>
        <w:rPr>
          <w:rFonts w:hint="eastAsia" w:ascii="宋体" w:hAnsi="宋体" w:eastAsia="宋体" w:cs="宋体"/>
          <w:b/>
          <w:color w:val="auto"/>
          <w:sz w:val="24"/>
          <w:szCs w:val="24"/>
          <w:highlight w:val="none"/>
        </w:rPr>
        <w:t>二、申请人的资格要求：</w:t>
      </w:r>
    </w:p>
    <w:p w14:paraId="62147FF5">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具有独立承担民事责任的能力。</w:t>
      </w:r>
    </w:p>
    <w:p w14:paraId="64D306D9">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2.具有良好的商业信誉。</w:t>
      </w:r>
    </w:p>
    <w:p w14:paraId="5DF01183">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3.具有履行合同所必需的设备和专业技术、售后保障等能力。</w:t>
      </w:r>
    </w:p>
    <w:p w14:paraId="2202EB0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4.有依法缴纳税收和社会保障资金的良好记录。</w:t>
      </w:r>
    </w:p>
    <w:p w14:paraId="51BF1212">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5.参加采购活动前三年内，没有重大违法记录、严重失信行为和行贿记录。</w:t>
      </w:r>
    </w:p>
    <w:p w14:paraId="7C3EB12D">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6.法律、行政法规规定的其他条件。</w:t>
      </w:r>
    </w:p>
    <w:p w14:paraId="626D9DF8">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未被“信用中国”（www.creditchina.gov.cn)、中国政府采购网（www.ccgp.gov.cn）列入失信被执行人、重大税收违法</w:t>
      </w:r>
      <w:r>
        <w:rPr>
          <w:rFonts w:hint="eastAsia" w:ascii="宋体" w:hAnsi="宋体" w:cs="宋体"/>
          <w:color w:val="auto"/>
          <w:sz w:val="24"/>
          <w:highlight w:val="none"/>
          <w:lang w:val="en-US" w:eastAsia="zh-CN"/>
        </w:rPr>
        <w:t>失信主体</w:t>
      </w:r>
      <w:r>
        <w:rPr>
          <w:rFonts w:hint="eastAsia" w:ascii="宋体" w:hAnsi="宋体" w:eastAsia="宋体" w:cs="宋体"/>
          <w:color w:val="auto"/>
          <w:sz w:val="24"/>
          <w:highlight w:val="none"/>
        </w:rPr>
        <w:t>、政府采购严重违法失信行为记录名单；</w:t>
      </w:r>
    </w:p>
    <w:p w14:paraId="3C53E7F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p>
    <w:p w14:paraId="7BD2D1BA">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.本项目的特定资格要求：</w:t>
      </w:r>
      <w:r>
        <w:rPr>
          <w:rFonts w:hint="eastAsia" w:ascii="宋体" w:hAnsi="宋体" w:cs="宋体"/>
          <w:b/>
          <w:bCs/>
          <w:color w:val="auto"/>
          <w:sz w:val="24"/>
          <w:szCs w:val="24"/>
          <w:highlight w:val="none"/>
          <w:u w:val="single"/>
          <w:lang w:val="en-US" w:eastAsia="zh-CN"/>
        </w:rPr>
        <w:t>无</w:t>
      </w:r>
      <w:r>
        <w:rPr>
          <w:rFonts w:hint="eastAsia" w:ascii="宋体" w:hAnsi="宋体" w:eastAsia="宋体" w:cs="宋体"/>
          <w:b/>
          <w:bCs/>
          <w:color w:val="auto"/>
          <w:sz w:val="24"/>
          <w:szCs w:val="24"/>
          <w:highlight w:val="none"/>
          <w:u w:val="none"/>
          <w:lang w:val="en-US" w:eastAsia="zh-CN"/>
        </w:rPr>
        <w:t>。</w:t>
      </w:r>
    </w:p>
    <w:p w14:paraId="264BAF0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宋体" w:hAnsi="宋体" w:cs="宋体"/>
          <w:color w:val="auto"/>
          <w:sz w:val="24"/>
          <w:szCs w:val="24"/>
          <w:highlight w:val="none"/>
          <w:lang w:val="en-US" w:eastAsia="zh-CN"/>
        </w:rPr>
        <w:t>9</w:t>
      </w:r>
      <w:bookmarkStart w:id="36" w:name="_GoBack"/>
      <w:bookmarkEnd w:id="36"/>
      <w:r>
        <w:rPr>
          <w:rFonts w:hint="eastAsia" w:ascii="宋体" w:hAnsi="宋体" w:eastAsia="宋体" w:cs="宋体"/>
          <w:color w:val="auto"/>
          <w:sz w:val="24"/>
          <w:szCs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bookmarkEnd w:id="13"/>
    <w:bookmarkEnd w:id="14"/>
    <w:bookmarkEnd w:id="15"/>
    <w:bookmarkEnd w:id="16"/>
    <w:p w14:paraId="71AAE3A9">
      <w:pPr>
        <w:spacing w:line="440" w:lineRule="exact"/>
        <w:rPr>
          <w:rFonts w:hint="eastAsia" w:ascii="宋体" w:hAnsi="宋体" w:eastAsia="宋体" w:cs="宋体"/>
          <w:b/>
          <w:color w:val="auto"/>
          <w:sz w:val="24"/>
          <w:szCs w:val="24"/>
          <w:highlight w:val="none"/>
        </w:rPr>
      </w:pPr>
      <w:bookmarkStart w:id="17" w:name="_Toc513456147"/>
      <w:r>
        <w:rPr>
          <w:rFonts w:hint="eastAsia" w:ascii="宋体" w:hAnsi="宋体" w:eastAsia="宋体" w:cs="宋体"/>
          <w:b/>
          <w:color w:val="auto"/>
          <w:sz w:val="24"/>
          <w:szCs w:val="24"/>
          <w:highlight w:val="none"/>
        </w:rPr>
        <w:t>三、获取招标文件</w:t>
      </w:r>
    </w:p>
    <w:p w14:paraId="015702BF">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6E2A89D0">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乐采云平台（https://www.lecaiyun.com/） </w:t>
      </w:r>
    </w:p>
    <w:p w14:paraId="16E0F537">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供应商登录乐采云平台https://www.lecaiyun.com/在线申请获取采购文件（进入“项目采购”应用，在获取采购文件菜单中选择项目，申请获取采购文件）。 </w:t>
      </w:r>
    </w:p>
    <w:p w14:paraId="19DDB193">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146E45B7">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EA41015">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分00秒</w:t>
      </w:r>
      <w:r>
        <w:rPr>
          <w:rFonts w:hint="eastAsia" w:ascii="宋体" w:hAnsi="宋体" w:eastAsia="宋体" w:cs="宋体"/>
          <w:color w:val="auto"/>
          <w:sz w:val="24"/>
          <w:szCs w:val="24"/>
          <w:highlight w:val="none"/>
        </w:rPr>
        <w:t>（北京时间）</w:t>
      </w:r>
    </w:p>
    <w:p w14:paraId="2127FFFB">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乐采云平台（https://www.lecaiyun.com/） </w:t>
      </w:r>
    </w:p>
    <w:p w14:paraId="0CF06E77">
      <w:pPr>
        <w:spacing w:line="440" w:lineRule="exact"/>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分00秒</w:t>
      </w:r>
    </w:p>
    <w:p w14:paraId="399FE88E">
      <w:pPr>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乐采云平台（https://www.lecaiyun.com/）</w:t>
      </w:r>
    </w:p>
    <w:p w14:paraId="3CCA731E">
      <w:pPr>
        <w:pStyle w:val="9"/>
        <w:keepNext w:val="0"/>
        <w:keepLines w:val="0"/>
        <w:pageBreakBefore w:val="0"/>
        <w:widowControl w:val="0"/>
        <w:kinsoku/>
        <w:wordWrap/>
        <w:overflowPunct/>
        <w:topLinePunct w:val="0"/>
        <w:autoSpaceDE w:val="0"/>
        <w:autoSpaceDN/>
        <w:bidi w:val="0"/>
        <w:adjustRightInd w:val="0"/>
        <w:spacing w:line="500" w:lineRule="exact"/>
        <w:ind w:left="0" w:leftChars="0" w:firstLine="0" w:firstLineChars="0"/>
        <w:jc w:val="left"/>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五、投标保证金</w:t>
      </w:r>
    </w:p>
    <w:p w14:paraId="333A5B7D">
      <w:pPr>
        <w:keepNext w:val="0"/>
        <w:keepLines w:val="0"/>
        <w:pageBreakBefore w:val="0"/>
        <w:widowControl w:val="0"/>
        <w:kinsoku/>
        <w:wordWrap/>
        <w:overflowPunct/>
        <w:topLinePunct w:val="0"/>
        <w:autoSpaceDN/>
        <w:bidi w:val="0"/>
        <w:adjustRightInd w:val="0"/>
        <w:snapToGrid w:val="0"/>
        <w:spacing w:line="500" w:lineRule="exact"/>
        <w:ind w:firstLine="48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投标保证金：人民币</w:t>
      </w:r>
      <w:r>
        <w:rPr>
          <w:rFonts w:hint="eastAsia" w:ascii="宋体" w:hAnsi="宋体" w:cs="宋体"/>
          <w:color w:val="auto"/>
          <w:spacing w:val="0"/>
          <w:kern w:val="2"/>
          <w:sz w:val="24"/>
          <w:szCs w:val="24"/>
          <w:highlight w:val="none"/>
          <w:lang w:val="en-US" w:eastAsia="zh-CN" w:bidi="ar-SA"/>
        </w:rPr>
        <w:t>69000</w:t>
      </w:r>
      <w:r>
        <w:rPr>
          <w:rFonts w:hint="eastAsia" w:ascii="宋体" w:hAnsi="宋体" w:eastAsia="宋体" w:cs="宋体"/>
          <w:color w:val="auto"/>
          <w:spacing w:val="0"/>
          <w:kern w:val="2"/>
          <w:sz w:val="24"/>
          <w:szCs w:val="24"/>
          <w:highlight w:val="none"/>
          <w:lang w:val="en-US" w:eastAsia="zh-CN" w:bidi="ar-SA"/>
        </w:rPr>
        <w:t>.00元（</w:t>
      </w:r>
      <w:r>
        <w:rPr>
          <w:rFonts w:hint="eastAsia" w:ascii="宋体" w:hAnsi="宋体" w:cs="宋体"/>
          <w:color w:val="auto"/>
          <w:spacing w:val="0"/>
          <w:kern w:val="2"/>
          <w:sz w:val="24"/>
          <w:szCs w:val="24"/>
          <w:highlight w:val="none"/>
          <w:lang w:val="en-US" w:eastAsia="zh-CN" w:bidi="ar-SA"/>
        </w:rPr>
        <w:t>陆</w:t>
      </w:r>
      <w:r>
        <w:rPr>
          <w:rFonts w:hint="eastAsia" w:ascii="宋体" w:hAnsi="宋体" w:eastAsia="宋体" w:cs="宋体"/>
          <w:color w:val="auto"/>
          <w:spacing w:val="0"/>
          <w:kern w:val="2"/>
          <w:sz w:val="24"/>
          <w:szCs w:val="24"/>
          <w:highlight w:val="none"/>
          <w:lang w:val="en-US" w:eastAsia="zh-CN" w:bidi="ar-SA"/>
        </w:rPr>
        <w:fldChar w:fldCharType="begin"/>
      </w:r>
      <w:r>
        <w:rPr>
          <w:rFonts w:hint="eastAsia" w:ascii="宋体" w:hAnsi="宋体" w:eastAsia="宋体" w:cs="宋体"/>
          <w:color w:val="auto"/>
          <w:spacing w:val="0"/>
          <w:kern w:val="2"/>
          <w:sz w:val="24"/>
          <w:szCs w:val="24"/>
          <w:highlight w:val="none"/>
          <w:lang w:val="en-US" w:eastAsia="zh-CN" w:bidi="ar-SA"/>
        </w:rPr>
        <w:instrText xml:space="preserve"> = 100000 \* CHINESENUM4 \* MERGEFORMAT </w:instrText>
      </w:r>
      <w:r>
        <w:rPr>
          <w:rFonts w:hint="eastAsia" w:ascii="宋体" w:hAnsi="宋体" w:eastAsia="宋体" w:cs="宋体"/>
          <w:color w:val="auto"/>
          <w:spacing w:val="0"/>
          <w:kern w:val="2"/>
          <w:sz w:val="24"/>
          <w:szCs w:val="24"/>
          <w:highlight w:val="none"/>
          <w:lang w:val="en-US" w:eastAsia="zh-CN" w:bidi="ar-SA"/>
        </w:rPr>
        <w:fldChar w:fldCharType="separate"/>
      </w:r>
      <w:r>
        <w:rPr>
          <w:rFonts w:hint="eastAsia" w:ascii="宋体" w:hAnsi="宋体" w:eastAsia="宋体" w:cs="宋体"/>
          <w:color w:val="auto"/>
          <w:spacing w:val="0"/>
          <w:kern w:val="2"/>
          <w:sz w:val="24"/>
          <w:szCs w:val="24"/>
          <w:highlight w:val="none"/>
          <w:lang w:val="en-US" w:eastAsia="zh-CN" w:bidi="ar-SA"/>
        </w:rPr>
        <w:t>万</w:t>
      </w:r>
      <w:r>
        <w:rPr>
          <w:rFonts w:hint="eastAsia" w:ascii="宋体" w:hAnsi="宋体" w:cs="宋体"/>
          <w:color w:val="auto"/>
          <w:spacing w:val="0"/>
          <w:kern w:val="2"/>
          <w:sz w:val="24"/>
          <w:szCs w:val="24"/>
          <w:highlight w:val="none"/>
          <w:lang w:val="en-US" w:eastAsia="zh-CN" w:bidi="ar-SA"/>
        </w:rPr>
        <w:t>玖</w:t>
      </w:r>
      <w:r>
        <w:rPr>
          <w:rFonts w:hint="default" w:ascii="宋体" w:hAnsi="宋体" w:cs="宋体"/>
          <w:color w:val="auto"/>
          <w:spacing w:val="0"/>
          <w:kern w:val="2"/>
          <w:sz w:val="24"/>
          <w:szCs w:val="24"/>
          <w:highlight w:val="none"/>
          <w:lang w:eastAsia="zh-CN" w:bidi="ar-SA"/>
          <w:woUserID w:val="1"/>
        </w:rPr>
        <w:t>仟</w:t>
      </w:r>
      <w:r>
        <w:rPr>
          <w:rFonts w:hint="eastAsia" w:ascii="宋体" w:hAnsi="宋体" w:eastAsia="宋体" w:cs="宋体"/>
          <w:color w:val="auto"/>
          <w:spacing w:val="0"/>
          <w:kern w:val="2"/>
          <w:sz w:val="24"/>
          <w:szCs w:val="24"/>
          <w:highlight w:val="none"/>
          <w:lang w:val="en-US" w:eastAsia="zh-CN" w:bidi="ar-SA"/>
        </w:rPr>
        <w:t>元整</w:t>
      </w:r>
      <w:r>
        <w:rPr>
          <w:rFonts w:hint="eastAsia" w:ascii="宋体" w:hAnsi="宋体" w:eastAsia="宋体" w:cs="宋体"/>
          <w:color w:val="auto"/>
          <w:spacing w:val="0"/>
          <w:kern w:val="2"/>
          <w:sz w:val="24"/>
          <w:szCs w:val="24"/>
          <w:highlight w:val="none"/>
          <w:lang w:val="en-US" w:eastAsia="zh-CN" w:bidi="ar-SA"/>
        </w:rPr>
        <w:fldChar w:fldCharType="end"/>
      </w:r>
      <w:r>
        <w:rPr>
          <w:rFonts w:hint="eastAsia" w:ascii="宋体" w:hAnsi="宋体" w:eastAsia="宋体" w:cs="宋体"/>
          <w:color w:val="auto"/>
          <w:spacing w:val="0"/>
          <w:kern w:val="2"/>
          <w:sz w:val="24"/>
          <w:szCs w:val="24"/>
          <w:highlight w:val="none"/>
          <w:lang w:val="en-US" w:eastAsia="zh-CN" w:bidi="ar-SA"/>
        </w:rPr>
        <w:t xml:space="preserve">）；  </w:t>
      </w:r>
    </w:p>
    <w:p w14:paraId="6318C191">
      <w:pPr>
        <w:autoSpaceDE w:val="0"/>
        <w:autoSpaceDN w:val="0"/>
        <w:spacing w:line="440" w:lineRule="exact"/>
        <w:ind w:firstLine="480" w:firstLineChars="20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 xml:space="preserve">投标人应于2025年 </w:t>
      </w:r>
      <w:r>
        <w:rPr>
          <w:rFonts w:hint="eastAsia" w:ascii="宋体" w:hAnsi="宋体" w:cs="宋体"/>
          <w:color w:val="auto"/>
          <w:spacing w:val="0"/>
          <w:kern w:val="2"/>
          <w:sz w:val="24"/>
          <w:szCs w:val="24"/>
          <w:highlight w:val="none"/>
          <w:lang w:val="en-US" w:eastAsia="zh-CN" w:bidi="ar-SA"/>
        </w:rPr>
        <w:t xml:space="preserve">8 </w:t>
      </w:r>
      <w:r>
        <w:rPr>
          <w:rFonts w:hint="eastAsia" w:ascii="宋体" w:hAnsi="宋体" w:eastAsia="宋体" w:cs="宋体"/>
          <w:color w:val="auto"/>
          <w:spacing w:val="0"/>
          <w:kern w:val="2"/>
          <w:sz w:val="24"/>
          <w:szCs w:val="24"/>
          <w:highlight w:val="none"/>
          <w:lang w:val="en-US" w:eastAsia="zh-CN" w:bidi="ar-SA"/>
        </w:rPr>
        <w:t xml:space="preserve">月 </w:t>
      </w:r>
      <w:r>
        <w:rPr>
          <w:rFonts w:hint="eastAsia" w:ascii="宋体" w:hAnsi="宋体" w:cs="宋体"/>
          <w:color w:val="auto"/>
          <w:spacing w:val="0"/>
          <w:kern w:val="2"/>
          <w:sz w:val="24"/>
          <w:szCs w:val="24"/>
          <w:highlight w:val="none"/>
          <w:lang w:val="en-US" w:eastAsia="zh-CN" w:bidi="ar-SA"/>
        </w:rPr>
        <w:t>4</w:t>
      </w:r>
      <w:r>
        <w:rPr>
          <w:rFonts w:hint="eastAsia" w:ascii="宋体" w:hAnsi="宋体" w:eastAsia="宋体" w:cs="宋体"/>
          <w:color w:val="auto"/>
          <w:spacing w:val="0"/>
          <w:kern w:val="2"/>
          <w:sz w:val="24"/>
          <w:szCs w:val="24"/>
          <w:highlight w:val="none"/>
          <w:lang w:val="en-US" w:eastAsia="zh-CN" w:bidi="ar-SA"/>
        </w:rPr>
        <w:t xml:space="preserve"> 日16：00时前将投标保证金以电汇、转账、网上银行交至</w:t>
      </w:r>
      <w:r>
        <w:rPr>
          <w:rFonts w:hint="eastAsia" w:ascii="Times New Roman" w:hAnsi="Times New Roman" w:eastAsia="宋体" w:cs="Times New Roman"/>
          <w:bCs/>
          <w:color w:val="auto"/>
          <w:kern w:val="2"/>
          <w:sz w:val="24"/>
          <w:szCs w:val="24"/>
          <w:highlight w:val="none"/>
          <w:lang w:val="en-US" w:eastAsia="zh-CN" w:bidi="ar-SA"/>
        </w:rPr>
        <w:t>浙江明业项目管理有限公司嵊州分公司</w:t>
      </w:r>
      <w:r>
        <w:rPr>
          <w:rFonts w:hint="eastAsia" w:ascii="宋体" w:hAnsi="宋体" w:eastAsia="宋体" w:cs="宋体"/>
          <w:color w:val="auto"/>
          <w:spacing w:val="0"/>
          <w:kern w:val="2"/>
          <w:sz w:val="24"/>
          <w:szCs w:val="24"/>
          <w:highlight w:val="none"/>
          <w:lang w:val="en-US" w:eastAsia="zh-CN" w:bidi="ar-SA"/>
        </w:rPr>
        <w:t>，投标保证金以到账时间为准。</w:t>
      </w:r>
      <w:r>
        <w:rPr>
          <w:rFonts w:hint="eastAsia" w:ascii="宋体" w:hAnsi="宋体" w:eastAsia="宋体" w:cs="宋体"/>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54D07679">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户 名：浙江明业项目管理有限公司嵊州分公司</w:t>
      </w:r>
    </w:p>
    <w:p w14:paraId="70DB5C8D">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开户银行：中国银行嵊州城东支行</w:t>
      </w:r>
    </w:p>
    <w:p w14:paraId="43A4AAF7">
      <w:pPr>
        <w:pStyle w:val="68"/>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20" w:lineRule="exact"/>
        <w:ind w:left="0" w:right="0" w:firstLine="480" w:firstLineChars="200"/>
        <w:textAlignment w:val="bottom"/>
        <w:rPr>
          <w:rFonts w:hint="eastAsia" w:ascii="宋体" w:hAnsi="宋体" w:cs="宋体"/>
          <w:b/>
          <w:color w:val="auto"/>
          <w:kern w:val="0"/>
          <w:sz w:val="24"/>
          <w:szCs w:val="24"/>
          <w:highlight w:val="none"/>
        </w:rPr>
      </w:pPr>
      <w:r>
        <w:rPr>
          <w:rFonts w:hint="eastAsia" w:ascii="Times New Roman" w:hAnsi="Times New Roman" w:eastAsia="宋体" w:cs="Times New Roman"/>
          <w:bCs/>
          <w:color w:val="auto"/>
          <w:kern w:val="2"/>
          <w:sz w:val="24"/>
          <w:szCs w:val="24"/>
          <w:highlight w:val="none"/>
          <w:lang w:val="en-US" w:eastAsia="zh-CN" w:bidi="ar-SA"/>
        </w:rPr>
        <w:t>银行账号：367 558 339 668</w:t>
      </w:r>
    </w:p>
    <w:p w14:paraId="3AAF5E1A">
      <w:pPr>
        <w:keepNext w:val="0"/>
        <w:keepLines w:val="0"/>
        <w:pageBreakBefore w:val="0"/>
        <w:widowControl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投标保证金的退还：未中标的投标人的投标保证金将在中标通知书发出之日起3个工作日内退还，中标人的投标保证金在中标人与招标人签订采购合同后5个工作日内退还。</w:t>
      </w:r>
    </w:p>
    <w:p w14:paraId="2FFA2DB5">
      <w:pPr>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p>
    <w:p w14:paraId="1105842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5F8779F">
      <w:pPr>
        <w:keepNext w:val="0"/>
        <w:keepLines w:val="0"/>
        <w:pageBreakBefore w:val="0"/>
        <w:widowControl/>
        <w:kinsoku/>
        <w:wordWrap/>
        <w:overflowPunct/>
        <w:topLinePunct w:val="0"/>
        <w:autoSpaceDE/>
        <w:autoSpaceDN/>
        <w:bidi w:val="0"/>
        <w:adjustRightInd/>
        <w:snapToGrid/>
        <w:spacing w:line="460" w:lineRule="exact"/>
        <w:textAlignment w:val="auto"/>
        <w:rPr>
          <w:bCs/>
          <w:color w:val="auto"/>
          <w:highlight w:val="none"/>
        </w:rPr>
      </w:pPr>
      <w:r>
        <w:rPr>
          <w:rFonts w:hint="eastAsia" w:ascii="宋体" w:hAnsi="宋体" w:cs="宋体"/>
          <w:b/>
          <w:bCs/>
          <w:color w:val="auto"/>
          <w:spacing w:val="6"/>
          <w:szCs w:val="24"/>
          <w:highlight w:val="none"/>
          <w:lang w:val="en-US" w:eastAsia="zh-CN"/>
        </w:rPr>
        <w:t>七</w:t>
      </w:r>
      <w:r>
        <w:rPr>
          <w:rFonts w:hint="eastAsia" w:ascii="宋体" w:hAnsi="宋体" w:cs="宋体"/>
          <w:b/>
          <w:bCs/>
          <w:color w:val="auto"/>
          <w:spacing w:val="6"/>
          <w:szCs w:val="24"/>
          <w:highlight w:val="none"/>
        </w:rPr>
        <w:t>、其他补充事宜</w:t>
      </w:r>
    </w:p>
    <w:p w14:paraId="641B1D28">
      <w:pPr>
        <w:pStyle w:val="27"/>
        <w:keepNext w:val="0"/>
        <w:keepLines w:val="0"/>
        <w:pageBreakBefore w:val="0"/>
        <w:widowControl/>
        <w:numPr>
          <w:ilvl w:val="0"/>
          <w:numId w:val="4"/>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w:t>
      </w:r>
      <w:r>
        <w:rPr>
          <w:rFonts w:hint="eastAsia" w:ascii="宋体" w:hAnsi="宋体" w:eastAsia="宋体" w:cs="宋体"/>
          <w:color w:val="auto"/>
          <w:szCs w:val="24"/>
          <w:highlight w:val="none"/>
        </w:rPr>
        <w:t>可以在答复期满后十五个工作日</w:t>
      </w:r>
      <w:r>
        <w:rPr>
          <w:rFonts w:hint="eastAsia" w:ascii="宋体" w:hAnsi="宋体" w:eastAsia="宋体" w:cs="宋体"/>
          <w:color w:val="auto"/>
          <w:szCs w:val="24"/>
          <w:highlight w:val="none"/>
          <w:lang w:val="en-US" w:eastAsia="zh-CN"/>
        </w:rPr>
        <w:t>内根据嵊国资委【2023】1号文件的规定</w:t>
      </w:r>
      <w:r>
        <w:rPr>
          <w:rFonts w:hint="eastAsia" w:ascii="宋体" w:hAnsi="宋体" w:eastAsia="宋体" w:cs="宋体"/>
          <w:color w:val="auto"/>
          <w:szCs w:val="24"/>
          <w:highlight w:val="none"/>
        </w:rPr>
        <w:t>提出投诉。</w:t>
      </w:r>
    </w:p>
    <w:p w14:paraId="09C5580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电子招投标的说明：①电子招投标：本项目以数据电文形式，依托“乐采云平台（www.lecaiyun.com）”进行招投标活动，不接受纸质投标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在线下载一电子交易端”进行下载并安装；③招标文件的获取：使用账号登录或者使用CA登录乐采云平台（www.lecaiyun.com）；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乐采云平台“服务中心-帮助文档-项目采购-操作流程-电子招投标-采购项目电子交易管理操作指南-供应商”。</w:t>
      </w:r>
    </w:p>
    <w:p w14:paraId="199EEEBB">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、对本次采购提出询问、质疑、投诉，请按以下方式联系</w:t>
      </w:r>
    </w:p>
    <w:p w14:paraId="005BC0F9">
      <w:pPr>
        <w:pStyle w:val="3"/>
        <w:tabs>
          <w:tab w:val="left" w:pos="432"/>
        </w:tabs>
        <w:spacing w:line="440" w:lineRule="exact"/>
        <w:ind w:left="0" w:firstLine="482" w:firstLineChars="200"/>
        <w:rPr>
          <w:rFonts w:hint="eastAsia" w:ascii="宋体" w:hAnsi="宋体" w:eastAsia="宋体" w:cs="宋体"/>
          <w:color w:val="auto"/>
          <w:sz w:val="24"/>
          <w:szCs w:val="24"/>
          <w:highlight w:val="none"/>
        </w:rPr>
      </w:pPr>
      <w:bookmarkStart w:id="18" w:name="_Toc35393806"/>
      <w:bookmarkStart w:id="19" w:name="_Toc35393637"/>
      <w:bookmarkStart w:id="20" w:name="_Toc28359019"/>
      <w:bookmarkStart w:id="21" w:name="_Toc28359096"/>
      <w:r>
        <w:rPr>
          <w:rFonts w:hint="eastAsia" w:ascii="宋体" w:hAnsi="宋体" w:eastAsia="宋体" w:cs="宋体"/>
          <w:color w:val="auto"/>
          <w:sz w:val="24"/>
          <w:szCs w:val="24"/>
          <w:highlight w:val="none"/>
        </w:rPr>
        <w:t>1.采购人信息</w:t>
      </w:r>
      <w:bookmarkEnd w:id="18"/>
      <w:bookmarkEnd w:id="19"/>
      <w:bookmarkEnd w:id="20"/>
      <w:bookmarkEnd w:id="21"/>
      <w:r>
        <w:rPr>
          <w:rFonts w:hint="eastAsia" w:ascii="宋体" w:hAnsi="宋体" w:eastAsia="宋体" w:cs="宋体"/>
          <w:color w:val="auto"/>
          <w:sz w:val="24"/>
          <w:szCs w:val="24"/>
          <w:highlight w:val="none"/>
        </w:rPr>
        <w:t>：</w:t>
      </w:r>
    </w:p>
    <w:p w14:paraId="7C830DDE">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val="en-US" w:eastAsia="zh-CN"/>
        </w:rPr>
        <w:t>嵊州市城市建设投资发展集团有限公司</w:t>
      </w:r>
    </w:p>
    <w:p w14:paraId="138FA285">
      <w:pPr>
        <w:widowControl/>
        <w:shd w:val="clear" w:color="auto" w:fill="FFFFFF"/>
        <w:spacing w:line="460" w:lineRule="exact"/>
        <w:ind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highlight w:val="none"/>
          <w:lang w:val="en-US" w:eastAsia="zh-CN"/>
        </w:rPr>
        <w:t>嵊州市三江街道惠民街18号</w:t>
      </w:r>
    </w:p>
    <w:p w14:paraId="5DE77911">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p>
    <w:p w14:paraId="1759F059">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default" w:ascii="宋体" w:hAnsi="宋体" w:cs="宋体"/>
          <w:color w:val="auto"/>
          <w:sz w:val="24"/>
          <w:szCs w:val="24"/>
          <w:highlight w:val="none"/>
          <w:woUserID w:val="1"/>
        </w:rPr>
        <w:t>刘工</w:t>
      </w:r>
    </w:p>
    <w:p w14:paraId="1DE883D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bookmarkStart w:id="22" w:name="_Toc28359020"/>
      <w:bookmarkStart w:id="23" w:name="_Toc28359097"/>
      <w:bookmarkStart w:id="24" w:name="_Toc35393807"/>
      <w:bookmarkStart w:id="25" w:name="_Toc35393638"/>
      <w:r>
        <w:rPr>
          <w:rFonts w:hint="eastAsia" w:ascii="宋体" w:hAnsi="宋体" w:cs="宋体"/>
          <w:color w:val="auto"/>
          <w:sz w:val="24"/>
          <w:szCs w:val="24"/>
          <w:highlight w:val="none"/>
          <w:lang w:val="en-US" w:eastAsia="zh-CN"/>
        </w:rPr>
        <w:t>0575-</w:t>
      </w:r>
      <w:r>
        <w:rPr>
          <w:rFonts w:hint="eastAsia" w:ascii="宋体" w:hAnsi="宋体" w:eastAsia="宋体" w:cs="宋体"/>
          <w:b w:val="0"/>
          <w:bCs w:val="0"/>
          <w:i w:val="0"/>
          <w:iCs w:val="0"/>
          <w:color w:val="auto"/>
          <w:sz w:val="24"/>
          <w:szCs w:val="24"/>
          <w:highlight w:val="none"/>
          <w:u w:val="none"/>
          <w:lang w:val="en-US" w:eastAsia="zh-CN"/>
        </w:rPr>
        <w:t>83335812</w:t>
      </w:r>
    </w:p>
    <w:p w14:paraId="4A72C22D">
      <w:pPr>
        <w:pStyle w:val="3"/>
        <w:numPr>
          <w:ilvl w:val="0"/>
          <w:numId w:val="4"/>
        </w:numPr>
        <w:tabs>
          <w:tab w:val="left" w:pos="432"/>
          <w:tab w:val="clear" w:pos="312"/>
        </w:tabs>
        <w:spacing w:line="440" w:lineRule="exact"/>
        <w:ind w:left="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bookmarkEnd w:id="22"/>
      <w:bookmarkEnd w:id="23"/>
      <w:bookmarkEnd w:id="24"/>
      <w:bookmarkEnd w:id="25"/>
      <w:r>
        <w:rPr>
          <w:rFonts w:hint="eastAsia" w:ascii="宋体" w:hAnsi="宋体" w:eastAsia="宋体" w:cs="宋体"/>
          <w:color w:val="auto"/>
          <w:sz w:val="24"/>
          <w:szCs w:val="24"/>
          <w:highlight w:val="none"/>
        </w:rPr>
        <w:t>：</w:t>
      </w:r>
    </w:p>
    <w:p w14:paraId="2D49069B">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woUserID w:val="1"/>
        </w:rPr>
      </w:pPr>
      <w:r>
        <w:rPr>
          <w:rFonts w:hint="eastAsia"/>
          <w:bCs/>
          <w:color w:val="auto"/>
          <w:szCs w:val="24"/>
          <w:highlight w:val="none"/>
          <w:woUserID w:val="1"/>
        </w:rPr>
        <w:t> </w:t>
      </w:r>
      <w:r>
        <w:rPr>
          <w:bCs/>
          <w:color w:val="auto"/>
          <w:szCs w:val="24"/>
          <w:highlight w:val="none"/>
          <w:woUserID w:val="1"/>
        </w:rPr>
        <w:t xml:space="preserve">   </w:t>
      </w:r>
      <w:r>
        <w:rPr>
          <w:rFonts w:hint="eastAsia"/>
          <w:bCs/>
          <w:color w:val="auto"/>
          <w:szCs w:val="24"/>
          <w:highlight w:val="none"/>
          <w:woUserID w:val="1"/>
        </w:rPr>
        <w:t>名   称：浙江</w:t>
      </w:r>
      <w:r>
        <w:rPr>
          <w:bCs/>
          <w:color w:val="auto"/>
          <w:szCs w:val="24"/>
          <w:highlight w:val="none"/>
          <w:woUserID w:val="1"/>
        </w:rPr>
        <w:t>明业项目管理有限公司</w:t>
      </w:r>
      <w:r>
        <w:rPr>
          <w:rFonts w:hint="eastAsia"/>
          <w:bCs/>
          <w:color w:val="auto"/>
          <w:szCs w:val="24"/>
          <w:highlight w:val="none"/>
          <w:woUserID w:val="1"/>
        </w:rPr>
        <w:t>       </w:t>
      </w:r>
    </w:p>
    <w:p w14:paraId="11E593A7">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woUserID w:val="1"/>
        </w:rPr>
      </w:pPr>
      <w:r>
        <w:rPr>
          <w:rFonts w:hint="eastAsia"/>
          <w:bCs/>
          <w:color w:val="auto"/>
          <w:szCs w:val="24"/>
          <w:highlight w:val="none"/>
          <w:woUserID w:val="1"/>
        </w:rPr>
        <w:t> </w:t>
      </w:r>
      <w:r>
        <w:rPr>
          <w:bCs/>
          <w:color w:val="auto"/>
          <w:szCs w:val="24"/>
          <w:highlight w:val="none"/>
          <w:woUserID w:val="1"/>
        </w:rPr>
        <w:t xml:space="preserve">   </w:t>
      </w:r>
      <w:r>
        <w:rPr>
          <w:rFonts w:hint="eastAsia"/>
          <w:bCs/>
          <w:color w:val="auto"/>
          <w:szCs w:val="24"/>
          <w:highlight w:val="none"/>
          <w:woUserID w:val="1"/>
        </w:rPr>
        <w:t>地   址：嵊州市</w:t>
      </w:r>
      <w:r>
        <w:rPr>
          <w:bCs/>
          <w:color w:val="auto"/>
          <w:szCs w:val="24"/>
          <w:highlight w:val="none"/>
          <w:woUserID w:val="1"/>
        </w:rPr>
        <w:t>官河南路</w:t>
      </w:r>
      <w:r>
        <w:rPr>
          <w:rFonts w:hint="eastAsia"/>
          <w:bCs/>
          <w:color w:val="auto"/>
          <w:szCs w:val="24"/>
          <w:highlight w:val="none"/>
          <w:woUserID w:val="1"/>
        </w:rPr>
        <w:t>489号君泰大厦北楼14层       </w:t>
      </w:r>
    </w:p>
    <w:p w14:paraId="256A2ADD">
      <w:pPr>
        <w:keepNext w:val="0"/>
        <w:keepLines w:val="0"/>
        <w:pageBreakBefore w:val="0"/>
        <w:widowControl/>
        <w:kinsoku/>
        <w:wordWrap/>
        <w:overflowPunct/>
        <w:topLinePunct w:val="0"/>
        <w:autoSpaceDE/>
        <w:autoSpaceDN/>
        <w:bidi w:val="0"/>
        <w:adjustRightInd/>
        <w:snapToGrid/>
        <w:spacing w:line="480" w:lineRule="exact"/>
        <w:jc w:val="left"/>
        <w:textAlignment w:val="auto"/>
        <w:rPr>
          <w:bCs/>
          <w:color w:val="auto"/>
          <w:szCs w:val="24"/>
          <w:highlight w:val="none"/>
          <w:woUserID w:val="1"/>
        </w:rPr>
      </w:pPr>
      <w:r>
        <w:rPr>
          <w:rFonts w:hint="eastAsia"/>
          <w:bCs/>
          <w:color w:val="auto"/>
          <w:szCs w:val="24"/>
          <w:highlight w:val="none"/>
          <w:woUserID w:val="1"/>
        </w:rPr>
        <w:t> </w:t>
      </w:r>
      <w:r>
        <w:rPr>
          <w:bCs/>
          <w:color w:val="auto"/>
          <w:szCs w:val="24"/>
          <w:highlight w:val="none"/>
          <w:woUserID w:val="1"/>
        </w:rPr>
        <w:t xml:space="preserve"> </w:t>
      </w:r>
      <w:r>
        <w:rPr>
          <w:rFonts w:hint="eastAsia"/>
          <w:bCs/>
          <w:color w:val="auto"/>
          <w:szCs w:val="24"/>
          <w:highlight w:val="none"/>
          <w:lang w:val="en-US" w:eastAsia="zh-CN"/>
          <w:woUserID w:val="1"/>
        </w:rPr>
        <w:t xml:space="preserve"> </w:t>
      </w:r>
      <w:r>
        <w:rPr>
          <w:bCs/>
          <w:color w:val="auto"/>
          <w:szCs w:val="24"/>
          <w:highlight w:val="none"/>
          <w:woUserID w:val="1"/>
        </w:rPr>
        <w:t xml:space="preserve"> </w:t>
      </w:r>
      <w:r>
        <w:rPr>
          <w:rFonts w:hint="eastAsia"/>
          <w:bCs/>
          <w:color w:val="auto"/>
          <w:szCs w:val="24"/>
          <w:highlight w:val="none"/>
          <w:woUserID w:val="1"/>
        </w:rPr>
        <w:t>联系人</w:t>
      </w:r>
      <w:r>
        <w:rPr>
          <w:rFonts w:hint="eastAsia"/>
          <w:bCs/>
          <w:color w:val="auto"/>
          <w:szCs w:val="24"/>
          <w:highlight w:val="none"/>
          <w:lang w:val="en-US" w:eastAsia="zh-CN"/>
          <w:woUserID w:val="1"/>
        </w:rPr>
        <w:t>：</w:t>
      </w:r>
      <w:r>
        <w:rPr>
          <w:rFonts w:hint="eastAsia"/>
          <w:bCs/>
          <w:color w:val="auto"/>
          <w:szCs w:val="24"/>
          <w:highlight w:val="none"/>
          <w:woUserID w:val="1"/>
        </w:rPr>
        <w:t>任  燕   </w:t>
      </w:r>
    </w:p>
    <w:p w14:paraId="575B423E">
      <w:pPr>
        <w:spacing w:line="440" w:lineRule="exact"/>
        <w:ind w:firstLine="480" w:firstLineChars="200"/>
        <w:rPr>
          <w:rFonts w:hint="eastAsia"/>
          <w:bCs/>
          <w:color w:val="auto"/>
          <w:szCs w:val="24"/>
          <w:highlight w:val="none"/>
          <w:woUserID w:val="1"/>
        </w:rPr>
      </w:pPr>
      <w:r>
        <w:rPr>
          <w:rFonts w:hint="eastAsia"/>
          <w:bCs/>
          <w:color w:val="auto"/>
          <w:szCs w:val="24"/>
          <w:highlight w:val="none"/>
          <w:woUserID w:val="1"/>
        </w:rPr>
        <w:t>联系方式：0575-83338198   13757539220 </w:t>
      </w:r>
    </w:p>
    <w:p w14:paraId="763CE7FE">
      <w:pPr>
        <w:spacing w:line="440" w:lineRule="exact"/>
        <w:ind w:firstLine="480" w:firstLineChars="200"/>
        <w:rPr>
          <w:rFonts w:hint="eastAsia" w:ascii="宋体" w:hAnsi="宋体" w:eastAsia="宋体" w:cs="宋体"/>
          <w:color w:val="auto"/>
          <w:sz w:val="24"/>
          <w:szCs w:val="24"/>
          <w:highlight w:val="none"/>
          <w:woUserID w:val="1"/>
        </w:rPr>
      </w:pPr>
      <w:r>
        <w:rPr>
          <w:rFonts w:hint="eastAsia" w:ascii="宋体" w:hAnsi="宋体" w:eastAsia="宋体" w:cs="宋体"/>
          <w:color w:val="auto"/>
          <w:sz w:val="24"/>
          <w:szCs w:val="24"/>
          <w:highlight w:val="none"/>
          <w:woUserID w:val="1"/>
        </w:rPr>
        <w:t>质疑联系人：</w:t>
      </w:r>
      <w:r>
        <w:rPr>
          <w:rFonts w:hint="eastAsia" w:ascii="宋体" w:hAnsi="宋体" w:cs="宋体"/>
          <w:color w:val="auto"/>
          <w:sz w:val="24"/>
          <w:szCs w:val="24"/>
          <w:highlight w:val="none"/>
          <w:lang w:val="en-US" w:eastAsia="zh-CN"/>
          <w:woUserID w:val="1"/>
        </w:rPr>
        <w:t>董玲玲</w:t>
      </w:r>
      <w:r>
        <w:rPr>
          <w:rFonts w:hint="eastAsia" w:ascii="宋体" w:hAnsi="宋体" w:eastAsia="宋体" w:cs="宋体"/>
          <w:color w:val="auto"/>
          <w:sz w:val="24"/>
          <w:szCs w:val="24"/>
          <w:highlight w:val="none"/>
          <w:woUserID w:val="1"/>
        </w:rPr>
        <w:t xml:space="preserve">             </w:t>
      </w:r>
    </w:p>
    <w:p w14:paraId="71D9920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woUserID w:val="1"/>
        </w:rPr>
        <w:t>质疑联系方式：</w:t>
      </w:r>
      <w:r>
        <w:rPr>
          <w:rFonts w:hint="eastAsia" w:ascii="宋体" w:hAnsi="宋体" w:cs="宋体"/>
          <w:color w:val="auto"/>
          <w:sz w:val="24"/>
          <w:szCs w:val="24"/>
          <w:highlight w:val="none"/>
          <w:lang w:val="en-US" w:eastAsia="zh-CN"/>
          <w:woUserID w:val="1"/>
        </w:rPr>
        <w:t>18957531591</w:t>
      </w:r>
    </w:p>
    <w:p w14:paraId="7F6A54EE">
      <w:pPr>
        <w:numPr>
          <w:ilvl w:val="0"/>
          <w:numId w:val="4"/>
        </w:numPr>
        <w:ind w:firstLine="480" w:firstLineChars="200"/>
        <w:rPr>
          <w:rFonts w:hint="eastAsia"/>
          <w:color w:val="auto"/>
          <w:highlight w:val="none"/>
        </w:rPr>
      </w:pPr>
      <w:r>
        <w:rPr>
          <w:rFonts w:hint="default"/>
          <w:color w:val="auto"/>
          <w:highlight w:val="none"/>
          <w:woUserID w:val="1"/>
        </w:rPr>
        <w:t>监督人信息</w:t>
      </w:r>
    </w:p>
    <w:p w14:paraId="48AD4564">
      <w:pPr>
        <w:spacing w:line="440" w:lineRule="exact"/>
        <w:ind w:firstLine="480" w:firstLineChars="200"/>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woUserID w:val="1"/>
        </w:rPr>
        <w:t>名称：</w:t>
      </w:r>
      <w:r>
        <w:rPr>
          <w:rFonts w:hint="eastAsia" w:ascii="宋体" w:hAnsi="宋体" w:cs="宋体"/>
          <w:color w:val="auto"/>
          <w:sz w:val="24"/>
          <w:szCs w:val="24"/>
          <w:highlight w:val="none"/>
          <w:lang w:val="en-US" w:eastAsia="zh-CN"/>
          <w:woUserID w:val="1"/>
        </w:rPr>
        <w:t>嵊州市城市建设投资发展集团有限公司</w:t>
      </w:r>
    </w:p>
    <w:p w14:paraId="3D861B74">
      <w:pPr>
        <w:widowControl/>
        <w:shd w:val="clear" w:color="auto" w:fill="FFFFFF"/>
        <w:spacing w:line="460" w:lineRule="exact"/>
        <w:ind w:firstLine="480"/>
        <w:jc w:val="left"/>
        <w:rPr>
          <w:rFonts w:hint="eastAsia" w:ascii="宋体" w:hAnsi="宋体" w:eastAsia="宋体" w:cs="宋体"/>
          <w:color w:val="auto"/>
          <w:highlight w:val="none"/>
          <w:woUserID w:val="1"/>
        </w:rPr>
      </w:pPr>
      <w:r>
        <w:rPr>
          <w:rFonts w:hint="eastAsia" w:ascii="宋体" w:hAnsi="宋体" w:eastAsia="宋体" w:cs="宋体"/>
          <w:color w:val="auto"/>
          <w:sz w:val="24"/>
          <w:szCs w:val="24"/>
          <w:highlight w:val="none"/>
          <w:woUserID w:val="1"/>
        </w:rPr>
        <w:t>地址：</w:t>
      </w:r>
      <w:r>
        <w:rPr>
          <w:rFonts w:hint="eastAsia" w:ascii="宋体" w:hAnsi="宋体" w:eastAsia="宋体" w:cs="宋体"/>
          <w:color w:val="auto"/>
          <w:highlight w:val="none"/>
          <w:lang w:val="en-US" w:eastAsia="zh-CN"/>
          <w:woUserID w:val="1"/>
        </w:rPr>
        <w:t>嵊州市三江街道市惠民街18号</w:t>
      </w:r>
    </w:p>
    <w:p w14:paraId="63200D29">
      <w:pPr>
        <w:spacing w:line="440" w:lineRule="exact"/>
        <w:ind w:firstLine="480" w:firstLineChars="200"/>
        <w:rPr>
          <w:rFonts w:hint="eastAsia" w:ascii="宋体" w:hAnsi="宋体" w:eastAsia="宋体" w:cs="宋体"/>
          <w:color w:val="auto"/>
          <w:sz w:val="24"/>
          <w:szCs w:val="24"/>
          <w:highlight w:val="none"/>
          <w:lang w:val="en-US" w:eastAsia="zh-CN"/>
          <w:woUserID w:val="1"/>
        </w:rPr>
      </w:pPr>
      <w:r>
        <w:rPr>
          <w:rFonts w:hint="eastAsia" w:ascii="宋体" w:hAnsi="宋体" w:eastAsia="宋体" w:cs="宋体"/>
          <w:color w:val="auto"/>
          <w:sz w:val="24"/>
          <w:szCs w:val="24"/>
          <w:highlight w:val="none"/>
          <w:woUserID w:val="1"/>
        </w:rPr>
        <w:t>传真：</w:t>
      </w:r>
      <w:r>
        <w:rPr>
          <w:rFonts w:hint="eastAsia" w:ascii="宋体" w:hAnsi="宋体" w:eastAsia="宋体" w:cs="宋体"/>
          <w:color w:val="auto"/>
          <w:sz w:val="24"/>
          <w:szCs w:val="24"/>
          <w:highlight w:val="none"/>
          <w:lang w:val="en-US" w:eastAsia="zh-CN"/>
          <w:woUserID w:val="1"/>
        </w:rPr>
        <w:t>/</w:t>
      </w:r>
    </w:p>
    <w:p w14:paraId="487A496B">
      <w:pPr>
        <w:spacing w:line="440" w:lineRule="exact"/>
        <w:ind w:firstLine="480" w:firstLineChars="200"/>
        <w:rPr>
          <w:rFonts w:hint="eastAsia" w:ascii="宋体" w:hAnsi="宋体" w:eastAsia="宋体" w:cs="宋体"/>
          <w:color w:val="auto"/>
          <w:sz w:val="24"/>
          <w:szCs w:val="24"/>
          <w:highlight w:val="none"/>
          <w:lang w:val="en-US" w:eastAsia="zh-CN"/>
          <w:woUserID w:val="1"/>
        </w:rPr>
      </w:pPr>
      <w:r>
        <w:rPr>
          <w:rFonts w:hint="default" w:ascii="宋体" w:hAnsi="宋体" w:eastAsia="宋体" w:cs="宋体"/>
          <w:color w:val="auto"/>
          <w:sz w:val="24"/>
          <w:szCs w:val="24"/>
          <w:highlight w:val="none"/>
          <w:woUserID w:val="1"/>
        </w:rPr>
        <w:t>监督</w:t>
      </w:r>
      <w:r>
        <w:rPr>
          <w:rFonts w:hint="eastAsia" w:ascii="宋体" w:hAnsi="宋体" w:eastAsia="宋体" w:cs="宋体"/>
          <w:color w:val="auto"/>
          <w:sz w:val="24"/>
          <w:szCs w:val="24"/>
          <w:highlight w:val="none"/>
          <w:woUserID w:val="1"/>
        </w:rPr>
        <w:t>人：</w:t>
      </w:r>
      <w:r>
        <w:rPr>
          <w:rFonts w:hint="default" w:ascii="宋体" w:hAnsi="宋体" w:eastAsia="宋体" w:cs="宋体"/>
          <w:color w:val="auto"/>
          <w:sz w:val="24"/>
          <w:szCs w:val="24"/>
          <w:highlight w:val="none"/>
          <w:woUserID w:val="1"/>
        </w:rPr>
        <w:t>黄女士</w:t>
      </w:r>
      <w:r>
        <w:rPr>
          <w:rFonts w:hint="eastAsia" w:ascii="宋体" w:hAnsi="宋体" w:cs="宋体"/>
          <w:color w:val="auto"/>
          <w:sz w:val="24"/>
          <w:szCs w:val="24"/>
          <w:highlight w:val="none"/>
          <w:lang w:val="en-US" w:eastAsia="zh-CN"/>
          <w:woUserID w:val="1"/>
        </w:rPr>
        <w:t>/张先生</w:t>
      </w:r>
    </w:p>
    <w:p w14:paraId="77EB9936">
      <w:pPr>
        <w:spacing w:line="440" w:lineRule="exact"/>
        <w:ind w:firstLine="480" w:firstLineChars="200"/>
        <w:rPr>
          <w:rFonts w:hint="default" w:ascii="宋体" w:hAnsi="宋体" w:eastAsia="宋体" w:cs="宋体"/>
          <w:color w:val="auto"/>
          <w:sz w:val="24"/>
          <w:szCs w:val="24"/>
          <w:highlight w:val="none"/>
          <w:lang w:val="en-US"/>
          <w:woUserID w:val="1"/>
        </w:rPr>
      </w:pPr>
      <w:r>
        <w:rPr>
          <w:rFonts w:hint="default" w:ascii="宋体" w:hAnsi="宋体" w:eastAsia="宋体" w:cs="宋体"/>
          <w:color w:val="auto"/>
          <w:sz w:val="24"/>
          <w:szCs w:val="24"/>
          <w:highlight w:val="none"/>
          <w:woUserID w:val="1"/>
        </w:rPr>
        <w:t>监督人联系方式</w:t>
      </w:r>
      <w:r>
        <w:rPr>
          <w:rFonts w:hint="eastAsia" w:ascii="宋体" w:hAnsi="宋体" w:eastAsia="宋体" w:cs="宋体"/>
          <w:color w:val="auto"/>
          <w:sz w:val="24"/>
          <w:szCs w:val="24"/>
          <w:highlight w:val="none"/>
          <w:woUserID w:val="1"/>
        </w:rPr>
        <w:t>：</w:t>
      </w:r>
      <w:r>
        <w:rPr>
          <w:rFonts w:hint="eastAsia" w:ascii="宋体" w:hAnsi="宋体" w:cs="宋体"/>
          <w:color w:val="auto"/>
          <w:sz w:val="24"/>
          <w:szCs w:val="24"/>
          <w:highlight w:val="none"/>
          <w:lang w:val="en-US" w:eastAsia="zh-CN"/>
          <w:woUserID w:val="1"/>
        </w:rPr>
        <w:t>0575-</w:t>
      </w:r>
      <w:r>
        <w:rPr>
          <w:rFonts w:hint="eastAsia" w:ascii="宋体" w:hAnsi="宋体" w:eastAsia="宋体" w:cs="宋体"/>
          <w:b w:val="0"/>
          <w:bCs w:val="0"/>
          <w:i w:val="0"/>
          <w:iCs w:val="0"/>
          <w:color w:val="auto"/>
          <w:sz w:val="24"/>
          <w:szCs w:val="24"/>
          <w:highlight w:val="none"/>
          <w:u w:val="none"/>
          <w:lang w:val="en-US" w:eastAsia="zh-CN"/>
          <w:woUserID w:val="1"/>
        </w:rPr>
        <w:t>83</w:t>
      </w:r>
      <w:r>
        <w:rPr>
          <w:rFonts w:hint="eastAsia" w:ascii="宋体" w:hAnsi="宋体" w:cs="宋体"/>
          <w:b w:val="0"/>
          <w:bCs w:val="0"/>
          <w:i w:val="0"/>
          <w:iCs w:val="0"/>
          <w:color w:val="auto"/>
          <w:sz w:val="24"/>
          <w:szCs w:val="24"/>
          <w:highlight w:val="none"/>
          <w:u w:val="none"/>
          <w:lang w:val="en-US" w:eastAsia="zh-CN"/>
          <w:woUserID w:val="1"/>
        </w:rPr>
        <w:t>221069</w:t>
      </w:r>
    </w:p>
    <w:p w14:paraId="37300111">
      <w:pPr>
        <w:numPr>
          <w:ilvl w:val="-1"/>
          <w:numId w:val="0"/>
        </w:numPr>
        <w:ind w:firstLine="0" w:firstLineChars="0"/>
        <w:rPr>
          <w:rFonts w:hint="eastAsia"/>
          <w:color w:val="auto"/>
          <w:highlight w:val="none"/>
        </w:rPr>
      </w:pPr>
    </w:p>
    <w:p w14:paraId="46718F1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若对项目采购电子交易系统操作有疑问，可登录乐采云（https://www.lecaiyun.com/），点击右侧咨询小采，获取采小蜜智能服务管家帮助，或拨打乐采云服务热线95763获取热线服务帮助。      </w:t>
      </w:r>
    </w:p>
    <w:p w14:paraId="6E09A95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19ABC3DD">
      <w:pPr>
        <w:widowControl/>
        <w:adjustRightInd/>
        <w:jc w:val="left"/>
        <w:rPr>
          <w:rFonts w:hint="eastAsia" w:ascii="宋体" w:hAnsi="宋体" w:eastAsia="宋体" w:cs="宋体"/>
          <w:b/>
          <w:bCs/>
          <w:color w:val="auto"/>
          <w:kern w:val="0"/>
          <w:sz w:val="36"/>
          <w:highlight w:val="none"/>
        </w:rPr>
      </w:pPr>
      <w:r>
        <w:rPr>
          <w:rFonts w:hint="eastAsia" w:ascii="仿宋" w:hAnsi="仿宋" w:eastAsia="仿宋" w:cs="仿宋"/>
          <w:b/>
          <w:color w:val="auto"/>
          <w:sz w:val="36"/>
          <w:szCs w:val="20"/>
          <w:highlight w:val="none"/>
        </w:rPr>
        <w:br w:type="page"/>
      </w:r>
    </w:p>
    <w:p w14:paraId="0B9AE5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第二部分 投标须知</w:t>
      </w:r>
    </w:p>
    <w:p w14:paraId="5B552D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kern w:val="0"/>
          <w:sz w:val="36"/>
          <w:highlight w:val="none"/>
        </w:rPr>
      </w:pPr>
      <w:bookmarkStart w:id="26" w:name="_Hlk47616320"/>
      <w:r>
        <w:rPr>
          <w:rFonts w:hint="eastAsia" w:ascii="宋体" w:hAnsi="宋体" w:eastAsia="宋体" w:cs="宋体"/>
          <w:b/>
          <w:bCs/>
          <w:color w:val="auto"/>
          <w:kern w:val="0"/>
          <w:sz w:val="36"/>
          <w:highlight w:val="none"/>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60"/>
        <w:gridCol w:w="7223"/>
      </w:tblGrid>
      <w:tr w14:paraId="0F82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5A63FF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83" w:type="dxa"/>
            <w:gridSpan w:val="2"/>
            <w:vAlign w:val="center"/>
          </w:tcPr>
          <w:p w14:paraId="00853BA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73C0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E0C3F6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83" w:type="dxa"/>
            <w:gridSpan w:val="2"/>
            <w:vAlign w:val="center"/>
          </w:tcPr>
          <w:p w14:paraId="23372C30">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投标人按照项目要求</w:t>
            </w:r>
            <w:r>
              <w:rPr>
                <w:rFonts w:hint="eastAsia" w:ascii="宋体" w:hAnsi="宋体" w:eastAsia="宋体" w:cs="宋体"/>
                <w:b/>
                <w:color w:val="auto"/>
                <w:sz w:val="24"/>
                <w:szCs w:val="24"/>
                <w:highlight w:val="none"/>
              </w:rPr>
              <w:t>特许资格、资信证明文件（如果有）：</w:t>
            </w:r>
          </w:p>
          <w:p w14:paraId="2C51CB01">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2D4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7A4FA2C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83" w:type="dxa"/>
            <w:gridSpan w:val="2"/>
            <w:vAlign w:val="center"/>
          </w:tcPr>
          <w:p w14:paraId="59048B07">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w:t>
            </w:r>
          </w:p>
          <w:p w14:paraId="17EFED72">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1.资格后审。</w:t>
            </w:r>
          </w:p>
          <w:p w14:paraId="36F8D04F">
            <w:pPr>
              <w:keepNext w:val="0"/>
              <w:keepLines w:val="0"/>
              <w:pageBreakBefore w:val="0"/>
              <w:widowControl w:val="0"/>
              <w:kinsoku/>
              <w:wordWrap/>
              <w:overflowPunct/>
              <w:topLinePunct w:val="0"/>
              <w:bidi w:val="0"/>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w:t>
            </w:r>
            <w:r>
              <w:rPr>
                <w:rFonts w:hint="eastAsia" w:ascii="宋体" w:hAnsi="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w:t>
            </w:r>
          </w:p>
        </w:tc>
      </w:tr>
      <w:tr w14:paraId="7078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D3BA13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83" w:type="dxa"/>
            <w:gridSpan w:val="2"/>
            <w:vAlign w:val="center"/>
          </w:tcPr>
          <w:p w14:paraId="44FC64D1">
            <w:pPr>
              <w:keepNext w:val="0"/>
              <w:keepLines w:val="0"/>
              <w:pageBreakBefore w:val="0"/>
              <w:widowControl w:val="0"/>
              <w:kinsoku/>
              <w:wordWrap/>
              <w:overflowPunct/>
              <w:topLinePunct w:val="0"/>
              <w:autoSpaceDE w:val="0"/>
              <w:autoSpaceDN w:val="0"/>
              <w:bidi w:val="0"/>
              <w:spacing w:line="500" w:lineRule="exact"/>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投标有效期：</w:t>
            </w:r>
            <w:r>
              <w:rPr>
                <w:rFonts w:hint="eastAsia" w:ascii="宋体" w:hAnsi="宋体" w:eastAsia="宋体" w:cs="宋体"/>
                <w:color w:val="auto"/>
                <w:sz w:val="24"/>
                <w:szCs w:val="24"/>
                <w:highlight w:val="none"/>
              </w:rPr>
              <w:t>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tc>
      </w:tr>
      <w:tr w14:paraId="65F0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12E47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483" w:type="dxa"/>
            <w:gridSpan w:val="2"/>
            <w:vAlign w:val="center"/>
          </w:tcPr>
          <w:p w14:paraId="17699494">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转包：</w:t>
            </w:r>
            <w:r>
              <w:rPr>
                <w:rFonts w:hint="eastAsia" w:ascii="宋体" w:hAnsi="宋体" w:eastAsia="宋体" w:cs="宋体"/>
                <w:color w:val="auto"/>
                <w:sz w:val="24"/>
                <w:szCs w:val="24"/>
                <w:highlight w:val="none"/>
              </w:rPr>
              <w:t>本项目不得转包。</w:t>
            </w:r>
          </w:p>
        </w:tc>
      </w:tr>
      <w:tr w14:paraId="049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3D37F86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83" w:type="dxa"/>
            <w:gridSpan w:val="2"/>
            <w:vAlign w:val="center"/>
          </w:tcPr>
          <w:p w14:paraId="58C01736">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分包：</w:t>
            </w:r>
            <w:r>
              <w:rPr>
                <w:rFonts w:hint="eastAsia" w:ascii="宋体" w:hAnsi="宋体" w:eastAsia="宋体" w:cs="宋体"/>
                <w:b w:val="0"/>
                <w:bCs/>
                <w:color w:val="auto"/>
                <w:sz w:val="24"/>
                <w:szCs w:val="24"/>
                <w:highlight w:val="none"/>
                <w:lang w:val="en-US" w:eastAsia="zh-CN"/>
              </w:rPr>
              <w:t>不同意分包。</w:t>
            </w:r>
          </w:p>
        </w:tc>
      </w:tr>
      <w:tr w14:paraId="4280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725CF80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483" w:type="dxa"/>
            <w:gridSpan w:val="2"/>
            <w:vAlign w:val="center"/>
          </w:tcPr>
          <w:p w14:paraId="57B98B4D">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投标文件份数：</w:t>
            </w:r>
            <w:r>
              <w:rPr>
                <w:rFonts w:hint="eastAsia" w:ascii="宋体" w:hAnsi="宋体" w:eastAsia="宋体" w:cs="宋体"/>
                <w:color w:val="auto"/>
                <w:sz w:val="24"/>
                <w:szCs w:val="24"/>
                <w:highlight w:val="none"/>
              </w:rPr>
              <w:t>本项目实行网上投标，供应商于“</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采云”上提供电子投标文件。</w:t>
            </w:r>
          </w:p>
        </w:tc>
      </w:tr>
      <w:tr w14:paraId="39BA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05809E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483" w:type="dxa"/>
            <w:gridSpan w:val="2"/>
            <w:vAlign w:val="center"/>
          </w:tcPr>
          <w:p w14:paraId="1A5D94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726ABA0E">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A不组织</w:t>
            </w:r>
          </w:p>
          <w:p w14:paraId="1A7224A4">
            <w:pPr>
              <w:keepNext w:val="0"/>
              <w:keepLines w:val="0"/>
              <w:pageBreakBefore w:val="0"/>
              <w:widowControl w:val="0"/>
              <w:kinsoku/>
              <w:wordWrap/>
              <w:overflowPunct/>
              <w:topLinePunct w:val="0"/>
              <w:bidi w:val="0"/>
              <w:spacing w:line="500" w:lineRule="exact"/>
              <w:rPr>
                <w:rFonts w:hint="default" w:ascii="宋体" w:hAnsi="宋体" w:eastAsia="宋体" w:cs="宋体"/>
                <w:b/>
                <w:color w:val="auto"/>
                <w:sz w:val="24"/>
                <w:szCs w:val="24"/>
                <w:highlight w:val="none"/>
                <w:lang w:val="en-US" w:eastAsia="zh-CN"/>
              </w:rPr>
            </w:pPr>
            <w:sdt>
              <w:sdtPr>
                <w:rPr>
                  <w:rFonts w:hint="eastAsia" w:ascii="仿宋" w:hAnsi="仿宋" w:eastAsia="仿宋" w:cs="仿宋"/>
                  <w:color w:val="auto"/>
                  <w:kern w:val="0"/>
                  <w:sz w:val="24"/>
                  <w:szCs w:val="22"/>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B组织</w:t>
            </w:r>
          </w:p>
        </w:tc>
      </w:tr>
      <w:tr w14:paraId="620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236D7BE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483" w:type="dxa"/>
            <w:gridSpan w:val="2"/>
            <w:vAlign w:val="center"/>
          </w:tcPr>
          <w:p w14:paraId="0A024583">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p w14:paraId="2643C8C4">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仿宋" w:hAnsi="仿宋" w:eastAsia="仿宋" w:cs="仿宋"/>
                <w:color w:val="auto"/>
                <w:sz w:val="24"/>
                <w:szCs w:val="22"/>
                <w:highlight w:val="none"/>
              </w:rPr>
            </w:pPr>
            <w:sdt>
              <w:sdtPr>
                <w:rPr>
                  <w:rFonts w:hint="eastAsia" w:ascii="仿宋" w:hAnsi="仿宋" w:eastAsia="仿宋" w:cs="仿宋"/>
                  <w:color w:val="auto"/>
                  <w:kern w:val="0"/>
                  <w:sz w:val="24"/>
                  <w:szCs w:val="22"/>
                  <w:highlight w:val="none"/>
                </w:rPr>
                <w:id w:val="14746743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宋体" w:hAnsi="宋体" w:eastAsia="宋体" w:cs="宋体"/>
                <w:color w:val="auto"/>
                <w:sz w:val="24"/>
                <w:szCs w:val="22"/>
                <w:highlight w:val="none"/>
              </w:rPr>
              <w:t>不要求提供</w:t>
            </w:r>
            <w:r>
              <w:rPr>
                <w:rFonts w:hint="eastAsia" w:ascii="仿宋" w:hAnsi="仿宋" w:eastAsia="仿宋" w:cs="仿宋"/>
                <w:color w:val="auto"/>
                <w:sz w:val="24"/>
                <w:szCs w:val="22"/>
                <w:highlight w:val="none"/>
              </w:rPr>
              <w:t>。</w:t>
            </w:r>
          </w:p>
          <w:p w14:paraId="243D13D1">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sdt>
              <w:sdtPr>
                <w:rPr>
                  <w:rFonts w:hint="eastAsia" w:ascii="仿宋" w:hAnsi="仿宋" w:eastAsia="仿宋" w:cs="仿宋"/>
                  <w:color w:val="auto"/>
                  <w:kern w:val="0"/>
                  <w:sz w:val="24"/>
                  <w:szCs w:val="22"/>
                  <w:highlight w:val="none"/>
                </w:rPr>
                <w:id w:val="14747483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2"/>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Theme="majorEastAsia" w:hAnsiTheme="majorEastAsia" w:eastAsiaTheme="majorEastAsia" w:cstheme="majorEastAsia"/>
                <w:color w:val="auto"/>
                <w:kern w:val="0"/>
                <w:sz w:val="24"/>
                <w:szCs w:val="22"/>
                <w:highlight w:val="none"/>
              </w:rPr>
              <w:t>要求提供，</w:t>
            </w:r>
          </w:p>
          <w:p w14:paraId="31875A0A">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（1）</w:t>
            </w:r>
            <w:r>
              <w:rPr>
                <w:rFonts w:hint="eastAsia" w:asciiTheme="majorEastAsia" w:hAnsiTheme="majorEastAsia" w:eastAsiaTheme="majorEastAsia" w:cstheme="majorEastAsia"/>
                <w:snapToGrid w:val="0"/>
                <w:color w:val="auto"/>
                <w:kern w:val="28"/>
                <w:sz w:val="24"/>
                <w:szCs w:val="22"/>
                <w:highlight w:val="none"/>
              </w:rPr>
              <w:t>样品：</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p>
          <w:p w14:paraId="63FD2E71">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（2）</w:t>
            </w:r>
            <w:r>
              <w:rPr>
                <w:rFonts w:hint="eastAsia" w:asciiTheme="majorEastAsia" w:hAnsiTheme="majorEastAsia" w:eastAsiaTheme="majorEastAsia" w:cstheme="majorEastAsia"/>
                <w:snapToGrid w:val="0"/>
                <w:color w:val="auto"/>
                <w:kern w:val="28"/>
                <w:sz w:val="24"/>
                <w:szCs w:val="22"/>
                <w:highlight w:val="none"/>
              </w:rPr>
              <w:t>样品制作的标准和要求：</w:t>
            </w:r>
            <w:r>
              <w:rPr>
                <w:rFonts w:hint="eastAsia" w:asciiTheme="majorEastAsia" w:hAnsiTheme="majorEastAsia" w:eastAsiaTheme="majorEastAsia" w:cstheme="majorEastAsia"/>
                <w:color w:val="auto"/>
                <w:sz w:val="24"/>
                <w:szCs w:val="22"/>
                <w:highlight w:val="none"/>
                <w:u w:val="single"/>
                <w:lang w:eastAsia="zh-CN"/>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第三部分项目招标范围及服务要求</w:t>
            </w:r>
            <w:r>
              <w:rPr>
                <w:rFonts w:hint="eastAsia" w:asciiTheme="majorEastAsia" w:hAnsiTheme="majorEastAsia" w:eastAsiaTheme="majorEastAsia" w:cstheme="majorEastAsia"/>
                <w:color w:val="auto"/>
                <w:kern w:val="0"/>
                <w:sz w:val="24"/>
                <w:szCs w:val="22"/>
                <w:highlight w:val="none"/>
              </w:rPr>
              <w:t>；</w:t>
            </w:r>
          </w:p>
          <w:p w14:paraId="3EA43513">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（3）样品的评审方法以及评审标准</w:t>
            </w:r>
            <w:r>
              <w:rPr>
                <w:rFonts w:hint="eastAsia" w:asciiTheme="majorEastAsia" w:hAnsiTheme="majorEastAsia" w:eastAsiaTheme="majorEastAsia" w:cstheme="majorEastAsia"/>
                <w:snapToGrid w:val="0"/>
                <w:color w:val="auto"/>
                <w:kern w:val="28"/>
                <w:sz w:val="24"/>
                <w:szCs w:val="22"/>
                <w:highlight w:val="none"/>
              </w:rPr>
              <w:t>：详见</w:t>
            </w:r>
            <w:r>
              <w:rPr>
                <w:rFonts w:hint="eastAsia" w:asciiTheme="majorEastAsia" w:hAnsiTheme="majorEastAsia" w:eastAsiaTheme="majorEastAsia" w:cstheme="majorEastAsia"/>
                <w:snapToGrid w:val="0"/>
                <w:color w:val="auto"/>
                <w:kern w:val="28"/>
                <w:sz w:val="24"/>
                <w:szCs w:val="22"/>
                <w:highlight w:val="none"/>
                <w:u w:val="single"/>
                <w:lang w:val="en-US" w:eastAsia="zh-CN"/>
              </w:rPr>
              <w:t>第四部分</w:t>
            </w:r>
            <w:r>
              <w:rPr>
                <w:rFonts w:hint="eastAsia" w:asciiTheme="majorEastAsia" w:hAnsiTheme="majorEastAsia" w:eastAsiaTheme="majorEastAsia" w:cstheme="majorEastAsia"/>
                <w:color w:val="auto"/>
                <w:sz w:val="24"/>
                <w:szCs w:val="22"/>
                <w:highlight w:val="none"/>
                <w:u w:val="single"/>
              </w:rPr>
              <w:t>评标办法</w:t>
            </w:r>
            <w:r>
              <w:rPr>
                <w:rFonts w:hint="eastAsia" w:asciiTheme="majorEastAsia" w:hAnsiTheme="majorEastAsia" w:eastAsiaTheme="majorEastAsia" w:cstheme="majorEastAsia"/>
                <w:color w:val="auto"/>
                <w:kern w:val="0"/>
                <w:sz w:val="24"/>
                <w:szCs w:val="22"/>
                <w:highlight w:val="none"/>
              </w:rPr>
              <w:t>；</w:t>
            </w:r>
          </w:p>
          <w:p w14:paraId="7EA9CF21">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kern w:val="0"/>
                <w:sz w:val="24"/>
                <w:szCs w:val="22"/>
                <w:highlight w:val="none"/>
              </w:rPr>
            </w:pPr>
            <w:r>
              <w:rPr>
                <w:rFonts w:hint="eastAsia" w:asciiTheme="majorEastAsia" w:hAnsiTheme="majorEastAsia" w:eastAsiaTheme="majorEastAsia" w:cstheme="majorEastAsia"/>
                <w:color w:val="auto"/>
                <w:kern w:val="0"/>
                <w:sz w:val="24"/>
                <w:szCs w:val="22"/>
                <w:highlight w:val="none"/>
              </w:rPr>
              <w:t>（4）是否需要随样品提交检测报告：</w:t>
            </w:r>
            <w:sdt>
              <w:sdtPr>
                <w:rPr>
                  <w:rFonts w:hint="eastAsia" w:asciiTheme="majorEastAsia" w:hAnsiTheme="majorEastAsia" w:eastAsiaTheme="majorEastAsia" w:cstheme="majorEastAsia"/>
                  <w:color w:val="auto"/>
                  <w:kern w:val="0"/>
                  <w:sz w:val="24"/>
                  <w:szCs w:val="22"/>
                  <w:highlight w:val="none"/>
                </w:rPr>
                <w:id w:val="1303421454"/>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Wingdings" w:hAnsi="Wingdings" w:eastAsiaTheme="majorEastAsia" w:cstheme="majorEastAsia"/>
                    <w:color w:val="auto"/>
                    <w:kern w:val="0"/>
                    <w:sz w:val="24"/>
                    <w:szCs w:val="22"/>
                    <w:highlight w:val="none"/>
                    <w:lang w:val="en-US" w:eastAsia="zh-CN" w:bidi="ar-SA"/>
                  </w:rPr>
                  <w:t>þ</w:t>
                </w:r>
              </w:sdtContent>
            </w:sdt>
            <w:r>
              <w:rPr>
                <w:rFonts w:hint="eastAsia" w:asciiTheme="majorEastAsia" w:hAnsiTheme="majorEastAsia" w:eastAsiaTheme="majorEastAsia" w:cstheme="majorEastAsia"/>
                <w:color w:val="auto"/>
                <w:kern w:val="0"/>
                <w:sz w:val="24"/>
                <w:szCs w:val="22"/>
                <w:highlight w:val="none"/>
              </w:rPr>
              <w:t>否；</w:t>
            </w:r>
            <w:sdt>
              <w:sdtPr>
                <w:rPr>
                  <w:rFonts w:hint="eastAsia" w:asciiTheme="majorEastAsia" w:hAnsiTheme="majorEastAsia" w:eastAsiaTheme="majorEastAsia" w:cstheme="majorEastAsia"/>
                  <w:color w:val="auto"/>
                  <w:kern w:val="0"/>
                  <w:sz w:val="24"/>
                  <w:szCs w:val="22"/>
                  <w:highlight w:val="none"/>
                </w:rPr>
                <w:id w:val="1621728433"/>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szCs w:val="22"/>
                  <w:highlight w:val="none"/>
                </w:rPr>
              </w:sdtEndPr>
              <w:sdtContent>
                <w:r>
                  <w:rPr>
                    <w:rFonts w:hint="eastAsia" w:ascii="MS Gothic" w:hAnsi="MS Gothic" w:eastAsiaTheme="majorEastAsia" w:cstheme="majorEastAsia"/>
                    <w:color w:val="auto"/>
                    <w:kern w:val="0"/>
                    <w:sz w:val="24"/>
                    <w:szCs w:val="22"/>
                    <w:highlight w:val="none"/>
                    <w:lang w:val="en-US" w:eastAsia="zh-CN" w:bidi="ar-SA"/>
                  </w:rPr>
                  <w:t>☐</w:t>
                </w:r>
              </w:sdtContent>
            </w:sdt>
            <w:r>
              <w:rPr>
                <w:rFonts w:hint="eastAsia" w:asciiTheme="majorEastAsia" w:hAnsiTheme="majorEastAsia" w:eastAsiaTheme="majorEastAsia" w:cstheme="majorEastAsia"/>
                <w:color w:val="auto"/>
                <w:kern w:val="0"/>
                <w:sz w:val="24"/>
                <w:szCs w:val="22"/>
                <w:highlight w:val="none"/>
              </w:rPr>
              <w:t>是，检测机构的要求</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；检测内容</w:t>
            </w:r>
            <w:r>
              <w:rPr>
                <w:rFonts w:hint="eastAsia" w:asciiTheme="majorEastAsia" w:hAnsiTheme="majorEastAsia" w:eastAsiaTheme="majorEastAsia" w:cstheme="majorEastAsia"/>
                <w:color w:val="auto"/>
                <w:sz w:val="24"/>
                <w:szCs w:val="22"/>
                <w:highlight w:val="none"/>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sz w:val="24"/>
                <w:szCs w:val="22"/>
                <w:highlight w:val="none"/>
                <w:u w:val="single"/>
                <w:lang w:val="en-US" w:eastAsia="zh-CN"/>
              </w:rPr>
              <w:t>/</w:t>
            </w:r>
            <w:r>
              <w:rPr>
                <w:rFonts w:hint="eastAsia" w:asciiTheme="majorEastAsia" w:hAnsiTheme="majorEastAsia" w:eastAsiaTheme="majorEastAsia" w:cstheme="majorEastAsia"/>
                <w:color w:val="auto"/>
                <w:sz w:val="24"/>
                <w:szCs w:val="22"/>
                <w:highlight w:val="none"/>
                <w:u w:val="single"/>
              </w:rPr>
              <w:t xml:space="preserve">  </w:t>
            </w:r>
            <w:r>
              <w:rPr>
                <w:rFonts w:hint="eastAsia" w:asciiTheme="majorEastAsia" w:hAnsiTheme="majorEastAsia" w:eastAsiaTheme="majorEastAsia" w:cstheme="majorEastAsia"/>
                <w:color w:val="auto"/>
                <w:kern w:val="0"/>
                <w:sz w:val="24"/>
                <w:szCs w:val="22"/>
                <w:highlight w:val="none"/>
              </w:rPr>
              <w:t>。</w:t>
            </w:r>
          </w:p>
          <w:p w14:paraId="06E38E5F">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（5）提供样品的时间：</w:t>
            </w:r>
            <w:r>
              <w:rPr>
                <w:rFonts w:hint="eastAsia" w:ascii="宋体" w:hAnsi="宋体"/>
                <w:color w:val="auto"/>
                <w:highlight w:val="none"/>
                <w:u w:val="single"/>
                <w:lang w:val="en-US" w:eastAsia="zh-CN"/>
              </w:rPr>
              <w:t xml:space="preserve">2025 </w:t>
            </w:r>
            <w:r>
              <w:rPr>
                <w:rFonts w:ascii="宋体" w:hAnsi="宋体"/>
                <w:color w:val="auto"/>
                <w:highlight w:val="none"/>
              </w:rPr>
              <w:t>年</w:t>
            </w:r>
            <w:r>
              <w:rPr>
                <w:rFonts w:hint="eastAsia" w:ascii="宋体" w:hAnsi="宋体"/>
                <w:color w:val="auto"/>
                <w:highlight w:val="none"/>
                <w:u w:val="single"/>
                <w:lang w:val="en-US" w:eastAsia="zh-CN"/>
              </w:rPr>
              <w:t xml:space="preserve"> 8 </w:t>
            </w:r>
            <w:r>
              <w:rPr>
                <w:rFonts w:ascii="宋体" w:hAnsi="宋体"/>
                <w:color w:val="auto"/>
                <w:highlight w:val="none"/>
              </w:rPr>
              <w:t>月</w:t>
            </w:r>
            <w:r>
              <w:rPr>
                <w:rFonts w:hint="eastAsia" w:ascii="宋体" w:hAnsi="宋体"/>
                <w:color w:val="auto"/>
                <w:highlight w:val="none"/>
                <w:u w:val="single"/>
                <w:lang w:val="en-US" w:eastAsia="zh-CN"/>
              </w:rPr>
              <w:t xml:space="preserve"> 5 </w:t>
            </w:r>
            <w:r>
              <w:rPr>
                <w:rFonts w:ascii="宋体" w:hAnsi="宋体"/>
                <w:color w:val="auto"/>
                <w:highlight w:val="none"/>
              </w:rPr>
              <w:t>日</w:t>
            </w:r>
            <w:r>
              <w:rPr>
                <w:rFonts w:hint="eastAsia" w:ascii="宋体" w:hAnsi="宋体"/>
                <w:color w:val="auto"/>
                <w:highlight w:val="none"/>
                <w:u w:val="single"/>
                <w:lang w:val="en-US" w:eastAsia="zh-CN"/>
              </w:rPr>
              <w:t xml:space="preserve"> 9:00</w:t>
            </w:r>
            <w:r>
              <w:rPr>
                <w:rFonts w:hint="eastAsia" w:ascii="宋体" w:hAnsi="宋体"/>
                <w:color w:val="auto"/>
                <w:highlight w:val="none"/>
              </w:rPr>
              <w:t>时</w:t>
            </w:r>
            <w:r>
              <w:rPr>
                <w:rFonts w:hint="eastAsia" w:ascii="宋体" w:hAnsi="宋体"/>
                <w:color w:val="auto"/>
                <w:highlight w:val="none"/>
                <w:lang w:val="en-US" w:eastAsia="zh-CN"/>
              </w:rPr>
              <w:t>前</w:t>
            </w:r>
            <w:r>
              <w:rPr>
                <w:rFonts w:hint="eastAsia" w:asciiTheme="majorEastAsia" w:hAnsiTheme="majorEastAsia" w:eastAsiaTheme="majorEastAsia" w:cstheme="majorEastAsia"/>
                <w:color w:val="auto"/>
                <w:sz w:val="24"/>
                <w:szCs w:val="22"/>
                <w:highlight w:val="none"/>
              </w:rPr>
              <w:t>；地点：</w:t>
            </w:r>
            <w:r>
              <w:rPr>
                <w:rFonts w:hint="eastAsia"/>
                <w:bCs/>
                <w:color w:val="auto"/>
                <w:szCs w:val="24"/>
                <w:highlight w:val="none"/>
                <w:woUserID w:val="1"/>
              </w:rPr>
              <w:t>嵊州市</w:t>
            </w:r>
            <w:r>
              <w:rPr>
                <w:bCs/>
                <w:color w:val="auto"/>
                <w:szCs w:val="24"/>
                <w:highlight w:val="none"/>
                <w:woUserID w:val="1"/>
              </w:rPr>
              <w:t>官河南路</w:t>
            </w:r>
            <w:r>
              <w:rPr>
                <w:rFonts w:hint="eastAsia"/>
                <w:bCs/>
                <w:color w:val="auto"/>
                <w:szCs w:val="24"/>
                <w:highlight w:val="none"/>
                <w:woUserID w:val="1"/>
              </w:rPr>
              <w:t>489号君泰大厦北楼14层  </w:t>
            </w:r>
            <w:r>
              <w:rPr>
                <w:color w:val="auto"/>
                <w:highlight w:val="none"/>
              </w:rPr>
              <w:t>（</w:t>
            </w:r>
            <w:r>
              <w:rPr>
                <w:rFonts w:hint="eastAsia"/>
                <w:color w:val="auto"/>
                <w:highlight w:val="none"/>
                <w:lang w:val="en-US" w:eastAsia="zh-CN"/>
              </w:rPr>
              <w:t>浙江明业项目管理有限公司</w:t>
            </w:r>
            <w:r>
              <w:rPr>
                <w:color w:val="auto"/>
                <w:highlight w:val="none"/>
              </w:rPr>
              <w:t>）</w:t>
            </w:r>
            <w:r>
              <w:rPr>
                <w:rFonts w:hint="eastAsia"/>
                <w:color w:val="auto"/>
                <w:highlight w:val="none"/>
                <w:lang w:eastAsia="zh-CN"/>
              </w:rPr>
              <w:t>。</w:t>
            </w:r>
            <w:r>
              <w:rPr>
                <w:rFonts w:hint="eastAsia" w:asciiTheme="majorEastAsia" w:hAnsiTheme="majorEastAsia" w:eastAsiaTheme="majorEastAsia" w:cstheme="majorEastAsia"/>
                <w:color w:val="auto"/>
                <w:sz w:val="24"/>
                <w:szCs w:val="22"/>
                <w:highlight w:val="none"/>
              </w:rPr>
              <w:t>联系人：</w:t>
            </w:r>
            <w:r>
              <w:rPr>
                <w:rFonts w:hint="eastAsia" w:asciiTheme="majorEastAsia" w:hAnsiTheme="majorEastAsia" w:eastAsiaTheme="majorEastAsia" w:cstheme="majorEastAsia"/>
                <w:color w:val="auto"/>
                <w:sz w:val="24"/>
                <w:szCs w:val="22"/>
                <w:highlight w:val="none"/>
                <w:lang w:val="en-US" w:eastAsia="zh-CN"/>
              </w:rPr>
              <w:t>任燕</w:t>
            </w:r>
            <w:r>
              <w:rPr>
                <w:rFonts w:hint="eastAsia" w:asciiTheme="majorEastAsia" w:hAnsiTheme="majorEastAsia" w:eastAsiaTheme="majorEastAsia" w:cstheme="majorEastAsia"/>
                <w:color w:val="auto"/>
                <w:sz w:val="24"/>
                <w:szCs w:val="22"/>
                <w:highlight w:val="none"/>
              </w:rPr>
              <w:t>，联系电话：</w:t>
            </w:r>
            <w:r>
              <w:rPr>
                <w:rFonts w:hint="eastAsia" w:asciiTheme="majorEastAsia" w:hAnsiTheme="majorEastAsia" w:eastAsiaTheme="majorEastAsia" w:cstheme="majorEastAsia"/>
                <w:color w:val="auto"/>
                <w:sz w:val="24"/>
                <w:szCs w:val="22"/>
                <w:highlight w:val="none"/>
                <w:lang w:val="en-US" w:eastAsia="zh-CN"/>
              </w:rPr>
              <w:t>13757539220，由业主代表、监督人进行现场监督。</w:t>
            </w:r>
            <w:r>
              <w:rPr>
                <w:rFonts w:hint="eastAsia" w:asciiTheme="majorEastAsia" w:hAnsiTheme="majorEastAsia" w:eastAsiaTheme="majorEastAsia" w:cstheme="majorEastAsia"/>
                <w:color w:val="auto"/>
                <w:sz w:val="24"/>
                <w:szCs w:val="22"/>
                <w:highlight w:val="none"/>
              </w:rPr>
              <w:t>请投标人在上述时间内提供样品并按规定位置安装完毕。超过截止时间的，采购人或采购代理机构将不予接收，将清场并封闭样品现场。</w:t>
            </w:r>
          </w:p>
          <w:p w14:paraId="53EB30F8">
            <w:pPr>
              <w:keepNext w:val="0"/>
              <w:keepLines w:val="0"/>
              <w:pageBreakBefore w:val="0"/>
              <w:widowControl w:val="0"/>
              <w:suppressLineNumbers w:val="0"/>
              <w:kinsoku/>
              <w:wordWrap/>
              <w:overflowPunct/>
              <w:topLinePunct w:val="0"/>
              <w:bidi w:val="0"/>
              <w:spacing w:before="0" w:beforeAutospacing="0" w:after="0" w:afterAutospacing="0" w:line="420" w:lineRule="exact"/>
              <w:ind w:left="0" w:right="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2"/>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DC5CE2B">
            <w:pPr>
              <w:keepNext w:val="0"/>
              <w:keepLines w:val="0"/>
              <w:pageBreakBefore w:val="0"/>
              <w:widowControl w:val="0"/>
              <w:kinsoku/>
              <w:wordWrap/>
              <w:overflowPunct/>
              <w:topLinePunct w:val="0"/>
              <w:autoSpaceDE w:val="0"/>
              <w:autoSpaceDN w:val="0"/>
              <w:bidi w:val="0"/>
              <w:adjustRightInd w:val="0"/>
              <w:spacing w:line="500" w:lineRule="exact"/>
              <w:jc w:val="left"/>
              <w:rPr>
                <w:rFonts w:hint="eastAsia" w:ascii="宋体" w:hAnsi="宋体" w:eastAsia="宋体" w:cs="宋体"/>
                <w:b/>
                <w:color w:val="auto"/>
                <w:sz w:val="24"/>
                <w:szCs w:val="24"/>
                <w:highlight w:val="none"/>
              </w:rPr>
            </w:pPr>
            <w:r>
              <w:rPr>
                <w:rFonts w:hint="eastAsia" w:asciiTheme="majorEastAsia" w:hAnsiTheme="majorEastAsia" w:eastAsiaTheme="majorEastAsia" w:cstheme="majorEastAsia"/>
                <w:color w:val="auto"/>
                <w:sz w:val="24"/>
                <w:szCs w:val="22"/>
                <w:highlight w:val="none"/>
              </w:rPr>
              <w:t>（7）制作、运输、安装和保管样品所发生的一切费用由投标人自理。</w:t>
            </w:r>
          </w:p>
        </w:tc>
      </w:tr>
      <w:tr w14:paraId="3868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0CA4736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483" w:type="dxa"/>
            <w:gridSpan w:val="2"/>
            <w:vAlign w:val="center"/>
          </w:tcPr>
          <w:p w14:paraId="17797B12">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p w14:paraId="21D65557">
            <w:pPr>
              <w:spacing w:beforeLines="0" w:afterLines="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A无方案讲解演示。</w:t>
            </w:r>
          </w:p>
          <w:p w14:paraId="15E3E9AB">
            <w:pPr>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□B有方案讲解演示：</w:t>
            </w:r>
          </w:p>
          <w:p w14:paraId="3C1CB685">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（1）在评标时安排每个供应商进行方案讲解演示。每个供应商时间不超过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分钟（编制时可根据项目情况进行调整），讲解次序以投标文件解密时间先后次序为准。讲解演示结束后按要求解答评标委员会提问。</w:t>
            </w:r>
          </w:p>
          <w:p w14:paraId="2FFDF3F2">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（2）方案讲解演示可选择以下其中一种方式：</w:t>
            </w:r>
          </w:p>
          <w:p w14:paraId="41E898AF">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方式一：</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采云平台在线讲解演示。</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采云平台在线讲解需供应商根据</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lang w:val="zh-CN"/>
              </w:rPr>
              <w:t>采云平台操作要求做好准备工作，提前完善软硬件配置环境。</w:t>
            </w:r>
          </w:p>
          <w:p w14:paraId="4902311C">
            <w:pPr>
              <w:spacing w:beforeLines="0" w:afterLines="0"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方式二：现场讲解演示。现场讲解地点为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人（编制时可根据项目情况进行调整）。</w:t>
            </w:r>
            <w:r>
              <w:rPr>
                <w:rFonts w:hint="eastAsia" w:ascii="宋体" w:hAnsi="宋体" w:eastAsia="宋体" w:cs="宋体"/>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7A6858D1">
            <w:pPr>
              <w:keepNext w:val="0"/>
              <w:keepLines w:val="0"/>
              <w:pageBreakBefore w:val="0"/>
              <w:widowControl w:val="0"/>
              <w:kinsoku/>
              <w:wordWrap/>
              <w:overflowPunct/>
              <w:topLinePunct w:val="0"/>
              <w:bidi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F12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1AABE05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60" w:type="dxa"/>
            <w:vAlign w:val="center"/>
          </w:tcPr>
          <w:p w14:paraId="7551CA2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进口</w:t>
            </w:r>
          </w:p>
          <w:p w14:paraId="5442BDA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p>
        </w:tc>
        <w:tc>
          <w:tcPr>
            <w:tcW w:w="7223" w:type="dxa"/>
            <w:vAlign w:val="center"/>
          </w:tcPr>
          <w:p w14:paraId="703ED7F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本项目不</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采购进口产品，供应商所提供的货物和服务须在我国境内合法生产、销售。</w:t>
            </w:r>
          </w:p>
        </w:tc>
      </w:tr>
      <w:tr w14:paraId="683D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4676B74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11</w:t>
            </w:r>
          </w:p>
        </w:tc>
        <w:tc>
          <w:tcPr>
            <w:tcW w:w="1260" w:type="dxa"/>
            <w:vAlign w:val="center"/>
          </w:tcPr>
          <w:p w14:paraId="0306E2FB">
            <w:pPr>
              <w:keepNext w:val="0"/>
              <w:keepLines w:val="0"/>
              <w:pageBreakBefore w:val="0"/>
              <w:widowControl w:val="0"/>
              <w:kinsoku/>
              <w:wordWrap/>
              <w:overflowPunct/>
              <w:topLinePunct w:val="0"/>
              <w:bidi w:val="0"/>
              <w:adjustRightInd w:val="0"/>
              <w:snapToGrid w:val="0"/>
              <w:spacing w:line="500" w:lineRule="exact"/>
              <w:ind w:left="14" w:leftChars="0" w:right="0" w:rightChars="0" w:hanging="14" w:hangingChars="7"/>
              <w:rPr>
                <w:rFonts w:hint="eastAsia" w:ascii="仿宋" w:hAnsi="仿宋" w:eastAsia="仿宋" w:cs="仿宋"/>
                <w:b/>
                <w:color w:val="auto"/>
                <w:spacing w:val="-20"/>
                <w:kern w:val="2"/>
                <w:sz w:val="24"/>
                <w:highlight w:val="none"/>
                <w:lang w:val="en-US" w:eastAsia="zh-CN" w:bidi="ar-SA"/>
              </w:rPr>
            </w:pPr>
            <w:r>
              <w:rPr>
                <w:rFonts w:hint="eastAsia" w:ascii="仿宋" w:hAnsi="仿宋" w:eastAsia="仿宋" w:cs="仿宋"/>
                <w:b/>
                <w:color w:val="auto"/>
                <w:spacing w:val="-20"/>
                <w:sz w:val="24"/>
                <w:highlight w:val="none"/>
              </w:rPr>
              <w:t>项目属性与核心产品</w:t>
            </w:r>
          </w:p>
        </w:tc>
        <w:tc>
          <w:tcPr>
            <w:tcW w:w="7223" w:type="dxa"/>
            <w:vAlign w:val="center"/>
          </w:tcPr>
          <w:p w14:paraId="174040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p>
          <w:p w14:paraId="21CFABD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仿宋" w:hAnsi="仿宋" w:eastAsia="仿宋" w:cs="仿宋"/>
                <w:color w:val="auto"/>
                <w:kern w:val="2"/>
                <w:sz w:val="24"/>
                <w:highlight w:val="none"/>
                <w:lang w:val="en-US" w:eastAsia="zh-CN" w:bidi="ar-SA"/>
              </w:rPr>
            </w:pP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4D61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restart"/>
            <w:vAlign w:val="center"/>
          </w:tcPr>
          <w:p w14:paraId="3307D54C">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260" w:type="dxa"/>
            <w:vMerge w:val="restart"/>
            <w:vAlign w:val="center"/>
          </w:tcPr>
          <w:p w14:paraId="33A288BA">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投标人信用信息事项</w:t>
            </w:r>
          </w:p>
        </w:tc>
        <w:tc>
          <w:tcPr>
            <w:tcW w:w="7223" w:type="dxa"/>
            <w:vAlign w:val="center"/>
          </w:tcPr>
          <w:p w14:paraId="3CE96819">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信用信息查询渠道及截止时间：</w:t>
            </w:r>
            <w:r>
              <w:rPr>
                <w:rFonts w:hint="eastAsia" w:ascii="宋体" w:hAnsi="宋体" w:eastAsia="宋体" w:cs="宋体"/>
                <w:color w:val="auto"/>
                <w:sz w:val="24"/>
                <w:szCs w:val="24"/>
                <w:highlight w:val="none"/>
              </w:rPr>
              <w:t>采购人或采购代理机构将通过“信用中国”网站(www.creditchina.gov.cn)、中国政府采购网(www.ccgp.gov.cn)渠道查询投标人</w:t>
            </w:r>
            <w:r>
              <w:rPr>
                <w:rFonts w:hint="eastAsia" w:ascii="宋体" w:hAnsi="宋体" w:eastAsia="宋体" w:cs="宋体"/>
                <w:b/>
                <w:color w:val="auto"/>
                <w:sz w:val="24"/>
                <w:szCs w:val="24"/>
                <w:highlight w:val="none"/>
              </w:rPr>
              <w:t>开标当天</w:t>
            </w:r>
            <w:r>
              <w:rPr>
                <w:rFonts w:hint="eastAsia" w:ascii="宋体" w:hAnsi="宋体" w:eastAsia="宋体" w:cs="宋体"/>
                <w:color w:val="auto"/>
                <w:sz w:val="24"/>
                <w:szCs w:val="24"/>
                <w:highlight w:val="none"/>
              </w:rPr>
              <w:t>的信用记录。</w:t>
            </w:r>
          </w:p>
        </w:tc>
      </w:tr>
      <w:tr w14:paraId="1875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5E892F6F">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7B3BE2CE">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32D2A093">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信用信息查询记录和证据留存的具体方式：</w:t>
            </w:r>
            <w:r>
              <w:rPr>
                <w:rFonts w:hint="eastAsia" w:ascii="宋体" w:hAnsi="宋体" w:eastAsia="宋体" w:cs="宋体"/>
                <w:color w:val="auto"/>
                <w:sz w:val="24"/>
                <w:szCs w:val="24"/>
                <w:highlight w:val="none"/>
              </w:rPr>
              <w:t>采购人或采购代理机构现场查询投标人的信用记录，查询结果经确认后与采购文件一起存档。</w:t>
            </w:r>
          </w:p>
        </w:tc>
      </w:tr>
      <w:tr w14:paraId="2698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Merge w:val="continue"/>
            <w:vAlign w:val="center"/>
          </w:tcPr>
          <w:p w14:paraId="065BB940">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rPr>
            </w:pPr>
          </w:p>
        </w:tc>
        <w:tc>
          <w:tcPr>
            <w:tcW w:w="1260" w:type="dxa"/>
            <w:vMerge w:val="continue"/>
            <w:vAlign w:val="center"/>
          </w:tcPr>
          <w:p w14:paraId="1B574040">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p>
        </w:tc>
        <w:tc>
          <w:tcPr>
            <w:tcW w:w="7223" w:type="dxa"/>
            <w:vAlign w:val="center"/>
          </w:tcPr>
          <w:p w14:paraId="5B4DB872">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信用信息的使用规则：</w:t>
            </w:r>
            <w:r>
              <w:rPr>
                <w:rFonts w:hint="eastAsia" w:ascii="宋体" w:hAnsi="宋体" w:eastAsia="宋体" w:cs="宋体"/>
                <w:color w:val="auto"/>
                <w:sz w:val="24"/>
                <w:szCs w:val="24"/>
                <w:highlight w:val="none"/>
              </w:rPr>
              <w:t>经查询列入失信被执行人名单、重大税收违法案件当事人名单、政府采购严重违法失信行为记录名单的投标人将被拒绝参与采购活动。</w:t>
            </w:r>
          </w:p>
        </w:tc>
      </w:tr>
      <w:tr w14:paraId="129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7" w:type="dxa"/>
            <w:vAlign w:val="center"/>
          </w:tcPr>
          <w:p w14:paraId="14CC17F5">
            <w:pPr>
              <w:keepNext w:val="0"/>
              <w:keepLines w:val="0"/>
              <w:pageBreakBefore w:val="0"/>
              <w:widowControl w:val="0"/>
              <w:kinsoku/>
              <w:wordWrap/>
              <w:overflowPunct/>
              <w:topLinePunct w:val="0"/>
              <w:bidi w:val="0"/>
              <w:adjustRightIn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483" w:type="dxa"/>
            <w:gridSpan w:val="2"/>
            <w:vAlign w:val="center"/>
          </w:tcPr>
          <w:p w14:paraId="01560CDB">
            <w:pPr>
              <w:keepNext w:val="0"/>
              <w:keepLines w:val="0"/>
              <w:pageBreakBefore w:val="0"/>
              <w:widowControl w:val="0"/>
              <w:kinsoku/>
              <w:wordWrap/>
              <w:overflowPunct/>
              <w:topLinePunct w:val="0"/>
              <w:bidi w:val="0"/>
              <w:adjustRightInd/>
              <w:snapToGrid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更正补充公告请自行登录</w:t>
            </w:r>
            <w:r>
              <w:rPr>
                <w:rFonts w:hint="eastAsia" w:ascii="宋体" w:hAnsi="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查看下载。</w:t>
            </w:r>
          </w:p>
        </w:tc>
      </w:tr>
      <w:tr w14:paraId="1BCE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7" w:type="dxa"/>
            <w:vAlign w:val="center"/>
          </w:tcPr>
          <w:p w14:paraId="16EF0F44">
            <w:pPr>
              <w:keepNext w:val="0"/>
              <w:keepLines w:val="0"/>
              <w:pageBreakBefore w:val="0"/>
              <w:widowControl w:val="0"/>
              <w:kinsoku/>
              <w:wordWrap/>
              <w:overflowPunct/>
              <w:topLinePunct w:val="0"/>
              <w:bidi w:val="0"/>
              <w:adjustRightIn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483" w:type="dxa"/>
            <w:gridSpan w:val="2"/>
            <w:vAlign w:val="center"/>
          </w:tcPr>
          <w:p w14:paraId="4790C9C5">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投标与开标注意事项：</w:t>
            </w:r>
          </w:p>
          <w:p w14:paraId="6C1F5F0F">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1.本项目实行网上投标，采用电子投标文件。若供应商参与投标，自行承担投标一切费用。</w:t>
            </w:r>
          </w:p>
          <w:p w14:paraId="2E694A2D">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2.标前准备：各供应商应在开标前完成CA数字证书办理。供应商将</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采云电子交易客户端下载、安装完成后，可通过账号密码或CA登录客户端进行投标文件制作。在使用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采云投标客户端时，建议使用WIN7及以上操作系统。</w:t>
            </w:r>
          </w:p>
          <w:p w14:paraId="72E2F2E7">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采云平台进行绑定，CA相关操作可参考《CA申领操作指南》和《CA管理操作指南》。完成CA数字证书办理在资料齐全的情况下预计7个工作日左右，建议供应商获取招标文件后立即办理。</w:t>
            </w:r>
          </w:p>
          <w:p w14:paraId="6A03515C">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3.投标文件制作、递交、解密：</w:t>
            </w:r>
          </w:p>
          <w:p w14:paraId="52628EB4">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3.1应按照本项目招标文件和</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采云平台的要求编制、加密传输投标文件。供应商在使用系统进行投标的过程中遇到涉及平台使用的任何问题，可致电</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0266FEE6">
            <w:pPr>
              <w:keepNext w:val="0"/>
              <w:keepLines w:val="0"/>
              <w:pageBreakBefore w:val="0"/>
              <w:widowControl w:val="0"/>
              <w:kinsoku/>
              <w:wordWrap/>
              <w:overflowPunct/>
              <w:topLinePunct w:val="0"/>
              <w:bidi w:val="0"/>
              <w:adjustRightInd/>
              <w:snapToGrid w:val="0"/>
              <w:spacing w:line="4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3.2投标人通过“</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采云”平台制作电子投标文件，投标文件制作详见“供应商-采购项目电子交易操作指南：</w:t>
            </w:r>
          </w:p>
          <w:p w14:paraId="030EF1E2">
            <w:pPr>
              <w:keepNext w:val="0"/>
              <w:keepLines w:val="0"/>
              <w:pageBreakBefore w:val="0"/>
              <w:widowControl w:val="0"/>
              <w:kinsoku/>
              <w:wordWrap/>
              <w:overflowPunct/>
              <w:topLinePunct w:val="0"/>
              <w:bidi w:val="0"/>
              <w:adjustRightInd/>
              <w:snapToGri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3.3开标时间后30分钟内供应商可以登录“</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采云”平台，用“项目采购-开标评标”功能进行解密投标文件。若供应商</w:t>
            </w:r>
            <w:r>
              <w:rPr>
                <w:rFonts w:hint="eastAsia" w:ascii="宋体" w:hAnsi="宋体" w:eastAsia="宋体" w:cs="宋体"/>
                <w:b/>
                <w:color w:val="auto"/>
                <w:sz w:val="24"/>
                <w:szCs w:val="24"/>
                <w:highlight w:val="none"/>
                <w:u w:val="single"/>
              </w:rPr>
              <w:t>未按时解密的</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视为投标文件撤回</w:t>
            </w:r>
            <w:r>
              <w:rPr>
                <w:rFonts w:hint="eastAsia" w:ascii="宋体" w:hAnsi="宋体" w:eastAsia="宋体" w:cs="宋体"/>
                <w:color w:val="auto"/>
                <w:sz w:val="24"/>
                <w:szCs w:val="24"/>
                <w:highlight w:val="none"/>
              </w:rPr>
              <w:t>。</w:t>
            </w:r>
          </w:p>
        </w:tc>
      </w:tr>
      <w:tr w14:paraId="104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7" w:type="dxa"/>
            <w:vAlign w:val="center"/>
          </w:tcPr>
          <w:p w14:paraId="6FD272CC">
            <w:pPr>
              <w:keepNext w:val="0"/>
              <w:keepLines w:val="0"/>
              <w:pageBreakBefore w:val="0"/>
              <w:widowControl w:val="0"/>
              <w:kinsoku/>
              <w:wordWrap/>
              <w:overflowPunct/>
              <w:topLinePunct w:val="0"/>
              <w:bidi w:val="0"/>
              <w:adjustRightIn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8483" w:type="dxa"/>
            <w:gridSpan w:val="2"/>
            <w:vAlign w:val="center"/>
          </w:tcPr>
          <w:p w14:paraId="454843A7">
            <w:pPr>
              <w:widowControl/>
              <w:spacing w:line="4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24"/>
                <w:szCs w:val="24"/>
                <w:highlight w:val="none"/>
                <w:lang w:val="en-US" w:eastAsia="zh-CN"/>
              </w:rPr>
              <w:t>1、采购代理服务费</w:t>
            </w:r>
            <w:r>
              <w:rPr>
                <w:rFonts w:hint="default" w:ascii="宋体" w:hAnsi="宋体" w:cs="宋体"/>
                <w:color w:val="auto"/>
                <w:sz w:val="24"/>
                <w:szCs w:val="24"/>
                <w:highlight w:val="none"/>
                <w:lang w:eastAsia="zh-CN"/>
                <w:woUserID w:val="2"/>
              </w:rPr>
              <w:t>及专家费</w:t>
            </w:r>
            <w:r>
              <w:rPr>
                <w:rFonts w:hint="eastAsia" w:ascii="宋体" w:hAnsi="宋体" w:eastAsia="宋体" w:cs="宋体"/>
                <w:color w:val="auto"/>
                <w:sz w:val="24"/>
                <w:szCs w:val="24"/>
                <w:highlight w:val="none"/>
                <w:lang w:val="en-US" w:eastAsia="zh-CN"/>
              </w:rPr>
              <w:t>：</w:t>
            </w:r>
            <w:r>
              <w:rPr>
                <w:rFonts w:hint="default" w:ascii="宋体" w:hAnsi="宋体" w:cs="宋体"/>
                <w:color w:val="auto"/>
                <w:sz w:val="24"/>
                <w:szCs w:val="24"/>
                <w:highlight w:val="none"/>
                <w:lang w:eastAsia="zh-CN"/>
                <w:woUserID w:val="2"/>
              </w:rPr>
              <w:t>由</w:t>
            </w:r>
            <w:r>
              <w:rPr>
                <w:rFonts w:hint="eastAsia" w:ascii="宋体" w:hAnsi="宋体" w:cs="宋体"/>
                <w:color w:val="auto"/>
                <w:sz w:val="24"/>
                <w:szCs w:val="24"/>
                <w:highlight w:val="none"/>
                <w:lang w:val="en-US" w:eastAsia="zh-CN"/>
                <w:woUserID w:val="2"/>
              </w:rPr>
              <w:t>采购单位</w:t>
            </w:r>
            <w:r>
              <w:rPr>
                <w:rFonts w:hint="default" w:ascii="宋体" w:hAnsi="宋体" w:cs="宋体"/>
                <w:color w:val="auto"/>
                <w:sz w:val="24"/>
                <w:szCs w:val="24"/>
                <w:highlight w:val="none"/>
                <w:lang w:eastAsia="zh-CN"/>
                <w:woUserID w:val="2"/>
              </w:rPr>
              <w:t>支付，</w:t>
            </w:r>
            <w:r>
              <w:rPr>
                <w:rFonts w:hint="eastAsia" w:ascii="宋体" w:hAnsi="宋体" w:eastAsia="宋体" w:cs="宋体"/>
                <w:color w:val="auto"/>
                <w:szCs w:val="24"/>
                <w:highlight w:val="none"/>
                <w:lang w:val="en-US" w:eastAsia="zh-CN"/>
              </w:rPr>
              <w:t>按</w:t>
            </w:r>
            <w:r>
              <w:rPr>
                <w:rFonts w:hint="eastAsia" w:ascii="宋体" w:hAnsi="宋体" w:eastAsia="宋体" w:cs="宋体"/>
                <w:color w:val="auto"/>
                <w:szCs w:val="24"/>
                <w:highlight w:val="none"/>
              </w:rPr>
              <w:t>如下标准</w:t>
            </w:r>
            <w:r>
              <w:rPr>
                <w:rFonts w:hint="eastAsia" w:ascii="宋体" w:hAnsi="宋体" w:eastAsia="宋体" w:cs="宋体"/>
                <w:color w:val="auto"/>
                <w:szCs w:val="24"/>
                <w:highlight w:val="none"/>
                <w:lang w:val="en-US" w:eastAsia="zh-CN"/>
              </w:rPr>
              <w:t>下浮40%</w:t>
            </w:r>
            <w:r>
              <w:rPr>
                <w:rFonts w:hint="default" w:ascii="宋体" w:hAnsi="宋体" w:cs="宋体"/>
                <w:color w:val="auto"/>
                <w:szCs w:val="24"/>
                <w:highlight w:val="none"/>
                <w:lang w:eastAsia="zh-CN"/>
                <w:woUserID w:val="1"/>
              </w:rPr>
              <w:t>，</w:t>
            </w:r>
            <w:r>
              <w:rPr>
                <w:rFonts w:hint="default" w:ascii="宋体" w:hAnsi="宋体" w:cs="宋体"/>
                <w:color w:val="auto"/>
                <w:sz w:val="24"/>
                <w:szCs w:val="24"/>
                <w:highlight w:val="none"/>
                <w:lang w:eastAsia="zh-CN"/>
                <w:woUserID w:val="1"/>
              </w:rPr>
              <w:t>在收到招标成果报告</w:t>
            </w:r>
            <w:r>
              <w:rPr>
                <w:rFonts w:hint="default" w:ascii="宋体" w:hAnsi="宋体" w:cs="宋体"/>
                <w:color w:val="auto"/>
                <w:sz w:val="24"/>
                <w:szCs w:val="24"/>
                <w:highlight w:val="none"/>
                <w:lang w:eastAsia="zh-CN"/>
                <w:woUserID w:val="2"/>
              </w:rPr>
              <w:t>及相关凭证</w:t>
            </w:r>
            <w:r>
              <w:rPr>
                <w:rFonts w:hint="default" w:ascii="宋体" w:hAnsi="宋体" w:cs="宋体"/>
                <w:color w:val="auto"/>
                <w:sz w:val="24"/>
                <w:szCs w:val="24"/>
                <w:highlight w:val="none"/>
                <w:lang w:eastAsia="zh-CN"/>
                <w:woUserID w:val="1"/>
              </w:rPr>
              <w:t>后</w:t>
            </w:r>
            <w:r>
              <w:rPr>
                <w:rFonts w:hint="default" w:ascii="宋体" w:hAnsi="宋体" w:cs="宋体"/>
                <w:color w:val="auto"/>
                <w:sz w:val="24"/>
                <w:szCs w:val="24"/>
                <w:highlight w:val="none"/>
                <w:lang w:eastAsia="zh-CN"/>
                <w:woUserID w:val="2"/>
              </w:rPr>
              <w:t>一次性</w:t>
            </w:r>
            <w:r>
              <w:rPr>
                <w:rFonts w:hint="default" w:ascii="宋体" w:hAnsi="宋体" w:cs="宋体"/>
                <w:color w:val="auto"/>
                <w:szCs w:val="24"/>
                <w:highlight w:val="none"/>
                <w:lang w:eastAsia="zh-CN"/>
                <w:woUserID w:val="1"/>
              </w:rPr>
              <w:t>支付</w:t>
            </w:r>
            <w:r>
              <w:rPr>
                <w:rFonts w:hint="default" w:ascii="宋体" w:hAnsi="宋体" w:cs="宋体"/>
                <w:color w:val="auto"/>
                <w:szCs w:val="24"/>
                <w:highlight w:val="none"/>
                <w:woUserID w:val="2"/>
              </w:rPr>
              <w:t>。</w:t>
            </w:r>
          </w:p>
          <w:tbl>
            <w:tblPr>
              <w:tblStyle w:val="31"/>
              <w:tblW w:w="7308" w:type="dxa"/>
              <w:jc w:val="center"/>
              <w:tblLayout w:type="fixed"/>
              <w:tblCellMar>
                <w:top w:w="0" w:type="dxa"/>
                <w:left w:w="0" w:type="dxa"/>
                <w:bottom w:w="0" w:type="dxa"/>
                <w:right w:w="0" w:type="dxa"/>
              </w:tblCellMar>
            </w:tblPr>
            <w:tblGrid>
              <w:gridCol w:w="2132"/>
              <w:gridCol w:w="1725"/>
              <w:gridCol w:w="1725"/>
              <w:gridCol w:w="1726"/>
            </w:tblGrid>
            <w:tr w14:paraId="7DE21508">
              <w:tblPrEx>
                <w:tblCellMar>
                  <w:top w:w="0" w:type="dxa"/>
                  <w:left w:w="0" w:type="dxa"/>
                  <w:bottom w:w="0" w:type="dxa"/>
                  <w:right w:w="0" w:type="dxa"/>
                </w:tblCellMar>
              </w:tblPrEx>
              <w:trPr>
                <w:jc w:val="center"/>
              </w:trPr>
              <w:tc>
                <w:tcPr>
                  <w:tcW w:w="2132" w:type="dxa"/>
                  <w:tcBorders>
                    <w:top w:val="single" w:color="auto" w:sz="8"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top"/>
                </w:tcPr>
                <w:p w14:paraId="6C578A23">
                  <w:pPr>
                    <w:widowControl/>
                    <w:spacing w:line="4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中标金额（万元）</w:t>
                  </w:r>
                </w:p>
              </w:tc>
              <w:tc>
                <w:tcPr>
                  <w:tcW w:w="1725"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B5E6BB7">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货物招标</w:t>
                  </w:r>
                </w:p>
              </w:tc>
              <w:tc>
                <w:tcPr>
                  <w:tcW w:w="1725"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28E82218">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服务招标</w:t>
                  </w:r>
                </w:p>
              </w:tc>
              <w:tc>
                <w:tcPr>
                  <w:tcW w:w="1726" w:type="dxa"/>
                  <w:tcBorders>
                    <w:top w:val="single" w:color="auto" w:sz="8" w:space="0"/>
                    <w:left w:val="outset" w:color="F4F4F4" w:sz="6"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55DB3628">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工程招标</w:t>
                  </w:r>
                </w:p>
              </w:tc>
            </w:tr>
            <w:tr w14:paraId="581A51AA">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45F3100A">
                  <w:pPr>
                    <w:widowControl/>
                    <w:spacing w:line="4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100 以下</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F5D84BE">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57937259">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1.5%</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25626CEA">
                  <w:pPr>
                    <w:widowControl/>
                    <w:spacing w:line="4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1.0%</w:t>
                  </w:r>
                </w:p>
              </w:tc>
            </w:tr>
            <w:tr w14:paraId="67398694">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0A06A717">
                  <w:pPr>
                    <w:widowControl/>
                    <w:spacing w:line="46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100-500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D425948">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3536682D">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0.8</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731F3CB1">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0.7</w:t>
                  </w:r>
                </w:p>
              </w:tc>
            </w:tr>
            <w:tr w14:paraId="3C955947">
              <w:tblPrEx>
                <w:tblCellMar>
                  <w:top w:w="0" w:type="dxa"/>
                  <w:left w:w="0" w:type="dxa"/>
                  <w:bottom w:w="0" w:type="dxa"/>
                  <w:right w:w="0" w:type="dxa"/>
                </w:tblCellMar>
              </w:tblPrEx>
              <w:trPr>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14:paraId="1112C7F6">
                  <w:pPr>
                    <w:widowControl/>
                    <w:spacing w:line="460" w:lineRule="exact"/>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500-1000</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04817D24">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w:t>
                  </w:r>
                  <w:r>
                    <w:rPr>
                      <w:rFonts w:hint="eastAsia" w:ascii="宋体" w:hAnsi="宋体" w:cs="宋体"/>
                      <w:color w:val="auto"/>
                      <w:kern w:val="0"/>
                      <w:sz w:val="24"/>
                      <w:highlight w:val="none"/>
                      <w:lang w:val="en-US" w:eastAsia="zh-CN"/>
                    </w:rPr>
                    <w:t>8</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4F055AA9">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0.45</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14:paraId="62F11B4E">
                  <w:pPr>
                    <w:widowControl/>
                    <w:spacing w:line="46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0.55</w:t>
                  </w:r>
                </w:p>
              </w:tc>
            </w:tr>
          </w:tbl>
          <w:p w14:paraId="1858CAD8">
            <w:pPr>
              <w:pStyle w:val="68"/>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default" w:ascii="宋体" w:hAnsi="宋体" w:eastAsia="宋体" w:cs="宋体"/>
                <w:color w:val="auto"/>
                <w:sz w:val="24"/>
                <w:szCs w:val="24"/>
                <w:highlight w:val="none"/>
                <w:lang w:val="en-US" w:eastAsia="zh-CN"/>
              </w:rPr>
            </w:pPr>
          </w:p>
        </w:tc>
      </w:tr>
      <w:tr w14:paraId="40B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240" w:type="dxa"/>
            <w:gridSpan w:val="3"/>
            <w:vAlign w:val="center"/>
          </w:tcPr>
          <w:p w14:paraId="332AF825">
            <w:pPr>
              <w:keepNext w:val="0"/>
              <w:keepLines w:val="0"/>
              <w:pageBreakBefore w:val="0"/>
              <w:widowControl w:val="0"/>
              <w:kinsoku/>
              <w:wordWrap/>
              <w:overflowPunct/>
              <w:topLinePunct w:val="0"/>
              <w:bidi w:val="0"/>
              <w:adjustRightInd/>
              <w:spacing w:line="460" w:lineRule="exact"/>
              <w:textAlignment w:val="auto"/>
              <w:rPr>
                <w:rFonts w:hint="default" w:ascii="宋体" w:hAnsi="宋体" w:eastAsia="宋体" w:cs="宋体"/>
                <w:color w:val="auto"/>
                <w:sz w:val="24"/>
                <w:szCs w:val="24"/>
                <w:highlight w:val="none"/>
                <w:woUserID w:val="1"/>
              </w:rPr>
            </w:pPr>
            <w:r>
              <w:rPr>
                <w:rFonts w:hint="eastAsia" w:ascii="宋体" w:hAnsi="宋体" w:eastAsia="宋体" w:cs="宋体"/>
                <w:color w:val="auto"/>
                <w:sz w:val="24"/>
                <w:szCs w:val="24"/>
                <w:highlight w:val="none"/>
              </w:rPr>
              <w:t>解释：凡涉及本招标文件的解释权属于采购人。</w:t>
            </w:r>
            <w:r>
              <w:rPr>
                <w:rFonts w:hint="default" w:ascii="宋体" w:hAnsi="宋体" w:cs="宋体"/>
                <w:color w:val="auto"/>
                <w:sz w:val="24"/>
                <w:szCs w:val="24"/>
                <w:highlight w:val="none"/>
                <w:woUserID w:val="1"/>
              </w:rPr>
              <w:t xml:space="preserve"> </w:t>
            </w:r>
          </w:p>
        </w:tc>
      </w:tr>
      <w:tr w14:paraId="1C97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14:paraId="7BC574C6">
            <w:pPr>
              <w:keepNext w:val="0"/>
              <w:keepLines w:val="0"/>
              <w:pageBreakBefore w:val="0"/>
              <w:widowControl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注：中标人放弃中标资格或因质疑、投诉被取消中标资格或不能履行合同的，本项目重新组织采购。</w:t>
            </w:r>
          </w:p>
        </w:tc>
      </w:tr>
      <w:bookmarkEnd w:id="26"/>
    </w:tbl>
    <w:p w14:paraId="5B33A2A8">
      <w:pPr>
        <w:pageBreakBefore/>
        <w:snapToGrid w:val="0"/>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一、总则</w:t>
      </w:r>
    </w:p>
    <w:p w14:paraId="38AB0C17">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501B12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B0BE870">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D17CB2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75E784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34B3E5C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“投标人”“供应商”系指是指响应招标、参加投标竞争的法人、其他组织或者自然人。</w:t>
      </w:r>
    </w:p>
    <w:p w14:paraId="4103B79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“负责人”系指法人企业的法定负责人，或其他组织为法律、行政法规规定代表单位行使职权的主要负责人，或自然人本人。</w:t>
      </w:r>
    </w:p>
    <w:p w14:paraId="69539AF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w:t>
      </w:r>
    </w:p>
    <w:p w14:paraId="5745770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p>
    <w:p w14:paraId="70653E7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lang w:val="en" w:eastAsia="zh-CN"/>
        </w:rPr>
        <w:t>☑</w:t>
      </w:r>
      <w:r>
        <w:rPr>
          <w:rFonts w:hint="eastAsia" w:ascii="宋体" w:hAnsi="宋体" w:eastAsia="宋体" w:cs="宋体"/>
          <w:color w:val="auto"/>
          <w:sz w:val="24"/>
          <w:highlight w:val="none"/>
        </w:rPr>
        <w:t>” 系指适用本项目的要求，“☐” 系指不适用本项目的要求。</w:t>
      </w:r>
    </w:p>
    <w:p w14:paraId="63CAF992">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.特别说明</w:t>
      </w:r>
    </w:p>
    <w:p w14:paraId="70C0C1D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.1供应商投标所使用的资格、信誉、荣誉、业绩与企业认证必须为投标单位所拥有。供应商投标所使用的采购项目实施人员必须为投标单位正式员工。</w:t>
      </w:r>
    </w:p>
    <w:p w14:paraId="79DE5D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.2供应商应仔细阅读招标文件的所有内容，按照招标文件的要求提交投标文件，并对所提供的全部资料的真实性承担法律责任。</w:t>
      </w:r>
    </w:p>
    <w:p w14:paraId="7AF80F4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1A400AB4">
      <w:pPr>
        <w:keepNext w:val="0"/>
        <w:keepLines w:val="0"/>
        <w:pageBreakBefore w:val="0"/>
        <w:widowControl w:val="0"/>
        <w:kinsoku/>
        <w:wordWrap/>
        <w:overflowPunct/>
        <w:topLinePunct w:val="0"/>
        <w:autoSpaceDE/>
        <w:autoSpaceDN/>
        <w:bidi w:val="0"/>
        <w:adjustRightInd/>
        <w:snapToGrid w:val="0"/>
        <w:spacing w:before="156" w:beforeLines="50" w:after="156" w:afterLines="50" w:line="500" w:lineRule="exact"/>
        <w:jc w:val="center"/>
        <w:textAlignment w:val="auto"/>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二、招标文件</w:t>
      </w:r>
    </w:p>
    <w:p w14:paraId="35F4469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1．招标方式</w:t>
      </w:r>
    </w:p>
    <w:p w14:paraId="55B7BE82">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本次招标采用</w:t>
      </w:r>
      <w:r>
        <w:rPr>
          <w:rFonts w:hint="eastAsia" w:ascii="宋体" w:hAnsi="宋体" w:eastAsia="宋体" w:cs="宋体"/>
          <w:b/>
          <w:color w:val="auto"/>
          <w:kern w:val="0"/>
          <w:sz w:val="24"/>
          <w:szCs w:val="24"/>
          <w:highlight w:val="none"/>
        </w:rPr>
        <w:t>公开招标</w:t>
      </w:r>
      <w:r>
        <w:rPr>
          <w:rFonts w:hint="eastAsia" w:ascii="宋体" w:hAnsi="宋体" w:eastAsia="宋体" w:cs="宋体"/>
          <w:color w:val="auto"/>
          <w:sz w:val="24"/>
          <w:szCs w:val="24"/>
          <w:highlight w:val="none"/>
        </w:rPr>
        <w:t>方式进行。</w:t>
      </w:r>
    </w:p>
    <w:p w14:paraId="2CD77B86">
      <w:pPr>
        <w:snapToGrid w:val="0"/>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 如某一标项投标人或实质性响应招标文件的投标人不足三家时，由采购人重新组织招标或按有关规定实施。</w:t>
      </w:r>
    </w:p>
    <w:p w14:paraId="4A972D9D">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本次招标设定限价，即招标公告中公布的各标项预算金额或最高限价（各标项之间的预算金额不能互相调整）。</w:t>
      </w:r>
    </w:p>
    <w:p w14:paraId="18BFC26C">
      <w:pPr>
        <w:pStyle w:val="9"/>
        <w:snapToGrid w:val="0"/>
        <w:spacing w:after="0" w:line="440" w:lineRule="exact"/>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2.授权委托</w:t>
      </w:r>
    </w:p>
    <w:p w14:paraId="3DB72396">
      <w:pPr>
        <w:pStyle w:val="7"/>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本项目为电子投标项目，投标人的法定代表人或其授权代表或个体工商户不需要参加现场投标和开标。</w:t>
      </w:r>
    </w:p>
    <w:p w14:paraId="067F90E7">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投标费用</w:t>
      </w:r>
    </w:p>
    <w:p w14:paraId="41D606F7">
      <w:pPr>
        <w:pStyle w:val="7"/>
        <w:numPr>
          <w:ilvl w:val="0"/>
          <w:numId w:val="0"/>
        </w:numPr>
        <w:spacing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投标人应自行承担编制投标文件及参加本次投标所涉及的一切费用。不管投标结果如何，招标人对上述费用不负任何责任。</w:t>
      </w:r>
    </w:p>
    <w:p w14:paraId="70AB072F">
      <w:pPr>
        <w:numPr>
          <w:ilvl w:val="0"/>
          <w:numId w:val="5"/>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招标文件的修改</w:t>
      </w:r>
    </w:p>
    <w:p w14:paraId="591D25D5">
      <w:pPr>
        <w:numPr>
          <w:ilvl w:val="0"/>
          <w:numId w:val="0"/>
        </w:num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4.1</w:t>
      </w:r>
      <w:r>
        <w:rPr>
          <w:rFonts w:hint="eastAsia" w:ascii="宋体" w:hAnsi="宋体" w:eastAsia="宋体" w:cs="宋体"/>
          <w:color w:val="auto"/>
          <w:sz w:val="24"/>
          <w:szCs w:val="24"/>
          <w:highlight w:val="none"/>
          <w:lang w:val="en-US" w:eastAsia="zh-CN"/>
        </w:rPr>
        <w:t>招标文件包括本招标文件及所有的招标答疑记录（澄清、修改）和发出的补充通知。</w:t>
      </w:r>
    </w:p>
    <w:p w14:paraId="204853B8">
      <w:pPr>
        <w:numPr>
          <w:ilvl w:val="0"/>
          <w:numId w:val="0"/>
        </w:numPr>
        <w:snapToGrid w:val="0"/>
        <w:spacing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4.2招标文件的澄清  投标人对招标文件如有疑点要求澄清，可用书面形式（包括并不仅限于纸质、信件和数据电文(包括电报、电传、传真、电子数据交换和电子邮件）等通知招标人，但通知不得迟于开标前7日使招标人收到，招标人将予以答复。如有必要，可将不说明来源的答复发给所有投标人。</w:t>
      </w:r>
    </w:p>
    <w:p w14:paraId="2996AA0A">
      <w:pPr>
        <w:pStyle w:val="7"/>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4.3招标文件的修改</w:t>
      </w:r>
    </w:p>
    <w:p w14:paraId="66745992">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4.3.1在投标截止时间前，招标人有权修改招标文件，</w:t>
      </w:r>
      <w:r>
        <w:rPr>
          <w:rFonts w:hint="eastAsia" w:ascii="宋体" w:hAnsi="宋体" w:eastAsia="宋体" w:cs="宋体"/>
          <w:color w:val="auto"/>
          <w:kern w:val="2"/>
          <w:sz w:val="24"/>
          <w:szCs w:val="24"/>
          <w:highlight w:val="none"/>
          <w:lang w:val="en-US" w:eastAsia="zh-CN" w:bidi="ar-SA"/>
        </w:rPr>
        <w:t>将会在发布招标公告的网站上发布更正公告。澄清或者修改的内容可能影响投标文件编制的，更正公告在提交投标截止时间至少15日前发出；不足15日的，采购人应当顺延提交投标文件的截止时间。</w:t>
      </w:r>
    </w:p>
    <w:p w14:paraId="31A51E31">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4.3.2</w:t>
      </w:r>
      <w:r>
        <w:rPr>
          <w:rFonts w:hint="eastAsia" w:ascii="宋体" w:hAnsi="宋体" w:eastAsia="宋体" w:cs="宋体"/>
          <w:color w:val="auto"/>
          <w:kern w:val="2"/>
          <w:sz w:val="24"/>
          <w:szCs w:val="24"/>
          <w:highlight w:val="none"/>
          <w:lang w:val="en-US" w:eastAsia="zh-CN" w:bidi="ar-SA"/>
        </w:rPr>
        <w:t>更正公告为招标文件的组成部分，一经在网站发布，视同已通知所有招标文件的收受人，不再采用其它方式传达相关信息, 若因未能及时了解到上述网站上发布的相关信息而导致的一切后果自行承担。</w:t>
      </w:r>
    </w:p>
    <w:p w14:paraId="2DB4D0DC">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b/>
          <w:color w:val="auto"/>
          <w:sz w:val="24"/>
          <w:szCs w:val="24"/>
          <w:highlight w:val="none"/>
        </w:rPr>
        <w:t>参考品牌</w:t>
      </w:r>
    </w:p>
    <w:p w14:paraId="661E68EC">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Chars="-2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本招标文件如涉及各类品牌、型号，则所述品牌、型号是结合实际现有情况的推荐性参考方案，投标方也可根据招标文件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w:t>
      </w:r>
    </w:p>
    <w:p w14:paraId="33A353C8">
      <w:pPr>
        <w:snapToGrid w:val="0"/>
        <w:spacing w:line="8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三、投标文件</w:t>
      </w:r>
    </w:p>
    <w:p w14:paraId="2FB41C3B">
      <w:pPr>
        <w:numPr>
          <w:ilvl w:val="0"/>
          <w:numId w:val="6"/>
        </w:num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投标文件的语言、计量单位、形式及效力</w:t>
      </w:r>
    </w:p>
    <w:p w14:paraId="046B4A6B">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1.1投标人应仔细阅读招标文件中的所有内容，按照招标文件要求，详细编制投标文件，并保证投标文件的正确性和真实性。</w:t>
      </w:r>
    </w:p>
    <w:p w14:paraId="158E7293">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投标文件以及投标方与招标方就有关投标事宜的所有来往函电，均应以中文书写（技术术语除外）。</w:t>
      </w:r>
    </w:p>
    <w:p w14:paraId="0E4C364D">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投标计量单位，除招标文件中有特殊要求外，应采用中华人民共和国法定计量单位，货币单位：人民币元。</w:t>
      </w:r>
    </w:p>
    <w:p w14:paraId="62DB3BFF">
      <w:pPr>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1.4不按招标文件的要求提供的投标文件可能导致被拒绝。</w:t>
      </w:r>
    </w:p>
    <w:p w14:paraId="6AADF8E1">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1.5投标文件的形式和效力</w:t>
      </w:r>
    </w:p>
    <w:p w14:paraId="7F218529">
      <w:pPr>
        <w:snapToGrid w:val="0"/>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1.5.1投标文件为电子投标文件，电子投标文件按“</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采云供应商项目采购-电子招投标操作指南”及本招标文件要求制作、加密传输。</w:t>
      </w:r>
    </w:p>
    <w:p w14:paraId="327AFE4B">
      <w:pPr>
        <w:snapToGrid w:val="0"/>
        <w:spacing w:line="440" w:lineRule="exact"/>
        <w:ind w:firstLine="482" w:firstLineChars="200"/>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1.5.2投标文件的效力：</w:t>
      </w:r>
    </w:p>
    <w:p w14:paraId="29709D42">
      <w:pPr>
        <w:snapToGrid w:val="0"/>
        <w:spacing w:line="440" w:lineRule="exact"/>
        <w:ind w:firstLine="472" w:firstLineChars="196"/>
        <w:jc w:val="lef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投标文件未在投标截止时间前完成传输的，视为投标文件撤回；投标文件未按时解密，亦视为投标文件撤回。</w:t>
      </w:r>
    </w:p>
    <w:p w14:paraId="661E9A80">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投标文件的组成</w:t>
      </w:r>
    </w:p>
    <w:p w14:paraId="36E0FAC4">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投标文件由</w:t>
      </w:r>
      <w:r>
        <w:rPr>
          <w:rFonts w:hint="eastAsia" w:ascii="宋体" w:hAnsi="宋体" w:eastAsia="宋体" w:cs="宋体"/>
          <w:b/>
          <w:bCs/>
          <w:color w:val="auto"/>
          <w:sz w:val="24"/>
          <w:szCs w:val="24"/>
          <w:highlight w:val="none"/>
          <w:lang w:eastAsia="zh-CN"/>
        </w:rPr>
        <w:t>“资格文件”、</w:t>
      </w:r>
      <w:r>
        <w:rPr>
          <w:rFonts w:hint="eastAsia" w:ascii="宋体" w:hAnsi="宋体" w:eastAsia="宋体" w:cs="宋体"/>
          <w:b/>
          <w:bCs/>
          <w:color w:val="auto"/>
          <w:sz w:val="24"/>
          <w:szCs w:val="24"/>
          <w:highlight w:val="none"/>
        </w:rPr>
        <w:t>“商务技术文件资料”、“报价文件资料”</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部分组成，其中电子投标文件中所须加盖公章部分均应采用电子签章。</w:t>
      </w:r>
    </w:p>
    <w:p w14:paraId="6F3B4F15">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.1资格文件：</w:t>
      </w:r>
    </w:p>
    <w:p w14:paraId="33C82A54">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营业执照扫描件；</w:t>
      </w:r>
    </w:p>
    <w:p w14:paraId="2365AC95">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2.1.2 </w:t>
      </w:r>
      <w:r>
        <w:rPr>
          <w:rFonts w:hint="eastAsia" w:ascii="宋体" w:cs="宋体"/>
          <w:color w:val="auto"/>
          <w:kern w:val="0"/>
          <w:sz w:val="24"/>
          <w:szCs w:val="24"/>
          <w:highlight w:val="none"/>
        </w:rPr>
        <w:t>具有履行合同所必需的设备和专业技术能力的承诺函</w:t>
      </w:r>
    </w:p>
    <w:p w14:paraId="40804F1D">
      <w:pPr>
        <w:keepNext w:val="0"/>
        <w:keepLines w:val="0"/>
        <w:pageBreakBefore w:val="0"/>
        <w:widowControl w:val="0"/>
        <w:kinsoku/>
        <w:wordWrap/>
        <w:overflowPunct/>
        <w:topLinePunct w:val="0"/>
        <w:autoSpaceDE/>
        <w:autoSpaceDN/>
        <w:bidi w:val="0"/>
        <w:adjustRightInd w:val="0"/>
        <w:snapToGrid w:val="0"/>
        <w:spacing w:beforeAutospacing="0" w:line="48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符合参加采购活动应当具备的一般条件的承诺函；</w:t>
      </w:r>
    </w:p>
    <w:p w14:paraId="6587717B">
      <w:pPr>
        <w:pStyle w:val="17"/>
        <w:keepNext w:val="0"/>
        <w:keepLines w:val="0"/>
        <w:pageBreakBefore w:val="0"/>
        <w:widowControl w:val="0"/>
        <w:kinsoku/>
        <w:wordWrap/>
        <w:overflowPunct/>
        <w:topLinePunct w:val="0"/>
        <w:autoSpaceDE/>
        <w:autoSpaceDN/>
        <w:bidi w:val="0"/>
        <w:spacing w:line="480" w:lineRule="exact"/>
        <w:ind w:left="0" w:leftChars="0" w:right="0" w:firstLine="720" w:firstLineChars="300"/>
        <w:textAlignment w:val="auto"/>
        <w:rPr>
          <w:rStyle w:val="36"/>
          <w:rFonts w:hint="eastAsia" w:ascii="宋体" w:hAnsi="宋体" w:eastAsia="宋体" w:cs="宋体"/>
          <w:color w:val="auto"/>
          <w:sz w:val="24"/>
          <w:szCs w:val="24"/>
          <w:highlight w:val="none"/>
          <w:u w:val="none"/>
          <w:lang w:val="en-US" w:eastAsia="zh-CN" w:bidi="ar-SA"/>
        </w:rPr>
      </w:pPr>
      <w:r>
        <w:rPr>
          <w:rStyle w:val="36"/>
          <w:rFonts w:hint="eastAsia" w:ascii="宋体" w:hAnsi="宋体" w:eastAsia="宋体" w:cs="宋体"/>
          <w:color w:val="auto"/>
          <w:sz w:val="24"/>
          <w:szCs w:val="24"/>
          <w:highlight w:val="none"/>
          <w:u w:val="none"/>
          <w:lang w:val="en-US" w:eastAsia="zh-CN" w:bidi="ar-SA"/>
        </w:rPr>
        <w:t>2.1.4 特定资格要求</w:t>
      </w:r>
      <w:r>
        <w:rPr>
          <w:rStyle w:val="36"/>
          <w:rFonts w:hint="eastAsia" w:hAnsi="宋体" w:cs="宋体"/>
          <w:color w:val="auto"/>
          <w:sz w:val="24"/>
          <w:szCs w:val="24"/>
          <w:highlight w:val="none"/>
          <w:u w:val="none"/>
          <w:lang w:val="en-US" w:eastAsia="zh-CN" w:bidi="ar-SA"/>
        </w:rPr>
        <w:t>需提供</w:t>
      </w:r>
      <w:r>
        <w:rPr>
          <w:rStyle w:val="36"/>
          <w:rFonts w:hint="eastAsia" w:ascii="宋体" w:hAnsi="宋体" w:eastAsia="宋体" w:cs="宋体"/>
          <w:color w:val="auto"/>
          <w:sz w:val="24"/>
          <w:szCs w:val="24"/>
          <w:highlight w:val="none"/>
          <w:u w:val="none"/>
          <w:lang w:val="en-US" w:eastAsia="zh-CN" w:bidi="ar-SA"/>
        </w:rPr>
        <w:t>的证明材料（</w:t>
      </w:r>
      <w:r>
        <w:rPr>
          <w:rStyle w:val="36"/>
          <w:rFonts w:hint="eastAsia" w:hAnsi="宋体" w:cs="宋体"/>
          <w:color w:val="auto"/>
          <w:sz w:val="24"/>
          <w:szCs w:val="24"/>
          <w:highlight w:val="none"/>
          <w:u w:val="none"/>
          <w:lang w:val="en-US" w:eastAsia="zh-CN" w:bidi="ar-SA"/>
        </w:rPr>
        <w:t>若</w:t>
      </w:r>
      <w:r>
        <w:rPr>
          <w:rStyle w:val="36"/>
          <w:rFonts w:hint="eastAsia" w:ascii="宋体" w:hAnsi="宋体" w:eastAsia="宋体" w:cs="宋体"/>
          <w:color w:val="auto"/>
          <w:sz w:val="24"/>
          <w:szCs w:val="24"/>
          <w:highlight w:val="none"/>
          <w:u w:val="none"/>
          <w:lang w:val="en-US" w:eastAsia="zh-CN" w:bidi="ar-SA"/>
        </w:rPr>
        <w:t>有）</w:t>
      </w:r>
      <w:r>
        <w:rPr>
          <w:rStyle w:val="36"/>
          <w:rFonts w:hint="eastAsia" w:hAnsi="宋体" w:cs="宋体"/>
          <w:color w:val="auto"/>
          <w:sz w:val="24"/>
          <w:szCs w:val="24"/>
          <w:highlight w:val="none"/>
          <w:u w:val="none"/>
          <w:lang w:val="en-US" w:eastAsia="zh-CN" w:bidi="ar-SA"/>
        </w:rPr>
        <w:t>，</w:t>
      </w:r>
    </w:p>
    <w:p w14:paraId="49AD93BF">
      <w:pPr>
        <w:ind w:firstLine="720" w:firstLineChars="300"/>
        <w:rPr>
          <w:rFonts w:hint="default"/>
          <w:color w:val="auto"/>
          <w:highlight w:val="none"/>
          <w:lang w:val="en-US" w:eastAsia="zh-CN"/>
        </w:rPr>
      </w:pPr>
      <w:r>
        <w:rPr>
          <w:rStyle w:val="36"/>
          <w:rFonts w:hint="eastAsia" w:ascii="宋体" w:hAnsi="宋体" w:cs="宋体"/>
          <w:color w:val="auto"/>
          <w:sz w:val="24"/>
          <w:szCs w:val="24"/>
          <w:highlight w:val="none"/>
          <w:u w:val="none"/>
          <w:lang w:val="en-US" w:eastAsia="zh-CN" w:bidi="ar-SA"/>
        </w:rPr>
        <w:t>2.1.5</w:t>
      </w:r>
      <w:r>
        <w:rPr>
          <w:rFonts w:hint="eastAsia" w:ascii="宋体" w:hAnsi="Times New Roman" w:eastAsia="宋体" w:cs="宋体"/>
          <w:color w:val="auto"/>
          <w:kern w:val="0"/>
          <w:sz w:val="24"/>
          <w:szCs w:val="24"/>
          <w:highlight w:val="none"/>
          <w:u w:val="none"/>
          <w:lang w:val="en-US" w:eastAsia="zh-CN" w:bidi="ar-SA"/>
        </w:rPr>
        <w:t>基本户开户许可证（或基本存款账户信息）、投标保证金缴纳凭证。</w:t>
      </w:r>
    </w:p>
    <w:p w14:paraId="2D11C526">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2商务技术</w:t>
      </w:r>
      <w:r>
        <w:rPr>
          <w:rFonts w:hint="eastAsia" w:ascii="宋体" w:hAnsi="宋体" w:eastAsia="宋体" w:cs="宋体"/>
          <w:b/>
          <w:color w:val="auto"/>
          <w:sz w:val="24"/>
          <w:szCs w:val="24"/>
          <w:highlight w:val="none"/>
          <w:lang w:val="zh-CN"/>
        </w:rPr>
        <w:t>文件：</w:t>
      </w:r>
    </w:p>
    <w:p w14:paraId="59FD7E46">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zh-CN"/>
        </w:rPr>
        <w:t xml:space="preserve"> </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函；</w:t>
      </w:r>
    </w:p>
    <w:p w14:paraId="105703A4">
      <w:pPr>
        <w:keepNext w:val="0"/>
        <w:keepLines w:val="0"/>
        <w:pageBreakBefore w:val="0"/>
        <w:widowControl w:val="0"/>
        <w:kinsoku/>
        <w:wordWrap/>
        <w:overflowPunct/>
        <w:topLinePunct w:val="0"/>
        <w:autoSpaceDE/>
        <w:autoSpaceDN/>
        <w:bidi w:val="0"/>
        <w:adjustRightInd w:val="0"/>
        <w:snapToGrid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法定代表人身份证明书；</w:t>
      </w:r>
    </w:p>
    <w:p w14:paraId="3027FE9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授权代表社保证明（</w:t>
      </w:r>
      <w:r>
        <w:rPr>
          <w:rFonts w:hint="eastAsia" w:ascii="宋体" w:hAnsi="宋体" w:eastAsia="宋体" w:cs="宋体"/>
          <w:color w:val="auto"/>
          <w:sz w:val="24"/>
          <w:szCs w:val="24"/>
          <w:highlight w:val="none"/>
          <w:lang w:val="en-US" w:eastAsia="zh-CN"/>
        </w:rPr>
        <w:t>若委托</w:t>
      </w:r>
      <w:r>
        <w:rPr>
          <w:rFonts w:hint="eastAsia" w:ascii="宋体" w:hAnsi="宋体" w:eastAsia="宋体" w:cs="宋体"/>
          <w:color w:val="auto"/>
          <w:sz w:val="24"/>
          <w:szCs w:val="24"/>
          <w:highlight w:val="none"/>
          <w:lang w:eastAsia="zh-CN"/>
        </w:rPr>
        <w:t>）；</w:t>
      </w:r>
    </w:p>
    <w:p w14:paraId="5B4FDD1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2.2.4 </w:t>
      </w:r>
      <w:r>
        <w:rPr>
          <w:rFonts w:hint="eastAsia" w:ascii="宋体" w:hAnsi="宋体" w:eastAsia="宋体" w:cs="宋体"/>
          <w:color w:val="auto"/>
          <w:sz w:val="24"/>
          <w:szCs w:val="24"/>
          <w:highlight w:val="none"/>
          <w:lang w:val="en-US" w:eastAsia="zh-CN"/>
        </w:rPr>
        <w:t>法定代表人及其授权代表身份证复印件（正反面）；</w:t>
      </w:r>
    </w:p>
    <w:p w14:paraId="16C12340">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评分索引表；</w:t>
      </w:r>
    </w:p>
    <w:p w14:paraId="327FB563">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highlight w:val="none"/>
          <w:lang w:val="en-US" w:eastAsia="zh-CN"/>
        </w:rPr>
        <w:t>商务技术偏离表</w:t>
      </w:r>
      <w:r>
        <w:rPr>
          <w:rFonts w:hint="eastAsia" w:ascii="宋体" w:hAnsi="宋体" w:eastAsia="宋体" w:cs="宋体"/>
          <w:color w:val="auto"/>
          <w:sz w:val="24"/>
          <w:szCs w:val="24"/>
          <w:highlight w:val="none"/>
          <w:lang w:val="en-US" w:eastAsia="zh-CN"/>
        </w:rPr>
        <w:t>；</w:t>
      </w:r>
    </w:p>
    <w:p w14:paraId="48A2E3A7">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2.2.7 </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sz w:val="24"/>
          <w:szCs w:val="24"/>
          <w:highlight w:val="none"/>
          <w:lang w:val="en-US" w:eastAsia="zh-CN"/>
        </w:rPr>
        <w:t>；</w:t>
      </w:r>
    </w:p>
    <w:p w14:paraId="67209DF6">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供应商廉洁自律承诺书；</w:t>
      </w:r>
    </w:p>
    <w:p w14:paraId="539B0D9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2.2.9 企业证书</w:t>
      </w:r>
      <w:r>
        <w:rPr>
          <w:rFonts w:hint="eastAsia" w:ascii="宋体" w:hAnsi="宋体" w:eastAsia="宋体" w:cs="宋体"/>
          <w:color w:val="auto"/>
          <w:sz w:val="24"/>
          <w:szCs w:val="24"/>
          <w:highlight w:val="none"/>
          <w:lang w:val="en-US" w:eastAsia="zh-CN"/>
        </w:rPr>
        <w:t>；</w:t>
      </w:r>
    </w:p>
    <w:p w14:paraId="18EBC824">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w:t>
      </w:r>
      <w:r>
        <w:rPr>
          <w:rFonts w:hint="eastAsia" w:ascii="宋体" w:hAnsi="宋体" w:cs="宋体"/>
          <w:b w:val="0"/>
          <w:color w:val="auto"/>
          <w:kern w:val="2"/>
          <w:sz w:val="24"/>
          <w:szCs w:val="24"/>
          <w:highlight w:val="none"/>
          <w:lang w:val="en-US" w:eastAsia="zh-CN" w:bidi="ar-SA"/>
        </w:rPr>
        <w:t>10</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color w:val="auto"/>
          <w:sz w:val="24"/>
          <w:szCs w:val="24"/>
          <w:highlight w:val="none"/>
        </w:rPr>
        <w:t>拟派项目组成员</w:t>
      </w:r>
    </w:p>
    <w:p w14:paraId="0A6AA458">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cs="宋体"/>
          <w:color w:val="auto"/>
          <w:sz w:val="24"/>
          <w:highlight w:val="none"/>
          <w:lang w:val="en-US" w:eastAsia="zh-CN"/>
        </w:rPr>
        <w:t>2.2.11技术要求</w:t>
      </w:r>
      <w:r>
        <w:rPr>
          <w:rFonts w:hint="eastAsia" w:ascii="宋体" w:hAnsi="宋体" w:eastAsia="宋体" w:cs="宋体"/>
          <w:b w:val="0"/>
          <w:color w:val="auto"/>
          <w:kern w:val="2"/>
          <w:sz w:val="24"/>
          <w:szCs w:val="24"/>
          <w:highlight w:val="none"/>
          <w:lang w:val="en-US" w:eastAsia="zh-CN" w:bidi="ar-SA"/>
        </w:rPr>
        <w:t>；</w:t>
      </w:r>
    </w:p>
    <w:p w14:paraId="149AE623">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eastAsia="宋体" w:cs="宋体"/>
          <w:color w:val="auto"/>
          <w:sz w:val="24"/>
          <w:highlight w:val="none"/>
          <w:lang w:val="en-US" w:eastAsia="zh-CN"/>
        </w:rPr>
        <w:t>项目实施方案</w:t>
      </w:r>
      <w:r>
        <w:rPr>
          <w:rFonts w:hint="eastAsia" w:ascii="宋体" w:hAnsi="宋体" w:eastAsia="宋体" w:cs="宋体"/>
          <w:b w:val="0"/>
          <w:color w:val="auto"/>
          <w:kern w:val="2"/>
          <w:sz w:val="24"/>
          <w:szCs w:val="24"/>
          <w:highlight w:val="none"/>
          <w:lang w:val="en-US" w:eastAsia="zh-CN" w:bidi="ar-SA"/>
        </w:rPr>
        <w:t>；</w:t>
      </w:r>
    </w:p>
    <w:p w14:paraId="384B71F2">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3</w:t>
      </w:r>
      <w:r>
        <w:rPr>
          <w:rFonts w:hint="eastAsia" w:ascii="宋体" w:hAnsi="宋体" w:eastAsia="宋体" w:cs="宋体"/>
          <w:color w:val="auto"/>
          <w:sz w:val="24"/>
          <w:highlight w:val="none"/>
          <w:lang w:val="en-US" w:eastAsia="zh-CN"/>
        </w:rPr>
        <w:t>质量、安全管理保障</w:t>
      </w:r>
      <w:r>
        <w:rPr>
          <w:rFonts w:hint="eastAsia" w:ascii="宋体" w:hAnsi="宋体" w:eastAsia="宋体" w:cs="宋体"/>
          <w:b w:val="0"/>
          <w:color w:val="auto"/>
          <w:kern w:val="2"/>
          <w:sz w:val="24"/>
          <w:szCs w:val="24"/>
          <w:highlight w:val="none"/>
          <w:lang w:val="en-US" w:eastAsia="zh-CN" w:bidi="ar-SA"/>
        </w:rPr>
        <w:t>；</w:t>
      </w:r>
    </w:p>
    <w:p w14:paraId="1AE68CE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4</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eastAsia="宋体" w:cs="宋体"/>
          <w:color w:val="auto"/>
          <w:kern w:val="2"/>
          <w:sz w:val="24"/>
          <w:highlight w:val="none"/>
          <w:lang w:val="en-US" w:eastAsia="zh-CN" w:bidi="ar-SA"/>
        </w:rPr>
        <w:t>工期进度保障</w:t>
      </w:r>
      <w:r>
        <w:rPr>
          <w:rFonts w:hint="eastAsia" w:ascii="宋体" w:hAnsi="宋体" w:eastAsia="宋体" w:cs="宋体"/>
          <w:b w:val="0"/>
          <w:color w:val="auto"/>
          <w:kern w:val="2"/>
          <w:sz w:val="24"/>
          <w:szCs w:val="24"/>
          <w:highlight w:val="none"/>
          <w:lang w:val="en-US" w:eastAsia="zh-CN" w:bidi="ar-SA"/>
        </w:rPr>
        <w:t>；</w:t>
      </w:r>
    </w:p>
    <w:p w14:paraId="7E171609">
      <w:pPr>
        <w:pStyle w:val="14"/>
        <w:pageBreakBefore w:val="0"/>
        <w:widowControl w:val="0"/>
        <w:kinsoku/>
        <w:wordWrap/>
        <w:overflowPunct/>
        <w:topLinePunct w:val="0"/>
        <w:autoSpaceDE/>
        <w:autoSpaceDN/>
        <w:bidi w:val="0"/>
        <w:spacing w:after="0" w:line="460" w:lineRule="exact"/>
        <w:ind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 xml:space="preserve">5 </w:t>
      </w:r>
      <w:r>
        <w:rPr>
          <w:rFonts w:hint="eastAsia" w:ascii="宋体" w:hAnsi="宋体" w:eastAsia="宋体" w:cs="宋体"/>
          <w:color w:val="auto"/>
          <w:kern w:val="2"/>
          <w:sz w:val="24"/>
          <w:highlight w:val="none"/>
          <w:lang w:val="en-US" w:eastAsia="zh-CN" w:bidi="ar-SA"/>
        </w:rPr>
        <w:t>应急售后保障</w:t>
      </w:r>
      <w:r>
        <w:rPr>
          <w:rFonts w:hint="eastAsia" w:ascii="宋体" w:hAnsi="宋体" w:eastAsia="宋体" w:cs="宋体"/>
          <w:b w:val="0"/>
          <w:color w:val="auto"/>
          <w:kern w:val="2"/>
          <w:sz w:val="24"/>
          <w:szCs w:val="24"/>
          <w:highlight w:val="none"/>
          <w:lang w:val="en-US" w:eastAsia="zh-CN" w:bidi="ar-SA"/>
        </w:rPr>
        <w:t>；</w:t>
      </w:r>
    </w:p>
    <w:p w14:paraId="312ECF6C">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2.2.1</w:t>
      </w:r>
      <w:r>
        <w:rPr>
          <w:rFonts w:hint="eastAsia" w:ascii="宋体" w:hAnsi="宋体" w:cs="宋体"/>
          <w:b w:val="0"/>
          <w:color w:val="auto"/>
          <w:kern w:val="2"/>
          <w:sz w:val="24"/>
          <w:szCs w:val="24"/>
          <w:highlight w:val="none"/>
          <w:lang w:val="en-US" w:eastAsia="zh-CN" w:bidi="ar-SA"/>
        </w:rPr>
        <w:t>6</w:t>
      </w:r>
      <w:r>
        <w:rPr>
          <w:rFonts w:hint="eastAsia" w:ascii="宋体" w:hAnsi="宋体" w:eastAsia="宋体" w:cs="宋体"/>
          <w:b w:val="0"/>
          <w:color w:val="auto"/>
          <w:kern w:val="2"/>
          <w:sz w:val="24"/>
          <w:szCs w:val="24"/>
          <w:highlight w:val="none"/>
          <w:lang w:val="en-US" w:eastAsia="zh-CN" w:bidi="ar-SA"/>
        </w:rPr>
        <w:t xml:space="preserve"> </w:t>
      </w:r>
      <w:r>
        <w:rPr>
          <w:rFonts w:hint="eastAsia" w:ascii="宋体" w:hAnsi="宋体" w:eastAsia="宋体" w:cs="宋体"/>
          <w:color w:val="auto"/>
          <w:kern w:val="2"/>
          <w:sz w:val="24"/>
          <w:highlight w:val="none"/>
          <w:lang w:val="en-US" w:eastAsia="zh-CN" w:bidi="ar-SA"/>
        </w:rPr>
        <w:t>质保期</w:t>
      </w:r>
      <w:r>
        <w:rPr>
          <w:rFonts w:hint="eastAsia" w:ascii="宋体" w:hAnsi="宋体" w:eastAsia="宋体" w:cs="宋体"/>
          <w:b w:val="0"/>
          <w:color w:val="auto"/>
          <w:kern w:val="2"/>
          <w:sz w:val="24"/>
          <w:szCs w:val="24"/>
          <w:highlight w:val="none"/>
          <w:lang w:val="en-US" w:eastAsia="zh-CN" w:bidi="ar-SA"/>
        </w:rPr>
        <w:t>；</w:t>
      </w:r>
    </w:p>
    <w:p w14:paraId="6BFA9C0E">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投标人认为需要说明的其他文件和说明（若有）。</w:t>
      </w:r>
    </w:p>
    <w:p w14:paraId="5F47691C">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35D847E9">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2.3.1开标一览表；</w:t>
      </w:r>
    </w:p>
    <w:p w14:paraId="3E9E3A8D">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2.3.2报价明细表</w:t>
      </w:r>
    </w:p>
    <w:p w14:paraId="773DEF6A">
      <w:pPr>
        <w:keepNext w:val="0"/>
        <w:keepLines w:val="0"/>
        <w:pageBreakBefore w:val="0"/>
        <w:widowControl w:val="0"/>
        <w:kinsoku/>
        <w:wordWrap/>
        <w:overflowPunct/>
        <w:topLinePunct w:val="0"/>
        <w:autoSpaceDE/>
        <w:autoSpaceDN/>
        <w:bidi w:val="0"/>
        <w:adjustRightInd w:val="0"/>
        <w:snapToGrid w:val="0"/>
        <w:spacing w:beforeAutospacing="0" w:line="460" w:lineRule="exact"/>
        <w:ind w:left="0" w:leftChars="0"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cs="宋体"/>
          <w:color w:val="auto"/>
          <w:sz w:val="24"/>
          <w:szCs w:val="24"/>
          <w:highlight w:val="none"/>
          <w:lang w:val="en-US" w:eastAsia="zh-CN"/>
        </w:rPr>
        <w:t xml:space="preserve">3 </w:t>
      </w:r>
      <w:r>
        <w:rPr>
          <w:rFonts w:hint="eastAsia" w:ascii="宋体" w:hAnsi="宋体"/>
          <w:color w:val="auto"/>
          <w:highlight w:val="none"/>
        </w:rPr>
        <w:t>投标人针对报价需要说明的其他文件和说明</w:t>
      </w:r>
      <w:r>
        <w:rPr>
          <w:rFonts w:hint="eastAsia" w:ascii="宋体" w:hAnsi="宋体"/>
          <w:color w:val="auto"/>
          <w:highlight w:val="none"/>
          <w:lang w:eastAsia="zh-CN"/>
        </w:rPr>
        <w:t>。</w:t>
      </w:r>
    </w:p>
    <w:p w14:paraId="5D8FB562">
      <w:pPr>
        <w:keepNext w:val="0"/>
        <w:keepLines w:val="0"/>
        <w:pageBreakBefore w:val="0"/>
        <w:widowControl w:val="0"/>
        <w:kinsoku/>
        <w:wordWrap/>
        <w:overflowPunct/>
        <w:topLinePunct w:val="0"/>
        <w:autoSpaceDE/>
        <w:autoSpaceDN/>
        <w:bidi w:val="0"/>
        <w:adjustRightInd w:val="0"/>
        <w:snapToGrid w:val="0"/>
        <w:spacing w:beforeAutospacing="0" w:line="480" w:lineRule="exac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 投标报价</w:t>
      </w:r>
    </w:p>
    <w:p w14:paraId="75C882C0">
      <w:pPr>
        <w:pStyle w:val="17"/>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3.1投标人应按招标文件中《开标一览表》等附表要求填写。</w:t>
      </w:r>
    </w:p>
    <w:p w14:paraId="026F21A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textAlignment w:val="auto"/>
        <w:rPr>
          <w:color w:val="auto"/>
          <w:highlight w:val="none"/>
        </w:rPr>
      </w:pPr>
      <w:r>
        <w:rPr>
          <w:rFonts w:hint="eastAsia" w:ascii="宋体" w:hAnsi="宋体" w:eastAsia="宋体" w:cs="宋体"/>
          <w:color w:val="auto"/>
          <w:kern w:val="2"/>
          <w:sz w:val="24"/>
          <w:szCs w:val="24"/>
          <w:highlight w:val="none"/>
          <w:lang w:val="en-US" w:eastAsia="zh-CN" w:bidi="ar-SA"/>
        </w:rPr>
        <w:t>3.2报价为采购人可以合格使用产品的价格，</w:t>
      </w:r>
      <w:r>
        <w:rPr>
          <w:rFonts w:hint="eastAsia" w:ascii="宋体" w:hAnsi="宋体" w:eastAsia="宋体" w:cs="宋体"/>
          <w:bCs/>
          <w:color w:val="auto"/>
          <w:sz w:val="24"/>
          <w:szCs w:val="24"/>
          <w:highlight w:val="none"/>
          <w:u w:val="none"/>
        </w:rPr>
        <w:t>包括货款</w:t>
      </w:r>
      <w:r>
        <w:rPr>
          <w:rFonts w:hint="eastAsia" w:ascii="宋体" w:hAnsi="宋体" w:eastAsia="宋体" w:cs="宋体"/>
          <w:bCs/>
          <w:color w:val="auto"/>
          <w:sz w:val="24"/>
          <w:szCs w:val="24"/>
          <w:highlight w:val="none"/>
          <w:u w:val="none"/>
          <w:lang w:val="en-US" w:eastAsia="zh-CN"/>
        </w:rPr>
        <w:t>、</w:t>
      </w:r>
      <w:r>
        <w:rPr>
          <w:rFonts w:hint="eastAsia" w:ascii="宋体" w:hAnsi="宋体" w:eastAsia="宋体" w:cs="宋体"/>
          <w:bCs/>
          <w:color w:val="auto"/>
          <w:sz w:val="24"/>
          <w:szCs w:val="24"/>
          <w:highlight w:val="none"/>
          <w:u w:val="none"/>
          <w:lang w:eastAsia="zh-CN"/>
        </w:rPr>
        <w:t>税金、</w:t>
      </w:r>
      <w:r>
        <w:rPr>
          <w:rFonts w:hint="eastAsia" w:ascii="宋体" w:hAnsi="宋体" w:eastAsia="宋体" w:cs="宋体"/>
          <w:bCs/>
          <w:color w:val="auto"/>
          <w:sz w:val="24"/>
          <w:szCs w:val="24"/>
          <w:highlight w:val="none"/>
          <w:u w:val="none"/>
        </w:rPr>
        <w:t>包装</w:t>
      </w:r>
      <w:r>
        <w:rPr>
          <w:rFonts w:hint="eastAsia" w:ascii="宋体" w:hAnsi="宋体" w:eastAsia="宋体" w:cs="宋体"/>
          <w:bCs/>
          <w:color w:val="auto"/>
          <w:sz w:val="24"/>
          <w:szCs w:val="24"/>
          <w:highlight w:val="none"/>
          <w:u w:val="none"/>
          <w:lang w:val="en-US" w:eastAsia="zh-CN"/>
        </w:rPr>
        <w:t>运输</w:t>
      </w:r>
      <w:r>
        <w:rPr>
          <w:rFonts w:hint="eastAsia" w:ascii="宋体" w:hAnsi="宋体" w:eastAsia="宋体" w:cs="宋体"/>
          <w:bCs/>
          <w:color w:val="auto"/>
          <w:sz w:val="24"/>
          <w:szCs w:val="24"/>
          <w:highlight w:val="none"/>
          <w:u w:val="none"/>
        </w:rPr>
        <w:t>装卸就位、安装调试验收、售后服务</w:t>
      </w:r>
      <w:r>
        <w:rPr>
          <w:rFonts w:hint="eastAsia" w:ascii="宋体"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质保期内所需耗材等全部费用。</w:t>
      </w:r>
    </w:p>
    <w:p w14:paraId="6EB68A2C">
      <w:pPr>
        <w:pStyle w:val="17"/>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3.3招标文件未列明，而投标人认为必需的费用也需列入报价。</w:t>
      </w:r>
    </w:p>
    <w:p w14:paraId="48545A3A">
      <w:pPr>
        <w:keepNext w:val="0"/>
        <w:keepLines w:val="0"/>
        <w:pageBreakBefore w:val="0"/>
        <w:widowControl w:val="0"/>
        <w:tabs>
          <w:tab w:val="left" w:pos="525"/>
        </w:tabs>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3.4投标报价只允许有一个报价，有选择的报价将不予接受（除指定外）。</w:t>
      </w:r>
    </w:p>
    <w:p w14:paraId="7F5C6CC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eastAsia="宋体" w:cs="宋体"/>
          <w:color w:val="auto"/>
          <w:kern w:val="2"/>
          <w:sz w:val="24"/>
          <w:szCs w:val="24"/>
          <w:highlight w:val="none"/>
          <w:lang w:val="en-US" w:eastAsia="zh-CN" w:bidi="ar-SA"/>
        </w:rPr>
        <w:t>投标文件的编制和签署</w:t>
      </w:r>
    </w:p>
    <w:p w14:paraId="32B9EA41">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A95A3D">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.2投标人进行电子投标应安装客户端软件—“</w:t>
      </w:r>
      <w:r>
        <w:rPr>
          <w:rFonts w:hint="eastAsia" w:ascii="宋体" w:hAnsi="宋体" w:cs="宋体"/>
          <w:color w:val="auto"/>
          <w:kern w:val="2"/>
          <w:sz w:val="24"/>
          <w:szCs w:val="24"/>
          <w:highlight w:val="none"/>
          <w:lang w:val="en-US" w:eastAsia="zh-CN" w:bidi="ar-SA"/>
        </w:rPr>
        <w:t>乐</w:t>
      </w:r>
      <w:r>
        <w:rPr>
          <w:rFonts w:hint="eastAsia" w:ascii="宋体" w:hAnsi="宋体" w:eastAsia="宋体" w:cs="宋体"/>
          <w:color w:val="auto"/>
          <w:kern w:val="2"/>
          <w:sz w:val="24"/>
          <w:szCs w:val="24"/>
          <w:highlight w:val="none"/>
          <w:lang w:val="zh-CN" w:eastAsia="zh-CN" w:bidi="ar-SA"/>
        </w:rPr>
        <w:t>采云电子交易客户端”，并按照招标文件和电子交易平台的要求编制并加密投标文件。投标人未按规定加密的投标文件，电子交易平台将拒收并提示。</w:t>
      </w:r>
    </w:p>
    <w:p w14:paraId="267E808D">
      <w:pPr>
        <w:snapToGrid w:val="0"/>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szCs w:val="24"/>
          <w:highlight w:val="none"/>
          <w:lang w:val="zh-CN"/>
        </w:rPr>
        <w:t>使用“乐采云电子交易客户端”需要提前申领CA数字证书，申领流程请自行前往“</w:t>
      </w:r>
      <w:r>
        <w:rPr>
          <w:rFonts w:hint="eastAsia" w:ascii="宋体" w:hAnsi="宋体" w:eastAsia="宋体" w:cs="宋体"/>
          <w:color w:val="auto"/>
          <w:kern w:val="2"/>
          <w:sz w:val="24"/>
          <w:szCs w:val="24"/>
          <w:highlight w:val="none"/>
          <w:lang w:val="en-US" w:eastAsia="zh-CN" w:bidi="ar-SA"/>
        </w:rPr>
        <w:t>浙江企业采购信息服务网</w:t>
      </w:r>
      <w:r>
        <w:rPr>
          <w:rFonts w:hint="eastAsia" w:ascii="宋体" w:hAnsi="宋体" w:eastAsia="宋体" w:cs="宋体"/>
          <w:color w:val="auto"/>
          <w:sz w:val="24"/>
          <w:szCs w:val="24"/>
          <w:highlight w:val="none"/>
          <w:lang w:val="zh-CN"/>
        </w:rPr>
        <w:t>-下载专区-电子交易客户端-CA驱动和申领流程”进行查阅。</w:t>
      </w:r>
    </w:p>
    <w:p w14:paraId="014A19E2">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4.4</w:t>
      </w:r>
      <w:r>
        <w:rPr>
          <w:rFonts w:hint="eastAsia" w:ascii="宋体" w:hAnsi="宋体" w:eastAsia="宋体" w:cs="宋体"/>
          <w:color w:val="auto"/>
          <w:kern w:val="2"/>
          <w:sz w:val="24"/>
          <w:szCs w:val="24"/>
          <w:highlight w:val="none"/>
          <w:lang w:val="zh-CN" w:eastAsia="zh-CN" w:bidi="ar-SA"/>
        </w:rPr>
        <w:t>投标文件按照招标文件第六部分格式要求进行签署、盖章。投标人的投标文件未按照招标文件要求签署、盖章的，其投标无效。</w:t>
      </w:r>
    </w:p>
    <w:p w14:paraId="74C577BF">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zh-CN" w:eastAsia="zh-CN" w:bidi="ar-SA"/>
        </w:rPr>
        <w:t>为确保网上操作合法、有效和安全，投标人应当在投标截止时间前完成在“</w:t>
      </w:r>
      <w:r>
        <w:rPr>
          <w:rFonts w:hint="eastAsia" w:ascii="宋体" w:hAnsi="宋体" w:eastAsia="宋体" w:cs="宋体"/>
          <w:color w:val="auto"/>
          <w:sz w:val="24"/>
          <w:szCs w:val="24"/>
          <w:highlight w:val="none"/>
          <w:lang w:val="zh-CN"/>
        </w:rPr>
        <w:t>乐采云平台”</w:t>
      </w:r>
      <w:r>
        <w:rPr>
          <w:rFonts w:hint="eastAsia" w:ascii="宋体" w:hAnsi="宋体" w:eastAsia="宋体" w:cs="宋体"/>
          <w:color w:val="auto"/>
          <w:kern w:val="2"/>
          <w:sz w:val="24"/>
          <w:szCs w:val="24"/>
          <w:highlight w:val="none"/>
          <w:lang w:val="zh-CN" w:eastAsia="zh-CN" w:bidi="ar-SA"/>
        </w:rPr>
        <w:t>的身份认证，确保在电子投标过程中能够对相关数据电文进行加密和使用电子签名。</w:t>
      </w:r>
    </w:p>
    <w:p w14:paraId="0A65DA4B">
      <w:pPr>
        <w:snapToGrid w:val="0"/>
        <w:spacing w:line="440" w:lineRule="exact"/>
        <w:ind w:firstLine="480" w:firstLineChars="20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kern w:val="2"/>
          <w:sz w:val="24"/>
          <w:szCs w:val="24"/>
          <w:highlight w:val="none"/>
          <w:lang w:val="zh-CN" w:eastAsia="zh-CN" w:bidi="ar-SA"/>
        </w:rPr>
        <w:t>招标文件对投标文件签署、盖章的要求适用于电子签名。</w:t>
      </w:r>
    </w:p>
    <w:p w14:paraId="24AC6D5C">
      <w:pPr>
        <w:pStyle w:val="109"/>
        <w:spacing w:before="0" w:line="4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投标文件的提交、补充、修改、撤回</w:t>
      </w:r>
    </w:p>
    <w:p w14:paraId="3AFE55C6">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8AC23E">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5.2电子交易平台收到投标文件，将妥善保存并即时向供应商发出确认回执通知。在投标截止时间前，除供应商补充、修改或者撤回投标文件外，任何单位和个人不得解密或提取投标文件。</w:t>
      </w:r>
    </w:p>
    <w:p w14:paraId="0492C525">
      <w:pPr>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5.3采购人、采购代理机构可以视情况延长投标文件提交的截止时间。在上述情况下，采购代理机构与投标人以前在投标截止期方面的全部权利、责任和义务，将适用于延长至新的投标截止期。</w:t>
      </w:r>
    </w:p>
    <w:p w14:paraId="038033CD">
      <w:pPr>
        <w:adjustRightInd w:val="0"/>
        <w:spacing w:line="440" w:lineRule="exact"/>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.投标有效期</w:t>
      </w:r>
    </w:p>
    <w:p w14:paraId="0CBC3883">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.1投标有效期为从提交投标文件的截止之日起90天。投标人的投标文件中承诺的投标有效期少于招标文件中载明的投标有效期的，投标无效。</w:t>
      </w:r>
    </w:p>
    <w:p w14:paraId="30CF0DEA">
      <w:pPr>
        <w:adjustRightInd w:val="0"/>
        <w:snapToGrid w:val="0"/>
        <w:spacing w:line="44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.2投标文件合格投递后，自投标截止日期起，在投标有效期内有效。</w:t>
      </w:r>
    </w:p>
    <w:p w14:paraId="1AF48019">
      <w:pPr>
        <w:adjustRightInd w:val="0"/>
        <w:snapToGrid w:val="0"/>
        <w:spacing w:line="440" w:lineRule="exact"/>
        <w:ind w:firstLine="480" w:firstLineChars="200"/>
        <w:jc w:val="left"/>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r>
        <w:rPr>
          <w:rFonts w:hint="default" w:ascii="仿宋" w:hAnsi="仿宋" w:eastAsia="仿宋" w:cs="仿宋"/>
          <w:b w:val="0"/>
          <w:bCs w:val="0"/>
          <w:i w:val="0"/>
          <w:iCs w:val="0"/>
          <w:color w:val="auto"/>
          <w:kern w:val="2"/>
          <w:sz w:val="24"/>
          <w:szCs w:val="24"/>
          <w:highlight w:val="none"/>
          <w:vertAlign w:val="baseline"/>
          <w:lang w:val="en-US" w:eastAsia="zh-CN" w:bidi="ar-SA"/>
        </w:rPr>
        <w:t>。</w:t>
      </w:r>
    </w:p>
    <w:p w14:paraId="4313059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四、开标和评标</w:t>
      </w:r>
    </w:p>
    <w:p w14:paraId="3479EAC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1．电子招投标开标及评审程序</w:t>
      </w:r>
    </w:p>
    <w:p w14:paraId="03FD4D3B">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1.1投标截止时间后，主持人宣布开标开始。</w:t>
      </w:r>
    </w:p>
    <w:p w14:paraId="76F9C511">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1.2投标人登录</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采云平台，用“项目采购-开标评标”功能对电子投标文件进行在线解密。在线解密电子投标文件时间为开标时间起30分钟内。</w:t>
      </w:r>
    </w:p>
    <w:p w14:paraId="6C34CF5E">
      <w:pPr>
        <w:snapToGrid w:val="0"/>
        <w:spacing w:line="4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1.3评标委员会对资格和商务技术响应文件进行评审</w:t>
      </w:r>
      <w:r>
        <w:rPr>
          <w:rFonts w:hint="eastAsia" w:ascii="宋体" w:hAnsi="宋体" w:eastAsia="宋体" w:cs="宋体"/>
          <w:color w:val="auto"/>
          <w:sz w:val="24"/>
          <w:szCs w:val="24"/>
          <w:highlight w:val="none"/>
          <w:lang w:eastAsia="zh-CN"/>
        </w:rPr>
        <w:t>。</w:t>
      </w:r>
    </w:p>
    <w:p w14:paraId="0326C74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1.4主持人宣布商务技术得分及无效（废）投标情形（如有），公布经商务技术（资信）评审符合招标文件要求的投标人名单及其商务技术得分。</w:t>
      </w:r>
    </w:p>
    <w:p w14:paraId="6B1FA433">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1.5启封报价文件资料，主持人宣读投标人名称、投标价格和投标文件的其他内容。未宣读的投标报价和招标文件未允许提供的备选投标方案等实质性内容，评标时不予承认。</w:t>
      </w:r>
    </w:p>
    <w:p w14:paraId="6D4A8A40">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1.6评标委员会对投标文件报价文件资料进行评审，核准投标报价及计算价格分，汇总商务技术分、价格分，根据得分排序确定中标候选人。</w:t>
      </w:r>
    </w:p>
    <w:p w14:paraId="3245C1D1">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1.7主持人公布评标结果。</w:t>
      </w:r>
    </w:p>
    <w:p w14:paraId="5E12E9AD">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r>
        <w:rPr>
          <w:rFonts w:hint="eastAsia" w:ascii="宋体" w:hAnsi="宋体" w:cs="宋体"/>
          <w:b/>
          <w:color w:val="auto"/>
          <w:sz w:val="24"/>
          <w:szCs w:val="24"/>
          <w:highlight w:val="none"/>
          <w:lang w:val="en-US" w:eastAsia="zh-CN"/>
        </w:rPr>
        <w:t>乐</w:t>
      </w:r>
      <w:r>
        <w:rPr>
          <w:rFonts w:hint="eastAsia" w:ascii="宋体" w:hAnsi="宋体" w:eastAsia="宋体" w:cs="宋体"/>
          <w:b/>
          <w:color w:val="auto"/>
          <w:sz w:val="24"/>
          <w:szCs w:val="24"/>
          <w:highlight w:val="none"/>
        </w:rPr>
        <w:t>采云公司如对电子化开标及评审程序有调整的，按调整后的程序操作。</w:t>
      </w:r>
    </w:p>
    <w:p w14:paraId="392480E1">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2.采购过程中出现以下情形，导致电子交易平台无法正常运行，或者无法保证电子交易的公平、公正和安全时，采购组织机构可中止电子交易活动：</w:t>
      </w:r>
    </w:p>
    <w:p w14:paraId="73130297">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2.1电子交易平台发生故障而无法登录访问的； </w:t>
      </w:r>
    </w:p>
    <w:p w14:paraId="0642444F">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2.2电子交易平台应用或数据库出现错误，不能进行正常操作的；</w:t>
      </w:r>
    </w:p>
    <w:p w14:paraId="436CF2F6">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2.3电子交易平台发现严重安全漏洞，有潜在泄密危险的；</w:t>
      </w:r>
    </w:p>
    <w:p w14:paraId="0BF086AB">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2.4病毒发作导致不能进行正常操作的； </w:t>
      </w:r>
    </w:p>
    <w:p w14:paraId="569AA756">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2.5其他无法保证电子交易的公平、公正和安全的情况。</w:t>
      </w:r>
    </w:p>
    <w:p w14:paraId="0F12E811">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39AF118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3．评标</w:t>
      </w:r>
    </w:p>
    <w:p w14:paraId="75219033">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3.1评标委员会由招标采购单位依法组建，负责评标活动。评标委员会遵循公开、公平、公正、科学合理、竞争择优的原则。</w:t>
      </w:r>
    </w:p>
    <w:p w14:paraId="2DAA1E5D">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3.2评标委员会由采购人代表和有关方面的专家组成，成员人数为五人以上单数。</w:t>
      </w:r>
    </w:p>
    <w:p w14:paraId="568A51D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3.3评标委员会负责对投标人资格的最终审定。</w:t>
      </w:r>
    </w:p>
    <w:p w14:paraId="62C6B96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3.4评标委员会可以要求投标人对其投标文件中含义不明确的内容作必要的澄清或者说明，但澄清或者说明不得超过投标文件的范围或者改变投标文件的实质性内容。</w:t>
      </w:r>
    </w:p>
    <w:p w14:paraId="5FC1D18A">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评审中需要供应商对投标、响应文件作出澄清、说明或者补正的，评标委员会和供应商应当通过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采云平台交换数据电文。给予供应商提交澄清说明或补正的时间不少于半小时，供应商已经明确表示澄清说明或补正完毕的除外。</w:t>
      </w:r>
    </w:p>
    <w:p w14:paraId="55E8B52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采云平台交换的数据电文必须进行电子签章。</w:t>
      </w:r>
    </w:p>
    <w:p w14:paraId="705B727A">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对投标文件的判定，只依据投标文件和招标文件内容本身，不依据任何外来证明。</w:t>
      </w:r>
    </w:p>
    <w:p w14:paraId="6ECC49B0">
      <w:pPr>
        <w:widowControl/>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3.6评标委员会不向落标方解释落标的原因。</w:t>
      </w:r>
    </w:p>
    <w:p w14:paraId="2E502D60">
      <w:pPr>
        <w:snapToGrid w:val="0"/>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4．投标文件的初审鉴定</w:t>
      </w:r>
    </w:p>
    <w:p w14:paraId="659492FC">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4.1资格性审查</w:t>
      </w:r>
    </w:p>
    <w:p w14:paraId="5A1D6380">
      <w:pPr>
        <w:snapToGrid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4.1.1依据法律、法规和招标文件规定，采购人或采购人代表对投标人进行资格审查，以确定投标人是否具备投标资格。</w:t>
      </w:r>
    </w:p>
    <w:p w14:paraId="23A0216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4.2符合性审查</w:t>
      </w:r>
    </w:p>
    <w:p w14:paraId="04BEA2B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EEA6D00">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4.3如果投标文件实质不响应招标文件的各项要求，评标委员会将予以拒绝，并且不允许投标人通过修改或撤销其不符合要求的差异或保留，使之成为具有实质性响应的投标。</w:t>
      </w:r>
    </w:p>
    <w:p w14:paraId="1B50EEED">
      <w:pPr>
        <w:spacing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 xml:space="preserve">5. </w:t>
      </w:r>
      <w:r>
        <w:rPr>
          <w:rFonts w:hint="eastAsia" w:ascii="宋体" w:hAnsi="宋体" w:eastAsia="宋体" w:cs="宋体"/>
          <w:b/>
          <w:color w:val="auto"/>
          <w:sz w:val="24"/>
          <w:szCs w:val="24"/>
          <w:highlight w:val="none"/>
        </w:rPr>
        <w:t>投标文件报价出现前后不一致的，按照下列规定修正：</w:t>
      </w:r>
    </w:p>
    <w:p w14:paraId="7218A123">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5.1投标文件中开标一览表（报价表）内容与投标文件中相应内容不一致的，以开标一览表（报价表）为准；</w:t>
      </w:r>
    </w:p>
    <w:p w14:paraId="3932FED1">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5.2大写金额和小写金额不一致的，以大写金额为准；</w:t>
      </w:r>
    </w:p>
    <w:p w14:paraId="04713387">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5.3单价金额小数点或者百分比有明显错位的，以开标一览表的总价为准，并修改单价；</w:t>
      </w:r>
    </w:p>
    <w:p w14:paraId="0F69D0F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5.4总价金额与按单价汇总金额不一致的，以单价金额计算结果为准。</w:t>
      </w:r>
    </w:p>
    <w:p w14:paraId="27BD1B3A">
      <w:pPr>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w:t>
      </w:r>
      <w:r>
        <w:rPr>
          <w:rFonts w:hint="eastAsia" w:ascii="宋体" w:hAnsi="宋体" w:eastAsia="宋体" w:cs="宋体"/>
          <w:bCs/>
          <w:color w:val="auto"/>
          <w:sz w:val="24"/>
          <w:szCs w:val="24"/>
          <w:highlight w:val="none"/>
        </w:rPr>
        <w:t>修正后的报价</w:t>
      </w:r>
      <w:r>
        <w:rPr>
          <w:rFonts w:hint="eastAsia" w:ascii="宋体" w:hAnsi="宋体" w:cs="宋体"/>
          <w:bCs/>
          <w:color w:val="auto"/>
          <w:sz w:val="24"/>
          <w:szCs w:val="24"/>
          <w:highlight w:val="none"/>
          <w:lang w:val="en-US" w:eastAsia="zh-CN"/>
        </w:rPr>
        <w:t>参</w:t>
      </w:r>
      <w:r>
        <w:rPr>
          <w:rFonts w:hint="eastAsia" w:ascii="宋体" w:hAnsi="宋体" w:eastAsia="宋体" w:cs="宋体"/>
          <w:bCs/>
          <w:color w:val="auto"/>
          <w:sz w:val="24"/>
          <w:szCs w:val="24"/>
          <w:highlight w:val="none"/>
        </w:rPr>
        <w:t>照财政部公布第87号令 《政府采购货物和服务招标投标管理办法》</w:t>
      </w:r>
      <w:r>
        <w:rPr>
          <w:rFonts w:hint="eastAsia" w:ascii="宋体" w:hAnsi="宋体" w:eastAsia="宋体" w:cs="宋体"/>
          <w:color w:val="auto"/>
          <w:sz w:val="24"/>
          <w:szCs w:val="24"/>
          <w:highlight w:val="none"/>
        </w:rPr>
        <w:t>第五十一条第二款的规定经投标人确认后产生约束力，投标人不确认的，其投标无效。</w:t>
      </w:r>
    </w:p>
    <w:p w14:paraId="1BA21A25">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6.投标文件的评审、比较和否决</w:t>
      </w:r>
    </w:p>
    <w:p w14:paraId="0800F935">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6.1评标委员会将对在实质上响应招标文件要求的投标文件进行评估和比较。</w:t>
      </w:r>
    </w:p>
    <w:p w14:paraId="2A0CD5A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6.2在评审过程中，评标委员会可以书面形式要求投标人就投标文件含义不明确的内容可对其通过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采云平台进行书面说明并提供相关材料，但不得超过投标文件的范围或者改变投标文件的实质性内容。</w:t>
      </w:r>
    </w:p>
    <w:p w14:paraId="64B851C5">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6.3在评标过程中，如发现与招标文件要求相偏离的，评标委员会可对其偏离情形进行必要的核实。</w:t>
      </w:r>
    </w:p>
    <w:p w14:paraId="4C4CD938">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6.4在评审过程中，如属于实质性偏离或符合无效响应条件的，应当询问相关投标人，并可对其通过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采云平台进行线上确认，但不允许对偏离条款进行补充、修正或撤回。</w:t>
      </w:r>
    </w:p>
    <w:p w14:paraId="58971A3E">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6.5比较与评价。评标委员会应当按照评标标准，对符合性审查合格的投标文件进行商务和技术评估，综合比较与评价。</w:t>
      </w:r>
    </w:p>
    <w:p w14:paraId="68C2B8A6">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6.6汇总（商务技术得分情况）。评标委员会各成员应当独立对每个投标人的商务技术（资信）文件进行评价，并汇总商务技术得分情况。</w:t>
      </w:r>
    </w:p>
    <w:p w14:paraId="79BDA165">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 报价审核。对符合采购需求且通过商务技术（资信）评审的投标人的报价的合理性、准确性等进行审查核实。</w:t>
      </w:r>
    </w:p>
    <w:p w14:paraId="6DB502F2">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宋体"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采云平台提供线上说明，必要时提交相关证明材料。</w:t>
      </w:r>
    </w:p>
    <w:p w14:paraId="0C2CF818">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6.7.3如需投标价格修正，按财政部87号令第五十九条的规定对投标价格进行修正。</w:t>
      </w:r>
    </w:p>
    <w:p w14:paraId="2227451D">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6.8评标委员会依据招标文件规定的评标标准和方法，对投标文件进行评审和比较后提供书面评标报告，并按得分高低排序推荐中标候选供应商。</w:t>
      </w:r>
    </w:p>
    <w:p w14:paraId="2FFED23D">
      <w:pPr>
        <w:pStyle w:val="7"/>
        <w:widowControl w:val="0"/>
        <w:numPr>
          <w:ilvl w:val="0"/>
          <w:numId w:val="0"/>
        </w:numPr>
        <w:spacing w:afterLines="0" w:line="440" w:lineRule="exact"/>
        <w:ind w:leftChars="-20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7.投标文件的澄清</w:t>
      </w:r>
    </w:p>
    <w:p w14:paraId="3C5C6A86">
      <w:pPr>
        <w:pStyle w:val="7"/>
        <w:widowControl w:val="0"/>
        <w:spacing w:afterLines="0"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6965F5D5">
      <w:pPr>
        <w:pStyle w:val="17"/>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8.无效投标的情形</w:t>
      </w:r>
    </w:p>
    <w:p w14:paraId="25839311">
      <w:pPr>
        <w:tabs>
          <w:tab w:val="left" w:pos="4085"/>
        </w:tabs>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投标文件有下列情形之一的作无效投标处理：</w:t>
      </w:r>
    </w:p>
    <w:p w14:paraId="3BB19F7C">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8.1未按照招标文件规定要求电子签章、签字或盖章的；</w:t>
      </w:r>
    </w:p>
    <w:p w14:paraId="33F07258">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8.2单位负责人为同一人或者存在直接控股、管理关系的不同供应商参加同一合同项下的采购活动的（均无效）；</w:t>
      </w:r>
    </w:p>
    <w:p w14:paraId="60562D36">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8.3为采购项目提供整体设计、规范编制或者项目管理、监理、检测等服务的供应商参加该采购项目的其他采购活动的； </w:t>
      </w:r>
    </w:p>
    <w:p w14:paraId="57073C82">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8.4投标人不具备招标文件中规定的资格要求的（投标人未提供有效的资格证明文件的，视为投标人不具备招标文件中规定的资格要求）；</w:t>
      </w:r>
    </w:p>
    <w:p w14:paraId="328DFBF7">
      <w:pPr>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8.5《法定代表人身份证明书》与提供的身份证复印件信息不符的；《法定代表人授权委托书》与提供的身份证复印件信息不符的；</w:t>
      </w:r>
    </w:p>
    <w:p w14:paraId="460066B1">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8.6《法定代表人授权委托书》或《法定代表人身份证明书》填写不全、错误、未电子签章(《法定代表人授权委托书》要求“电子签章”和“签字或盖章”缺一不可）的；</w:t>
      </w:r>
    </w:p>
    <w:p w14:paraId="0CDA5B4C">
      <w:pPr>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8.7授权代表非投标单位正式职工的（以社保证明为准，如授权代表为离退休返聘人员的，需提供退休证明及单位聘用证明），法定代表人及个体工商户除外；</w:t>
      </w:r>
    </w:p>
    <w:p w14:paraId="5D732E82">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8.8投标文件中的投标函无投标人的电子签章或填写不全的；</w:t>
      </w:r>
    </w:p>
    <w:p w14:paraId="60B71574">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8.9报</w:t>
      </w:r>
      <w:r>
        <w:rPr>
          <w:rFonts w:hint="eastAsia" w:ascii="宋体" w:hAnsi="宋体" w:eastAsia="宋体" w:cs="宋体"/>
          <w:b/>
          <w:color w:val="auto"/>
          <w:sz w:val="24"/>
          <w:szCs w:val="24"/>
          <w:highlight w:val="none"/>
        </w:rPr>
        <w:t>价一经涂改，未在涂改处加盖投标单位公章或者未经法定代表人或其授权代表签字或盖章的；</w:t>
      </w:r>
    </w:p>
    <w:p w14:paraId="25B8EE5E">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8.10</w:t>
      </w:r>
      <w:r>
        <w:rPr>
          <w:rFonts w:hint="eastAsia" w:ascii="宋体" w:hAnsi="宋体" w:eastAsia="宋体" w:cs="宋体"/>
          <w:b/>
          <w:color w:val="auto"/>
          <w:sz w:val="24"/>
          <w:szCs w:val="24"/>
          <w:highlight w:val="none"/>
        </w:rPr>
        <w:t>未按招标文件规定的格式填写，或对招标服务或技术或产品等要求未详细应答或应答内容不全、有缺失的,经评标委员会认定为无法评审的；</w:t>
      </w:r>
    </w:p>
    <w:p w14:paraId="0737470B">
      <w:pPr>
        <w:pStyle w:val="17"/>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5147390E">
      <w:pPr>
        <w:pStyle w:val="17"/>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8.12《技术偏离说明表》不真实填写或弄虚作假的；</w:t>
      </w:r>
    </w:p>
    <w:p w14:paraId="5F0C3E33">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8.13投</w:t>
      </w:r>
      <w:r>
        <w:rPr>
          <w:rFonts w:hint="eastAsia" w:ascii="宋体" w:hAnsi="宋体" w:eastAsia="宋体" w:cs="宋体"/>
          <w:b/>
          <w:color w:val="auto"/>
          <w:kern w:val="0"/>
          <w:sz w:val="24"/>
          <w:szCs w:val="24"/>
          <w:highlight w:val="none"/>
        </w:rPr>
        <w:t>标文件含有采购人不能接受的附加条件；</w:t>
      </w:r>
    </w:p>
    <w:p w14:paraId="3AD62459">
      <w:pPr>
        <w:tabs>
          <w:tab w:val="left" w:pos="3870"/>
          <w:tab w:val="left" w:pos="4085"/>
        </w:tabs>
        <w:snapToGrid w:val="0"/>
        <w:spacing w:line="44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8.14评</w:t>
      </w:r>
      <w:r>
        <w:rPr>
          <w:rFonts w:hint="eastAsia" w:ascii="宋体" w:hAnsi="宋体" w:eastAsia="宋体" w:cs="宋体"/>
          <w:b/>
          <w:color w:val="auto"/>
          <w:sz w:val="24"/>
          <w:szCs w:val="24"/>
          <w:highlight w:val="none"/>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67B9EECE">
      <w:pPr>
        <w:tabs>
          <w:tab w:val="left" w:pos="3870"/>
          <w:tab w:val="left" w:pos="4085"/>
        </w:tabs>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8.15报价超过招标文件中规定的预算金额或最高限价的；</w:t>
      </w:r>
    </w:p>
    <w:p w14:paraId="14BBD5BF">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8.16投标文件“商务技术（资信）文件资料”部分中出现《开标一览表》相关内容的；</w:t>
      </w:r>
    </w:p>
    <w:p w14:paraId="66B553C9">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《开标一览表》填写不完整或字迹不能辨认或有漏项的，经评标委员会认定属于重大偏差的；</w:t>
      </w:r>
    </w:p>
    <w:p w14:paraId="7EB087DE">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投标人对根据修正原则修正后的报价不确认的；</w:t>
      </w:r>
    </w:p>
    <w:p w14:paraId="0310B055">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r>
        <w:rPr>
          <w:rFonts w:hint="eastAsia" w:ascii="宋体" w:hAnsi="宋体" w:cs="宋体"/>
          <w:b/>
          <w:color w:val="auto"/>
          <w:sz w:val="24"/>
          <w:szCs w:val="24"/>
          <w:highlight w:val="none"/>
          <w:lang w:val="en-US" w:eastAsia="zh-CN"/>
        </w:rPr>
        <w:t>19</w:t>
      </w:r>
      <w:r>
        <w:rPr>
          <w:rFonts w:hint="eastAsia" w:ascii="宋体" w:hAnsi="宋体" w:eastAsia="宋体" w:cs="宋体"/>
          <w:b/>
          <w:color w:val="auto"/>
          <w:sz w:val="24"/>
          <w:szCs w:val="24"/>
          <w:highlight w:val="none"/>
        </w:rPr>
        <w:t>投标人提供虚假材料投标的（包括但不限于以下情节）；</w:t>
      </w:r>
    </w:p>
    <w:p w14:paraId="60600990">
      <w:pPr>
        <w:keepNext w:val="0"/>
        <w:keepLines w:val="0"/>
        <w:pageBreakBefore w:val="0"/>
        <w:tabs>
          <w:tab w:val="left" w:pos="3870"/>
          <w:tab w:val="left" w:pos="4085"/>
        </w:tabs>
        <w:kinsoku/>
        <w:wordWrap/>
        <w:overflowPunct/>
        <w:topLinePunct w:val="0"/>
        <w:bidi w:val="0"/>
        <w:adjustRightInd/>
        <w:snapToGrid w:val="0"/>
        <w:spacing w:line="440" w:lineRule="exact"/>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8.20.1使用伪造、变造的许可证件；</w:t>
      </w:r>
    </w:p>
    <w:p w14:paraId="13C018F1">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8.20.2提供虚假的财务状况或者业绩；</w:t>
      </w:r>
    </w:p>
    <w:p w14:paraId="6E6C817C">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8.20.3提供虚假的项目负责人或者主要技术人员简历、劳动关系证明；</w:t>
      </w:r>
    </w:p>
    <w:p w14:paraId="6EFC1FDD">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8.20.4提供虚假的信用状况；</w:t>
      </w:r>
    </w:p>
    <w:p w14:paraId="3FC50DFA">
      <w:pPr>
        <w:keepNext w:val="0"/>
        <w:keepLines w:val="0"/>
        <w:pageBreakBefore w:val="0"/>
        <w:tabs>
          <w:tab w:val="left" w:pos="3870"/>
          <w:tab w:val="left" w:pos="4085"/>
        </w:tabs>
        <w:kinsoku/>
        <w:wordWrap/>
        <w:overflowPunct/>
        <w:topLinePunct w:val="0"/>
        <w:bidi w:val="0"/>
        <w:adjustRightInd/>
        <w:snapToGrid w:val="0"/>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8.20.5其他弄虚作假的行为。</w:t>
      </w:r>
    </w:p>
    <w:p w14:paraId="08F354A7">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下列情形之一的，视为投标人串通投标，其投标无效：</w:t>
      </w:r>
    </w:p>
    <w:p w14:paraId="501A1E2E">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.1不同投标人的投标文件由同一单位或者个人编制；</w:t>
      </w:r>
    </w:p>
    <w:p w14:paraId="5A8F395D">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.2不同投标人委托同一单位或者个人办理投标事宜；</w:t>
      </w:r>
    </w:p>
    <w:p w14:paraId="23C1FB2C">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.3不同投标人的投标文件载明的项目管理成员或者联系人员为同一人；</w:t>
      </w:r>
    </w:p>
    <w:p w14:paraId="71DDEDA9">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.4不同投标人的投标文件异常一致或者投标报价呈规律性差异；</w:t>
      </w:r>
    </w:p>
    <w:p w14:paraId="2E35EC29">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.5不同投标人的投标文件相互混装；</w:t>
      </w:r>
    </w:p>
    <w:p w14:paraId="0522F2CD">
      <w:pPr>
        <w:keepNext w:val="0"/>
        <w:keepLines w:val="0"/>
        <w:pageBreakBefore w:val="0"/>
        <w:tabs>
          <w:tab w:val="left" w:pos="3870"/>
          <w:tab w:val="left" w:pos="4085"/>
        </w:tabs>
        <w:kinsoku/>
        <w:wordWrap/>
        <w:overflowPunct/>
        <w:topLinePunct w:val="0"/>
        <w:bidi w:val="0"/>
        <w:adjustRightInd/>
        <w:snapToGrid w:val="0"/>
        <w:spacing w:line="440" w:lineRule="exact"/>
        <w:ind w:firstLine="422" w:firstLineChars="17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3917D759">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有下列情形之一的，属于恶意串通，其投标无效：</w:t>
      </w:r>
    </w:p>
    <w:p w14:paraId="6C38148F">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.1供应商直接或者间接从采购人或者采购机构处获得其他供应商的相关情况并修改其投标文件或者响应文件；</w:t>
      </w:r>
    </w:p>
    <w:p w14:paraId="36408E0D">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.2供应商按照采购人或者采购机构的授意撤换、修改投标文件或者响应文件；</w:t>
      </w:r>
    </w:p>
    <w:p w14:paraId="3DD0BD14">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.3供应商之间协商报价、技术方案等投标文件或者响应文件的实质性内容；</w:t>
      </w:r>
    </w:p>
    <w:p w14:paraId="7529F8CE">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.4属于同一集团、协会、商会等组织成员的供应商按照该组织要求协同参加采购活动；</w:t>
      </w:r>
    </w:p>
    <w:p w14:paraId="396879D5">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.5供应商之间事先约定由某一特定供应商中标、成交；</w:t>
      </w:r>
    </w:p>
    <w:p w14:paraId="49E85D25">
      <w:pPr>
        <w:keepNext w:val="0"/>
        <w:keepLines w:val="0"/>
        <w:pageBreakBefore w:val="0"/>
        <w:kinsoku/>
        <w:wordWrap/>
        <w:overflowPunct/>
        <w:topLinePunct w:val="0"/>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.6供应商之间商定部分供应商放弃参加采购活动或者放弃中标、成交；</w:t>
      </w:r>
    </w:p>
    <w:p w14:paraId="2445A0EE">
      <w:pPr>
        <w:keepNext w:val="0"/>
        <w:keepLines w:val="0"/>
        <w:pageBreakBefore w:val="0"/>
        <w:tabs>
          <w:tab w:val="left" w:pos="3870"/>
          <w:tab w:val="left" w:pos="4085"/>
        </w:tabs>
        <w:kinsoku/>
        <w:wordWrap/>
        <w:overflowPunct/>
        <w:topLinePunct w:val="0"/>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.7供应商与采购人或者采购机构之间、供应商相互之间，为谋求特定供应商中标、成交或者排斥其他供应商的其他串通行为。</w:t>
      </w:r>
    </w:p>
    <w:p w14:paraId="6CBBD210">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评标委员会认定有重大偏差或实质性不响应招标文件要求的；</w:t>
      </w:r>
    </w:p>
    <w:p w14:paraId="6E91EB6B">
      <w:pPr>
        <w:keepNext w:val="0"/>
        <w:keepLines w:val="0"/>
        <w:pageBreakBefore w:val="0"/>
        <w:tabs>
          <w:tab w:val="left" w:pos="3870"/>
          <w:tab w:val="left" w:pos="4085"/>
        </w:tabs>
        <w:kinsoku/>
        <w:wordWrap/>
        <w:overflowPunct/>
        <w:topLinePunct w:val="0"/>
        <w:bidi w:val="0"/>
        <w:adjustRightInd/>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报价文件中出现2个(含)以上的报价或方案的；</w:t>
      </w:r>
    </w:p>
    <w:p w14:paraId="580CE5D2">
      <w:pPr>
        <w:keepNext w:val="0"/>
        <w:keepLines w:val="0"/>
        <w:pageBreakBefore w:val="0"/>
        <w:kinsoku/>
        <w:wordWrap/>
        <w:overflowPunct/>
        <w:topLinePunct w:val="0"/>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其他违反法律、法规的情形。</w:t>
      </w:r>
    </w:p>
    <w:p w14:paraId="1FC56181">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 评标过程保密</w:t>
      </w:r>
    </w:p>
    <w:p w14:paraId="51867F4D">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w:t>
      </w:r>
      <w:r>
        <w:rPr>
          <w:rFonts w:hint="eastAsia" w:ascii="宋体" w:hAnsi="宋体" w:eastAsia="宋体" w:cs="宋体"/>
          <w:color w:val="auto"/>
          <w:sz w:val="24"/>
          <w:szCs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710A13CF">
      <w:pPr>
        <w:keepNext w:val="0"/>
        <w:keepLines w:val="0"/>
        <w:pageBreakBefore w:val="0"/>
        <w:kinsoku/>
        <w:wordWrap/>
        <w:overflowPunct/>
        <w:topLinePunct w:val="0"/>
        <w:bidi w:val="0"/>
        <w:adjustRightInd/>
        <w:snapToGrid w:val="0"/>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在评标期间，投标人企图影响招标人或</w:t>
      </w:r>
      <w:r>
        <w:rPr>
          <w:rFonts w:hint="eastAsia" w:ascii="宋体" w:hAnsi="宋体" w:eastAsia="宋体" w:cs="宋体"/>
          <w:color w:val="auto"/>
          <w:sz w:val="24"/>
          <w:szCs w:val="24"/>
          <w:highlight w:val="none"/>
        </w:rPr>
        <w:t>评标委员会</w:t>
      </w:r>
      <w:r>
        <w:rPr>
          <w:rFonts w:hint="eastAsia" w:ascii="宋体" w:hAnsi="宋体" w:eastAsia="宋体" w:cs="宋体"/>
          <w:color w:val="auto"/>
          <w:kern w:val="0"/>
          <w:sz w:val="24"/>
          <w:szCs w:val="24"/>
          <w:highlight w:val="none"/>
        </w:rPr>
        <w:t>的任何活动，都将导致投标被拒绝，并由其承担相应的法律责任。</w:t>
      </w:r>
    </w:p>
    <w:p w14:paraId="6ED9AF33">
      <w:pPr>
        <w:pStyle w:val="17"/>
        <w:keepNext w:val="0"/>
        <w:keepLines w:val="0"/>
        <w:pageBreakBefore w:val="0"/>
        <w:kinsoku/>
        <w:wordWrap/>
        <w:overflowPunct/>
        <w:topLinePunct w:val="0"/>
        <w:bidi w:val="0"/>
        <w:adjustRightInd/>
        <w:spacing w:line="440" w:lineRule="exact"/>
        <w:ind w:firstLine="726"/>
        <w:jc w:val="center"/>
        <w:textAlignment w:val="auto"/>
        <w:rPr>
          <w:rFonts w:hint="eastAsia" w:ascii="宋体" w:hAnsi="宋体" w:eastAsia="宋体" w:cs="宋体"/>
          <w:b/>
          <w:color w:val="auto"/>
          <w:sz w:val="24"/>
          <w:szCs w:val="24"/>
          <w:highlight w:val="none"/>
        </w:rPr>
      </w:pPr>
      <w:bookmarkStart w:id="27" w:name="_Toc84325929"/>
      <w:bookmarkStart w:id="28" w:name="_Toc81372953"/>
      <w:bookmarkStart w:id="29" w:name="_Toc81372776"/>
      <w:r>
        <w:rPr>
          <w:rFonts w:hint="eastAsia" w:ascii="宋体" w:hAnsi="宋体" w:eastAsia="宋体" w:cs="宋体"/>
          <w:b/>
          <w:color w:val="auto"/>
          <w:sz w:val="24"/>
          <w:szCs w:val="24"/>
          <w:highlight w:val="none"/>
        </w:rPr>
        <w:t>五、授予合同</w:t>
      </w:r>
    </w:p>
    <w:p w14:paraId="4D8531B0">
      <w:pPr>
        <w:pStyle w:val="7"/>
        <w:keepNext w:val="0"/>
        <w:keepLines w:val="0"/>
        <w:pageBreakBefore w:val="0"/>
        <w:numPr>
          <w:ilvl w:val="0"/>
          <w:numId w:val="0"/>
        </w:numPr>
        <w:kinsoku/>
        <w:wordWrap/>
        <w:overflowPunct/>
        <w:topLinePunct w:val="0"/>
        <w:bidi w:val="0"/>
        <w:adjustRightInd/>
        <w:spacing w:afterLines="0" w:line="440" w:lineRule="exact"/>
        <w:ind w:left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1.中标条件</w:t>
      </w:r>
    </w:p>
    <w:p w14:paraId="59E025D7">
      <w:pPr>
        <w:pStyle w:val="7"/>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1.1投标文件基本符合招标文件要求；</w:t>
      </w:r>
    </w:p>
    <w:p w14:paraId="7DD9AC6E">
      <w:pPr>
        <w:pStyle w:val="7"/>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1.2投标人有很好的执行合同的能力；</w:t>
      </w:r>
    </w:p>
    <w:p w14:paraId="366E5461">
      <w:pPr>
        <w:pStyle w:val="7"/>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1.3实施方案最合理并对招标人最为有利，最大限度满足招标文件的要求；</w:t>
      </w:r>
    </w:p>
    <w:p w14:paraId="5271409E">
      <w:pPr>
        <w:pStyle w:val="7"/>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1.4投标人能够提供质量技术、商务经济占综合优势的系统及服务。</w:t>
      </w:r>
    </w:p>
    <w:p w14:paraId="5000397F">
      <w:pPr>
        <w:pStyle w:val="7"/>
        <w:keepNext w:val="0"/>
        <w:keepLines w:val="0"/>
        <w:pageBreakBefore w:val="0"/>
        <w:numPr>
          <w:ilvl w:val="0"/>
          <w:numId w:val="0"/>
        </w:numPr>
        <w:kinsoku/>
        <w:wordWrap/>
        <w:overflowPunct/>
        <w:topLinePunct w:val="0"/>
        <w:bidi w:val="0"/>
        <w:adjustRightInd/>
        <w:spacing w:afterLines="0" w:line="440" w:lineRule="exact"/>
        <w:ind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1.5招标人将把中标通知书授予最佳投标者，但最低价不是中标的绝对保证。</w:t>
      </w:r>
    </w:p>
    <w:bookmarkEnd w:id="27"/>
    <w:bookmarkEnd w:id="28"/>
    <w:bookmarkEnd w:id="29"/>
    <w:p w14:paraId="523F058F">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2.中标确认</w:t>
      </w:r>
    </w:p>
    <w:p w14:paraId="42BCDAE4">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2.1采购人应当自收到评标报告之日起５个工作日内，在评标报告确定的中标候选人名单中按顺序确定中标人。</w:t>
      </w:r>
    </w:p>
    <w:p w14:paraId="74D38EC7">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2.2采购人在收到评标报告5个工作日内未按评标报告推荐的中标候选人顺序确定中标人，视同按评标报告推荐的顺序确定的中标候选人为中标人。</w:t>
      </w:r>
    </w:p>
    <w:p w14:paraId="4EEAB49A">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2.3采购人应在确认中标人前再次对资格条件和相关证件材料进一步查验核实。</w:t>
      </w:r>
    </w:p>
    <w:p w14:paraId="51ED0A2E">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3．中标通知</w:t>
      </w:r>
    </w:p>
    <w:p w14:paraId="112390AE">
      <w:pPr>
        <w:pStyle w:val="109"/>
        <w:keepNext w:val="0"/>
        <w:keepLines w:val="0"/>
        <w:pageBreakBefore w:val="0"/>
        <w:tabs>
          <w:tab w:val="left" w:pos="0"/>
        </w:tabs>
        <w:kinsoku/>
        <w:wordWrap/>
        <w:overflowPunct/>
        <w:topLinePunct w:val="0"/>
        <w:bidi w:val="0"/>
        <w:adjustRightInd/>
        <w:spacing w:before="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sz w:val="24"/>
          <w:szCs w:val="24"/>
          <w:highlight w:val="none"/>
        </w:rPr>
        <w:t>对中标结果在指定媒体</w:t>
      </w:r>
      <w:r>
        <w:rPr>
          <w:rFonts w:hint="eastAsia" w:ascii="宋体" w:hAnsi="宋体" w:eastAsia="宋体" w:cs="宋体"/>
          <w:color w:val="auto"/>
          <w:kern w:val="0"/>
          <w:sz w:val="24"/>
          <w:szCs w:val="24"/>
          <w:highlight w:val="none"/>
          <w:lang w:val="en-US" w:eastAsia="zh-CN" w:bidi="ar-SA"/>
        </w:rPr>
        <w:t>（乐采云平台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 </w:instrText>
      </w:r>
      <w:r>
        <w:rPr>
          <w:rFonts w:hint="eastAsia" w:ascii="宋体" w:hAnsi="宋体" w:eastAsia="宋体" w:cs="宋体"/>
          <w:color w:val="auto"/>
          <w:highlight w:val="none"/>
          <w:u w:val="none"/>
        </w:rPr>
        <w:fldChar w:fldCharType="separate"/>
      </w:r>
      <w:r>
        <w:rPr>
          <w:rStyle w:val="36"/>
          <w:rFonts w:hint="eastAsia" w:ascii="宋体" w:hAnsi="宋体" w:eastAsia="宋体" w:cs="宋体"/>
          <w:color w:val="auto"/>
          <w:sz w:val="24"/>
          <w:highlight w:val="none"/>
          <w:u w:val="none"/>
        </w:rPr>
        <w:t>https://www.lecaiyun.com/</w:t>
      </w:r>
      <w:r>
        <w:rPr>
          <w:rStyle w:val="36"/>
          <w:rFonts w:hint="eastAsia" w:ascii="宋体" w:hAnsi="宋体" w:eastAsia="宋体" w:cs="宋体"/>
          <w:color w:val="auto"/>
          <w:sz w:val="24"/>
          <w:highlight w:val="none"/>
          <w:u w:val="none"/>
        </w:rPr>
        <w:fldChar w:fldCharType="end"/>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发布中标公告，中标公告期限为1个工作日。</w:t>
      </w:r>
    </w:p>
    <w:p w14:paraId="1B723C81">
      <w:pPr>
        <w:keepNext w:val="0"/>
        <w:keepLines w:val="0"/>
        <w:pageBreakBefore w:val="0"/>
        <w:tabs>
          <w:tab w:val="left" w:pos="0"/>
        </w:tabs>
        <w:kinsoku/>
        <w:wordWrap/>
        <w:overflowPunct/>
        <w:topLinePunct w:val="0"/>
        <w:bidi w:val="0"/>
        <w:adjustRightInd/>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3.2在采购代理机构发出中标通知书前，中标供应商如有违反有关法律法规和本项目要求行为的，则取消该投标人的中标资格</w:t>
      </w:r>
      <w:r>
        <w:rPr>
          <w:rFonts w:hint="eastAsia" w:ascii="宋体" w:hAnsi="宋体" w:eastAsia="宋体" w:cs="宋体"/>
          <w:color w:val="auto"/>
          <w:kern w:val="0"/>
          <w:sz w:val="24"/>
          <w:szCs w:val="24"/>
          <w:highlight w:val="none"/>
          <w:lang w:val="zh-CN"/>
        </w:rPr>
        <w:t>。</w:t>
      </w:r>
    </w:p>
    <w:p w14:paraId="268507E8">
      <w:pPr>
        <w:keepNext w:val="0"/>
        <w:keepLines w:val="0"/>
        <w:pageBreakBefore w:val="0"/>
        <w:kinsoku/>
        <w:wordWrap/>
        <w:overflowPunct/>
        <w:topLinePunct w:val="0"/>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3.3采购代理机构对中标结果不作任何说明和解释，也不回答任何提问。</w:t>
      </w:r>
    </w:p>
    <w:p w14:paraId="6C66058B">
      <w:pPr>
        <w:keepNext w:val="0"/>
        <w:keepLines w:val="0"/>
        <w:pageBreakBefore w:val="0"/>
        <w:kinsoku/>
        <w:wordWrap/>
        <w:overflowPunct/>
        <w:topLinePunct w:val="0"/>
        <w:bidi w:val="0"/>
        <w:adjustRightInd/>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4．履约保证金</w:t>
      </w:r>
    </w:p>
    <w:p w14:paraId="5DA9FB1E">
      <w:pPr>
        <w:keepNext w:val="0"/>
        <w:keepLines w:val="0"/>
        <w:pageBreakBefore w:val="0"/>
        <w:kinsoku/>
        <w:wordWrap/>
        <w:overflowPunct/>
        <w:topLinePunct w:val="0"/>
        <w:bidi w:val="0"/>
        <w:adjustRightIn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7B7256D">
      <w:pPr>
        <w:keepNext w:val="0"/>
        <w:keepLines w:val="0"/>
        <w:pageBreakBefore w:val="0"/>
        <w:kinsoku/>
        <w:wordWrap/>
        <w:overflowPunct/>
        <w:topLinePunct w:val="0"/>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．合同签订及备案</w:t>
      </w:r>
    </w:p>
    <w:p w14:paraId="6EFBED4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5.1中标人应当在中标通知书发出之日起30天内与采购人签订合同，自采购合同签订之日起3个工作日内，通过电子交易平台进行备案。</w:t>
      </w:r>
    </w:p>
    <w:p w14:paraId="46E10E2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5.2如中标人为联合体的，由联合体成员各方法定代表人或其授权代表与采购人代表签订合同。</w:t>
      </w:r>
    </w:p>
    <w:p w14:paraId="7449176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6.验收</w:t>
      </w:r>
    </w:p>
    <w:p w14:paraId="6639066F">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49A260C">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6.2采购人可以邀请参加本项目的其他投标人或者第三方机构参与验收。参与验收的投标人或者第三方机构的意见作为验收书的参考资料一并存档。</w:t>
      </w:r>
    </w:p>
    <w:p w14:paraId="5F0A5FAD">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6.3 采购人负责加强对中标人的履约管理，并按照采购合同约定，及时向中标人支</w:t>
      </w:r>
      <w:r>
        <w:rPr>
          <w:rFonts w:hint="eastAsia" w:ascii="宋体" w:hAnsi="宋体" w:eastAsia="宋体" w:cs="宋体"/>
          <w:color w:val="auto"/>
          <w:spacing w:val="-11"/>
          <w:sz w:val="24"/>
          <w:szCs w:val="24"/>
          <w:highlight w:val="none"/>
        </w:rPr>
        <w:t>付采购资金。对于中标人违反采购合同约定的行为，采购人应当及时处理，依法追究其违约责任。</w:t>
      </w:r>
    </w:p>
    <w:p w14:paraId="238EBAC0">
      <w:pPr>
        <w:keepNext w:val="0"/>
        <w:keepLines w:val="0"/>
        <w:pageBreakBefore w:val="0"/>
        <w:kinsoku/>
        <w:wordWrap/>
        <w:overflowPunct/>
        <w:topLinePunct w:val="0"/>
        <w:bidi w:val="0"/>
        <w:adjustRightInd/>
        <w:snapToGrid w:val="0"/>
        <w:spacing w:line="460" w:lineRule="exact"/>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六、质疑与投诉</w:t>
      </w:r>
    </w:p>
    <w:bookmarkEnd w:id="17"/>
    <w:p w14:paraId="7D7C0864">
      <w:pPr>
        <w:keepNext w:val="0"/>
        <w:keepLines w:val="0"/>
        <w:pageBreakBefore w:val="0"/>
        <w:kinsoku/>
        <w:wordWrap/>
        <w:overflowPunct/>
        <w:topLinePunct w:val="0"/>
        <w:bidi w:val="0"/>
        <w:adjustRightInd/>
        <w:spacing w:line="460" w:lineRule="exact"/>
        <w:ind w:firstLine="420"/>
        <w:textAlignment w:val="auto"/>
        <w:rPr>
          <w:rFonts w:ascii="宋体" w:hAnsi="宋体" w:cs="宋体"/>
          <w:color w:val="auto"/>
          <w:szCs w:val="24"/>
          <w:highlight w:val="none"/>
        </w:rPr>
      </w:pPr>
      <w:bookmarkStart w:id="30" w:name="_Toc513456151"/>
      <w:r>
        <w:rPr>
          <w:rFonts w:hint="eastAsia" w:ascii="宋体" w:hAnsi="宋体" w:cs="宋体"/>
          <w:color w:val="auto"/>
          <w:szCs w:val="24"/>
          <w:highlight w:val="none"/>
        </w:rPr>
        <w:t>供应商（投标人，下同）可以依法提起质疑和投诉</w:t>
      </w:r>
      <w:r>
        <w:rPr>
          <w:rFonts w:hint="eastAsia" w:ascii="宋体" w:hAnsi="宋体" w:cs="宋体"/>
          <w:color w:val="auto"/>
          <w:szCs w:val="24"/>
          <w:highlight w:val="none"/>
          <w:lang w:eastAsia="zh-CN"/>
        </w:rPr>
        <w:t>，</w:t>
      </w:r>
      <w:r>
        <w:rPr>
          <w:rFonts w:hint="eastAsia" w:ascii="宋体" w:hAnsi="宋体" w:cs="宋体"/>
          <w:color w:val="auto"/>
          <w:szCs w:val="24"/>
          <w:highlight w:val="none"/>
        </w:rPr>
        <w:t>质疑函范本、投诉书范本请到浙江政府采购网下载专区下载。</w:t>
      </w:r>
    </w:p>
    <w:p w14:paraId="08124D33">
      <w:pPr>
        <w:keepNext w:val="0"/>
        <w:keepLines w:val="0"/>
        <w:pageBreakBefore w:val="0"/>
        <w:kinsoku/>
        <w:wordWrap/>
        <w:overflowPunct/>
        <w:topLinePunct w:val="0"/>
        <w:autoSpaceDE w:val="0"/>
        <w:autoSpaceDN w:val="0"/>
        <w:bidi w:val="0"/>
        <w:adjustRightInd/>
        <w:spacing w:line="460" w:lineRule="exact"/>
        <w:ind w:firstLine="472" w:firstLineChars="196"/>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1.供应商询问</w:t>
      </w:r>
    </w:p>
    <w:p w14:paraId="0190DA67">
      <w:pPr>
        <w:pStyle w:val="17"/>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供应商对采购活动事项有疑问的，可以向采购机构提出询问，采购机构将对供应商依法提出的询问作出答复，但答复的内容不得涉及商业秘密。</w:t>
      </w:r>
    </w:p>
    <w:p w14:paraId="11B308CB">
      <w:pPr>
        <w:keepNext w:val="0"/>
        <w:keepLines w:val="0"/>
        <w:pageBreakBefore w:val="0"/>
        <w:kinsoku/>
        <w:wordWrap/>
        <w:overflowPunct/>
        <w:topLinePunct w:val="0"/>
        <w:bidi w:val="0"/>
        <w:adjustRightInd/>
        <w:spacing w:line="4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供应商质疑</w:t>
      </w:r>
    </w:p>
    <w:p w14:paraId="45B74C1A">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.1质疑提出时效</w:t>
      </w:r>
    </w:p>
    <w:p w14:paraId="5EFD3CAE">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.1.1提出质疑的供应商应当是参与所质疑项目采购活动的供应商。潜在供应商已依法获取其可质疑的采购文件的，可以对该文件提出质疑。</w:t>
      </w:r>
    </w:p>
    <w:p w14:paraId="684B34C9">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5D4BEE">
      <w:pPr>
        <w:keepNext w:val="0"/>
        <w:keepLines w:val="0"/>
        <w:pageBreakBefore w:val="0"/>
        <w:widowControl/>
        <w:kinsoku/>
        <w:wordWrap/>
        <w:overflowPunct/>
        <w:topLinePunct w:val="0"/>
        <w:bidi w:val="0"/>
        <w:adjustRightInd/>
        <w:snapToGrid w:val="0"/>
        <w:spacing w:line="460" w:lineRule="exact"/>
        <w:ind w:firstLine="434" w:firstLineChars="181"/>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.1.2.1对采购文件提出质疑的，质疑期限为供应商获得采购文件之日或者采购文件公告期限届满之日起计算，采购文件在获取截止之日后获得的，应当自采购文件公告期限届满之日起计算。</w:t>
      </w:r>
    </w:p>
    <w:p w14:paraId="26477EC8">
      <w:pPr>
        <w:keepNext w:val="0"/>
        <w:keepLines w:val="0"/>
        <w:pageBreakBefore w:val="0"/>
        <w:kinsoku/>
        <w:wordWrap/>
        <w:overflowPunct/>
        <w:topLinePunct w:val="0"/>
        <w:bidi w:val="0"/>
        <w:adjustRightInd/>
        <w:spacing w:line="460" w:lineRule="exact"/>
        <w:ind w:firstLine="456" w:firstLineChars="20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.1.2.2对采购过程提出质疑的，质疑期限为各采购程序环节结束之日起计算。</w:t>
      </w:r>
    </w:p>
    <w:p w14:paraId="5D5C0697">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.1.2.3对采购结果提出质疑的，质疑期限自采购结果公告期限届满之日起计算。</w:t>
      </w:r>
    </w:p>
    <w:p w14:paraId="1822870B">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.1.2.4对同一采购程序环节的质疑，供应商须一次性提出。</w:t>
      </w:r>
    </w:p>
    <w:p w14:paraId="1AD65C5D">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质疑函</w:t>
      </w:r>
    </w:p>
    <w:p w14:paraId="7991B00E">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.2.1供应商提出质疑应当提交质疑函和必要的证明材料。质疑函应当包括下列内容：</w:t>
      </w:r>
    </w:p>
    <w:p w14:paraId="02440637">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681397D6">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质疑项目的名称、编号；</w:t>
      </w:r>
    </w:p>
    <w:p w14:paraId="76EAC707">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5D213C83">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事实依据；</w:t>
      </w:r>
    </w:p>
    <w:p w14:paraId="0B40F5AD">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必要的法律依据；</w:t>
      </w:r>
    </w:p>
    <w:p w14:paraId="3506463A">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提出质疑的日期。</w:t>
      </w:r>
    </w:p>
    <w:p w14:paraId="605B7F1E">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58F6115">
      <w:pPr>
        <w:keepNext w:val="0"/>
        <w:keepLines w:val="0"/>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质疑函范本及制作说明详见附件。</w:t>
      </w:r>
    </w:p>
    <w:p w14:paraId="713632A9">
      <w:pPr>
        <w:keepNext w:val="0"/>
        <w:keepLines w:val="0"/>
        <w:pageBreakBefore w:val="0"/>
        <w:kinsoku/>
        <w:wordWrap/>
        <w:overflowPunct/>
        <w:topLinePunct w:val="0"/>
        <w:bidi w:val="0"/>
        <w:adjustRightInd/>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.供应商投诉</w:t>
      </w:r>
    </w:p>
    <w:p w14:paraId="698F1043">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.1质疑供应商对采购人或采购代理机构的答复不满意或者采购人、采购代理机构未在规定的时间内作出答复的，可以在答复期满后十五个工作日内向采购监督管理部门提出投诉。</w:t>
      </w:r>
    </w:p>
    <w:p w14:paraId="0B7E352B">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.2供应商投诉的事项不得超出已质疑事项的范围，基于质疑答复内容提出的投诉事项除外。</w:t>
      </w:r>
    </w:p>
    <w:p w14:paraId="6164BFC0">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4.3供应商投诉应当有明确的请求和必要的证明材料。</w:t>
      </w:r>
    </w:p>
    <w:p w14:paraId="7A4E1B38">
      <w:pPr>
        <w:keepNext w:val="0"/>
        <w:keepLines w:val="0"/>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4.4以联合体形式参加采购活动的，其投诉应当由组成联合体的所有供应商共同提出。</w:t>
      </w:r>
    </w:p>
    <w:p w14:paraId="7EEE25A0">
      <w:pPr>
        <w:keepNext w:val="0"/>
        <w:keepLines w:val="0"/>
        <w:pageBreakBefore w:val="0"/>
        <w:kinsoku/>
        <w:wordWrap/>
        <w:overflowPunct/>
        <w:topLinePunct w:val="0"/>
        <w:bidi w:val="0"/>
        <w:adjustRightInd/>
        <w:snapToGrid w:val="0"/>
        <w:spacing w:line="440" w:lineRule="exact"/>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投诉书范本及制作说明详见附件。</w:t>
      </w:r>
    </w:p>
    <w:p w14:paraId="21D51EA5">
      <w:pPr>
        <w:pStyle w:val="13"/>
        <w:keepNext w:val="0"/>
        <w:keepLines w:val="0"/>
        <w:pageBreakBefore w:val="0"/>
        <w:kinsoku/>
        <w:wordWrap/>
        <w:overflowPunct/>
        <w:topLinePunct w:val="0"/>
        <w:bidi w:val="0"/>
        <w:adjustRightInd/>
        <w:spacing w:after="0" w:line="440" w:lineRule="exact"/>
        <w:ind w:firstLine="480" w:firstLineChars="200"/>
        <w:textAlignment w:val="auto"/>
        <w:rPr>
          <w:rFonts w:hint="eastAsia" w:ascii="宋体" w:hAnsi="宋体" w:eastAsia="宋体" w:cs="宋体"/>
          <w:color w:val="auto"/>
          <w:sz w:val="24"/>
          <w:szCs w:val="24"/>
          <w:highlight w:val="none"/>
        </w:rPr>
        <w:sectPr>
          <w:footerReference r:id="rId4" w:type="default"/>
          <w:pgSz w:w="11906" w:h="16838"/>
          <w:pgMar w:top="1587" w:right="1587" w:bottom="1587" w:left="1587" w:header="851" w:footer="834" w:gutter="0"/>
          <w:pgNumType w:start="1"/>
          <w:cols w:space="720" w:num="1"/>
          <w:docGrid w:linePitch="312" w:charSpace="0"/>
        </w:sectPr>
      </w:pPr>
    </w:p>
    <w:p w14:paraId="309E8A20">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right="0" w:rightChars="0"/>
        <w:jc w:val="center"/>
        <w:textAlignment w:val="auto"/>
        <w:outlineLvl w:val="0"/>
        <w:rPr>
          <w:rFonts w:hint="eastAsia" w:ascii="宋体" w:hAnsi="宋体" w:eastAsia="宋体" w:cs="宋体"/>
          <w:b/>
          <w:bCs/>
          <w:color w:val="auto"/>
          <w:kern w:val="0"/>
          <w:sz w:val="36"/>
          <w:highlight w:val="none"/>
        </w:rPr>
      </w:pPr>
      <w:r>
        <w:rPr>
          <w:rFonts w:hint="eastAsia" w:ascii="宋体" w:hAnsi="宋体" w:eastAsia="宋体" w:cs="宋体"/>
          <w:b/>
          <w:bCs/>
          <w:color w:val="auto"/>
          <w:kern w:val="0"/>
          <w:sz w:val="36"/>
          <w:highlight w:val="none"/>
        </w:rPr>
        <w:t>第三部分  项目招标范围及服务要求</w:t>
      </w:r>
    </w:p>
    <w:p w14:paraId="6415D8D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0"/>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一、项目概况</w:t>
      </w:r>
    </w:p>
    <w:p w14:paraId="2B821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0"/>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本项目主要为嵊州市杨港路（嵊州大道-官河南路）的智慧路灯及多杆合一改造。</w:t>
      </w:r>
    </w:p>
    <w:p w14:paraId="066234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二、采购清单</w:t>
      </w:r>
    </w:p>
    <w:tbl>
      <w:tblPr>
        <w:tblStyle w:val="31"/>
        <w:tblW w:w="9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296"/>
        <w:gridCol w:w="1535"/>
        <w:gridCol w:w="3947"/>
        <w:gridCol w:w="814"/>
        <w:gridCol w:w="1124"/>
      </w:tblGrid>
      <w:tr w14:paraId="224C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C8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8C5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项目编码</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69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007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项目特征</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E52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FDA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数</w:t>
            </w:r>
            <w:r>
              <w:rPr>
                <w:rFonts w:hint="eastAsia" w:ascii="宋体" w:hAnsi="宋体" w:eastAsia="宋体" w:cs="宋体"/>
                <w:i w:val="0"/>
                <w:iCs w:val="0"/>
                <w:color w:val="auto"/>
                <w:kern w:val="0"/>
                <w:sz w:val="18"/>
                <w:szCs w:val="18"/>
                <w:u w:val="none"/>
                <w:lang w:val="en-US" w:eastAsia="zh-CN" w:bidi="ar"/>
              </w:rPr>
              <w:t>量</w:t>
            </w:r>
          </w:p>
        </w:tc>
      </w:tr>
      <w:tr w14:paraId="1199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C7FD2">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9C934">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930A2">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0C314">
            <w:pPr>
              <w:jc w:val="center"/>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237A3">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0869D">
            <w:pPr>
              <w:jc w:val="center"/>
              <w:rPr>
                <w:rFonts w:hint="eastAsia" w:ascii="宋体" w:hAnsi="宋体" w:eastAsia="宋体" w:cs="宋体"/>
                <w:i w:val="0"/>
                <w:iCs w:val="0"/>
                <w:color w:val="auto"/>
                <w:sz w:val="18"/>
                <w:szCs w:val="18"/>
                <w:u w:val="none"/>
              </w:rPr>
            </w:pPr>
          </w:p>
        </w:tc>
      </w:tr>
      <w:tr w14:paraId="24B4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6533B">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BA443">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2C231">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D5D05">
            <w:pPr>
              <w:jc w:val="center"/>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E7F60">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C21E6">
            <w:pPr>
              <w:jc w:val="center"/>
              <w:rPr>
                <w:rFonts w:hint="eastAsia" w:ascii="宋体" w:hAnsi="宋体" w:eastAsia="宋体" w:cs="宋体"/>
                <w:i w:val="0"/>
                <w:iCs w:val="0"/>
                <w:color w:val="auto"/>
                <w:sz w:val="18"/>
                <w:szCs w:val="18"/>
                <w:u w:val="none"/>
              </w:rPr>
            </w:pPr>
          </w:p>
        </w:tc>
      </w:tr>
      <w:tr w14:paraId="1E0F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C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93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040801010001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BD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落地式配电箱</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EA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1.名称：室外防水配电柜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2.型号、规格：户外型AL/(370(W)*400(L)*1600(H)，不锈钢壳体，IP54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3.含基础</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7D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5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309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6FB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DD4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040805002001</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D58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A1类信号灯合杆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72B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A1类信号灯合杆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1、杆高12/10米，路灯双挑臂2+2米，信号灯双挑臂8米；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5、副杆:圆形Q355B材质（Φ160～Φ160）*3.5*4500；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6、主杆：十二边形Q355B材质（Φ260～Φ280）*8*7500；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8、横臂：八边形Q355B材质（Φ160～Φ160）*5*8000，1根；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横臂：八边形Q355B材质（Φ160～Φ160）*5*7750，1根；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横臂其他构件：Q355B材质，含连接横臂法兰组件，横臂法兰；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9、主杆卡槽：Q235B材质，68*20*3，L=3500，4根；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735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374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14:paraId="5619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883D5">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D9CF1">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0FC7E">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5F969">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F6245">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7D4F0">
            <w:pPr>
              <w:jc w:val="center"/>
              <w:rPr>
                <w:rFonts w:hint="eastAsia" w:ascii="宋体" w:hAnsi="宋体" w:eastAsia="宋体" w:cs="宋体"/>
                <w:i w:val="0"/>
                <w:iCs w:val="0"/>
                <w:color w:val="auto"/>
                <w:sz w:val="18"/>
                <w:szCs w:val="18"/>
                <w:u w:val="none"/>
              </w:rPr>
            </w:pPr>
          </w:p>
        </w:tc>
      </w:tr>
      <w:tr w14:paraId="6B4B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FB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2DC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040805002002</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846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A2类信号灯合杆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268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A2类信号灯合杆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1、杆高12/10米，路灯双挑臂2+2米，信号灯双挑臂6米；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5、副杆:圆形Q355B材质（Φ160～Φ160）*3.5*4500；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6、主杆：十二边形Q355B材质（Φ260～Φ280）*8*7500；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8、横臂：八边形Q355B材质（Φ160～Φ160）*5*6000，1根；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横臂：八边形Q355B材质（Φ160～Φ160）*5*5750，1根；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 xml:space="preserve"> 横臂其他构件：Q355B材质，含连接横臂法兰组件，横臂法兰；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9、主杆卡槽：Q235B材质，68*20*3，L=3500，4根；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A6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5F2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6F0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7A311">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F5503">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EDC21">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8C486">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3932">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041E4">
            <w:pPr>
              <w:jc w:val="center"/>
              <w:rPr>
                <w:rFonts w:hint="eastAsia" w:ascii="宋体" w:hAnsi="宋体" w:eastAsia="宋体" w:cs="宋体"/>
                <w:i w:val="0"/>
                <w:iCs w:val="0"/>
                <w:color w:val="auto"/>
                <w:sz w:val="18"/>
                <w:szCs w:val="18"/>
                <w:u w:val="none"/>
              </w:rPr>
            </w:pPr>
          </w:p>
        </w:tc>
      </w:tr>
      <w:tr w14:paraId="50D4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94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F3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040805002003</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D7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A3类信号灯合杆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3B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A3类信号灯合杆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1、杆高7.5米，无路灯挑臂；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2、主杆：十二边形Q355B材质（Φ260～Φ280）*8*7500；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4、横臂：八边形Q355B材质（Φ160～Φ160）*5*6000，1根；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横臂：八边形Q355B材质（Φ160～Φ160）*5*5750，1根；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横臂其他构件：Q355B材质，含连接横臂法兰组件，横臂法兰；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5、主杆卡槽：Q235B材质，68*20*3，L=3500，4根；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6、集成管理：每套/集成、装配、调试、检测；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B0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B7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4F07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329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E09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040805002004</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31B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B1类电警合杆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EE5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B1类电警合杆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1、杆高12/10米，路灯双挑臂2+2米，电警单挑臂13米；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5、副杆:圆形Q355B材质（Φ160～Φ160）*3.5*5500；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6、主杆：十二边形Q355B材质（Φ260～Φ280）*8*6500；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8、横臂：八边形Q355B材质（Φ120～Φ255）*6*13000，1根；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4B2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919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1CB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793F">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A3EA3">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1648A">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64E50">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0169E">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31837">
            <w:pPr>
              <w:jc w:val="center"/>
              <w:rPr>
                <w:rFonts w:hint="eastAsia" w:ascii="宋体" w:hAnsi="宋体" w:eastAsia="宋体" w:cs="宋体"/>
                <w:i w:val="0"/>
                <w:iCs w:val="0"/>
                <w:color w:val="auto"/>
                <w:sz w:val="18"/>
                <w:szCs w:val="18"/>
                <w:u w:val="none"/>
              </w:rPr>
            </w:pPr>
          </w:p>
        </w:tc>
      </w:tr>
      <w:tr w14:paraId="7CF3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5A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B6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040805002005</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FB8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B2类电警合杆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E4D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B2类电警合杆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1、杆高12/10米，路灯双挑臂2+2米，电警单挑臂11米；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5、副杆:圆形Q355B材质（Φ160～Φ160）*3.5*5500；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6、主杆：十二边形Q355B材质（Φ260～Φ280）*8*6500；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8、横臂：八边形Q355B材质（Φ120～Φ255）*6*11000，1根；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 xml:space="preserve"> 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86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AF3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725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C02FC">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83DFE">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2BA72">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7B05">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DFC4C">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54B44">
            <w:pPr>
              <w:jc w:val="center"/>
              <w:rPr>
                <w:rFonts w:hint="eastAsia" w:ascii="宋体" w:hAnsi="宋体" w:eastAsia="宋体" w:cs="宋体"/>
                <w:i w:val="0"/>
                <w:iCs w:val="0"/>
                <w:color w:val="auto"/>
                <w:sz w:val="18"/>
                <w:szCs w:val="18"/>
                <w:u w:val="none"/>
              </w:rPr>
            </w:pPr>
          </w:p>
        </w:tc>
      </w:tr>
      <w:tr w14:paraId="34C4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7AC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4A8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040805002006</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27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B3类电警合杆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A9D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B3类电警合杆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1、杆高12/10米，路灯双挑臂2+2米，电警单挑臂8米；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5、副杆:圆形Q355B材质（Φ160～Φ160）*3.5*5500；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6、主杆：十二边形Q355B材质（Φ260～Φ280）*8*6500；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8、横臂：八边形Q355B材质（Φ120～Φ220）*6*8000，1根；横臂Q355B材质：1400，1根；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横臂其他构件：Q355B材质，含连接  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FC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68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2CB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45467">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AE795">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F818">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3FD4B">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F4528">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3A01">
            <w:pPr>
              <w:jc w:val="center"/>
              <w:rPr>
                <w:rFonts w:hint="eastAsia" w:ascii="宋体" w:hAnsi="宋体" w:eastAsia="宋体" w:cs="宋体"/>
                <w:i w:val="0"/>
                <w:iCs w:val="0"/>
                <w:color w:val="auto"/>
                <w:sz w:val="18"/>
                <w:szCs w:val="18"/>
                <w:u w:val="none"/>
              </w:rPr>
            </w:pPr>
          </w:p>
        </w:tc>
      </w:tr>
      <w:tr w14:paraId="6555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883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445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040805002007</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21E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B4类电警合杆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FA0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B4类电警合杆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1、杆高12/10米，路灯双挑臂2+2米，电警单挑臂11米；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5、副杆:圆形Q355B材质（Φ160～Φ160）*3.5*5500；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6、主杆：十二边形Q355B材质（Φ260～Φ280）*8*6500；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8、横臂：八边形Q355B材质（Φ120～Φ255）*6*11000，1根；横臂Q355B材质：1400，1根；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横臂其他构件：Q355B材质，含连接 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2B7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1F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0EA6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F70B9">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48CDD">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6EB74">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8B275">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E9348">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4845C">
            <w:pPr>
              <w:jc w:val="center"/>
              <w:rPr>
                <w:rFonts w:hint="eastAsia" w:ascii="宋体" w:hAnsi="宋体" w:eastAsia="宋体" w:cs="宋体"/>
                <w:i w:val="0"/>
                <w:iCs w:val="0"/>
                <w:color w:val="auto"/>
                <w:sz w:val="18"/>
                <w:szCs w:val="18"/>
                <w:u w:val="none"/>
              </w:rPr>
            </w:pPr>
          </w:p>
        </w:tc>
      </w:tr>
      <w:tr w14:paraId="1C1D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8C6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3FE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040805002008</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3D9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C1类指路标志牌合杆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CDF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C1类指路标志牌合杆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1、杆高12/10米，路灯双挑臂2+2米，指路牌三挑臂</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5、副杆:圆形Q355B材质（Φ160～Φ160）*3.5*3500；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6、主杆：十二边形Q355B材质（Φ300～Φ410）*14*8500；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8、横臂：八边形Q355B材质（Φ194～Φ194）*10*</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000，3根；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 xml:space="preserve"> 9、主杆卡槽：Q235B材质，68*20*3，L=3100，4根；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D0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E2F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1902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11A1F">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A8DFE">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6053E">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46371">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41F95">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48C8">
            <w:pPr>
              <w:jc w:val="center"/>
              <w:rPr>
                <w:rFonts w:hint="eastAsia" w:ascii="宋体" w:hAnsi="宋体" w:eastAsia="宋体" w:cs="宋体"/>
                <w:i w:val="0"/>
                <w:iCs w:val="0"/>
                <w:color w:val="auto"/>
                <w:sz w:val="18"/>
                <w:szCs w:val="18"/>
                <w:u w:val="none"/>
              </w:rPr>
            </w:pPr>
          </w:p>
        </w:tc>
      </w:tr>
      <w:tr w14:paraId="092E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E93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AE4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040805002009</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956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D1类车道指示牌合杆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305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D1类车道指示牌合杆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1、杆高12/10米，路灯双挑臂2+2米，分道牌双挑臂6米；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5、副杆:圆形Q355B材质（Φ160～Φ160）*3.5*3500；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6、主杆：十二边形Q355B材质（Φ280～Φ320）*8*8500；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8、横臂：八边形Q355B材质（Φ180～Φ180）*6*6000，2根；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616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A75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5D9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03496">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D2358">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A8E8E">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E2B80">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E25A7">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8F763">
            <w:pPr>
              <w:jc w:val="center"/>
              <w:rPr>
                <w:rFonts w:hint="eastAsia" w:ascii="宋体" w:hAnsi="宋体" w:eastAsia="宋体" w:cs="宋体"/>
                <w:i w:val="0"/>
                <w:iCs w:val="0"/>
                <w:color w:val="auto"/>
                <w:sz w:val="18"/>
                <w:szCs w:val="18"/>
                <w:u w:val="none"/>
              </w:rPr>
            </w:pPr>
          </w:p>
        </w:tc>
      </w:tr>
      <w:tr w14:paraId="7DD6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48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E5A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040805002010</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B6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D2类车道指示牌合杆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D73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D2类车道指示牌合杆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1、杆高12/10米，路灯双挑臂2+2米，分道牌双挑臂6米；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5、副杆:圆形Q355B材质（Φ160～Φ160）*3.5*3500；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6、主杆：十二边形Q355B材质（Φ280～Φ320）*8*8500；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8、横臂：八边形Q355B材质（Φ180～Φ180）*6*6000，2根；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D2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A91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14:paraId="149C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41DB0">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B6453">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9137F">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3D192">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BD378">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174EF">
            <w:pPr>
              <w:jc w:val="center"/>
              <w:rPr>
                <w:rFonts w:hint="eastAsia" w:ascii="宋体" w:hAnsi="宋体" w:eastAsia="宋体" w:cs="宋体"/>
                <w:i w:val="0"/>
                <w:iCs w:val="0"/>
                <w:color w:val="auto"/>
                <w:sz w:val="18"/>
                <w:szCs w:val="18"/>
                <w:u w:val="none"/>
              </w:rPr>
            </w:pPr>
          </w:p>
        </w:tc>
      </w:tr>
      <w:tr w14:paraId="523E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E2D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CF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040805002011</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512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D3类车道指示牌合杆</w:t>
            </w:r>
          </w:p>
        </w:tc>
        <w:tc>
          <w:tcPr>
            <w:tcW w:w="3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5DE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D3类车道指示牌合杆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1、杆高12/10米，路灯双挑臂2+2米，分道牌双挑臂6米；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副灯：圆形Q235B材质（Φ76～Φ76）*4*2000；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5、副杆:圆形Q355B材质（Φ160～Φ160）*3.5*3500；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6、主杆：十二边形Q355B材质（Φ280～Φ320）*8*8500；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8、横臂：八边形Q355B材质（Φ180～Φ180）*6*6000，2根；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横臂其他构件：Q355B材质，含连接横臂法兰组件，横臂法兰；                  </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 xml:space="preserve"> 9、主杆卡槽：Q235B材质，68*20*3，L=3000，4根；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10、集成管理：每套/集成、装配、调试、检测；</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9BF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AF7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7DD1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95296">
            <w:pPr>
              <w:jc w:val="center"/>
              <w:rPr>
                <w:rFonts w:hint="eastAsia" w:ascii="宋体" w:hAnsi="宋体" w:eastAsia="宋体" w:cs="宋体"/>
                <w:i w:val="0"/>
                <w:iCs w:val="0"/>
                <w:color w:val="auto"/>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2075E">
            <w:pPr>
              <w:jc w:val="center"/>
              <w:rPr>
                <w:rFonts w:hint="eastAsia" w:ascii="宋体" w:hAnsi="宋体" w:eastAsia="宋体" w:cs="宋体"/>
                <w:i w:val="0"/>
                <w:iCs w:val="0"/>
                <w:color w:val="auto"/>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BA59">
            <w:pPr>
              <w:jc w:val="center"/>
              <w:rPr>
                <w:rFonts w:hint="eastAsia" w:ascii="宋体" w:hAnsi="宋体" w:eastAsia="宋体" w:cs="宋体"/>
                <w:i w:val="0"/>
                <w:iCs w:val="0"/>
                <w:color w:val="auto"/>
                <w:sz w:val="18"/>
                <w:szCs w:val="18"/>
                <w:u w:val="none"/>
              </w:rPr>
            </w:pPr>
          </w:p>
        </w:tc>
        <w:tc>
          <w:tcPr>
            <w:tcW w:w="3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5F661">
            <w:pPr>
              <w:jc w:val="left"/>
              <w:rPr>
                <w:rFonts w:hint="eastAsia" w:ascii="宋体" w:hAnsi="宋体" w:eastAsia="宋体" w:cs="宋体"/>
                <w:i w:val="0"/>
                <w:iCs w:val="0"/>
                <w:color w:val="auto"/>
                <w:sz w:val="18"/>
                <w:szCs w:val="18"/>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C2A3A">
            <w:pPr>
              <w:jc w:val="center"/>
              <w:rPr>
                <w:rFonts w:hint="eastAsia" w:ascii="宋体" w:hAnsi="宋体" w:eastAsia="宋体" w:cs="宋体"/>
                <w:i w:val="0"/>
                <w:iCs w:val="0"/>
                <w:color w:val="auto"/>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55BA1">
            <w:pPr>
              <w:jc w:val="center"/>
              <w:rPr>
                <w:rFonts w:hint="eastAsia" w:ascii="宋体" w:hAnsi="宋体" w:eastAsia="宋体" w:cs="宋体"/>
                <w:i w:val="0"/>
                <w:iCs w:val="0"/>
                <w:color w:val="auto"/>
                <w:sz w:val="18"/>
                <w:szCs w:val="18"/>
                <w:u w:val="none"/>
              </w:rPr>
            </w:pPr>
          </w:p>
        </w:tc>
      </w:tr>
      <w:tr w14:paraId="0BBC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1F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B0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040805001001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15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E类智慧路灯灯杆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6CA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E类智慧路灯灯杆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1、杆高12/10米，路灯双挑臂2+2米；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2、灯具：210W+90W，150lm/W，IP66，4000K±200K，Ra≥70，寿命不低于50000小时；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4、主灯：圆形Q235B材质（Φ76～Φ76）*3.5*2000；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副灯：圆形Q235B材质（Φ76～Φ76）*3.5*2000；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灯臂其他构件：Q235B材质；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5、上杆：圆形Q355B材质（Φ160～Φ160）*5*9700；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6、下杆：圆形Q355B材质（Φ299～Φ299）*5*2300；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7、底法兰：方形Q355B材质，420*420*20；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8、集成管理：每套/集成、装配、调试、检测；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98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D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r>
      <w:tr w14:paraId="749F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08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80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040805002012</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25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Z1类综合中杆灯</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F4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Z1类综合中杆灯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1、杆高15米，半弧形灯盘，监控单挑臂6米；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2、灯具：3*200W，150lm/W，IP66，4000K±200K，Ra≥70，寿命不低于50000小时；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4、副杆:圆形Q355B材质（Φ160～Φ160）*3.5*7000；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5、主杆：十二边形Q355B材质（Φ260～Φ280）*</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*8000；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6、分仓槽：四边形Q235B材质；50*50*2.5*5000，4根；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7、横臂：八边形Q355B材质（Φ120～Φ200）*6*6000，1根；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横臂其他构件：Q355B材质，含连接横臂法兰组件，横臂法兰；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8、主杆卡槽：Q235B材质，68*20*3，L=3500，4根；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9、集成管理：每套/集成、装配、调试、检测；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D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15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14:paraId="08D4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68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D5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040805002013</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46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普通中杆灯</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F2E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普通中杆灯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1、杆高15米，半弧形灯盘；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2、灯具：3*200W，150lm/W，IP66，4000K±200K，Ra≥70，寿命不低于50000小时；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3、单灯控制器：实现路灯的开关及调光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4、副杆:圆形Q355B材质（Φ160～Φ160）*3.5*7000；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副杆其他构件：Q355B材质，预留5G法兰；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5、主杆：十二边形Q355B材质（Φ260～Φ280）*6*8000；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主杆其他构件：Q355B材质，含大小检修门，底法兰加劲肋；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6、主杆卡槽：Q235B材质，68*20*3，L=3500，4根；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7、集成管理：每套/集成、装配、调试、检测；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57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2F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14:paraId="56B3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04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42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040803001001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89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00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1、名称:铜芯交联聚乙烯绝缘聚氯乙烯护套电力电缆；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2、型号规格:YJV-1KV-4*50+1*25；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3、敷设方式、部位:穿管敷设；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4、电压(kV):1KV以下；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5、地形:平地。</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9B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B0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500.00</w:t>
            </w:r>
          </w:p>
        </w:tc>
      </w:tr>
      <w:tr w14:paraId="142C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612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4B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040803001002</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B0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C5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1、名称:铜芯交联聚乙烯绝缘聚氯乙烯护套电力电缆；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2、型号规格:YJV-1KV-5*16；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3、敷设方式、部位:穿管敷设；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4、电压(kV):1KV以下；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5、地形:平地。</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93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B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3200.00</w:t>
            </w:r>
          </w:p>
        </w:tc>
      </w:tr>
      <w:tr w14:paraId="163A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00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F0A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040804002001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ED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D8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1.管内穿线 照明线路导线截面 BV2.5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A9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E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1066.00</w:t>
            </w:r>
          </w:p>
        </w:tc>
      </w:tr>
      <w:tr w14:paraId="5CC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0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AA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040804002002</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FB7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70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1.管内穿线 照明线路导线截面 BVR2.5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78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C7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534.00</w:t>
            </w:r>
          </w:p>
        </w:tc>
      </w:tr>
      <w:tr w14:paraId="5203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10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31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040807003001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CD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接地装置调试</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BD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1.供电系统、接地装置调试 路灯柱接地测试一柱、一独立接地、一测</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425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4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r>
      <w:tr w14:paraId="51E1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1E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BA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030507014001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9D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70F6">
            <w:pPr>
              <w:pStyle w:val="11"/>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1.名 称：信息显示屏（双面屏）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2.类 别、规 格：</w:t>
            </w:r>
            <w:r>
              <w:rPr>
                <w:rFonts w:hint="eastAsia" w:ascii="宋体" w:hAnsi="宋体" w:cs="宋体"/>
                <w:i w:val="0"/>
                <w:iCs w:val="0"/>
                <w:color w:val="auto"/>
                <w:kern w:val="0"/>
                <w:sz w:val="18"/>
                <w:szCs w:val="18"/>
                <w:u w:val="none"/>
                <w:lang w:val="en-US" w:eastAsia="zh-CN" w:bidi="ar"/>
              </w:rPr>
              <w:t>内屏</w:t>
            </w:r>
            <w:r>
              <w:rPr>
                <w:rFonts w:hint="eastAsia" w:ascii="宋体" w:hAnsi="宋体" w:eastAsia="宋体" w:cs="宋体"/>
                <w:i w:val="0"/>
                <w:iCs w:val="0"/>
                <w:color w:val="auto"/>
                <w:kern w:val="0"/>
                <w:sz w:val="18"/>
                <w:szCs w:val="18"/>
                <w:u w:val="none"/>
                <w:lang w:val="en-US" w:eastAsia="zh-CN" w:bidi="ar"/>
              </w:rPr>
              <w:t>尺寸：</w:t>
            </w:r>
            <w:r>
              <w:rPr>
                <w:rFonts w:hint="eastAsia" w:ascii="宋体" w:hAnsi="宋体" w:cs="宋体"/>
                <w:i w:val="0"/>
                <w:iCs w:val="0"/>
                <w:color w:val="auto"/>
                <w:kern w:val="0"/>
                <w:sz w:val="18"/>
                <w:szCs w:val="18"/>
                <w:u w:val="none"/>
                <w:lang w:val="en-US" w:eastAsia="zh-CN" w:bidi="ar"/>
              </w:rPr>
              <w:t>64</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112cm</w:t>
            </w:r>
            <w:r>
              <w:rPr>
                <w:rFonts w:hint="eastAsia" w:ascii="宋体" w:hAnsi="宋体" w:eastAsia="宋体" w:cs="宋体"/>
                <w:i w:val="0"/>
                <w:iCs w:val="0"/>
                <w:color w:val="auto"/>
                <w:kern w:val="0"/>
                <w:sz w:val="18"/>
                <w:szCs w:val="18"/>
                <w:u w:val="none"/>
                <w:lang w:val="en-US" w:eastAsia="zh-CN" w:bidi="ar"/>
              </w:rPr>
              <w:t>（双面）；像素点组成：标贴三合一；像素间距：≤4mm；亮度：≥5500cd/m2；刷新频率：≥900Hz；可视角度水平/垂直：120°/120°；工作电压：AC220V；平均功率：650W/m2；单元板尺寸320mm×160mm；驱动方式1/16扫描；最佳视角120°；异步控制；整屏尺寸72（±2）*122（±2）cm</w:t>
            </w:r>
          </w:p>
          <w:p w14:paraId="01414F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3.附件：杆件内含电气仓配套设备，含多媒体控制器</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F4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2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r>
      <w:tr w14:paraId="1006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6C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E9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031101042001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66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网络管理系统设备</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A5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1.名称：信息发布管理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2.规格：“提供信息发布屏和诱导LED屏管理，终端监控、素材管理、节目管理、日程管理、发布管理和审核管理等。信息发布终端数量限制，范围：1~10000”</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96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6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04E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3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13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030501010001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18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收发器</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F9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称：光纤收发器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2.类 别：4口百兆光纤收发器</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E4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89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r>
      <w:tr w14:paraId="53FB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66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C0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080601015001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A9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D7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1.名称：48芯单模光缆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E7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F7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3200.00</w:t>
            </w:r>
          </w:p>
        </w:tc>
      </w:tr>
      <w:tr w14:paraId="2533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1C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C0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040803001003</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66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w:t>
            </w:r>
          </w:p>
        </w:tc>
        <w:tc>
          <w:tcPr>
            <w:tcW w:w="39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9A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1、名称:铜芯电力电缆；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2、型号规格:YJV-1KV-5*16；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3、敷设方式、部位:穿管敷设；</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4、电压(kV):1KV以下；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5、地形:平地。</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43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92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3200.00</w:t>
            </w:r>
          </w:p>
        </w:tc>
      </w:tr>
    </w:tbl>
    <w:p w14:paraId="45B3F62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lang w:val="en-US" w:eastAsia="zh-CN"/>
        </w:rPr>
      </w:pPr>
    </w:p>
    <w:p w14:paraId="711768E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要求</w:t>
      </w:r>
    </w:p>
    <w:p w14:paraId="6FB17FAD">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b/>
          <w:bCs/>
          <w:color w:val="auto"/>
          <w:sz w:val="24"/>
          <w:szCs w:val="24"/>
          <w:highlight w:val="none"/>
          <w:lang w:val="en-US" w:eastAsia="zh-CN"/>
        </w:rPr>
      </w:pPr>
      <w:r>
        <w:rPr>
          <w:rFonts w:hint="eastAsia" w:ascii="宋体" w:hAnsi="宋体" w:eastAsia="宋体" w:cs="宋体"/>
          <w:b/>
          <w:color w:val="auto"/>
          <w:sz w:val="24"/>
          <w:szCs w:val="24"/>
          <w:highlight w:val="none"/>
        </w:rPr>
        <w:t>除采购文件推荐的品牌外，欢迎其他能满足本项目技术需求且性能与所推荐品牌相当的产品参加。</w:t>
      </w:r>
    </w:p>
    <w:p w14:paraId="78B20633">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right="0" w:rightChars="0"/>
        <w:jc w:val="both"/>
        <w:textAlignment w:val="auto"/>
        <w:outlineLvl w:val="0"/>
        <w:rPr>
          <w:rFonts w:hint="default"/>
          <w:b/>
          <w:bCs/>
          <w:color w:val="auto"/>
          <w:sz w:val="24"/>
          <w:szCs w:val="24"/>
          <w:highlight w:val="none"/>
          <w:lang w:val="en-US" w:eastAsia="zh-CN"/>
        </w:rPr>
      </w:pPr>
      <w:r>
        <w:rPr>
          <w:rFonts w:hint="eastAsia"/>
          <w:b/>
          <w:bCs/>
          <w:color w:val="auto"/>
          <w:sz w:val="24"/>
          <w:szCs w:val="24"/>
          <w:highlight w:val="none"/>
          <w:lang w:val="en-US" w:eastAsia="zh-CN"/>
        </w:rPr>
        <w:t>（一）灯具技术要求</w:t>
      </w:r>
    </w:p>
    <w:p w14:paraId="2AE030C5">
      <w:pPr>
        <w:numPr>
          <w:ilvl w:val="0"/>
          <w:numId w:val="0"/>
        </w:numPr>
        <w:tabs>
          <w:tab w:val="left" w:pos="0"/>
        </w:tabs>
        <w:snapToGrid w:val="0"/>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灯具外壳构造设计应具备自清洁功能。表面应光滑、无损伤、变形或涂层剥落。光学材料应无气泡、明显划痕或裂纹等缺陷。</w:t>
      </w:r>
    </w:p>
    <w:p w14:paraId="40FD72F2">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灯具与固定构件（灯臂或其他固定件）连接应牢固，固定构件应采取防盗措施，内外应热镀锌防腐处理，灯具应具有防坠落保护措施。</w:t>
      </w:r>
    </w:p>
    <w:p w14:paraId="45795265">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LED路灯需通过CQC认证、国家计量认证（CMA)以及中国合格评定国家认可委员会(CNAS）认可的检测机构出具的认证证书）。</w:t>
      </w:r>
    </w:p>
    <w:p w14:paraId="0EE1F4AC">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olor w:val="auto"/>
          <w:szCs w:val="21"/>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LED路灯需通过CSA016《LED照明应用接口要求：</w:t>
      </w:r>
      <w:r>
        <w:rPr>
          <w:color w:val="auto"/>
          <w:highlight w:val="none"/>
          <w:woUserID w:val="1"/>
        </w:rPr>
        <w:t>非集成式LED模块的道路灯具</w:t>
      </w:r>
      <w:r>
        <w:rPr>
          <w:rFonts w:hint="eastAsia" w:ascii="宋体" w:hAnsi="宋体" w:eastAsia="宋体" w:cs="宋体"/>
          <w:color w:val="auto"/>
          <w:sz w:val="24"/>
          <w:szCs w:val="24"/>
          <w:highlight w:val="none"/>
          <w:lang w:val="zh-CN"/>
        </w:rPr>
        <w:t>符合性认证（需提供国家半导体照明工程研发及产业联盟（CSA）出具的认证证书）。</w:t>
      </w:r>
    </w:p>
    <w:p w14:paraId="7D83E3DB">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6、灯具</w:t>
      </w:r>
      <w:r>
        <w:rPr>
          <w:rFonts w:hint="eastAsia" w:ascii="宋体" w:hAnsi="宋体" w:eastAsia="宋体" w:cs="宋体"/>
          <w:color w:val="auto"/>
          <w:kern w:val="0"/>
          <w:sz w:val="24"/>
          <w:szCs w:val="24"/>
          <w:highlight w:val="none"/>
          <w:lang w:val="en-US" w:eastAsia="zh-CN" w:bidi="ar"/>
        </w:rPr>
        <w:t>应具有承受外界机械碰撞能力，防冲击性能不低于IK10。（提供</w:t>
      </w:r>
      <w:r>
        <w:rPr>
          <w:rFonts w:hint="eastAsia" w:ascii="宋体" w:hAnsi="宋体" w:eastAsia="宋体" w:cs="宋体"/>
          <w:color w:val="auto"/>
          <w:sz w:val="24"/>
          <w:szCs w:val="24"/>
          <w:highlight w:val="none"/>
          <w:lang w:val="zh-CN"/>
        </w:rPr>
        <w:t>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color w:val="auto"/>
          <w:kern w:val="0"/>
          <w:sz w:val="24"/>
          <w:szCs w:val="24"/>
          <w:highlight w:val="none"/>
          <w:lang w:val="en-US" w:eastAsia="zh-CN" w:bidi="ar"/>
        </w:rPr>
        <w:t>出具的检测报告）。</w:t>
      </w:r>
    </w:p>
    <w:p w14:paraId="41974A26">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olor w:val="auto"/>
          <w:szCs w:val="21"/>
          <w:highlight w:val="none"/>
        </w:rPr>
        <w:t>▲</w:t>
      </w:r>
      <w:r>
        <w:rPr>
          <w:rFonts w:hint="eastAsia" w:ascii="宋体" w:hAnsi="宋体" w:eastAsia="宋体" w:cs="宋体"/>
          <w:color w:val="auto"/>
          <w:kern w:val="0"/>
          <w:sz w:val="24"/>
          <w:szCs w:val="24"/>
          <w:highlight w:val="none"/>
          <w:lang w:val="en-US" w:eastAsia="zh-CN" w:bidi="ar"/>
        </w:rPr>
        <w:t>7、灯具外壳耐腐蚀性能：</w:t>
      </w:r>
      <w:r>
        <w:rPr>
          <w:rFonts w:hint="default" w:ascii="TimesNewRomanPSMT" w:hAnsi="TimesNewRomanPSMT" w:eastAsia="TimesNewRomanPSMT" w:cs="TimesNewRomanPSMT"/>
          <w:color w:val="auto"/>
          <w:kern w:val="0"/>
          <w:sz w:val="24"/>
          <w:szCs w:val="24"/>
          <w:highlight w:val="none"/>
          <w:lang w:val="en-US" w:eastAsia="zh-CN" w:bidi="ar"/>
        </w:rPr>
        <w:t xml:space="preserve">II </w:t>
      </w:r>
      <w:r>
        <w:rPr>
          <w:rFonts w:hint="eastAsia" w:ascii="宋体" w:hAnsi="宋体" w:eastAsia="宋体" w:cs="宋体"/>
          <w:color w:val="auto"/>
          <w:kern w:val="0"/>
          <w:sz w:val="24"/>
          <w:szCs w:val="24"/>
          <w:highlight w:val="none"/>
          <w:lang w:val="en-US" w:eastAsia="zh-CN" w:bidi="ar"/>
        </w:rPr>
        <w:t>类（</w:t>
      </w:r>
      <w:r>
        <w:rPr>
          <w:rFonts w:hint="eastAsia" w:ascii="宋体" w:hAnsi="宋体" w:eastAsia="宋体" w:cs="宋体"/>
          <w:b/>
          <w:bCs/>
          <w:color w:val="auto"/>
          <w:kern w:val="0"/>
          <w:sz w:val="24"/>
          <w:szCs w:val="24"/>
          <w:highlight w:val="none"/>
          <w:lang w:val="en-US" w:eastAsia="zh-CN" w:bidi="ar"/>
        </w:rPr>
        <w:t>需提供同系列灯具检测报告）</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lang w:val="zh-CN"/>
        </w:rPr>
        <w:t>防腐层吸附性强，应具有抗紫外线、高温和冷热交替的环境耐受性能（</w:t>
      </w:r>
      <w:r>
        <w:rPr>
          <w:rFonts w:hint="eastAsia" w:ascii="宋体" w:hAnsi="宋体" w:eastAsia="宋体" w:cs="宋体"/>
          <w:b/>
          <w:bCs/>
          <w:color w:val="auto"/>
          <w:kern w:val="0"/>
          <w:sz w:val="24"/>
          <w:szCs w:val="24"/>
          <w:highlight w:val="none"/>
          <w:lang w:val="en-US" w:eastAsia="zh-CN" w:bidi="ar"/>
        </w:rPr>
        <w:t>需提供同系列灯具</w:t>
      </w:r>
      <w:r>
        <w:rPr>
          <w:rFonts w:hint="eastAsia" w:ascii="宋体" w:hAnsi="宋体" w:cs="宋体"/>
          <w:b/>
          <w:bCs/>
          <w:color w:val="auto"/>
          <w:kern w:val="0"/>
          <w:sz w:val="24"/>
          <w:szCs w:val="24"/>
          <w:highlight w:val="none"/>
          <w:lang w:val="en-US" w:eastAsia="zh-CN" w:bidi="ar"/>
        </w:rPr>
        <w:t>有相应资质的第三方检测机构</w:t>
      </w:r>
      <w:r>
        <w:rPr>
          <w:rFonts w:hint="eastAsia" w:ascii="宋体" w:hAnsi="宋体" w:eastAsia="宋体" w:cs="宋体"/>
          <w:b/>
          <w:bCs/>
          <w:color w:val="auto"/>
          <w:kern w:val="0"/>
          <w:sz w:val="24"/>
          <w:szCs w:val="24"/>
          <w:highlight w:val="none"/>
          <w:lang w:val="en-US" w:eastAsia="zh-CN" w:bidi="ar"/>
        </w:rPr>
        <w:t>出具测试时间≥1000h的盐雾检测报告</w:t>
      </w:r>
      <w:r>
        <w:rPr>
          <w:rFonts w:hint="eastAsia" w:ascii="宋体" w:hAnsi="宋体" w:eastAsia="宋体" w:cs="宋体"/>
          <w:color w:val="auto"/>
          <w:sz w:val="24"/>
          <w:szCs w:val="24"/>
          <w:highlight w:val="none"/>
          <w:lang w:val="zh-CN"/>
        </w:rPr>
        <w:t>）</w:t>
      </w:r>
    </w:p>
    <w:p w14:paraId="3390EBFC">
      <w:pPr>
        <w:numPr>
          <w:ilvl w:val="0"/>
          <w:numId w:val="0"/>
        </w:numPr>
        <w:tabs>
          <w:tab w:val="left" w:pos="0"/>
        </w:tabs>
        <w:snapToGrid w:val="0"/>
        <w:spacing w:line="360" w:lineRule="auto"/>
        <w:ind w:firstLine="480" w:firstLineChars="200"/>
        <w:rPr>
          <w:rFonts w:hint="eastAsia"/>
          <w:color w:val="auto"/>
          <w:highlight w:val="none"/>
          <w:lang w:val="zh-CN"/>
        </w:rPr>
      </w:pPr>
      <w:r>
        <w:rPr>
          <w:rFonts w:hint="eastAsia" w:ascii="宋体" w:hAnsi="宋体"/>
          <w:color w:val="auto"/>
          <w:szCs w:val="21"/>
          <w:highlight w:val="none"/>
        </w:rPr>
        <w:t>▲</w:t>
      </w:r>
      <w:r>
        <w:rPr>
          <w:rFonts w:hint="eastAsia" w:ascii="宋体" w:hAnsi="宋体" w:eastAsia="宋体" w:cs="宋体"/>
          <w:color w:val="auto"/>
          <w:kern w:val="0"/>
          <w:sz w:val="24"/>
          <w:szCs w:val="24"/>
          <w:highlight w:val="none"/>
          <w:lang w:val="en-US" w:eastAsia="zh-CN" w:bidi="ar"/>
        </w:rPr>
        <w:t xml:space="preserve">8、灯具结构应坚固耐用，能承受一定的机械应力和温度应力。灯具抗冲击性能应符合 </w:t>
      </w:r>
      <w:r>
        <w:rPr>
          <w:rFonts w:hint="default" w:ascii="TimesNewRomanPSMT" w:hAnsi="TimesNewRomanPSMT" w:eastAsia="TimesNewRomanPSMT" w:cs="TimesNewRomanPSMT"/>
          <w:color w:val="auto"/>
          <w:kern w:val="0"/>
          <w:sz w:val="24"/>
          <w:szCs w:val="24"/>
          <w:highlight w:val="none"/>
          <w:lang w:val="en-US" w:eastAsia="zh-CN" w:bidi="ar"/>
        </w:rPr>
        <w:t xml:space="preserve">GB7000.1 </w:t>
      </w:r>
      <w:r>
        <w:rPr>
          <w:rFonts w:hint="eastAsia" w:ascii="宋体" w:hAnsi="宋体" w:eastAsia="宋体" w:cs="宋体"/>
          <w:color w:val="auto"/>
          <w:kern w:val="0"/>
          <w:sz w:val="24"/>
          <w:szCs w:val="24"/>
          <w:highlight w:val="none"/>
          <w:lang w:val="en-US" w:eastAsia="zh-CN" w:bidi="ar"/>
        </w:rPr>
        <w:t xml:space="preserve">的要求。灯具支撑底座（含螺栓、螺帽、垫片）的承重能力应大于三倍灯具重量。 </w:t>
      </w:r>
      <w:r>
        <w:rPr>
          <w:rFonts w:hint="eastAsia" w:ascii="宋体" w:hAnsi="宋体" w:eastAsia="宋体" w:cs="宋体"/>
          <w:b/>
          <w:bCs/>
          <w:color w:val="auto"/>
          <w:kern w:val="0"/>
          <w:sz w:val="24"/>
          <w:szCs w:val="24"/>
          <w:highlight w:val="none"/>
          <w:lang w:val="en-US" w:eastAsia="zh-CN" w:bidi="ar"/>
        </w:rPr>
        <w:t>(需提供同系列灯具</w:t>
      </w:r>
      <w:r>
        <w:rPr>
          <w:rFonts w:hint="eastAsia" w:ascii="宋体" w:hAnsi="宋体" w:cs="宋体"/>
          <w:b/>
          <w:bCs/>
          <w:color w:val="auto"/>
          <w:kern w:val="0"/>
          <w:sz w:val="24"/>
          <w:szCs w:val="24"/>
          <w:highlight w:val="none"/>
          <w:lang w:val="en-US" w:eastAsia="zh-CN" w:bidi="ar"/>
        </w:rPr>
        <w:t>有相应资质的第三方检测机构</w:t>
      </w:r>
      <w:r>
        <w:rPr>
          <w:rFonts w:hint="eastAsia" w:ascii="宋体" w:hAnsi="宋体" w:eastAsia="宋体" w:cs="宋体"/>
          <w:b/>
          <w:bCs/>
          <w:color w:val="auto"/>
          <w:kern w:val="0"/>
          <w:sz w:val="24"/>
          <w:szCs w:val="24"/>
          <w:highlight w:val="none"/>
          <w:lang w:val="en-US" w:eastAsia="zh-CN" w:bidi="ar"/>
        </w:rPr>
        <w:t>出具的3g加速度振动检测报告，垂直纵向横向三个方向最低共振频率各10万次）</w:t>
      </w:r>
    </w:p>
    <w:p w14:paraId="6DE80D47">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bookmarkStart w:id="31" w:name="_Ref300866044"/>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LED发光芯片品牌：</w:t>
      </w:r>
      <w:r>
        <w:rPr>
          <w:rFonts w:hint="eastAsia" w:ascii="宋体" w:hAnsi="宋体" w:cs="宋体"/>
          <w:color w:val="auto"/>
          <w:sz w:val="24"/>
          <w:szCs w:val="24"/>
          <w:highlight w:val="none"/>
          <w:lang w:val="en-US" w:eastAsia="zh-CN"/>
        </w:rPr>
        <w:t>推荐</w:t>
      </w:r>
      <w:r>
        <w:rPr>
          <w:rFonts w:hint="eastAsia" w:ascii="宋体" w:hAnsi="宋体" w:eastAsia="宋体" w:cs="宋体"/>
          <w:color w:val="auto"/>
          <w:sz w:val="24"/>
          <w:szCs w:val="24"/>
          <w:highlight w:val="none"/>
          <w:lang w:val="zh-CN"/>
        </w:rPr>
        <w:t>日本NICHIA、美国CREE、德国OSRAM、流明</w:t>
      </w:r>
      <w:r>
        <w:rPr>
          <w:rFonts w:hint="eastAsia" w:ascii="宋体" w:hAnsi="宋体" w:eastAsia="宋体" w:cs="宋体"/>
          <w:color w:val="auto"/>
          <w:sz w:val="24"/>
          <w:szCs w:val="24"/>
          <w:highlight w:val="none"/>
          <w:lang w:val="en-US" w:eastAsia="zh-CN"/>
        </w:rPr>
        <w:t>LUMILEDS</w:t>
      </w:r>
      <w:r>
        <w:rPr>
          <w:rFonts w:hint="eastAsia" w:ascii="宋体" w:hAnsi="宋体" w:eastAsia="宋体" w:cs="宋体"/>
          <w:color w:val="auto"/>
          <w:sz w:val="24"/>
          <w:szCs w:val="24"/>
          <w:highlight w:val="none"/>
          <w:lang w:val="zh-CN"/>
        </w:rPr>
        <w:t>（需提供原厂授权书和一旦中标则不可撤销的采购合同，并承诺出厂验收时提供该批</w:t>
      </w:r>
      <w:r>
        <w:rPr>
          <w:rFonts w:hint="eastAsia" w:ascii="宋体" w:hAnsi="宋体" w:cs="宋体"/>
          <w:color w:val="auto"/>
          <w:sz w:val="24"/>
          <w:szCs w:val="24"/>
          <w:highlight w:val="none"/>
          <w:lang w:val="zh-CN"/>
        </w:rPr>
        <w:t>次</w:t>
      </w:r>
      <w:r>
        <w:rPr>
          <w:rFonts w:hint="eastAsia" w:ascii="宋体" w:hAnsi="宋体" w:eastAsia="宋体" w:cs="宋体"/>
          <w:color w:val="auto"/>
          <w:sz w:val="24"/>
          <w:szCs w:val="24"/>
          <w:highlight w:val="none"/>
          <w:lang w:val="zh-CN"/>
        </w:rPr>
        <w:t>的报关单据），不得采用集成式芯片。</w:t>
      </w:r>
    </w:p>
    <w:p w14:paraId="3F26A7C4">
      <w:pPr>
        <w:numPr>
          <w:ilvl w:val="0"/>
          <w:numId w:val="0"/>
        </w:numPr>
        <w:tabs>
          <w:tab w:val="left" w:pos="0"/>
        </w:tabs>
        <w:snapToGrid w:val="0"/>
        <w:spacing w:line="36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灯具光效≥</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lang w:val="zh-CN"/>
        </w:rPr>
        <w:t>LM/W（需提供同</w:t>
      </w:r>
      <w:r>
        <w:rPr>
          <w:rFonts w:hint="eastAsia" w:ascii="宋体" w:hAnsi="宋体" w:eastAsia="宋体" w:cs="宋体"/>
          <w:color w:val="auto"/>
          <w:sz w:val="24"/>
          <w:szCs w:val="24"/>
          <w:highlight w:val="none"/>
          <w:lang w:val="en-US" w:eastAsia="zh-CN"/>
        </w:rPr>
        <w:t>系列</w:t>
      </w:r>
      <w:r>
        <w:rPr>
          <w:rFonts w:hint="eastAsia" w:ascii="宋体" w:hAnsi="宋体" w:eastAsia="宋体" w:cs="宋体"/>
          <w:color w:val="auto"/>
          <w:sz w:val="24"/>
          <w:szCs w:val="24"/>
          <w:highlight w:val="none"/>
          <w:lang w:val="zh-CN"/>
        </w:rPr>
        <w:t>灯具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color w:val="auto"/>
          <w:sz w:val="24"/>
          <w:szCs w:val="24"/>
          <w:highlight w:val="none"/>
          <w:lang w:val="zh-CN"/>
        </w:rPr>
        <w:t>出具的检测报告）。</w:t>
      </w:r>
    </w:p>
    <w:p w14:paraId="57130B79">
      <w:pPr>
        <w:numPr>
          <w:ilvl w:val="0"/>
          <w:numId w:val="0"/>
        </w:numPr>
        <w:tabs>
          <w:tab w:val="left" w:pos="0"/>
        </w:tabs>
        <w:snapToGrid w:val="0"/>
        <w:spacing w:line="360" w:lineRule="auto"/>
        <w:ind w:firstLine="240" w:firstLineChars="1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灯具色温</w:t>
      </w:r>
      <w:r>
        <w:rPr>
          <w:rFonts w:hint="eastAsia" w:ascii="宋体" w:hAnsi="宋体" w:cs="宋体"/>
          <w:color w:val="auto"/>
          <w:sz w:val="24"/>
          <w:szCs w:val="24"/>
          <w:highlight w:val="none"/>
          <w:lang w:val="en-US" w:eastAsia="zh-CN"/>
        </w:rPr>
        <w:t>4000</w:t>
      </w:r>
      <w:r>
        <w:rPr>
          <w:rFonts w:hint="eastAsia" w:ascii="宋体" w:hAnsi="宋体" w:eastAsia="宋体" w:cs="宋体"/>
          <w:color w:val="auto"/>
          <w:sz w:val="24"/>
          <w:szCs w:val="24"/>
          <w:highlight w:val="none"/>
          <w:lang w:val="zh-CN"/>
        </w:rPr>
        <w:t>K±</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0K（需提同</w:t>
      </w:r>
      <w:r>
        <w:rPr>
          <w:rFonts w:hint="eastAsia" w:ascii="宋体" w:hAnsi="宋体" w:eastAsia="宋体" w:cs="宋体"/>
          <w:color w:val="auto"/>
          <w:sz w:val="24"/>
          <w:szCs w:val="24"/>
          <w:highlight w:val="none"/>
          <w:lang w:val="en-US" w:eastAsia="zh-CN"/>
        </w:rPr>
        <w:t>系列</w:t>
      </w:r>
      <w:r>
        <w:rPr>
          <w:rFonts w:hint="eastAsia" w:ascii="宋体" w:hAnsi="宋体" w:eastAsia="宋体" w:cs="宋体"/>
          <w:color w:val="auto"/>
          <w:sz w:val="24"/>
          <w:szCs w:val="24"/>
          <w:highlight w:val="none"/>
          <w:lang w:val="zh-CN"/>
        </w:rPr>
        <w:t>灯</w:t>
      </w:r>
      <w:r>
        <w:rPr>
          <w:rFonts w:hint="eastAsia" w:ascii="宋体" w:hAnsi="宋体" w:eastAsia="宋体" w:cs="宋体"/>
          <w:b w:val="0"/>
          <w:bCs w:val="0"/>
          <w:color w:val="auto"/>
          <w:sz w:val="24"/>
          <w:szCs w:val="24"/>
          <w:highlight w:val="none"/>
          <w:lang w:val="zh-CN"/>
        </w:rPr>
        <w:t>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b w:val="0"/>
          <w:bCs w:val="0"/>
          <w:color w:val="auto"/>
          <w:sz w:val="24"/>
          <w:szCs w:val="24"/>
          <w:highlight w:val="none"/>
          <w:lang w:val="zh-CN"/>
        </w:rPr>
        <w:t>出</w:t>
      </w:r>
      <w:r>
        <w:rPr>
          <w:rFonts w:hint="eastAsia" w:ascii="宋体" w:hAnsi="宋体" w:eastAsia="宋体" w:cs="宋体"/>
          <w:color w:val="auto"/>
          <w:sz w:val="24"/>
          <w:szCs w:val="24"/>
          <w:highlight w:val="none"/>
          <w:lang w:val="zh-CN"/>
        </w:rPr>
        <w:t>具的检测报告）。</w:t>
      </w:r>
      <w:r>
        <w:rPr>
          <w:rFonts w:hint="eastAsia" w:ascii="宋体" w:hAnsi="宋体" w:eastAsia="宋体" w:cs="宋体"/>
          <w:color w:val="auto"/>
          <w:sz w:val="24"/>
          <w:szCs w:val="24"/>
          <w:highlight w:val="none"/>
          <w:lang w:val="zh-CN" w:eastAsia="zh-CN"/>
        </w:rPr>
        <w:t>（根据实际</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色温</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val="zh-CN" w:eastAsia="zh-CN"/>
        </w:rPr>
        <w:t>来定）</w:t>
      </w:r>
    </w:p>
    <w:p w14:paraId="5A542CA4">
      <w:pPr>
        <w:numPr>
          <w:ilvl w:val="0"/>
          <w:numId w:val="0"/>
        </w:numPr>
        <w:tabs>
          <w:tab w:val="left" w:pos="0"/>
        </w:tabs>
        <w:snapToGrid w:val="0"/>
        <w:spacing w:line="360" w:lineRule="auto"/>
        <w:ind w:firstLine="480" w:firstLineChars="200"/>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灯具显色指数不应低于70（需提供同</w:t>
      </w:r>
      <w:r>
        <w:rPr>
          <w:rFonts w:hint="eastAsia" w:ascii="宋体" w:hAnsi="宋体" w:eastAsia="宋体" w:cs="宋体"/>
          <w:color w:val="auto"/>
          <w:sz w:val="24"/>
          <w:szCs w:val="24"/>
          <w:highlight w:val="none"/>
          <w:lang w:val="en-US" w:eastAsia="zh-CN"/>
        </w:rPr>
        <w:t>系列</w:t>
      </w:r>
      <w:r>
        <w:rPr>
          <w:rFonts w:hint="eastAsia" w:ascii="宋体" w:hAnsi="宋体" w:eastAsia="宋体" w:cs="宋体"/>
          <w:color w:val="auto"/>
          <w:sz w:val="24"/>
          <w:szCs w:val="24"/>
          <w:highlight w:val="none"/>
          <w:lang w:val="zh-CN"/>
        </w:rPr>
        <w:t>灯具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color w:val="auto"/>
          <w:sz w:val="24"/>
          <w:szCs w:val="24"/>
          <w:highlight w:val="none"/>
          <w:lang w:val="zh-CN"/>
        </w:rPr>
        <w:t>出具的检测报告）。</w:t>
      </w:r>
    </w:p>
    <w:p w14:paraId="21C829C7">
      <w:pPr>
        <w:numPr>
          <w:ilvl w:val="0"/>
          <w:numId w:val="0"/>
        </w:numPr>
        <w:tabs>
          <w:tab w:val="left" w:pos="0"/>
        </w:tabs>
        <w:snapToGrid w:val="0"/>
        <w:spacing w:line="360" w:lineRule="auto"/>
        <w:ind w:firstLine="480" w:firstLineChars="200"/>
        <w:rPr>
          <w:rFonts w:hint="eastAsia"/>
          <w:b w:val="0"/>
          <w:bCs w:val="0"/>
          <w:color w:val="auto"/>
          <w:highlight w:val="none"/>
          <w:lang w:val="zh-CN"/>
        </w:rPr>
      </w:pPr>
      <w:r>
        <w:rPr>
          <w:rFonts w:hint="eastAsia" w:ascii="宋体" w:hAnsi="宋体" w:eastAsia="宋体" w:cs="宋体"/>
          <w:color w:val="auto"/>
          <w:kern w:val="0"/>
          <w:sz w:val="24"/>
          <w:szCs w:val="24"/>
          <w:highlight w:val="none"/>
          <w:lang w:val="en-US" w:eastAsia="zh-CN" w:bidi="ar"/>
        </w:rPr>
        <w:t>13、光源功率因数：≥</w:t>
      </w:r>
      <w:r>
        <w:rPr>
          <w:rFonts w:hint="eastAsia" w:ascii="TimesNewRomanPSMT" w:hAnsi="TimesNewRomanPSMT" w:eastAsia="TimesNewRomanPSMT" w:cs="TimesNewRomanPSMT"/>
          <w:color w:val="auto"/>
          <w:kern w:val="0"/>
          <w:sz w:val="24"/>
          <w:szCs w:val="24"/>
          <w:highlight w:val="none"/>
          <w:lang w:val="en-US" w:eastAsia="zh-CN" w:bidi="ar"/>
        </w:rPr>
        <w:t>0.95</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（需提供同系列灯具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b w:val="0"/>
          <w:bCs w:val="0"/>
          <w:color w:val="auto"/>
          <w:kern w:val="0"/>
          <w:sz w:val="24"/>
          <w:szCs w:val="24"/>
          <w:highlight w:val="none"/>
          <w:lang w:val="en-US" w:eastAsia="zh-CN" w:bidi="ar"/>
        </w:rPr>
        <w:t>出具的检测报告）应具有良好的防眩性能</w:t>
      </w:r>
      <w:r>
        <w:rPr>
          <w:rFonts w:hint="eastAsia" w:ascii="宋体" w:hAnsi="宋体" w:eastAsia="宋体" w:cs="宋体"/>
          <w:b w:val="0"/>
          <w:bCs w:val="0"/>
          <w:color w:val="auto"/>
          <w:sz w:val="24"/>
          <w:szCs w:val="24"/>
          <w:highlight w:val="none"/>
          <w:lang w:val="zh-CN"/>
        </w:rPr>
        <w:t>。</w:t>
      </w:r>
    </w:p>
    <w:p w14:paraId="34DEBB93">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zh-CN"/>
        </w:rPr>
        <w:t>防护等级</w:t>
      </w:r>
      <w:r>
        <w:rPr>
          <w:rFonts w:hint="eastAsia" w:ascii="宋体" w:hAnsi="宋体" w:eastAsia="宋体" w:cs="宋体"/>
          <w:color w:val="auto"/>
          <w:sz w:val="24"/>
          <w:szCs w:val="24"/>
          <w:highlight w:val="none"/>
          <w:lang w:val="en-US" w:eastAsia="zh-CN"/>
        </w:rPr>
        <w:t>不应低于</w:t>
      </w:r>
      <w:r>
        <w:rPr>
          <w:rFonts w:hint="eastAsia" w:ascii="宋体" w:hAnsi="宋体" w:eastAsia="宋体" w:cs="宋体"/>
          <w:color w:val="auto"/>
          <w:sz w:val="24"/>
          <w:szCs w:val="24"/>
          <w:highlight w:val="none"/>
          <w:lang w:val="zh-CN"/>
        </w:rPr>
        <w:t>IP6</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（需提供同</w:t>
      </w:r>
      <w:r>
        <w:rPr>
          <w:rFonts w:hint="eastAsia" w:ascii="宋体" w:hAnsi="宋体" w:eastAsia="宋体" w:cs="宋体"/>
          <w:color w:val="auto"/>
          <w:sz w:val="24"/>
          <w:szCs w:val="24"/>
          <w:highlight w:val="none"/>
          <w:lang w:val="en-US" w:eastAsia="zh-CN"/>
        </w:rPr>
        <w:t>系列</w:t>
      </w:r>
      <w:r>
        <w:rPr>
          <w:rFonts w:hint="eastAsia" w:ascii="宋体" w:hAnsi="宋体" w:eastAsia="宋体" w:cs="宋体"/>
          <w:color w:val="auto"/>
          <w:sz w:val="24"/>
          <w:szCs w:val="24"/>
          <w:highlight w:val="none"/>
          <w:lang w:val="zh-CN"/>
        </w:rPr>
        <w:t>灯具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color w:val="auto"/>
          <w:sz w:val="24"/>
          <w:szCs w:val="24"/>
          <w:highlight w:val="none"/>
          <w:lang w:val="zh-CN"/>
        </w:rPr>
        <w:t>出具的检测报告）</w:t>
      </w:r>
    </w:p>
    <w:bookmarkEnd w:id="31"/>
    <w:p w14:paraId="619ED22D">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路灯灯具在电压90-264VAC 范围内应正常工作。</w:t>
      </w:r>
    </w:p>
    <w:p w14:paraId="2278D014">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val="zh-CN"/>
        </w:rPr>
        <w:t>所采用的</w:t>
      </w:r>
      <w:r>
        <w:rPr>
          <w:rFonts w:hint="eastAsia" w:ascii="宋体" w:hAnsi="宋体" w:eastAsia="宋体" w:cs="宋体"/>
          <w:color w:val="auto"/>
          <w:sz w:val="24"/>
          <w:szCs w:val="24"/>
          <w:highlight w:val="none"/>
          <w:lang w:val="en-US" w:eastAsia="zh-CN"/>
        </w:rPr>
        <w:t>浪</w:t>
      </w:r>
      <w:r>
        <w:rPr>
          <w:rFonts w:hint="eastAsia" w:ascii="宋体" w:hAnsi="宋体" w:eastAsia="宋体" w:cs="宋体"/>
          <w:color w:val="auto"/>
          <w:sz w:val="24"/>
          <w:szCs w:val="24"/>
          <w:highlight w:val="none"/>
          <w:lang w:val="zh-CN"/>
        </w:rPr>
        <w:t>涌保护器应提供CQC认证并符合《低压电涌保护器（SPD） 第1部分：低压配电系统的电涌保护器 性能要求和试验方法》GB 18802.1的规定，使用III类试验方法进行试验。</w:t>
      </w:r>
    </w:p>
    <w:p w14:paraId="718C7033">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kern w:val="0"/>
          <w:sz w:val="24"/>
          <w:szCs w:val="24"/>
          <w:highlight w:val="none"/>
          <w:lang w:val="en-US" w:eastAsia="zh-CN" w:bidi="ar"/>
        </w:rPr>
        <w:t>17、光源使用寿命：≥</w:t>
      </w:r>
      <w:r>
        <w:rPr>
          <w:rFonts w:hint="default" w:ascii="TimesNewRomanPSMT" w:hAnsi="TimesNewRomanPSMT" w:eastAsia="TimesNewRomanPSMT" w:cs="TimesNewRomanPSMT"/>
          <w:b w:val="0"/>
          <w:bCs w:val="0"/>
          <w:color w:val="auto"/>
          <w:kern w:val="0"/>
          <w:sz w:val="24"/>
          <w:szCs w:val="24"/>
          <w:highlight w:val="none"/>
          <w:lang w:val="en-US" w:eastAsia="zh-CN" w:bidi="ar"/>
        </w:rPr>
        <w:t>50000h</w:t>
      </w:r>
      <w:r>
        <w:rPr>
          <w:rFonts w:hint="eastAsia" w:ascii="宋体" w:hAnsi="宋体" w:eastAsia="宋体" w:cs="宋体"/>
          <w:b w:val="0"/>
          <w:bCs w:val="0"/>
          <w:color w:val="auto"/>
          <w:kern w:val="0"/>
          <w:sz w:val="24"/>
          <w:szCs w:val="24"/>
          <w:highlight w:val="none"/>
          <w:lang w:val="en-US" w:eastAsia="zh-CN" w:bidi="ar"/>
        </w:rPr>
        <w:t>；（需提供</w:t>
      </w:r>
      <w:r>
        <w:rPr>
          <w:rFonts w:hint="eastAsia" w:ascii="宋体" w:hAnsi="宋体" w:cs="宋体"/>
          <w:b w:val="0"/>
          <w:bCs w:val="0"/>
          <w:color w:val="auto"/>
          <w:kern w:val="0"/>
          <w:sz w:val="24"/>
          <w:szCs w:val="24"/>
          <w:highlight w:val="none"/>
          <w:lang w:val="en-US" w:eastAsia="zh-CN" w:bidi="ar"/>
        </w:rPr>
        <w:t>同</w:t>
      </w:r>
      <w:r>
        <w:rPr>
          <w:rFonts w:hint="eastAsia" w:ascii="宋体" w:hAnsi="宋体" w:eastAsia="宋体" w:cs="宋体"/>
          <w:b w:val="0"/>
          <w:bCs w:val="0"/>
          <w:color w:val="auto"/>
          <w:kern w:val="0"/>
          <w:sz w:val="24"/>
          <w:szCs w:val="24"/>
          <w:highlight w:val="none"/>
          <w:lang w:val="en-US" w:eastAsia="zh-CN" w:bidi="ar"/>
        </w:rPr>
        <w:t>系列灯具根据GB/T 33721-2017</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b w:val="0"/>
          <w:bCs w:val="0"/>
          <w:color w:val="auto"/>
          <w:kern w:val="0"/>
          <w:sz w:val="24"/>
          <w:szCs w:val="24"/>
          <w:highlight w:val="none"/>
          <w:lang w:val="en-US" w:eastAsia="zh-CN" w:bidi="ar"/>
        </w:rPr>
        <w:t>出具的加速试验测试报告复印件）</w:t>
      </w:r>
      <w:r>
        <w:rPr>
          <w:rFonts w:hint="eastAsia" w:ascii="宋体" w:hAnsi="宋体" w:eastAsia="宋体" w:cs="宋体"/>
          <w:color w:val="auto"/>
          <w:sz w:val="24"/>
          <w:szCs w:val="24"/>
          <w:highlight w:val="none"/>
          <w:lang w:val="zh-CN"/>
        </w:rPr>
        <w:t>。</w:t>
      </w:r>
    </w:p>
    <w:p w14:paraId="02B0AB3B">
      <w:pPr>
        <w:numPr>
          <w:ilvl w:val="0"/>
          <w:numId w:val="0"/>
        </w:numPr>
        <w:tabs>
          <w:tab w:val="left" w:pos="0"/>
        </w:tabs>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olor w:val="auto"/>
          <w:szCs w:val="21"/>
          <w:highlight w:val="none"/>
        </w:rPr>
        <w:t>▲</w:t>
      </w:r>
      <w:r>
        <w:rPr>
          <w:rFonts w:hint="eastAsia" w:ascii="宋体" w:hAnsi="宋体" w:eastAsia="宋体" w:cs="宋体"/>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 xml:space="preserve">LED </w:t>
      </w:r>
      <w:r>
        <w:rPr>
          <w:rFonts w:hint="eastAsia" w:ascii="华文仿宋" w:hAnsi="华文仿宋" w:eastAsia="华文仿宋" w:cs="华文仿宋"/>
          <w:color w:val="auto"/>
          <w:sz w:val="24"/>
          <w:szCs w:val="24"/>
          <w:highlight w:val="none"/>
        </w:rPr>
        <w:t xml:space="preserve">模组光通维持率要求 </w:t>
      </w:r>
      <w:r>
        <w:rPr>
          <w:rFonts w:hint="eastAsia" w:asciiTheme="minorEastAsia" w:hAnsiTheme="minorEastAsia" w:eastAsiaTheme="minorEastAsia" w:cstheme="minorEastAsia"/>
          <w:color w:val="auto"/>
          <w:sz w:val="24"/>
          <w:szCs w:val="24"/>
          <w:highlight w:val="none"/>
        </w:rPr>
        <w:t>20000H</w:t>
      </w:r>
      <w:r>
        <w:rPr>
          <w:rFonts w:hint="eastAsia" w:ascii="华文仿宋" w:hAnsi="华文仿宋" w:eastAsia="华文仿宋" w:cs="华文仿宋"/>
          <w:color w:val="auto"/>
          <w:sz w:val="24"/>
          <w:szCs w:val="24"/>
          <w:highlight w:val="none"/>
        </w:rPr>
        <w:t xml:space="preserve">不低于 </w:t>
      </w:r>
      <w:r>
        <w:rPr>
          <w:rFonts w:hint="eastAsia" w:asciiTheme="minorEastAsia" w:hAnsiTheme="minorEastAsia" w:eastAsiaTheme="minorEastAsia" w:cstheme="minorEastAsia"/>
          <w:color w:val="auto"/>
          <w:sz w:val="24"/>
          <w:szCs w:val="24"/>
          <w:highlight w:val="none"/>
        </w:rPr>
        <w:t>97%。</w:t>
      </w:r>
      <w:r>
        <w:rPr>
          <w:rFonts w:hint="eastAsia" w:ascii="宋体" w:hAnsi="宋体" w:eastAsia="宋体" w:cs="宋体"/>
          <w:color w:val="auto"/>
          <w:sz w:val="24"/>
          <w:szCs w:val="24"/>
          <w:highlight w:val="none"/>
          <w:lang w:val="zh-CN"/>
        </w:rPr>
        <w:t>（需提供同</w:t>
      </w:r>
      <w:r>
        <w:rPr>
          <w:rFonts w:hint="eastAsia" w:ascii="宋体" w:hAnsi="宋体" w:eastAsia="宋体" w:cs="宋体"/>
          <w:color w:val="auto"/>
          <w:sz w:val="24"/>
          <w:szCs w:val="24"/>
          <w:highlight w:val="none"/>
          <w:lang w:val="en-US" w:eastAsia="zh-CN"/>
        </w:rPr>
        <w:t>系列</w:t>
      </w:r>
      <w:r>
        <w:rPr>
          <w:rFonts w:hint="eastAsia" w:ascii="宋体" w:hAnsi="宋体" w:eastAsia="宋体" w:cs="宋体"/>
          <w:color w:val="auto"/>
          <w:sz w:val="24"/>
          <w:szCs w:val="24"/>
          <w:highlight w:val="none"/>
          <w:lang w:val="zh-CN"/>
        </w:rPr>
        <w:t>灯具</w:t>
      </w:r>
      <w:r>
        <w:rPr>
          <w:rFonts w:hint="eastAsia" w:ascii="宋体" w:hAnsi="宋体" w:cs="宋体"/>
          <w:b w:val="0"/>
          <w:bCs w:val="0"/>
          <w:color w:val="auto"/>
          <w:kern w:val="0"/>
          <w:sz w:val="24"/>
          <w:szCs w:val="24"/>
          <w:highlight w:val="none"/>
          <w:lang w:val="en-US" w:eastAsia="zh-CN" w:bidi="ar"/>
        </w:rPr>
        <w:t>有相应资质的第三方检测机构</w:t>
      </w:r>
      <w:r>
        <w:rPr>
          <w:rFonts w:hint="eastAsia" w:ascii="宋体" w:hAnsi="宋体" w:eastAsia="宋体" w:cs="宋体"/>
          <w:color w:val="auto"/>
          <w:sz w:val="24"/>
          <w:szCs w:val="24"/>
          <w:highlight w:val="none"/>
          <w:lang w:val="zh-CN"/>
        </w:rPr>
        <w:t>出具的检测报告）。</w:t>
      </w:r>
    </w:p>
    <w:p w14:paraId="66374D30">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54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宋体" w:hAnsi="宋体"/>
          <w:color w:val="auto"/>
          <w:szCs w:val="21"/>
          <w:highlight w:val="none"/>
        </w:rPr>
        <w:t>▲</w:t>
      </w:r>
      <w:r>
        <w:rPr>
          <w:rFonts w:hint="eastAsia" w:ascii="宋体" w:hAnsi="宋体" w:eastAsia="宋体" w:cs="宋体"/>
          <w:b w:val="0"/>
          <w:bCs w:val="0"/>
          <w:color w:val="auto"/>
          <w:kern w:val="0"/>
          <w:sz w:val="24"/>
          <w:szCs w:val="24"/>
          <w:highlight w:val="none"/>
          <w:lang w:val="en-US" w:eastAsia="zh-CN" w:bidi="ar"/>
        </w:rPr>
        <w:t>19、灯</w:t>
      </w:r>
      <w:r>
        <w:rPr>
          <w:rFonts w:hint="eastAsia" w:asciiTheme="minorEastAsia" w:hAnsiTheme="minorEastAsia" w:eastAsiaTheme="minorEastAsia" w:cstheme="minorEastAsia"/>
          <w:b w:val="0"/>
          <w:bCs w:val="0"/>
          <w:color w:val="auto"/>
          <w:kern w:val="0"/>
          <w:sz w:val="24"/>
          <w:szCs w:val="24"/>
          <w:highlight w:val="none"/>
          <w:lang w:val="en-US" w:eastAsia="zh-CN" w:bidi="ar"/>
        </w:rPr>
        <w:t>具在正常工作环境温度和工作状态下 LED 的 PN 结温度应不大于 70℃。</w:t>
      </w:r>
      <w:r>
        <w:rPr>
          <w:rFonts w:hint="eastAsia" w:asciiTheme="minorEastAsia" w:hAnsiTheme="minorEastAsia" w:eastAsiaTheme="minorEastAsia" w:cstheme="minorEastAsia"/>
          <w:b w:val="0"/>
          <w:bCs w:val="0"/>
          <w:color w:val="auto"/>
          <w:sz w:val="24"/>
          <w:szCs w:val="24"/>
          <w:highlight w:val="none"/>
          <w:lang w:val="en-US" w:eastAsia="zh-CN"/>
        </w:rPr>
        <w:t>(提供同系列灯具国家电光源的结温检测报告)</w:t>
      </w:r>
      <w:r>
        <w:rPr>
          <w:rFonts w:hint="eastAsia" w:asciiTheme="minorEastAsia" w:hAnsiTheme="minorEastAsia" w:eastAsiaTheme="minorEastAsia" w:cstheme="minorEastAsia"/>
          <w:b w:val="0"/>
          <w:bCs w:val="0"/>
          <w:color w:val="auto"/>
          <w:sz w:val="24"/>
          <w:szCs w:val="24"/>
          <w:highlight w:val="none"/>
          <w:lang w:val="zh-CN"/>
        </w:rPr>
        <w:t>。</w:t>
      </w:r>
    </w:p>
    <w:p w14:paraId="75064AEE">
      <w:pPr>
        <w:pStyle w:val="30"/>
        <w:keepNext w:val="0"/>
        <w:keepLines w:val="0"/>
        <w:pageBreakBefore w:val="0"/>
        <w:widowControl w:val="0"/>
        <w:kinsoku/>
        <w:wordWrap/>
        <w:overflowPunct/>
        <w:topLinePunct w:val="0"/>
        <w:autoSpaceDE/>
        <w:autoSpaceDN/>
        <w:bidi w:val="0"/>
        <w:adjustRightInd/>
        <w:spacing w:line="540" w:lineRule="exact"/>
        <w:ind w:left="0" w:leftChars="0" w:firstLine="696" w:firstLineChars="3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val="0"/>
          <w:bCs w:val="0"/>
          <w:color w:val="auto"/>
          <w:kern w:val="0"/>
          <w:sz w:val="24"/>
          <w:szCs w:val="24"/>
          <w:highlight w:val="none"/>
          <w:lang w:val="en-US" w:eastAsia="zh-CN" w:bidi="ar"/>
        </w:rPr>
        <w:t>20、</w:t>
      </w:r>
      <w:r>
        <w:rPr>
          <w:rFonts w:hint="eastAsia" w:asciiTheme="minorEastAsia" w:hAnsiTheme="minorEastAsia" w:eastAsiaTheme="minorEastAsia" w:cstheme="minorEastAsia"/>
          <w:color w:val="auto"/>
          <w:sz w:val="24"/>
          <w:szCs w:val="24"/>
          <w:highlight w:val="none"/>
          <w:lang w:val="zh-CN"/>
        </w:rPr>
        <w:t>灯具的控制装置与灯具应为同一制造商，且通过CCC认证。（控制装置CCC认证证书和灯具CQC认证证书中的制造商为同一名称、地址视为同一制造商，否则视为不同制造商）。</w:t>
      </w:r>
    </w:p>
    <w:p w14:paraId="7A0E923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woUserID w:val="1"/>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pacing w:val="-4"/>
          <w:kern w:val="0"/>
          <w:sz w:val="24"/>
          <w:szCs w:val="24"/>
          <w:highlight w:val="none"/>
          <w:lang w:val="en-US" w:eastAsia="zh-CN" w:bidi="ar"/>
        </w:rPr>
        <w:t>21、</w:t>
      </w:r>
      <w:r>
        <w:rPr>
          <w:rFonts w:hint="eastAsia" w:asciiTheme="minorEastAsia" w:hAnsiTheme="minorEastAsia" w:eastAsiaTheme="minorEastAsia" w:cstheme="minorEastAsia"/>
          <w:color w:val="auto"/>
          <w:sz w:val="24"/>
          <w:szCs w:val="24"/>
          <w:highlight w:val="none"/>
          <w:lang w:val="en-US" w:eastAsia="zh-CN"/>
        </w:rPr>
        <w:t>灯具尺寸：</w:t>
      </w:r>
      <w:r>
        <w:rPr>
          <w:rFonts w:hint="eastAsia" w:asciiTheme="minorEastAsia" w:hAnsiTheme="minorEastAsia" w:eastAsiaTheme="minorEastAsia" w:cstheme="minorEastAsia"/>
          <w:b w:val="0"/>
          <w:bCs w:val="0"/>
          <w:color w:val="auto"/>
          <w:sz w:val="24"/>
          <w:szCs w:val="24"/>
          <w:highlight w:val="none"/>
          <w:lang w:val="en-US" w:eastAsia="zh-CN"/>
        </w:rPr>
        <w:t>长度900mm（±60），宽度400mm（±20</w:t>
      </w:r>
      <w:r>
        <w:rPr>
          <w:rFonts w:hint="eastAsia" w:asciiTheme="minorEastAsia" w:hAnsiTheme="minorEastAsia" w:eastAsiaTheme="minorEastAsia" w:cstheme="minorEastAsia"/>
          <w:b w:val="0"/>
          <w:bCs w:val="0"/>
          <w:color w:val="auto"/>
          <w:sz w:val="24"/>
          <w:szCs w:val="24"/>
          <w:highlight w:val="none"/>
          <w:lang w:eastAsia="zh-CN"/>
          <w:woUserID w:val="1"/>
        </w:rPr>
        <w:t>），厚度不做要求。</w:t>
      </w:r>
    </w:p>
    <w:p w14:paraId="6B4E49F2">
      <w:pPr>
        <w:pStyle w:val="30"/>
        <w:spacing w:line="240" w:lineRule="auto"/>
        <w:rPr>
          <w:rFonts w:hint="default"/>
          <w:color w:val="auto"/>
          <w:highlight w:val="none"/>
          <w:lang w:val="en-US" w:eastAsia="zh-CN"/>
        </w:rPr>
      </w:pPr>
    </w:p>
    <w:p w14:paraId="5E2B6CF4">
      <w:pPr>
        <w:pStyle w:val="30"/>
        <w:spacing w:line="240" w:lineRule="auto"/>
        <w:ind w:left="0" w:leftChars="0" w:firstLine="0" w:firstLineChars="0"/>
        <w:rPr>
          <w:rFonts w:hint="default"/>
          <w:color w:val="auto"/>
          <w:highlight w:val="none"/>
          <w:lang w:val="en-US" w:eastAsia="zh-CN"/>
        </w:rPr>
      </w:pPr>
      <w:r>
        <w:rPr>
          <w:rFonts w:hint="default"/>
          <w:color w:val="auto"/>
          <w:highlight w:val="none"/>
          <w:lang w:val="en-US" w:eastAsia="zh-CN"/>
        </w:rPr>
        <w:drawing>
          <wp:inline distT="0" distB="0" distL="114300" distR="114300">
            <wp:extent cx="3001645" cy="4246245"/>
            <wp:effectExtent l="0" t="0" r="8255" b="1905"/>
            <wp:docPr id="7" name="图片 7" descr="灯具灯型及尺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灯具灯型及尺寸_01"/>
                    <pic:cNvPicPr>
                      <a:picLocks noChangeAspect="1"/>
                    </pic:cNvPicPr>
                  </pic:nvPicPr>
                  <pic:blipFill>
                    <a:blip r:embed="rId10"/>
                    <a:stretch>
                      <a:fillRect/>
                    </a:stretch>
                  </pic:blipFill>
                  <pic:spPr>
                    <a:xfrm>
                      <a:off x="0" y="0"/>
                      <a:ext cx="3001645" cy="4246245"/>
                    </a:xfrm>
                    <a:prstGeom prst="rect">
                      <a:avLst/>
                    </a:prstGeom>
                  </pic:spPr>
                </pic:pic>
              </a:graphicData>
            </a:graphic>
          </wp:inline>
        </w:drawing>
      </w:r>
      <w:r>
        <w:rPr>
          <w:rFonts w:hint="eastAsia"/>
          <w:color w:val="auto"/>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灯具外形图仅供参考</w:t>
      </w:r>
      <w:r>
        <w:rPr>
          <w:rFonts w:hint="default"/>
          <w:color w:val="auto"/>
          <w:highlight w:val="none"/>
          <w:lang w:val="en-US" w:eastAsia="zh-CN"/>
        </w:rPr>
        <w:drawing>
          <wp:anchor distT="0" distB="0" distL="114300" distR="114300" simplePos="0" relativeHeight="251659264" behindDoc="1" locked="0" layoutInCell="1" allowOverlap="1">
            <wp:simplePos x="0" y="0"/>
            <wp:positionH relativeFrom="column">
              <wp:posOffset>123825</wp:posOffset>
            </wp:positionH>
            <wp:positionV relativeFrom="paragraph">
              <wp:posOffset>85725</wp:posOffset>
            </wp:positionV>
            <wp:extent cx="2567305" cy="3631565"/>
            <wp:effectExtent l="0" t="0" r="4445" b="6985"/>
            <wp:wrapTight wrapText="bothSides">
              <wp:wrapPolygon>
                <wp:start x="0" y="0"/>
                <wp:lineTo x="0" y="21528"/>
                <wp:lineTo x="21477" y="21528"/>
                <wp:lineTo x="21477" y="0"/>
                <wp:lineTo x="0" y="0"/>
              </wp:wrapPolygon>
            </wp:wrapTight>
            <wp:docPr id="8" name="图片 8" descr="灯具灯型及尺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灯具灯型及尺寸_00"/>
                    <pic:cNvPicPr>
                      <a:picLocks noChangeAspect="1"/>
                    </pic:cNvPicPr>
                  </pic:nvPicPr>
                  <pic:blipFill>
                    <a:blip r:embed="rId11"/>
                    <a:stretch>
                      <a:fillRect/>
                    </a:stretch>
                  </pic:blipFill>
                  <pic:spPr>
                    <a:xfrm>
                      <a:off x="0" y="0"/>
                      <a:ext cx="2567305" cy="3631565"/>
                    </a:xfrm>
                    <a:prstGeom prst="rect">
                      <a:avLst/>
                    </a:prstGeom>
                  </pic:spPr>
                </pic:pic>
              </a:graphicData>
            </a:graphic>
          </wp:anchor>
        </w:drawing>
      </w:r>
    </w:p>
    <w:p w14:paraId="526C95F9">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right="0" w:rightChars="0"/>
        <w:jc w:val="both"/>
        <w:textAlignment w:val="auto"/>
        <w:outlineLvl w:val="0"/>
        <w:rPr>
          <w:rFonts w:hint="eastAsia"/>
          <w:b/>
          <w:bCs/>
          <w:color w:val="auto"/>
          <w:sz w:val="24"/>
          <w:szCs w:val="24"/>
          <w:highlight w:val="none"/>
          <w:lang w:val="en-US" w:eastAsia="zh-CN"/>
        </w:rPr>
      </w:pPr>
    </w:p>
    <w:p w14:paraId="2F130CE4">
      <w:pPr>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right="0" w:rightChars="0"/>
        <w:jc w:val="both"/>
        <w:textAlignment w:val="auto"/>
        <w:outlineLvl w:val="0"/>
        <w:rPr>
          <w:rFonts w:hint="default"/>
          <w:b/>
          <w:bCs/>
          <w:color w:val="auto"/>
          <w:sz w:val="24"/>
          <w:szCs w:val="24"/>
          <w:highlight w:val="none"/>
          <w:lang w:val="en-US" w:eastAsia="zh-CN"/>
        </w:rPr>
      </w:pPr>
      <w:r>
        <w:rPr>
          <w:rFonts w:hint="eastAsia"/>
          <w:b/>
          <w:bCs/>
          <w:color w:val="auto"/>
          <w:sz w:val="24"/>
          <w:szCs w:val="24"/>
          <w:highlight w:val="none"/>
          <w:lang w:val="en-US" w:eastAsia="zh-CN"/>
        </w:rPr>
        <w:t>（二）灯杆技术要求</w:t>
      </w:r>
    </w:p>
    <w:p w14:paraId="487C9D2F">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1、杆体结构应满足功能要求和安全性要求，并保证足够的强度、刚度和稳定性;结构形式应考虑美观；杆体结构设计基本风速应采用空旷平坦地面上离地10m高,重现期为50年一遇最大风压设计。</w:t>
      </w:r>
    </w:p>
    <w:p w14:paraId="4AC76579">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2、灯杆技术条件符合《灯杆照明设施技术条件》CJ/T 3076—1998的相关规定及具体项目特定要求。</w:t>
      </w:r>
    </w:p>
    <w:p w14:paraId="351FF28B">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3、灯杆供</w:t>
      </w:r>
      <w:r>
        <w:rPr>
          <w:rFonts w:hint="eastAsia" w:ascii="宋体" w:hAnsi="宋体" w:cs="宋体"/>
          <w:color w:val="auto"/>
          <w:kern w:val="2"/>
          <w:sz w:val="24"/>
          <w:szCs w:val="24"/>
          <w:highlight w:val="none"/>
          <w:lang w:val="en-US" w:eastAsia="zh-CN" w:bidi="ar-SA"/>
        </w:rPr>
        <w:t>应</w:t>
      </w:r>
      <w:r>
        <w:rPr>
          <w:rFonts w:hint="eastAsia" w:ascii="宋体" w:hAnsi="宋体" w:eastAsia="宋体" w:cs="宋体"/>
          <w:color w:val="auto"/>
          <w:kern w:val="2"/>
          <w:sz w:val="24"/>
          <w:szCs w:val="24"/>
          <w:highlight w:val="none"/>
          <w:lang w:val="en-US" w:eastAsia="zh-CN" w:bidi="ar-SA"/>
        </w:rPr>
        <w:t>商必须持有生产许可证，其设计与制造必须符合GBI35－90《高耸结构设计规范》及GB17－88《钢结构设计规范》的相关规定。</w:t>
      </w:r>
    </w:p>
    <w:p w14:paraId="731546B1">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4、杆体的横向焊缝，法兰盘、加强筋和灯杆的焊接，以及灯臂与灯杆主体的焊接宜采用气体保护焊焊接，关键法兰焊缝达到二级焊缝标准。</w:t>
      </w:r>
    </w:p>
    <w:p w14:paraId="0F1F9BE7">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5、灯杆焊接良好，纵向焊缝为60％熔透焊，焊缝外观质量应符合GB/T50661的规定。外形应均匀、成型较好、焊道与焊道、焊缝与基本金属间隙圆滑过渡无虚焊，焊渣和飞溅物应清理干净。</w:t>
      </w:r>
    </w:p>
    <w:p w14:paraId="4B1F2F2C">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6、焊缝不得有影响强度的裂纹、焊渣、焊瘤、烧穿、弧坑且焊接处不应有褶皱和中断等缺陷。</w:t>
      </w:r>
    </w:p>
    <w:p w14:paraId="74397424">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7、防腐质量符合现行国家标准《金属覆盖及其他覆盖层维氏和努氏显微硬度试验》（GB/T9790）、《热喷涂金属件表面须处理通则》（GB/T11373）、现行行业标准《钢铁热浸铝工艺及质量检验》（ZBJ36011）。</w:t>
      </w:r>
    </w:p>
    <w:p w14:paraId="61ED9D5F">
      <w:pPr>
        <w:pStyle w:val="89"/>
        <w:numPr>
          <w:ilvl w:val="0"/>
          <w:numId w:val="0"/>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灯杆应具备优异的抗腐蚀性，能在经历2000小时酸性盐雾环境下依旧保持优异的抗腐蚀性能。酸性盐雾试验应按照GB/T13912-2020《金属覆盖层钢铁制件热浸镀锌层技术要求及实验方法》、GB/T10125-2021《人造气氛腐蚀试验 盐雾试验》、GB/T2956-2003《磁性基体上非磁性覆盖层 覆盖层厚度测量 磁性法》执行并进行评级，要求灯杆关键部件（法兰）在2000小时酸性盐雾试验后锌层厚度不小于90um、附着力在锤击试验后锌层无剥离无突起且锌层保护评级不低于7级。（需提供通过国家计量认证（CMA)以及中国合格评定国家认可委员会(CNAS）认可的国家级检测机构出具的检测报告)</w:t>
      </w:r>
    </w:p>
    <w:p w14:paraId="5101404B">
      <w:pPr>
        <w:pStyle w:val="89"/>
        <w:numPr>
          <w:ilvl w:val="0"/>
          <w:numId w:val="0"/>
        </w:numPr>
        <w:spacing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9、灯杆塑层应具备优异的抗紫外老化能力，能在</w:t>
      </w:r>
      <w:r>
        <w:rPr>
          <w:rFonts w:hint="eastAsia" w:ascii="宋体" w:hAnsi="宋体" w:cs="宋体"/>
          <w:color w:val="auto"/>
          <w:kern w:val="2"/>
          <w:sz w:val="24"/>
          <w:szCs w:val="24"/>
          <w:highlight w:val="none"/>
          <w:lang w:val="en-US" w:eastAsia="zh-CN" w:bidi="ar-SA"/>
        </w:rPr>
        <w:t>经历</w:t>
      </w:r>
      <w:r>
        <w:rPr>
          <w:rFonts w:hint="eastAsia" w:ascii="宋体" w:hAnsi="宋体" w:eastAsia="宋体" w:cs="宋体"/>
          <w:color w:val="auto"/>
          <w:kern w:val="2"/>
          <w:sz w:val="24"/>
          <w:szCs w:val="24"/>
          <w:highlight w:val="none"/>
          <w:lang w:val="en-US" w:eastAsia="zh-CN" w:bidi="ar-SA"/>
        </w:rPr>
        <w:t>1000小时紫外老化后依旧保持优异的硬度及附着力。紫外老化试验应按照GB/T14522-2008《机械工业产品用塑料、涂料、橡胶材料人工气候老化试验方法荧光紫外灯》、GB/T 9286-2021《色漆和清漆划格试验》、GB/T13452.2-2008《色漆和清漆漆膜厚度的测定》、GB/T 6739-2006《色漆和清漆铅笔法测定漆膜硬度》执行并进行评级，要求灯杆塑层在1000小时耐紫外老化测试后硬度不低于4H，且附着力不低于0级。(需提供通过国家计量认证（CMA)以及中国合格评定国家认可委员会(CNAS）认可的国家级检测机构出具的检测报告）</w:t>
      </w:r>
    </w:p>
    <w:p w14:paraId="228E43A6">
      <w:pPr>
        <w:pStyle w:val="89"/>
        <w:numPr>
          <w:ilvl w:val="0"/>
          <w:numId w:val="0"/>
        </w:numPr>
        <w:spacing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10、热侵镀锌层表面应平滑，无滴漏、粗糙和锌刺，无起皮、漏渡和残留的溶剂渣，在可能影响热侵镀锌工件的使用或耐腐蚀性能的部位不应有锌瘤和锌渣。经锤击等试验，锌层不剥离，不凸起。</w:t>
      </w:r>
    </w:p>
    <w:p w14:paraId="5852E2E8">
      <w:pPr>
        <w:pStyle w:val="89"/>
        <w:numPr>
          <w:ilvl w:val="0"/>
          <w:numId w:val="0"/>
        </w:numPr>
        <w:spacing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所有金属件（不含不锈钢材料）采用内外热镀锌工艺进行防腐处理。锌层均匀，表面色泽一致镀锌厚度≥86μm，热侵镀锌完毕后应进行钝化处理，要求48小时盐雾试验合格。热镀锌后表面须喷塑，喷塑颜色由业主指定。</w:t>
      </w:r>
    </w:p>
    <w:p w14:paraId="4F7EFB82">
      <w:pPr>
        <w:pStyle w:val="89"/>
        <w:numPr>
          <w:ilvl w:val="0"/>
          <w:numId w:val="0"/>
        </w:numPr>
        <w:spacing w:line="48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12、喷塑应采用优质户外纯聚酯塑粉，能抗紫外线。涂层外观应平整光洁，无皱褶、细小颗粒和缩孔等涂装缺陷。</w:t>
      </w:r>
    </w:p>
    <w:p w14:paraId="5C5731C8">
      <w:pPr>
        <w:pStyle w:val="89"/>
        <w:numPr>
          <w:ilvl w:val="0"/>
          <w:numId w:val="0"/>
        </w:numPr>
        <w:spacing w:line="480" w:lineRule="exact"/>
        <w:ind w:firstLine="480" w:firstLineChars="200"/>
        <w:rPr>
          <w:rFonts w:hint="eastAsia" w:ascii="宋体" w:hAnsi="宋体" w:cs="宋体"/>
          <w:b/>
          <w:bCs/>
          <w:color w:val="auto"/>
          <w:spacing w:val="-6"/>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13、灯杆表面喷塑厚度≥100μm，附着力达到GB9286-880级，表面光滑：硬度≥2H，并应符合GB/T6739的规定。</w:t>
      </w:r>
    </w:p>
    <w:p w14:paraId="7D1AFB55">
      <w:pPr>
        <w:keepNext w:val="0"/>
        <w:keepLines w:val="0"/>
        <w:pageBreakBefore w:val="0"/>
        <w:widowControl w:val="0"/>
        <w:kinsoku/>
        <w:wordWrap/>
        <w:overflowPunct/>
        <w:topLinePunct w:val="0"/>
        <w:autoSpaceDE/>
        <w:autoSpaceDN/>
        <w:bidi w:val="0"/>
        <w:adjustRightInd/>
        <w:snapToGrid/>
        <w:spacing w:line="440" w:lineRule="exact"/>
        <w:ind w:firstLine="458" w:firstLineChars="200"/>
        <w:textAlignment w:val="auto"/>
        <w:rPr>
          <w:rFonts w:ascii="宋体" w:hAnsi="宋体" w:eastAsia="宋体" w:cs="宋体"/>
          <w:color w:val="auto"/>
          <w:sz w:val="24"/>
          <w:szCs w:val="24"/>
          <w:highlight w:val="none"/>
        </w:rPr>
      </w:pPr>
      <w:r>
        <w:rPr>
          <w:rFonts w:hint="eastAsia" w:ascii="宋体" w:hAnsi="宋体" w:cs="宋体"/>
          <w:b/>
          <w:bCs/>
          <w:color w:val="auto"/>
          <w:spacing w:val="-6"/>
          <w:sz w:val="24"/>
          <w:szCs w:val="24"/>
          <w:highlight w:val="none"/>
          <w:lang w:val="en-US" w:eastAsia="zh-CN"/>
        </w:rPr>
        <w:t>四</w:t>
      </w:r>
      <w:r>
        <w:rPr>
          <w:rFonts w:ascii="宋体" w:hAnsi="宋体" w:eastAsia="宋体" w:cs="宋体"/>
          <w:b/>
          <w:bCs/>
          <w:color w:val="auto"/>
          <w:spacing w:val="-6"/>
          <w:sz w:val="24"/>
          <w:szCs w:val="24"/>
          <w:highlight w:val="none"/>
        </w:rPr>
        <w:t>、</w:t>
      </w:r>
      <w:r>
        <w:rPr>
          <w:rFonts w:hint="eastAsia" w:ascii="宋体" w:hAnsi="宋体" w:cs="宋体"/>
          <w:b/>
          <w:bCs/>
          <w:color w:val="auto"/>
          <w:spacing w:val="-3"/>
          <w:sz w:val="24"/>
          <w:szCs w:val="24"/>
          <w:highlight w:val="none"/>
          <w:lang w:val="en-US" w:eastAsia="zh-CN"/>
        </w:rPr>
        <w:t>样品清单</w:t>
      </w:r>
    </w:p>
    <w:p w14:paraId="530CC45C">
      <w:pPr>
        <w:spacing w:line="147" w:lineRule="exact"/>
        <w:rPr>
          <w:color w:val="auto"/>
          <w:highlight w:val="none"/>
        </w:rPr>
      </w:pP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22"/>
        <w:gridCol w:w="1643"/>
        <w:gridCol w:w="2756"/>
      </w:tblGrid>
      <w:tr w14:paraId="6B9F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76" w:type="dxa"/>
            <w:noWrap w:val="0"/>
            <w:vAlign w:val="center"/>
          </w:tcPr>
          <w:p w14:paraId="4B307AAB">
            <w:p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3222" w:type="dxa"/>
            <w:noWrap w:val="0"/>
            <w:vAlign w:val="center"/>
          </w:tcPr>
          <w:p w14:paraId="4BE629BC">
            <w:pPr>
              <w:jc w:val="center"/>
              <w:rPr>
                <w:rFonts w:hint="default"/>
                <w:color w:val="auto"/>
                <w:highlight w:val="none"/>
                <w:vertAlign w:val="baseline"/>
                <w:lang w:val="en-US" w:eastAsia="zh-CN"/>
              </w:rPr>
            </w:pPr>
            <w:r>
              <w:rPr>
                <w:rFonts w:hint="eastAsia"/>
                <w:color w:val="auto"/>
                <w:highlight w:val="none"/>
                <w:vertAlign w:val="baseline"/>
                <w:lang w:val="en-US" w:eastAsia="zh-CN"/>
              </w:rPr>
              <w:t>样品名称</w:t>
            </w:r>
          </w:p>
        </w:tc>
        <w:tc>
          <w:tcPr>
            <w:tcW w:w="1643" w:type="dxa"/>
            <w:noWrap w:val="0"/>
            <w:vAlign w:val="center"/>
          </w:tcPr>
          <w:p w14:paraId="6C1ECCA1">
            <w:pPr>
              <w:jc w:val="center"/>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2756" w:type="dxa"/>
            <w:noWrap w:val="0"/>
            <w:vAlign w:val="center"/>
          </w:tcPr>
          <w:p w14:paraId="372578EA">
            <w:pPr>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1D2E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76" w:type="dxa"/>
            <w:shd w:val="clear" w:color="auto" w:fill="auto"/>
            <w:noWrap w:val="0"/>
            <w:vAlign w:val="center"/>
          </w:tcPr>
          <w:p w14:paraId="569AE585">
            <w:pPr>
              <w:jc w:val="center"/>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1</w:t>
            </w:r>
          </w:p>
        </w:tc>
        <w:tc>
          <w:tcPr>
            <w:tcW w:w="3222" w:type="dxa"/>
            <w:shd w:val="clear" w:color="auto" w:fill="auto"/>
            <w:noWrap w:val="0"/>
            <w:vAlign w:val="center"/>
          </w:tcPr>
          <w:p w14:paraId="4E873DD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woUserID w:val="1"/>
              </w:rPr>
              <w:t xml:space="preserve">E类智慧路灯 </w:t>
            </w:r>
            <w:r>
              <w:rPr>
                <w:rFonts w:hint="eastAsia" w:asciiTheme="minorEastAsia" w:hAnsiTheme="minorEastAsia" w:eastAsiaTheme="minorEastAsia" w:cstheme="minorEastAsia"/>
                <w:color w:val="auto"/>
                <w:sz w:val="24"/>
                <w:szCs w:val="24"/>
                <w:highlight w:val="none"/>
                <w:vertAlign w:val="baseline"/>
                <w:lang w:val="en-US" w:eastAsia="zh-CN"/>
              </w:rPr>
              <w:t>照明灯具</w:t>
            </w:r>
          </w:p>
          <w:p w14:paraId="0708BF8C">
            <w:pPr>
              <w:jc w:val="center"/>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LED-210W+90W</w:t>
            </w:r>
          </w:p>
        </w:tc>
        <w:tc>
          <w:tcPr>
            <w:tcW w:w="1643" w:type="dxa"/>
            <w:shd w:val="clear" w:color="auto" w:fill="auto"/>
            <w:noWrap w:val="0"/>
            <w:vAlign w:val="center"/>
          </w:tcPr>
          <w:p w14:paraId="53368E2C">
            <w:pPr>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olor w:val="auto"/>
                <w:sz w:val="24"/>
                <w:szCs w:val="24"/>
                <w:highlight w:val="none"/>
                <w:vertAlign w:val="baseline"/>
                <w:lang w:val="en-US" w:eastAsia="zh-CN"/>
              </w:rPr>
              <w:t>1组</w:t>
            </w:r>
          </w:p>
        </w:tc>
        <w:tc>
          <w:tcPr>
            <w:tcW w:w="2756" w:type="dxa"/>
            <w:noWrap w:val="0"/>
            <w:vAlign w:val="center"/>
          </w:tcPr>
          <w:p w14:paraId="6EE105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长度900mm（±60mm）</w:t>
            </w:r>
          </w:p>
          <w:p w14:paraId="53CA84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val="0"/>
                <w:color w:val="auto"/>
                <w:highlight w:val="none"/>
                <w:lang w:val="en-US" w:eastAsia="zh-CN"/>
              </w:rPr>
            </w:pPr>
            <w:r>
              <w:rPr>
                <w:rFonts w:hint="eastAsia" w:asciiTheme="majorEastAsia" w:hAnsiTheme="majorEastAsia" w:eastAsiaTheme="majorEastAsia" w:cstheme="majorEastAsia"/>
                <w:b w:val="0"/>
                <w:bCs w:val="0"/>
                <w:color w:val="auto"/>
                <w:highlight w:val="none"/>
                <w:lang w:val="en-US" w:eastAsia="zh-CN"/>
              </w:rPr>
              <w:t>宽度400mm（±20mm）</w:t>
            </w:r>
          </w:p>
          <w:p w14:paraId="27052395">
            <w:pPr>
              <w:pStyle w:val="30"/>
              <w:keepNext w:val="0"/>
              <w:keepLines w:val="0"/>
              <w:pageBreakBefore w:val="0"/>
              <w:widowControl w:val="0"/>
              <w:kinsoku/>
              <w:wordWrap/>
              <w:overflowPunct/>
              <w:topLinePunct w:val="0"/>
              <w:autoSpaceDE/>
              <w:autoSpaceDN/>
              <w:bidi w:val="0"/>
              <w:adjustRightInd/>
              <w:snapToGrid/>
              <w:spacing w:line="360" w:lineRule="exact"/>
              <w:ind w:left="0" w:leftChars="0" w:firstLine="0"/>
              <w:textAlignment w:val="auto"/>
              <w:rPr>
                <w:rFonts w:hint="default"/>
                <w:color w:val="auto"/>
                <w:highlight w:val="none"/>
                <w:lang w:eastAsia="zh-CN"/>
                <w:woUserID w:val="1"/>
              </w:rPr>
            </w:pPr>
            <w:r>
              <w:rPr>
                <w:rFonts w:hint="default" w:asciiTheme="majorEastAsia" w:hAnsiTheme="majorEastAsia" w:eastAsiaTheme="majorEastAsia" w:cstheme="majorEastAsia"/>
                <w:b w:val="0"/>
                <w:bCs w:val="0"/>
                <w:color w:val="auto"/>
                <w:highlight w:val="none"/>
                <w:lang w:eastAsia="zh-CN"/>
                <w:woUserID w:val="1"/>
              </w:rPr>
              <w:t xml:space="preserve">  210W和90W各一套</w:t>
            </w:r>
          </w:p>
        </w:tc>
      </w:tr>
      <w:tr w14:paraId="283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76" w:type="dxa"/>
            <w:noWrap w:val="0"/>
            <w:vAlign w:val="center"/>
          </w:tcPr>
          <w:p w14:paraId="5E526584">
            <w:pPr>
              <w:jc w:val="center"/>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2</w:t>
            </w:r>
          </w:p>
        </w:tc>
        <w:tc>
          <w:tcPr>
            <w:tcW w:w="3222" w:type="dxa"/>
            <w:noWrap w:val="0"/>
            <w:vAlign w:val="center"/>
          </w:tcPr>
          <w:p w14:paraId="1D4CB81B">
            <w:pPr>
              <w:jc w:val="center"/>
              <w:rPr>
                <w:rFonts w:hint="default"/>
                <w:color w:val="auto"/>
                <w:sz w:val="24"/>
                <w:szCs w:val="24"/>
                <w:highlight w:val="none"/>
                <w:vertAlign w:val="baseline"/>
                <w:lang w:eastAsia="zh-CN"/>
                <w:woUserID w:val="1"/>
              </w:rPr>
            </w:pPr>
            <w:r>
              <w:rPr>
                <w:rFonts w:hint="eastAsia" w:asciiTheme="minorEastAsia" w:hAnsiTheme="minorEastAsia" w:eastAsiaTheme="minorEastAsia" w:cstheme="minorEastAsia"/>
                <w:b w:val="0"/>
                <w:bCs w:val="0"/>
                <w:color w:val="auto"/>
                <w:sz w:val="24"/>
                <w:szCs w:val="24"/>
                <w:highlight w:val="none"/>
                <w:vertAlign w:val="baseline"/>
                <w:lang w:val="en-US" w:eastAsia="zh-CN"/>
                <w:woUserID w:val="1"/>
              </w:rPr>
              <w:t xml:space="preserve">E类智慧路灯 </w:t>
            </w:r>
            <w:r>
              <w:rPr>
                <w:rFonts w:hint="eastAsia" w:asciiTheme="minorEastAsia" w:hAnsiTheme="minorEastAsia" w:eastAsiaTheme="minorEastAsia" w:cstheme="minorEastAsia"/>
                <w:b w:val="0"/>
                <w:bCs w:val="0"/>
                <w:color w:val="auto"/>
                <w:sz w:val="24"/>
                <w:szCs w:val="24"/>
                <w:highlight w:val="none"/>
                <w:vertAlign w:val="baseline"/>
                <w:lang w:eastAsia="zh-CN"/>
                <w:woUserID w:val="1"/>
              </w:rPr>
              <w:t>灯杆</w:t>
            </w:r>
          </w:p>
        </w:tc>
        <w:tc>
          <w:tcPr>
            <w:tcW w:w="1643" w:type="dxa"/>
            <w:noWrap w:val="0"/>
            <w:vAlign w:val="center"/>
          </w:tcPr>
          <w:p w14:paraId="755555F9">
            <w:pPr>
              <w:jc w:val="center"/>
              <w:rPr>
                <w:color w:val="auto"/>
                <w:highlight w:val="none"/>
              </w:rPr>
            </w:pPr>
            <w:r>
              <w:rPr>
                <w:rFonts w:hint="eastAsia"/>
                <w:color w:val="auto"/>
                <w:sz w:val="24"/>
                <w:szCs w:val="24"/>
                <w:highlight w:val="none"/>
                <w:vertAlign w:val="baseline"/>
                <w:lang w:val="en-US" w:eastAsia="zh-CN"/>
              </w:rPr>
              <w:t>1段</w:t>
            </w:r>
          </w:p>
        </w:tc>
        <w:tc>
          <w:tcPr>
            <w:tcW w:w="2756" w:type="dxa"/>
            <w:noWrap w:val="0"/>
            <w:vAlign w:val="center"/>
          </w:tcPr>
          <w:p w14:paraId="0B607024">
            <w:pPr>
              <w:jc w:val="center"/>
              <w:rPr>
                <w:rFonts w:hint="default"/>
                <w:color w:val="auto"/>
                <w:sz w:val="21"/>
                <w:szCs w:val="21"/>
                <w:highlight w:val="none"/>
                <w:vertAlign w:val="baseline"/>
                <w:lang w:eastAsia="zh-CN"/>
                <w:woUserID w:val="1"/>
              </w:rPr>
            </w:pPr>
            <w:r>
              <w:rPr>
                <w:rFonts w:hint="default"/>
                <w:color w:val="auto"/>
                <w:sz w:val="24"/>
                <w:szCs w:val="24"/>
                <w:highlight w:val="none"/>
                <w:vertAlign w:val="baseline"/>
                <w:lang w:eastAsia="zh-CN"/>
                <w:woUserID w:val="1"/>
              </w:rPr>
              <w:t>带底部法兰盘及检修口这一段</w:t>
            </w:r>
          </w:p>
        </w:tc>
      </w:tr>
    </w:tbl>
    <w:p w14:paraId="3CD14A61">
      <w:pPr>
        <w:spacing w:line="460" w:lineRule="exact"/>
        <w:ind w:firstLine="480" w:firstLineChars="200"/>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、样品需投标人</w:t>
      </w:r>
      <w:r>
        <w:rPr>
          <w:rFonts w:hint="eastAsia" w:ascii="宋体" w:hAnsi="宋体"/>
          <w:color w:val="auto"/>
          <w:highlight w:val="none"/>
          <w:lang w:val="en-US" w:eastAsia="zh-CN"/>
        </w:rPr>
        <w:t>自备电源</w:t>
      </w:r>
      <w:r>
        <w:rPr>
          <w:rFonts w:hint="eastAsia" w:ascii="宋体" w:hAnsi="宋体"/>
          <w:color w:val="auto"/>
          <w:highlight w:val="none"/>
        </w:rPr>
        <w:t>自行接好电源</w:t>
      </w:r>
      <w:r>
        <w:rPr>
          <w:rFonts w:hint="eastAsia" w:ascii="宋体" w:hAnsi="宋体" w:cs="宋体"/>
          <w:color w:val="auto"/>
          <w:highlight w:val="none"/>
        </w:rPr>
        <w:t>、</w:t>
      </w:r>
      <w:r>
        <w:rPr>
          <w:rFonts w:hint="eastAsia" w:ascii="宋体" w:hAnsi="宋体"/>
          <w:color w:val="auto"/>
          <w:highlight w:val="none"/>
        </w:rPr>
        <w:t>自行调试</w:t>
      </w:r>
      <w:r>
        <w:rPr>
          <w:rFonts w:hint="eastAsia" w:ascii="宋体" w:hAnsi="宋体" w:cs="宋体"/>
          <w:color w:val="auto"/>
          <w:highlight w:val="none"/>
        </w:rPr>
        <w:t>，</w:t>
      </w:r>
      <w:r>
        <w:rPr>
          <w:rFonts w:hint="eastAsia" w:ascii="宋体" w:hAnsi="宋体"/>
          <w:color w:val="auto"/>
          <w:highlight w:val="none"/>
        </w:rPr>
        <w:t>调试完毕后放置整齐等待评审。评审时若样品不运行或其他故障，由投标单位全权负责。</w:t>
      </w:r>
    </w:p>
    <w:p w14:paraId="6A038107">
      <w:pPr>
        <w:pStyle w:val="30"/>
        <w:spacing w:line="460" w:lineRule="exact"/>
        <w:ind w:left="0" w:leftChars="0"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、样品未提交、样品不全及有企业标志的按0分处理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(样品中如有标志，自行用白条粘贴)</w:t>
      </w:r>
    </w:p>
    <w:p w14:paraId="48918589">
      <w:pPr>
        <w:spacing w:before="155" w:line="350" w:lineRule="auto"/>
        <w:ind w:right="53" w:rightChars="0" w:firstLine="448" w:firstLineChars="200"/>
        <w:jc w:val="both"/>
        <w:rPr>
          <w:rFonts w:hint="default"/>
          <w:b/>
          <w:bCs/>
          <w:color w:val="auto"/>
          <w:highlight w:val="none"/>
          <w:lang w:val="en-US" w:eastAsia="zh-CN"/>
        </w:rPr>
      </w:pPr>
      <w:r>
        <w:rPr>
          <w:rFonts w:hint="eastAsia" w:ascii="宋体" w:hAnsi="宋体" w:cs="宋体"/>
          <w:b w:val="0"/>
          <w:bCs w:val="0"/>
          <w:color w:val="auto"/>
          <w:spacing w:val="-8"/>
          <w:sz w:val="24"/>
          <w:szCs w:val="24"/>
          <w:highlight w:val="none"/>
          <w:lang w:val="en-US" w:eastAsia="zh-CN"/>
        </w:rPr>
        <w:t>3、</w:t>
      </w:r>
      <w:r>
        <w:rPr>
          <w:rFonts w:ascii="宋体" w:hAnsi="宋体" w:eastAsia="宋体" w:cs="宋体"/>
          <w:b w:val="0"/>
          <w:bCs w:val="0"/>
          <w:color w:val="auto"/>
          <w:spacing w:val="-8"/>
          <w:sz w:val="24"/>
          <w:szCs w:val="24"/>
          <w:highlight w:val="none"/>
        </w:rPr>
        <w:t>中标候选人的样品由采</w:t>
      </w:r>
      <w:r>
        <w:rPr>
          <w:rFonts w:ascii="宋体" w:hAnsi="宋体" w:eastAsia="宋体" w:cs="宋体"/>
          <w:b w:val="0"/>
          <w:bCs w:val="0"/>
          <w:color w:val="auto"/>
          <w:sz w:val="24"/>
          <w:szCs w:val="24"/>
          <w:highlight w:val="none"/>
        </w:rPr>
        <w:t>购单位封存作为验收标准和依据，其他单位的样</w:t>
      </w:r>
      <w:r>
        <w:rPr>
          <w:rFonts w:ascii="宋体" w:hAnsi="宋体" w:eastAsia="宋体" w:cs="宋体"/>
          <w:b w:val="0"/>
          <w:bCs w:val="0"/>
          <w:color w:val="auto"/>
          <w:spacing w:val="-1"/>
          <w:sz w:val="24"/>
          <w:szCs w:val="24"/>
          <w:highlight w:val="none"/>
        </w:rPr>
        <w:t>品开标结束后退还。</w:t>
      </w:r>
    </w:p>
    <w:p w14:paraId="3BA93D79">
      <w:pPr>
        <w:pStyle w:val="16"/>
        <w:keepLines w:val="0"/>
        <w:pageBreakBefore w:val="0"/>
        <w:kinsoku/>
        <w:wordWrap/>
        <w:overflowPunct/>
        <w:topLinePunct w:val="0"/>
        <w:autoSpaceDE/>
        <w:autoSpaceDN/>
        <w:bidi w:val="0"/>
        <w:spacing w:line="490" w:lineRule="exact"/>
        <w:ind w:right="0" w:rightChars="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商务响应表</w:t>
      </w:r>
    </w:p>
    <w:tbl>
      <w:tblPr>
        <w:tblStyle w:val="31"/>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4"/>
        <w:gridCol w:w="7750"/>
      </w:tblGrid>
      <w:tr w14:paraId="1EDC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right w:val="single" w:color="auto" w:sz="4" w:space="0"/>
            </w:tcBorders>
            <w:noWrap w:val="0"/>
            <w:vAlign w:val="center"/>
          </w:tcPr>
          <w:p w14:paraId="6686A6A4">
            <w:pPr>
              <w:pStyle w:val="113"/>
              <w:keepNext w:val="0"/>
              <w:keepLines w:val="0"/>
              <w:pageBreakBefore w:val="0"/>
              <w:widowControl w:val="0"/>
              <w:kinsoku/>
              <w:wordWrap/>
              <w:overflowPunct/>
              <w:topLinePunct w:val="0"/>
              <w:bidi w:val="0"/>
              <w:snapToGrid/>
              <w:spacing w:before="207" w:line="400" w:lineRule="exact"/>
              <w:jc w:val="both"/>
              <w:textAlignment w:val="auto"/>
              <w:rPr>
                <w:rFonts w:hint="default" w:ascii="宋体" w:hAnsi="宋体" w:eastAsia="宋体" w:cs="宋体"/>
                <w:bCs/>
                <w:color w:val="auto"/>
                <w:sz w:val="24"/>
                <w:szCs w:val="24"/>
                <w:highlight w:val="none"/>
                <w:lang w:val="en-US" w:eastAsia="zh-CN"/>
              </w:rPr>
            </w:pPr>
            <w:r>
              <w:rPr>
                <w:rFonts w:hint="eastAsia"/>
                <w:color w:val="auto"/>
                <w:spacing w:val="-4"/>
                <w:sz w:val="24"/>
                <w:szCs w:val="24"/>
                <w:highlight w:val="none"/>
                <w:lang w:val="en-US" w:eastAsia="zh-CN"/>
              </w:rPr>
              <w:t>履约保证金</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32F9250E">
            <w:pPr>
              <w:keepNext w:val="0"/>
              <w:keepLines w:val="0"/>
              <w:pageBreakBefore w:val="0"/>
              <w:widowControl w:val="0"/>
              <w:kinsoku/>
              <w:wordWrap/>
              <w:overflowPunct/>
              <w:topLinePunct w:val="0"/>
              <w:autoSpaceDE/>
              <w:autoSpaceDN/>
              <w:bidi w:val="0"/>
              <w:adjustRightInd w:val="0"/>
              <w:snapToGrid/>
              <w:spacing w:line="400" w:lineRule="exact"/>
              <w:ind w:right="0" w:rightChars="0"/>
              <w:jc w:val="both"/>
              <w:textAlignment w:val="auto"/>
              <w:rPr>
                <w:color w:val="auto"/>
                <w:sz w:val="24"/>
                <w:szCs w:val="24"/>
                <w:highlight w:val="none"/>
              </w:rPr>
            </w:pPr>
            <w:r>
              <w:rPr>
                <w:color w:val="auto"/>
                <w:spacing w:val="1"/>
                <w:sz w:val="24"/>
                <w:szCs w:val="24"/>
                <w:highlight w:val="none"/>
              </w:rPr>
              <w:t>履约保证金：中标通知书发出后</w:t>
            </w:r>
            <w:r>
              <w:rPr>
                <w:color w:val="auto"/>
                <w:spacing w:val="-28"/>
                <w:sz w:val="24"/>
                <w:szCs w:val="24"/>
                <w:highlight w:val="none"/>
              </w:rPr>
              <w:t xml:space="preserve"> </w:t>
            </w:r>
            <w:r>
              <w:rPr>
                <w:color w:val="auto"/>
                <w:spacing w:val="1"/>
                <w:sz w:val="24"/>
                <w:szCs w:val="24"/>
                <w:highlight w:val="none"/>
              </w:rPr>
              <w:t>10</w:t>
            </w:r>
            <w:r>
              <w:rPr>
                <w:color w:val="auto"/>
                <w:spacing w:val="-48"/>
                <w:sz w:val="24"/>
                <w:szCs w:val="24"/>
                <w:highlight w:val="none"/>
              </w:rPr>
              <w:t xml:space="preserve"> </w:t>
            </w:r>
            <w:r>
              <w:rPr>
                <w:color w:val="auto"/>
                <w:spacing w:val="1"/>
                <w:sz w:val="24"/>
                <w:szCs w:val="24"/>
                <w:highlight w:val="none"/>
              </w:rPr>
              <w:t>个工作日内中标人向</w:t>
            </w:r>
            <w:r>
              <w:rPr>
                <w:color w:val="auto"/>
                <w:sz w:val="24"/>
                <w:szCs w:val="24"/>
                <w:highlight w:val="none"/>
              </w:rPr>
              <w:t>采购人递交</w:t>
            </w:r>
            <w:r>
              <w:rPr>
                <w:color w:val="auto"/>
                <w:spacing w:val="-4"/>
                <w:sz w:val="24"/>
                <w:szCs w:val="24"/>
                <w:highlight w:val="none"/>
              </w:rPr>
              <w:t>合同（中标）金额</w:t>
            </w:r>
            <w:r>
              <w:rPr>
                <w:rFonts w:hint="eastAsia"/>
                <w:color w:val="auto"/>
                <w:spacing w:val="-4"/>
                <w:sz w:val="24"/>
                <w:szCs w:val="24"/>
                <w:highlight w:val="none"/>
                <w:lang w:val="en-US" w:eastAsia="zh-CN"/>
              </w:rPr>
              <w:t>1</w:t>
            </w:r>
            <w:r>
              <w:rPr>
                <w:color w:val="auto"/>
                <w:spacing w:val="-4"/>
                <w:sz w:val="24"/>
                <w:szCs w:val="24"/>
                <w:highlight w:val="none"/>
              </w:rPr>
              <w:t>%的履约保证金</w:t>
            </w:r>
            <w:r>
              <w:rPr>
                <w:rFonts w:hint="eastAsia"/>
                <w:color w:val="auto"/>
                <w:spacing w:val="-4"/>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0日内无息退还。</w:t>
            </w:r>
          </w:p>
          <w:p w14:paraId="2776A70C">
            <w:pPr>
              <w:pStyle w:val="113"/>
              <w:keepNext w:val="0"/>
              <w:keepLines w:val="0"/>
              <w:pageBreakBefore w:val="0"/>
              <w:widowControl w:val="0"/>
              <w:kinsoku/>
              <w:wordWrap/>
              <w:overflowPunct/>
              <w:topLinePunct w:val="0"/>
              <w:autoSpaceDE/>
              <w:autoSpaceDN/>
              <w:bidi w:val="0"/>
              <w:adjustRightInd/>
              <w:snapToGrid/>
              <w:spacing w:line="400" w:lineRule="exact"/>
              <w:ind w:left="116" w:leftChars="0"/>
              <w:jc w:val="both"/>
              <w:textAlignment w:val="auto"/>
              <w:rPr>
                <w:rFonts w:hint="eastAsia" w:eastAsia="宋体"/>
                <w:color w:val="auto"/>
                <w:sz w:val="24"/>
                <w:szCs w:val="24"/>
                <w:highlight w:val="none"/>
                <w:lang w:val="en-US" w:eastAsia="zh-CN"/>
              </w:rPr>
            </w:pPr>
            <w:r>
              <w:rPr>
                <w:color w:val="auto"/>
                <w:spacing w:val="-1"/>
                <w:sz w:val="24"/>
                <w:szCs w:val="24"/>
                <w:highlight w:val="none"/>
              </w:rPr>
              <w:t>履约保证金形式：保函</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只限银行保函</w:t>
            </w:r>
            <w:r>
              <w:rPr>
                <w:rFonts w:hint="eastAsia"/>
                <w:color w:val="auto"/>
                <w:spacing w:val="-1"/>
                <w:sz w:val="24"/>
                <w:szCs w:val="24"/>
                <w:highlight w:val="none"/>
                <w:lang w:eastAsia="zh-CN"/>
              </w:rPr>
              <w:t>）</w:t>
            </w:r>
            <w:r>
              <w:rPr>
                <w:color w:val="auto"/>
                <w:spacing w:val="-1"/>
                <w:sz w:val="24"/>
                <w:szCs w:val="24"/>
                <w:highlight w:val="none"/>
              </w:rPr>
              <w:t>、网上银行、电汇、转账形式</w:t>
            </w:r>
            <w:r>
              <w:rPr>
                <w:rFonts w:hint="eastAsia"/>
                <w:color w:val="auto"/>
                <w:spacing w:val="-1"/>
                <w:sz w:val="24"/>
                <w:szCs w:val="24"/>
                <w:highlight w:val="none"/>
                <w:lang w:eastAsia="zh-CN"/>
              </w:rPr>
              <w:t>。</w:t>
            </w:r>
          </w:p>
        </w:tc>
      </w:tr>
      <w:tr w14:paraId="398E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514" w:type="dxa"/>
            <w:tcBorders>
              <w:top w:val="single" w:color="auto" w:sz="4" w:space="0"/>
              <w:left w:val="single" w:color="auto" w:sz="4" w:space="0"/>
              <w:right w:val="single" w:color="auto" w:sz="4" w:space="0"/>
            </w:tcBorders>
            <w:noWrap w:val="0"/>
            <w:vAlign w:val="center"/>
          </w:tcPr>
          <w:p w14:paraId="5BE88FE1">
            <w:pPr>
              <w:pStyle w:val="113"/>
              <w:keepNext w:val="0"/>
              <w:keepLines w:val="0"/>
              <w:pageBreakBefore w:val="0"/>
              <w:widowControl w:val="0"/>
              <w:kinsoku/>
              <w:wordWrap/>
              <w:overflowPunct/>
              <w:topLinePunct w:val="0"/>
              <w:bidi w:val="0"/>
              <w:snapToGrid/>
              <w:spacing w:before="207" w:line="400" w:lineRule="exact"/>
              <w:jc w:val="center"/>
              <w:textAlignment w:val="auto"/>
              <w:rPr>
                <w:rFonts w:hint="default" w:eastAsia="宋体"/>
                <w:color w:val="auto"/>
                <w:sz w:val="24"/>
                <w:szCs w:val="24"/>
                <w:highlight w:val="none"/>
                <w:lang w:val="en-US" w:eastAsia="zh-CN"/>
              </w:rPr>
            </w:pPr>
            <w:r>
              <w:rPr>
                <w:color w:val="auto"/>
                <w:spacing w:val="-4"/>
                <w:sz w:val="24"/>
                <w:szCs w:val="24"/>
                <w:highlight w:val="none"/>
              </w:rPr>
              <w:t>质保期</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52135200">
            <w:pPr>
              <w:pStyle w:val="113"/>
              <w:keepNext w:val="0"/>
              <w:keepLines w:val="0"/>
              <w:pageBreakBefore w:val="0"/>
              <w:widowControl w:val="0"/>
              <w:kinsoku/>
              <w:wordWrap/>
              <w:overflowPunct/>
              <w:topLinePunct w:val="0"/>
              <w:autoSpaceDE/>
              <w:autoSpaceDN/>
              <w:bidi w:val="0"/>
              <w:adjustRightInd/>
              <w:snapToGrid/>
              <w:spacing w:line="400" w:lineRule="exact"/>
              <w:ind w:left="111" w:leftChars="0"/>
              <w:jc w:val="both"/>
              <w:textAlignment w:val="auto"/>
              <w:rPr>
                <w:rFonts w:hint="eastAsia" w:eastAsia="宋体"/>
                <w:color w:val="auto"/>
                <w:sz w:val="24"/>
                <w:szCs w:val="24"/>
                <w:highlight w:val="none"/>
                <w:lang w:val="en-US" w:eastAsia="zh-CN"/>
              </w:rPr>
            </w:pPr>
            <w:r>
              <w:rPr>
                <w:color w:val="auto"/>
                <w:spacing w:val="-2"/>
                <w:sz w:val="24"/>
                <w:szCs w:val="24"/>
                <w:highlight w:val="none"/>
              </w:rPr>
              <w:t>验收合格后</w:t>
            </w:r>
            <w:r>
              <w:rPr>
                <w:rFonts w:hint="eastAsia"/>
                <w:color w:val="auto"/>
                <w:spacing w:val="-2"/>
                <w:sz w:val="24"/>
                <w:szCs w:val="24"/>
                <w:highlight w:val="none"/>
                <w:lang w:val="en-US" w:eastAsia="zh-CN"/>
              </w:rPr>
              <w:t>二</w:t>
            </w:r>
            <w:r>
              <w:rPr>
                <w:color w:val="auto"/>
                <w:spacing w:val="-2"/>
                <w:sz w:val="24"/>
                <w:szCs w:val="24"/>
                <w:highlight w:val="none"/>
              </w:rPr>
              <w:t>年</w:t>
            </w:r>
            <w:r>
              <w:rPr>
                <w:rFonts w:hint="eastAsia"/>
                <w:color w:val="auto"/>
                <w:spacing w:val="-2"/>
                <w:sz w:val="24"/>
                <w:szCs w:val="24"/>
                <w:highlight w:val="none"/>
                <w:lang w:eastAsia="zh-CN"/>
              </w:rPr>
              <w:t>。</w:t>
            </w:r>
          </w:p>
        </w:tc>
      </w:tr>
      <w:tr w14:paraId="2AF74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right w:val="single" w:color="auto" w:sz="4" w:space="0"/>
            </w:tcBorders>
            <w:noWrap w:val="0"/>
            <w:vAlign w:val="center"/>
          </w:tcPr>
          <w:p w14:paraId="78423085">
            <w:pPr>
              <w:keepNext w:val="0"/>
              <w:keepLines w:val="0"/>
              <w:pageBreakBefore w:val="0"/>
              <w:widowControl w:val="0"/>
              <w:kinsoku/>
              <w:wordWrap/>
              <w:overflowPunct/>
              <w:topLinePunct w:val="0"/>
              <w:autoSpaceDE/>
              <w:autoSpaceDN/>
              <w:bidi w:val="0"/>
              <w:adjustRightInd w:val="0"/>
              <w:snapToGrid/>
              <w:spacing w:line="400" w:lineRule="exact"/>
              <w:ind w:right="0" w:rightChars="0"/>
              <w:jc w:val="center"/>
              <w:textAlignment w:val="auto"/>
              <w:rPr>
                <w:rFonts w:hint="eastAsia" w:ascii="Times New Roman" w:hAnsi="Times New Roman" w:cs="Times New Roman"/>
                <w:color w:val="auto"/>
                <w:spacing w:val="1"/>
                <w:sz w:val="24"/>
                <w:szCs w:val="24"/>
                <w:highlight w:val="none"/>
              </w:rPr>
            </w:pPr>
            <w:r>
              <w:rPr>
                <w:rFonts w:hint="eastAsia" w:ascii="Times New Roman" w:hAnsi="Times New Roman" w:cs="Times New Roman"/>
                <w:color w:val="auto"/>
                <w:spacing w:val="1"/>
                <w:sz w:val="24"/>
                <w:szCs w:val="24"/>
                <w:highlight w:val="none"/>
                <w:lang w:eastAsia="zh-CN"/>
              </w:rPr>
              <w:t>工期及</w:t>
            </w:r>
            <w:r>
              <w:rPr>
                <w:rFonts w:hint="eastAsia" w:ascii="Times New Roman" w:hAnsi="Times New Roman" w:cs="Times New Roman"/>
                <w:color w:val="auto"/>
                <w:spacing w:val="1"/>
                <w:sz w:val="24"/>
                <w:szCs w:val="24"/>
                <w:highlight w:val="none"/>
              </w:rPr>
              <w:t>交货安装地点</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3391B7A0">
            <w:pPr>
              <w:keepNext w:val="0"/>
              <w:keepLines w:val="0"/>
              <w:pageBreakBefore w:val="0"/>
              <w:widowControl w:val="0"/>
              <w:kinsoku/>
              <w:wordWrap/>
              <w:overflowPunct/>
              <w:topLinePunct w:val="0"/>
              <w:autoSpaceDE/>
              <w:autoSpaceDN/>
              <w:bidi w:val="0"/>
              <w:adjustRightInd w:val="0"/>
              <w:snapToGrid/>
              <w:spacing w:line="400" w:lineRule="exact"/>
              <w:ind w:right="0" w:rightChars="0"/>
              <w:jc w:val="both"/>
              <w:textAlignment w:val="auto"/>
              <w:rPr>
                <w:rFonts w:hint="default" w:ascii="Times New Roman" w:hAnsi="Times New Roman" w:cs="Times New Roman"/>
                <w:color w:val="auto"/>
                <w:spacing w:val="1"/>
                <w:sz w:val="24"/>
                <w:szCs w:val="24"/>
                <w:highlight w:val="none"/>
                <w:lang w:val="en-US" w:eastAsia="zh-CN"/>
              </w:rPr>
            </w:pPr>
            <w:r>
              <w:rPr>
                <w:rFonts w:hint="eastAsia" w:ascii="Times New Roman" w:hAnsi="Times New Roman" w:cs="Times New Roman"/>
                <w:color w:val="auto"/>
                <w:spacing w:val="1"/>
                <w:sz w:val="24"/>
                <w:szCs w:val="24"/>
                <w:highlight w:val="none"/>
                <w:lang w:val="en-US" w:eastAsia="zh-CN"/>
              </w:rPr>
              <w:t>工期：</w:t>
            </w:r>
            <w:r>
              <w:rPr>
                <w:rFonts w:hint="eastAsia" w:cs="Times New Roman"/>
                <w:color w:val="auto"/>
                <w:spacing w:val="1"/>
                <w:sz w:val="24"/>
                <w:szCs w:val="24"/>
                <w:highlight w:val="none"/>
                <w:lang w:val="en-US" w:eastAsia="zh-CN"/>
              </w:rPr>
              <w:t>与</w:t>
            </w:r>
            <w:r>
              <w:rPr>
                <w:rFonts w:hint="eastAsia" w:ascii="Times New Roman" w:hAnsi="Times New Roman" w:cs="Times New Roman"/>
                <w:color w:val="auto"/>
                <w:spacing w:val="1"/>
                <w:sz w:val="24"/>
                <w:szCs w:val="24"/>
                <w:highlight w:val="none"/>
                <w:lang w:val="en-US" w:eastAsia="zh-CN"/>
              </w:rPr>
              <w:t>道路施工进度同步。</w:t>
            </w:r>
          </w:p>
          <w:p w14:paraId="4989FC84">
            <w:pPr>
              <w:keepNext w:val="0"/>
              <w:keepLines w:val="0"/>
              <w:pageBreakBefore w:val="0"/>
              <w:widowControl w:val="0"/>
              <w:kinsoku/>
              <w:wordWrap/>
              <w:overflowPunct/>
              <w:topLinePunct w:val="0"/>
              <w:autoSpaceDE/>
              <w:autoSpaceDN/>
              <w:bidi w:val="0"/>
              <w:adjustRightInd w:val="0"/>
              <w:snapToGrid/>
              <w:spacing w:line="400" w:lineRule="exact"/>
              <w:ind w:right="0" w:rightChars="0"/>
              <w:jc w:val="both"/>
              <w:textAlignment w:val="auto"/>
              <w:rPr>
                <w:rFonts w:hint="default" w:ascii="Times New Roman" w:hAnsi="Times New Roman" w:cs="Times New Roman"/>
                <w:color w:val="auto"/>
                <w:spacing w:val="1"/>
                <w:sz w:val="24"/>
                <w:szCs w:val="24"/>
                <w:highlight w:val="none"/>
                <w:lang w:val="en-US" w:eastAsia="zh-CN"/>
              </w:rPr>
            </w:pPr>
            <w:r>
              <w:rPr>
                <w:rFonts w:hint="eastAsia" w:ascii="Times New Roman" w:hAnsi="Times New Roman" w:cs="Times New Roman"/>
                <w:color w:val="auto"/>
                <w:spacing w:val="1"/>
                <w:sz w:val="24"/>
                <w:szCs w:val="24"/>
                <w:highlight w:val="none"/>
              </w:rPr>
              <w:t>交货安装地点：交货需送达</w:t>
            </w:r>
            <w:r>
              <w:rPr>
                <w:rFonts w:hint="eastAsia" w:ascii="Times New Roman" w:hAnsi="Times New Roman" w:cs="Times New Roman"/>
                <w:color w:val="auto"/>
                <w:spacing w:val="1"/>
                <w:sz w:val="24"/>
                <w:szCs w:val="24"/>
                <w:highlight w:val="none"/>
                <w:lang w:val="en-US" w:eastAsia="zh-CN"/>
              </w:rPr>
              <w:t>采购人</w:t>
            </w:r>
            <w:r>
              <w:rPr>
                <w:rFonts w:hint="eastAsia" w:ascii="Times New Roman" w:hAnsi="Times New Roman" w:cs="Times New Roman"/>
                <w:color w:val="auto"/>
                <w:spacing w:val="1"/>
                <w:sz w:val="24"/>
                <w:szCs w:val="24"/>
                <w:highlight w:val="none"/>
              </w:rPr>
              <w:t>指定地点，并根据</w:t>
            </w:r>
            <w:r>
              <w:rPr>
                <w:rFonts w:hint="eastAsia" w:ascii="Times New Roman" w:hAnsi="Times New Roman" w:cs="Times New Roman"/>
                <w:color w:val="auto"/>
                <w:spacing w:val="1"/>
                <w:sz w:val="24"/>
                <w:szCs w:val="24"/>
                <w:highlight w:val="none"/>
                <w:lang w:val="en-US" w:eastAsia="zh-CN"/>
              </w:rPr>
              <w:t>采购人</w:t>
            </w:r>
            <w:r>
              <w:rPr>
                <w:rFonts w:hint="eastAsia" w:ascii="Times New Roman" w:hAnsi="Times New Roman" w:cs="Times New Roman"/>
                <w:color w:val="auto"/>
                <w:spacing w:val="1"/>
                <w:sz w:val="24"/>
                <w:szCs w:val="24"/>
                <w:highlight w:val="none"/>
              </w:rPr>
              <w:t>要求安装并完成调试。</w:t>
            </w:r>
          </w:p>
        </w:tc>
      </w:tr>
      <w:tr w14:paraId="5ABAA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40F4A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pacing w:val="-2"/>
                <w:kern w:val="2"/>
                <w:sz w:val="24"/>
                <w:szCs w:val="24"/>
                <w:highlight w:val="none"/>
                <w:lang w:val="en-US" w:eastAsia="en-US" w:bidi="ar-SA"/>
              </w:rPr>
            </w:pPr>
          </w:p>
          <w:p w14:paraId="37FCBA79">
            <w:pPr>
              <w:pStyle w:val="113"/>
              <w:keepNext w:val="0"/>
              <w:keepLines w:val="0"/>
              <w:pageBreakBefore w:val="0"/>
              <w:widowControl w:val="0"/>
              <w:kinsoku/>
              <w:wordWrap/>
              <w:overflowPunct/>
              <w:topLinePunct w:val="0"/>
              <w:autoSpaceDE/>
              <w:autoSpaceDN/>
              <w:bidi w:val="0"/>
              <w:adjustRightInd/>
              <w:snapToGrid/>
              <w:spacing w:line="400" w:lineRule="exact"/>
              <w:ind w:left="180" w:leftChars="0"/>
              <w:jc w:val="center"/>
              <w:textAlignment w:val="auto"/>
              <w:rPr>
                <w:rFonts w:hint="eastAsia" w:ascii="宋体" w:hAnsi="宋体" w:eastAsia="宋体" w:cs="宋体"/>
                <w:color w:val="auto"/>
                <w:spacing w:val="-2"/>
                <w:kern w:val="2"/>
                <w:sz w:val="24"/>
                <w:szCs w:val="24"/>
                <w:highlight w:val="none"/>
                <w:lang w:val="en-US" w:eastAsia="en-US" w:bidi="ar-SA"/>
              </w:rPr>
            </w:pPr>
            <w:r>
              <w:rPr>
                <w:rFonts w:ascii="宋体" w:hAnsi="宋体" w:eastAsia="宋体" w:cs="宋体"/>
                <w:color w:val="auto"/>
                <w:spacing w:val="-2"/>
                <w:kern w:val="2"/>
                <w:sz w:val="24"/>
                <w:szCs w:val="24"/>
                <w:highlight w:val="none"/>
                <w:lang w:val="en-US" w:eastAsia="en-US" w:bidi="ar-SA"/>
              </w:rPr>
              <w:t>付款方式</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29DFCFE0">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合同签订后</w:t>
            </w:r>
            <w:r>
              <w:rPr>
                <w:rFonts w:hint="default" w:cs="宋体"/>
                <w:color w:val="auto"/>
                <w:spacing w:val="-2"/>
                <w:kern w:val="2"/>
                <w:sz w:val="24"/>
                <w:szCs w:val="24"/>
                <w:highlight w:val="none"/>
                <w:lang w:eastAsia="en-US" w:bidi="ar-SA"/>
                <w:woUserID w:val="1"/>
              </w:rPr>
              <w:t>主材到货后付至合同价款</w:t>
            </w:r>
            <w:r>
              <w:rPr>
                <w:rFonts w:hint="eastAsia" w:ascii="宋体" w:hAnsi="宋体" w:eastAsia="宋体" w:cs="宋体"/>
                <w:color w:val="auto"/>
                <w:spacing w:val="-2"/>
                <w:kern w:val="2"/>
                <w:sz w:val="24"/>
                <w:szCs w:val="24"/>
                <w:highlight w:val="none"/>
                <w:lang w:val="en-US" w:eastAsia="en-US" w:bidi="ar-SA"/>
              </w:rPr>
              <w:t>的</w:t>
            </w:r>
            <w:r>
              <w:rPr>
                <w:rFonts w:hint="default" w:ascii="宋体" w:hAnsi="宋体" w:eastAsia="宋体" w:cs="宋体"/>
                <w:color w:val="auto"/>
                <w:spacing w:val="-2"/>
                <w:kern w:val="2"/>
                <w:sz w:val="24"/>
                <w:szCs w:val="24"/>
                <w:highlight w:val="none"/>
                <w:lang w:val="en-US" w:eastAsia="en-US" w:bidi="ar-SA"/>
              </w:rPr>
              <w:t>4</w:t>
            </w:r>
            <w:r>
              <w:rPr>
                <w:rFonts w:hint="eastAsia" w:ascii="宋体" w:hAnsi="宋体" w:eastAsia="宋体" w:cs="宋体"/>
                <w:color w:val="auto"/>
                <w:spacing w:val="-2"/>
                <w:kern w:val="2"/>
                <w:sz w:val="24"/>
                <w:szCs w:val="24"/>
                <w:highlight w:val="none"/>
                <w:lang w:val="en-US" w:eastAsia="en-US" w:bidi="ar-SA"/>
              </w:rPr>
              <w:t>0%，工程完工验收合格后支付至合同价款的70%；</w:t>
            </w:r>
          </w:p>
          <w:p w14:paraId="2C0BCD5F">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i w:val="0"/>
                <w:color w:val="auto"/>
                <w:spacing w:val="-2"/>
                <w:kern w:val="2"/>
                <w:sz w:val="24"/>
                <w:szCs w:val="24"/>
                <w:highlight w:val="none"/>
                <w:u w:val="none"/>
                <w:lang w:val="en-US" w:eastAsia="en-US" w:bidi="ar-SA"/>
                <w:woUserID w:val="0"/>
              </w:rPr>
              <w:t>工程结算由</w:t>
            </w:r>
            <w:r>
              <w:rPr>
                <w:rFonts w:hint="eastAsia" w:ascii="宋体" w:hAnsi="宋体" w:cs="宋体"/>
                <w:i w:val="0"/>
                <w:color w:val="auto"/>
                <w:spacing w:val="-2"/>
                <w:kern w:val="2"/>
                <w:sz w:val="24"/>
                <w:szCs w:val="24"/>
                <w:highlight w:val="none"/>
                <w:u w:val="none"/>
                <w:lang w:val="en-US" w:eastAsia="zh-CN" w:bidi="ar-SA"/>
                <w:woUserID w:val="0"/>
              </w:rPr>
              <w:t>采购</w:t>
            </w:r>
            <w:r>
              <w:rPr>
                <w:rFonts w:hint="eastAsia" w:ascii="宋体" w:hAnsi="宋体" w:eastAsia="宋体" w:cs="宋体"/>
                <w:i w:val="0"/>
                <w:color w:val="auto"/>
                <w:spacing w:val="-2"/>
                <w:kern w:val="2"/>
                <w:sz w:val="24"/>
                <w:szCs w:val="24"/>
                <w:highlight w:val="none"/>
                <w:u w:val="none"/>
                <w:lang w:val="en-US" w:eastAsia="en-US" w:bidi="ar-SA"/>
                <w:woUserID w:val="0"/>
              </w:rPr>
              <w:t>单位 (或委托有资质的第三方中介机构) 审定，支付至工程结算价的</w:t>
            </w:r>
            <w:r>
              <w:rPr>
                <w:rFonts w:hint="eastAsia" w:ascii="宋体" w:hAnsi="宋体" w:cs="宋体"/>
                <w:i w:val="0"/>
                <w:color w:val="auto"/>
                <w:spacing w:val="-2"/>
                <w:kern w:val="2"/>
                <w:sz w:val="24"/>
                <w:szCs w:val="24"/>
                <w:highlight w:val="none"/>
                <w:u w:val="none"/>
                <w:lang w:val="en-US" w:eastAsia="zh-CN" w:bidi="ar-SA"/>
                <w:woUserID w:val="0"/>
              </w:rPr>
              <w:t>8</w:t>
            </w:r>
            <w:r>
              <w:rPr>
                <w:rFonts w:hint="eastAsia" w:ascii="宋体" w:hAnsi="宋体" w:eastAsia="宋体" w:cs="宋体"/>
                <w:i w:val="0"/>
                <w:color w:val="auto"/>
                <w:spacing w:val="-2"/>
                <w:kern w:val="2"/>
                <w:sz w:val="24"/>
                <w:szCs w:val="24"/>
                <w:highlight w:val="none"/>
                <w:u w:val="none"/>
                <w:lang w:val="en-US" w:eastAsia="en-US" w:bidi="ar-SA"/>
                <w:woUserID w:val="0"/>
              </w:rPr>
              <w:t>0%</w:t>
            </w:r>
            <w:r>
              <w:rPr>
                <w:rFonts w:hint="default" w:ascii="宋体" w:hAnsi="宋体" w:eastAsia="宋体" w:cs="宋体"/>
                <w:color w:val="auto"/>
                <w:spacing w:val="-2"/>
                <w:kern w:val="2"/>
                <w:sz w:val="24"/>
                <w:szCs w:val="24"/>
                <w:highlight w:val="none"/>
                <w:lang w:eastAsia="en-US" w:bidi="ar-SA"/>
                <w:woUserID w:val="1"/>
              </w:rPr>
              <w:t>；</w:t>
            </w:r>
          </w:p>
          <w:p w14:paraId="48F2CEF4">
            <w:pPr>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余款作为质量保证金，</w:t>
            </w:r>
            <w:r>
              <w:rPr>
                <w:rFonts w:hint="default" w:ascii="宋体" w:hAnsi="宋体" w:cs="宋体"/>
                <w:color w:val="auto"/>
                <w:spacing w:val="-2"/>
                <w:kern w:val="2"/>
                <w:sz w:val="24"/>
                <w:szCs w:val="24"/>
                <w:highlight w:val="none"/>
                <w:lang w:eastAsia="en-US" w:bidi="ar-SA"/>
                <w:woUserID w:val="1"/>
              </w:rPr>
              <w:t>根据质保年限平均分配，每年支付当年度款项，待质保期满后7个工作日内全部付清(不计息）</w:t>
            </w:r>
            <w:r>
              <w:rPr>
                <w:rFonts w:hint="eastAsia" w:ascii="宋体" w:hAnsi="宋体" w:cs="宋体"/>
                <w:color w:val="auto"/>
                <w:spacing w:val="-2"/>
                <w:kern w:val="2"/>
                <w:sz w:val="24"/>
                <w:szCs w:val="24"/>
                <w:highlight w:val="none"/>
                <w:lang w:eastAsia="zh-CN" w:bidi="ar-SA"/>
                <w:woUserID w:val="1"/>
              </w:rPr>
              <w:t>。</w:t>
            </w:r>
          </w:p>
        </w:tc>
      </w:tr>
      <w:tr w14:paraId="45C3D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71269B7D">
            <w:pPr>
              <w:keepNext w:val="0"/>
              <w:keepLines w:val="0"/>
              <w:pageBreakBefore w:val="0"/>
              <w:widowControl w:val="0"/>
              <w:kinsoku/>
              <w:wordWrap/>
              <w:overflowPunct/>
              <w:topLinePunct w:val="0"/>
              <w:bidi w:val="0"/>
              <w:snapToGrid/>
              <w:spacing w:line="400" w:lineRule="exact"/>
              <w:jc w:val="center"/>
              <w:textAlignment w:val="auto"/>
              <w:rPr>
                <w:rFonts w:ascii="Arial"/>
                <w:color w:val="auto"/>
                <w:sz w:val="24"/>
                <w:szCs w:val="24"/>
                <w:highlight w:val="none"/>
              </w:rPr>
            </w:pPr>
            <w:bookmarkStart w:id="32" w:name="_Toc10797_WPSOffice_Level2"/>
          </w:p>
          <w:p w14:paraId="758F6D34">
            <w:pPr>
              <w:keepNext w:val="0"/>
              <w:keepLines w:val="0"/>
              <w:pageBreakBefore w:val="0"/>
              <w:widowControl w:val="0"/>
              <w:kinsoku/>
              <w:wordWrap/>
              <w:overflowPunct/>
              <w:topLinePunct w:val="0"/>
              <w:bidi w:val="0"/>
              <w:snapToGrid/>
              <w:spacing w:line="400" w:lineRule="exact"/>
              <w:jc w:val="center"/>
              <w:textAlignment w:val="auto"/>
              <w:rPr>
                <w:rFonts w:ascii="Arial"/>
                <w:color w:val="auto"/>
                <w:sz w:val="24"/>
                <w:szCs w:val="24"/>
                <w:highlight w:val="none"/>
              </w:rPr>
            </w:pPr>
          </w:p>
          <w:p w14:paraId="79FBF286">
            <w:pPr>
              <w:pStyle w:val="113"/>
              <w:keepNext w:val="0"/>
              <w:keepLines w:val="0"/>
              <w:pageBreakBefore w:val="0"/>
              <w:widowControl w:val="0"/>
              <w:kinsoku/>
              <w:wordWrap/>
              <w:overflowPunct/>
              <w:topLinePunct w:val="0"/>
              <w:bidi w:val="0"/>
              <w:snapToGrid/>
              <w:spacing w:before="78" w:line="400" w:lineRule="exact"/>
              <w:ind w:left="181" w:leftChars="0"/>
              <w:jc w:val="center"/>
              <w:textAlignment w:val="auto"/>
              <w:rPr>
                <w:rFonts w:hint="eastAsia" w:ascii="宋体" w:hAnsi="宋体" w:eastAsia="宋体" w:cs="宋体"/>
                <w:bCs/>
                <w:color w:val="auto"/>
                <w:sz w:val="24"/>
                <w:szCs w:val="24"/>
                <w:highlight w:val="none"/>
                <w:lang w:eastAsia="zh-CN"/>
              </w:rPr>
            </w:pPr>
            <w:r>
              <w:rPr>
                <w:color w:val="auto"/>
                <w:spacing w:val="-3"/>
                <w:sz w:val="24"/>
                <w:szCs w:val="24"/>
                <w:highlight w:val="none"/>
              </w:rPr>
              <w:t>质量要求</w:t>
            </w:r>
          </w:p>
        </w:tc>
        <w:tc>
          <w:tcPr>
            <w:tcW w:w="7750" w:type="dxa"/>
            <w:tcBorders>
              <w:top w:val="single" w:color="auto" w:sz="4" w:space="0"/>
              <w:left w:val="single" w:color="auto" w:sz="4" w:space="0"/>
              <w:bottom w:val="single" w:color="auto" w:sz="4" w:space="0"/>
              <w:right w:val="single" w:color="auto" w:sz="4" w:space="0"/>
            </w:tcBorders>
            <w:noWrap w:val="0"/>
            <w:vAlign w:val="center"/>
          </w:tcPr>
          <w:p w14:paraId="0996CD9B">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1.合格，且必须符合本</w:t>
            </w:r>
            <w:r>
              <w:rPr>
                <w:rFonts w:hint="eastAsia" w:ascii="宋体" w:hAnsi="宋体" w:eastAsia="宋体" w:cs="宋体"/>
                <w:color w:val="auto"/>
                <w:spacing w:val="-2"/>
                <w:kern w:val="2"/>
                <w:sz w:val="24"/>
                <w:szCs w:val="24"/>
                <w:highlight w:val="none"/>
                <w:lang w:val="en-US" w:eastAsia="zh-CN" w:bidi="ar-SA"/>
              </w:rPr>
              <w:t>招标文件</w:t>
            </w:r>
            <w:r>
              <w:rPr>
                <w:rFonts w:hint="eastAsia" w:ascii="宋体" w:hAnsi="宋体" w:eastAsia="宋体" w:cs="宋体"/>
                <w:color w:val="auto"/>
                <w:spacing w:val="-2"/>
                <w:kern w:val="2"/>
                <w:sz w:val="24"/>
                <w:szCs w:val="24"/>
                <w:highlight w:val="none"/>
                <w:lang w:val="en-US" w:eastAsia="en-US" w:bidi="ar-SA"/>
              </w:rPr>
              <w:t>第三章所有条款要求。</w:t>
            </w:r>
          </w:p>
          <w:p w14:paraId="106E9DDC">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pacing w:val="-11"/>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2.</w:t>
            </w:r>
            <w:r>
              <w:rPr>
                <w:rFonts w:hint="eastAsia" w:ascii="宋体" w:hAnsi="宋体" w:eastAsia="宋体" w:cs="宋体"/>
                <w:color w:val="auto"/>
                <w:spacing w:val="-11"/>
                <w:kern w:val="2"/>
                <w:sz w:val="24"/>
                <w:szCs w:val="24"/>
                <w:highlight w:val="none"/>
                <w:lang w:val="en-US" w:eastAsia="en-US" w:bidi="ar-SA"/>
              </w:rPr>
              <w:t>中标单位必须严格按照项目技术要求进行安装，并接受采购人的监督管理。</w:t>
            </w:r>
          </w:p>
          <w:p w14:paraId="28691422">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3.所有的货物进场时须同时提供货物出厂合格证书或检测报告。</w:t>
            </w:r>
          </w:p>
          <w:p w14:paraId="46F56087">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eastAsia="宋体" w:cs="宋体"/>
                <w:color w:val="auto"/>
                <w:spacing w:val="-2"/>
                <w:kern w:val="2"/>
                <w:sz w:val="24"/>
                <w:szCs w:val="24"/>
                <w:highlight w:val="none"/>
                <w:lang w:val="en-US" w:eastAsia="en-US" w:bidi="ar-SA"/>
              </w:rPr>
              <w:t>4.所有货物</w:t>
            </w:r>
            <w:r>
              <w:rPr>
                <w:rFonts w:hint="eastAsia" w:ascii="宋体" w:hAnsi="宋体" w:eastAsia="宋体" w:cs="宋体"/>
                <w:color w:val="auto"/>
                <w:spacing w:val="-2"/>
                <w:kern w:val="2"/>
                <w:sz w:val="24"/>
                <w:szCs w:val="24"/>
                <w:highlight w:val="none"/>
                <w:lang w:val="en-US" w:eastAsia="zh-CN" w:bidi="ar-SA"/>
              </w:rPr>
              <w:t>及产品</w:t>
            </w:r>
            <w:r>
              <w:rPr>
                <w:rFonts w:hint="eastAsia" w:ascii="宋体" w:hAnsi="宋体" w:eastAsia="宋体" w:cs="宋体"/>
                <w:color w:val="auto"/>
                <w:spacing w:val="-2"/>
                <w:kern w:val="2"/>
                <w:sz w:val="24"/>
                <w:szCs w:val="24"/>
                <w:highlight w:val="none"/>
                <w:lang w:val="en-US" w:eastAsia="en-US" w:bidi="ar-SA"/>
              </w:rPr>
              <w:t>必须在检验合格经采购人同意后，方可用于本项目。</w:t>
            </w:r>
          </w:p>
          <w:p w14:paraId="2C142928">
            <w:pPr>
              <w:keepNext w:val="0"/>
              <w:keepLines w:val="0"/>
              <w:pageBreakBefore w:val="0"/>
              <w:widowControl w:val="0"/>
              <w:kinsoku/>
              <w:wordWrap/>
              <w:overflowPunct/>
              <w:topLinePunct w:val="0"/>
              <w:bidi w:val="0"/>
              <w:snapToGrid/>
              <w:spacing w:line="400" w:lineRule="exact"/>
              <w:jc w:val="both"/>
              <w:textAlignment w:val="auto"/>
              <w:rPr>
                <w:rFonts w:hint="eastAsia" w:ascii="宋体" w:hAnsi="宋体" w:eastAsia="宋体" w:cs="宋体"/>
                <w:color w:val="auto"/>
                <w:spacing w:val="-2"/>
                <w:kern w:val="2"/>
                <w:sz w:val="24"/>
                <w:szCs w:val="24"/>
                <w:highlight w:val="none"/>
                <w:lang w:val="zh-CN" w:eastAsia="en-US" w:bidi="ar-SA"/>
              </w:rPr>
            </w:pPr>
            <w:r>
              <w:rPr>
                <w:rFonts w:hint="eastAsia" w:ascii="宋体" w:hAnsi="宋体" w:eastAsia="宋体" w:cs="宋体"/>
                <w:color w:val="auto"/>
                <w:spacing w:val="-2"/>
                <w:kern w:val="2"/>
                <w:sz w:val="24"/>
                <w:szCs w:val="24"/>
                <w:highlight w:val="none"/>
                <w:lang w:val="en-US" w:eastAsia="en-US" w:bidi="ar-SA"/>
              </w:rPr>
              <w:t>5.</w:t>
            </w:r>
            <w:r>
              <w:rPr>
                <w:rFonts w:hint="eastAsia" w:ascii="宋体" w:hAnsi="宋体" w:eastAsia="宋体" w:cs="宋体"/>
                <w:color w:val="auto"/>
                <w:spacing w:val="-2"/>
                <w:kern w:val="2"/>
                <w:sz w:val="24"/>
                <w:szCs w:val="24"/>
                <w:highlight w:val="none"/>
                <w:lang w:val="zh-CN" w:eastAsia="en-US"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6C3D45E0">
            <w:pPr>
              <w:pStyle w:val="113"/>
              <w:keepNext w:val="0"/>
              <w:keepLines w:val="0"/>
              <w:pageBreakBefore w:val="0"/>
              <w:widowControl w:val="0"/>
              <w:kinsoku/>
              <w:wordWrap/>
              <w:overflowPunct/>
              <w:topLinePunct w:val="0"/>
              <w:autoSpaceDE/>
              <w:autoSpaceDN/>
              <w:bidi w:val="0"/>
              <w:adjustRightInd/>
              <w:snapToGrid/>
              <w:spacing w:line="400" w:lineRule="exact"/>
              <w:ind w:right="108"/>
              <w:jc w:val="both"/>
              <w:textAlignment w:val="auto"/>
              <w:rPr>
                <w:rFonts w:hint="eastAsia" w:ascii="宋体" w:hAnsi="宋体" w:cs="宋体"/>
                <w:snapToGrid w:val="0"/>
                <w:color w:val="auto"/>
                <w:kern w:val="0"/>
                <w:sz w:val="24"/>
                <w:szCs w:val="24"/>
                <w:highlight w:val="none"/>
                <w:lang w:val="en-US" w:eastAsia="zh-CN"/>
              </w:rPr>
            </w:pPr>
            <w:r>
              <w:rPr>
                <w:rFonts w:hint="eastAsia" w:ascii="宋体" w:hAnsi="宋体" w:eastAsia="宋体" w:cs="宋体"/>
                <w:color w:val="auto"/>
                <w:spacing w:val="-2"/>
                <w:kern w:val="2"/>
                <w:sz w:val="24"/>
                <w:szCs w:val="24"/>
                <w:highlight w:val="none"/>
                <w:lang w:val="en-US" w:eastAsia="en-US" w:bidi="ar-SA"/>
              </w:rPr>
              <w:t>6.产品须提供出厂合格证或质量保证证明、规格说明书、操作说明书、保修维护手册等，包括不限于成册的纸质台账和电子材料。</w:t>
            </w:r>
          </w:p>
        </w:tc>
      </w:tr>
      <w:tr w14:paraId="56C73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514" w:type="dxa"/>
            <w:tcBorders>
              <w:top w:val="single" w:color="auto" w:sz="4" w:space="0"/>
              <w:left w:val="single" w:color="auto" w:sz="4" w:space="0"/>
              <w:bottom w:val="single" w:color="auto" w:sz="4" w:space="0"/>
              <w:right w:val="single" w:color="auto" w:sz="4" w:space="0"/>
            </w:tcBorders>
            <w:noWrap w:val="0"/>
            <w:vAlign w:val="center"/>
          </w:tcPr>
          <w:p w14:paraId="4698653C">
            <w:pPr>
              <w:keepNext w:val="0"/>
              <w:keepLines w:val="0"/>
              <w:pageBreakBefore w:val="0"/>
              <w:widowControl w:val="0"/>
              <w:kinsoku/>
              <w:wordWrap/>
              <w:overflowPunct/>
              <w:topLinePunct w:val="0"/>
              <w:bidi w:val="0"/>
              <w:snapToGrid/>
              <w:spacing w:line="400" w:lineRule="exact"/>
              <w:jc w:val="center"/>
              <w:textAlignment w:val="auto"/>
              <w:rPr>
                <w:rFonts w:ascii="Arial"/>
                <w:color w:val="auto"/>
                <w:sz w:val="24"/>
                <w:szCs w:val="24"/>
                <w:highlight w:val="none"/>
              </w:rPr>
            </w:pPr>
          </w:p>
          <w:p w14:paraId="4C30393C">
            <w:pPr>
              <w:keepNext w:val="0"/>
              <w:keepLines w:val="0"/>
              <w:pageBreakBefore w:val="0"/>
              <w:widowControl w:val="0"/>
              <w:kinsoku/>
              <w:wordWrap/>
              <w:overflowPunct/>
              <w:topLinePunct w:val="0"/>
              <w:bidi w:val="0"/>
              <w:snapToGrid/>
              <w:spacing w:line="400" w:lineRule="exact"/>
              <w:jc w:val="center"/>
              <w:textAlignment w:val="auto"/>
              <w:rPr>
                <w:rFonts w:ascii="Arial"/>
                <w:color w:val="auto"/>
                <w:sz w:val="24"/>
                <w:szCs w:val="24"/>
                <w:highlight w:val="none"/>
              </w:rPr>
            </w:pPr>
          </w:p>
          <w:p w14:paraId="4A794FB3">
            <w:pPr>
              <w:pStyle w:val="113"/>
              <w:keepNext w:val="0"/>
              <w:keepLines w:val="0"/>
              <w:pageBreakBefore w:val="0"/>
              <w:widowControl w:val="0"/>
              <w:kinsoku/>
              <w:wordWrap/>
              <w:overflowPunct/>
              <w:topLinePunct w:val="0"/>
              <w:bidi w:val="0"/>
              <w:snapToGrid/>
              <w:spacing w:before="78" w:line="400" w:lineRule="exact"/>
              <w:ind w:left="181" w:leftChars="0"/>
              <w:jc w:val="center"/>
              <w:textAlignment w:val="auto"/>
              <w:rPr>
                <w:rFonts w:hint="eastAsia" w:ascii="宋体" w:hAnsi="宋体" w:eastAsia="宋体"/>
                <w:color w:val="auto"/>
                <w:sz w:val="24"/>
                <w:szCs w:val="24"/>
                <w:highlight w:val="none"/>
                <w:lang w:val="en-US" w:eastAsia="zh-CN"/>
              </w:rPr>
            </w:pPr>
            <w:r>
              <w:rPr>
                <w:color w:val="auto"/>
                <w:spacing w:val="-3"/>
                <w:sz w:val="24"/>
                <w:szCs w:val="24"/>
                <w:highlight w:val="none"/>
              </w:rPr>
              <w:t>其他要求</w:t>
            </w:r>
          </w:p>
        </w:tc>
        <w:tc>
          <w:tcPr>
            <w:tcW w:w="7750" w:type="dxa"/>
            <w:tcBorders>
              <w:top w:val="single" w:color="auto" w:sz="4" w:space="0"/>
              <w:left w:val="single" w:color="auto" w:sz="4" w:space="0"/>
              <w:right w:val="single" w:color="auto" w:sz="4" w:space="0"/>
            </w:tcBorders>
            <w:noWrap w:val="0"/>
            <w:vAlign w:val="center"/>
          </w:tcPr>
          <w:p w14:paraId="14715714">
            <w:pPr>
              <w:pStyle w:val="113"/>
              <w:keepNext w:val="0"/>
              <w:keepLines w:val="0"/>
              <w:pageBreakBefore w:val="0"/>
              <w:widowControl w:val="0"/>
              <w:kinsoku/>
              <w:wordWrap/>
              <w:overflowPunct/>
              <w:topLinePunct w:val="0"/>
              <w:autoSpaceDE/>
              <w:autoSpaceDN/>
              <w:bidi w:val="0"/>
              <w:adjustRightInd/>
              <w:snapToGrid/>
              <w:spacing w:line="400" w:lineRule="exact"/>
              <w:ind w:left="114" w:leftChars="0" w:right="107" w:rightChars="0" w:firstLine="15" w:firstLineChars="0"/>
              <w:jc w:val="left"/>
              <w:textAlignment w:val="auto"/>
              <w:rPr>
                <w:color w:val="auto"/>
                <w:sz w:val="24"/>
                <w:szCs w:val="24"/>
                <w:highlight w:val="none"/>
              </w:rPr>
            </w:pPr>
            <w:r>
              <w:rPr>
                <w:color w:val="auto"/>
                <w:spacing w:val="2"/>
                <w:sz w:val="24"/>
                <w:szCs w:val="24"/>
                <w:highlight w:val="none"/>
              </w:rPr>
              <w:t>1.供货资格的获得并不意味着货物供货量的固定，</w:t>
            </w:r>
            <w:r>
              <w:rPr>
                <w:color w:val="auto"/>
                <w:spacing w:val="1"/>
                <w:sz w:val="24"/>
                <w:szCs w:val="24"/>
                <w:highlight w:val="none"/>
              </w:rPr>
              <w:t>由于采购人无法</w:t>
            </w:r>
            <w:r>
              <w:rPr>
                <w:color w:val="auto"/>
                <w:spacing w:val="-2"/>
                <w:sz w:val="24"/>
                <w:szCs w:val="24"/>
                <w:highlight w:val="none"/>
              </w:rPr>
              <w:t>预计也无法保证需求量；因此供货协议期间内，采购人会根据实际需求不定期调整对中标人提供货物的具体需求数量，且采购人不会对中</w:t>
            </w:r>
            <w:r>
              <w:rPr>
                <w:color w:val="auto"/>
                <w:spacing w:val="-1"/>
                <w:sz w:val="24"/>
                <w:szCs w:val="24"/>
                <w:highlight w:val="none"/>
              </w:rPr>
              <w:t>标人在本项目中的实际供货量作出承诺。</w:t>
            </w:r>
          </w:p>
          <w:p w14:paraId="4891B1C6">
            <w:pPr>
              <w:pStyle w:val="113"/>
              <w:keepNext w:val="0"/>
              <w:keepLines w:val="0"/>
              <w:pageBreakBefore w:val="0"/>
              <w:widowControl w:val="0"/>
              <w:kinsoku/>
              <w:wordWrap/>
              <w:overflowPunct/>
              <w:topLinePunct w:val="0"/>
              <w:autoSpaceDE/>
              <w:autoSpaceDN/>
              <w:bidi w:val="0"/>
              <w:adjustRightInd/>
              <w:snapToGrid/>
              <w:spacing w:line="400" w:lineRule="exact"/>
              <w:ind w:left="115" w:leftChars="0" w:right="26" w:rightChars="0"/>
              <w:jc w:val="left"/>
              <w:textAlignment w:val="auto"/>
              <w:rPr>
                <w:color w:val="auto"/>
                <w:spacing w:val="7"/>
                <w:sz w:val="24"/>
                <w:szCs w:val="24"/>
                <w:highlight w:val="none"/>
              </w:rPr>
            </w:pPr>
            <w:r>
              <w:rPr>
                <w:color w:val="auto"/>
                <w:spacing w:val="-3"/>
                <w:sz w:val="24"/>
                <w:szCs w:val="24"/>
                <w:highlight w:val="none"/>
              </w:rPr>
              <w:t>2. 本项目预算数量仅供参考，具体结算费用以实际业务量发生为准。</w:t>
            </w:r>
          </w:p>
          <w:p w14:paraId="759881DB">
            <w:pPr>
              <w:pStyle w:val="113"/>
              <w:keepNext w:val="0"/>
              <w:keepLines w:val="0"/>
              <w:pageBreakBefore w:val="0"/>
              <w:widowControl w:val="0"/>
              <w:kinsoku/>
              <w:wordWrap/>
              <w:overflowPunct/>
              <w:topLinePunct w:val="0"/>
              <w:autoSpaceDE/>
              <w:autoSpaceDN/>
              <w:bidi w:val="0"/>
              <w:adjustRightInd/>
              <w:snapToGrid/>
              <w:spacing w:line="400" w:lineRule="exact"/>
              <w:ind w:left="115" w:leftChars="0" w:right="26" w:rightChars="0"/>
              <w:jc w:val="left"/>
              <w:textAlignment w:val="auto"/>
              <w:rPr>
                <w:color w:val="auto"/>
                <w:spacing w:val="-2"/>
                <w:sz w:val="24"/>
                <w:szCs w:val="24"/>
                <w:highlight w:val="none"/>
              </w:rPr>
            </w:pPr>
            <w:r>
              <w:rPr>
                <w:color w:val="auto"/>
                <w:spacing w:val="3"/>
                <w:sz w:val="24"/>
                <w:szCs w:val="24"/>
                <w:highlight w:val="none"/>
              </w:rPr>
              <w:t xml:space="preserve">3. ★对于相关人员因工作原因为采购人服务期间引起的各种工伤、 </w:t>
            </w:r>
            <w:r>
              <w:rPr>
                <w:color w:val="auto"/>
                <w:sz w:val="24"/>
                <w:szCs w:val="24"/>
                <w:highlight w:val="none"/>
              </w:rPr>
              <w:t>安全事件和事故，采购人免负一切责任。（投标时须提供承诺函作</w:t>
            </w:r>
            <w:r>
              <w:rPr>
                <w:color w:val="auto"/>
                <w:spacing w:val="-2"/>
                <w:sz w:val="24"/>
                <w:szCs w:val="24"/>
                <w:highlight w:val="none"/>
              </w:rPr>
              <w:t>为证明材料 ）</w:t>
            </w:r>
          </w:p>
          <w:p w14:paraId="69651902">
            <w:pPr>
              <w:pStyle w:val="113"/>
              <w:keepNext w:val="0"/>
              <w:keepLines w:val="0"/>
              <w:pageBreakBefore w:val="0"/>
              <w:widowControl w:val="0"/>
              <w:kinsoku/>
              <w:wordWrap/>
              <w:overflowPunct/>
              <w:topLinePunct w:val="0"/>
              <w:autoSpaceDE/>
              <w:autoSpaceDN/>
              <w:bidi w:val="0"/>
              <w:adjustRightInd/>
              <w:snapToGrid/>
              <w:spacing w:line="400" w:lineRule="exact"/>
              <w:ind w:left="115" w:leftChars="0" w:right="26"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电子显示设备必须无缝接入嵊州城区道路智慧灯杆建设项目一期LED显示屏控制系统</w:t>
            </w:r>
            <w:r>
              <w:rPr>
                <w:rFonts w:hint="default" w:ascii="宋体" w:hAnsi="宋体" w:eastAsia="宋体" w:cs="宋体"/>
                <w:color w:val="auto"/>
                <w:sz w:val="24"/>
                <w:szCs w:val="24"/>
                <w:highlight w:val="none"/>
                <w:lang w:eastAsia="zh-CN"/>
              </w:rPr>
              <w:t>（需提供承诺书）</w:t>
            </w:r>
            <w:r>
              <w:rPr>
                <w:rFonts w:hint="eastAsia" w:ascii="宋体" w:hAnsi="宋体" w:eastAsia="宋体" w:cs="宋体"/>
                <w:color w:val="auto"/>
                <w:sz w:val="24"/>
                <w:szCs w:val="24"/>
                <w:highlight w:val="none"/>
                <w:lang w:eastAsia="zh-CN"/>
              </w:rPr>
              <w:t>。</w:t>
            </w:r>
          </w:p>
        </w:tc>
      </w:tr>
      <w:bookmarkEnd w:id="32"/>
    </w:tbl>
    <w:p w14:paraId="2F8CA888">
      <w:pPr>
        <w:pStyle w:val="2"/>
        <w:numPr>
          <w:ilvl w:val="0"/>
          <w:numId w:val="0"/>
        </w:numPr>
        <w:ind w:leftChars="0"/>
        <w:jc w:val="center"/>
        <w:rPr>
          <w:rFonts w:hint="eastAsia" w:ascii="宋体" w:hAnsi="宋体"/>
          <w:color w:val="auto"/>
          <w:highlight w:val="none"/>
        </w:rPr>
      </w:pPr>
      <w:r>
        <w:rPr>
          <w:rFonts w:hint="eastAsia" w:ascii="宋体" w:hAnsi="宋体" w:eastAsia="宋体" w:cs="宋体"/>
          <w:color w:val="auto"/>
          <w:sz w:val="36"/>
          <w:szCs w:val="36"/>
          <w:highlight w:val="none"/>
          <w:lang w:val="en-US" w:eastAsia="zh-CN"/>
        </w:rPr>
        <w:t xml:space="preserve">第四部分 </w:t>
      </w:r>
      <w:r>
        <w:rPr>
          <w:rFonts w:hint="eastAsia" w:ascii="宋体" w:hAnsi="宋体" w:eastAsia="宋体" w:cs="宋体"/>
          <w:color w:val="auto"/>
          <w:sz w:val="36"/>
          <w:szCs w:val="36"/>
          <w:highlight w:val="none"/>
        </w:rPr>
        <w:t>评标办法</w:t>
      </w:r>
    </w:p>
    <w:p w14:paraId="7864CCF0">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1、评标方法：</w:t>
      </w:r>
    </w:p>
    <w:p w14:paraId="4CB0B132">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w:t>
      </w:r>
      <w:r>
        <w:rPr>
          <w:rFonts w:hint="eastAsia" w:ascii="宋体" w:hAnsi="宋体" w:eastAsia="宋体" w:cs="宋体"/>
          <w:b w:val="0"/>
          <w:i w:val="0"/>
          <w:iCs w:val="0"/>
          <w:color w:val="auto"/>
          <w:kern w:val="0"/>
          <w:sz w:val="24"/>
          <w:szCs w:val="24"/>
          <w:highlight w:val="none"/>
          <w:u w:val="none"/>
          <w:lang w:val="en-US" w:eastAsia="zh-CN" w:bidi="ar"/>
        </w:rPr>
        <w:t>为一名，</w:t>
      </w:r>
      <w:r>
        <w:rPr>
          <w:rFonts w:hint="eastAsia" w:ascii="宋体" w:hAnsi="宋体" w:eastAsia="宋体" w:cs="宋体"/>
          <w:b w:val="0"/>
          <w:i w:val="0"/>
          <w:iCs w:val="0"/>
          <w:color w:val="auto"/>
          <w:kern w:val="0"/>
          <w:sz w:val="24"/>
          <w:szCs w:val="24"/>
          <w:highlight w:val="none"/>
          <w:u w:val="none"/>
          <w:lang w:val="zh-CN" w:eastAsia="zh-CN" w:bidi="ar"/>
        </w:rPr>
        <w:t>中标候选人并列的，采用随机抽取的方式确定。</w:t>
      </w:r>
    </w:p>
    <w:p w14:paraId="08F8123A">
      <w:pPr>
        <w:spacing w:line="440" w:lineRule="exact"/>
        <w:ind w:firstLine="470" w:firstLineChars="196"/>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52371C">
      <w:pPr>
        <w:spacing w:line="440" w:lineRule="exact"/>
        <w:ind w:firstLine="480" w:firstLineChars="200"/>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非单一产品采购项目，采购人应当根据采购项目技术构成、产品价格比重等合理确定核心产品，并在招标文件中载明。多家投标人提供的核心产品品牌相同的，按前款规定处理。</w:t>
      </w:r>
    </w:p>
    <w:p w14:paraId="1BB9A2A4">
      <w:pPr>
        <w:spacing w:line="440" w:lineRule="exact"/>
        <w:jc w:val="left"/>
        <w:rPr>
          <w:rFonts w:hint="eastAsia" w:ascii="宋体" w:hAnsi="宋体" w:eastAsia="宋体" w:cs="宋体"/>
          <w:b w:val="0"/>
          <w:i w:val="0"/>
          <w:iCs w:val="0"/>
          <w:color w:val="auto"/>
          <w:kern w:val="0"/>
          <w:sz w:val="24"/>
          <w:szCs w:val="24"/>
          <w:highlight w:val="none"/>
          <w:u w:val="none"/>
          <w:lang w:val="zh-CN" w:eastAsia="zh-CN" w:bidi="ar"/>
        </w:rPr>
      </w:pPr>
      <w:r>
        <w:rPr>
          <w:rFonts w:hint="eastAsia" w:ascii="宋体" w:hAnsi="宋体" w:eastAsia="宋体" w:cs="宋体"/>
          <w:b w:val="0"/>
          <w:i w:val="0"/>
          <w:iCs w:val="0"/>
          <w:color w:val="auto"/>
          <w:kern w:val="0"/>
          <w:sz w:val="24"/>
          <w:szCs w:val="24"/>
          <w:highlight w:val="none"/>
          <w:u w:val="none"/>
          <w:lang w:val="zh-CN" w:eastAsia="zh-CN" w:bidi="ar"/>
        </w:rPr>
        <w:t>2.评分标准：共100分，其中商务技术分</w:t>
      </w:r>
      <w:r>
        <w:rPr>
          <w:rFonts w:hint="eastAsia" w:ascii="宋体" w:hAnsi="宋体" w:cs="宋体"/>
          <w:b w:val="0"/>
          <w:i w:val="0"/>
          <w:iCs w:val="0"/>
          <w:color w:val="auto"/>
          <w:kern w:val="0"/>
          <w:sz w:val="24"/>
          <w:szCs w:val="24"/>
          <w:highlight w:val="none"/>
          <w:u w:val="none"/>
          <w:lang w:val="en-US" w:eastAsia="zh-CN" w:bidi="ar"/>
        </w:rPr>
        <w:t>5</w:t>
      </w:r>
      <w:r>
        <w:rPr>
          <w:rFonts w:hint="eastAsia" w:ascii="宋体" w:hAnsi="宋体" w:eastAsia="宋体" w:cs="宋体"/>
          <w:b w:val="0"/>
          <w:i w:val="0"/>
          <w:iCs w:val="0"/>
          <w:color w:val="auto"/>
          <w:kern w:val="0"/>
          <w:sz w:val="24"/>
          <w:szCs w:val="24"/>
          <w:highlight w:val="none"/>
          <w:u w:val="none"/>
          <w:lang w:val="zh-CN" w:eastAsia="zh-CN" w:bidi="ar"/>
        </w:rPr>
        <w:t>0分，价格分</w:t>
      </w:r>
      <w:r>
        <w:rPr>
          <w:rFonts w:hint="eastAsia" w:ascii="宋体" w:hAnsi="宋体" w:cs="宋体"/>
          <w:b w:val="0"/>
          <w:i w:val="0"/>
          <w:iCs w:val="0"/>
          <w:color w:val="auto"/>
          <w:kern w:val="0"/>
          <w:sz w:val="24"/>
          <w:szCs w:val="24"/>
          <w:highlight w:val="none"/>
          <w:u w:val="none"/>
          <w:lang w:val="en-US" w:eastAsia="zh-CN" w:bidi="ar"/>
        </w:rPr>
        <w:t>5</w:t>
      </w:r>
      <w:r>
        <w:rPr>
          <w:rFonts w:hint="eastAsia" w:ascii="宋体" w:hAnsi="宋体" w:eastAsia="宋体" w:cs="宋体"/>
          <w:b w:val="0"/>
          <w:i w:val="0"/>
          <w:iCs w:val="0"/>
          <w:color w:val="auto"/>
          <w:kern w:val="0"/>
          <w:sz w:val="24"/>
          <w:szCs w:val="24"/>
          <w:highlight w:val="none"/>
          <w:u w:val="none"/>
          <w:lang w:val="zh-CN" w:eastAsia="zh-CN" w:bidi="ar"/>
        </w:rPr>
        <w:t>0分。评分依下述所列为评标打分依据，分值如下（计算分值时，按其算术平均值保留小数2位）。</w:t>
      </w:r>
    </w:p>
    <w:p w14:paraId="5B70361F">
      <w:pPr>
        <w:spacing w:line="440" w:lineRule="exact"/>
        <w:rPr>
          <w:rFonts w:hint="eastAsia" w:ascii="宋体" w:hAnsi="宋体" w:eastAsia="宋体" w:cs="宋体"/>
          <w:b/>
          <w:color w:val="auto"/>
          <w:sz w:val="32"/>
          <w:szCs w:val="20"/>
          <w:highlight w:val="none"/>
        </w:rPr>
      </w:pPr>
      <w:r>
        <w:rPr>
          <w:rFonts w:hint="eastAsia" w:ascii="宋体" w:hAnsi="宋体"/>
          <w:b/>
          <w:color w:val="auto"/>
          <w:highlight w:val="none"/>
          <w:lang w:val="en-US" w:eastAsia="zh-CN"/>
        </w:rPr>
        <w:t>2.1商务技术分（50分）</w:t>
      </w:r>
      <w:bookmarkEnd w:id="30"/>
      <w:bookmarkStart w:id="33" w:name="_Toc6326"/>
      <w:bookmarkStart w:id="34" w:name="_Toc1479"/>
      <w:bookmarkStart w:id="35" w:name="_Toc23578"/>
    </w:p>
    <w:tbl>
      <w:tblPr>
        <w:tblStyle w:val="31"/>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10"/>
        <w:gridCol w:w="6451"/>
        <w:gridCol w:w="1125"/>
      </w:tblGrid>
      <w:tr w14:paraId="57E1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2F44FB52">
            <w:pPr>
              <w:widowControl/>
              <w:autoSpaceDE w:val="0"/>
              <w:autoSpaceDN w:val="0"/>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1410" w:type="dxa"/>
            <w:vAlign w:val="center"/>
          </w:tcPr>
          <w:p w14:paraId="00990836">
            <w:pPr>
              <w:widowControl/>
              <w:autoSpaceDE w:val="0"/>
              <w:autoSpaceDN w:val="0"/>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评分项</w:t>
            </w:r>
          </w:p>
        </w:tc>
        <w:tc>
          <w:tcPr>
            <w:tcW w:w="6451" w:type="dxa"/>
            <w:vAlign w:val="center"/>
          </w:tcPr>
          <w:p w14:paraId="499A8A51">
            <w:pPr>
              <w:widowControl/>
              <w:autoSpaceDE w:val="0"/>
              <w:autoSpaceDN w:val="0"/>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评审依据及标准</w:t>
            </w:r>
          </w:p>
        </w:tc>
        <w:tc>
          <w:tcPr>
            <w:tcW w:w="1125" w:type="dxa"/>
            <w:vAlign w:val="center"/>
          </w:tcPr>
          <w:p w14:paraId="73F9633B">
            <w:pPr>
              <w:widowControl/>
              <w:autoSpaceDE w:val="0"/>
              <w:autoSpaceDN w:val="0"/>
              <w:spacing w:line="40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分值</w:t>
            </w:r>
          </w:p>
        </w:tc>
      </w:tr>
      <w:tr w14:paraId="20E3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337B7F29">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410" w:type="dxa"/>
            <w:vAlign w:val="center"/>
          </w:tcPr>
          <w:p w14:paraId="2A0CF6AE">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企业证书</w:t>
            </w:r>
          </w:p>
        </w:tc>
        <w:tc>
          <w:tcPr>
            <w:tcW w:w="6451" w:type="dxa"/>
            <w:vAlign w:val="center"/>
          </w:tcPr>
          <w:p w14:paraId="47FAE8AE">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Times New Roman"/>
                <w:b w:val="0"/>
                <w:bCs/>
                <w:color w:val="auto"/>
                <w:sz w:val="24"/>
                <w:szCs w:val="24"/>
                <w:highlight w:val="none"/>
                <w:lang w:val="en-US" w:eastAsia="zh-CN"/>
              </w:rPr>
            </w:pPr>
            <w:r>
              <w:rPr>
                <w:rFonts w:hint="eastAsia" w:ascii="宋体" w:hAnsi="宋体" w:cs="Times New Roman"/>
                <w:b w:val="0"/>
                <w:bCs/>
                <w:color w:val="auto"/>
                <w:sz w:val="24"/>
                <w:szCs w:val="24"/>
                <w:highlight w:val="none"/>
                <w:lang w:val="en-US" w:eastAsia="zh-CN"/>
              </w:rPr>
              <w:t>1、</w:t>
            </w:r>
            <w:r>
              <w:rPr>
                <w:rFonts w:hint="eastAsia" w:ascii="宋体" w:hAnsi="宋体" w:eastAsia="宋体" w:cs="Times New Roman"/>
                <w:b w:val="0"/>
                <w:bCs/>
                <w:color w:val="auto"/>
                <w:sz w:val="24"/>
                <w:szCs w:val="24"/>
                <w:highlight w:val="none"/>
                <w:lang w:val="en-US" w:eastAsia="zh-CN"/>
              </w:rPr>
              <w:t>投标人具有</w:t>
            </w:r>
            <w:r>
              <w:rPr>
                <w:rFonts w:hint="eastAsia" w:ascii="宋体" w:hAnsi="宋体" w:cs="Times New Roman"/>
                <w:b w:val="0"/>
                <w:bCs/>
                <w:color w:val="auto"/>
                <w:sz w:val="24"/>
                <w:szCs w:val="24"/>
                <w:highlight w:val="none"/>
                <w:lang w:val="en-US" w:eastAsia="zh-CN"/>
              </w:rPr>
              <w:t>有效期内的</w:t>
            </w:r>
            <w:r>
              <w:rPr>
                <w:rFonts w:hint="default" w:ascii="宋体" w:hAnsi="宋体" w:cs="Times New Roman"/>
                <w:b w:val="0"/>
                <w:bCs/>
                <w:color w:val="auto"/>
                <w:sz w:val="24"/>
                <w:szCs w:val="24"/>
                <w:highlight w:val="none"/>
                <w:lang w:eastAsia="zh-CN"/>
                <w:woUserID w:val="1"/>
              </w:rPr>
              <w:t>质量管理</w:t>
            </w:r>
            <w:r>
              <w:rPr>
                <w:rFonts w:hint="eastAsia" w:ascii="宋体" w:hAnsi="宋体" w:eastAsia="宋体" w:cs="宋体"/>
                <w:b w:val="0"/>
                <w:bCs/>
                <w:color w:val="auto"/>
                <w:sz w:val="24"/>
                <w:szCs w:val="24"/>
                <w:highlight w:val="none"/>
                <w:lang w:val="zh-CN" w:eastAsia="zh-CN"/>
              </w:rPr>
              <w:t>体系认证证书</w:t>
            </w:r>
            <w:r>
              <w:rPr>
                <w:rFonts w:hint="default" w:ascii="宋体" w:hAnsi="宋体" w:cs="Times New Roman"/>
                <w:b w:val="0"/>
                <w:bCs/>
                <w:color w:val="auto"/>
                <w:sz w:val="24"/>
                <w:szCs w:val="24"/>
                <w:highlight w:val="none"/>
                <w:lang w:eastAsia="zh-CN"/>
                <w:woUserID w:val="1"/>
              </w:rPr>
              <w:t>、职业安全管理</w:t>
            </w:r>
            <w:r>
              <w:rPr>
                <w:rFonts w:hint="eastAsia" w:ascii="宋体" w:hAnsi="宋体" w:eastAsia="宋体" w:cs="宋体"/>
                <w:b w:val="0"/>
                <w:bCs/>
                <w:color w:val="auto"/>
                <w:sz w:val="24"/>
                <w:szCs w:val="24"/>
                <w:highlight w:val="none"/>
                <w:lang w:val="zh-CN" w:eastAsia="zh-CN"/>
              </w:rPr>
              <w:t>体系认证证书</w:t>
            </w:r>
            <w:r>
              <w:rPr>
                <w:rFonts w:hint="default" w:ascii="宋体" w:hAnsi="宋体" w:cs="Times New Roman"/>
                <w:b w:val="0"/>
                <w:bCs/>
                <w:color w:val="auto"/>
                <w:sz w:val="24"/>
                <w:szCs w:val="24"/>
                <w:highlight w:val="none"/>
                <w:lang w:eastAsia="zh-CN"/>
                <w:woUserID w:val="1"/>
              </w:rPr>
              <w:t>、环境管理</w:t>
            </w:r>
            <w:r>
              <w:rPr>
                <w:rFonts w:hint="eastAsia" w:ascii="宋体" w:hAnsi="宋体" w:eastAsia="宋体" w:cs="宋体"/>
                <w:b w:val="0"/>
                <w:bCs/>
                <w:color w:val="auto"/>
                <w:sz w:val="24"/>
                <w:szCs w:val="24"/>
                <w:highlight w:val="none"/>
                <w:lang w:val="zh-CN" w:eastAsia="zh-CN"/>
              </w:rPr>
              <w:t>体系认证证书</w:t>
            </w:r>
            <w:r>
              <w:rPr>
                <w:rFonts w:hint="default" w:ascii="宋体" w:hAnsi="宋体" w:cs="Times New Roman"/>
                <w:b w:val="0"/>
                <w:bCs/>
                <w:color w:val="auto"/>
                <w:sz w:val="24"/>
                <w:szCs w:val="24"/>
                <w:highlight w:val="none"/>
                <w:lang w:eastAsia="zh-CN"/>
                <w:woUserID w:val="1"/>
              </w:rPr>
              <w:t>、信息安全管理体系认证证书</w:t>
            </w:r>
            <w:r>
              <w:rPr>
                <w:rFonts w:hint="eastAsia" w:ascii="宋体" w:hAnsi="宋体" w:cs="Times New Roman"/>
                <w:b w:val="0"/>
                <w:bCs/>
                <w:color w:val="auto"/>
                <w:sz w:val="24"/>
                <w:szCs w:val="24"/>
                <w:highlight w:val="none"/>
                <w:lang w:val="en-US" w:eastAsia="zh-CN"/>
                <w:woUserID w:val="1"/>
              </w:rPr>
              <w:t>的</w:t>
            </w:r>
            <w:r>
              <w:rPr>
                <w:rFonts w:hint="eastAsia" w:ascii="宋体" w:hAnsi="宋体" w:cs="宋体"/>
                <w:b w:val="0"/>
                <w:bCs/>
                <w:color w:val="auto"/>
                <w:sz w:val="24"/>
                <w:szCs w:val="24"/>
                <w:highlight w:val="none"/>
                <w:lang w:val="en-US" w:eastAsia="zh-CN"/>
              </w:rPr>
              <w:t>，</w:t>
            </w:r>
            <w:r>
              <w:rPr>
                <w:rFonts w:hint="eastAsia" w:ascii="宋体" w:hAnsi="宋体" w:cs="宋体"/>
                <w:color w:val="auto"/>
                <w:kern w:val="0"/>
                <w:highlight w:val="none"/>
              </w:rPr>
              <w:t xml:space="preserve">每满足一项得 </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分，本项最高得</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分。</w:t>
            </w:r>
          </w:p>
          <w:p w14:paraId="64D214F4">
            <w:pPr>
              <w:keepNext w:val="0"/>
              <w:keepLines w:val="0"/>
              <w:pageBreakBefore w:val="0"/>
              <w:kinsoku/>
              <w:overflowPunct/>
              <w:topLinePunct w:val="0"/>
              <w:autoSpaceDE/>
              <w:autoSpaceDN/>
              <w:bidi w:val="0"/>
              <w:adjustRightInd w:val="0"/>
              <w:spacing w:line="420" w:lineRule="exact"/>
              <w:ind w:firstLine="0" w:firstLineChars="0"/>
              <w:textAlignment w:val="auto"/>
              <w:rPr>
                <w:rFonts w:hint="default" w:ascii="宋体" w:hAnsi="宋体" w:cs="宋体"/>
                <w:b w:val="0"/>
                <w:bCs/>
                <w:color w:val="auto"/>
                <w:sz w:val="24"/>
                <w:highlight w:val="none"/>
                <w:lang w:eastAsia="zh-CN"/>
              </w:rPr>
            </w:pPr>
            <w:r>
              <w:rPr>
                <w:rFonts w:hint="eastAsia" w:ascii="宋体" w:hAnsi="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lang w:val="en-US" w:eastAsia="zh-CN"/>
              </w:rPr>
              <w:t>投标人同时具有</w:t>
            </w:r>
            <w:r>
              <w:rPr>
                <w:rFonts w:hint="eastAsia" w:ascii="宋体" w:hAnsi="宋体" w:cs="宋体"/>
                <w:b w:val="0"/>
                <w:bCs/>
                <w:color w:val="auto"/>
                <w:sz w:val="24"/>
                <w:highlight w:val="none"/>
                <w:lang w:eastAsia="zh-CN"/>
              </w:rPr>
              <w:t>城市及道路照明工程专业承包</w:t>
            </w:r>
            <w:r>
              <w:rPr>
                <w:rFonts w:hint="eastAsia" w:ascii="宋体" w:hAnsi="宋体" w:cs="宋体"/>
                <w:b w:val="0"/>
                <w:bCs/>
                <w:color w:val="auto"/>
                <w:sz w:val="24"/>
                <w:highlight w:val="none"/>
                <w:lang w:val="en-US" w:eastAsia="zh-CN"/>
              </w:rPr>
              <w:t>一</w:t>
            </w:r>
            <w:r>
              <w:rPr>
                <w:rFonts w:hint="eastAsia" w:ascii="宋体" w:hAnsi="宋体" w:cs="宋体"/>
                <w:b w:val="0"/>
                <w:bCs/>
                <w:color w:val="auto"/>
                <w:sz w:val="24"/>
                <w:highlight w:val="none"/>
                <w:lang w:eastAsia="zh-CN"/>
              </w:rPr>
              <w:t>级资质和有效的企业安全生产许可证</w:t>
            </w:r>
            <w:r>
              <w:rPr>
                <w:rFonts w:hint="eastAsia" w:ascii="宋体" w:hAnsi="宋体" w:cs="宋体"/>
                <w:b w:val="0"/>
                <w:bCs/>
                <w:color w:val="auto"/>
                <w:sz w:val="24"/>
                <w:highlight w:val="none"/>
                <w:lang w:val="en-US" w:eastAsia="zh-CN"/>
              </w:rPr>
              <w:t>的得2分，</w:t>
            </w:r>
            <w:r>
              <w:rPr>
                <w:rFonts w:hint="eastAsia" w:ascii="宋体" w:hAnsi="宋体" w:eastAsia="宋体" w:cs="Times New Roman"/>
                <w:b w:val="0"/>
                <w:bCs/>
                <w:color w:val="auto"/>
                <w:sz w:val="24"/>
                <w:szCs w:val="24"/>
                <w:highlight w:val="none"/>
                <w:lang w:val="en-US" w:eastAsia="zh-CN"/>
              </w:rPr>
              <w:t>同时具有</w:t>
            </w:r>
            <w:r>
              <w:rPr>
                <w:rFonts w:hint="eastAsia" w:ascii="宋体" w:hAnsi="宋体" w:cs="宋体"/>
                <w:b w:val="0"/>
                <w:bCs/>
                <w:color w:val="auto"/>
                <w:sz w:val="24"/>
                <w:highlight w:val="none"/>
                <w:lang w:eastAsia="zh-CN"/>
              </w:rPr>
              <w:t>城市及道路照明工程专业承包</w:t>
            </w:r>
            <w:r>
              <w:rPr>
                <w:rFonts w:hint="eastAsia" w:ascii="宋体" w:hAnsi="宋体" w:cs="宋体"/>
                <w:b w:val="0"/>
                <w:bCs/>
                <w:color w:val="auto"/>
                <w:sz w:val="24"/>
                <w:highlight w:val="none"/>
                <w:lang w:val="en-US" w:eastAsia="zh-CN"/>
              </w:rPr>
              <w:t>二</w:t>
            </w:r>
            <w:r>
              <w:rPr>
                <w:rFonts w:hint="eastAsia" w:ascii="宋体" w:hAnsi="宋体" w:cs="宋体"/>
                <w:b w:val="0"/>
                <w:bCs/>
                <w:color w:val="auto"/>
                <w:sz w:val="24"/>
                <w:highlight w:val="none"/>
                <w:lang w:eastAsia="zh-CN"/>
              </w:rPr>
              <w:t>级资质和有效的企业安全生产许可证</w:t>
            </w:r>
            <w:r>
              <w:rPr>
                <w:rFonts w:hint="eastAsia" w:ascii="宋体" w:hAnsi="宋体" w:cs="宋体"/>
                <w:b w:val="0"/>
                <w:bCs/>
                <w:color w:val="auto"/>
                <w:sz w:val="24"/>
                <w:highlight w:val="none"/>
                <w:lang w:val="en-US" w:eastAsia="zh-CN"/>
              </w:rPr>
              <w:t>得1分，</w:t>
            </w:r>
            <w:r>
              <w:rPr>
                <w:rFonts w:hint="eastAsia" w:ascii="宋体" w:hAnsi="宋体" w:cs="宋体"/>
                <w:color w:val="auto"/>
                <w:kern w:val="0"/>
                <w:highlight w:val="none"/>
              </w:rPr>
              <w:t>本项最高得</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分</w:t>
            </w:r>
            <w:r>
              <w:rPr>
                <w:rFonts w:hint="eastAsia" w:ascii="宋体" w:hAnsi="宋体" w:cs="宋体"/>
                <w:b w:val="0"/>
                <w:bCs/>
                <w:color w:val="auto"/>
                <w:sz w:val="24"/>
                <w:highlight w:val="none"/>
                <w:lang w:val="en-US" w:eastAsia="zh-CN"/>
              </w:rPr>
              <w:t>。</w:t>
            </w:r>
          </w:p>
          <w:p w14:paraId="5399FE82">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Times New Roman"/>
                <w:b w:val="0"/>
                <w:bCs/>
                <w:color w:val="auto"/>
                <w:sz w:val="24"/>
                <w:szCs w:val="24"/>
                <w:highlight w:val="none"/>
                <w:lang w:val="en-US" w:eastAsia="zh-CN"/>
              </w:rPr>
              <w:t>以上证书需在有效期内，</w:t>
            </w:r>
            <w:r>
              <w:rPr>
                <w:rFonts w:hint="eastAsia" w:ascii="宋体" w:hAnsi="宋体"/>
                <w:b w:val="0"/>
                <w:bCs/>
                <w:color w:val="auto"/>
                <w:sz w:val="24"/>
                <w:szCs w:val="24"/>
                <w:highlight w:val="none"/>
              </w:rPr>
              <w:t>需提供证书</w:t>
            </w:r>
            <w:r>
              <w:rPr>
                <w:rFonts w:hint="eastAsia" w:ascii="宋体" w:hAnsi="宋体"/>
                <w:b w:val="0"/>
                <w:bCs/>
                <w:color w:val="auto"/>
                <w:sz w:val="24"/>
                <w:szCs w:val="24"/>
                <w:highlight w:val="none"/>
                <w:lang w:val="en-US" w:eastAsia="zh-CN"/>
              </w:rPr>
              <w:t>扫描</w:t>
            </w:r>
            <w:r>
              <w:rPr>
                <w:rFonts w:hint="eastAsia" w:ascii="宋体" w:hAnsi="宋体"/>
                <w:b w:val="0"/>
                <w:bCs/>
                <w:color w:val="auto"/>
                <w:sz w:val="24"/>
                <w:szCs w:val="24"/>
                <w:highlight w:val="none"/>
              </w:rPr>
              <w:t>件加盖</w:t>
            </w:r>
            <w:r>
              <w:rPr>
                <w:rFonts w:hint="eastAsia" w:ascii="宋体" w:hAnsi="宋体"/>
                <w:b w:val="0"/>
                <w:bCs/>
                <w:color w:val="auto"/>
                <w:sz w:val="24"/>
                <w:szCs w:val="24"/>
                <w:highlight w:val="none"/>
                <w:lang w:val="en-US" w:eastAsia="zh-CN"/>
              </w:rPr>
              <w:t>CA签章。</w:t>
            </w:r>
          </w:p>
        </w:tc>
        <w:tc>
          <w:tcPr>
            <w:tcW w:w="1125" w:type="dxa"/>
            <w:vAlign w:val="center"/>
          </w:tcPr>
          <w:p w14:paraId="78C5BCAC">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highlight w:val="none"/>
              </w:rPr>
              <w:t>0-</w:t>
            </w:r>
            <w:r>
              <w:rPr>
                <w:rFonts w:hint="eastAsia"/>
                <w:color w:val="auto"/>
                <w:highlight w:val="none"/>
                <w:lang w:val="en-US" w:eastAsia="zh-CN"/>
              </w:rPr>
              <w:t>6分</w:t>
            </w:r>
          </w:p>
        </w:tc>
      </w:tr>
      <w:tr w14:paraId="6E8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97" w:type="dxa"/>
            <w:vAlign w:val="center"/>
          </w:tcPr>
          <w:p w14:paraId="1D1EE2AB">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10" w:type="dxa"/>
            <w:shd w:val="clear" w:color="auto" w:fill="auto"/>
            <w:vAlign w:val="center"/>
          </w:tcPr>
          <w:p w14:paraId="598D0DAA">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rPr>
              <w:t>业绩</w:t>
            </w:r>
          </w:p>
        </w:tc>
        <w:tc>
          <w:tcPr>
            <w:tcW w:w="6451" w:type="dxa"/>
            <w:shd w:val="clear" w:color="auto" w:fill="auto"/>
            <w:vAlign w:val="center"/>
          </w:tcPr>
          <w:p w14:paraId="144AB274">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Cs/>
                <w:color w:val="auto"/>
                <w:spacing w:val="-6"/>
                <w:sz w:val="24"/>
                <w:szCs w:val="24"/>
                <w:highlight w:val="none"/>
                <w:lang w:val="en-US" w:eastAsia="zh-CN"/>
              </w:rPr>
              <w:t>投标人</w:t>
            </w:r>
            <w:r>
              <w:rPr>
                <w:rFonts w:hint="eastAsia" w:ascii="宋体" w:hAnsi="宋体" w:cs="宋体"/>
                <w:bCs/>
                <w:color w:val="auto"/>
                <w:spacing w:val="-6"/>
                <w:sz w:val="24"/>
                <w:szCs w:val="24"/>
                <w:highlight w:val="none"/>
              </w:rPr>
              <w:t>自</w:t>
            </w:r>
            <w:r>
              <w:rPr>
                <w:rFonts w:ascii="宋体" w:hAnsi="宋体" w:cs="宋体"/>
                <w:bCs/>
                <w:color w:val="auto"/>
                <w:spacing w:val="-6"/>
                <w:sz w:val="24"/>
                <w:szCs w:val="24"/>
                <w:highlight w:val="none"/>
              </w:rPr>
              <w:t>20</w:t>
            </w:r>
            <w:r>
              <w:rPr>
                <w:rFonts w:hint="eastAsia" w:ascii="宋体" w:hAnsi="宋体" w:cs="宋体"/>
                <w:bCs/>
                <w:color w:val="auto"/>
                <w:spacing w:val="-6"/>
                <w:sz w:val="24"/>
                <w:szCs w:val="24"/>
                <w:highlight w:val="none"/>
                <w:lang w:val="en-US" w:eastAsia="zh-CN"/>
              </w:rPr>
              <w:t>22</w:t>
            </w:r>
            <w:r>
              <w:rPr>
                <w:rFonts w:hint="eastAsia" w:ascii="宋体" w:hAnsi="宋体" w:cs="宋体"/>
                <w:bCs/>
                <w:color w:val="auto"/>
                <w:spacing w:val="-6"/>
                <w:sz w:val="24"/>
                <w:szCs w:val="24"/>
                <w:highlight w:val="none"/>
              </w:rPr>
              <w:t>年</w:t>
            </w:r>
            <w:r>
              <w:rPr>
                <w:rFonts w:ascii="宋体" w:hAnsi="宋体" w:cs="宋体"/>
                <w:bCs/>
                <w:color w:val="auto"/>
                <w:spacing w:val="-6"/>
                <w:sz w:val="24"/>
                <w:szCs w:val="24"/>
                <w:highlight w:val="none"/>
              </w:rPr>
              <w:t>1</w:t>
            </w:r>
            <w:r>
              <w:rPr>
                <w:rFonts w:hint="eastAsia" w:ascii="宋体" w:hAnsi="宋体" w:cs="宋体"/>
                <w:bCs/>
                <w:color w:val="auto"/>
                <w:spacing w:val="-6"/>
                <w:sz w:val="24"/>
                <w:szCs w:val="24"/>
                <w:highlight w:val="none"/>
              </w:rPr>
              <w:t>月</w:t>
            </w:r>
            <w:r>
              <w:rPr>
                <w:rFonts w:ascii="宋体" w:hAnsi="宋体" w:cs="宋体"/>
                <w:bCs/>
                <w:color w:val="auto"/>
                <w:spacing w:val="-6"/>
                <w:sz w:val="24"/>
                <w:szCs w:val="24"/>
                <w:highlight w:val="none"/>
              </w:rPr>
              <w:t>1</w:t>
            </w:r>
            <w:r>
              <w:rPr>
                <w:rFonts w:hint="eastAsia" w:ascii="宋体" w:hAnsi="宋体" w:cs="宋体"/>
                <w:bCs/>
                <w:color w:val="auto"/>
                <w:spacing w:val="-6"/>
                <w:sz w:val="24"/>
                <w:szCs w:val="24"/>
                <w:highlight w:val="none"/>
              </w:rPr>
              <w:t>日以来</w:t>
            </w:r>
            <w:r>
              <w:rPr>
                <w:rFonts w:hint="eastAsia" w:ascii="宋体" w:hAnsi="宋体" w:cs="宋体"/>
                <w:color w:val="auto"/>
                <w:spacing w:val="-6"/>
                <w:sz w:val="24"/>
                <w:szCs w:val="24"/>
                <w:highlight w:val="none"/>
              </w:rPr>
              <w:t>（以合同签订时间为准）</w:t>
            </w:r>
            <w:r>
              <w:rPr>
                <w:rFonts w:hint="eastAsia" w:ascii="宋体" w:hAnsi="宋体" w:cs="宋体"/>
                <w:color w:val="auto"/>
                <w:spacing w:val="-6"/>
                <w:sz w:val="24"/>
                <w:szCs w:val="24"/>
                <w:highlight w:val="none"/>
                <w:lang w:val="en-US" w:eastAsia="zh-CN"/>
              </w:rPr>
              <w:t>承接过</w:t>
            </w:r>
            <w:r>
              <w:rPr>
                <w:rFonts w:hint="eastAsia" w:ascii="宋体" w:hAnsi="宋体" w:cs="宋体"/>
                <w:bCs/>
                <w:color w:val="auto"/>
                <w:spacing w:val="-6"/>
                <w:sz w:val="24"/>
                <w:szCs w:val="24"/>
                <w:highlight w:val="none"/>
              </w:rPr>
              <w:t>同类项目</w:t>
            </w:r>
            <w:r>
              <w:rPr>
                <w:rFonts w:hint="eastAsia" w:ascii="宋体" w:hAnsi="宋体" w:cs="宋体"/>
                <w:bCs/>
                <w:color w:val="auto"/>
                <w:spacing w:val="-6"/>
                <w:sz w:val="24"/>
                <w:szCs w:val="24"/>
                <w:highlight w:val="none"/>
                <w:lang w:val="en-US" w:eastAsia="zh-CN"/>
              </w:rPr>
              <w:t>的，</w:t>
            </w:r>
            <w:r>
              <w:rPr>
                <w:rFonts w:hint="eastAsia" w:ascii="宋体" w:hAnsi="宋体" w:cs="宋体"/>
                <w:bCs/>
                <w:color w:val="auto"/>
                <w:spacing w:val="-6"/>
                <w:sz w:val="24"/>
                <w:szCs w:val="24"/>
                <w:highlight w:val="none"/>
              </w:rPr>
              <w:t>每提供</w:t>
            </w:r>
            <w:r>
              <w:rPr>
                <w:rFonts w:ascii="宋体" w:hAnsi="宋体" w:cs="宋体"/>
                <w:bCs/>
                <w:color w:val="auto"/>
                <w:spacing w:val="-6"/>
                <w:sz w:val="24"/>
                <w:szCs w:val="24"/>
                <w:highlight w:val="none"/>
              </w:rPr>
              <w:t>1</w:t>
            </w:r>
            <w:r>
              <w:rPr>
                <w:rFonts w:hint="eastAsia" w:ascii="宋体" w:hAnsi="宋体" w:cs="宋体"/>
                <w:bCs/>
                <w:color w:val="auto"/>
                <w:spacing w:val="-6"/>
                <w:sz w:val="24"/>
                <w:szCs w:val="24"/>
                <w:highlight w:val="none"/>
                <w:lang w:val="en-US" w:eastAsia="zh-CN"/>
              </w:rPr>
              <w:t>个</w:t>
            </w:r>
            <w:r>
              <w:rPr>
                <w:rFonts w:hint="eastAsia" w:ascii="宋体" w:hAnsi="宋体" w:cs="宋体"/>
                <w:bCs/>
                <w:color w:val="auto"/>
                <w:spacing w:val="-6"/>
                <w:sz w:val="24"/>
                <w:szCs w:val="24"/>
                <w:highlight w:val="none"/>
              </w:rPr>
              <w:t>业绩得</w:t>
            </w:r>
            <w:r>
              <w:rPr>
                <w:rFonts w:hint="eastAsia" w:ascii="宋体" w:hAnsi="宋体" w:cs="宋体"/>
                <w:bCs/>
                <w:color w:val="auto"/>
                <w:spacing w:val="-6"/>
                <w:sz w:val="24"/>
                <w:szCs w:val="24"/>
                <w:highlight w:val="none"/>
                <w:lang w:val="en-US" w:eastAsia="zh-CN"/>
              </w:rPr>
              <w:t>1</w:t>
            </w:r>
            <w:r>
              <w:rPr>
                <w:rFonts w:hint="eastAsia" w:ascii="宋体" w:hAnsi="宋体" w:cs="宋体"/>
                <w:bCs/>
                <w:color w:val="auto"/>
                <w:spacing w:val="-6"/>
                <w:sz w:val="24"/>
                <w:szCs w:val="24"/>
                <w:highlight w:val="none"/>
              </w:rPr>
              <w:t>分，最高得</w:t>
            </w:r>
            <w:r>
              <w:rPr>
                <w:rFonts w:hint="eastAsia" w:ascii="宋体" w:hAnsi="宋体" w:cs="宋体"/>
                <w:bCs/>
                <w:color w:val="auto"/>
                <w:spacing w:val="-6"/>
                <w:sz w:val="24"/>
                <w:szCs w:val="24"/>
                <w:highlight w:val="none"/>
                <w:lang w:val="en-US" w:eastAsia="zh-CN"/>
              </w:rPr>
              <w:t>3</w:t>
            </w:r>
            <w:r>
              <w:rPr>
                <w:rFonts w:hint="eastAsia" w:ascii="宋体" w:hAnsi="宋体" w:cs="宋体"/>
                <w:bCs/>
                <w:color w:val="auto"/>
                <w:spacing w:val="-6"/>
                <w:sz w:val="24"/>
                <w:szCs w:val="24"/>
                <w:highlight w:val="none"/>
              </w:rPr>
              <w:t>分。（</w:t>
            </w:r>
            <w:r>
              <w:rPr>
                <w:rFonts w:hint="eastAsia" w:ascii="宋体" w:hAnsi="宋体" w:cs="宋体"/>
                <w:bCs/>
                <w:color w:val="auto"/>
                <w:spacing w:val="-6"/>
                <w:sz w:val="24"/>
                <w:szCs w:val="24"/>
                <w:highlight w:val="none"/>
                <w:lang w:val="en-US" w:eastAsia="zh-CN"/>
              </w:rPr>
              <w:t>需</w:t>
            </w:r>
            <w:r>
              <w:rPr>
                <w:rFonts w:hint="eastAsia" w:ascii="宋体" w:hAnsi="宋体" w:cs="宋体"/>
                <w:bCs/>
                <w:color w:val="auto"/>
                <w:spacing w:val="-6"/>
                <w:sz w:val="24"/>
                <w:szCs w:val="24"/>
                <w:highlight w:val="none"/>
              </w:rPr>
              <w:t>提供合同</w:t>
            </w:r>
            <w:r>
              <w:rPr>
                <w:rFonts w:hint="default" w:ascii="宋体" w:hAnsi="宋体" w:cs="宋体"/>
                <w:bCs/>
                <w:color w:val="auto"/>
                <w:spacing w:val="-6"/>
                <w:sz w:val="24"/>
                <w:szCs w:val="24"/>
                <w:highlight w:val="none"/>
                <w:woUserID w:val="1"/>
              </w:rPr>
              <w:t>及</w:t>
            </w:r>
            <w:r>
              <w:rPr>
                <w:rFonts w:hint="eastAsia" w:ascii="宋体" w:hAnsi="宋体" w:cs="宋体"/>
                <w:bCs/>
                <w:color w:val="auto"/>
                <w:spacing w:val="-6"/>
                <w:sz w:val="24"/>
                <w:szCs w:val="24"/>
                <w:highlight w:val="none"/>
                <w:lang w:val="en-US" w:eastAsia="zh-CN"/>
              </w:rPr>
              <w:t>中标通知书扫描件加盖CA签章</w:t>
            </w:r>
            <w:r>
              <w:rPr>
                <w:rFonts w:hint="eastAsia" w:ascii="宋体" w:hAnsi="宋体" w:cs="宋体"/>
                <w:bCs/>
                <w:color w:val="auto"/>
                <w:spacing w:val="-6"/>
                <w:sz w:val="24"/>
                <w:szCs w:val="24"/>
                <w:highlight w:val="none"/>
                <w:lang w:eastAsia="zh-CN"/>
              </w:rPr>
              <w:t>）</w:t>
            </w:r>
          </w:p>
        </w:tc>
        <w:tc>
          <w:tcPr>
            <w:tcW w:w="1125" w:type="dxa"/>
            <w:shd w:val="clear" w:color="auto" w:fill="auto"/>
            <w:vAlign w:val="center"/>
          </w:tcPr>
          <w:p w14:paraId="13877D2B">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cs="宋体"/>
                <w:bCs/>
                <w:color w:val="auto"/>
                <w:spacing w:val="-6"/>
                <w:sz w:val="24"/>
                <w:szCs w:val="24"/>
                <w:highlight w:val="none"/>
                <w:lang w:val="en-US" w:eastAsia="zh-CN"/>
              </w:rPr>
              <w:t>0-3分</w:t>
            </w:r>
          </w:p>
        </w:tc>
      </w:tr>
      <w:tr w14:paraId="06ED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5C681089">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410" w:type="dxa"/>
            <w:vAlign w:val="center"/>
          </w:tcPr>
          <w:p w14:paraId="51308214">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4"/>
                <w:szCs w:val="24"/>
                <w:highlight w:val="none"/>
                <w:u w:val="none" w:color="FFFFFF"/>
                <w:lang w:val="en-US" w:eastAsia="zh-CN" w:bidi="ar-SA"/>
              </w:rPr>
            </w:pPr>
            <w:r>
              <w:rPr>
                <w:rFonts w:hint="eastAsia" w:ascii="宋体" w:hAnsi="宋体"/>
                <w:color w:val="auto"/>
                <w:sz w:val="24"/>
                <w:szCs w:val="24"/>
                <w:highlight w:val="none"/>
              </w:rPr>
              <w:t>拟派项目组成员</w:t>
            </w:r>
          </w:p>
        </w:tc>
        <w:tc>
          <w:tcPr>
            <w:tcW w:w="6451" w:type="dxa"/>
            <w:vAlign w:val="center"/>
          </w:tcPr>
          <w:p w14:paraId="2EA57889">
            <w:pPr>
              <w:keepNext w:val="0"/>
              <w:keepLines w:val="0"/>
              <w:pageBreakBefore w:val="0"/>
              <w:kinsoku/>
              <w:wordWrap/>
              <w:overflowPunct/>
              <w:topLinePunct w:val="0"/>
              <w:bidi w:val="0"/>
              <w:adjustRightInd/>
              <w:snapToGrid/>
              <w:spacing w:line="400" w:lineRule="exact"/>
              <w:jc w:val="left"/>
              <w:textAlignment w:val="auto"/>
              <w:rPr>
                <w:rFonts w:ascii="宋体" w:hAnsi="宋体"/>
                <w:color w:val="auto"/>
                <w:sz w:val="24"/>
                <w:szCs w:val="24"/>
                <w:highlight w:val="none"/>
              </w:rPr>
            </w:pPr>
            <w:r>
              <w:rPr>
                <w:rFonts w:hint="eastAsia"/>
                <w:color w:val="auto"/>
                <w:sz w:val="24"/>
                <w:szCs w:val="24"/>
                <w:highlight w:val="none"/>
              </w:rPr>
              <w:t>1、</w:t>
            </w:r>
            <w:r>
              <w:rPr>
                <w:rFonts w:hint="eastAsia" w:ascii="宋体" w:hAnsi="宋体"/>
                <w:color w:val="auto"/>
                <w:sz w:val="24"/>
                <w:szCs w:val="24"/>
                <w:highlight w:val="none"/>
              </w:rPr>
              <w:t>拟派项目负责人具备市政</w:t>
            </w:r>
            <w:r>
              <w:rPr>
                <w:rFonts w:hint="eastAsia" w:ascii="宋体" w:hAnsi="宋体"/>
                <w:color w:val="auto"/>
                <w:sz w:val="24"/>
                <w:szCs w:val="24"/>
                <w:highlight w:val="none"/>
                <w:lang w:val="en-US" w:eastAsia="zh-CN"/>
              </w:rPr>
              <w:t>公用</w:t>
            </w:r>
            <w:r>
              <w:rPr>
                <w:rFonts w:hint="eastAsia" w:ascii="宋体" w:hAnsi="宋体"/>
                <w:color w:val="auto"/>
                <w:sz w:val="24"/>
                <w:szCs w:val="24"/>
                <w:highlight w:val="none"/>
              </w:rPr>
              <w:t>工程</w:t>
            </w:r>
            <w:r>
              <w:rPr>
                <w:rFonts w:hint="default" w:ascii="宋体" w:hAnsi="宋体"/>
                <w:color w:val="auto"/>
                <w:sz w:val="24"/>
                <w:szCs w:val="24"/>
                <w:highlight w:val="none"/>
                <w:woUserID w:val="1"/>
              </w:rPr>
              <w:t>或机电</w:t>
            </w:r>
            <w:r>
              <w:rPr>
                <w:rFonts w:hint="eastAsia" w:ascii="宋体" w:hAnsi="宋体"/>
                <w:color w:val="auto"/>
                <w:sz w:val="24"/>
                <w:szCs w:val="24"/>
                <w:highlight w:val="none"/>
                <w:lang w:val="en-US" w:eastAsia="zh-CN"/>
                <w:woUserID w:val="1"/>
              </w:rPr>
              <w:t>安装</w:t>
            </w:r>
            <w:r>
              <w:rPr>
                <w:rFonts w:hint="default" w:ascii="宋体" w:hAnsi="宋体"/>
                <w:color w:val="auto"/>
                <w:sz w:val="24"/>
                <w:szCs w:val="24"/>
                <w:highlight w:val="none"/>
                <w:woUserID w:val="1"/>
              </w:rPr>
              <w:t>工程</w:t>
            </w:r>
            <w:r>
              <w:rPr>
                <w:rFonts w:hint="eastAsia" w:ascii="宋体" w:hAnsi="宋体"/>
                <w:color w:val="auto"/>
                <w:sz w:val="24"/>
                <w:szCs w:val="24"/>
                <w:highlight w:val="none"/>
              </w:rPr>
              <w:t>一级注册建造师资格并且具有有效期内的安全生产考核合格证（B证）的得1分，具有高级工程师及以上职称的加</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分，本项最高</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p w14:paraId="6F56F07F">
            <w:pPr>
              <w:keepNext w:val="0"/>
              <w:keepLines w:val="0"/>
              <w:pageBreakBefore w:val="0"/>
              <w:kinsoku/>
              <w:wordWrap/>
              <w:overflowPunct/>
              <w:topLinePunct w:val="0"/>
              <w:bidi w:val="0"/>
              <w:adjustRightInd/>
              <w:snapToGrid/>
              <w:spacing w:line="40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2、拟派技术负责人具备市政</w:t>
            </w:r>
            <w:r>
              <w:rPr>
                <w:rFonts w:hint="eastAsia" w:ascii="宋体" w:hAnsi="宋体"/>
                <w:color w:val="auto"/>
                <w:sz w:val="24"/>
                <w:szCs w:val="24"/>
                <w:highlight w:val="none"/>
                <w:lang w:val="en-US" w:eastAsia="zh-CN"/>
              </w:rPr>
              <w:t>公用</w:t>
            </w:r>
            <w:r>
              <w:rPr>
                <w:rFonts w:hint="eastAsia" w:ascii="宋体" w:hAnsi="宋体"/>
                <w:color w:val="auto"/>
                <w:sz w:val="24"/>
                <w:szCs w:val="24"/>
                <w:highlight w:val="none"/>
              </w:rPr>
              <w:t>工程</w:t>
            </w:r>
            <w:r>
              <w:rPr>
                <w:rFonts w:hint="default" w:ascii="宋体" w:hAnsi="宋体"/>
                <w:color w:val="auto"/>
                <w:sz w:val="24"/>
                <w:szCs w:val="24"/>
                <w:highlight w:val="none"/>
                <w:woUserID w:val="1"/>
              </w:rPr>
              <w:t>或机电</w:t>
            </w:r>
            <w:r>
              <w:rPr>
                <w:rFonts w:hint="eastAsia" w:ascii="宋体" w:hAnsi="宋体"/>
                <w:color w:val="auto"/>
                <w:sz w:val="24"/>
                <w:szCs w:val="24"/>
                <w:highlight w:val="none"/>
                <w:lang w:val="en-US" w:eastAsia="zh-CN"/>
                <w:woUserID w:val="1"/>
              </w:rPr>
              <w:t>安装</w:t>
            </w:r>
            <w:r>
              <w:rPr>
                <w:rFonts w:hint="default" w:ascii="宋体" w:hAnsi="宋体"/>
                <w:color w:val="auto"/>
                <w:sz w:val="24"/>
                <w:szCs w:val="24"/>
                <w:highlight w:val="none"/>
                <w:woUserID w:val="1"/>
              </w:rPr>
              <w:t>工程</w:t>
            </w:r>
            <w:r>
              <w:rPr>
                <w:rFonts w:hint="default" w:ascii="宋体" w:hAnsi="宋体"/>
                <w:color w:val="auto"/>
                <w:sz w:val="24"/>
                <w:szCs w:val="24"/>
                <w:highlight w:val="none"/>
                <w:lang w:eastAsia="zh-CN"/>
                <w:woUserID w:val="1"/>
              </w:rPr>
              <w:t>一级注册建造师执业资格证书</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分，具备市政</w:t>
            </w:r>
            <w:r>
              <w:rPr>
                <w:rFonts w:hint="eastAsia" w:ascii="宋体" w:hAnsi="宋体"/>
                <w:color w:val="auto"/>
                <w:sz w:val="24"/>
                <w:szCs w:val="24"/>
                <w:highlight w:val="none"/>
                <w:lang w:val="en-US" w:eastAsia="zh-CN"/>
              </w:rPr>
              <w:t>公用</w:t>
            </w:r>
            <w:r>
              <w:rPr>
                <w:rFonts w:hint="eastAsia" w:ascii="宋体" w:hAnsi="宋体"/>
                <w:color w:val="auto"/>
                <w:sz w:val="24"/>
                <w:szCs w:val="24"/>
                <w:highlight w:val="none"/>
              </w:rPr>
              <w:t>工程</w:t>
            </w:r>
            <w:r>
              <w:rPr>
                <w:rFonts w:hint="default" w:ascii="宋体" w:hAnsi="宋体"/>
                <w:color w:val="auto"/>
                <w:sz w:val="24"/>
                <w:szCs w:val="24"/>
                <w:highlight w:val="none"/>
                <w:woUserID w:val="1"/>
              </w:rPr>
              <w:t>或机电</w:t>
            </w:r>
            <w:r>
              <w:rPr>
                <w:rFonts w:hint="eastAsia" w:ascii="宋体" w:hAnsi="宋体"/>
                <w:color w:val="auto"/>
                <w:sz w:val="24"/>
                <w:szCs w:val="24"/>
                <w:highlight w:val="none"/>
                <w:lang w:val="en-US" w:eastAsia="zh-CN"/>
                <w:woUserID w:val="1"/>
              </w:rPr>
              <w:t>安装</w:t>
            </w:r>
            <w:r>
              <w:rPr>
                <w:rFonts w:hint="default" w:ascii="宋体" w:hAnsi="宋体"/>
                <w:color w:val="auto"/>
                <w:sz w:val="24"/>
                <w:szCs w:val="24"/>
                <w:highlight w:val="none"/>
                <w:woUserID w:val="1"/>
              </w:rPr>
              <w:t>工程二级注册建造师执业资格证书</w:t>
            </w:r>
            <w:r>
              <w:rPr>
                <w:rFonts w:hint="eastAsia" w:ascii="宋体" w:hAnsi="宋体"/>
                <w:color w:val="auto"/>
                <w:sz w:val="24"/>
                <w:szCs w:val="24"/>
                <w:highlight w:val="none"/>
              </w:rPr>
              <w:t>的得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本项最高</w:t>
            </w:r>
            <w:r>
              <w:rPr>
                <w:rFonts w:hint="eastAsia" w:ascii="宋体" w:hAnsi="宋体"/>
                <w:color w:val="auto"/>
                <w:sz w:val="24"/>
                <w:szCs w:val="24"/>
                <w:highlight w:val="none"/>
                <w:lang w:val="en-US" w:eastAsia="zh-CN"/>
              </w:rPr>
              <w:t>得2</w:t>
            </w:r>
            <w:r>
              <w:rPr>
                <w:rFonts w:hint="eastAsia" w:ascii="宋体" w:hAnsi="宋体"/>
                <w:color w:val="auto"/>
                <w:sz w:val="24"/>
                <w:szCs w:val="24"/>
                <w:highlight w:val="none"/>
              </w:rPr>
              <w:t>分。</w:t>
            </w:r>
          </w:p>
          <w:p w14:paraId="748A57AD">
            <w:pPr>
              <w:pStyle w:val="99"/>
              <w:keepNext w:val="0"/>
              <w:keepLines w:val="0"/>
              <w:pageBreakBefore w:val="0"/>
              <w:kinsoku/>
              <w:wordWrap/>
              <w:overflowPunct/>
              <w:topLinePunct w:val="0"/>
              <w:bidi w:val="0"/>
              <w:adjustRightInd/>
              <w:snapToGrid/>
              <w:spacing w:before="4" w:line="400" w:lineRule="exact"/>
              <w:ind w:right="3"/>
              <w:textAlignment w:val="auto"/>
              <w:rPr>
                <w:rFonts w:cs="Times New Roman"/>
                <w:color w:val="auto"/>
                <w:sz w:val="24"/>
                <w:szCs w:val="24"/>
                <w:highlight w:val="none"/>
                <w:lang w:val="en-US" w:bidi="ar-SA"/>
              </w:rPr>
            </w:pPr>
            <w:r>
              <w:rPr>
                <w:rFonts w:hint="eastAsia" w:cs="Times New Roman"/>
                <w:color w:val="auto"/>
                <w:sz w:val="24"/>
                <w:szCs w:val="24"/>
                <w:highlight w:val="none"/>
                <w:lang w:val="en-US"/>
              </w:rPr>
              <w:t>3、</w:t>
            </w:r>
            <w:r>
              <w:rPr>
                <w:rFonts w:hint="eastAsia" w:cs="Times New Roman"/>
                <w:color w:val="auto"/>
                <w:sz w:val="24"/>
                <w:szCs w:val="24"/>
                <w:highlight w:val="none"/>
                <w:lang w:val="en-US" w:bidi="ar-SA"/>
              </w:rPr>
              <w:t>施工现场的</w:t>
            </w:r>
            <w:r>
              <w:rPr>
                <w:rFonts w:hint="eastAsia" w:cs="Times New Roman"/>
                <w:color w:val="auto"/>
                <w:sz w:val="24"/>
                <w:szCs w:val="24"/>
                <w:highlight w:val="none"/>
                <w:lang w:val="en-US" w:eastAsia="zh-CN" w:bidi="ar-SA"/>
              </w:rPr>
              <w:t>作业</w:t>
            </w:r>
            <w:r>
              <w:rPr>
                <w:rFonts w:hint="eastAsia" w:cs="Times New Roman"/>
                <w:color w:val="auto"/>
                <w:sz w:val="24"/>
                <w:szCs w:val="24"/>
                <w:highlight w:val="none"/>
                <w:lang w:val="en-US" w:bidi="ar-SA"/>
              </w:rPr>
              <w:t>人员中持有行政主管部门颁发的高空作业证</w:t>
            </w:r>
            <w:r>
              <w:rPr>
                <w:rFonts w:hint="eastAsia" w:cs="Times New Roman"/>
                <w:color w:val="auto"/>
                <w:sz w:val="24"/>
                <w:szCs w:val="24"/>
                <w:highlight w:val="none"/>
                <w:lang w:val="en-US" w:eastAsia="zh-CN" w:bidi="ar-SA"/>
              </w:rPr>
              <w:t>或</w:t>
            </w:r>
            <w:r>
              <w:rPr>
                <w:rFonts w:hint="eastAsia" w:cs="Times New Roman"/>
                <w:color w:val="auto"/>
                <w:sz w:val="24"/>
                <w:szCs w:val="24"/>
                <w:highlight w:val="none"/>
                <w:lang w:val="en-US" w:bidi="ar-SA"/>
              </w:rPr>
              <w:t>电工证</w:t>
            </w:r>
            <w:r>
              <w:rPr>
                <w:rFonts w:hint="eastAsia" w:cs="Times New Roman"/>
                <w:color w:val="auto"/>
                <w:sz w:val="24"/>
                <w:szCs w:val="24"/>
                <w:highlight w:val="none"/>
                <w:lang w:val="en-US" w:eastAsia="zh-CN" w:bidi="ar-SA"/>
              </w:rPr>
              <w:t>的，每</w:t>
            </w:r>
            <w:r>
              <w:rPr>
                <w:rFonts w:hint="eastAsia" w:cs="Times New Roman"/>
                <w:color w:val="auto"/>
                <w:sz w:val="24"/>
                <w:szCs w:val="24"/>
                <w:highlight w:val="none"/>
                <w:lang w:val="en-US" w:bidi="ar-SA"/>
              </w:rPr>
              <w:t>人</w:t>
            </w:r>
            <w:r>
              <w:rPr>
                <w:rFonts w:hint="eastAsia" w:cs="Times New Roman"/>
                <w:color w:val="auto"/>
                <w:sz w:val="24"/>
                <w:szCs w:val="24"/>
                <w:highlight w:val="none"/>
                <w:lang w:val="en-US" w:eastAsia="zh-CN" w:bidi="ar-SA"/>
              </w:rPr>
              <w:t>得1分，最高得4分。</w:t>
            </w:r>
          </w:p>
          <w:p w14:paraId="14D32F57">
            <w:pPr>
              <w:pStyle w:val="30"/>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rPr>
              <w:t>以上人员不重复得分，提供人员相关证书</w:t>
            </w:r>
            <w:r>
              <w:rPr>
                <w:rFonts w:hint="eastAsia" w:ascii="宋体" w:hAnsi="宋体" w:cs="宋体"/>
                <w:b/>
                <w:color w:val="auto"/>
                <w:sz w:val="24"/>
                <w:szCs w:val="24"/>
                <w:highlight w:val="none"/>
                <w:lang w:val="en-US" w:eastAsia="zh-CN"/>
              </w:rPr>
              <w:t>扫描件</w:t>
            </w:r>
            <w:r>
              <w:rPr>
                <w:rFonts w:hint="eastAsia" w:ascii="宋体" w:hAnsi="宋体" w:cs="宋体"/>
                <w:b/>
                <w:color w:val="auto"/>
                <w:sz w:val="24"/>
                <w:szCs w:val="24"/>
                <w:highlight w:val="none"/>
              </w:rPr>
              <w:t>及</w:t>
            </w:r>
            <w:r>
              <w:rPr>
                <w:rFonts w:hint="eastAsia" w:ascii="宋体" w:hAnsi="宋体" w:cs="宋体"/>
                <w:b/>
                <w:color w:val="auto"/>
                <w:sz w:val="24"/>
                <w:szCs w:val="24"/>
                <w:highlight w:val="none"/>
                <w:lang w:val="en-US" w:eastAsia="zh-CN"/>
              </w:rPr>
              <w:t>开标前</w:t>
            </w:r>
            <w:r>
              <w:rPr>
                <w:rFonts w:hint="eastAsia" w:hAnsi="宋体" w:cs="宋体"/>
                <w:b/>
                <w:color w:val="auto"/>
                <w:sz w:val="24"/>
                <w:szCs w:val="24"/>
                <w:highlight w:val="none"/>
                <w:lang w:val="en-US" w:eastAsia="zh-CN"/>
              </w:rPr>
              <w:t>3</w:t>
            </w:r>
            <w:r>
              <w:rPr>
                <w:rFonts w:hint="eastAsia" w:ascii="宋体" w:hAnsi="宋体" w:cs="宋体"/>
                <w:b/>
                <w:color w:val="auto"/>
                <w:sz w:val="24"/>
                <w:szCs w:val="24"/>
                <w:highlight w:val="none"/>
              </w:rPr>
              <w:t>个月在投标单位缴纳的社保证明</w:t>
            </w:r>
            <w:r>
              <w:rPr>
                <w:rFonts w:hint="eastAsia" w:ascii="宋体" w:hAnsi="宋体"/>
                <w:b/>
                <w:color w:val="auto"/>
                <w:sz w:val="24"/>
                <w:szCs w:val="24"/>
                <w:highlight w:val="none"/>
              </w:rPr>
              <w:t>复印件加盖</w:t>
            </w:r>
            <w:r>
              <w:rPr>
                <w:rFonts w:hint="eastAsia" w:ascii="宋体" w:hAnsi="宋体"/>
                <w:b/>
                <w:color w:val="auto"/>
                <w:sz w:val="24"/>
                <w:szCs w:val="24"/>
                <w:highlight w:val="none"/>
                <w:lang w:val="en-US" w:eastAsia="zh-CN"/>
              </w:rPr>
              <w:t>CA签章</w:t>
            </w:r>
            <w:r>
              <w:rPr>
                <w:rFonts w:hint="eastAsia" w:ascii="宋体" w:hAnsi="宋体" w:cs="宋体"/>
                <w:b/>
                <w:color w:val="auto"/>
                <w:sz w:val="24"/>
                <w:szCs w:val="24"/>
                <w:highlight w:val="none"/>
              </w:rPr>
              <w:t>。</w:t>
            </w:r>
          </w:p>
        </w:tc>
        <w:tc>
          <w:tcPr>
            <w:tcW w:w="1125" w:type="dxa"/>
            <w:vAlign w:val="center"/>
          </w:tcPr>
          <w:p w14:paraId="3889FCB2">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2"/>
                <w:sz w:val="24"/>
                <w:szCs w:val="24"/>
                <w:highlight w:val="none"/>
                <w:u w:val="none" w:color="FFFFFF"/>
                <w:lang w:val="en-US" w:eastAsia="zh-CN" w:bidi="ar-SA"/>
              </w:rPr>
            </w:pPr>
            <w:r>
              <w:rPr>
                <w:rFonts w:hint="eastAsia" w:ascii="宋体" w:hAnsi="宋体" w:cs="宋体"/>
                <w:color w:val="auto"/>
                <w:kern w:val="0"/>
                <w:highlight w:val="none"/>
              </w:rPr>
              <w:t>0-</w:t>
            </w: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分</w:t>
            </w:r>
          </w:p>
        </w:tc>
      </w:tr>
      <w:tr w14:paraId="56FC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1E2F80EA">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10" w:type="dxa"/>
            <w:shd w:val="clear" w:color="auto" w:fill="auto"/>
            <w:vAlign w:val="center"/>
          </w:tcPr>
          <w:p w14:paraId="245D5E42">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Cs w:val="21"/>
                <w:highlight w:val="none"/>
              </w:rPr>
              <w:t>技术要求</w:t>
            </w:r>
          </w:p>
        </w:tc>
        <w:tc>
          <w:tcPr>
            <w:tcW w:w="6451" w:type="dxa"/>
            <w:shd w:val="clear" w:color="auto" w:fill="auto"/>
            <w:vAlign w:val="center"/>
          </w:tcPr>
          <w:p w14:paraId="664960A6">
            <w:pPr>
              <w:pStyle w:val="11"/>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color w:val="auto"/>
                <w:szCs w:val="21"/>
                <w:highlight w:val="none"/>
              </w:rPr>
              <w:t>完全响应招标文件要求的技术参数、技术规格、技术规范和技术要求的得1</w:t>
            </w:r>
            <w:r>
              <w:rPr>
                <w:rFonts w:hint="eastAsia" w:ascii="宋体" w:hAnsi="宋体"/>
                <w:color w:val="auto"/>
                <w:szCs w:val="21"/>
                <w:highlight w:val="none"/>
                <w:lang w:val="en-US" w:eastAsia="zh-CN"/>
              </w:rPr>
              <w:t>0</w:t>
            </w:r>
            <w:r>
              <w:rPr>
                <w:rFonts w:hint="eastAsia" w:ascii="宋体" w:hAnsi="宋体"/>
                <w:color w:val="auto"/>
                <w:szCs w:val="21"/>
                <w:highlight w:val="none"/>
              </w:rPr>
              <w:t>分。有打▲的重要技术要求如出现负偏离或缺项的，每项扣</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color w:val="auto"/>
                <w:highlight w:val="none"/>
              </w:rPr>
              <w:t>其他技术参数项出现负偏离或缺项的，每项扣</w:t>
            </w:r>
            <w:r>
              <w:rPr>
                <w:rFonts w:hint="eastAsia"/>
                <w:color w:val="auto"/>
                <w:highlight w:val="none"/>
                <w:lang w:val="en-US" w:eastAsia="zh-CN"/>
              </w:rPr>
              <w:t>0.5</w:t>
            </w:r>
            <w:r>
              <w:rPr>
                <w:rFonts w:hint="eastAsia"/>
                <w:color w:val="auto"/>
                <w:highlight w:val="none"/>
              </w:rPr>
              <w:t>分，扣</w:t>
            </w:r>
            <w:r>
              <w:rPr>
                <w:rFonts w:hint="eastAsia" w:ascii="宋体" w:hAnsi="宋体"/>
                <w:color w:val="auto"/>
                <w:szCs w:val="21"/>
                <w:highlight w:val="none"/>
              </w:rPr>
              <w:t>完为止。</w:t>
            </w:r>
            <w:r>
              <w:rPr>
                <w:rFonts w:hint="eastAsia" w:ascii="宋体" w:hAnsi="宋体"/>
                <w:color w:val="auto"/>
                <w:szCs w:val="21"/>
                <w:highlight w:val="none"/>
                <w:lang w:val="en-US" w:eastAsia="zh-CN"/>
              </w:rPr>
              <w:t>提供灯具技术要求的相关证明材料。</w:t>
            </w:r>
          </w:p>
        </w:tc>
        <w:tc>
          <w:tcPr>
            <w:tcW w:w="1125" w:type="dxa"/>
            <w:shd w:val="clear" w:color="auto" w:fill="auto"/>
            <w:vAlign w:val="center"/>
          </w:tcPr>
          <w:p w14:paraId="425AD5D6">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宋体" w:cs="Times New Roman"/>
                <w:color w:val="auto"/>
                <w:kern w:val="2"/>
                <w:sz w:val="24"/>
                <w:highlight w:val="none"/>
                <w:lang w:val="en-US" w:eastAsia="zh-CN" w:bidi="ar-SA"/>
              </w:rPr>
            </w:pPr>
            <w:r>
              <w:rPr>
                <w:rFonts w:hint="eastAsia"/>
                <w:color w:val="auto"/>
                <w:highlight w:val="none"/>
              </w:rPr>
              <w:t>0-1</w:t>
            </w:r>
            <w:r>
              <w:rPr>
                <w:rFonts w:hint="eastAsia"/>
                <w:color w:val="auto"/>
                <w:highlight w:val="none"/>
                <w:lang w:val="en-US" w:eastAsia="zh-CN"/>
              </w:rPr>
              <w:t>0</w:t>
            </w:r>
            <w:r>
              <w:rPr>
                <w:rFonts w:hint="eastAsia"/>
                <w:color w:val="auto"/>
                <w:highlight w:val="none"/>
              </w:rPr>
              <w:t>分</w:t>
            </w:r>
          </w:p>
        </w:tc>
      </w:tr>
      <w:tr w14:paraId="2072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369569FB">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410" w:type="dxa"/>
            <w:shd w:val="clear" w:color="auto" w:fill="auto"/>
            <w:vAlign w:val="center"/>
          </w:tcPr>
          <w:p w14:paraId="2388050D">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olor w:val="auto"/>
                <w:szCs w:val="21"/>
                <w:highlight w:val="none"/>
              </w:rPr>
              <w:t>项目实施方案</w:t>
            </w:r>
          </w:p>
        </w:tc>
        <w:tc>
          <w:tcPr>
            <w:tcW w:w="6451" w:type="dxa"/>
            <w:shd w:val="clear" w:color="auto" w:fill="auto"/>
            <w:vAlign w:val="center"/>
          </w:tcPr>
          <w:p w14:paraId="6E51B178">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 w:val="24"/>
                <w:szCs w:val="24"/>
                <w:highlight w:val="none"/>
              </w:rPr>
            </w:pPr>
            <w:r>
              <w:rPr>
                <w:rFonts w:hint="eastAsia"/>
                <w:color w:val="auto"/>
                <w:sz w:val="24"/>
                <w:szCs w:val="24"/>
                <w:highlight w:val="none"/>
              </w:rPr>
              <w:t>1、现场踏勘及重点难点分析：根据现场踏勘的情况提供相应的施工方案与技术，包括工程特点、重点与难点描述的准确性及相应针对性措施等进行评分</w:t>
            </w:r>
            <w:r>
              <w:rPr>
                <w:rFonts w:hint="eastAsia"/>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（打分范围：3</w:t>
            </w:r>
            <w:r>
              <w:rPr>
                <w:rFonts w:hint="eastAsia" w:ascii="宋体" w:hAnsi="宋体" w:eastAsia="宋体" w:cs="宋体"/>
                <w:b w:val="0"/>
                <w:bCs/>
                <w:color w:val="auto"/>
                <w:kern w:val="2"/>
                <w:sz w:val="24"/>
                <w:szCs w:val="24"/>
                <w:highlight w:val="none"/>
                <w:lang w:val="en-US" w:eastAsia="zh-CN" w:bidi="ar-SA"/>
              </w:rPr>
              <w:t>，2.8，2.6，...，0</w:t>
            </w:r>
            <w:r>
              <w:rPr>
                <w:rFonts w:hint="eastAsia" w:ascii="宋体" w:hAnsi="宋体" w:eastAsia="宋体" w:cs="宋体"/>
                <w:color w:val="auto"/>
                <w:kern w:val="2"/>
                <w:sz w:val="24"/>
                <w:szCs w:val="24"/>
                <w:highlight w:val="none"/>
                <w:lang w:val="en-US" w:eastAsia="zh-CN" w:bidi="ar-SA"/>
              </w:rPr>
              <w:t>）</w:t>
            </w:r>
          </w:p>
          <w:p w14:paraId="38673C4F">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4"/>
                <w:szCs w:val="24"/>
                <w:highlight w:val="none"/>
                <w:lang w:val="en-US" w:eastAsia="en-US" w:bidi="ar-SA"/>
              </w:rPr>
            </w:pPr>
            <w:r>
              <w:rPr>
                <w:rFonts w:hint="eastAsia"/>
                <w:color w:val="auto"/>
                <w:sz w:val="24"/>
                <w:szCs w:val="24"/>
                <w:highlight w:val="none"/>
                <w:lang w:val="en-US" w:eastAsia="zh-CN"/>
              </w:rPr>
              <w:t>2</w:t>
            </w:r>
            <w:r>
              <w:rPr>
                <w:rFonts w:hint="eastAsia"/>
                <w:color w:val="auto"/>
                <w:sz w:val="24"/>
                <w:szCs w:val="24"/>
                <w:highlight w:val="none"/>
              </w:rPr>
              <w:t>、验收方案：有详细、切实可行的验收方案，包括设备安装、系统试运行、检测、验收等情况</w:t>
            </w:r>
            <w:r>
              <w:rPr>
                <w:rFonts w:hint="eastAsia"/>
                <w:color w:val="auto"/>
                <w:sz w:val="24"/>
                <w:szCs w:val="24"/>
                <w:highlight w:val="none"/>
                <w:lang w:val="en-US" w:eastAsia="zh-CN"/>
              </w:rPr>
              <w:t>进行</w:t>
            </w:r>
            <w:r>
              <w:rPr>
                <w:rFonts w:hint="eastAsia"/>
                <w:color w:val="auto"/>
                <w:sz w:val="24"/>
                <w:szCs w:val="24"/>
                <w:highlight w:val="none"/>
              </w:rPr>
              <w:t>打分，</w:t>
            </w:r>
            <w:r>
              <w:rPr>
                <w:rFonts w:hint="eastAsia" w:ascii="宋体" w:hAnsi="宋体" w:eastAsia="宋体" w:cs="宋体"/>
                <w:color w:val="auto"/>
                <w:kern w:val="2"/>
                <w:sz w:val="24"/>
                <w:szCs w:val="24"/>
                <w:highlight w:val="none"/>
                <w:lang w:val="en-US" w:eastAsia="zh-CN" w:bidi="ar-SA"/>
              </w:rPr>
              <w:t>（打分范围：2</w:t>
            </w:r>
            <w:r>
              <w:rPr>
                <w:rFonts w:hint="eastAsia" w:ascii="宋体" w:hAnsi="宋体" w:eastAsia="宋体" w:cs="宋体"/>
                <w:b w:val="0"/>
                <w:bCs/>
                <w:color w:val="auto"/>
                <w:kern w:val="2"/>
                <w:sz w:val="24"/>
                <w:szCs w:val="24"/>
                <w:highlight w:val="none"/>
                <w:lang w:val="en-US" w:eastAsia="zh-CN" w:bidi="ar-SA"/>
              </w:rPr>
              <w:t>，1.8，1.6，...，0</w:t>
            </w:r>
            <w:r>
              <w:rPr>
                <w:rFonts w:hint="eastAsia" w:ascii="宋体" w:hAnsi="宋体" w:eastAsia="宋体" w:cs="宋体"/>
                <w:color w:val="auto"/>
                <w:kern w:val="2"/>
                <w:sz w:val="24"/>
                <w:szCs w:val="24"/>
                <w:highlight w:val="none"/>
                <w:lang w:val="en-US" w:eastAsia="zh-CN" w:bidi="ar-SA"/>
              </w:rPr>
              <w:t>）</w:t>
            </w:r>
          </w:p>
        </w:tc>
        <w:tc>
          <w:tcPr>
            <w:tcW w:w="1125" w:type="dxa"/>
            <w:shd w:val="clear" w:color="auto" w:fill="auto"/>
            <w:vAlign w:val="center"/>
          </w:tcPr>
          <w:p w14:paraId="3730C7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0-</w:t>
            </w:r>
            <w:r>
              <w:rPr>
                <w:rFonts w:hint="eastAsia"/>
                <w:color w:val="auto"/>
                <w:sz w:val="24"/>
                <w:szCs w:val="24"/>
                <w:highlight w:val="none"/>
                <w:lang w:val="en-US" w:eastAsia="zh-CN"/>
              </w:rPr>
              <w:t>5</w:t>
            </w:r>
            <w:r>
              <w:rPr>
                <w:rFonts w:hint="eastAsia"/>
                <w:color w:val="auto"/>
                <w:sz w:val="24"/>
                <w:szCs w:val="24"/>
                <w:highlight w:val="none"/>
              </w:rPr>
              <w:t>分</w:t>
            </w:r>
          </w:p>
        </w:tc>
      </w:tr>
      <w:tr w14:paraId="41AB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62115382">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1410" w:type="dxa"/>
            <w:shd w:val="clear" w:color="auto" w:fill="auto"/>
            <w:vAlign w:val="center"/>
          </w:tcPr>
          <w:p w14:paraId="63FBA603">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宋体" w:cs="Times New Roman"/>
                <w:color w:val="auto"/>
                <w:kern w:val="2"/>
                <w:sz w:val="24"/>
                <w:highlight w:val="none"/>
                <w:lang w:val="en-US" w:eastAsia="zh-CN" w:bidi="ar-SA"/>
              </w:rPr>
            </w:pPr>
            <w:r>
              <w:rPr>
                <w:rFonts w:hint="eastAsia"/>
                <w:color w:val="auto"/>
                <w:highlight w:val="none"/>
              </w:rPr>
              <w:t>样品</w:t>
            </w:r>
          </w:p>
        </w:tc>
        <w:tc>
          <w:tcPr>
            <w:tcW w:w="6451" w:type="dxa"/>
            <w:shd w:val="clear" w:color="auto" w:fill="auto"/>
            <w:vAlign w:val="top"/>
          </w:tcPr>
          <w:p w14:paraId="495C30FC">
            <w:pPr>
              <w:spacing w:before="180" w:line="400" w:lineRule="exact"/>
              <w:ind w:right="103"/>
              <w:rPr>
                <w:rFonts w:hint="eastAsia" w:ascii="宋体" w:hAnsi="宋体"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根据样品灯具</w:t>
            </w:r>
            <w:r>
              <w:rPr>
                <w:rFonts w:hint="eastAsia"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油漆、喷塑等工艺水平、安装紧固件、散热设计，出光点是否均匀及现场亮灯试验</w:t>
            </w:r>
            <w:r>
              <w:rPr>
                <w:rFonts w:hint="eastAsia" w:cs="Times New Roman"/>
                <w:color w:val="auto"/>
                <w:kern w:val="2"/>
                <w:sz w:val="24"/>
                <w:szCs w:val="24"/>
                <w:highlight w:val="none"/>
                <w:lang w:val="en-US" w:eastAsia="zh-CN" w:bidi="ar-SA"/>
              </w:rPr>
              <w:t>。</w:t>
            </w:r>
            <w:r>
              <w:rPr>
                <w:rFonts w:hint="eastAsia"/>
                <w:color w:val="auto"/>
                <w:sz w:val="24"/>
                <w:szCs w:val="24"/>
                <w:highlight w:val="none"/>
                <w:lang w:eastAsia="zh-CN"/>
              </w:rPr>
              <w:t>（</w:t>
            </w:r>
            <w:r>
              <w:rPr>
                <w:rFonts w:hint="eastAsia" w:ascii="Times New Roman" w:hAnsi="Times New Roman" w:cs="Times New Roman"/>
                <w:color w:val="auto"/>
                <w:sz w:val="24"/>
                <w:szCs w:val="24"/>
                <w:highlight w:val="none"/>
              </w:rPr>
              <w:t>打分范围</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3，2.8，2.6</w:t>
            </w:r>
            <w:r>
              <w:rPr>
                <w:rFonts w:hint="eastAsia" w:ascii="宋体" w:hAnsi="宋体" w:eastAsia="宋体" w:cs="宋体"/>
                <w:b w:val="0"/>
                <w:bCs/>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w:t>
            </w:r>
          </w:p>
          <w:p w14:paraId="4C571777">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宋体"/>
                <w:color w:val="auto"/>
                <w:sz w:val="24"/>
                <w:szCs w:val="24"/>
                <w:highlight w:val="none"/>
              </w:rPr>
              <w:t>根据提供的样品</w:t>
            </w:r>
            <w:r>
              <w:rPr>
                <w:rFonts w:hint="eastAsia" w:ascii="宋体" w:hAnsi="宋体" w:cs="宋体"/>
                <w:color w:val="auto"/>
                <w:sz w:val="24"/>
                <w:szCs w:val="24"/>
                <w:highlight w:val="none"/>
                <w:lang w:val="en-US" w:eastAsia="zh-CN"/>
              </w:rPr>
              <w:t>灯杆外观</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壁厚、</w:t>
            </w:r>
            <w:r>
              <w:rPr>
                <w:rFonts w:hint="eastAsia" w:ascii="宋体" w:hAnsi="宋体" w:eastAsia="宋体" w:cs="宋体"/>
                <w:color w:val="auto"/>
                <w:sz w:val="24"/>
                <w:szCs w:val="24"/>
                <w:highlight w:val="none"/>
              </w:rPr>
              <w:t>制造工艺等</w:t>
            </w:r>
            <w:r>
              <w:rPr>
                <w:rFonts w:hint="eastAsia" w:ascii="宋体" w:hAnsi="宋体" w:cs="宋体"/>
                <w:color w:val="auto"/>
                <w:sz w:val="24"/>
                <w:szCs w:val="24"/>
                <w:highlight w:val="none"/>
                <w:lang w:val="en-US" w:eastAsia="zh-CN"/>
              </w:rPr>
              <w:t>进行打分</w:t>
            </w:r>
            <w:r>
              <w:rPr>
                <w:rFonts w:hint="eastAsia" w:ascii="宋体" w:hAnsi="宋体" w:eastAsia="宋体" w:cs="宋体"/>
                <w:color w:val="auto"/>
                <w:sz w:val="24"/>
                <w:szCs w:val="24"/>
                <w:highlight w:val="none"/>
              </w:rPr>
              <w:t>。</w:t>
            </w:r>
            <w:r>
              <w:rPr>
                <w:rFonts w:hint="eastAsia"/>
                <w:color w:val="auto"/>
                <w:sz w:val="24"/>
                <w:szCs w:val="24"/>
                <w:highlight w:val="none"/>
                <w:lang w:eastAsia="zh-CN"/>
              </w:rPr>
              <w:t>（</w:t>
            </w:r>
            <w:r>
              <w:rPr>
                <w:rFonts w:hint="eastAsia" w:ascii="Times New Roman" w:hAnsi="Times New Roman" w:cs="Times New Roman"/>
                <w:color w:val="auto"/>
                <w:sz w:val="24"/>
                <w:szCs w:val="24"/>
                <w:highlight w:val="none"/>
              </w:rPr>
              <w:t>打分范围</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.8，</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.6</w:t>
            </w:r>
            <w:r>
              <w:rPr>
                <w:rFonts w:hint="eastAsia" w:ascii="宋体" w:hAnsi="宋体" w:eastAsia="宋体" w:cs="宋体"/>
                <w:b w:val="0"/>
                <w:bCs/>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w:t>
            </w:r>
          </w:p>
        </w:tc>
        <w:tc>
          <w:tcPr>
            <w:tcW w:w="1125" w:type="dxa"/>
            <w:shd w:val="clear" w:color="auto" w:fill="auto"/>
            <w:vAlign w:val="center"/>
          </w:tcPr>
          <w:p w14:paraId="51150C2A">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宋体" w:cs="Times New Roman"/>
                <w:color w:val="auto"/>
                <w:kern w:val="2"/>
                <w:sz w:val="24"/>
                <w:highlight w:val="none"/>
                <w:lang w:val="en-US" w:eastAsia="zh-CN" w:bidi="ar-SA"/>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r>
      <w:tr w14:paraId="5DD0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97" w:type="dxa"/>
            <w:vAlign w:val="center"/>
          </w:tcPr>
          <w:p w14:paraId="4DD18C65">
            <w:pPr>
              <w:keepNext w:val="0"/>
              <w:keepLines w:val="0"/>
              <w:pageBreakBefore w:val="0"/>
              <w:kinsoku/>
              <w:wordWrap/>
              <w:overflowPunct/>
              <w:topLinePunct w:val="0"/>
              <w:bidi w:val="0"/>
              <w:adjustRightInd/>
              <w:snapToGrid/>
              <w:spacing w:line="400" w:lineRule="exact"/>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1410" w:type="dxa"/>
            <w:shd w:val="clear" w:color="auto" w:fill="auto"/>
            <w:vAlign w:val="center"/>
          </w:tcPr>
          <w:p w14:paraId="0586709E">
            <w:pPr>
              <w:keepNext w:val="0"/>
              <w:keepLines w:val="0"/>
              <w:pageBreakBefore w:val="0"/>
              <w:kinsoku/>
              <w:wordWrap/>
              <w:overflowPunct/>
              <w:topLinePunct w:val="0"/>
              <w:bidi w:val="0"/>
              <w:adjustRightInd/>
              <w:snapToGrid/>
              <w:spacing w:line="400" w:lineRule="exact"/>
              <w:jc w:val="center"/>
              <w:textAlignment w:val="auto"/>
              <w:rPr>
                <w:rFonts w:hint="eastAsia"/>
                <w:color w:val="auto"/>
                <w:sz w:val="24"/>
                <w:szCs w:val="24"/>
                <w:highlight w:val="none"/>
              </w:rPr>
            </w:pPr>
            <w:r>
              <w:rPr>
                <w:rFonts w:hint="eastAsia"/>
                <w:color w:val="auto"/>
                <w:sz w:val="24"/>
                <w:szCs w:val="24"/>
                <w:highlight w:val="none"/>
              </w:rPr>
              <w:t>质量、安全管理保障</w:t>
            </w:r>
          </w:p>
        </w:tc>
        <w:tc>
          <w:tcPr>
            <w:tcW w:w="6451" w:type="dxa"/>
            <w:shd w:val="clear" w:color="auto" w:fill="auto"/>
            <w:vAlign w:val="top"/>
          </w:tcPr>
          <w:p w14:paraId="2926D1A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eastAsia="宋体"/>
                <w:color w:val="auto"/>
                <w:sz w:val="24"/>
                <w:szCs w:val="24"/>
                <w:highlight w:val="none"/>
                <w:lang w:eastAsia="zh-CN"/>
              </w:rPr>
            </w:pPr>
            <w:r>
              <w:rPr>
                <w:rFonts w:hint="eastAsia"/>
                <w:color w:val="auto"/>
                <w:sz w:val="24"/>
                <w:szCs w:val="24"/>
                <w:highlight w:val="none"/>
              </w:rPr>
              <w:t>根据供应商提供的质量、安全</w:t>
            </w:r>
            <w:r>
              <w:rPr>
                <w:rFonts w:hint="eastAsia"/>
                <w:color w:val="auto"/>
                <w:sz w:val="24"/>
                <w:szCs w:val="24"/>
                <w:highlight w:val="none"/>
                <w:lang w:val="en-US" w:eastAsia="zh-CN"/>
              </w:rPr>
              <w:t>保障措施</w:t>
            </w:r>
            <w:r>
              <w:rPr>
                <w:rFonts w:hint="eastAsia"/>
                <w:color w:val="auto"/>
                <w:sz w:val="24"/>
                <w:szCs w:val="24"/>
                <w:highlight w:val="none"/>
              </w:rPr>
              <w:t>、文明施工及环境保护管理体系与措施进行评分</w:t>
            </w:r>
            <w:r>
              <w:rPr>
                <w:rFonts w:hint="eastAsia"/>
                <w:color w:val="auto"/>
                <w:sz w:val="24"/>
                <w:szCs w:val="24"/>
                <w:highlight w:val="none"/>
                <w:lang w:eastAsia="zh-CN"/>
              </w:rPr>
              <w:t>。（</w:t>
            </w:r>
            <w:r>
              <w:rPr>
                <w:rFonts w:hint="eastAsia" w:ascii="Times New Roman" w:hAnsi="Times New Roman" w:cs="Times New Roman"/>
                <w:color w:val="auto"/>
                <w:sz w:val="24"/>
                <w:szCs w:val="24"/>
                <w:highlight w:val="none"/>
              </w:rPr>
              <w:t>打分范围</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.8，</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.6</w:t>
            </w:r>
            <w:r>
              <w:rPr>
                <w:rFonts w:hint="eastAsia" w:ascii="宋体" w:hAnsi="宋体" w:eastAsia="宋体" w:cs="宋体"/>
                <w:b w:val="0"/>
                <w:bCs/>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w:t>
            </w:r>
          </w:p>
        </w:tc>
        <w:tc>
          <w:tcPr>
            <w:tcW w:w="1125" w:type="dxa"/>
            <w:shd w:val="clear" w:color="auto" w:fill="auto"/>
            <w:vAlign w:val="center"/>
          </w:tcPr>
          <w:p w14:paraId="3187033C">
            <w:pPr>
              <w:keepNext w:val="0"/>
              <w:keepLines w:val="0"/>
              <w:pageBreakBefore w:val="0"/>
              <w:widowControl/>
              <w:kinsoku/>
              <w:wordWrap/>
              <w:overflowPunct/>
              <w:topLinePunct w:val="0"/>
              <w:bidi w:val="0"/>
              <w:adjustRightInd/>
              <w:snapToGrid/>
              <w:spacing w:line="400" w:lineRule="exact"/>
              <w:jc w:val="center"/>
              <w:textAlignment w:val="auto"/>
              <w:rPr>
                <w:rFonts w:hint="default" w:cs="Times New Roman"/>
                <w:color w:val="auto"/>
                <w:kern w:val="2"/>
                <w:sz w:val="24"/>
                <w:highlight w:val="none"/>
                <w:lang w:val="en-US" w:eastAsia="zh-CN" w:bidi="ar-SA"/>
              </w:rPr>
            </w:pPr>
            <w:r>
              <w:rPr>
                <w:rFonts w:hint="eastAsia" w:cs="Times New Roman"/>
                <w:color w:val="auto"/>
                <w:kern w:val="2"/>
                <w:sz w:val="24"/>
                <w:highlight w:val="none"/>
                <w:lang w:val="en-US" w:eastAsia="zh-CN" w:bidi="ar-SA"/>
              </w:rPr>
              <w:t>0-3分</w:t>
            </w:r>
          </w:p>
        </w:tc>
      </w:tr>
      <w:tr w14:paraId="540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97" w:type="dxa"/>
            <w:vAlign w:val="center"/>
          </w:tcPr>
          <w:p w14:paraId="019889DC">
            <w:pPr>
              <w:keepNext w:val="0"/>
              <w:keepLines w:val="0"/>
              <w:pageBreakBefore w:val="0"/>
              <w:kinsoku/>
              <w:wordWrap/>
              <w:overflowPunct/>
              <w:topLinePunct w:val="0"/>
              <w:bidi w:val="0"/>
              <w:adjustRightInd/>
              <w:snapToGrid/>
              <w:spacing w:line="400" w:lineRule="exact"/>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410" w:type="dxa"/>
            <w:shd w:val="clear" w:color="auto" w:fill="auto"/>
            <w:vAlign w:val="center"/>
          </w:tcPr>
          <w:p w14:paraId="40E53D07">
            <w:pPr>
              <w:keepNext w:val="0"/>
              <w:keepLines w:val="0"/>
              <w:pageBreakBefore w:val="0"/>
              <w:kinsoku/>
              <w:wordWrap/>
              <w:overflowPunct/>
              <w:topLinePunct w:val="0"/>
              <w:bidi w:val="0"/>
              <w:adjustRightInd/>
              <w:snapToGrid/>
              <w:spacing w:line="400" w:lineRule="exact"/>
              <w:jc w:val="center"/>
              <w:textAlignment w:val="auto"/>
              <w:rPr>
                <w:rFonts w:hint="eastAsia"/>
                <w:color w:val="auto"/>
                <w:sz w:val="24"/>
                <w:szCs w:val="24"/>
                <w:highlight w:val="none"/>
              </w:rPr>
            </w:pPr>
            <w:r>
              <w:rPr>
                <w:rFonts w:hint="eastAsia"/>
                <w:color w:val="auto"/>
                <w:sz w:val="24"/>
                <w:szCs w:val="24"/>
                <w:highlight w:val="none"/>
              </w:rPr>
              <w:t>工期进度保障</w:t>
            </w:r>
          </w:p>
        </w:tc>
        <w:tc>
          <w:tcPr>
            <w:tcW w:w="6451" w:type="dxa"/>
            <w:shd w:val="clear" w:color="auto" w:fill="auto"/>
            <w:vAlign w:val="top"/>
          </w:tcPr>
          <w:p w14:paraId="30FA9065">
            <w:pPr>
              <w:keepNext w:val="0"/>
              <w:keepLines w:val="0"/>
              <w:pageBreakBefore w:val="0"/>
              <w:numPr>
                <w:ilvl w:val="0"/>
                <w:numId w:val="0"/>
              </w:numPr>
              <w:kinsoku/>
              <w:wordWrap/>
              <w:overflowPunct/>
              <w:topLinePunct w:val="0"/>
              <w:bidi w:val="0"/>
              <w:adjustRightInd/>
              <w:snapToGrid/>
              <w:spacing w:line="400" w:lineRule="exact"/>
              <w:ind w:leftChars="0"/>
              <w:jc w:val="left"/>
              <w:textAlignment w:val="auto"/>
              <w:rPr>
                <w:rFonts w:hint="eastAsia"/>
                <w:color w:val="auto"/>
                <w:sz w:val="24"/>
                <w:szCs w:val="24"/>
                <w:highlight w:val="none"/>
              </w:rPr>
            </w:pPr>
            <w:r>
              <w:rPr>
                <w:rFonts w:hint="eastAsia"/>
                <w:color w:val="auto"/>
                <w:sz w:val="24"/>
                <w:szCs w:val="24"/>
                <w:highlight w:val="none"/>
              </w:rPr>
              <w:t>根据</w:t>
            </w:r>
            <w:r>
              <w:rPr>
                <w:rFonts w:hint="eastAsia"/>
                <w:color w:val="auto"/>
                <w:sz w:val="24"/>
                <w:szCs w:val="24"/>
                <w:highlight w:val="none"/>
                <w:lang w:val="en-US" w:eastAsia="zh-CN"/>
              </w:rPr>
              <w:t>投标人</w:t>
            </w:r>
            <w:r>
              <w:rPr>
                <w:rFonts w:hint="eastAsia"/>
                <w:color w:val="auto"/>
                <w:sz w:val="24"/>
                <w:szCs w:val="24"/>
                <w:highlight w:val="none"/>
              </w:rPr>
              <w:t>提供的施工进度计划及保证措施进行评分。</w:t>
            </w:r>
            <w:r>
              <w:rPr>
                <w:rFonts w:hint="eastAsia"/>
                <w:color w:val="auto"/>
                <w:sz w:val="24"/>
                <w:szCs w:val="24"/>
                <w:highlight w:val="none"/>
                <w:lang w:eastAsia="zh-CN"/>
              </w:rPr>
              <w:t>（</w:t>
            </w:r>
            <w:r>
              <w:rPr>
                <w:rFonts w:hint="eastAsia" w:ascii="Times New Roman" w:hAnsi="Times New Roman" w:cs="Times New Roman"/>
                <w:color w:val="auto"/>
                <w:sz w:val="24"/>
                <w:szCs w:val="24"/>
                <w:highlight w:val="none"/>
              </w:rPr>
              <w:t>打分范围</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.8，</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.6</w:t>
            </w:r>
            <w:r>
              <w:rPr>
                <w:rFonts w:hint="eastAsia" w:ascii="宋体" w:hAnsi="宋体" w:eastAsia="宋体" w:cs="宋体"/>
                <w:b w:val="0"/>
                <w:bCs/>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w:t>
            </w:r>
          </w:p>
        </w:tc>
        <w:tc>
          <w:tcPr>
            <w:tcW w:w="1125" w:type="dxa"/>
            <w:shd w:val="clear" w:color="auto" w:fill="auto"/>
            <w:vAlign w:val="center"/>
          </w:tcPr>
          <w:p w14:paraId="6C790832">
            <w:pPr>
              <w:keepNext w:val="0"/>
              <w:keepLines w:val="0"/>
              <w:pageBreakBefore w:val="0"/>
              <w:widowControl/>
              <w:kinsoku/>
              <w:wordWrap/>
              <w:overflowPunct/>
              <w:topLinePunct w:val="0"/>
              <w:bidi w:val="0"/>
              <w:adjustRightInd/>
              <w:snapToGrid/>
              <w:spacing w:line="400" w:lineRule="exact"/>
              <w:jc w:val="center"/>
              <w:textAlignment w:val="auto"/>
              <w:rPr>
                <w:rFonts w:hint="default" w:cs="Times New Roman"/>
                <w:color w:val="auto"/>
                <w:kern w:val="2"/>
                <w:sz w:val="24"/>
                <w:highlight w:val="none"/>
                <w:lang w:val="en-US" w:eastAsia="zh-CN" w:bidi="ar-SA"/>
              </w:rPr>
            </w:pPr>
            <w:r>
              <w:rPr>
                <w:rFonts w:hint="eastAsia" w:cs="Times New Roman"/>
                <w:color w:val="auto"/>
                <w:kern w:val="2"/>
                <w:sz w:val="24"/>
                <w:highlight w:val="none"/>
                <w:lang w:val="en-US" w:eastAsia="zh-CN" w:bidi="ar-SA"/>
              </w:rPr>
              <w:t>0-3分</w:t>
            </w:r>
          </w:p>
        </w:tc>
      </w:tr>
      <w:tr w14:paraId="50E1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219AD00F">
            <w:pPr>
              <w:keepNext w:val="0"/>
              <w:keepLines w:val="0"/>
              <w:pageBreakBefore w:val="0"/>
              <w:kinsoku/>
              <w:wordWrap/>
              <w:overflowPunct/>
              <w:topLinePunct w:val="0"/>
              <w:bidi w:val="0"/>
              <w:adjustRightInd/>
              <w:snapToGrid/>
              <w:spacing w:line="4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1410" w:type="dxa"/>
            <w:shd w:val="clear" w:color="auto" w:fill="auto"/>
            <w:vAlign w:val="center"/>
          </w:tcPr>
          <w:p w14:paraId="2B5F6312">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宋体" w:cs="Times New Roman"/>
                <w:color w:val="auto"/>
                <w:kern w:val="2"/>
                <w:sz w:val="24"/>
                <w:highlight w:val="none"/>
                <w:lang w:val="en-US" w:eastAsia="zh-CN" w:bidi="ar-SA"/>
              </w:rPr>
            </w:pPr>
            <w:r>
              <w:rPr>
                <w:rFonts w:hint="eastAsia"/>
                <w:color w:val="auto"/>
                <w:sz w:val="24"/>
                <w:szCs w:val="24"/>
                <w:highlight w:val="none"/>
              </w:rPr>
              <w:t>应急售后保障</w:t>
            </w:r>
          </w:p>
        </w:tc>
        <w:tc>
          <w:tcPr>
            <w:tcW w:w="6451" w:type="dxa"/>
            <w:shd w:val="clear" w:color="auto" w:fill="auto"/>
            <w:vAlign w:val="top"/>
          </w:tcPr>
          <w:p w14:paraId="09F35064">
            <w:pPr>
              <w:keepNext w:val="0"/>
              <w:keepLines w:val="0"/>
              <w:pageBreakBefore w:val="0"/>
              <w:numPr>
                <w:ilvl w:val="0"/>
                <w:numId w:val="0"/>
              </w:numPr>
              <w:kinsoku/>
              <w:wordWrap/>
              <w:overflowPunct/>
              <w:topLinePunct w:val="0"/>
              <w:bidi w:val="0"/>
              <w:adjustRightInd/>
              <w:snapToGrid/>
              <w:spacing w:line="400" w:lineRule="exact"/>
              <w:ind w:leftChars="0"/>
              <w:jc w:val="left"/>
              <w:textAlignment w:val="auto"/>
              <w:rPr>
                <w:rFonts w:hint="eastAsia" w:ascii="Times New Roman" w:hAnsi="Times New Roman" w:cs="Times New Roman"/>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根据紧急情况的处理措施、预案以及抵抗风险的措施</w:t>
            </w:r>
            <w:r>
              <w:rPr>
                <w:rFonts w:hint="eastAsia"/>
                <w:color w:val="auto"/>
                <w:sz w:val="24"/>
                <w:szCs w:val="24"/>
                <w:highlight w:val="none"/>
                <w:lang w:eastAsia="zh-CN"/>
              </w:rPr>
              <w:t>，</w:t>
            </w:r>
            <w:r>
              <w:rPr>
                <w:rFonts w:hint="eastAsia"/>
                <w:color w:val="auto"/>
                <w:sz w:val="24"/>
                <w:szCs w:val="24"/>
                <w:highlight w:val="none"/>
              </w:rPr>
              <w:t>投标人的售后服务网点、办事处、分公司情况</w:t>
            </w:r>
            <w:r>
              <w:rPr>
                <w:rFonts w:hint="eastAsia"/>
                <w:color w:val="auto"/>
                <w:sz w:val="24"/>
                <w:szCs w:val="24"/>
                <w:highlight w:val="none"/>
                <w:lang w:val="en-US" w:eastAsia="zh-CN"/>
              </w:rPr>
              <w:t>进行打分。</w:t>
            </w:r>
            <w:r>
              <w:rPr>
                <w:rFonts w:hint="eastAsia" w:ascii="宋体" w:hAnsi="宋体" w:eastAsia="宋体" w:cs="宋体"/>
                <w:color w:val="auto"/>
                <w:kern w:val="2"/>
                <w:sz w:val="24"/>
                <w:szCs w:val="24"/>
                <w:highlight w:val="none"/>
                <w:lang w:val="en-US" w:eastAsia="zh-CN" w:bidi="ar-SA"/>
              </w:rPr>
              <w:t>（打分范围：2</w:t>
            </w:r>
            <w:r>
              <w:rPr>
                <w:rFonts w:hint="eastAsia" w:ascii="宋体" w:hAnsi="宋体" w:eastAsia="宋体" w:cs="宋体"/>
                <w:b w:val="0"/>
                <w:bCs/>
                <w:color w:val="auto"/>
                <w:kern w:val="2"/>
                <w:sz w:val="24"/>
                <w:szCs w:val="24"/>
                <w:highlight w:val="none"/>
                <w:lang w:val="en-US" w:eastAsia="zh-CN" w:bidi="ar-SA"/>
              </w:rPr>
              <w:t>，1.8，1.6，...，0</w:t>
            </w:r>
            <w:r>
              <w:rPr>
                <w:rFonts w:hint="eastAsia" w:ascii="宋体" w:hAnsi="宋体" w:eastAsia="宋体" w:cs="宋体"/>
                <w:color w:val="auto"/>
                <w:kern w:val="2"/>
                <w:sz w:val="24"/>
                <w:szCs w:val="24"/>
                <w:highlight w:val="none"/>
                <w:lang w:val="en-US" w:eastAsia="zh-CN" w:bidi="ar-SA"/>
              </w:rPr>
              <w:t>）</w:t>
            </w:r>
          </w:p>
          <w:p w14:paraId="759D1B96">
            <w:pPr>
              <w:keepNext w:val="0"/>
              <w:keepLines w:val="0"/>
              <w:pageBreakBefore w:val="0"/>
              <w:numPr>
                <w:ilvl w:val="0"/>
                <w:numId w:val="0"/>
              </w:numPr>
              <w:kinsoku/>
              <w:wordWrap/>
              <w:overflowPunct/>
              <w:topLinePunct w:val="0"/>
              <w:bidi w:val="0"/>
              <w:adjustRightInd/>
              <w:snapToGrid/>
              <w:spacing w:line="400" w:lineRule="exact"/>
              <w:ind w:leftChars="0"/>
              <w:jc w:val="left"/>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投标人承诺在接到采购人维修通知后，</w:t>
            </w:r>
            <w:r>
              <w:rPr>
                <w:rFonts w:hint="eastAsia" w:ascii="Times New Roman" w:hAnsi="Times New Roman" w:cs="Times New Roman"/>
                <w:color w:val="auto"/>
                <w:sz w:val="24"/>
                <w:szCs w:val="24"/>
                <w:highlight w:val="none"/>
                <w:lang w:val="en-US" w:eastAsia="zh-CN"/>
              </w:rPr>
              <w:t>半</w:t>
            </w:r>
            <w:r>
              <w:rPr>
                <w:rFonts w:hint="eastAsia" w:ascii="Times New Roman" w:hAnsi="Times New Roman" w:cs="Times New Roman"/>
                <w:color w:val="auto"/>
                <w:sz w:val="24"/>
                <w:szCs w:val="24"/>
                <w:highlight w:val="none"/>
              </w:rPr>
              <w:t>小时内到现场响应的得</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分，</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小时内到现场响应的得1分，</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小时以上的不得分，本项最高得</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分。</w:t>
            </w:r>
            <w:r>
              <w:rPr>
                <w:rFonts w:hint="eastAsia" w:ascii="Times New Roman" w:hAnsi="Times New Roman" w:cs="Times New Roman"/>
                <w:color w:val="auto"/>
                <w:sz w:val="24"/>
                <w:szCs w:val="24"/>
                <w:highlight w:val="none"/>
                <w:lang w:val="en-US" w:eastAsia="zh-CN"/>
              </w:rPr>
              <w:t>需</w:t>
            </w:r>
            <w:r>
              <w:rPr>
                <w:rFonts w:hint="eastAsia" w:ascii="Times New Roman" w:hAnsi="Times New Roman" w:cs="Times New Roman"/>
                <w:color w:val="auto"/>
                <w:sz w:val="24"/>
                <w:szCs w:val="24"/>
                <w:highlight w:val="none"/>
              </w:rPr>
              <w:t>提供</w:t>
            </w:r>
            <w:r>
              <w:rPr>
                <w:rFonts w:hint="eastAsia" w:ascii="Times New Roman" w:hAnsi="Times New Roman" w:cs="Times New Roman"/>
                <w:color w:val="auto"/>
                <w:sz w:val="24"/>
                <w:szCs w:val="24"/>
                <w:highlight w:val="none"/>
                <w:lang w:val="en-US" w:eastAsia="zh-CN"/>
              </w:rPr>
              <w:t>相关证明材料</w:t>
            </w:r>
            <w:r>
              <w:rPr>
                <w:rFonts w:hint="eastAsia" w:ascii="Times New Roman" w:hAnsi="Times New Roman" w:cs="Times New Roman"/>
                <w:color w:val="auto"/>
                <w:sz w:val="24"/>
                <w:szCs w:val="24"/>
                <w:highlight w:val="none"/>
              </w:rPr>
              <w:t>。</w:t>
            </w:r>
          </w:p>
        </w:tc>
        <w:tc>
          <w:tcPr>
            <w:tcW w:w="1125" w:type="dxa"/>
            <w:shd w:val="clear" w:color="auto" w:fill="auto"/>
            <w:vAlign w:val="center"/>
          </w:tcPr>
          <w:p w14:paraId="53303F4A">
            <w:pPr>
              <w:keepNext w:val="0"/>
              <w:keepLines w:val="0"/>
              <w:pageBreakBefore w:val="0"/>
              <w:widowControl/>
              <w:kinsoku/>
              <w:wordWrap/>
              <w:overflowPunct/>
              <w:topLinePunct w:val="0"/>
              <w:bidi w:val="0"/>
              <w:adjustRightInd/>
              <w:snapToGrid/>
              <w:spacing w:line="400" w:lineRule="exact"/>
              <w:jc w:val="center"/>
              <w:textAlignment w:val="auto"/>
              <w:rPr>
                <w:rFonts w:hint="default" w:ascii="Times New Roman" w:hAnsi="Times New Roman" w:eastAsia="宋体" w:cs="Times New Roman"/>
                <w:color w:val="auto"/>
                <w:kern w:val="2"/>
                <w:sz w:val="24"/>
                <w:highlight w:val="none"/>
                <w:lang w:val="en-US" w:eastAsia="zh-CN" w:bidi="ar-SA"/>
              </w:rPr>
            </w:pPr>
            <w:r>
              <w:rPr>
                <w:rFonts w:hint="eastAsia" w:cs="Times New Roman"/>
                <w:color w:val="auto"/>
                <w:kern w:val="2"/>
                <w:sz w:val="24"/>
                <w:highlight w:val="none"/>
                <w:lang w:val="en-US" w:eastAsia="zh-CN" w:bidi="ar-SA"/>
              </w:rPr>
              <w:t>0-4分</w:t>
            </w:r>
          </w:p>
        </w:tc>
      </w:tr>
      <w:tr w14:paraId="3301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97" w:type="dxa"/>
            <w:vAlign w:val="center"/>
          </w:tcPr>
          <w:p w14:paraId="57509C9D">
            <w:pPr>
              <w:keepNext w:val="0"/>
              <w:keepLines w:val="0"/>
              <w:pageBreakBefore w:val="0"/>
              <w:widowControl/>
              <w:kinsoku/>
              <w:wordWrap/>
              <w:overflowPunct/>
              <w:topLinePunct w:val="0"/>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1410" w:type="dxa"/>
            <w:shd w:val="clear" w:color="auto" w:fill="auto"/>
            <w:vAlign w:val="center"/>
          </w:tcPr>
          <w:p w14:paraId="57EE64C5">
            <w:pPr>
              <w:pStyle w:val="3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宋体" w:hAnsi="宋体" w:eastAsia="宋体" w:cs="宋体"/>
                <w:color w:val="auto"/>
                <w:spacing w:val="-4"/>
                <w:kern w:val="2"/>
                <w:sz w:val="24"/>
                <w:szCs w:val="24"/>
                <w:highlight w:val="none"/>
                <w:lang w:val="en-US" w:eastAsia="zh-CN" w:bidi="ar-SA"/>
              </w:rPr>
            </w:pPr>
            <w:r>
              <w:rPr>
                <w:rFonts w:hint="eastAsia" w:ascii="宋体" w:hAnsi="宋体" w:cs="宋体"/>
                <w:color w:val="auto"/>
                <w:spacing w:val="-4"/>
                <w:kern w:val="2"/>
                <w:sz w:val="24"/>
                <w:szCs w:val="24"/>
                <w:highlight w:val="none"/>
                <w:lang w:val="en-US" w:eastAsia="zh-CN" w:bidi="ar-SA"/>
              </w:rPr>
              <w:t>质保期</w:t>
            </w:r>
          </w:p>
        </w:tc>
        <w:tc>
          <w:tcPr>
            <w:tcW w:w="6451" w:type="dxa"/>
            <w:shd w:val="clear" w:color="auto" w:fill="auto"/>
            <w:vAlign w:val="center"/>
          </w:tcPr>
          <w:p w14:paraId="7E500E84">
            <w:pPr>
              <w:pStyle w:val="30"/>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rPr>
                <w:rFonts w:hint="default" w:ascii="宋体" w:hAnsi="宋体" w:eastAsia="宋体" w:cs="宋体"/>
                <w:color w:val="auto"/>
                <w:spacing w:val="-4"/>
                <w:kern w:val="2"/>
                <w:sz w:val="24"/>
                <w:szCs w:val="24"/>
                <w:highlight w:val="none"/>
                <w:lang w:eastAsia="zh-CN" w:bidi="ar-SA"/>
                <w:woUserID w:val="1"/>
              </w:rPr>
            </w:pPr>
            <w:r>
              <w:rPr>
                <w:rFonts w:hint="eastAsia" w:ascii="宋体" w:hAnsi="宋体" w:cs="宋体"/>
                <w:color w:val="auto"/>
                <w:spacing w:val="-4"/>
                <w:sz w:val="24"/>
                <w:szCs w:val="24"/>
                <w:highlight w:val="none"/>
              </w:rPr>
              <w:t>本项目基本质保期2年，承诺每增加1年质保期，加1分，本项最高得分</w:t>
            </w:r>
            <w:r>
              <w:rPr>
                <w:rFonts w:hint="eastAsia" w:hAnsi="宋体" w:cs="宋体"/>
                <w:color w:val="auto"/>
                <w:spacing w:val="-4"/>
                <w:sz w:val="24"/>
                <w:szCs w:val="24"/>
                <w:highlight w:val="none"/>
                <w:lang w:val="en-US" w:eastAsia="zh-CN"/>
              </w:rPr>
              <w:t>3</w:t>
            </w:r>
            <w:r>
              <w:rPr>
                <w:rFonts w:hint="eastAsia" w:ascii="宋体" w:hAnsi="宋体" w:cs="宋体"/>
                <w:color w:val="auto"/>
                <w:spacing w:val="-4"/>
                <w:sz w:val="24"/>
                <w:szCs w:val="24"/>
                <w:highlight w:val="none"/>
              </w:rPr>
              <w:t>分。</w:t>
            </w:r>
            <w:r>
              <w:rPr>
                <w:rFonts w:hint="default" w:hAnsi="宋体" w:cs="宋体"/>
                <w:color w:val="auto"/>
                <w:spacing w:val="-4"/>
                <w:sz w:val="24"/>
                <w:szCs w:val="24"/>
                <w:highlight w:val="none"/>
                <w:woUserID w:val="1"/>
              </w:rPr>
              <w:t xml:space="preserve"> </w:t>
            </w:r>
          </w:p>
        </w:tc>
        <w:tc>
          <w:tcPr>
            <w:tcW w:w="1125" w:type="dxa"/>
            <w:shd w:val="clear" w:color="auto" w:fill="auto"/>
            <w:vAlign w:val="center"/>
          </w:tcPr>
          <w:p w14:paraId="674AAA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0-</w:t>
            </w:r>
            <w:r>
              <w:rPr>
                <w:rFonts w:hint="eastAsia"/>
                <w:color w:val="auto"/>
                <w:sz w:val="24"/>
                <w:szCs w:val="24"/>
                <w:highlight w:val="none"/>
                <w:lang w:val="en-US" w:eastAsia="zh-CN"/>
              </w:rPr>
              <w:t>3</w:t>
            </w:r>
            <w:r>
              <w:rPr>
                <w:rFonts w:hint="eastAsia"/>
                <w:color w:val="auto"/>
                <w:sz w:val="24"/>
                <w:szCs w:val="24"/>
                <w:highlight w:val="none"/>
              </w:rPr>
              <w:t>分</w:t>
            </w:r>
          </w:p>
        </w:tc>
      </w:tr>
    </w:tbl>
    <w:p w14:paraId="2B149C10">
      <w:pPr>
        <w:keepNext w:val="0"/>
        <w:keepLines w:val="0"/>
        <w:pageBreakBefore w:val="0"/>
        <w:widowControl w:val="0"/>
        <w:kinsoku/>
        <w:wordWrap/>
        <w:overflowPunct/>
        <w:topLinePunct w:val="0"/>
        <w:autoSpaceDE/>
        <w:autoSpaceDN/>
        <w:bidi w:val="0"/>
        <w:adjustRightInd/>
        <w:snapToGrid/>
        <w:spacing w:before="157" w:beforeLines="50" w:line="440" w:lineRule="exact"/>
        <w:jc w:val="left"/>
        <w:textAlignment w:val="auto"/>
        <w:rPr>
          <w:rFonts w:hint="default" w:ascii="宋体" w:hAnsi="宋体" w:cs="宋体"/>
          <w:b/>
          <w:bCs/>
          <w:iCs/>
          <w:color w:val="auto"/>
          <w:sz w:val="24"/>
          <w:highlight w:val="none"/>
          <w:woUserID w:val="1"/>
        </w:rPr>
      </w:pPr>
      <w:r>
        <w:rPr>
          <w:rFonts w:hint="eastAsia" w:ascii="宋体" w:hAnsi="宋体" w:cs="宋体"/>
          <w:b w:val="0"/>
          <w:bCs w:val="0"/>
          <w:iCs w:val="0"/>
          <w:color w:val="auto"/>
          <w:spacing w:val="-4"/>
          <w:sz w:val="24"/>
          <w:szCs w:val="24"/>
          <w:highlight w:val="none"/>
          <w:woUserID w:val="0"/>
        </w:rPr>
        <w:t>备注：</w:t>
      </w:r>
      <w:r>
        <w:rPr>
          <w:rFonts w:hint="eastAsia" w:ascii="宋体" w:hAnsi="宋体" w:eastAsia="宋体" w:cs="宋体"/>
          <w:b w:val="0"/>
          <w:bCs w:val="0"/>
          <w:color w:val="auto"/>
          <w:kern w:val="2"/>
          <w:sz w:val="24"/>
          <w:szCs w:val="24"/>
          <w:highlight w:val="none"/>
          <w:lang w:val="en-US" w:eastAsia="zh-CN" w:bidi="ar-SA"/>
          <w:woUserID w:val="0"/>
        </w:rPr>
        <w:t>★商务技术分低于30分的（商务技术分的60%），视为采购人</w:t>
      </w:r>
      <w:r>
        <w:rPr>
          <w:rFonts w:hint="eastAsia" w:ascii="宋体" w:hAnsi="宋体" w:cs="宋体"/>
          <w:b w:val="0"/>
          <w:bCs w:val="0"/>
          <w:color w:val="auto"/>
          <w:kern w:val="2"/>
          <w:sz w:val="24"/>
          <w:szCs w:val="24"/>
          <w:highlight w:val="none"/>
          <w:lang w:val="en-US" w:eastAsia="zh-CN" w:bidi="ar-SA"/>
          <w:woUserID w:val="0"/>
        </w:rPr>
        <w:t>无实质性响应，作无效标处理</w:t>
      </w:r>
      <w:r>
        <w:rPr>
          <w:rFonts w:hint="eastAsia" w:ascii="宋体" w:hAnsi="宋体" w:eastAsia="宋体" w:cs="宋体"/>
          <w:b w:val="0"/>
          <w:bCs w:val="0"/>
          <w:color w:val="auto"/>
          <w:kern w:val="2"/>
          <w:sz w:val="24"/>
          <w:szCs w:val="24"/>
          <w:highlight w:val="none"/>
          <w:lang w:val="en-US" w:eastAsia="zh-CN" w:bidi="ar-SA"/>
          <w:woUserID w:val="0"/>
        </w:rPr>
        <w:t>。</w:t>
      </w:r>
    </w:p>
    <w:p w14:paraId="3B35AD4E">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ascii="宋体" w:hAnsi="宋体" w:eastAsia="宋体" w:cs="宋体"/>
          <w:b/>
          <w:bCs/>
          <w:iCs/>
          <w:color w:val="auto"/>
          <w:sz w:val="24"/>
          <w:highlight w:val="none"/>
        </w:rPr>
      </w:pPr>
      <w:r>
        <w:rPr>
          <w:rFonts w:hint="eastAsia" w:ascii="宋体" w:hAnsi="宋体" w:eastAsia="宋体" w:cs="宋体"/>
          <w:b/>
          <w:bCs/>
          <w:iCs/>
          <w:color w:val="auto"/>
          <w:sz w:val="24"/>
          <w:highlight w:val="none"/>
        </w:rPr>
        <w:t>2.2价格分（</w:t>
      </w:r>
      <w:r>
        <w:rPr>
          <w:rFonts w:hint="eastAsia" w:ascii="宋体" w:hAnsi="宋体" w:eastAsia="宋体" w:cs="宋体"/>
          <w:b/>
          <w:bCs/>
          <w:iCs/>
          <w:color w:val="auto"/>
          <w:sz w:val="24"/>
          <w:highlight w:val="none"/>
          <w:lang w:val="en-US" w:eastAsia="zh-CN"/>
        </w:rPr>
        <w:t>50</w:t>
      </w:r>
      <w:r>
        <w:rPr>
          <w:rFonts w:hint="eastAsia" w:ascii="宋体" w:hAnsi="宋体" w:eastAsia="宋体" w:cs="宋体"/>
          <w:b/>
          <w:bCs/>
          <w:iCs/>
          <w:color w:val="auto"/>
          <w:sz w:val="24"/>
          <w:highlight w:val="none"/>
        </w:rPr>
        <w:t>分）</w:t>
      </w:r>
    </w:p>
    <w:p w14:paraId="6221420E">
      <w:pPr>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2.2.1评标基准价：即满足招标文件要求且投标价格最低的投标报价为评标基准价，其价格分为满分。</w:t>
      </w:r>
    </w:p>
    <w:p w14:paraId="072988CA">
      <w:pPr>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14:paraId="37328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14:paraId="69FA0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eastAsia" w:ascii="宋体" w:hAnsi="宋体" w:eastAsia="宋体" w:cs="宋体"/>
          <w:color w:val="auto"/>
          <w:kern w:val="0"/>
          <w:sz w:val="24"/>
          <w:szCs w:val="24"/>
          <w:highlight w:val="none"/>
        </w:rPr>
      </w:pPr>
      <w:r>
        <w:rPr>
          <w:rFonts w:hint="eastAsia" w:ascii="宋体" w:hAnsi="宋体" w:eastAsia="宋体" w:cs="宋体"/>
          <w:bCs/>
          <w:iCs/>
          <w:color w:val="auto"/>
          <w:sz w:val="24"/>
          <w:highlight w:val="none"/>
        </w:rPr>
        <w:t>即：投标报价得分=(评标基准价／投标报价)×</w:t>
      </w:r>
      <w:r>
        <w:rPr>
          <w:rFonts w:hint="eastAsia" w:ascii="宋体" w:hAnsi="宋体" w:eastAsia="宋体" w:cs="宋体"/>
          <w:bCs/>
          <w:iCs/>
          <w:color w:val="auto"/>
          <w:sz w:val="24"/>
          <w:highlight w:val="none"/>
          <w:lang w:val="en-US" w:eastAsia="zh-CN"/>
        </w:rPr>
        <w:t>50%*100</w:t>
      </w:r>
    </w:p>
    <w:p w14:paraId="000A0B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注：本项目风险控制价为</w:t>
      </w:r>
      <w:r>
        <w:rPr>
          <w:rFonts w:hint="eastAsia" w:ascii="宋体" w:hAnsi="宋体" w:cs="宋体"/>
          <w:b/>
          <w:bCs/>
          <w:color w:val="auto"/>
          <w:sz w:val="24"/>
          <w:szCs w:val="24"/>
          <w:highlight w:val="none"/>
          <w:lang w:val="en-US" w:eastAsia="zh-CN"/>
        </w:rPr>
        <w:t>预算价的80</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3104000</w:t>
      </w:r>
      <w:r>
        <w:rPr>
          <w:rFonts w:hint="eastAsia" w:ascii="宋体" w:hAnsi="宋体" w:eastAsia="宋体" w:cs="宋体"/>
          <w:b/>
          <w:bCs/>
          <w:color w:val="auto"/>
          <w:sz w:val="24"/>
          <w:szCs w:val="24"/>
          <w:highlight w:val="none"/>
          <w:lang w:val="en-US" w:eastAsia="zh-CN"/>
        </w:rPr>
        <w:t>元），若中标人低于该风险控制价中标的，中标人须额外补交中标价净值与风险控制价之差额，中标人不提交的视为放弃中标。差额保证金待项目</w:t>
      </w:r>
      <w:r>
        <w:rPr>
          <w:rFonts w:hint="default" w:ascii="宋体" w:hAnsi="宋体" w:cs="宋体"/>
          <w:b/>
          <w:bCs/>
          <w:color w:val="auto"/>
          <w:sz w:val="24"/>
          <w:szCs w:val="24"/>
          <w:highlight w:val="none"/>
          <w:lang w:eastAsia="zh-CN"/>
          <w:woUserID w:val="1"/>
        </w:rPr>
        <w:t>质保期</w:t>
      </w:r>
      <w:r>
        <w:rPr>
          <w:rFonts w:hint="default" w:ascii="宋体" w:hAnsi="宋体" w:cs="宋体"/>
          <w:b/>
          <w:bCs/>
          <w:color w:val="auto"/>
          <w:sz w:val="24"/>
          <w:szCs w:val="24"/>
          <w:highlight w:val="none"/>
          <w:lang w:eastAsia="zh-CN"/>
          <w:woUserID w:val="2"/>
        </w:rPr>
        <w:t>满</w:t>
      </w:r>
      <w:r>
        <w:rPr>
          <w:rFonts w:hint="eastAsia" w:ascii="宋体" w:hAnsi="宋体" w:eastAsia="宋体" w:cs="宋体"/>
          <w:b/>
          <w:bCs/>
          <w:color w:val="auto"/>
          <w:sz w:val="24"/>
          <w:szCs w:val="24"/>
          <w:highlight w:val="none"/>
          <w:lang w:val="en-US" w:eastAsia="zh-CN"/>
        </w:rPr>
        <w:t>后30日内无息退还。（差额保证金应在中标通知书发出后10个工作日内交至采购人，以现金或电汇或转账交纳。)</w:t>
      </w:r>
    </w:p>
    <w:p w14:paraId="6E739BE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p w14:paraId="5BE16DE1">
      <w:pPr>
        <w:spacing w:line="440" w:lineRule="exact"/>
        <w:ind w:firstLine="472" w:firstLineChars="196"/>
        <w:rPr>
          <w:rFonts w:hint="eastAsia" w:ascii="宋体" w:hAnsi="宋体" w:eastAsia="宋体" w:cs="Times New Roman"/>
          <w:b/>
          <w:color w:val="auto"/>
          <w:sz w:val="24"/>
          <w:highlight w:val="none"/>
        </w:rPr>
      </w:pPr>
    </w:p>
    <w:p w14:paraId="4FC4DD1C">
      <w:pPr>
        <w:spacing w:line="360" w:lineRule="auto"/>
        <w:ind w:left="823" w:leftChars="343" w:firstLine="1084" w:firstLineChars="300"/>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ab/>
      </w:r>
    </w:p>
    <w:p w14:paraId="1FB54B99">
      <w:pPr>
        <w:spacing w:line="360" w:lineRule="auto"/>
        <w:ind w:left="823" w:leftChars="343" w:firstLine="1084" w:firstLineChars="300"/>
        <w:outlineLvl w:val="0"/>
        <w:rPr>
          <w:rFonts w:hint="eastAsia" w:ascii="仿宋" w:hAnsi="仿宋" w:eastAsia="仿宋" w:cs="仿宋"/>
          <w:b/>
          <w:color w:val="auto"/>
          <w:sz w:val="36"/>
          <w:szCs w:val="36"/>
          <w:highlight w:val="none"/>
          <w:lang w:eastAsia="zh-CN"/>
        </w:rPr>
      </w:pPr>
    </w:p>
    <w:p w14:paraId="02F312CC">
      <w:pPr>
        <w:spacing w:line="360" w:lineRule="auto"/>
        <w:outlineLvl w:val="0"/>
        <w:rPr>
          <w:rFonts w:hint="eastAsia" w:ascii="宋体" w:hAnsi="宋体" w:eastAsia="宋体" w:cs="宋体"/>
          <w:b/>
          <w:color w:val="auto"/>
          <w:sz w:val="36"/>
          <w:szCs w:val="36"/>
          <w:highlight w:val="none"/>
        </w:rPr>
      </w:pPr>
    </w:p>
    <w:p w14:paraId="0DC3F4FF">
      <w:pPr>
        <w:spacing w:line="360" w:lineRule="auto"/>
        <w:ind w:left="823"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拟签订的合同文本</w:t>
      </w:r>
    </w:p>
    <w:p w14:paraId="73594F76">
      <w:pPr>
        <w:spacing w:line="480" w:lineRule="auto"/>
        <w:jc w:val="center"/>
        <w:rPr>
          <w:rFonts w:hint="eastAsia" w:ascii="宋体" w:hAnsi="宋体" w:eastAsia="宋体" w:cs="宋体"/>
          <w:b/>
          <w:color w:val="auto"/>
          <w:sz w:val="24"/>
          <w:szCs w:val="24"/>
          <w:highlight w:val="none"/>
        </w:rPr>
      </w:pPr>
    </w:p>
    <w:p w14:paraId="5C8A29CF">
      <w:pPr>
        <w:spacing w:line="480" w:lineRule="auto"/>
        <w:jc w:val="center"/>
        <w:rPr>
          <w:rFonts w:hint="eastAsia" w:ascii="宋体" w:hAnsi="宋体" w:eastAsia="宋体" w:cs="宋体"/>
          <w:b/>
          <w:color w:val="auto"/>
          <w:sz w:val="24"/>
          <w:szCs w:val="24"/>
          <w:highlight w:val="none"/>
        </w:rPr>
      </w:pPr>
    </w:p>
    <w:p w14:paraId="625F8E68">
      <w:pPr>
        <w:spacing w:line="480" w:lineRule="auto"/>
        <w:jc w:val="both"/>
        <w:rPr>
          <w:rFonts w:hint="eastAsia" w:ascii="宋体" w:hAnsi="宋体" w:eastAsia="宋体" w:cs="宋体"/>
          <w:b/>
          <w:color w:val="auto"/>
          <w:sz w:val="36"/>
          <w:szCs w:val="36"/>
          <w:highlight w:val="none"/>
        </w:rPr>
      </w:pPr>
    </w:p>
    <w:p w14:paraId="396D622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采购合同</w:t>
      </w:r>
    </w:p>
    <w:p w14:paraId="08DAF70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75172CDA">
      <w:pPr>
        <w:pStyle w:val="129"/>
        <w:ind w:left="0" w:leftChars="0" w:firstLine="0" w:firstLineChars="0"/>
        <w:rPr>
          <w:rFonts w:hint="eastAsia" w:ascii="宋体" w:hAnsi="宋体" w:eastAsia="宋体" w:cs="宋体"/>
          <w:color w:val="auto"/>
          <w:sz w:val="24"/>
          <w:szCs w:val="24"/>
          <w:highlight w:val="none"/>
        </w:rPr>
      </w:pPr>
    </w:p>
    <w:p w14:paraId="0694FE8D">
      <w:pPr>
        <w:pStyle w:val="129"/>
        <w:jc w:val="center"/>
        <w:rPr>
          <w:rFonts w:hint="eastAsia" w:ascii="宋体" w:hAnsi="宋体" w:eastAsia="宋体" w:cs="宋体"/>
          <w:color w:val="auto"/>
          <w:sz w:val="24"/>
          <w:szCs w:val="24"/>
          <w:highlight w:val="none"/>
        </w:rPr>
      </w:pPr>
    </w:p>
    <w:p w14:paraId="0CA1BA95">
      <w:pPr>
        <w:pStyle w:val="129"/>
        <w:rPr>
          <w:rFonts w:hint="eastAsia" w:ascii="宋体" w:hAnsi="宋体" w:eastAsia="宋体" w:cs="宋体"/>
          <w:color w:val="auto"/>
          <w:sz w:val="24"/>
          <w:szCs w:val="24"/>
          <w:highlight w:val="none"/>
        </w:rPr>
      </w:pPr>
    </w:p>
    <w:p w14:paraId="5166FF16">
      <w:pPr>
        <w:pStyle w:val="129"/>
        <w:rPr>
          <w:rFonts w:hint="eastAsia" w:ascii="宋体" w:hAnsi="宋体" w:eastAsia="宋体" w:cs="宋体"/>
          <w:color w:val="auto"/>
          <w:sz w:val="24"/>
          <w:szCs w:val="24"/>
          <w:highlight w:val="none"/>
        </w:rPr>
      </w:pPr>
    </w:p>
    <w:p w14:paraId="4D54CC80">
      <w:pPr>
        <w:spacing w:before="120" w:line="22" w:lineRule="atLeast"/>
        <w:rPr>
          <w:rFonts w:hint="eastAsia" w:ascii="宋体" w:hAnsi="宋体" w:eastAsia="宋体" w:cs="宋体"/>
          <w:color w:val="auto"/>
          <w:sz w:val="24"/>
          <w:szCs w:val="24"/>
          <w:highlight w:val="none"/>
        </w:rPr>
      </w:pPr>
    </w:p>
    <w:p w14:paraId="46EFB590">
      <w:pPr>
        <w:keepNext w:val="0"/>
        <w:keepLines w:val="0"/>
        <w:pageBreakBefore w:val="0"/>
        <w:kinsoku/>
        <w:wordWrap/>
        <w:overflowPunct/>
        <w:topLinePunct w:val="0"/>
        <w:bidi w:val="0"/>
        <w:spacing w:line="490" w:lineRule="exact"/>
        <w:ind w:left="1200" w:leftChars="5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606AABD">
      <w:pPr>
        <w:keepNext w:val="0"/>
        <w:keepLines w:val="0"/>
        <w:pageBreakBefore w:val="0"/>
        <w:kinsoku/>
        <w:wordWrap/>
        <w:overflowPunct/>
        <w:topLinePunct w:val="0"/>
        <w:bidi w:val="0"/>
        <w:spacing w:line="490" w:lineRule="exact"/>
        <w:ind w:left="0" w:leftChars="0" w:firstLine="480" w:firstLineChars="200"/>
        <w:rPr>
          <w:rFonts w:hint="eastAsia" w:ascii="宋体" w:hAnsi="宋体" w:eastAsia="宋体" w:cs="宋体"/>
          <w:color w:val="auto"/>
          <w:sz w:val="24"/>
          <w:szCs w:val="24"/>
          <w:highlight w:val="none"/>
        </w:rPr>
      </w:pPr>
    </w:p>
    <w:p w14:paraId="728AAB09">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p>
    <w:p w14:paraId="4E2AFCA3">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19FEF048">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p>
    <w:p w14:paraId="0BAFB971">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77F92385">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lang w:val="en-US" w:eastAsia="zh-CN"/>
        </w:rPr>
        <w:t>嵊州市</w:t>
      </w:r>
    </w:p>
    <w:p w14:paraId="1198B302">
      <w:pPr>
        <w:keepNext w:val="0"/>
        <w:keepLines w:val="0"/>
        <w:pageBreakBefore w:val="0"/>
        <w:kinsoku/>
        <w:wordWrap/>
        <w:overflowPunct/>
        <w:topLinePunct w:val="0"/>
        <w:bidi w:val="0"/>
        <w:spacing w:line="490" w:lineRule="exact"/>
        <w:ind w:left="0" w:leftChars="0"/>
        <w:rPr>
          <w:rFonts w:hint="eastAsia" w:ascii="宋体" w:hAnsi="宋体" w:eastAsia="宋体" w:cs="宋体"/>
          <w:color w:val="auto"/>
          <w:sz w:val="24"/>
          <w:szCs w:val="24"/>
          <w:highlight w:val="none"/>
        </w:rPr>
      </w:pPr>
    </w:p>
    <w:p w14:paraId="5FB97A16">
      <w:pPr>
        <w:keepNext w:val="0"/>
        <w:keepLines w:val="0"/>
        <w:pageBreakBefore w:val="0"/>
        <w:kinsoku/>
        <w:wordWrap/>
        <w:overflowPunct/>
        <w:topLinePunct w:val="0"/>
        <w:bidi w:val="0"/>
        <w:spacing w:line="490" w:lineRule="exact"/>
        <w:ind w:firstLine="1200" w:firstLineChars="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59EAD0C">
      <w:pPr>
        <w:keepNext w:val="0"/>
        <w:keepLines w:val="0"/>
        <w:pageBreakBefore w:val="0"/>
        <w:widowControl/>
        <w:kinsoku/>
        <w:wordWrap/>
        <w:overflowPunct/>
        <w:topLinePunct w:val="0"/>
        <w:bidi w:val="0"/>
        <w:spacing w:line="490" w:lineRule="exact"/>
        <w:ind w:left="0" w:leftChars="0"/>
        <w:jc w:val="left"/>
        <w:rPr>
          <w:rFonts w:hint="eastAsia" w:ascii="宋体" w:hAnsi="宋体" w:eastAsia="宋体" w:cs="宋体"/>
          <w:color w:val="auto"/>
          <w:kern w:val="0"/>
          <w:sz w:val="24"/>
          <w:szCs w:val="24"/>
          <w:highlight w:val="none"/>
        </w:rPr>
        <w:sectPr>
          <w:headerReference r:id="rId5" w:type="default"/>
          <w:footerReference r:id="rId6" w:type="default"/>
          <w:pgSz w:w="11907" w:h="16840"/>
          <w:pgMar w:top="1587" w:right="1474" w:bottom="1587" w:left="1474" w:header="851" w:footer="851" w:gutter="0"/>
          <w:cols w:space="720" w:num="1"/>
        </w:sectPr>
      </w:pPr>
    </w:p>
    <w:p w14:paraId="059A4F88">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甲方（采购人）：</w:t>
      </w:r>
    </w:p>
    <w:p w14:paraId="047E31FF">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w:t>
      </w:r>
    </w:p>
    <w:p w14:paraId="07854304">
      <w:pPr>
        <w:keepNext w:val="0"/>
        <w:keepLines w:val="0"/>
        <w:pageBreakBefore w:val="0"/>
        <w:widowControl w:val="0"/>
        <w:kinsoku/>
        <w:wordWrap/>
        <w:overflowPunct/>
        <w:topLinePunct w:val="0"/>
        <w:autoSpaceDE/>
        <w:autoSpaceDN/>
        <w:bidi w:val="0"/>
        <w:adjustRightInd w:val="0"/>
        <w:spacing w:line="5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鉴于甲方于202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  月  日接受乙方对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u w:val="single"/>
          <w:lang w:eastAsia="zh-CN"/>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的中标资格，双方根据《中华人民共和国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》和本项目的投标文件、招标文件及其报价中的承诺，经双方协商一致，签订本合同，共同遵守以下条款：</w:t>
      </w:r>
    </w:p>
    <w:p w14:paraId="057A92B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第一条：工作范围</w:t>
      </w:r>
    </w:p>
    <w:p w14:paraId="143B6072">
      <w:pPr>
        <w:keepNext w:val="0"/>
        <w:keepLines w:val="0"/>
        <w:pageBreakBefore w:val="0"/>
        <w:widowControl w:val="0"/>
        <w:kinsoku/>
        <w:wordWrap/>
        <w:overflowPunct/>
        <w:topLinePunct w:val="0"/>
        <w:autoSpaceDE/>
        <w:autoSpaceDN/>
        <w:bidi w:val="0"/>
        <w:adjustRightInd w:val="0"/>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根据招标文件，各供应商须按国家有关标准及规范完成下列工作：</w:t>
      </w:r>
    </w:p>
    <w:p w14:paraId="4A6ED717">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提供完整成套的货物及相关附件，提供各种数据资料；</w:t>
      </w:r>
    </w:p>
    <w:p w14:paraId="62755378">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完成各项安装、调试验收等工作；</w:t>
      </w:r>
    </w:p>
    <w:p w14:paraId="697C13F2">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维保及维修；</w:t>
      </w:r>
    </w:p>
    <w:p w14:paraId="432091D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
          <w:color w:val="auto"/>
          <w:sz w:val="24"/>
          <w:szCs w:val="24"/>
          <w:highlight w:val="none"/>
          <w:lang w:val="en-US" w:eastAsia="zh-CN"/>
        </w:rPr>
        <w:t>第二条 货物内容及合同价格</w:t>
      </w:r>
    </w:p>
    <w:tbl>
      <w:tblPr>
        <w:tblStyle w:val="31"/>
        <w:tblW w:w="9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987"/>
        <w:gridCol w:w="1276"/>
        <w:gridCol w:w="1104"/>
        <w:gridCol w:w="1164"/>
        <w:gridCol w:w="1064"/>
        <w:gridCol w:w="1268"/>
        <w:gridCol w:w="1397"/>
      </w:tblGrid>
      <w:tr w14:paraId="6D056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89" w:type="dxa"/>
            <w:tcBorders>
              <w:top w:val="single" w:color="auto" w:sz="8" w:space="0"/>
              <w:left w:val="single" w:color="auto" w:sz="8" w:space="0"/>
              <w:bottom w:val="single" w:color="auto" w:sz="6" w:space="0"/>
            </w:tcBorders>
            <w:noWrap w:val="0"/>
            <w:vAlign w:val="center"/>
          </w:tcPr>
          <w:p w14:paraId="5E8D4BA3">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987" w:type="dxa"/>
            <w:tcBorders>
              <w:top w:val="single" w:color="auto" w:sz="8" w:space="0"/>
              <w:bottom w:val="single" w:color="auto" w:sz="6" w:space="0"/>
            </w:tcBorders>
            <w:noWrap w:val="0"/>
            <w:vAlign w:val="center"/>
          </w:tcPr>
          <w:p w14:paraId="3E9A3879">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276" w:type="dxa"/>
            <w:tcBorders>
              <w:top w:val="single" w:color="auto" w:sz="8" w:space="0"/>
              <w:bottom w:val="single" w:color="auto" w:sz="6" w:space="0"/>
            </w:tcBorders>
            <w:noWrap w:val="0"/>
            <w:vAlign w:val="center"/>
          </w:tcPr>
          <w:p w14:paraId="6117F422">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型号、</w:t>
            </w:r>
          </w:p>
          <w:p w14:paraId="4D2CEE3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tc>
        <w:tc>
          <w:tcPr>
            <w:tcW w:w="1104" w:type="dxa"/>
            <w:tcBorders>
              <w:top w:val="single" w:color="auto" w:sz="8" w:space="0"/>
              <w:bottom w:val="single" w:color="auto" w:sz="6" w:space="0"/>
            </w:tcBorders>
            <w:noWrap w:val="0"/>
            <w:vAlign w:val="center"/>
          </w:tcPr>
          <w:p w14:paraId="1C58F76B">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w:t>
            </w:r>
          </w:p>
          <w:p w14:paraId="2A600EE4">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参数</w:t>
            </w:r>
          </w:p>
        </w:tc>
        <w:tc>
          <w:tcPr>
            <w:tcW w:w="1164" w:type="dxa"/>
            <w:tcBorders>
              <w:top w:val="single" w:color="auto" w:sz="8" w:space="0"/>
              <w:bottom w:val="single" w:color="auto" w:sz="6" w:space="0"/>
            </w:tcBorders>
            <w:noWrap w:val="0"/>
            <w:vAlign w:val="top"/>
          </w:tcPr>
          <w:p w14:paraId="49E51878">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w:t>
            </w:r>
          </w:p>
          <w:p w14:paraId="527D9CB4">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厂家</w:t>
            </w:r>
          </w:p>
        </w:tc>
        <w:tc>
          <w:tcPr>
            <w:tcW w:w="1064" w:type="dxa"/>
            <w:tcBorders>
              <w:top w:val="single" w:color="auto" w:sz="8" w:space="0"/>
              <w:bottom w:val="single" w:color="auto" w:sz="6" w:space="0"/>
            </w:tcBorders>
            <w:noWrap w:val="0"/>
            <w:vAlign w:val="center"/>
          </w:tcPr>
          <w:p w14:paraId="2E8706EA">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 价</w:t>
            </w:r>
          </w:p>
        </w:tc>
        <w:tc>
          <w:tcPr>
            <w:tcW w:w="1268" w:type="dxa"/>
            <w:tcBorders>
              <w:top w:val="single" w:color="auto" w:sz="8" w:space="0"/>
              <w:bottom w:val="single" w:color="auto" w:sz="6" w:space="0"/>
            </w:tcBorders>
            <w:noWrap w:val="0"/>
            <w:vAlign w:val="center"/>
          </w:tcPr>
          <w:p w14:paraId="0C3B77A6">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 价</w:t>
            </w:r>
          </w:p>
        </w:tc>
        <w:tc>
          <w:tcPr>
            <w:tcW w:w="1397" w:type="dxa"/>
            <w:tcBorders>
              <w:top w:val="single" w:color="auto" w:sz="8" w:space="0"/>
              <w:bottom w:val="single" w:color="auto" w:sz="6" w:space="0"/>
              <w:right w:val="single" w:color="auto" w:sz="8" w:space="0"/>
            </w:tcBorders>
            <w:noWrap w:val="0"/>
            <w:vAlign w:val="center"/>
          </w:tcPr>
          <w:p w14:paraId="358CFF45">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  注</w:t>
            </w:r>
          </w:p>
        </w:tc>
      </w:tr>
      <w:tr w14:paraId="565A1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389" w:type="dxa"/>
            <w:tcBorders>
              <w:top w:val="single" w:color="auto" w:sz="6" w:space="0"/>
              <w:left w:val="single" w:color="auto" w:sz="8" w:space="0"/>
              <w:bottom w:val="single" w:color="auto" w:sz="6" w:space="0"/>
            </w:tcBorders>
            <w:noWrap w:val="0"/>
            <w:vAlign w:val="center"/>
          </w:tcPr>
          <w:p w14:paraId="3FB40AAF">
            <w:pPr>
              <w:spacing w:line="400" w:lineRule="exact"/>
              <w:jc w:val="center"/>
              <w:rPr>
                <w:rFonts w:hint="eastAsia" w:ascii="宋体" w:hAnsi="宋体" w:cs="宋体"/>
                <w:color w:val="auto"/>
                <w:sz w:val="24"/>
                <w:szCs w:val="24"/>
                <w:highlight w:val="none"/>
              </w:rPr>
            </w:pPr>
          </w:p>
        </w:tc>
        <w:tc>
          <w:tcPr>
            <w:tcW w:w="987" w:type="dxa"/>
            <w:tcBorders>
              <w:top w:val="single" w:color="auto" w:sz="6" w:space="0"/>
              <w:bottom w:val="single" w:color="auto" w:sz="6" w:space="0"/>
            </w:tcBorders>
            <w:noWrap w:val="0"/>
            <w:vAlign w:val="center"/>
          </w:tcPr>
          <w:p w14:paraId="127FFE3B">
            <w:pPr>
              <w:spacing w:line="400" w:lineRule="exact"/>
              <w:jc w:val="center"/>
              <w:rPr>
                <w:rFonts w:hint="eastAsia" w:ascii="宋体" w:hAnsi="宋体" w:cs="宋体"/>
                <w:color w:val="auto"/>
                <w:sz w:val="24"/>
                <w:szCs w:val="24"/>
                <w:highlight w:val="none"/>
              </w:rPr>
            </w:pPr>
          </w:p>
        </w:tc>
        <w:tc>
          <w:tcPr>
            <w:tcW w:w="1276" w:type="dxa"/>
            <w:tcBorders>
              <w:top w:val="single" w:color="auto" w:sz="6" w:space="0"/>
              <w:bottom w:val="single" w:color="auto" w:sz="6" w:space="0"/>
            </w:tcBorders>
            <w:noWrap w:val="0"/>
            <w:vAlign w:val="center"/>
          </w:tcPr>
          <w:p w14:paraId="4FBEA98B">
            <w:pPr>
              <w:spacing w:line="400" w:lineRule="exact"/>
              <w:jc w:val="center"/>
              <w:rPr>
                <w:rFonts w:hint="eastAsia" w:ascii="宋体" w:hAnsi="宋体" w:cs="宋体"/>
                <w:color w:val="auto"/>
                <w:sz w:val="24"/>
                <w:szCs w:val="24"/>
                <w:highlight w:val="none"/>
              </w:rPr>
            </w:pPr>
          </w:p>
        </w:tc>
        <w:tc>
          <w:tcPr>
            <w:tcW w:w="1104" w:type="dxa"/>
            <w:tcBorders>
              <w:top w:val="single" w:color="auto" w:sz="6" w:space="0"/>
              <w:bottom w:val="single" w:color="auto" w:sz="6" w:space="0"/>
            </w:tcBorders>
            <w:noWrap w:val="0"/>
            <w:vAlign w:val="center"/>
          </w:tcPr>
          <w:p w14:paraId="41906CE0">
            <w:pPr>
              <w:spacing w:line="400" w:lineRule="exact"/>
              <w:jc w:val="center"/>
              <w:rPr>
                <w:rFonts w:hint="eastAsia" w:ascii="宋体" w:hAnsi="宋体" w:cs="宋体"/>
                <w:color w:val="auto"/>
                <w:sz w:val="24"/>
                <w:szCs w:val="24"/>
                <w:highlight w:val="none"/>
              </w:rPr>
            </w:pPr>
          </w:p>
        </w:tc>
        <w:tc>
          <w:tcPr>
            <w:tcW w:w="1164" w:type="dxa"/>
            <w:tcBorders>
              <w:top w:val="single" w:color="auto" w:sz="6" w:space="0"/>
              <w:bottom w:val="single" w:color="auto" w:sz="6" w:space="0"/>
            </w:tcBorders>
            <w:noWrap w:val="0"/>
            <w:vAlign w:val="top"/>
          </w:tcPr>
          <w:p w14:paraId="0A403171">
            <w:pPr>
              <w:spacing w:line="400" w:lineRule="exact"/>
              <w:jc w:val="center"/>
              <w:rPr>
                <w:rFonts w:hint="eastAsia" w:ascii="宋体" w:hAnsi="宋体" w:cs="宋体"/>
                <w:color w:val="auto"/>
                <w:sz w:val="24"/>
                <w:szCs w:val="24"/>
                <w:highlight w:val="none"/>
              </w:rPr>
            </w:pPr>
          </w:p>
        </w:tc>
        <w:tc>
          <w:tcPr>
            <w:tcW w:w="1064" w:type="dxa"/>
            <w:tcBorders>
              <w:top w:val="single" w:color="auto" w:sz="6" w:space="0"/>
              <w:bottom w:val="single" w:color="auto" w:sz="6" w:space="0"/>
            </w:tcBorders>
            <w:noWrap w:val="0"/>
            <w:vAlign w:val="center"/>
          </w:tcPr>
          <w:p w14:paraId="6EEB6FD8">
            <w:pPr>
              <w:spacing w:line="400" w:lineRule="exact"/>
              <w:jc w:val="center"/>
              <w:rPr>
                <w:rFonts w:hint="eastAsia" w:ascii="宋体" w:hAnsi="宋体" w:cs="宋体"/>
                <w:color w:val="auto"/>
                <w:sz w:val="24"/>
                <w:szCs w:val="24"/>
                <w:highlight w:val="none"/>
              </w:rPr>
            </w:pPr>
          </w:p>
        </w:tc>
        <w:tc>
          <w:tcPr>
            <w:tcW w:w="1268" w:type="dxa"/>
            <w:tcBorders>
              <w:top w:val="single" w:color="auto" w:sz="6" w:space="0"/>
              <w:bottom w:val="single" w:color="auto" w:sz="6" w:space="0"/>
            </w:tcBorders>
            <w:noWrap w:val="0"/>
            <w:vAlign w:val="center"/>
          </w:tcPr>
          <w:p w14:paraId="03747576">
            <w:pPr>
              <w:spacing w:line="400" w:lineRule="exact"/>
              <w:jc w:val="center"/>
              <w:rPr>
                <w:rFonts w:hint="eastAsia" w:ascii="宋体" w:hAnsi="宋体" w:cs="宋体"/>
                <w:color w:val="auto"/>
                <w:sz w:val="24"/>
                <w:szCs w:val="24"/>
                <w:highlight w:val="none"/>
              </w:rPr>
            </w:pPr>
          </w:p>
        </w:tc>
        <w:tc>
          <w:tcPr>
            <w:tcW w:w="1397" w:type="dxa"/>
            <w:tcBorders>
              <w:top w:val="single" w:color="auto" w:sz="6" w:space="0"/>
              <w:bottom w:val="single" w:color="auto" w:sz="6" w:space="0"/>
              <w:right w:val="single" w:color="auto" w:sz="8" w:space="0"/>
            </w:tcBorders>
            <w:noWrap w:val="0"/>
            <w:vAlign w:val="center"/>
          </w:tcPr>
          <w:p w14:paraId="76CCBCB6">
            <w:pPr>
              <w:spacing w:line="400" w:lineRule="exact"/>
              <w:jc w:val="center"/>
              <w:rPr>
                <w:rFonts w:hint="eastAsia" w:ascii="宋体" w:hAnsi="宋体" w:cs="宋体"/>
                <w:color w:val="auto"/>
                <w:sz w:val="24"/>
                <w:szCs w:val="24"/>
                <w:highlight w:val="none"/>
              </w:rPr>
            </w:pPr>
          </w:p>
        </w:tc>
      </w:tr>
      <w:tr w14:paraId="27958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649" w:type="dxa"/>
            <w:gridSpan w:val="8"/>
            <w:tcBorders>
              <w:top w:val="single" w:color="auto" w:sz="6" w:space="0"/>
              <w:left w:val="single" w:color="auto" w:sz="8" w:space="0"/>
              <w:bottom w:val="single" w:color="auto" w:sz="8" w:space="0"/>
              <w:right w:val="single" w:color="auto" w:sz="8" w:space="0"/>
            </w:tcBorders>
            <w:noWrap w:val="0"/>
            <w:vAlign w:val="top"/>
          </w:tcPr>
          <w:p w14:paraId="4522F546">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合计人民币（大写）：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（小写）：</w:t>
            </w:r>
          </w:p>
        </w:tc>
      </w:tr>
    </w:tbl>
    <w:p w14:paraId="3CD3047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2" w:firstLineChars="200"/>
        <w:jc w:val="both"/>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u w:val="none"/>
          <w:lang w:val="en-US" w:eastAsia="zh-CN"/>
        </w:rPr>
        <w:t>第三条：</w:t>
      </w:r>
      <w:r>
        <w:rPr>
          <w:rFonts w:hint="eastAsia" w:ascii="宋体" w:hAnsi="宋体" w:eastAsia="宋体" w:cs="宋体"/>
          <w:b/>
          <w:bCs w:val="0"/>
          <w:color w:val="auto"/>
          <w:sz w:val="24"/>
          <w:szCs w:val="24"/>
          <w:highlight w:val="none"/>
        </w:rPr>
        <w:t>履约保证金</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差额保证金</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如有</w:t>
      </w:r>
      <w:r>
        <w:rPr>
          <w:rFonts w:hint="eastAsia" w:ascii="宋体" w:hAnsi="宋体" w:eastAsia="宋体" w:cs="宋体"/>
          <w:b/>
          <w:bCs w:val="0"/>
          <w:color w:val="auto"/>
          <w:sz w:val="24"/>
          <w:szCs w:val="24"/>
          <w:highlight w:val="none"/>
          <w:lang w:eastAsia="zh-CN"/>
        </w:rPr>
        <w:t>）</w:t>
      </w:r>
    </w:p>
    <w:p w14:paraId="050ED0E3">
      <w:pPr>
        <w:keepNext w:val="0"/>
        <w:keepLines w:val="0"/>
        <w:pageBreakBefore w:val="0"/>
        <w:widowControl w:val="0"/>
        <w:kinsoku/>
        <w:wordWrap/>
        <w:overflowPunct/>
        <w:topLinePunct w:val="0"/>
        <w:autoSpaceDE/>
        <w:autoSpaceDN/>
        <w:bidi w:val="0"/>
        <w:adjustRightInd w:val="0"/>
        <w:spacing w:line="500" w:lineRule="exact"/>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中标通知书发出后10个工作日内中标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向采购人缴纳合同价的1%作为履约保证金，</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0日内无息退还。履约保证金支付方式：</w:t>
      </w:r>
      <w:r>
        <w:rPr>
          <w:color w:val="auto"/>
          <w:spacing w:val="-1"/>
          <w:sz w:val="24"/>
          <w:szCs w:val="24"/>
          <w:highlight w:val="none"/>
        </w:rPr>
        <w:t>保函</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只限银行保函</w:t>
      </w:r>
      <w:r>
        <w:rPr>
          <w:rFonts w:hint="eastAsia"/>
          <w:color w:val="auto"/>
          <w:spacing w:val="-1"/>
          <w:sz w:val="24"/>
          <w:szCs w:val="24"/>
          <w:highlight w:val="none"/>
          <w:lang w:eastAsia="zh-CN"/>
        </w:rPr>
        <w:t>）</w:t>
      </w:r>
      <w:r>
        <w:rPr>
          <w:color w:val="auto"/>
          <w:spacing w:val="-1"/>
          <w:sz w:val="24"/>
          <w:szCs w:val="24"/>
          <w:highlight w:val="none"/>
        </w:rPr>
        <w:t>、网上银行、电汇、转账形式</w:t>
      </w:r>
      <w:r>
        <w:rPr>
          <w:rFonts w:hint="eastAsia" w:ascii="宋体" w:hAnsi="宋体" w:eastAsia="宋体" w:cs="宋体"/>
          <w:color w:val="auto"/>
          <w:sz w:val="24"/>
          <w:szCs w:val="24"/>
          <w:highlight w:val="none"/>
        </w:rPr>
        <w:t>。（保函有效期必须在本项目约定完工日期之日起30个工作日后）。</w:t>
      </w:r>
    </w:p>
    <w:p w14:paraId="146C4F0D">
      <w:pPr>
        <w:keepNext w:val="0"/>
        <w:keepLines w:val="0"/>
        <w:pageBreakBefore w:val="0"/>
        <w:widowControl w:val="0"/>
        <w:kinsoku/>
        <w:wordWrap/>
        <w:overflowPunct/>
        <w:topLinePunct w:val="0"/>
        <w:autoSpaceDE/>
        <w:autoSpaceDN/>
        <w:bidi w:val="0"/>
        <w:adjustRightInd w:val="0"/>
        <w:spacing w:line="460" w:lineRule="exact"/>
        <w:ind w:right="0" w:rightChars="0" w:firstLine="480"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差额保证金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缴纳及退还：中标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在中标通知书发出后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个工作日内提交履约保证金的同时额外补交差额保证金，差额保证</w:t>
      </w:r>
      <w:r>
        <w:rPr>
          <w:rFonts w:hint="eastAsia" w:ascii="宋体" w:hAnsi="宋体" w:eastAsia="宋体" w:cs="宋体"/>
          <w:b w:val="0"/>
          <w:bCs w:val="0"/>
          <w:color w:val="auto"/>
          <w:sz w:val="24"/>
          <w:szCs w:val="24"/>
          <w:highlight w:val="none"/>
        </w:rPr>
        <w:t>金以</w:t>
      </w:r>
      <w:r>
        <w:rPr>
          <w:rFonts w:hint="eastAsia" w:ascii="宋体" w:hAnsi="宋体" w:eastAsia="宋体" w:cs="宋体"/>
          <w:b w:val="0"/>
          <w:bCs w:val="0"/>
          <w:color w:val="auto"/>
          <w:sz w:val="24"/>
          <w:szCs w:val="24"/>
          <w:highlight w:val="none"/>
          <w:lang w:val="en-US" w:eastAsia="zh-CN"/>
        </w:rPr>
        <w:t>现金或电汇或转账交纳</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lang w:val="en-US" w:eastAsia="zh-CN"/>
        </w:rPr>
        <w:t>项目</w:t>
      </w:r>
      <w:r>
        <w:rPr>
          <w:rFonts w:hint="default" w:ascii="宋体" w:hAnsi="宋体" w:cs="宋体"/>
          <w:color w:val="auto"/>
          <w:sz w:val="24"/>
          <w:szCs w:val="24"/>
          <w:highlight w:val="none"/>
          <w:lang w:eastAsia="zh-CN"/>
          <w:woUserID w:val="1"/>
        </w:rPr>
        <w:t>质保期满</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0日内无息退还。</w:t>
      </w:r>
    </w:p>
    <w:p w14:paraId="23D4E97F">
      <w:pPr>
        <w:pStyle w:val="17"/>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color w:val="auto"/>
          <w:sz w:val="24"/>
          <w:szCs w:val="24"/>
          <w:highlight w:val="none"/>
        </w:rPr>
      </w:pPr>
      <w:r>
        <w:rPr>
          <w:rFonts w:hint="eastAsia"/>
          <w:b/>
          <w:color w:val="auto"/>
          <w:sz w:val="24"/>
          <w:szCs w:val="24"/>
          <w:highlight w:val="none"/>
          <w:lang w:val="en-US" w:eastAsia="zh-CN"/>
        </w:rPr>
        <w:t>第四条：</w:t>
      </w:r>
      <w:r>
        <w:rPr>
          <w:rFonts w:hint="eastAsia"/>
          <w:b/>
          <w:color w:val="auto"/>
          <w:sz w:val="24"/>
          <w:szCs w:val="24"/>
          <w:highlight w:val="none"/>
        </w:rPr>
        <w:t>项目实施时间</w:t>
      </w:r>
    </w:p>
    <w:p w14:paraId="634798A3">
      <w:pPr>
        <w:pStyle w:val="17"/>
        <w:snapToGrid w:val="0"/>
        <w:spacing w:line="420" w:lineRule="exact"/>
        <w:ind w:firstLine="480"/>
        <w:rPr>
          <w:color w:val="auto"/>
          <w:sz w:val="24"/>
          <w:szCs w:val="24"/>
          <w:highlight w:val="none"/>
        </w:rPr>
      </w:pPr>
      <w:r>
        <w:rPr>
          <w:rFonts w:hint="eastAsia"/>
          <w:color w:val="auto"/>
          <w:sz w:val="24"/>
          <w:szCs w:val="24"/>
          <w:highlight w:val="none"/>
        </w:rPr>
        <w:t>1、工期：</w:t>
      </w:r>
      <w:r>
        <w:rPr>
          <w:rFonts w:hint="eastAsia" w:ascii="Times New Roman" w:hAnsi="Times New Roman" w:cs="Times New Roman"/>
          <w:color w:val="auto"/>
          <w:spacing w:val="1"/>
          <w:sz w:val="24"/>
          <w:szCs w:val="24"/>
          <w:highlight w:val="none"/>
          <w:lang w:val="en-US" w:eastAsia="zh-CN"/>
        </w:rPr>
        <w:t>与道路施工进度同步</w:t>
      </w:r>
      <w:r>
        <w:rPr>
          <w:rFonts w:hint="eastAsia"/>
          <w:bCs/>
          <w:color w:val="auto"/>
          <w:sz w:val="24"/>
          <w:szCs w:val="24"/>
          <w:highlight w:val="none"/>
        </w:rPr>
        <w:t>。</w:t>
      </w:r>
    </w:p>
    <w:p w14:paraId="3CE6D56B">
      <w:pPr>
        <w:pStyle w:val="17"/>
        <w:snapToGrid w:val="0"/>
        <w:spacing w:line="420" w:lineRule="exact"/>
        <w:ind w:firstLine="480"/>
        <w:rPr>
          <w:color w:val="auto"/>
          <w:sz w:val="24"/>
          <w:szCs w:val="24"/>
          <w:highlight w:val="none"/>
        </w:rPr>
      </w:pPr>
      <w:r>
        <w:rPr>
          <w:rFonts w:hint="eastAsia"/>
          <w:color w:val="auto"/>
          <w:sz w:val="24"/>
          <w:szCs w:val="24"/>
          <w:highlight w:val="none"/>
        </w:rPr>
        <w:t>2、在施工过程中，如遇下列情况，经甲方认可，工期相应顺延。</w:t>
      </w:r>
    </w:p>
    <w:p w14:paraId="4FEA06CD">
      <w:pPr>
        <w:pStyle w:val="17"/>
        <w:snapToGrid w:val="0"/>
        <w:spacing w:line="420" w:lineRule="exact"/>
        <w:rPr>
          <w:color w:val="auto"/>
          <w:sz w:val="24"/>
          <w:szCs w:val="24"/>
          <w:highlight w:val="none"/>
        </w:rPr>
      </w:pPr>
      <w:r>
        <w:rPr>
          <w:rFonts w:hint="eastAsia"/>
          <w:color w:val="auto"/>
          <w:sz w:val="24"/>
          <w:szCs w:val="24"/>
          <w:highlight w:val="none"/>
        </w:rPr>
        <w:t xml:space="preserve">    2.1不可抗力原因；</w:t>
      </w:r>
    </w:p>
    <w:p w14:paraId="3F88049C">
      <w:pPr>
        <w:pStyle w:val="17"/>
        <w:snapToGrid w:val="0"/>
        <w:spacing w:line="420" w:lineRule="exact"/>
        <w:rPr>
          <w:color w:val="auto"/>
          <w:sz w:val="24"/>
          <w:szCs w:val="24"/>
          <w:highlight w:val="none"/>
        </w:rPr>
      </w:pPr>
      <w:r>
        <w:rPr>
          <w:rFonts w:hint="eastAsia"/>
          <w:color w:val="auto"/>
          <w:sz w:val="24"/>
          <w:szCs w:val="24"/>
          <w:highlight w:val="none"/>
        </w:rPr>
        <w:t xml:space="preserve">    2.2甲方未提供施工必备条件；</w:t>
      </w:r>
    </w:p>
    <w:p w14:paraId="415BEA33">
      <w:pPr>
        <w:pStyle w:val="17"/>
        <w:snapToGrid w:val="0"/>
        <w:spacing w:line="420" w:lineRule="exact"/>
        <w:rPr>
          <w:color w:val="auto"/>
          <w:sz w:val="24"/>
          <w:szCs w:val="24"/>
          <w:highlight w:val="none"/>
        </w:rPr>
      </w:pPr>
      <w:r>
        <w:rPr>
          <w:rFonts w:hint="eastAsia"/>
          <w:color w:val="auto"/>
          <w:sz w:val="24"/>
          <w:szCs w:val="24"/>
          <w:highlight w:val="none"/>
        </w:rPr>
        <w:t xml:space="preserve">    2.3其他非乙方原因引起的工期延误。</w:t>
      </w:r>
    </w:p>
    <w:p w14:paraId="35A1DB13">
      <w:pPr>
        <w:pStyle w:val="17"/>
        <w:snapToGrid w:val="0"/>
        <w:spacing w:line="420" w:lineRule="exact"/>
        <w:rPr>
          <w:color w:val="auto"/>
          <w:sz w:val="24"/>
          <w:szCs w:val="24"/>
          <w:highlight w:val="none"/>
        </w:rPr>
      </w:pPr>
      <w:r>
        <w:rPr>
          <w:rFonts w:hint="eastAsia"/>
          <w:color w:val="auto"/>
          <w:sz w:val="24"/>
          <w:szCs w:val="24"/>
          <w:highlight w:val="none"/>
        </w:rPr>
        <w:t xml:space="preserve">    3、甲方对该工程进行全过程、全方位的管理、监督并做好协调工作。</w:t>
      </w:r>
    </w:p>
    <w:p w14:paraId="6FBBB060">
      <w:pPr>
        <w:pStyle w:val="17"/>
        <w:snapToGrid w:val="0"/>
        <w:spacing w:line="420" w:lineRule="exact"/>
        <w:rPr>
          <w:color w:val="auto"/>
          <w:sz w:val="24"/>
          <w:szCs w:val="24"/>
          <w:highlight w:val="none"/>
        </w:rPr>
      </w:pPr>
      <w:r>
        <w:rPr>
          <w:rFonts w:hint="eastAsia"/>
          <w:color w:val="auto"/>
          <w:sz w:val="24"/>
          <w:szCs w:val="24"/>
          <w:highlight w:val="none"/>
        </w:rPr>
        <w:t xml:space="preserve">    4、在施工期间，乙方按工程需要自负看守，已完工未交付甲方之前，乙方负责完工后成品的保护。</w:t>
      </w:r>
    </w:p>
    <w:p w14:paraId="2112DE04">
      <w:pPr>
        <w:pStyle w:val="17"/>
        <w:snapToGrid w:val="0"/>
        <w:spacing w:line="420" w:lineRule="exact"/>
        <w:rPr>
          <w:color w:val="auto"/>
          <w:sz w:val="24"/>
          <w:szCs w:val="24"/>
          <w:highlight w:val="none"/>
        </w:rPr>
      </w:pPr>
      <w:r>
        <w:rPr>
          <w:rFonts w:hint="eastAsia"/>
          <w:color w:val="auto"/>
          <w:sz w:val="24"/>
          <w:szCs w:val="24"/>
          <w:highlight w:val="none"/>
        </w:rPr>
        <w:t xml:space="preserve">    5、乙方每日完工后负责及时清理现场，并将自己施工生产的建渣或垃圾外运出场。</w:t>
      </w:r>
    </w:p>
    <w:p w14:paraId="3857728B">
      <w:pPr>
        <w:pStyle w:val="17"/>
        <w:snapToGrid w:val="0"/>
        <w:spacing w:line="420" w:lineRule="exact"/>
        <w:rPr>
          <w:color w:val="auto"/>
          <w:sz w:val="24"/>
          <w:szCs w:val="24"/>
          <w:highlight w:val="none"/>
        </w:rPr>
      </w:pPr>
      <w:r>
        <w:rPr>
          <w:rFonts w:hint="eastAsia"/>
          <w:color w:val="auto"/>
          <w:sz w:val="24"/>
          <w:szCs w:val="24"/>
          <w:highlight w:val="none"/>
        </w:rPr>
        <w:t xml:space="preserve">    6、乙方负责竣工移交前工程范围的施工安全，期间发生的施工安全事故全部由乙方承担责任。</w:t>
      </w:r>
    </w:p>
    <w:p w14:paraId="788C6EFF">
      <w:pPr>
        <w:pStyle w:val="17"/>
        <w:snapToGrid w:val="0"/>
        <w:spacing w:line="420" w:lineRule="exact"/>
        <w:rPr>
          <w:color w:val="auto"/>
          <w:sz w:val="24"/>
          <w:szCs w:val="24"/>
          <w:highlight w:val="none"/>
        </w:rPr>
      </w:pPr>
      <w:r>
        <w:rPr>
          <w:rFonts w:hint="eastAsia"/>
          <w:color w:val="auto"/>
          <w:sz w:val="24"/>
          <w:szCs w:val="24"/>
          <w:highlight w:val="none"/>
        </w:rPr>
        <w:t xml:space="preserve">    7、工程与其他分项工程交叉施工及其他因素等产生的费用，乙方在保证施工质量的前提下，上述费用自理。</w:t>
      </w:r>
    </w:p>
    <w:p w14:paraId="1316C45C">
      <w:pPr>
        <w:pStyle w:val="17"/>
        <w:snapToGrid w:val="0"/>
        <w:spacing w:line="420" w:lineRule="exact"/>
        <w:rPr>
          <w:color w:val="auto"/>
          <w:sz w:val="24"/>
          <w:szCs w:val="24"/>
          <w:highlight w:val="none"/>
        </w:rPr>
      </w:pPr>
      <w:r>
        <w:rPr>
          <w:rFonts w:hint="eastAsia"/>
          <w:color w:val="auto"/>
          <w:sz w:val="24"/>
          <w:szCs w:val="24"/>
          <w:highlight w:val="none"/>
        </w:rPr>
        <w:t xml:space="preserve">    8、</w:t>
      </w:r>
      <w:r>
        <w:rPr>
          <w:rFonts w:hint="eastAsia"/>
          <w:b/>
          <w:bCs/>
          <w:color w:val="auto"/>
          <w:sz w:val="24"/>
          <w:szCs w:val="24"/>
          <w:highlight w:val="none"/>
        </w:rPr>
        <w:t>乙方未经甲方允许夜间不得施工</w:t>
      </w:r>
      <w:r>
        <w:rPr>
          <w:rFonts w:hint="eastAsia"/>
          <w:color w:val="auto"/>
          <w:sz w:val="24"/>
          <w:szCs w:val="24"/>
          <w:highlight w:val="none"/>
        </w:rPr>
        <w:t>。</w:t>
      </w:r>
    </w:p>
    <w:p w14:paraId="6E02F5B5">
      <w:pPr>
        <w:pStyle w:val="17"/>
        <w:keepNext w:val="0"/>
        <w:keepLines w:val="0"/>
        <w:pageBreakBefore w:val="0"/>
        <w:widowControl w:val="0"/>
        <w:kinsoku/>
        <w:wordWrap/>
        <w:overflowPunct/>
        <w:topLinePunct w:val="0"/>
        <w:bidi w:val="0"/>
        <w:snapToGrid w:val="0"/>
        <w:spacing w:line="480" w:lineRule="exact"/>
        <w:textAlignment w:val="auto"/>
        <w:rPr>
          <w:color w:val="auto"/>
          <w:sz w:val="24"/>
          <w:szCs w:val="24"/>
          <w:highlight w:val="none"/>
        </w:rPr>
      </w:pPr>
      <w:r>
        <w:rPr>
          <w:rFonts w:hint="eastAsia"/>
          <w:color w:val="auto"/>
          <w:sz w:val="24"/>
          <w:szCs w:val="24"/>
          <w:highlight w:val="none"/>
        </w:rPr>
        <w:t xml:space="preserve">    9、乙方在施工过程中损害的各种线路和公共设施由乙方负责赔偿。</w:t>
      </w:r>
    </w:p>
    <w:p w14:paraId="77B64673">
      <w:pPr>
        <w:pStyle w:val="17"/>
        <w:keepNext w:val="0"/>
        <w:keepLines w:val="0"/>
        <w:pageBreakBefore w:val="0"/>
        <w:widowControl w:val="0"/>
        <w:kinsoku/>
        <w:wordWrap/>
        <w:overflowPunct/>
        <w:topLinePunct w:val="0"/>
        <w:bidi w:val="0"/>
        <w:snapToGrid w:val="0"/>
        <w:spacing w:line="480" w:lineRule="exact"/>
        <w:textAlignment w:val="auto"/>
        <w:rPr>
          <w:color w:val="auto"/>
          <w:sz w:val="24"/>
          <w:szCs w:val="24"/>
          <w:highlight w:val="none"/>
        </w:rPr>
      </w:pPr>
      <w:r>
        <w:rPr>
          <w:rFonts w:hint="eastAsia"/>
          <w:color w:val="auto"/>
          <w:sz w:val="24"/>
          <w:szCs w:val="24"/>
          <w:highlight w:val="none"/>
        </w:rPr>
        <w:t xml:space="preserve">    10、工程质量</w:t>
      </w:r>
    </w:p>
    <w:p w14:paraId="31A29DAB">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color w:val="auto"/>
          <w:sz w:val="24"/>
          <w:szCs w:val="24"/>
          <w:highlight w:val="none"/>
        </w:rPr>
        <w:t xml:space="preserve"> </w:t>
      </w:r>
      <w:r>
        <w:rPr>
          <w:rFonts w:hint="eastAsia" w:ascii="宋体" w:hAnsi="Courier New" w:eastAsia="宋体" w:cs="Times New Roman"/>
          <w:color w:val="auto"/>
          <w:kern w:val="2"/>
          <w:sz w:val="24"/>
          <w:szCs w:val="24"/>
          <w:highlight w:val="none"/>
          <w:lang w:val="en-US" w:eastAsia="zh-CN" w:bidi="ar-SA"/>
        </w:rPr>
        <w:t xml:space="preserve">  </w:t>
      </w:r>
      <w:r>
        <w:rPr>
          <w:rFonts w:hint="eastAsia" w:ascii="宋体" w:hAnsi="Courier New" w:cs="Times New Roman"/>
          <w:color w:val="auto"/>
          <w:kern w:val="2"/>
          <w:sz w:val="24"/>
          <w:szCs w:val="24"/>
          <w:highlight w:val="none"/>
          <w:lang w:val="en-US" w:eastAsia="zh-CN" w:bidi="ar-SA"/>
        </w:rPr>
        <w:t xml:space="preserve"> </w:t>
      </w:r>
      <w:r>
        <w:rPr>
          <w:rFonts w:hint="eastAsia" w:ascii="宋体" w:hAnsi="Courier New" w:eastAsia="宋体" w:cs="Times New Roman"/>
          <w:color w:val="auto"/>
          <w:kern w:val="2"/>
          <w:sz w:val="24"/>
          <w:szCs w:val="24"/>
          <w:highlight w:val="none"/>
          <w:lang w:val="en-US" w:eastAsia="zh-CN" w:bidi="ar-SA"/>
        </w:rPr>
        <w:t>10.1</w:t>
      </w:r>
      <w:r>
        <w:rPr>
          <w:rFonts w:hint="eastAsia" w:ascii="宋体" w:hAnsi="Courier New" w:cs="Times New Roman"/>
          <w:color w:val="auto"/>
          <w:kern w:val="2"/>
          <w:sz w:val="24"/>
          <w:szCs w:val="24"/>
          <w:highlight w:val="none"/>
          <w:lang w:val="en-US" w:eastAsia="zh-CN" w:bidi="ar-SA"/>
        </w:rPr>
        <w:t xml:space="preserve"> </w:t>
      </w:r>
      <w:r>
        <w:rPr>
          <w:rFonts w:hint="eastAsia" w:ascii="宋体" w:hAnsi="Courier New" w:eastAsia="宋体" w:cs="Times New Roman"/>
          <w:color w:val="auto"/>
          <w:kern w:val="2"/>
          <w:sz w:val="24"/>
          <w:szCs w:val="24"/>
          <w:highlight w:val="none"/>
          <w:lang w:val="en-US" w:eastAsia="en-US" w:bidi="ar-SA"/>
        </w:rPr>
        <w:t>所有</w:t>
      </w:r>
      <w:r>
        <w:rPr>
          <w:rFonts w:hint="eastAsia" w:ascii="宋体" w:hAnsi="宋体" w:eastAsia="宋体" w:cs="宋体"/>
          <w:color w:val="auto"/>
          <w:spacing w:val="-2"/>
          <w:kern w:val="2"/>
          <w:sz w:val="24"/>
          <w:szCs w:val="24"/>
          <w:highlight w:val="none"/>
          <w:lang w:val="en-US" w:eastAsia="en-US" w:bidi="ar-SA"/>
        </w:rPr>
        <w:t>的货物进场时须同时提供货物出厂合格证书或检测报告。</w:t>
      </w:r>
    </w:p>
    <w:p w14:paraId="37EB742C">
      <w:pPr>
        <w:keepNext w:val="0"/>
        <w:keepLines w:val="0"/>
        <w:pageBreakBefore w:val="0"/>
        <w:widowControl w:val="0"/>
        <w:kinsoku/>
        <w:wordWrap/>
        <w:overflowPunct/>
        <w:topLinePunct w:val="0"/>
        <w:bidi w:val="0"/>
        <w:snapToGrid/>
        <w:spacing w:line="480" w:lineRule="exact"/>
        <w:ind w:firstLine="472" w:firstLineChars="200"/>
        <w:jc w:val="both"/>
        <w:textAlignment w:val="auto"/>
        <w:rPr>
          <w:rFonts w:hint="eastAsia" w:ascii="宋体" w:hAnsi="宋体" w:eastAsia="宋体" w:cs="宋体"/>
          <w:color w:val="auto"/>
          <w:spacing w:val="-2"/>
          <w:kern w:val="2"/>
          <w:sz w:val="24"/>
          <w:szCs w:val="24"/>
          <w:highlight w:val="none"/>
          <w:lang w:val="en-US" w:eastAsia="en-US" w:bidi="ar-SA"/>
        </w:rPr>
      </w:pPr>
      <w:r>
        <w:rPr>
          <w:rFonts w:hint="eastAsia" w:ascii="宋体" w:hAnsi="宋体" w:cs="宋体"/>
          <w:color w:val="auto"/>
          <w:spacing w:val="-2"/>
          <w:kern w:val="2"/>
          <w:sz w:val="24"/>
          <w:szCs w:val="24"/>
          <w:highlight w:val="none"/>
          <w:lang w:val="en-US" w:eastAsia="zh-CN" w:bidi="ar-SA"/>
        </w:rPr>
        <w:t xml:space="preserve">10.2 </w:t>
      </w:r>
      <w:r>
        <w:rPr>
          <w:rFonts w:hint="eastAsia" w:ascii="宋体" w:hAnsi="宋体" w:eastAsia="宋体" w:cs="宋体"/>
          <w:color w:val="auto"/>
          <w:spacing w:val="-2"/>
          <w:kern w:val="2"/>
          <w:sz w:val="24"/>
          <w:szCs w:val="24"/>
          <w:highlight w:val="none"/>
          <w:lang w:val="en-US" w:eastAsia="en-US" w:bidi="ar-SA"/>
        </w:rPr>
        <w:t>所有货物</w:t>
      </w:r>
      <w:r>
        <w:rPr>
          <w:rFonts w:hint="eastAsia" w:ascii="宋体" w:hAnsi="宋体" w:eastAsia="宋体" w:cs="宋体"/>
          <w:color w:val="auto"/>
          <w:spacing w:val="-2"/>
          <w:kern w:val="2"/>
          <w:sz w:val="24"/>
          <w:szCs w:val="24"/>
          <w:highlight w:val="none"/>
          <w:lang w:val="en-US" w:eastAsia="zh-CN" w:bidi="ar-SA"/>
        </w:rPr>
        <w:t>及产品</w:t>
      </w:r>
      <w:r>
        <w:rPr>
          <w:rFonts w:hint="eastAsia" w:ascii="宋体" w:hAnsi="宋体" w:eastAsia="宋体" w:cs="宋体"/>
          <w:color w:val="auto"/>
          <w:spacing w:val="-2"/>
          <w:kern w:val="2"/>
          <w:sz w:val="24"/>
          <w:szCs w:val="24"/>
          <w:highlight w:val="none"/>
          <w:lang w:val="en-US" w:eastAsia="en-US" w:bidi="ar-SA"/>
        </w:rPr>
        <w:t>必须在检验合格经采购人同意后，方可用于本项目。</w:t>
      </w:r>
    </w:p>
    <w:p w14:paraId="0A958CC7">
      <w:pPr>
        <w:keepNext w:val="0"/>
        <w:keepLines w:val="0"/>
        <w:pageBreakBefore w:val="0"/>
        <w:widowControl w:val="0"/>
        <w:kinsoku/>
        <w:wordWrap/>
        <w:overflowPunct/>
        <w:topLinePunct w:val="0"/>
        <w:bidi w:val="0"/>
        <w:snapToGrid/>
        <w:spacing w:line="480" w:lineRule="exact"/>
        <w:ind w:firstLine="472" w:firstLineChars="200"/>
        <w:jc w:val="both"/>
        <w:textAlignment w:val="auto"/>
        <w:rPr>
          <w:rFonts w:hint="eastAsia" w:ascii="宋体" w:hAnsi="宋体" w:eastAsia="宋体" w:cs="宋体"/>
          <w:color w:val="auto"/>
          <w:spacing w:val="-2"/>
          <w:kern w:val="2"/>
          <w:sz w:val="24"/>
          <w:szCs w:val="24"/>
          <w:highlight w:val="none"/>
          <w:lang w:val="zh-CN" w:eastAsia="en-US" w:bidi="ar-SA"/>
        </w:rPr>
      </w:pPr>
      <w:r>
        <w:rPr>
          <w:rFonts w:hint="eastAsia" w:ascii="宋体" w:hAnsi="宋体" w:cs="宋体"/>
          <w:color w:val="auto"/>
          <w:spacing w:val="-2"/>
          <w:kern w:val="2"/>
          <w:sz w:val="24"/>
          <w:szCs w:val="24"/>
          <w:highlight w:val="none"/>
          <w:lang w:val="en-US" w:eastAsia="zh-CN" w:bidi="ar-SA"/>
        </w:rPr>
        <w:t>10.3</w:t>
      </w:r>
      <w:r>
        <w:rPr>
          <w:rFonts w:hint="eastAsia" w:ascii="宋体" w:hAnsi="宋体" w:eastAsia="宋体" w:cs="宋体"/>
          <w:color w:val="auto"/>
          <w:spacing w:val="-2"/>
          <w:kern w:val="2"/>
          <w:sz w:val="24"/>
          <w:szCs w:val="24"/>
          <w:highlight w:val="none"/>
          <w:lang w:val="zh-CN" w:eastAsia="en-US" w:bidi="ar-S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CE091AC">
      <w:pPr>
        <w:pStyle w:val="17"/>
        <w:keepNext w:val="0"/>
        <w:keepLines w:val="0"/>
        <w:pageBreakBefore w:val="0"/>
        <w:widowControl w:val="0"/>
        <w:kinsoku/>
        <w:wordWrap/>
        <w:overflowPunct/>
        <w:topLinePunct w:val="0"/>
        <w:bidi w:val="0"/>
        <w:snapToGrid w:val="0"/>
        <w:spacing w:line="480" w:lineRule="exact"/>
        <w:ind w:firstLine="480"/>
        <w:textAlignment w:val="auto"/>
        <w:rPr>
          <w:color w:val="auto"/>
          <w:sz w:val="24"/>
          <w:szCs w:val="24"/>
          <w:highlight w:val="none"/>
        </w:rPr>
      </w:pPr>
      <w:r>
        <w:rPr>
          <w:rFonts w:hint="eastAsia" w:hAnsi="宋体" w:cs="宋体"/>
          <w:color w:val="auto"/>
          <w:spacing w:val="-2"/>
          <w:kern w:val="2"/>
          <w:sz w:val="24"/>
          <w:szCs w:val="24"/>
          <w:highlight w:val="none"/>
          <w:lang w:val="en-US" w:eastAsia="zh-CN" w:bidi="ar-SA"/>
        </w:rPr>
        <w:t>10.4</w:t>
      </w:r>
      <w:r>
        <w:rPr>
          <w:rFonts w:hint="eastAsia" w:ascii="宋体" w:hAnsi="宋体" w:eastAsia="宋体" w:cs="宋体"/>
          <w:color w:val="auto"/>
          <w:spacing w:val="-2"/>
          <w:kern w:val="2"/>
          <w:sz w:val="24"/>
          <w:szCs w:val="24"/>
          <w:highlight w:val="none"/>
          <w:lang w:val="en-US" w:eastAsia="en-US" w:bidi="ar-SA"/>
        </w:rPr>
        <w:t>产品须提供出厂合格证或质量保证证明、规格说明书、操作说明书、保修维护手册等，包括不限于成册的纸质台账和电子材料。</w:t>
      </w:r>
    </w:p>
    <w:p w14:paraId="32C6D240">
      <w:pPr>
        <w:pStyle w:val="17"/>
        <w:adjustRightInd w:val="0"/>
        <w:snapToGrid w:val="0"/>
        <w:spacing w:line="420" w:lineRule="exact"/>
        <w:ind w:firstLine="482" w:firstLineChars="200"/>
        <w:rPr>
          <w:rFonts w:hint="eastAsia" w:cs="Times New Roman"/>
          <w:b/>
          <w:color w:val="auto"/>
          <w:sz w:val="24"/>
          <w:szCs w:val="24"/>
          <w:highlight w:val="none"/>
        </w:rPr>
      </w:pPr>
      <w:r>
        <w:rPr>
          <w:rFonts w:hint="eastAsia" w:cs="Times New Roman"/>
          <w:b/>
          <w:color w:val="auto"/>
          <w:sz w:val="24"/>
          <w:szCs w:val="24"/>
          <w:highlight w:val="none"/>
          <w:lang w:val="en-US" w:eastAsia="zh-CN"/>
        </w:rPr>
        <w:t>第</w:t>
      </w:r>
      <w:r>
        <w:rPr>
          <w:rFonts w:hint="eastAsia" w:cs="Times New Roman"/>
          <w:b/>
          <w:color w:val="auto"/>
          <w:sz w:val="24"/>
          <w:szCs w:val="24"/>
          <w:highlight w:val="none"/>
        </w:rPr>
        <w:t>五</w:t>
      </w:r>
      <w:r>
        <w:rPr>
          <w:rFonts w:hint="eastAsia" w:cs="Times New Roman"/>
          <w:b/>
          <w:color w:val="auto"/>
          <w:sz w:val="24"/>
          <w:szCs w:val="24"/>
          <w:highlight w:val="none"/>
          <w:lang w:val="en-US" w:eastAsia="zh-CN"/>
        </w:rPr>
        <w:t>条</w:t>
      </w:r>
      <w:r>
        <w:rPr>
          <w:rFonts w:hint="eastAsia" w:cs="Times New Roman"/>
          <w:b/>
          <w:color w:val="auto"/>
          <w:sz w:val="24"/>
          <w:szCs w:val="24"/>
          <w:highlight w:val="none"/>
        </w:rPr>
        <w:t>、技术资料</w:t>
      </w:r>
    </w:p>
    <w:p w14:paraId="0EB0BC11">
      <w:pPr>
        <w:pStyle w:val="17"/>
        <w:snapToGrid w:val="0"/>
        <w:spacing w:line="420" w:lineRule="exact"/>
        <w:ind w:firstLine="480"/>
        <w:rPr>
          <w:color w:val="auto"/>
          <w:sz w:val="24"/>
          <w:szCs w:val="24"/>
          <w:highlight w:val="none"/>
        </w:rPr>
      </w:pPr>
      <w:r>
        <w:rPr>
          <w:color w:val="auto"/>
          <w:sz w:val="24"/>
          <w:szCs w:val="24"/>
          <w:highlight w:val="none"/>
        </w:rPr>
        <w:t>1</w:t>
      </w:r>
      <w:r>
        <w:rPr>
          <w:rFonts w:hint="eastAsia"/>
          <w:color w:val="auto"/>
          <w:sz w:val="24"/>
          <w:szCs w:val="24"/>
          <w:highlight w:val="none"/>
        </w:rPr>
        <w:t>.</w:t>
      </w:r>
      <w:r>
        <w:rPr>
          <w:color w:val="auto"/>
          <w:sz w:val="24"/>
          <w:szCs w:val="24"/>
          <w:highlight w:val="none"/>
        </w:rPr>
        <w:t>乙方应按招标文件规定的时间向甲方提供使用货物的有关技术资料。</w:t>
      </w:r>
    </w:p>
    <w:p w14:paraId="731990B0">
      <w:pPr>
        <w:pStyle w:val="17"/>
        <w:snapToGrid w:val="0"/>
        <w:spacing w:line="420" w:lineRule="exact"/>
        <w:ind w:firstLine="48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938C90B">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w:t>
      </w:r>
      <w:r>
        <w:rPr>
          <w:rFonts w:hint="eastAsia"/>
          <w:b/>
          <w:color w:val="auto"/>
          <w:sz w:val="24"/>
          <w:szCs w:val="24"/>
          <w:highlight w:val="none"/>
        </w:rPr>
        <w:t>六</w:t>
      </w:r>
      <w:r>
        <w:rPr>
          <w:rFonts w:hint="eastAsia"/>
          <w:b/>
          <w:color w:val="auto"/>
          <w:sz w:val="24"/>
          <w:szCs w:val="24"/>
          <w:highlight w:val="none"/>
          <w:lang w:val="en-US" w:eastAsia="zh-CN"/>
        </w:rPr>
        <w:t>条</w:t>
      </w:r>
      <w:r>
        <w:rPr>
          <w:b/>
          <w:color w:val="auto"/>
          <w:sz w:val="24"/>
          <w:szCs w:val="24"/>
          <w:highlight w:val="none"/>
        </w:rPr>
        <w:t>、知识产权</w:t>
      </w:r>
    </w:p>
    <w:p w14:paraId="773C8109">
      <w:pPr>
        <w:pStyle w:val="17"/>
        <w:snapToGrid w:val="0"/>
        <w:spacing w:line="420" w:lineRule="exact"/>
        <w:rPr>
          <w:bCs/>
          <w:color w:val="auto"/>
          <w:sz w:val="24"/>
          <w:szCs w:val="24"/>
          <w:highlight w:val="none"/>
        </w:rPr>
      </w:pPr>
      <w:r>
        <w:rPr>
          <w:color w:val="auto"/>
          <w:sz w:val="24"/>
          <w:szCs w:val="24"/>
          <w:highlight w:val="none"/>
        </w:rPr>
        <w:t>乙方应保证所提供的货物或其任何一部分均不会侵犯任何第三方的知识产权</w:t>
      </w:r>
      <w:r>
        <w:rPr>
          <w:bCs/>
          <w:color w:val="auto"/>
          <w:sz w:val="24"/>
          <w:szCs w:val="24"/>
          <w:highlight w:val="none"/>
        </w:rPr>
        <w:t>。</w:t>
      </w:r>
    </w:p>
    <w:p w14:paraId="22AA9CE6">
      <w:pPr>
        <w:pStyle w:val="17"/>
        <w:snapToGrid w:val="0"/>
        <w:spacing w:line="420" w:lineRule="exact"/>
        <w:ind w:firstLine="482" w:firstLineChars="200"/>
        <w:rPr>
          <w:color w:val="auto"/>
          <w:sz w:val="24"/>
          <w:szCs w:val="24"/>
          <w:highlight w:val="none"/>
          <w:u w:val="single"/>
        </w:rPr>
      </w:pPr>
      <w:r>
        <w:rPr>
          <w:rFonts w:hint="eastAsia"/>
          <w:b/>
          <w:color w:val="auto"/>
          <w:sz w:val="24"/>
          <w:szCs w:val="24"/>
          <w:highlight w:val="none"/>
          <w:lang w:val="en-US" w:eastAsia="zh-CN"/>
        </w:rPr>
        <w:t>第七条</w:t>
      </w:r>
      <w:r>
        <w:rPr>
          <w:b/>
          <w:color w:val="auto"/>
          <w:sz w:val="24"/>
          <w:szCs w:val="24"/>
          <w:highlight w:val="none"/>
        </w:rPr>
        <w:t>、产权担保</w:t>
      </w:r>
    </w:p>
    <w:p w14:paraId="109C16C4">
      <w:pPr>
        <w:pStyle w:val="17"/>
        <w:snapToGrid w:val="0"/>
        <w:spacing w:line="420" w:lineRule="exact"/>
        <w:rPr>
          <w:color w:val="auto"/>
          <w:sz w:val="24"/>
          <w:szCs w:val="24"/>
          <w:highlight w:val="none"/>
          <w:u w:val="single"/>
        </w:rPr>
      </w:pPr>
      <w:r>
        <w:rPr>
          <w:color w:val="auto"/>
          <w:sz w:val="24"/>
          <w:szCs w:val="24"/>
          <w:highlight w:val="none"/>
        </w:rPr>
        <w:t>乙方保证所交付的货物的所有权完全属于乙方且无任何抵押、查封等产权瑕疵。</w:t>
      </w:r>
    </w:p>
    <w:p w14:paraId="2ADE5EE7">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第八条</w:t>
      </w:r>
      <w:r>
        <w:rPr>
          <w:rFonts w:hint="eastAsia"/>
          <w:b/>
          <w:color w:val="auto"/>
          <w:sz w:val="24"/>
          <w:szCs w:val="24"/>
          <w:highlight w:val="none"/>
        </w:rPr>
        <w:t>、转包或分包</w:t>
      </w:r>
    </w:p>
    <w:p w14:paraId="2BB44D33">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.本合同范围的货物，应由</w:t>
      </w:r>
      <w:r>
        <w:rPr>
          <w:bCs/>
          <w:color w:val="auto"/>
          <w:sz w:val="24"/>
          <w:szCs w:val="24"/>
          <w:highlight w:val="none"/>
        </w:rPr>
        <w:t>乙</w:t>
      </w:r>
      <w:r>
        <w:rPr>
          <w:rFonts w:hint="eastAsia"/>
          <w:bCs/>
          <w:color w:val="auto"/>
          <w:sz w:val="24"/>
          <w:szCs w:val="24"/>
          <w:highlight w:val="none"/>
        </w:rPr>
        <w:t>方直接供应，不得转让他人供应；</w:t>
      </w:r>
    </w:p>
    <w:p w14:paraId="21494F67">
      <w:pPr>
        <w:pStyle w:val="17"/>
        <w:snapToGrid w:val="0"/>
        <w:spacing w:line="420" w:lineRule="exact"/>
        <w:rPr>
          <w:bCs/>
          <w:color w:val="auto"/>
          <w:sz w:val="24"/>
          <w:szCs w:val="24"/>
          <w:highlight w:val="none"/>
        </w:rPr>
      </w:pPr>
      <w:r>
        <w:rPr>
          <w:rFonts w:hint="eastAsia"/>
          <w:bCs/>
          <w:color w:val="auto"/>
          <w:sz w:val="24"/>
          <w:szCs w:val="24"/>
          <w:highlight w:val="none"/>
        </w:rPr>
        <w:t xml:space="preserve">   </w:t>
      </w:r>
      <w:r>
        <w:rPr>
          <w:rFonts w:hint="eastAsia"/>
          <w:bCs/>
          <w:color w:val="auto"/>
          <w:sz w:val="24"/>
          <w:szCs w:val="24"/>
          <w:highlight w:val="none"/>
          <w:lang w:val="en-US" w:eastAsia="zh-CN"/>
        </w:rPr>
        <w:t xml:space="preserve"> </w:t>
      </w:r>
      <w:r>
        <w:rPr>
          <w:rFonts w:hint="eastAsia"/>
          <w:bCs/>
          <w:color w:val="auto"/>
          <w:sz w:val="24"/>
          <w:szCs w:val="24"/>
          <w:highlight w:val="none"/>
        </w:rPr>
        <w:t>2.如有转让和分包行为，</w:t>
      </w:r>
      <w:r>
        <w:rPr>
          <w:bCs/>
          <w:color w:val="auto"/>
          <w:sz w:val="24"/>
          <w:szCs w:val="24"/>
          <w:highlight w:val="none"/>
        </w:rPr>
        <w:t>甲</w:t>
      </w:r>
      <w:r>
        <w:rPr>
          <w:rFonts w:hint="eastAsia"/>
          <w:bCs/>
          <w:color w:val="auto"/>
          <w:sz w:val="24"/>
          <w:szCs w:val="24"/>
          <w:highlight w:val="none"/>
        </w:rPr>
        <w:t>方有权解除合同，没收履约保证金并追究乙方的违约责任。</w:t>
      </w:r>
    </w:p>
    <w:p w14:paraId="064BBD5A">
      <w:pPr>
        <w:pStyle w:val="17"/>
        <w:snapToGrid w:val="0"/>
        <w:spacing w:line="420" w:lineRule="exact"/>
        <w:ind w:firstLine="482" w:firstLineChars="200"/>
        <w:rPr>
          <w:color w:val="auto"/>
          <w:sz w:val="24"/>
          <w:szCs w:val="24"/>
          <w:highlight w:val="none"/>
        </w:rPr>
      </w:pPr>
      <w:r>
        <w:rPr>
          <w:rFonts w:hint="eastAsia"/>
          <w:b/>
          <w:color w:val="auto"/>
          <w:sz w:val="24"/>
          <w:szCs w:val="24"/>
          <w:highlight w:val="none"/>
          <w:lang w:val="en-US" w:eastAsia="zh-CN"/>
        </w:rPr>
        <w:t>第九条</w:t>
      </w:r>
      <w:r>
        <w:rPr>
          <w:b/>
          <w:color w:val="auto"/>
          <w:sz w:val="24"/>
          <w:szCs w:val="24"/>
          <w:highlight w:val="none"/>
        </w:rPr>
        <w:t>、质保期</w:t>
      </w:r>
    </w:p>
    <w:p w14:paraId="4C32DD9A">
      <w:pPr>
        <w:pStyle w:val="17"/>
        <w:snapToGrid w:val="0"/>
        <w:spacing w:line="420" w:lineRule="exact"/>
        <w:ind w:firstLine="240" w:firstLineChars="1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 xml:space="preserve"> 质保期 </w:t>
      </w:r>
      <w:r>
        <w:rPr>
          <w:rFonts w:hint="eastAsia"/>
          <w:bCs/>
          <w:color w:val="auto"/>
          <w:sz w:val="24"/>
          <w:szCs w:val="24"/>
          <w:highlight w:val="none"/>
          <w:lang w:val="en-US" w:eastAsia="zh-CN"/>
        </w:rPr>
        <w:t xml:space="preserve"> </w:t>
      </w:r>
      <w:r>
        <w:rPr>
          <w:bCs/>
          <w:color w:val="auto"/>
          <w:sz w:val="24"/>
          <w:szCs w:val="24"/>
          <w:highlight w:val="none"/>
        </w:rPr>
        <w:t>年。（自交货验收合格之日起计）</w:t>
      </w:r>
    </w:p>
    <w:p w14:paraId="7038473C">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w:t>
      </w:r>
      <w:r>
        <w:rPr>
          <w:rFonts w:hint="eastAsia"/>
          <w:b/>
          <w:color w:val="auto"/>
          <w:sz w:val="24"/>
          <w:szCs w:val="24"/>
          <w:highlight w:val="none"/>
        </w:rPr>
        <w:t>十</w:t>
      </w:r>
      <w:r>
        <w:rPr>
          <w:rFonts w:hint="eastAsia"/>
          <w:b/>
          <w:color w:val="auto"/>
          <w:sz w:val="24"/>
          <w:szCs w:val="24"/>
          <w:highlight w:val="none"/>
          <w:lang w:val="en-US" w:eastAsia="zh-CN"/>
        </w:rPr>
        <w:t>条</w:t>
      </w:r>
      <w:r>
        <w:rPr>
          <w:b/>
          <w:color w:val="auto"/>
          <w:sz w:val="24"/>
          <w:szCs w:val="24"/>
          <w:highlight w:val="none"/>
        </w:rPr>
        <w:t>、交货期、交货方式及交货地点</w:t>
      </w:r>
      <w:r>
        <w:rPr>
          <w:rFonts w:hint="eastAsia"/>
          <w:b/>
          <w:color w:val="auto"/>
          <w:sz w:val="24"/>
          <w:szCs w:val="24"/>
          <w:highlight w:val="none"/>
        </w:rPr>
        <w:t>及安装</w:t>
      </w:r>
    </w:p>
    <w:p w14:paraId="3C536F1A">
      <w:pPr>
        <w:pStyle w:val="17"/>
        <w:snapToGrid w:val="0"/>
        <w:spacing w:line="420" w:lineRule="exact"/>
        <w:ind w:firstLine="480" w:firstLineChars="200"/>
        <w:rPr>
          <w:bCs/>
          <w:color w:val="auto"/>
          <w:sz w:val="24"/>
          <w:szCs w:val="24"/>
          <w:highlight w:val="none"/>
        </w:rPr>
      </w:pPr>
      <w:r>
        <w:rPr>
          <w:rFonts w:hint="eastAsia"/>
          <w:color w:val="auto"/>
          <w:sz w:val="24"/>
          <w:szCs w:val="24"/>
          <w:highlight w:val="none"/>
        </w:rPr>
        <w:t>合同签订后</w:t>
      </w:r>
      <w:r>
        <w:rPr>
          <w:rFonts w:hint="eastAsia"/>
          <w:color w:val="auto"/>
          <w:sz w:val="24"/>
          <w:szCs w:val="24"/>
          <w:highlight w:val="none"/>
          <w:lang w:val="en-US" w:eastAsia="zh-CN"/>
        </w:rPr>
        <w:t>根据采购人的要求</w:t>
      </w:r>
      <w:r>
        <w:rPr>
          <w:rFonts w:hint="eastAsia"/>
          <w:color w:val="auto"/>
          <w:sz w:val="24"/>
          <w:szCs w:val="24"/>
          <w:highlight w:val="none"/>
        </w:rPr>
        <w:t>完成所有</w:t>
      </w:r>
      <w:r>
        <w:rPr>
          <w:rFonts w:hint="eastAsia"/>
          <w:bCs/>
          <w:color w:val="auto"/>
          <w:sz w:val="24"/>
          <w:szCs w:val="24"/>
          <w:highlight w:val="none"/>
        </w:rPr>
        <w:t>设备及相关配件的供货、调试工作，并达到良好的使用状态</w:t>
      </w:r>
      <w:r>
        <w:rPr>
          <w:rFonts w:hint="eastAsia"/>
          <w:color w:val="auto"/>
          <w:sz w:val="24"/>
          <w:szCs w:val="24"/>
          <w:highlight w:val="none"/>
        </w:rPr>
        <w:t>，具体工期安照施工进度。</w:t>
      </w:r>
      <w:r>
        <w:rPr>
          <w:bCs/>
          <w:color w:val="auto"/>
          <w:sz w:val="24"/>
          <w:szCs w:val="24"/>
          <w:highlight w:val="none"/>
        </w:rPr>
        <w:t>由采购单位通知供货单位具体交货数量，并交货至使用单位指定地点。</w:t>
      </w:r>
    </w:p>
    <w:p w14:paraId="71D240B0">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第十一条</w:t>
      </w:r>
      <w:r>
        <w:rPr>
          <w:b/>
          <w:color w:val="auto"/>
          <w:sz w:val="24"/>
          <w:szCs w:val="24"/>
          <w:highlight w:val="none"/>
        </w:rPr>
        <w:t>、</w:t>
      </w:r>
      <w:r>
        <w:rPr>
          <w:rFonts w:hint="eastAsia"/>
          <w:b/>
          <w:color w:val="auto"/>
          <w:sz w:val="24"/>
          <w:szCs w:val="24"/>
          <w:highlight w:val="none"/>
        </w:rPr>
        <w:t>工程</w:t>
      </w:r>
      <w:r>
        <w:rPr>
          <w:b/>
          <w:color w:val="auto"/>
          <w:sz w:val="24"/>
          <w:szCs w:val="24"/>
          <w:highlight w:val="none"/>
        </w:rPr>
        <w:t>款</w:t>
      </w:r>
      <w:r>
        <w:rPr>
          <w:rFonts w:hint="eastAsia"/>
          <w:b/>
          <w:color w:val="auto"/>
          <w:sz w:val="24"/>
          <w:szCs w:val="24"/>
          <w:highlight w:val="none"/>
        </w:rPr>
        <w:t>结算与</w:t>
      </w:r>
      <w:r>
        <w:rPr>
          <w:b/>
          <w:color w:val="auto"/>
          <w:sz w:val="24"/>
          <w:szCs w:val="24"/>
          <w:highlight w:val="none"/>
        </w:rPr>
        <w:t>支付</w:t>
      </w:r>
    </w:p>
    <w:p w14:paraId="18EAC28F">
      <w:pPr>
        <w:pStyle w:val="17"/>
        <w:keepNext w:val="0"/>
        <w:keepLines w:val="0"/>
        <w:pageBreakBefore w:val="0"/>
        <w:widowControl w:val="0"/>
        <w:kinsoku/>
        <w:wordWrap/>
        <w:overflowPunct/>
        <w:topLinePunct w:val="0"/>
        <w:autoSpaceDE/>
        <w:autoSpaceDN/>
        <w:bidi w:val="0"/>
        <w:adjustRightInd/>
        <w:snapToGrid w:val="0"/>
        <w:spacing w:line="460" w:lineRule="exact"/>
        <w:ind w:firstLine="465"/>
        <w:textAlignment w:val="auto"/>
        <w:rPr>
          <w:color w:val="auto"/>
          <w:sz w:val="24"/>
          <w:szCs w:val="24"/>
          <w:highlight w:val="none"/>
        </w:rPr>
      </w:pPr>
      <w:r>
        <w:rPr>
          <w:rFonts w:hint="eastAsia"/>
          <w:color w:val="auto"/>
          <w:sz w:val="24"/>
          <w:szCs w:val="24"/>
          <w:highlight w:val="none"/>
        </w:rPr>
        <w:t>工程款的结算：工程量按实调整，综合单价按投标报价的综合单价不作调整。</w:t>
      </w:r>
    </w:p>
    <w:p w14:paraId="608D808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both"/>
        <w:textAlignment w:val="auto"/>
        <w:rPr>
          <w:rFonts w:hint="eastAsia" w:cs="宋体"/>
          <w:color w:val="auto"/>
          <w:szCs w:val="24"/>
          <w:highlight w:val="none"/>
        </w:rPr>
      </w:pPr>
      <w:r>
        <w:rPr>
          <w:rFonts w:hint="default" w:cs="宋体"/>
          <w:color w:val="auto"/>
          <w:szCs w:val="24"/>
          <w:highlight w:val="none"/>
          <w:woUserID w:val="1"/>
        </w:rPr>
        <w:t xml:space="preserve">    </w:t>
      </w:r>
      <w:r>
        <w:rPr>
          <w:rFonts w:hint="eastAsia" w:cs="宋体"/>
          <w:color w:val="auto"/>
          <w:szCs w:val="24"/>
          <w:highlight w:val="none"/>
        </w:rPr>
        <w:t>付款方式：</w:t>
      </w:r>
    </w:p>
    <w:p w14:paraId="0CD95E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72" w:firstLineChars="200"/>
        <w:jc w:val="both"/>
        <w:textAlignment w:val="auto"/>
        <w:rPr>
          <w:rFonts w:hint="eastAsia" w:ascii="宋体" w:hAnsi="宋体" w:eastAsia="宋体" w:cs="宋体"/>
          <w:color w:val="auto"/>
          <w:spacing w:val="-2"/>
          <w:kern w:val="2"/>
          <w:sz w:val="24"/>
          <w:szCs w:val="24"/>
          <w:highlight w:val="none"/>
          <w:lang w:val="en-US" w:eastAsia="en-US" w:bidi="ar-SA"/>
          <w:woUserID w:val="1"/>
        </w:rPr>
      </w:pPr>
      <w:r>
        <w:rPr>
          <w:rFonts w:hint="eastAsia" w:ascii="宋体" w:hAnsi="宋体" w:cs="宋体"/>
          <w:color w:val="auto"/>
          <w:spacing w:val="-2"/>
          <w:kern w:val="2"/>
          <w:sz w:val="24"/>
          <w:szCs w:val="24"/>
          <w:highlight w:val="none"/>
          <w:lang w:val="en-US" w:eastAsia="zh-CN" w:bidi="ar-SA"/>
          <w:woUserID w:val="1"/>
        </w:rPr>
        <w:t>1、</w:t>
      </w:r>
      <w:r>
        <w:rPr>
          <w:rFonts w:hint="eastAsia" w:ascii="宋体" w:hAnsi="宋体" w:eastAsia="宋体" w:cs="宋体"/>
          <w:color w:val="auto"/>
          <w:spacing w:val="-2"/>
          <w:kern w:val="2"/>
          <w:sz w:val="24"/>
          <w:szCs w:val="24"/>
          <w:highlight w:val="none"/>
          <w:lang w:val="en-US" w:eastAsia="en-US" w:bidi="ar-SA"/>
          <w:woUserID w:val="1"/>
        </w:rPr>
        <w:t>合同签订后</w:t>
      </w:r>
      <w:r>
        <w:rPr>
          <w:rFonts w:hint="default" w:cs="宋体"/>
          <w:color w:val="auto"/>
          <w:spacing w:val="-2"/>
          <w:kern w:val="2"/>
          <w:sz w:val="24"/>
          <w:szCs w:val="24"/>
          <w:highlight w:val="none"/>
          <w:lang w:eastAsia="en-US" w:bidi="ar-SA"/>
          <w:woUserID w:val="1"/>
        </w:rPr>
        <w:t>主材到货后付至合同价款</w:t>
      </w:r>
      <w:r>
        <w:rPr>
          <w:rFonts w:hint="eastAsia" w:ascii="宋体" w:hAnsi="宋体" w:eastAsia="宋体" w:cs="宋体"/>
          <w:color w:val="auto"/>
          <w:spacing w:val="-2"/>
          <w:kern w:val="2"/>
          <w:sz w:val="24"/>
          <w:szCs w:val="24"/>
          <w:highlight w:val="none"/>
          <w:lang w:val="en-US" w:eastAsia="en-US" w:bidi="ar-SA"/>
          <w:woUserID w:val="1"/>
        </w:rPr>
        <w:t>的</w:t>
      </w:r>
      <w:r>
        <w:rPr>
          <w:rFonts w:hint="default" w:cs="宋体"/>
          <w:color w:val="auto"/>
          <w:spacing w:val="-2"/>
          <w:kern w:val="2"/>
          <w:sz w:val="24"/>
          <w:szCs w:val="24"/>
          <w:highlight w:val="none"/>
          <w:lang w:eastAsia="en-US" w:bidi="ar-SA"/>
          <w:woUserID w:val="1"/>
        </w:rPr>
        <w:t>4</w:t>
      </w:r>
      <w:r>
        <w:rPr>
          <w:rFonts w:hint="eastAsia" w:ascii="宋体" w:hAnsi="宋体" w:eastAsia="宋体" w:cs="宋体"/>
          <w:color w:val="auto"/>
          <w:spacing w:val="-2"/>
          <w:kern w:val="2"/>
          <w:sz w:val="24"/>
          <w:szCs w:val="24"/>
          <w:highlight w:val="none"/>
          <w:lang w:val="en-US" w:eastAsia="en-US" w:bidi="ar-SA"/>
          <w:woUserID w:val="1"/>
        </w:rPr>
        <w:t>0%，工程完工验收合格后支付至合同价款的70%；</w:t>
      </w:r>
    </w:p>
    <w:p w14:paraId="28A876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72" w:firstLineChars="200"/>
        <w:jc w:val="both"/>
        <w:textAlignment w:val="auto"/>
        <w:rPr>
          <w:rFonts w:hint="eastAsia" w:ascii="宋体" w:hAnsi="宋体" w:eastAsia="宋体" w:cs="宋体"/>
          <w:color w:val="auto"/>
          <w:spacing w:val="-2"/>
          <w:kern w:val="2"/>
          <w:sz w:val="24"/>
          <w:szCs w:val="24"/>
          <w:highlight w:val="none"/>
          <w:lang w:val="en-US" w:eastAsia="en-US" w:bidi="ar-SA"/>
          <w:woUserID w:val="1"/>
        </w:rPr>
      </w:pPr>
      <w:r>
        <w:rPr>
          <w:rFonts w:hint="eastAsia" w:ascii="宋体" w:hAnsi="宋体" w:cs="宋体"/>
          <w:i w:val="0"/>
          <w:color w:val="auto"/>
          <w:spacing w:val="-2"/>
          <w:kern w:val="2"/>
          <w:sz w:val="24"/>
          <w:szCs w:val="24"/>
          <w:highlight w:val="none"/>
          <w:u w:val="none"/>
          <w:lang w:val="en-US" w:eastAsia="zh-CN" w:bidi="ar-SA"/>
          <w:woUserID w:val="1"/>
        </w:rPr>
        <w:t>2、</w:t>
      </w:r>
      <w:r>
        <w:rPr>
          <w:rFonts w:hint="eastAsia" w:ascii="宋体" w:hAnsi="宋体" w:eastAsia="宋体" w:cs="宋体"/>
          <w:i w:val="0"/>
          <w:color w:val="auto"/>
          <w:spacing w:val="-2"/>
          <w:kern w:val="2"/>
          <w:sz w:val="24"/>
          <w:szCs w:val="24"/>
          <w:highlight w:val="none"/>
          <w:u w:val="none"/>
          <w:lang w:val="en-US" w:eastAsia="en-US" w:bidi="ar-SA"/>
          <w:woUserID w:val="1"/>
        </w:rPr>
        <w:t>工程结算由建设单位 (或委托有资质的第三方中介机构) 审定，支付至工程结算价的</w:t>
      </w:r>
      <w:r>
        <w:rPr>
          <w:rFonts w:hint="eastAsia" w:ascii="宋体" w:hAnsi="宋体" w:cs="宋体"/>
          <w:i w:val="0"/>
          <w:color w:val="auto"/>
          <w:spacing w:val="-2"/>
          <w:kern w:val="2"/>
          <w:sz w:val="24"/>
          <w:szCs w:val="24"/>
          <w:highlight w:val="none"/>
          <w:u w:val="none"/>
          <w:lang w:val="en-US" w:eastAsia="zh-CN" w:bidi="ar-SA"/>
          <w:woUserID w:val="1"/>
        </w:rPr>
        <w:t>8</w:t>
      </w:r>
      <w:r>
        <w:rPr>
          <w:rFonts w:hint="eastAsia" w:ascii="宋体" w:hAnsi="宋体" w:eastAsia="宋体" w:cs="宋体"/>
          <w:i w:val="0"/>
          <w:color w:val="auto"/>
          <w:spacing w:val="-2"/>
          <w:kern w:val="2"/>
          <w:sz w:val="24"/>
          <w:szCs w:val="24"/>
          <w:highlight w:val="none"/>
          <w:u w:val="none"/>
          <w:lang w:val="en-US" w:eastAsia="en-US" w:bidi="ar-SA"/>
          <w:woUserID w:val="1"/>
        </w:rPr>
        <w:t>0%</w:t>
      </w:r>
      <w:r>
        <w:rPr>
          <w:rFonts w:hint="default" w:ascii="宋体" w:hAnsi="宋体" w:eastAsia="宋体" w:cs="宋体"/>
          <w:color w:val="auto"/>
          <w:spacing w:val="-2"/>
          <w:kern w:val="2"/>
          <w:sz w:val="24"/>
          <w:szCs w:val="24"/>
          <w:highlight w:val="none"/>
          <w:lang w:eastAsia="en-US" w:bidi="ar-SA"/>
          <w:woUserID w:val="1"/>
        </w:rPr>
        <w:t>；</w:t>
      </w:r>
    </w:p>
    <w:p w14:paraId="012DE4F8">
      <w:pPr>
        <w:keepNext w:val="0"/>
        <w:keepLines w:val="0"/>
        <w:pageBreakBefore w:val="0"/>
        <w:widowControl w:val="0"/>
        <w:numPr>
          <w:ilvl w:val="0"/>
          <w:numId w:val="0"/>
        </w:numPr>
        <w:kinsoku/>
        <w:wordWrap/>
        <w:overflowPunct/>
        <w:topLinePunct w:val="0"/>
        <w:autoSpaceDE/>
        <w:autoSpaceDN/>
        <w:bidi w:val="0"/>
        <w:adjustRightInd/>
        <w:spacing w:line="460" w:lineRule="exact"/>
        <w:ind w:firstLine="472" w:firstLineChars="200"/>
        <w:textAlignment w:val="auto"/>
        <w:rPr>
          <w:rFonts w:cs="宋体"/>
          <w:color w:val="auto"/>
          <w:szCs w:val="24"/>
          <w:highlight w:val="none"/>
        </w:rPr>
      </w:pPr>
      <w:r>
        <w:rPr>
          <w:rFonts w:hint="eastAsia" w:ascii="宋体" w:hAnsi="宋体" w:cs="宋体"/>
          <w:color w:val="auto"/>
          <w:spacing w:val="-2"/>
          <w:kern w:val="2"/>
          <w:sz w:val="24"/>
          <w:szCs w:val="24"/>
          <w:highlight w:val="none"/>
          <w:lang w:val="en-US" w:eastAsia="zh-CN" w:bidi="ar-SA"/>
          <w:woUserID w:val="1"/>
        </w:rPr>
        <w:t>3、</w:t>
      </w:r>
      <w:r>
        <w:rPr>
          <w:rFonts w:hint="eastAsia" w:ascii="宋体" w:hAnsi="宋体" w:eastAsia="宋体" w:cs="宋体"/>
          <w:color w:val="auto"/>
          <w:spacing w:val="-2"/>
          <w:kern w:val="2"/>
          <w:sz w:val="24"/>
          <w:szCs w:val="24"/>
          <w:highlight w:val="none"/>
          <w:lang w:val="en-US" w:eastAsia="en-US" w:bidi="ar-SA"/>
          <w:woUserID w:val="1"/>
        </w:rPr>
        <w:t>余款作为质量保证金，</w:t>
      </w:r>
      <w:r>
        <w:rPr>
          <w:rFonts w:hint="default" w:ascii="宋体" w:hAnsi="宋体" w:cs="宋体"/>
          <w:color w:val="auto"/>
          <w:spacing w:val="-2"/>
          <w:kern w:val="2"/>
          <w:sz w:val="24"/>
          <w:szCs w:val="24"/>
          <w:highlight w:val="none"/>
          <w:lang w:eastAsia="en-US" w:bidi="ar-SA"/>
          <w:woUserID w:val="1"/>
        </w:rPr>
        <w:t>根据质保年限平均分配，每年支付当年度款项，待质保期满后7个工作日内全部付清(不计息）；</w:t>
      </w:r>
    </w:p>
    <w:p w14:paraId="03E68A13">
      <w:pPr>
        <w:keepNext w:val="0"/>
        <w:keepLines w:val="0"/>
        <w:pageBreakBefore w:val="0"/>
        <w:widowControl w:val="0"/>
        <w:numPr>
          <w:ilvl w:val="0"/>
          <w:numId w:val="0"/>
        </w:numPr>
        <w:kinsoku/>
        <w:wordWrap/>
        <w:overflowPunct/>
        <w:topLinePunct w:val="0"/>
        <w:autoSpaceDE/>
        <w:autoSpaceDN/>
        <w:bidi w:val="0"/>
        <w:adjustRightInd/>
        <w:spacing w:line="460" w:lineRule="exact"/>
        <w:ind w:firstLine="472" w:firstLineChars="200"/>
        <w:textAlignment w:val="auto"/>
        <w:rPr>
          <w:rFonts w:cs="宋体"/>
          <w:color w:val="auto"/>
          <w:szCs w:val="24"/>
          <w:highlight w:val="none"/>
        </w:rPr>
      </w:pPr>
      <w:r>
        <w:rPr>
          <w:rFonts w:hint="eastAsia" w:ascii="宋体" w:hAnsi="宋体" w:cs="宋体"/>
          <w:color w:val="auto"/>
          <w:spacing w:val="-2"/>
          <w:kern w:val="2"/>
          <w:sz w:val="24"/>
          <w:szCs w:val="24"/>
          <w:highlight w:val="none"/>
          <w:lang w:val="en-US" w:eastAsia="zh-CN" w:bidi="ar-SA"/>
          <w:woUserID w:val="1"/>
        </w:rPr>
        <w:t>4、</w:t>
      </w:r>
      <w:r>
        <w:rPr>
          <w:rFonts w:hint="default" w:ascii="宋体" w:hAnsi="宋体" w:cs="宋体"/>
          <w:color w:val="auto"/>
          <w:spacing w:val="-2"/>
          <w:kern w:val="2"/>
          <w:sz w:val="24"/>
          <w:szCs w:val="24"/>
          <w:highlight w:val="none"/>
          <w:lang w:eastAsia="en-US" w:bidi="ar-SA"/>
          <w:woUserID w:val="1"/>
        </w:rPr>
        <w:t>最终结算价不超过合同价</w:t>
      </w:r>
      <w:r>
        <w:rPr>
          <w:rFonts w:hint="eastAsia" w:ascii="宋体" w:hAnsi="宋体" w:eastAsia="宋体" w:cs="宋体"/>
          <w:color w:val="auto"/>
          <w:spacing w:val="-2"/>
          <w:kern w:val="2"/>
          <w:sz w:val="24"/>
          <w:szCs w:val="24"/>
          <w:highlight w:val="none"/>
          <w:lang w:val="en-US" w:eastAsia="en-US" w:bidi="ar-SA"/>
          <w:woUserID w:val="1"/>
        </w:rPr>
        <w:t>。</w:t>
      </w:r>
    </w:p>
    <w:p w14:paraId="35A79D0F">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w:t>
      </w:r>
      <w:r>
        <w:rPr>
          <w:rFonts w:hint="eastAsia"/>
          <w:b/>
          <w:color w:val="auto"/>
          <w:sz w:val="24"/>
          <w:szCs w:val="24"/>
          <w:highlight w:val="none"/>
        </w:rPr>
        <w:t>十</w:t>
      </w:r>
      <w:r>
        <w:rPr>
          <w:rFonts w:hint="eastAsia"/>
          <w:b/>
          <w:color w:val="auto"/>
          <w:sz w:val="24"/>
          <w:szCs w:val="24"/>
          <w:highlight w:val="none"/>
          <w:lang w:val="en-US" w:eastAsia="zh-CN"/>
        </w:rPr>
        <w:t>二条</w:t>
      </w:r>
      <w:r>
        <w:rPr>
          <w:rFonts w:hint="eastAsia"/>
          <w:b/>
          <w:color w:val="auto"/>
          <w:sz w:val="24"/>
          <w:szCs w:val="24"/>
          <w:highlight w:val="none"/>
        </w:rPr>
        <w:t>、税费</w:t>
      </w:r>
    </w:p>
    <w:p w14:paraId="28FD8DE6">
      <w:pPr>
        <w:pStyle w:val="17"/>
        <w:snapToGrid w:val="0"/>
        <w:spacing w:line="420" w:lineRule="exact"/>
        <w:rPr>
          <w:bCs/>
          <w:color w:val="auto"/>
          <w:sz w:val="24"/>
          <w:szCs w:val="24"/>
          <w:highlight w:val="none"/>
        </w:rPr>
      </w:pPr>
      <w:r>
        <w:rPr>
          <w:rFonts w:hint="eastAsia"/>
          <w:bCs/>
          <w:color w:val="auto"/>
          <w:sz w:val="24"/>
          <w:szCs w:val="24"/>
          <w:highlight w:val="none"/>
        </w:rPr>
        <w:t xml:space="preserve">    本合同执行中相关的一切税费均由</w:t>
      </w:r>
      <w:r>
        <w:rPr>
          <w:bCs/>
          <w:color w:val="auto"/>
          <w:sz w:val="24"/>
          <w:szCs w:val="24"/>
          <w:highlight w:val="none"/>
        </w:rPr>
        <w:t>乙</w:t>
      </w:r>
      <w:r>
        <w:rPr>
          <w:rFonts w:hint="eastAsia"/>
          <w:bCs/>
          <w:color w:val="auto"/>
          <w:sz w:val="24"/>
          <w:szCs w:val="24"/>
          <w:highlight w:val="none"/>
        </w:rPr>
        <w:t>方负担。</w:t>
      </w:r>
    </w:p>
    <w:p w14:paraId="20A6B7B3">
      <w:pPr>
        <w:pStyle w:val="17"/>
        <w:snapToGrid w:val="0"/>
        <w:spacing w:line="420" w:lineRule="exact"/>
        <w:ind w:firstLine="482" w:firstLineChars="200"/>
        <w:rPr>
          <w:color w:val="auto"/>
          <w:sz w:val="24"/>
          <w:szCs w:val="24"/>
          <w:highlight w:val="none"/>
        </w:rPr>
      </w:pPr>
      <w:r>
        <w:rPr>
          <w:rFonts w:hint="eastAsia"/>
          <w:b/>
          <w:color w:val="auto"/>
          <w:sz w:val="24"/>
          <w:szCs w:val="24"/>
          <w:highlight w:val="none"/>
          <w:lang w:val="en-US" w:eastAsia="zh-CN"/>
        </w:rPr>
        <w:t>第十三条</w:t>
      </w:r>
      <w:r>
        <w:rPr>
          <w:b/>
          <w:color w:val="auto"/>
          <w:sz w:val="24"/>
          <w:szCs w:val="24"/>
          <w:highlight w:val="none"/>
        </w:rPr>
        <w:t>、质量保证及售后服务</w:t>
      </w:r>
    </w:p>
    <w:p w14:paraId="7B040F79">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乙方应按招标文件规定的货物性能、技术要求、质量标准向甲方提供未经使用的全新产品。</w:t>
      </w:r>
    </w:p>
    <w:p w14:paraId="1B1D0F50">
      <w:pPr>
        <w:pStyle w:val="17"/>
        <w:snapToGrid w:val="0"/>
        <w:spacing w:line="420" w:lineRule="exact"/>
        <w:ind w:firstLine="480" w:firstLineChars="200"/>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乙方提供的货物在质</w:t>
      </w:r>
      <w:r>
        <w:rPr>
          <w:rFonts w:hint="eastAsia"/>
          <w:bCs/>
          <w:color w:val="auto"/>
          <w:sz w:val="24"/>
          <w:szCs w:val="24"/>
          <w:highlight w:val="none"/>
        </w:rPr>
        <w:t>保</w:t>
      </w:r>
      <w:r>
        <w:rPr>
          <w:bCs/>
          <w:color w:val="auto"/>
          <w:sz w:val="24"/>
          <w:szCs w:val="24"/>
          <w:highlight w:val="none"/>
        </w:rPr>
        <w:t>期内因货物本身的质量问题发生故障，乙方应负责免费更换。对达不到技术要求者，根据实际情况，经双方协商，可按以下办法处理：</w:t>
      </w:r>
    </w:p>
    <w:p w14:paraId="408FEC6B">
      <w:pPr>
        <w:pStyle w:val="17"/>
        <w:snapToGrid w:val="0"/>
        <w:spacing w:line="420" w:lineRule="exact"/>
        <w:ind w:firstLine="480" w:firstLineChars="200"/>
        <w:rPr>
          <w:bCs/>
          <w:color w:val="auto"/>
          <w:sz w:val="24"/>
          <w:szCs w:val="24"/>
          <w:highlight w:val="none"/>
        </w:rPr>
      </w:pPr>
      <w:r>
        <w:rPr>
          <w:bCs/>
          <w:color w:val="auto"/>
          <w:sz w:val="24"/>
          <w:szCs w:val="24"/>
          <w:highlight w:val="none"/>
        </w:rPr>
        <w:t>⑴更换：由乙方承担所发生的全部费用。</w:t>
      </w:r>
    </w:p>
    <w:p w14:paraId="07339503">
      <w:pPr>
        <w:pStyle w:val="17"/>
        <w:snapToGrid w:val="0"/>
        <w:spacing w:line="420" w:lineRule="exact"/>
        <w:ind w:firstLine="480" w:firstLineChars="200"/>
        <w:rPr>
          <w:bCs/>
          <w:color w:val="auto"/>
          <w:sz w:val="24"/>
          <w:szCs w:val="24"/>
          <w:highlight w:val="none"/>
        </w:rPr>
      </w:pPr>
      <w:r>
        <w:rPr>
          <w:bCs/>
          <w:color w:val="auto"/>
          <w:sz w:val="24"/>
          <w:szCs w:val="24"/>
          <w:highlight w:val="none"/>
        </w:rPr>
        <w:t>⑵贬值处理：由甲乙双方合议定价。</w:t>
      </w:r>
    </w:p>
    <w:p w14:paraId="7C9757D3">
      <w:pPr>
        <w:pStyle w:val="17"/>
        <w:snapToGrid w:val="0"/>
        <w:spacing w:line="420" w:lineRule="exact"/>
        <w:ind w:firstLine="480" w:firstLineChars="200"/>
        <w:rPr>
          <w:bCs/>
          <w:color w:val="auto"/>
          <w:sz w:val="24"/>
          <w:szCs w:val="24"/>
          <w:highlight w:val="none"/>
        </w:rPr>
      </w:pPr>
      <w:r>
        <w:rPr>
          <w:bCs/>
          <w:color w:val="auto"/>
          <w:sz w:val="24"/>
          <w:szCs w:val="24"/>
          <w:highlight w:val="none"/>
        </w:rPr>
        <w:t>⑶退货处理：乙方应退还甲方支付的合同款，同时应承担该货物的直接费用（运输、保险、检验、货款利息及银行手续费等）。</w:t>
      </w:r>
    </w:p>
    <w:p w14:paraId="17E069B7">
      <w:pPr>
        <w:pStyle w:val="17"/>
        <w:snapToGrid w:val="0"/>
        <w:spacing w:line="420" w:lineRule="exact"/>
        <w:ind w:firstLine="480" w:firstLineChars="200"/>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如在使用过程中发生质量问题，乙方在接到甲方通知后在△小时内到达甲方现场。</w:t>
      </w:r>
    </w:p>
    <w:p w14:paraId="7CE81B46">
      <w:pPr>
        <w:pStyle w:val="17"/>
        <w:snapToGrid w:val="0"/>
        <w:spacing w:line="420" w:lineRule="exact"/>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在质保期内，乙方应对货物出现的质量及安全问题负责处理解决并承担一切费用。</w:t>
      </w:r>
    </w:p>
    <w:p w14:paraId="10DFDD8B">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w:t>
      </w:r>
      <w:r>
        <w:rPr>
          <w:b/>
          <w:color w:val="auto"/>
          <w:sz w:val="24"/>
          <w:szCs w:val="24"/>
          <w:highlight w:val="none"/>
        </w:rPr>
        <w:t>十</w:t>
      </w:r>
      <w:r>
        <w:rPr>
          <w:rFonts w:hint="eastAsia"/>
          <w:b/>
          <w:color w:val="auto"/>
          <w:sz w:val="24"/>
          <w:szCs w:val="24"/>
          <w:highlight w:val="none"/>
          <w:lang w:val="en-US" w:eastAsia="zh-CN"/>
        </w:rPr>
        <w:t>四条</w:t>
      </w:r>
      <w:r>
        <w:rPr>
          <w:b/>
          <w:color w:val="auto"/>
          <w:sz w:val="24"/>
          <w:szCs w:val="24"/>
          <w:highlight w:val="none"/>
        </w:rPr>
        <w:t>、调试和验收</w:t>
      </w:r>
    </w:p>
    <w:p w14:paraId="6109C763">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F30A6ED">
      <w:pPr>
        <w:pStyle w:val="17"/>
        <w:snapToGrid w:val="0"/>
        <w:spacing w:line="420" w:lineRule="exact"/>
        <w:ind w:firstLine="480" w:firstLineChars="200"/>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 xml:space="preserve"> 乙方交货前应对产品作出全面检查和对验收文件进行整理，并列出清单，作为甲方收货验收和使用的技术条件依据，检验的结果应随货物交甲方。</w:t>
      </w:r>
    </w:p>
    <w:p w14:paraId="5F89C7C8">
      <w:pPr>
        <w:pStyle w:val="17"/>
        <w:snapToGrid w:val="0"/>
        <w:spacing w:line="420" w:lineRule="exact"/>
        <w:ind w:firstLine="480" w:firstLineChars="200"/>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甲方对乙方提供的货物在使用前进行调试时，乙方需负责安装并培训甲方的使用操作人员，并协助甲方一起调试，直到符合技术要求，甲方才做最终验收。</w:t>
      </w:r>
    </w:p>
    <w:p w14:paraId="1CABA9DB">
      <w:pPr>
        <w:pStyle w:val="17"/>
        <w:snapToGrid w:val="0"/>
        <w:spacing w:line="420" w:lineRule="exact"/>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对技术复杂的货物，甲方应请国家认可的专业检测机构参与初步验收及最终验收，并由其出具质量检测报告。</w:t>
      </w:r>
    </w:p>
    <w:p w14:paraId="7FB39644">
      <w:pPr>
        <w:pStyle w:val="17"/>
        <w:snapToGrid w:val="0"/>
        <w:spacing w:line="420" w:lineRule="exact"/>
        <w:ind w:firstLine="480" w:firstLineChars="200"/>
        <w:rPr>
          <w:bCs/>
          <w:color w:val="auto"/>
          <w:sz w:val="24"/>
          <w:szCs w:val="24"/>
          <w:highlight w:val="none"/>
        </w:rPr>
      </w:pPr>
      <w:r>
        <w:rPr>
          <w:bCs/>
          <w:color w:val="auto"/>
          <w:sz w:val="24"/>
          <w:szCs w:val="24"/>
          <w:highlight w:val="none"/>
        </w:rPr>
        <w:t>5</w:t>
      </w:r>
      <w:r>
        <w:rPr>
          <w:rFonts w:hint="eastAsia"/>
          <w:bCs/>
          <w:color w:val="auto"/>
          <w:sz w:val="24"/>
          <w:szCs w:val="24"/>
          <w:highlight w:val="none"/>
        </w:rPr>
        <w:t>.</w:t>
      </w:r>
      <w:r>
        <w:rPr>
          <w:bCs/>
          <w:color w:val="auto"/>
          <w:sz w:val="24"/>
          <w:szCs w:val="24"/>
          <w:highlight w:val="none"/>
        </w:rPr>
        <w:t>验收时乙方必须在现场，验收完毕后作出验收结果报告；验收费用由乙方负责。</w:t>
      </w:r>
    </w:p>
    <w:p w14:paraId="51625CB8">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w:t>
      </w:r>
      <w:r>
        <w:rPr>
          <w:b/>
          <w:color w:val="auto"/>
          <w:sz w:val="24"/>
          <w:szCs w:val="24"/>
          <w:highlight w:val="none"/>
        </w:rPr>
        <w:t>十</w:t>
      </w:r>
      <w:r>
        <w:rPr>
          <w:rFonts w:hint="eastAsia"/>
          <w:b/>
          <w:color w:val="auto"/>
          <w:sz w:val="24"/>
          <w:szCs w:val="24"/>
          <w:highlight w:val="none"/>
          <w:lang w:val="en-US" w:eastAsia="zh-CN"/>
        </w:rPr>
        <w:t>五条</w:t>
      </w:r>
      <w:r>
        <w:rPr>
          <w:b/>
          <w:color w:val="auto"/>
          <w:sz w:val="24"/>
          <w:szCs w:val="24"/>
          <w:highlight w:val="none"/>
        </w:rPr>
        <w:t>、货物包装、发运及运输</w:t>
      </w:r>
    </w:p>
    <w:p w14:paraId="2BEDA4D3">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乙方应在货物发运前对其进行满足运输距离、防潮、防震、防锈和防破损装卸等要求包装，以保证货物安全运达甲方指定地点。</w:t>
      </w:r>
    </w:p>
    <w:p w14:paraId="319ACADA">
      <w:pPr>
        <w:pStyle w:val="17"/>
        <w:snapToGrid w:val="0"/>
        <w:spacing w:line="420" w:lineRule="exact"/>
        <w:ind w:firstLine="480" w:firstLineChars="200"/>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使用说明书、质量检验证明书、随配附件和工具以及清单一并附于货物内。</w:t>
      </w:r>
    </w:p>
    <w:p w14:paraId="7BF51F9D">
      <w:pPr>
        <w:pStyle w:val="17"/>
        <w:snapToGrid w:val="0"/>
        <w:spacing w:line="420" w:lineRule="exact"/>
        <w:ind w:firstLine="480" w:firstLineChars="200"/>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乙方在货物发运手续办理完毕后24小时内或货到甲方48小时前通知甲方，以准备接货。</w:t>
      </w:r>
    </w:p>
    <w:p w14:paraId="39DCF04F">
      <w:pPr>
        <w:pStyle w:val="17"/>
        <w:snapToGrid w:val="0"/>
        <w:spacing w:line="420" w:lineRule="exact"/>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货物在交付甲方前发生的风险均由乙方负责。</w:t>
      </w:r>
    </w:p>
    <w:p w14:paraId="134346B8">
      <w:pPr>
        <w:pStyle w:val="17"/>
        <w:snapToGrid w:val="0"/>
        <w:spacing w:line="420" w:lineRule="exact"/>
        <w:ind w:firstLine="480" w:firstLineChars="200"/>
        <w:rPr>
          <w:bCs/>
          <w:color w:val="auto"/>
          <w:sz w:val="24"/>
          <w:szCs w:val="24"/>
          <w:highlight w:val="none"/>
        </w:rPr>
      </w:pPr>
      <w:r>
        <w:rPr>
          <w:bCs/>
          <w:color w:val="auto"/>
          <w:sz w:val="24"/>
          <w:szCs w:val="24"/>
          <w:highlight w:val="none"/>
        </w:rPr>
        <w:t>5</w:t>
      </w:r>
      <w:r>
        <w:rPr>
          <w:rFonts w:hint="eastAsia"/>
          <w:bCs/>
          <w:color w:val="auto"/>
          <w:sz w:val="24"/>
          <w:szCs w:val="24"/>
          <w:highlight w:val="none"/>
        </w:rPr>
        <w:t>.</w:t>
      </w:r>
      <w:r>
        <w:rPr>
          <w:bCs/>
          <w:color w:val="auto"/>
          <w:sz w:val="24"/>
          <w:szCs w:val="24"/>
          <w:highlight w:val="none"/>
        </w:rPr>
        <w:t>货物在规定的交付期限内由乙方送达甲方指定的地点视为交付，乙方同时需通知甲方货物已送达。</w:t>
      </w:r>
    </w:p>
    <w:p w14:paraId="3B32CCCC">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第十六条</w:t>
      </w:r>
      <w:r>
        <w:rPr>
          <w:b/>
          <w:color w:val="auto"/>
          <w:sz w:val="24"/>
          <w:szCs w:val="24"/>
          <w:highlight w:val="none"/>
        </w:rPr>
        <w:t>、违约责任</w:t>
      </w:r>
    </w:p>
    <w:p w14:paraId="219DE95B">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甲方无正当理由拒收货物的，甲方向乙方偿付拒收货款总值的百分之</w:t>
      </w:r>
      <w:r>
        <w:rPr>
          <w:rFonts w:hint="eastAsia"/>
          <w:bCs/>
          <w:color w:val="auto"/>
          <w:sz w:val="24"/>
          <w:szCs w:val="24"/>
          <w:highlight w:val="none"/>
        </w:rPr>
        <w:t>一</w:t>
      </w:r>
      <w:r>
        <w:rPr>
          <w:bCs/>
          <w:color w:val="auto"/>
          <w:sz w:val="24"/>
          <w:szCs w:val="24"/>
          <w:highlight w:val="none"/>
        </w:rPr>
        <w:t>违约金。</w:t>
      </w:r>
    </w:p>
    <w:p w14:paraId="6C21F682">
      <w:pPr>
        <w:pStyle w:val="17"/>
        <w:snapToGrid w:val="0"/>
        <w:spacing w:line="420" w:lineRule="exact"/>
        <w:ind w:firstLine="480" w:firstLineChars="200"/>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甲方无故逾期验收和办理货款支付手续的,甲方应按逾期付款总额每日万分之五向乙方支付违约金。</w:t>
      </w:r>
    </w:p>
    <w:p w14:paraId="55A7C9D4">
      <w:pPr>
        <w:pStyle w:val="17"/>
        <w:snapToGrid w:val="0"/>
        <w:spacing w:line="420" w:lineRule="exact"/>
        <w:ind w:firstLine="480" w:firstLineChars="200"/>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乙方逾期交付货物</w:t>
      </w:r>
      <w:r>
        <w:rPr>
          <w:rFonts w:hint="eastAsia"/>
          <w:bCs/>
          <w:color w:val="auto"/>
          <w:sz w:val="24"/>
          <w:szCs w:val="24"/>
          <w:highlight w:val="none"/>
        </w:rPr>
        <w:t>、安装调试</w:t>
      </w:r>
      <w:r>
        <w:rPr>
          <w:bCs/>
          <w:color w:val="auto"/>
          <w:sz w:val="24"/>
          <w:szCs w:val="24"/>
          <w:highlight w:val="none"/>
        </w:rPr>
        <w:t>的，乙方应按逾期交货总额每日百分之</w:t>
      </w:r>
      <w:r>
        <w:rPr>
          <w:rFonts w:hint="eastAsia"/>
          <w:bCs/>
          <w:color w:val="auto"/>
          <w:sz w:val="24"/>
          <w:szCs w:val="24"/>
          <w:highlight w:val="none"/>
        </w:rPr>
        <w:t>一</w:t>
      </w:r>
      <w:r>
        <w:rPr>
          <w:bCs/>
          <w:color w:val="auto"/>
          <w:sz w:val="24"/>
          <w:szCs w:val="24"/>
          <w:highlight w:val="none"/>
        </w:rPr>
        <w:t>向甲方支付违约金，由甲方从待付货款中扣除。逾期超过约定日期10个工作日不能交货</w:t>
      </w:r>
      <w:r>
        <w:rPr>
          <w:rFonts w:hint="eastAsia"/>
          <w:bCs/>
          <w:color w:val="auto"/>
          <w:sz w:val="24"/>
          <w:szCs w:val="24"/>
          <w:highlight w:val="none"/>
        </w:rPr>
        <w:t>与安装</w:t>
      </w:r>
      <w:r>
        <w:rPr>
          <w:bCs/>
          <w:color w:val="auto"/>
          <w:sz w:val="24"/>
          <w:szCs w:val="24"/>
          <w:highlight w:val="none"/>
        </w:rPr>
        <w:t xml:space="preserve">的，甲方可解除本合同。乙方因逾期交货或因其他违约行为导致甲方解除合同的，乙方应向甲方支付合同总值5%的违约金，如造成甲方损失超过违约金的，超出部分由乙方继续承担赔偿责任。 </w:t>
      </w:r>
    </w:p>
    <w:p w14:paraId="58A8B0BF">
      <w:pPr>
        <w:pStyle w:val="17"/>
        <w:snapToGrid w:val="0"/>
        <w:spacing w:line="420" w:lineRule="exact"/>
        <w:ind w:firstLine="480" w:firstLineChars="200"/>
        <w:rPr>
          <w:bCs/>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DF0A5E">
      <w:pPr>
        <w:pStyle w:val="17"/>
        <w:snapToGrid w:val="0"/>
        <w:spacing w:line="420" w:lineRule="exact"/>
        <w:ind w:firstLine="482" w:firstLineChars="200"/>
        <w:rPr>
          <w:b/>
          <w:color w:val="auto"/>
          <w:sz w:val="24"/>
          <w:szCs w:val="24"/>
          <w:highlight w:val="none"/>
        </w:rPr>
      </w:pPr>
      <w:r>
        <w:rPr>
          <w:rFonts w:hint="eastAsia"/>
          <w:b/>
          <w:color w:val="auto"/>
          <w:sz w:val="24"/>
          <w:szCs w:val="24"/>
          <w:highlight w:val="none"/>
          <w:lang w:val="en-US" w:eastAsia="zh-CN"/>
        </w:rPr>
        <w:t>第十七条</w:t>
      </w:r>
      <w:r>
        <w:rPr>
          <w:b/>
          <w:color w:val="auto"/>
          <w:sz w:val="24"/>
          <w:szCs w:val="24"/>
          <w:highlight w:val="none"/>
        </w:rPr>
        <w:t>、不可抗力事件处理</w:t>
      </w:r>
    </w:p>
    <w:p w14:paraId="51F174AC">
      <w:pPr>
        <w:pStyle w:val="17"/>
        <w:snapToGrid w:val="0"/>
        <w:spacing w:line="420" w:lineRule="exact"/>
        <w:ind w:firstLine="480" w:firstLineChars="200"/>
        <w:rPr>
          <w:bCs/>
          <w:color w:val="auto"/>
          <w:sz w:val="24"/>
          <w:szCs w:val="24"/>
          <w:highlight w:val="none"/>
        </w:rPr>
      </w:pPr>
      <w:r>
        <w:rPr>
          <w:bCs/>
          <w:color w:val="auto"/>
          <w:sz w:val="24"/>
          <w:szCs w:val="24"/>
          <w:highlight w:val="none"/>
        </w:rPr>
        <w:t>1</w:t>
      </w:r>
      <w:r>
        <w:rPr>
          <w:rFonts w:hint="eastAsia"/>
          <w:bCs/>
          <w:color w:val="auto"/>
          <w:sz w:val="24"/>
          <w:szCs w:val="24"/>
          <w:highlight w:val="none"/>
        </w:rPr>
        <w:t>.</w:t>
      </w:r>
      <w:r>
        <w:rPr>
          <w:bCs/>
          <w:color w:val="auto"/>
          <w:sz w:val="24"/>
          <w:szCs w:val="24"/>
          <w:highlight w:val="none"/>
        </w:rPr>
        <w:t>在合同有效期内，任何一方因不可抗力事件导致不能履行合同，则合同履行期可延长，其延长期与不可抗力影响期相同。</w:t>
      </w:r>
    </w:p>
    <w:p w14:paraId="4AE91936">
      <w:pPr>
        <w:pStyle w:val="17"/>
        <w:snapToGrid w:val="0"/>
        <w:spacing w:line="420" w:lineRule="exact"/>
        <w:ind w:firstLine="480" w:firstLineChars="200"/>
        <w:rPr>
          <w:bCs/>
          <w:color w:val="auto"/>
          <w:sz w:val="24"/>
          <w:szCs w:val="24"/>
          <w:highlight w:val="none"/>
        </w:rPr>
      </w:pPr>
      <w:r>
        <w:rPr>
          <w:bCs/>
          <w:color w:val="auto"/>
          <w:sz w:val="24"/>
          <w:szCs w:val="24"/>
          <w:highlight w:val="none"/>
        </w:rPr>
        <w:t>2</w:t>
      </w:r>
      <w:r>
        <w:rPr>
          <w:rFonts w:hint="eastAsia"/>
          <w:bCs/>
          <w:color w:val="auto"/>
          <w:sz w:val="24"/>
          <w:szCs w:val="24"/>
          <w:highlight w:val="none"/>
        </w:rPr>
        <w:t>.</w:t>
      </w:r>
      <w:r>
        <w:rPr>
          <w:bCs/>
          <w:color w:val="auto"/>
          <w:sz w:val="24"/>
          <w:szCs w:val="24"/>
          <w:highlight w:val="none"/>
        </w:rPr>
        <w:t>不可抗力事件发生后，应立即通知对方，并寄送有关权威机构出具的证明。</w:t>
      </w:r>
    </w:p>
    <w:p w14:paraId="160FDB70">
      <w:pPr>
        <w:pStyle w:val="17"/>
        <w:snapToGrid w:val="0"/>
        <w:spacing w:line="420" w:lineRule="exact"/>
        <w:ind w:firstLine="480" w:firstLineChars="200"/>
        <w:rPr>
          <w:bCs/>
          <w:color w:val="auto"/>
          <w:sz w:val="24"/>
          <w:szCs w:val="24"/>
          <w:highlight w:val="none"/>
        </w:rPr>
      </w:pPr>
      <w:r>
        <w:rPr>
          <w:bCs/>
          <w:color w:val="auto"/>
          <w:sz w:val="24"/>
          <w:szCs w:val="24"/>
          <w:highlight w:val="none"/>
        </w:rPr>
        <w:t>3</w:t>
      </w:r>
      <w:r>
        <w:rPr>
          <w:rFonts w:hint="eastAsia"/>
          <w:bCs/>
          <w:color w:val="auto"/>
          <w:sz w:val="24"/>
          <w:szCs w:val="24"/>
          <w:highlight w:val="none"/>
        </w:rPr>
        <w:t>.</w:t>
      </w:r>
      <w:r>
        <w:rPr>
          <w:bCs/>
          <w:color w:val="auto"/>
          <w:sz w:val="24"/>
          <w:szCs w:val="24"/>
          <w:highlight w:val="none"/>
        </w:rPr>
        <w:t>不可抗力事件延续120天以上，双方应通过友好协商，确定是否继续履行合同。</w:t>
      </w:r>
    </w:p>
    <w:p w14:paraId="06742EF0">
      <w:pPr>
        <w:pStyle w:val="17"/>
        <w:spacing w:line="420" w:lineRule="exact"/>
        <w:ind w:firstLine="482" w:firstLineChars="200"/>
        <w:rPr>
          <w:b/>
          <w:bCs/>
          <w:color w:val="auto"/>
          <w:sz w:val="24"/>
          <w:szCs w:val="24"/>
          <w:highlight w:val="none"/>
        </w:rPr>
      </w:pPr>
      <w:r>
        <w:rPr>
          <w:rFonts w:hint="eastAsia"/>
          <w:b/>
          <w:bCs/>
          <w:color w:val="auto"/>
          <w:sz w:val="24"/>
          <w:szCs w:val="24"/>
          <w:highlight w:val="none"/>
          <w:lang w:val="en-US" w:eastAsia="zh-CN"/>
        </w:rPr>
        <w:t>第十八条</w:t>
      </w:r>
      <w:r>
        <w:rPr>
          <w:b/>
          <w:bCs/>
          <w:color w:val="auto"/>
          <w:sz w:val="24"/>
          <w:szCs w:val="24"/>
          <w:highlight w:val="none"/>
        </w:rPr>
        <w:t>、</w:t>
      </w:r>
      <w:r>
        <w:rPr>
          <w:rFonts w:hint="eastAsia"/>
          <w:b/>
          <w:bCs/>
          <w:color w:val="auto"/>
          <w:sz w:val="24"/>
          <w:szCs w:val="24"/>
          <w:highlight w:val="none"/>
        </w:rPr>
        <w:t>其它</w:t>
      </w:r>
    </w:p>
    <w:p w14:paraId="65213E35">
      <w:pPr>
        <w:pStyle w:val="17"/>
        <w:snapToGrid w:val="0"/>
        <w:spacing w:line="420" w:lineRule="exact"/>
        <w:rPr>
          <w:bCs/>
          <w:color w:val="auto"/>
          <w:sz w:val="24"/>
          <w:szCs w:val="24"/>
          <w:highlight w:val="none"/>
        </w:rPr>
      </w:pPr>
      <w:r>
        <w:rPr>
          <w:rFonts w:hint="eastAsia"/>
          <w:bCs/>
          <w:color w:val="auto"/>
          <w:sz w:val="24"/>
          <w:szCs w:val="24"/>
          <w:highlight w:val="none"/>
        </w:rPr>
        <w:t xml:space="preserve">    1、成交供应商必须与项目采购人积极配合，随时汇报工作情况，研究工作措施，及时解决项目实施过程中存在的问题；如因成交供应商对设计方案等关键环节存在的问题未及时提出，致使项目实施出现质量问题，给项目采购人造成损失的，项目采购人将按照合同约定予以处理，并有权单方解除合同。</w:t>
      </w:r>
    </w:p>
    <w:p w14:paraId="65057335">
      <w:pPr>
        <w:pStyle w:val="17"/>
        <w:snapToGrid w:val="0"/>
        <w:spacing w:line="420" w:lineRule="exact"/>
        <w:rPr>
          <w:rFonts w:hint="eastAsia" w:ascii="宋体" w:hAnsi="宋体" w:eastAsia="宋体" w:cs="宋体"/>
          <w:b/>
          <w:color w:val="auto"/>
          <w:sz w:val="24"/>
          <w:szCs w:val="24"/>
          <w:highlight w:val="none"/>
          <w:lang w:val="en-US" w:eastAsia="zh-CN"/>
        </w:rPr>
      </w:pPr>
      <w:r>
        <w:rPr>
          <w:rFonts w:hint="eastAsia"/>
          <w:bCs/>
          <w:color w:val="auto"/>
          <w:sz w:val="24"/>
          <w:szCs w:val="24"/>
          <w:highlight w:val="none"/>
        </w:rPr>
        <w:t xml:space="preserve">    2、成交供应商对本项目所供或采购材料、设备等必须认真组织质量验收。所供或采购的材料、设备等必须符合国家规定的质量技术标准，并附有出厂合格证。因成交供应商验收环节把关不严，出现产品质量问题给项目和项目采购人造成损失的，由成交供应商承担赔偿及违约责任。</w:t>
      </w:r>
    </w:p>
    <w:p w14:paraId="5F98CD3B">
      <w:pPr>
        <w:keepNext w:val="0"/>
        <w:keepLines w:val="0"/>
        <w:pageBreakBefore w:val="0"/>
        <w:widowControl w:val="0"/>
        <w:tabs>
          <w:tab w:val="left" w:pos="1080"/>
        </w:tabs>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第十</w:t>
      </w: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lang w:val="en-US" w:eastAsia="zh-CN"/>
        </w:rPr>
        <w:t>条：</w:t>
      </w:r>
      <w:r>
        <w:rPr>
          <w:rFonts w:hint="eastAsia" w:ascii="宋体" w:hAnsi="宋体" w:eastAsia="宋体" w:cs="宋体"/>
          <w:b/>
          <w:color w:val="auto"/>
          <w:sz w:val="24"/>
          <w:szCs w:val="24"/>
          <w:highlight w:val="none"/>
        </w:rPr>
        <w:t xml:space="preserve">争议解决 </w:t>
      </w:r>
    </w:p>
    <w:p w14:paraId="49281AA7">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凡由本合同引起的或与解释或执行本合同有关的任何争议，甲乙双方应首先通过友好协商或调解解决。若协商或调解不成，双方约定任何一方有权选择仲裁或诉讼的途径解决。</w:t>
      </w:r>
    </w:p>
    <w:p w14:paraId="56C5137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第</w:t>
      </w:r>
      <w:r>
        <w:rPr>
          <w:rFonts w:hint="eastAsia" w:ascii="宋体" w:hAnsi="宋体" w:cs="宋体"/>
          <w:b/>
          <w:color w:val="auto"/>
          <w:sz w:val="24"/>
          <w:szCs w:val="24"/>
          <w:highlight w:val="none"/>
          <w:lang w:val="en-US" w:eastAsia="zh-CN"/>
        </w:rPr>
        <w:t>二十</w:t>
      </w:r>
      <w:r>
        <w:rPr>
          <w:rFonts w:hint="eastAsia" w:ascii="宋体" w:hAnsi="宋体" w:eastAsia="宋体" w:cs="宋体"/>
          <w:b/>
          <w:color w:val="auto"/>
          <w:sz w:val="24"/>
          <w:szCs w:val="24"/>
          <w:highlight w:val="none"/>
          <w:lang w:val="en-US" w:eastAsia="zh-CN"/>
        </w:rPr>
        <w:t>条：</w:t>
      </w:r>
      <w:r>
        <w:rPr>
          <w:rFonts w:hint="eastAsia" w:ascii="宋体" w:hAnsi="宋体" w:eastAsia="宋体" w:cs="宋体"/>
          <w:b/>
          <w:color w:val="auto"/>
          <w:sz w:val="24"/>
          <w:szCs w:val="24"/>
          <w:highlight w:val="none"/>
        </w:rPr>
        <w:t>合同生效及其他</w:t>
      </w:r>
    </w:p>
    <w:p w14:paraId="5E8575E2">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合同应在双方签字盖章后开始生效。</w:t>
      </w:r>
    </w:p>
    <w:p w14:paraId="3E4AA662">
      <w:pPr>
        <w:keepNext w:val="0"/>
        <w:keepLines w:val="0"/>
        <w:pageBreakBefore w:val="0"/>
        <w:widowControl w:val="0"/>
        <w:tabs>
          <w:tab w:val="left" w:pos="900"/>
        </w:tabs>
        <w:kinsoku/>
        <w:wordWrap/>
        <w:overflowPunct/>
        <w:topLinePunct w:val="0"/>
        <w:autoSpaceDE/>
        <w:autoSpaceDN/>
        <w:bidi w:val="0"/>
        <w:adjustRightInd w:val="0"/>
        <w:snapToGrid w:val="0"/>
        <w:spacing w:after="157" w:afterLines="50"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柒</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双方各执叁份，代理机构备案</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具有同等法律效力。</w:t>
      </w:r>
    </w:p>
    <w:tbl>
      <w:tblPr>
        <w:tblStyle w:val="114"/>
        <w:tblW w:w="9354"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551"/>
        <w:gridCol w:w="4803"/>
      </w:tblGrid>
      <w:tr w14:paraId="59C6DBA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19" w:hRule="atLeast"/>
          <w:jc w:val="center"/>
        </w:trPr>
        <w:tc>
          <w:tcPr>
            <w:tcW w:w="4551" w:type="dxa"/>
            <w:vAlign w:val="top"/>
          </w:tcPr>
          <w:p w14:paraId="30E2765B">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甲方</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(盖章)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tc>
        <w:tc>
          <w:tcPr>
            <w:tcW w:w="4803" w:type="dxa"/>
            <w:vAlign w:val="top"/>
          </w:tcPr>
          <w:p w14:paraId="02FC9E95">
            <w:pPr>
              <w:keepNext w:val="0"/>
              <w:keepLines w:val="0"/>
              <w:pageBreakBefore w:val="0"/>
              <w:widowControl w:val="0"/>
              <w:kinsoku/>
              <w:wordWrap/>
              <w:overflowPunct/>
              <w:topLinePunct w:val="0"/>
              <w:autoSpaceDE/>
              <w:autoSpaceDN/>
              <w:bidi w:val="0"/>
              <w:adjustRightInd w:val="0"/>
              <w:snapToGrid/>
              <w:spacing w:line="56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14:textOutline w14:w="4358" w14:cap="sq" w14:cmpd="sng">
                  <w14:solidFill>
                    <w14:srgbClr w14:val="000000"/>
                  </w14:solidFill>
                  <w14:prstDash w14:val="solid"/>
                  <w14:bevel/>
                </w14:textOutline>
              </w:rPr>
              <w:t>乙方</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(盖章)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p>
        </w:tc>
      </w:tr>
      <w:tr w14:paraId="5BA5D8F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7" w:hRule="atLeast"/>
          <w:jc w:val="center"/>
        </w:trPr>
        <w:tc>
          <w:tcPr>
            <w:tcW w:w="4551" w:type="dxa"/>
            <w:vAlign w:val="top"/>
          </w:tcPr>
          <w:p w14:paraId="0367187C">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w:t>
            </w:r>
          </w:p>
        </w:tc>
        <w:tc>
          <w:tcPr>
            <w:tcW w:w="4803" w:type="dxa"/>
            <w:shd w:val="clear" w:color="auto" w:fill="auto"/>
            <w:vAlign w:val="top"/>
          </w:tcPr>
          <w:p w14:paraId="129EDE4B">
            <w:pPr>
              <w:keepNext w:val="0"/>
              <w:keepLines w:val="0"/>
              <w:pageBreakBefore w:val="0"/>
              <w:widowControl w:val="0"/>
              <w:kinsoku/>
              <w:wordWrap/>
              <w:overflowPunct/>
              <w:topLinePunct w:val="0"/>
              <w:autoSpaceDE/>
              <w:autoSpaceDN/>
              <w:bidi w:val="0"/>
              <w:adjustRightInd w:val="0"/>
              <w:snapToGrid/>
              <w:spacing w:line="56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9"/>
                <w:sz w:val="24"/>
                <w:szCs w:val="24"/>
                <w:highlight w:val="none"/>
              </w:rPr>
              <w:t>法定代表人</w:t>
            </w:r>
          </w:p>
        </w:tc>
      </w:tr>
      <w:tr w14:paraId="02D5A96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5" w:hRule="atLeast"/>
          <w:jc w:val="center"/>
        </w:trPr>
        <w:tc>
          <w:tcPr>
            <w:tcW w:w="4551" w:type="dxa"/>
            <w:vAlign w:val="top"/>
          </w:tcPr>
          <w:p w14:paraId="3CC29486">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9"/>
                <w:sz w:val="24"/>
                <w:szCs w:val="24"/>
                <w:highlight w:val="none"/>
              </w:rPr>
              <w:t>或</w:t>
            </w:r>
            <w:r>
              <w:rPr>
                <w:rFonts w:hint="eastAsia" w:ascii="宋体" w:hAnsi="宋体" w:eastAsia="宋体" w:cs="宋体"/>
                <w:color w:val="auto"/>
                <w:spacing w:val="9"/>
                <w:sz w:val="24"/>
                <w:szCs w:val="24"/>
                <w:highlight w:val="none"/>
                <w:lang w:val="en-US" w:eastAsia="zh-CN"/>
              </w:rPr>
              <w:t>授权</w:t>
            </w:r>
            <w:r>
              <w:rPr>
                <w:rFonts w:hint="eastAsia" w:ascii="宋体" w:hAnsi="宋体" w:eastAsia="宋体" w:cs="宋体"/>
                <w:color w:val="auto"/>
                <w:spacing w:val="9"/>
                <w:sz w:val="24"/>
                <w:szCs w:val="24"/>
                <w:highlight w:val="none"/>
              </w:rPr>
              <w:t>委托</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8"/>
                <w:sz w:val="24"/>
                <w:szCs w:val="24"/>
                <w:highlight w:val="none"/>
                <w:lang w:val="en-US" w:eastAsia="zh-CN"/>
              </w:rPr>
              <w:t>签字</w:t>
            </w:r>
          </w:p>
        </w:tc>
        <w:tc>
          <w:tcPr>
            <w:tcW w:w="4803" w:type="dxa"/>
            <w:shd w:val="clear" w:color="auto" w:fill="auto"/>
            <w:vAlign w:val="top"/>
          </w:tcPr>
          <w:p w14:paraId="4D43DFC7">
            <w:pPr>
              <w:keepNext w:val="0"/>
              <w:keepLines w:val="0"/>
              <w:pageBreakBefore w:val="0"/>
              <w:widowControl w:val="0"/>
              <w:kinsoku/>
              <w:wordWrap/>
              <w:overflowPunct/>
              <w:topLinePunct w:val="0"/>
              <w:autoSpaceDE/>
              <w:autoSpaceDN/>
              <w:bidi w:val="0"/>
              <w:adjustRightInd w:val="0"/>
              <w:snapToGrid/>
              <w:spacing w:line="56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9"/>
                <w:sz w:val="24"/>
                <w:szCs w:val="24"/>
                <w:highlight w:val="none"/>
              </w:rPr>
              <w:t>或</w:t>
            </w:r>
            <w:r>
              <w:rPr>
                <w:rFonts w:hint="eastAsia" w:ascii="宋体" w:hAnsi="宋体" w:eastAsia="宋体" w:cs="宋体"/>
                <w:color w:val="auto"/>
                <w:spacing w:val="9"/>
                <w:sz w:val="24"/>
                <w:szCs w:val="24"/>
                <w:highlight w:val="none"/>
                <w:lang w:val="en-US" w:eastAsia="zh-CN"/>
              </w:rPr>
              <w:t>授权</w:t>
            </w:r>
            <w:r>
              <w:rPr>
                <w:rFonts w:hint="eastAsia" w:ascii="宋体" w:hAnsi="宋体" w:eastAsia="宋体" w:cs="宋体"/>
                <w:color w:val="auto"/>
                <w:spacing w:val="9"/>
                <w:sz w:val="24"/>
                <w:szCs w:val="24"/>
                <w:highlight w:val="none"/>
              </w:rPr>
              <w:t>委托</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8"/>
                <w:sz w:val="24"/>
                <w:szCs w:val="24"/>
                <w:highlight w:val="none"/>
                <w:lang w:val="en-US" w:eastAsia="zh-CN"/>
              </w:rPr>
              <w:t>签字</w:t>
            </w:r>
          </w:p>
        </w:tc>
      </w:tr>
      <w:tr w14:paraId="5B40280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6" w:hRule="atLeast"/>
          <w:jc w:val="center"/>
        </w:trPr>
        <w:tc>
          <w:tcPr>
            <w:tcW w:w="4551" w:type="dxa"/>
            <w:vAlign w:val="top"/>
          </w:tcPr>
          <w:p w14:paraId="03BFB580">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w:t>
            </w:r>
            <w:r>
              <w:rPr>
                <w:rFonts w:hint="eastAsia" w:ascii="宋体" w:hAnsi="宋体" w:eastAsia="宋体" w:cs="宋体"/>
                <w:color w:val="auto"/>
                <w:spacing w:val="3"/>
                <w:sz w:val="24"/>
                <w:szCs w:val="24"/>
                <w:highlight w:val="none"/>
              </w:rPr>
              <w:t>址：</w:t>
            </w:r>
          </w:p>
        </w:tc>
        <w:tc>
          <w:tcPr>
            <w:tcW w:w="4803" w:type="dxa"/>
            <w:shd w:val="clear" w:color="auto" w:fill="auto"/>
            <w:vAlign w:val="top"/>
          </w:tcPr>
          <w:p w14:paraId="1EE970D8">
            <w:pPr>
              <w:keepNext w:val="0"/>
              <w:keepLines w:val="0"/>
              <w:pageBreakBefore w:val="0"/>
              <w:widowControl w:val="0"/>
              <w:kinsoku/>
              <w:wordWrap/>
              <w:overflowPunct/>
              <w:topLinePunct w:val="0"/>
              <w:autoSpaceDE/>
              <w:autoSpaceDN/>
              <w:bidi w:val="0"/>
              <w:adjustRightInd w:val="0"/>
              <w:snapToGrid/>
              <w:spacing w:line="56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4"/>
                <w:sz w:val="24"/>
                <w:szCs w:val="24"/>
                <w:highlight w:val="none"/>
              </w:rPr>
              <w:t>地</w:t>
            </w:r>
            <w:r>
              <w:rPr>
                <w:rFonts w:hint="eastAsia" w:ascii="宋体" w:hAnsi="宋体" w:eastAsia="宋体" w:cs="宋体"/>
                <w:color w:val="auto"/>
                <w:spacing w:val="3"/>
                <w:sz w:val="24"/>
                <w:szCs w:val="24"/>
                <w:highlight w:val="none"/>
              </w:rPr>
              <w:t>址：</w:t>
            </w:r>
          </w:p>
        </w:tc>
      </w:tr>
      <w:tr w14:paraId="2819E6C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5" w:hRule="atLeast"/>
          <w:jc w:val="center"/>
        </w:trPr>
        <w:tc>
          <w:tcPr>
            <w:tcW w:w="4551" w:type="dxa"/>
            <w:vAlign w:val="top"/>
          </w:tcPr>
          <w:p w14:paraId="31CC290C">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电话：</w:t>
            </w:r>
          </w:p>
        </w:tc>
        <w:tc>
          <w:tcPr>
            <w:tcW w:w="4803" w:type="dxa"/>
            <w:shd w:val="clear" w:color="auto" w:fill="auto"/>
            <w:vAlign w:val="top"/>
          </w:tcPr>
          <w:p w14:paraId="3B51BF6F">
            <w:pPr>
              <w:keepNext w:val="0"/>
              <w:keepLines w:val="0"/>
              <w:pageBreakBefore w:val="0"/>
              <w:widowControl w:val="0"/>
              <w:kinsoku/>
              <w:wordWrap/>
              <w:overflowPunct/>
              <w:topLinePunct w:val="0"/>
              <w:autoSpaceDE/>
              <w:autoSpaceDN/>
              <w:bidi w:val="0"/>
              <w:adjustRightInd w:val="0"/>
              <w:snapToGrid/>
              <w:spacing w:line="56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6"/>
                <w:sz w:val="24"/>
                <w:szCs w:val="24"/>
                <w:highlight w:val="none"/>
              </w:rPr>
              <w:t>电话：</w:t>
            </w:r>
          </w:p>
        </w:tc>
      </w:tr>
      <w:tr w14:paraId="4F33EC0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6" w:hRule="atLeast"/>
          <w:jc w:val="center"/>
        </w:trPr>
        <w:tc>
          <w:tcPr>
            <w:tcW w:w="4551" w:type="dxa"/>
            <w:shd w:val="clear" w:color="auto" w:fill="auto"/>
            <w:vAlign w:val="top"/>
          </w:tcPr>
          <w:p w14:paraId="347ECA90">
            <w:pPr>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cs="仿宋"/>
                <w:color w:val="auto"/>
                <w:szCs w:val="24"/>
                <w:highlight w:val="none"/>
              </w:rPr>
              <w:t>开户银行：</w:t>
            </w:r>
          </w:p>
        </w:tc>
        <w:tc>
          <w:tcPr>
            <w:tcW w:w="4803" w:type="dxa"/>
            <w:vAlign w:val="top"/>
          </w:tcPr>
          <w:p w14:paraId="04702C7C">
            <w:pPr>
              <w:spacing w:line="460" w:lineRule="exact"/>
              <w:rPr>
                <w:rFonts w:hint="eastAsia" w:ascii="宋体" w:hAnsi="宋体" w:eastAsia="宋体" w:cs="宋体"/>
                <w:color w:val="auto"/>
                <w:sz w:val="24"/>
                <w:szCs w:val="24"/>
                <w:highlight w:val="none"/>
              </w:rPr>
            </w:pPr>
            <w:r>
              <w:rPr>
                <w:rFonts w:hint="eastAsia" w:ascii="宋体" w:hAnsi="宋体" w:cs="仿宋"/>
                <w:color w:val="auto"/>
                <w:szCs w:val="24"/>
                <w:highlight w:val="none"/>
              </w:rPr>
              <w:t>开户银行：</w:t>
            </w:r>
          </w:p>
        </w:tc>
      </w:tr>
      <w:tr w14:paraId="0B10AA69">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6" w:hRule="atLeast"/>
          <w:jc w:val="center"/>
        </w:trPr>
        <w:tc>
          <w:tcPr>
            <w:tcW w:w="4551" w:type="dxa"/>
            <w:shd w:val="clear" w:color="auto" w:fill="auto"/>
            <w:vAlign w:val="top"/>
          </w:tcPr>
          <w:p w14:paraId="75722C3E">
            <w:pPr>
              <w:spacing w:line="460" w:lineRule="exact"/>
              <w:rPr>
                <w:rFonts w:hint="eastAsia" w:ascii="宋体" w:hAnsi="宋体" w:eastAsia="宋体" w:cs="宋体"/>
                <w:color w:val="auto"/>
                <w:kern w:val="2"/>
                <w:sz w:val="24"/>
                <w:szCs w:val="24"/>
                <w:highlight w:val="none"/>
                <w:lang w:val="en-US" w:eastAsia="zh-CN" w:bidi="ar-SA"/>
              </w:rPr>
            </w:pPr>
            <w:r>
              <w:rPr>
                <w:rFonts w:hint="eastAsia" w:ascii="宋体" w:hAnsi="宋体" w:cs="仿宋"/>
                <w:color w:val="auto"/>
                <w:szCs w:val="24"/>
                <w:highlight w:val="none"/>
              </w:rPr>
              <w:t>账号：</w:t>
            </w:r>
          </w:p>
        </w:tc>
        <w:tc>
          <w:tcPr>
            <w:tcW w:w="4803" w:type="dxa"/>
            <w:vAlign w:val="top"/>
          </w:tcPr>
          <w:p w14:paraId="4F481855">
            <w:pPr>
              <w:spacing w:line="460" w:lineRule="exact"/>
              <w:rPr>
                <w:rFonts w:hint="eastAsia" w:ascii="宋体" w:hAnsi="宋体" w:eastAsia="宋体" w:cs="宋体"/>
                <w:color w:val="auto"/>
                <w:sz w:val="24"/>
                <w:szCs w:val="24"/>
                <w:highlight w:val="none"/>
              </w:rPr>
            </w:pPr>
            <w:r>
              <w:rPr>
                <w:rFonts w:hint="eastAsia" w:ascii="宋体" w:hAnsi="宋体" w:cs="仿宋"/>
                <w:color w:val="auto"/>
                <w:szCs w:val="24"/>
                <w:highlight w:val="none"/>
              </w:rPr>
              <w:t>账号：</w:t>
            </w:r>
          </w:p>
        </w:tc>
      </w:tr>
      <w:tr w14:paraId="7FF4EFC8">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6" w:hRule="atLeast"/>
          <w:jc w:val="center"/>
        </w:trPr>
        <w:tc>
          <w:tcPr>
            <w:tcW w:w="4551" w:type="dxa"/>
            <w:vAlign w:val="top"/>
          </w:tcPr>
          <w:p w14:paraId="02B1235F">
            <w:pPr>
              <w:keepNext w:val="0"/>
              <w:keepLines w:val="0"/>
              <w:pageBreakBefore w:val="0"/>
              <w:widowControl w:val="0"/>
              <w:kinsoku/>
              <w:wordWrap/>
              <w:overflowPunct/>
              <w:topLinePunct w:val="0"/>
              <w:autoSpaceDE/>
              <w:autoSpaceDN/>
              <w:bidi w:val="0"/>
              <w:adjustRightInd w:val="0"/>
              <w:snapToGrid/>
              <w:spacing w:line="5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签约时间：</w:t>
            </w:r>
            <w:r>
              <w:rPr>
                <w:rFonts w:hint="eastAsia" w:ascii="宋体" w:hAnsi="宋体" w:eastAsia="宋体" w:cs="宋体"/>
                <w:color w:val="auto"/>
                <w:spacing w:val="2"/>
                <w:sz w:val="24"/>
                <w:szCs w:val="24"/>
                <w:highlight w:val="none"/>
                <w:lang w:val="en-US" w:eastAsia="zh-CN"/>
              </w:rPr>
              <w:t>2024</w:t>
            </w:r>
            <w:r>
              <w:rPr>
                <w:rFonts w:hint="eastAsia" w:ascii="宋体" w:hAnsi="宋体" w:eastAsia="宋体" w:cs="宋体"/>
                <w:color w:val="auto"/>
                <w:spacing w:val="2"/>
                <w:sz w:val="24"/>
                <w:szCs w:val="24"/>
                <w:highlight w:val="none"/>
              </w:rPr>
              <w:t>年   月   日</w:t>
            </w:r>
          </w:p>
        </w:tc>
        <w:tc>
          <w:tcPr>
            <w:tcW w:w="4803" w:type="dxa"/>
            <w:vAlign w:val="top"/>
          </w:tcPr>
          <w:p w14:paraId="5C3FA46A">
            <w:pPr>
              <w:keepNext w:val="0"/>
              <w:keepLines w:val="0"/>
              <w:pageBreakBefore w:val="0"/>
              <w:widowControl w:val="0"/>
              <w:kinsoku/>
              <w:wordWrap/>
              <w:overflowPunct/>
              <w:topLinePunct w:val="0"/>
              <w:autoSpaceDE/>
              <w:autoSpaceDN/>
              <w:bidi w:val="0"/>
              <w:adjustRightInd w:val="0"/>
              <w:snapToGrid/>
              <w:spacing w:line="560" w:lineRule="exact"/>
              <w:ind w:left="0" w:right="0" w:firstLine="0" w:firstLineChars="0"/>
              <w:jc w:val="left"/>
              <w:textAlignment w:val="auto"/>
              <w:rPr>
                <w:rFonts w:hint="eastAsia" w:ascii="宋体" w:hAnsi="宋体" w:eastAsia="宋体" w:cs="宋体"/>
                <w:color w:val="auto"/>
                <w:sz w:val="24"/>
                <w:szCs w:val="24"/>
                <w:highlight w:val="none"/>
              </w:rPr>
            </w:pPr>
          </w:p>
        </w:tc>
      </w:tr>
    </w:tbl>
    <w:p w14:paraId="1B2865A2">
      <w:pPr>
        <w:keepNext w:val="0"/>
        <w:keepLines w:val="0"/>
        <w:pageBreakBefore w:val="0"/>
        <w:widowControl/>
        <w:kinsoku/>
        <w:wordWrap/>
        <w:overflowPunct/>
        <w:topLinePunct w:val="0"/>
        <w:autoSpaceDE w:val="0"/>
        <w:autoSpaceDN w:val="0"/>
        <w:bidi w:val="0"/>
        <w:adjustRightInd w:val="0"/>
        <w:snapToGrid w:val="0"/>
        <w:spacing w:line="490" w:lineRule="exact"/>
        <w:ind w:left="0" w:leftChars="0" w:firstLine="480" w:firstLineChars="200"/>
        <w:textAlignment w:val="bottom"/>
        <w:rPr>
          <w:rFonts w:hint="eastAsia" w:ascii="宋体" w:hAnsi="宋体" w:eastAsia="宋体" w:cs="宋体"/>
          <w:bCs/>
          <w:color w:val="auto"/>
          <w:sz w:val="24"/>
          <w:szCs w:val="24"/>
          <w:highlight w:val="none"/>
        </w:rPr>
      </w:pPr>
    </w:p>
    <w:p w14:paraId="2CA45213">
      <w:pPr>
        <w:spacing w:line="48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注：具体以双方签定的正式合同为准，合同内容不得违背本</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实质性要求。</w:t>
      </w:r>
    </w:p>
    <w:p w14:paraId="2A61B4E0">
      <w:pPr>
        <w:widowControl/>
        <w:adjustRightInd/>
        <w:jc w:val="both"/>
        <w:rPr>
          <w:rFonts w:hint="eastAsia" w:ascii="仿宋" w:hAnsi="仿宋" w:eastAsia="仿宋" w:cs="仿宋"/>
          <w:b/>
          <w:color w:val="auto"/>
          <w:sz w:val="36"/>
          <w:szCs w:val="20"/>
          <w:highlight w:val="none"/>
          <w:lang w:eastAsia="zh-CN"/>
        </w:rPr>
      </w:pPr>
    </w:p>
    <w:p w14:paraId="6D482812">
      <w:pPr>
        <w:widowControl/>
        <w:adjustRightInd/>
        <w:jc w:val="center"/>
        <w:rPr>
          <w:rFonts w:hint="eastAsia" w:ascii="仿宋" w:hAnsi="仿宋" w:eastAsia="仿宋" w:cs="仿宋"/>
          <w:b/>
          <w:color w:val="auto"/>
          <w:sz w:val="36"/>
          <w:szCs w:val="20"/>
          <w:highlight w:val="none"/>
        </w:rPr>
      </w:pPr>
    </w:p>
    <w:p w14:paraId="18991E17">
      <w:pPr>
        <w:widowControl/>
        <w:adjustRightInd/>
        <w:jc w:val="center"/>
        <w:rPr>
          <w:rFonts w:hint="eastAsia" w:ascii="仿宋" w:hAnsi="仿宋" w:eastAsia="仿宋" w:cs="仿宋"/>
          <w:b/>
          <w:color w:val="auto"/>
          <w:sz w:val="36"/>
          <w:szCs w:val="20"/>
          <w:highlight w:val="none"/>
        </w:rPr>
      </w:pPr>
    </w:p>
    <w:p w14:paraId="51A9F3D5">
      <w:pPr>
        <w:widowControl/>
        <w:adjustRightInd/>
        <w:jc w:val="center"/>
        <w:rPr>
          <w:rFonts w:hint="eastAsia" w:ascii="仿宋" w:hAnsi="仿宋" w:eastAsia="仿宋" w:cs="仿宋"/>
          <w:b/>
          <w:color w:val="auto"/>
          <w:sz w:val="36"/>
          <w:szCs w:val="20"/>
          <w:highlight w:val="none"/>
        </w:rPr>
      </w:pPr>
    </w:p>
    <w:p w14:paraId="785AD64E">
      <w:pPr>
        <w:widowControl/>
        <w:adjustRightInd/>
        <w:jc w:val="center"/>
        <w:rPr>
          <w:rFonts w:hint="eastAsia" w:ascii="仿宋" w:hAnsi="仿宋" w:eastAsia="仿宋" w:cs="仿宋"/>
          <w:b/>
          <w:color w:val="auto"/>
          <w:sz w:val="36"/>
          <w:szCs w:val="20"/>
          <w:highlight w:val="none"/>
        </w:rPr>
      </w:pPr>
    </w:p>
    <w:p w14:paraId="1C62DA67">
      <w:pPr>
        <w:widowControl/>
        <w:adjustRightInd/>
        <w:jc w:val="center"/>
        <w:rPr>
          <w:rFonts w:hint="eastAsia" w:ascii="仿宋" w:hAnsi="仿宋" w:eastAsia="仿宋" w:cs="仿宋"/>
          <w:b/>
          <w:color w:val="auto"/>
          <w:sz w:val="36"/>
          <w:szCs w:val="20"/>
          <w:highlight w:val="none"/>
        </w:rPr>
      </w:pPr>
    </w:p>
    <w:p w14:paraId="00E0FE05">
      <w:pPr>
        <w:widowControl/>
        <w:adjustRightInd/>
        <w:jc w:val="center"/>
        <w:rPr>
          <w:rFonts w:hint="eastAsia" w:ascii="仿宋" w:hAnsi="仿宋" w:eastAsia="仿宋" w:cs="仿宋"/>
          <w:b/>
          <w:color w:val="auto"/>
          <w:sz w:val="36"/>
          <w:szCs w:val="20"/>
          <w:highlight w:val="none"/>
        </w:rPr>
      </w:pPr>
    </w:p>
    <w:p w14:paraId="19A4387C">
      <w:pPr>
        <w:widowControl/>
        <w:adjustRightInd/>
        <w:jc w:val="center"/>
        <w:rPr>
          <w:rFonts w:hint="eastAsia" w:ascii="仿宋" w:hAnsi="仿宋" w:eastAsia="仿宋" w:cs="仿宋"/>
          <w:b/>
          <w:color w:val="auto"/>
          <w:sz w:val="36"/>
          <w:szCs w:val="20"/>
          <w:highlight w:val="none"/>
        </w:rPr>
      </w:pPr>
    </w:p>
    <w:p w14:paraId="4DFC8084">
      <w:pPr>
        <w:widowControl/>
        <w:adjustRightInd/>
        <w:jc w:val="center"/>
        <w:rPr>
          <w:rFonts w:hint="eastAsia" w:ascii="仿宋" w:hAnsi="仿宋" w:eastAsia="仿宋" w:cs="仿宋"/>
          <w:b/>
          <w:color w:val="auto"/>
          <w:sz w:val="36"/>
          <w:szCs w:val="20"/>
          <w:highlight w:val="none"/>
        </w:rPr>
      </w:pPr>
    </w:p>
    <w:p w14:paraId="09A24494">
      <w:pPr>
        <w:widowControl/>
        <w:adjustRightInd/>
        <w:jc w:val="center"/>
        <w:rPr>
          <w:rFonts w:hint="eastAsia" w:ascii="仿宋" w:hAnsi="仿宋" w:eastAsia="仿宋" w:cs="仿宋"/>
          <w:b/>
          <w:color w:val="auto"/>
          <w:sz w:val="36"/>
          <w:szCs w:val="20"/>
          <w:highlight w:val="none"/>
        </w:rPr>
      </w:pPr>
    </w:p>
    <w:p w14:paraId="74DE2FD9">
      <w:pPr>
        <w:widowControl/>
        <w:adjustRightInd/>
        <w:jc w:val="center"/>
        <w:rPr>
          <w:rFonts w:hint="eastAsia" w:ascii="仿宋" w:hAnsi="仿宋" w:eastAsia="仿宋" w:cs="仿宋"/>
          <w:b/>
          <w:color w:val="auto"/>
          <w:sz w:val="36"/>
          <w:szCs w:val="20"/>
          <w:highlight w:val="none"/>
        </w:rPr>
      </w:pPr>
    </w:p>
    <w:p w14:paraId="736D3BD8">
      <w:pPr>
        <w:widowControl/>
        <w:adjustRightInd/>
        <w:jc w:val="center"/>
        <w:rPr>
          <w:rFonts w:hint="eastAsia" w:ascii="仿宋" w:hAnsi="仿宋" w:eastAsia="仿宋" w:cs="仿宋"/>
          <w:b/>
          <w:color w:val="auto"/>
          <w:sz w:val="36"/>
          <w:szCs w:val="20"/>
          <w:highlight w:val="none"/>
        </w:rPr>
      </w:pPr>
    </w:p>
    <w:p w14:paraId="10DA3682">
      <w:pPr>
        <w:widowControl/>
        <w:adjustRightInd/>
        <w:jc w:val="center"/>
        <w:rPr>
          <w:rFonts w:hint="eastAsia" w:ascii="仿宋" w:hAnsi="仿宋" w:eastAsia="仿宋" w:cs="仿宋"/>
          <w:b/>
          <w:color w:val="auto"/>
          <w:sz w:val="36"/>
          <w:szCs w:val="20"/>
          <w:highlight w:val="none"/>
        </w:rPr>
      </w:pPr>
    </w:p>
    <w:p w14:paraId="0912594E">
      <w:pPr>
        <w:widowControl/>
        <w:adjustRightInd/>
        <w:jc w:val="center"/>
        <w:rPr>
          <w:rFonts w:hint="eastAsia" w:ascii="仿宋" w:hAnsi="仿宋" w:eastAsia="仿宋" w:cs="仿宋"/>
          <w:b/>
          <w:color w:val="auto"/>
          <w:sz w:val="36"/>
          <w:szCs w:val="20"/>
          <w:highlight w:val="none"/>
        </w:rPr>
      </w:pPr>
    </w:p>
    <w:p w14:paraId="2A0DEAFC">
      <w:pPr>
        <w:widowControl/>
        <w:adjustRightInd/>
        <w:jc w:val="center"/>
        <w:rPr>
          <w:rFonts w:hint="eastAsia" w:ascii="仿宋" w:hAnsi="仿宋" w:eastAsia="仿宋" w:cs="仿宋"/>
          <w:b/>
          <w:color w:val="auto"/>
          <w:sz w:val="36"/>
          <w:szCs w:val="20"/>
          <w:highlight w:val="none"/>
        </w:rPr>
      </w:pPr>
    </w:p>
    <w:p w14:paraId="2D247C95">
      <w:pPr>
        <w:widowControl/>
        <w:adjustRightInd/>
        <w:jc w:val="center"/>
        <w:rPr>
          <w:rFonts w:hint="eastAsia" w:ascii="仿宋" w:hAnsi="仿宋" w:eastAsia="仿宋" w:cs="仿宋"/>
          <w:b/>
          <w:color w:val="auto"/>
          <w:sz w:val="36"/>
          <w:szCs w:val="20"/>
          <w:highlight w:val="none"/>
        </w:rPr>
      </w:pPr>
    </w:p>
    <w:p w14:paraId="3BCC8315">
      <w:pPr>
        <w:widowControl/>
        <w:adjustRightInd/>
        <w:jc w:val="both"/>
        <w:rPr>
          <w:rFonts w:hint="eastAsia" w:ascii="仿宋" w:hAnsi="仿宋" w:eastAsia="仿宋" w:cs="仿宋"/>
          <w:b/>
          <w:color w:val="auto"/>
          <w:sz w:val="36"/>
          <w:szCs w:val="20"/>
          <w:highlight w:val="none"/>
        </w:rPr>
      </w:pPr>
    </w:p>
    <w:p w14:paraId="54B8CB2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492D2518">
      <w:pPr>
        <w:spacing w:line="360" w:lineRule="auto"/>
        <w:jc w:val="center"/>
        <w:outlineLvl w:val="0"/>
        <w:rPr>
          <w:rFonts w:hint="eastAsia" w:ascii="仿宋" w:hAnsi="仿宋" w:eastAsia="仿宋" w:cs="仿宋"/>
          <w:b/>
          <w:color w:val="auto"/>
          <w:kern w:val="0"/>
          <w:sz w:val="36"/>
          <w:szCs w:val="36"/>
          <w:highlight w:val="none"/>
        </w:rPr>
      </w:pPr>
    </w:p>
    <w:p w14:paraId="21ACA6B1">
      <w:pPr>
        <w:spacing w:line="336" w:lineRule="auto"/>
        <w:jc w:val="center"/>
        <w:outlineLvl w:val="0"/>
        <w:rPr>
          <w:rFonts w:hint="eastAsia" w:ascii="仿宋" w:hAnsi="仿宋" w:eastAsia="仿宋" w:cs="仿宋"/>
          <w:b/>
          <w:color w:val="auto"/>
          <w:kern w:val="0"/>
          <w:sz w:val="36"/>
          <w:szCs w:val="36"/>
          <w:highlight w:val="none"/>
        </w:rPr>
      </w:pPr>
    </w:p>
    <w:p w14:paraId="1DC07B0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C31636A">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484825A">
      <w:pPr>
        <w:spacing w:line="336" w:lineRule="auto"/>
        <w:jc w:val="center"/>
        <w:outlineLvl w:val="0"/>
        <w:rPr>
          <w:rFonts w:ascii="仿宋" w:hAnsi="仿宋" w:eastAsia="仿宋" w:cs="仿宋"/>
          <w:b/>
          <w:color w:val="auto"/>
          <w:kern w:val="0"/>
          <w:sz w:val="36"/>
          <w:szCs w:val="36"/>
          <w:highlight w:val="none"/>
        </w:rPr>
      </w:pPr>
    </w:p>
    <w:p w14:paraId="6A2FCF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highlight w:val="none"/>
          <w:lang w:val="en-US" w:eastAsia="zh-CN"/>
        </w:rPr>
      </w:pPr>
    </w:p>
    <w:p w14:paraId="2C630B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Times New Roman" w:eastAsia="宋体" w:cs="宋体"/>
          <w:color w:val="auto"/>
          <w:kern w:val="0"/>
          <w:sz w:val="24"/>
          <w:szCs w:val="24"/>
          <w:highlight w:val="none"/>
        </w:rPr>
      </w:pPr>
      <w:r>
        <w:rPr>
          <w:rFonts w:hint="eastAsia" w:ascii="宋体" w:hAnsi="Times New Roman" w:eastAsia="宋体" w:cs="宋体"/>
          <w:color w:val="auto"/>
          <w:kern w:val="0"/>
          <w:sz w:val="24"/>
          <w:szCs w:val="24"/>
          <w:highlight w:val="none"/>
        </w:rPr>
        <w:t>（1）</w:t>
      </w:r>
      <w:r>
        <w:rPr>
          <w:rFonts w:hint="eastAsia" w:ascii="宋体" w:hAnsi="Times New Roman" w:eastAsia="宋体" w:cs="宋体"/>
          <w:color w:val="auto"/>
          <w:kern w:val="0"/>
          <w:sz w:val="24"/>
          <w:szCs w:val="24"/>
          <w:highlight w:val="none"/>
          <w:lang w:eastAsia="zh-CN"/>
        </w:rPr>
        <w:t>营业执照扫描件</w:t>
      </w:r>
      <w:r>
        <w:rPr>
          <w:rFonts w:hint="eastAsia" w:ascii="宋体" w:hAnsi="Times New Roman" w:eastAsia="宋体" w:cs="宋体"/>
          <w:color w:val="auto"/>
          <w:kern w:val="0"/>
          <w:sz w:val="24"/>
          <w:szCs w:val="24"/>
          <w:highlight w:val="none"/>
        </w:rPr>
        <w:t>……………………………………………………………（页码）</w:t>
      </w:r>
    </w:p>
    <w:p w14:paraId="307CCB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rPr>
      </w:pPr>
      <w:r>
        <w:rPr>
          <w:rFonts w:hint="eastAsia" w:ascii="宋体" w:cs="宋体"/>
          <w:color w:val="auto"/>
          <w:kern w:val="0"/>
          <w:sz w:val="24"/>
          <w:szCs w:val="24"/>
          <w:highlight w:val="none"/>
        </w:rPr>
        <w:t>（2）具有履行合同所必需的设备和专业技术能力的承诺函</w:t>
      </w:r>
      <w:r>
        <w:rPr>
          <w:rFonts w:hint="eastAsia" w:ascii="宋体" w:hAnsi="Times New Roman" w:eastAsia="宋体" w:cs="宋体"/>
          <w:color w:val="auto"/>
          <w:kern w:val="0"/>
          <w:sz w:val="24"/>
          <w:szCs w:val="24"/>
          <w:highlight w:val="none"/>
        </w:rPr>
        <w:t>…………………（页码）</w:t>
      </w:r>
    </w:p>
    <w:p w14:paraId="7C7BEE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lang w:val="zh-CN"/>
        </w:rPr>
      </w:pPr>
      <w:r>
        <w:rPr>
          <w:rFonts w:hint="eastAsia" w:ascii="宋体" w:cs="宋体"/>
          <w:color w:val="auto"/>
          <w:kern w:val="0"/>
          <w:sz w:val="24"/>
          <w:szCs w:val="24"/>
          <w:highlight w:val="none"/>
        </w:rPr>
        <w:t>（3</w:t>
      </w:r>
      <w:r>
        <w:rPr>
          <w:rFonts w:hint="eastAsia" w:ascii="宋体" w:cs="宋体"/>
          <w:color w:val="auto"/>
          <w:kern w:val="0"/>
          <w:sz w:val="24"/>
          <w:szCs w:val="24"/>
          <w:highlight w:val="none"/>
          <w:lang w:val="zh-CN"/>
        </w:rPr>
        <w:t>）符合参加采购活动应当具备的一般条件的承诺函</w:t>
      </w:r>
      <w:r>
        <w:rPr>
          <w:rFonts w:hint="eastAsia" w:ascii="宋体" w:hAnsi="Times New Roman" w:eastAsia="宋体" w:cs="宋体"/>
          <w:color w:val="auto"/>
          <w:kern w:val="0"/>
          <w:sz w:val="24"/>
          <w:szCs w:val="24"/>
          <w:highlight w:val="none"/>
        </w:rPr>
        <w:t>………………………（页码）</w:t>
      </w:r>
    </w:p>
    <w:p w14:paraId="1C9252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color w:val="auto"/>
          <w:kern w:val="0"/>
          <w:sz w:val="24"/>
          <w:szCs w:val="24"/>
          <w:highlight w:val="none"/>
        </w:rPr>
      </w:pPr>
      <w:r>
        <w:rPr>
          <w:rFonts w:hint="eastAsia" w:ascii="宋体" w:cs="宋体"/>
          <w:color w:val="auto"/>
          <w:kern w:val="0"/>
          <w:sz w:val="24"/>
          <w:szCs w:val="24"/>
          <w:highlight w:val="none"/>
          <w:lang w:eastAsia="zh-CN"/>
        </w:rPr>
        <w:t>（</w:t>
      </w:r>
      <w:r>
        <w:rPr>
          <w:rFonts w:hint="eastAsia" w:ascii="宋体" w:cs="宋体"/>
          <w:color w:val="auto"/>
          <w:kern w:val="0"/>
          <w:sz w:val="24"/>
          <w:szCs w:val="24"/>
          <w:highlight w:val="none"/>
          <w:lang w:val="en-US" w:eastAsia="zh-CN"/>
        </w:rPr>
        <w:t>4）</w:t>
      </w:r>
      <w:r>
        <w:rPr>
          <w:rFonts w:hint="eastAsia" w:ascii="宋体" w:hAnsi="宋体" w:cs="宋体"/>
          <w:color w:val="auto"/>
          <w:sz w:val="24"/>
          <w:szCs w:val="24"/>
          <w:highlight w:val="none"/>
        </w:rPr>
        <w:t>特定资格要求需提供的证明材料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Times New Roman" w:eastAsia="宋体" w:cs="宋体"/>
          <w:color w:val="auto"/>
          <w:kern w:val="0"/>
          <w:sz w:val="24"/>
          <w:szCs w:val="24"/>
          <w:highlight w:val="none"/>
        </w:rPr>
        <w:t>………………………………（页码）</w:t>
      </w:r>
    </w:p>
    <w:p w14:paraId="3758B6C5">
      <w:pPr>
        <w:pStyle w:val="17"/>
        <w:keepNext w:val="0"/>
        <w:keepLines w:val="0"/>
        <w:pageBreakBefore w:val="0"/>
        <w:widowControl w:val="0"/>
        <w:kinsoku/>
        <w:wordWrap/>
        <w:overflowPunct/>
        <w:topLinePunct w:val="0"/>
        <w:autoSpaceDE/>
        <w:autoSpaceDN/>
        <w:bidi w:val="0"/>
        <w:spacing w:line="480" w:lineRule="exact"/>
        <w:ind w:right="0"/>
        <w:textAlignment w:val="auto"/>
        <w:rPr>
          <w:rFonts w:hint="eastAsia" w:ascii="宋体" w:hAnsi="Times New Roman" w:eastAsia="宋体" w:cs="宋体"/>
          <w:color w:val="auto"/>
          <w:kern w:val="0"/>
          <w:sz w:val="24"/>
          <w:szCs w:val="24"/>
          <w:highlight w:val="none"/>
          <w:u w:val="none"/>
          <w:lang w:val="en-US" w:eastAsia="zh-CN" w:bidi="ar-SA"/>
        </w:rPr>
      </w:pPr>
      <w:r>
        <w:rPr>
          <w:rFonts w:hint="eastAsia" w:ascii="宋体" w:hAnsi="Times New Roman" w:eastAsia="宋体" w:cs="宋体"/>
          <w:color w:val="auto"/>
          <w:kern w:val="0"/>
          <w:sz w:val="24"/>
          <w:szCs w:val="24"/>
          <w:highlight w:val="none"/>
          <w:u w:val="none"/>
          <w:lang w:val="en-US" w:eastAsia="zh-CN" w:bidi="ar-SA"/>
        </w:rPr>
        <w:t>（5）基本户开户许可证（或基本存款账户信息）、投标保证金缴纳凭证…（页码）</w:t>
      </w:r>
    </w:p>
    <w:p w14:paraId="08AC7ED7">
      <w:pPr>
        <w:snapToGrid w:val="0"/>
        <w:spacing w:line="360" w:lineRule="auto"/>
        <w:ind w:right="480"/>
        <w:jc w:val="center"/>
        <w:rPr>
          <w:rFonts w:hint="eastAsia" w:ascii="仿宋" w:hAnsi="仿宋" w:eastAsia="仿宋" w:cs="仿宋"/>
          <w:b/>
          <w:color w:val="auto"/>
          <w:kern w:val="0"/>
          <w:sz w:val="32"/>
          <w:szCs w:val="32"/>
          <w:highlight w:val="none"/>
        </w:rPr>
      </w:pPr>
    </w:p>
    <w:p w14:paraId="127BA2F2">
      <w:pPr>
        <w:snapToGrid w:val="0"/>
        <w:spacing w:line="360" w:lineRule="auto"/>
        <w:ind w:right="480"/>
        <w:jc w:val="center"/>
        <w:rPr>
          <w:rFonts w:hint="eastAsia" w:ascii="仿宋" w:hAnsi="仿宋" w:eastAsia="仿宋" w:cs="仿宋"/>
          <w:b/>
          <w:color w:val="auto"/>
          <w:kern w:val="0"/>
          <w:sz w:val="32"/>
          <w:szCs w:val="32"/>
          <w:highlight w:val="none"/>
        </w:rPr>
      </w:pPr>
    </w:p>
    <w:p w14:paraId="06EBC146">
      <w:pPr>
        <w:snapToGrid w:val="0"/>
        <w:spacing w:line="360" w:lineRule="auto"/>
        <w:ind w:right="480"/>
        <w:jc w:val="center"/>
        <w:rPr>
          <w:rFonts w:hint="eastAsia" w:ascii="仿宋" w:hAnsi="仿宋" w:eastAsia="仿宋" w:cs="仿宋"/>
          <w:b/>
          <w:color w:val="auto"/>
          <w:kern w:val="0"/>
          <w:sz w:val="32"/>
          <w:szCs w:val="32"/>
          <w:highlight w:val="none"/>
        </w:rPr>
      </w:pPr>
    </w:p>
    <w:p w14:paraId="1E0BACE9">
      <w:pPr>
        <w:snapToGrid w:val="0"/>
        <w:spacing w:line="360" w:lineRule="auto"/>
        <w:ind w:right="480"/>
        <w:jc w:val="center"/>
        <w:rPr>
          <w:rFonts w:hint="eastAsia" w:ascii="仿宋" w:hAnsi="仿宋" w:eastAsia="仿宋" w:cs="仿宋"/>
          <w:b/>
          <w:color w:val="auto"/>
          <w:kern w:val="0"/>
          <w:sz w:val="32"/>
          <w:szCs w:val="32"/>
          <w:highlight w:val="none"/>
        </w:rPr>
      </w:pPr>
    </w:p>
    <w:p w14:paraId="55DD1CD7">
      <w:pPr>
        <w:snapToGrid w:val="0"/>
        <w:spacing w:line="360" w:lineRule="auto"/>
        <w:ind w:right="480"/>
        <w:jc w:val="center"/>
        <w:rPr>
          <w:rFonts w:hint="eastAsia" w:ascii="仿宋" w:hAnsi="仿宋" w:eastAsia="仿宋" w:cs="仿宋"/>
          <w:b/>
          <w:color w:val="auto"/>
          <w:kern w:val="0"/>
          <w:sz w:val="32"/>
          <w:szCs w:val="32"/>
          <w:highlight w:val="none"/>
        </w:rPr>
      </w:pPr>
    </w:p>
    <w:p w14:paraId="5293E2B3">
      <w:pPr>
        <w:snapToGrid w:val="0"/>
        <w:spacing w:line="360" w:lineRule="auto"/>
        <w:ind w:right="480"/>
        <w:jc w:val="center"/>
        <w:rPr>
          <w:rFonts w:hint="eastAsia" w:ascii="仿宋" w:hAnsi="仿宋" w:eastAsia="仿宋" w:cs="仿宋"/>
          <w:b/>
          <w:color w:val="auto"/>
          <w:kern w:val="0"/>
          <w:sz w:val="32"/>
          <w:szCs w:val="32"/>
          <w:highlight w:val="none"/>
        </w:rPr>
      </w:pPr>
    </w:p>
    <w:p w14:paraId="7F6FF69B">
      <w:pPr>
        <w:snapToGrid w:val="0"/>
        <w:spacing w:line="360" w:lineRule="auto"/>
        <w:ind w:right="480"/>
        <w:jc w:val="center"/>
        <w:rPr>
          <w:rFonts w:hint="eastAsia" w:ascii="仿宋" w:hAnsi="仿宋" w:eastAsia="仿宋" w:cs="仿宋"/>
          <w:b/>
          <w:color w:val="auto"/>
          <w:kern w:val="0"/>
          <w:sz w:val="32"/>
          <w:szCs w:val="32"/>
          <w:highlight w:val="none"/>
        </w:rPr>
      </w:pPr>
    </w:p>
    <w:p w14:paraId="65C1A850">
      <w:pPr>
        <w:snapToGrid w:val="0"/>
        <w:spacing w:line="360" w:lineRule="auto"/>
        <w:ind w:right="480"/>
        <w:jc w:val="center"/>
        <w:rPr>
          <w:rFonts w:hint="eastAsia" w:ascii="仿宋" w:hAnsi="仿宋" w:eastAsia="仿宋" w:cs="仿宋"/>
          <w:b/>
          <w:color w:val="auto"/>
          <w:kern w:val="0"/>
          <w:sz w:val="32"/>
          <w:szCs w:val="32"/>
          <w:highlight w:val="none"/>
        </w:rPr>
      </w:pPr>
    </w:p>
    <w:p w14:paraId="6BDBDE53">
      <w:pPr>
        <w:pStyle w:val="13"/>
        <w:rPr>
          <w:rFonts w:hint="eastAsia"/>
          <w:color w:val="auto"/>
          <w:highlight w:val="none"/>
        </w:rPr>
      </w:pPr>
    </w:p>
    <w:p w14:paraId="0726A8BD">
      <w:pPr>
        <w:snapToGrid w:val="0"/>
        <w:spacing w:line="360" w:lineRule="auto"/>
        <w:ind w:right="480"/>
        <w:jc w:val="center"/>
        <w:rPr>
          <w:rFonts w:hint="eastAsia" w:ascii="仿宋" w:hAnsi="仿宋" w:eastAsia="仿宋" w:cs="仿宋"/>
          <w:b/>
          <w:color w:val="auto"/>
          <w:kern w:val="0"/>
          <w:sz w:val="32"/>
          <w:szCs w:val="32"/>
          <w:highlight w:val="none"/>
        </w:rPr>
      </w:pPr>
    </w:p>
    <w:p w14:paraId="3470BAFB">
      <w:pPr>
        <w:snapToGrid w:val="0"/>
        <w:spacing w:line="360" w:lineRule="auto"/>
        <w:ind w:right="480"/>
        <w:jc w:val="both"/>
        <w:rPr>
          <w:rFonts w:hint="eastAsia" w:ascii="宋体" w:hAnsi="宋体" w:eastAsia="宋体" w:cs="宋体"/>
          <w:b/>
          <w:color w:val="auto"/>
          <w:kern w:val="0"/>
          <w:sz w:val="32"/>
          <w:szCs w:val="32"/>
          <w:highlight w:val="none"/>
        </w:rPr>
      </w:pPr>
    </w:p>
    <w:p w14:paraId="15F05408">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营业执照扫描件</w:t>
      </w:r>
    </w:p>
    <w:p w14:paraId="4196E142">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4DDF192C">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23935667">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169908B0">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lang w:eastAsia="zh-CN"/>
        </w:rPr>
        <w:t>具有履行合同所必需的设备和专业技术能力的承诺函</w:t>
      </w:r>
    </w:p>
    <w:p w14:paraId="6A078325">
      <w:pPr>
        <w:spacing w:line="480" w:lineRule="auto"/>
        <w:rPr>
          <w:rFonts w:hint="eastAsia" w:ascii="宋体" w:hAnsi="宋体" w:eastAsia="宋体" w:cs="宋体"/>
          <w:color w:val="auto"/>
          <w:sz w:val="24"/>
          <w:szCs w:val="24"/>
          <w:highlight w:val="none"/>
        </w:rPr>
      </w:pPr>
    </w:p>
    <w:p w14:paraId="6353343F">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w:t>
      </w:r>
    </w:p>
    <w:p w14:paraId="2B57729F">
      <w:pPr>
        <w:spacing w:line="480" w:lineRule="auto"/>
        <w:ind w:firstLine="480" w:firstLineChars="200"/>
        <w:rPr>
          <w:rStyle w:val="70"/>
          <w:rFonts w:hint="eastAsia" w:ascii="宋体" w:hAnsi="宋体" w:eastAsia="宋体" w:cs="宋体"/>
          <w:color w:val="auto"/>
          <w:kern w:val="0"/>
          <w:sz w:val="24"/>
          <w:szCs w:val="24"/>
          <w:highlight w:val="none"/>
        </w:rPr>
      </w:pPr>
      <w:r>
        <w:rPr>
          <w:rStyle w:val="70"/>
          <w:rFonts w:hint="eastAsia" w:ascii="宋体" w:hAnsi="宋体" w:eastAsia="宋体" w:cs="宋体"/>
          <w:color w:val="auto"/>
          <w:kern w:val="0"/>
          <w:sz w:val="24"/>
          <w:szCs w:val="24"/>
          <w:highlight w:val="none"/>
        </w:rPr>
        <w:t>我方郑重声明，我方具有履行</w:t>
      </w:r>
      <w:r>
        <w:rPr>
          <w:rStyle w:val="70"/>
          <w:rFonts w:hint="eastAsia" w:ascii="宋体" w:hAnsi="宋体" w:eastAsia="宋体" w:cs="宋体"/>
          <w:color w:val="auto"/>
          <w:kern w:val="0"/>
          <w:sz w:val="24"/>
          <w:szCs w:val="24"/>
          <w:highlight w:val="none"/>
          <w:u w:val="single" w:color="000000"/>
        </w:rPr>
        <w:t xml:space="preserve">（          项目名称     项目编号   </w:t>
      </w:r>
      <w:r>
        <w:rPr>
          <w:rStyle w:val="70"/>
          <w:rFonts w:hint="eastAsia" w:ascii="宋体" w:hAnsi="宋体" w:eastAsia="宋体" w:cs="宋体"/>
          <w:color w:val="auto"/>
          <w:kern w:val="0"/>
          <w:sz w:val="24"/>
          <w:szCs w:val="24"/>
          <w:highlight w:val="none"/>
        </w:rPr>
        <w:t>）合同所必需的设备和专业技术能力，如中标，我方将按我方投标文件承诺，保证合同顺利履行。如有虚假或隐瞒，愿意承担一切后果。</w:t>
      </w:r>
    </w:p>
    <w:p w14:paraId="14B03C22">
      <w:pPr>
        <w:spacing w:line="480" w:lineRule="auto"/>
        <w:ind w:firstLine="480" w:firstLineChars="200"/>
        <w:rPr>
          <w:rStyle w:val="70"/>
          <w:rFonts w:hint="eastAsia" w:ascii="宋体" w:hAnsi="宋体" w:eastAsia="宋体" w:cs="宋体"/>
          <w:color w:val="auto"/>
          <w:kern w:val="0"/>
          <w:sz w:val="24"/>
          <w:szCs w:val="24"/>
          <w:highlight w:val="none"/>
        </w:rPr>
      </w:pPr>
    </w:p>
    <w:p w14:paraId="31E2B9F9">
      <w:pPr>
        <w:spacing w:line="480" w:lineRule="auto"/>
        <w:ind w:firstLine="480" w:firstLineChars="200"/>
        <w:rPr>
          <w:rStyle w:val="70"/>
          <w:rFonts w:hint="eastAsia" w:ascii="宋体" w:hAnsi="宋体" w:eastAsia="宋体" w:cs="宋体"/>
          <w:color w:val="auto"/>
          <w:kern w:val="0"/>
          <w:sz w:val="24"/>
          <w:szCs w:val="24"/>
          <w:highlight w:val="none"/>
        </w:rPr>
      </w:pPr>
      <w:r>
        <w:rPr>
          <w:rStyle w:val="70"/>
          <w:rFonts w:hint="eastAsia" w:ascii="宋体" w:hAnsi="宋体" w:eastAsia="宋体" w:cs="宋体"/>
          <w:color w:val="auto"/>
          <w:kern w:val="0"/>
          <w:sz w:val="24"/>
          <w:szCs w:val="24"/>
          <w:highlight w:val="none"/>
        </w:rPr>
        <w:t>特此承诺！</w:t>
      </w:r>
    </w:p>
    <w:p w14:paraId="69658E39">
      <w:pPr>
        <w:spacing w:line="480" w:lineRule="auto"/>
        <w:rPr>
          <w:rStyle w:val="70"/>
          <w:rFonts w:hint="eastAsia" w:ascii="宋体" w:hAnsi="宋体" w:eastAsia="宋体" w:cs="宋体"/>
          <w:color w:val="auto"/>
          <w:kern w:val="0"/>
          <w:sz w:val="24"/>
          <w:szCs w:val="24"/>
          <w:highlight w:val="none"/>
        </w:rPr>
      </w:pPr>
    </w:p>
    <w:p w14:paraId="56E88AD2">
      <w:pPr>
        <w:pStyle w:val="14"/>
        <w:ind w:firstLine="4080" w:firstLineChars="1700"/>
        <w:rPr>
          <w:rFonts w:hint="eastAsia" w:ascii="宋体" w:hAnsi="宋体" w:eastAsia="宋体" w:cs="宋体"/>
          <w:color w:val="auto"/>
          <w:sz w:val="24"/>
          <w:szCs w:val="24"/>
          <w:highlight w:val="none"/>
        </w:rPr>
      </w:pPr>
    </w:p>
    <w:p w14:paraId="2FFFD433">
      <w:pPr>
        <w:snapToGrid w:val="0"/>
        <w:spacing w:before="50" w:after="50" w:line="600" w:lineRule="exact"/>
        <w:ind w:firstLine="4200" w:firstLineChars="1500"/>
        <w:rPr>
          <w:rFonts w:hint="eastAsia" w:ascii="宋体" w:hAnsi="宋体" w:eastAsia="宋体" w:cs="宋体"/>
          <w:color w:val="auto"/>
          <w:spacing w:val="20"/>
          <w:sz w:val="24"/>
          <w:szCs w:val="24"/>
          <w:highlight w:val="none"/>
          <w:lang w:val="en-US" w:eastAsia="zh-CN"/>
        </w:rPr>
      </w:pPr>
    </w:p>
    <w:p w14:paraId="1A345617">
      <w:pPr>
        <w:snapToGrid w:val="0"/>
        <w:spacing w:before="50" w:after="50" w:line="600" w:lineRule="exact"/>
        <w:ind w:firstLine="4284" w:firstLineChars="1700"/>
        <w:rPr>
          <w:rFonts w:hint="eastAsia" w:ascii="宋体" w:hAnsi="宋体" w:eastAsia="宋体" w:cs="宋体"/>
          <w:color w:val="auto"/>
          <w:spacing w:val="20"/>
          <w:sz w:val="24"/>
          <w:szCs w:val="24"/>
          <w:highlight w:val="none"/>
        </w:rPr>
      </w:pPr>
      <w:r>
        <w:rPr>
          <w:rFonts w:hint="eastAsia" w:ascii="宋体" w:hAnsi="宋体" w:eastAsia="宋体" w:cs="宋体"/>
          <w:color w:val="auto"/>
          <w:spacing w:val="6"/>
          <w:kern w:val="0"/>
          <w:sz w:val="24"/>
          <w:szCs w:val="24"/>
          <w:highlight w:val="none"/>
          <w:lang w:val="en-US" w:eastAsia="zh-CN" w:bidi="ar-SA"/>
        </w:rPr>
        <w:t>投标人(电子签名)</w:t>
      </w:r>
      <w:r>
        <w:rPr>
          <w:rFonts w:hint="eastAsia" w:ascii="宋体" w:hAnsi="宋体" w:eastAsia="宋体" w:cs="宋体"/>
          <w:color w:val="auto"/>
          <w:spacing w:val="6"/>
          <w:sz w:val="24"/>
          <w:szCs w:val="24"/>
          <w:highlight w:val="none"/>
        </w:rPr>
        <w:t>：</w:t>
      </w:r>
    </w:p>
    <w:p w14:paraId="73088AAB">
      <w:pPr>
        <w:snapToGrid w:val="0"/>
        <w:spacing w:line="540" w:lineRule="exact"/>
        <w:ind w:firstLine="4200" w:firstLineChars="1500"/>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lang w:val="en-US" w:eastAsia="zh-CN"/>
        </w:rPr>
        <w:t xml:space="preserve">   年 月 日</w:t>
      </w:r>
    </w:p>
    <w:p w14:paraId="3DF4F6B0">
      <w:pPr>
        <w:keepNext w:val="0"/>
        <w:keepLines w:val="0"/>
        <w:pageBreakBefore w:val="0"/>
        <w:widowControl w:val="0"/>
        <w:kinsoku/>
        <w:wordWrap/>
        <w:overflowPunct/>
        <w:topLinePunct w:val="0"/>
        <w:autoSpaceDE/>
        <w:autoSpaceDN/>
        <w:bidi w:val="0"/>
        <w:adjustRightInd w:val="0"/>
        <w:snapToGrid w:val="0"/>
        <w:spacing w:before="625" w:beforeLines="200" w:line="360" w:lineRule="auto"/>
        <w:ind w:right="482"/>
        <w:jc w:val="center"/>
        <w:textAlignment w:val="auto"/>
        <w:rPr>
          <w:rFonts w:hint="eastAsia" w:ascii="宋体" w:hAnsi="宋体" w:eastAsia="宋体" w:cs="宋体"/>
          <w:b/>
          <w:color w:val="auto"/>
          <w:kern w:val="0"/>
          <w:sz w:val="32"/>
          <w:szCs w:val="32"/>
          <w:highlight w:val="none"/>
          <w:lang w:val="en-US" w:eastAsia="zh-CN"/>
        </w:rPr>
      </w:pPr>
    </w:p>
    <w:p w14:paraId="1D0913A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1F776522">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12F77C51">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eastAsia" w:ascii="宋体" w:hAnsi="宋体" w:eastAsia="宋体" w:cs="宋体"/>
          <w:b/>
          <w:color w:val="auto"/>
          <w:kern w:val="0"/>
          <w:sz w:val="32"/>
          <w:szCs w:val="32"/>
          <w:highlight w:val="none"/>
          <w:lang w:val="en-US" w:eastAsia="zh-CN"/>
        </w:rPr>
      </w:pPr>
    </w:p>
    <w:p w14:paraId="7E63AE4D">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符合参加采购活动应当具备的一般条件的承诺函</w:t>
      </w:r>
    </w:p>
    <w:p w14:paraId="31873435">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采购代理机构）</w:t>
      </w:r>
      <w:r>
        <w:rPr>
          <w:rFonts w:hint="eastAsia" w:ascii="宋体" w:hAnsi="宋体" w:eastAsia="宋体" w:cs="宋体"/>
          <w:color w:val="auto"/>
          <w:sz w:val="24"/>
          <w:szCs w:val="24"/>
          <w:highlight w:val="none"/>
          <w:u w:val="single"/>
        </w:rPr>
        <w:t>：</w:t>
      </w:r>
    </w:p>
    <w:p w14:paraId="0C8E446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Style w:val="70"/>
          <w:rFonts w:hint="eastAsia" w:ascii="宋体" w:hAnsi="宋体" w:eastAsia="宋体" w:cs="宋体"/>
          <w:color w:val="auto"/>
          <w:kern w:val="0"/>
          <w:sz w:val="24"/>
          <w:szCs w:val="24"/>
          <w:highlight w:val="none"/>
          <w:u w:val="single" w:color="000000"/>
        </w:rPr>
        <w:t xml:space="preserve">（          项目名称     项目编号   </w:t>
      </w:r>
      <w:r>
        <w:rPr>
          <w:rStyle w:val="70"/>
          <w:rFonts w:hint="eastAsia" w:ascii="宋体" w:hAnsi="宋体" w:eastAsia="宋体" w:cs="宋体"/>
          <w:color w:val="auto"/>
          <w:kern w:val="0"/>
          <w:sz w:val="24"/>
          <w:szCs w:val="24"/>
          <w:highlight w:val="none"/>
        </w:rPr>
        <w:t>）</w:t>
      </w:r>
      <w:r>
        <w:rPr>
          <w:rFonts w:hint="eastAsia" w:ascii="宋体" w:hAnsi="宋体" w:eastAsia="宋体" w:cs="宋体"/>
          <w:color w:val="auto"/>
          <w:sz w:val="24"/>
          <w:highlight w:val="none"/>
        </w:rPr>
        <w:t>采购活动，郑重承诺：</w:t>
      </w:r>
    </w:p>
    <w:p w14:paraId="41ECDD53">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val="en-US" w:eastAsia="zh-CN"/>
        </w:rPr>
        <w:t>以下</w:t>
      </w:r>
      <w:r>
        <w:rPr>
          <w:rFonts w:hint="eastAsia" w:ascii="宋体" w:hAnsi="宋体" w:eastAsia="宋体" w:cs="宋体"/>
          <w:color w:val="auto"/>
          <w:sz w:val="24"/>
          <w:highlight w:val="none"/>
        </w:rPr>
        <w:t>条件：</w:t>
      </w:r>
    </w:p>
    <w:p w14:paraId="731B52DC">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.具有独立承担民事责任的能力；</w:t>
      </w:r>
    </w:p>
    <w:p w14:paraId="491A4C6F">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p>
    <w:p w14:paraId="4114526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.具有履行本项目合同所必需的设备和专业技术能力；</w:t>
      </w:r>
    </w:p>
    <w:p w14:paraId="24B26EDE">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.有依法缴纳税收和社会保障资金的良好记录；</w:t>
      </w:r>
    </w:p>
    <w:p w14:paraId="5391BB59">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.在参加本次采购活动前三年内，经营活动中没有重大违法记录；</w:t>
      </w:r>
    </w:p>
    <w:p w14:paraId="28B3E23A">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.具有法律、行政法规规定的其他条件。</w:t>
      </w:r>
    </w:p>
    <w:p w14:paraId="50EA8EF8">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53BEC9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CB7A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68C27D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A716112">
      <w:pPr>
        <w:snapToGrid w:val="0"/>
        <w:spacing w:line="360" w:lineRule="auto"/>
        <w:ind w:firstLine="5520" w:firstLineChars="2300"/>
        <w:rPr>
          <w:rFonts w:hint="eastAsia" w:ascii="宋体" w:hAnsi="宋体" w:eastAsia="宋体" w:cs="宋体"/>
          <w:color w:val="auto"/>
          <w:kern w:val="0"/>
          <w:sz w:val="24"/>
          <w:highlight w:val="none"/>
          <w:lang w:val="zh-CN"/>
        </w:rPr>
      </w:pPr>
    </w:p>
    <w:p w14:paraId="51CBD4E0">
      <w:pPr>
        <w:snapToGrid w:val="0"/>
        <w:spacing w:line="360" w:lineRule="auto"/>
        <w:jc w:val="center"/>
        <w:rPr>
          <w:rFonts w:hint="eastAsia" w:ascii="宋体" w:hAnsi="宋体" w:eastAsia="宋体" w:cs="宋体"/>
          <w:color w:val="auto"/>
          <w:spacing w:val="6"/>
          <w:kern w:val="0"/>
          <w:sz w:val="24"/>
          <w:szCs w:val="24"/>
          <w:highlight w:val="none"/>
          <w:lang w:val="en-US" w:eastAsia="zh-CN" w:bidi="ar-SA"/>
        </w:rPr>
      </w:pPr>
      <w:r>
        <w:rPr>
          <w:rFonts w:hint="eastAsia" w:ascii="宋体" w:hAnsi="宋体" w:eastAsia="宋体" w:cs="宋体"/>
          <w:color w:val="auto"/>
          <w:spacing w:val="6"/>
          <w:kern w:val="0"/>
          <w:sz w:val="24"/>
          <w:szCs w:val="24"/>
          <w:highlight w:val="none"/>
          <w:lang w:val="en-US" w:eastAsia="zh-CN" w:bidi="ar-SA"/>
        </w:rPr>
        <w:t xml:space="preserve">                                </w:t>
      </w:r>
    </w:p>
    <w:p w14:paraId="18B461A6">
      <w:pPr>
        <w:snapToGrid w:val="0"/>
        <w:spacing w:line="360" w:lineRule="auto"/>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SA"/>
        </w:rPr>
        <w:t>投标人(电子签名)</w:t>
      </w:r>
      <w:r>
        <w:rPr>
          <w:rFonts w:hint="eastAsia" w:ascii="宋体" w:hAnsi="宋体" w:eastAsia="宋体" w:cs="宋体"/>
          <w:color w:val="auto"/>
          <w:spacing w:val="6"/>
          <w:sz w:val="24"/>
          <w:szCs w:val="24"/>
          <w:highlight w:val="none"/>
        </w:rPr>
        <w:t>：</w:t>
      </w:r>
    </w:p>
    <w:p w14:paraId="052B6E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4E9FEE">
      <w:pPr>
        <w:widowControl/>
        <w:spacing w:line="360" w:lineRule="auto"/>
        <w:jc w:val="both"/>
        <w:rPr>
          <w:rFonts w:hint="eastAsia" w:ascii="宋体" w:hAnsi="宋体" w:eastAsia="宋体" w:cs="宋体"/>
          <w:b/>
          <w:color w:val="auto"/>
          <w:kern w:val="0"/>
          <w:sz w:val="32"/>
          <w:szCs w:val="32"/>
          <w:highlight w:val="none"/>
          <w:lang w:val="en-US" w:eastAsia="zh-CN"/>
        </w:rPr>
      </w:pPr>
    </w:p>
    <w:p w14:paraId="2E990674">
      <w:pPr>
        <w:widowControl/>
        <w:spacing w:line="360" w:lineRule="auto"/>
        <w:ind w:left="150"/>
        <w:jc w:val="center"/>
        <w:rPr>
          <w:rFonts w:hint="eastAsia" w:ascii="宋体" w:hAnsi="宋体" w:eastAsia="宋体" w:cs="宋体"/>
          <w:b/>
          <w:bCs w:val="0"/>
          <w:color w:val="auto"/>
          <w:kern w:val="0"/>
          <w:sz w:val="32"/>
          <w:szCs w:val="32"/>
          <w:highlight w:val="none"/>
          <w:lang w:val="en-US" w:eastAsia="zh-CN"/>
        </w:rPr>
      </w:pPr>
    </w:p>
    <w:p w14:paraId="56783C30">
      <w:pPr>
        <w:pStyle w:val="13"/>
        <w:rPr>
          <w:rFonts w:hint="eastAsia" w:ascii="宋体" w:hAnsi="宋体" w:eastAsia="宋体" w:cs="宋体"/>
          <w:b/>
          <w:bCs w:val="0"/>
          <w:color w:val="auto"/>
          <w:kern w:val="0"/>
          <w:sz w:val="32"/>
          <w:szCs w:val="32"/>
          <w:highlight w:val="none"/>
          <w:lang w:val="en-US" w:eastAsia="zh-CN"/>
        </w:rPr>
      </w:pPr>
    </w:p>
    <w:p w14:paraId="76D97E26">
      <w:pPr>
        <w:pStyle w:val="14"/>
        <w:rPr>
          <w:rFonts w:hint="eastAsia" w:ascii="宋体" w:hAnsi="宋体" w:eastAsia="宋体" w:cs="宋体"/>
          <w:color w:val="auto"/>
          <w:highlight w:val="none"/>
          <w:lang w:val="en-US" w:eastAsia="zh-CN"/>
        </w:rPr>
      </w:pPr>
    </w:p>
    <w:p w14:paraId="73D454F1">
      <w:pPr>
        <w:pStyle w:val="24"/>
        <w:rPr>
          <w:rFonts w:hint="eastAsia" w:ascii="宋体" w:hAnsi="宋体" w:eastAsia="宋体" w:cs="宋体"/>
          <w:color w:val="auto"/>
          <w:highlight w:val="none"/>
          <w:lang w:val="en-US" w:eastAsia="zh-CN"/>
        </w:rPr>
      </w:pPr>
    </w:p>
    <w:p w14:paraId="1F01833F">
      <w:pPr>
        <w:rPr>
          <w:rFonts w:hint="eastAsia" w:ascii="宋体" w:hAnsi="宋体" w:eastAsia="宋体" w:cs="宋体"/>
          <w:color w:val="auto"/>
          <w:highlight w:val="none"/>
          <w:lang w:val="en-US" w:eastAsia="zh-CN"/>
        </w:rPr>
      </w:pPr>
    </w:p>
    <w:p w14:paraId="05BAD5F8">
      <w:pPr>
        <w:widowControl/>
        <w:spacing w:line="360" w:lineRule="auto"/>
        <w:jc w:val="both"/>
        <w:rPr>
          <w:rFonts w:hint="eastAsia" w:ascii="宋体" w:hAnsi="宋体" w:eastAsia="宋体" w:cs="宋体"/>
          <w:b/>
          <w:color w:val="auto"/>
          <w:kern w:val="0"/>
          <w:sz w:val="32"/>
          <w:szCs w:val="32"/>
          <w:highlight w:val="none"/>
          <w:lang w:eastAsia="zh-CN"/>
        </w:rPr>
      </w:pPr>
    </w:p>
    <w:p w14:paraId="0634DED0">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108967E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（根据</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公告本项目的特定资格要求提供相应的材料</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如果本项目没有设置特定资格条件，则不需要提供）</w:t>
      </w:r>
    </w:p>
    <w:p w14:paraId="0798EC25">
      <w:pPr>
        <w:spacing w:line="360" w:lineRule="auto"/>
        <w:jc w:val="center"/>
        <w:rPr>
          <w:rFonts w:hint="eastAsia" w:ascii="宋体" w:hAnsi="宋体" w:eastAsia="宋体" w:cs="宋体"/>
          <w:b/>
          <w:bCs/>
          <w:color w:val="auto"/>
          <w:sz w:val="24"/>
          <w:highlight w:val="none"/>
          <w:lang w:val="zh-CN"/>
        </w:rPr>
      </w:pPr>
    </w:p>
    <w:p w14:paraId="7A81E4DA">
      <w:pPr>
        <w:pStyle w:val="13"/>
        <w:rPr>
          <w:rFonts w:hint="eastAsia" w:ascii="宋体" w:hAnsi="宋体" w:eastAsia="宋体" w:cs="宋体"/>
          <w:color w:val="auto"/>
          <w:kern w:val="0"/>
          <w:sz w:val="24"/>
          <w:highlight w:val="none"/>
          <w:lang w:val="zh-CN"/>
        </w:rPr>
      </w:pPr>
    </w:p>
    <w:p w14:paraId="40E6C190">
      <w:pPr>
        <w:widowControl/>
        <w:spacing w:line="360" w:lineRule="auto"/>
        <w:ind w:left="150"/>
        <w:jc w:val="center"/>
        <w:rPr>
          <w:rFonts w:hint="default" w:ascii="宋体" w:hAnsi="宋体" w:eastAsia="宋体" w:cs="宋体"/>
          <w:b/>
          <w:color w:val="auto"/>
          <w:kern w:val="0"/>
          <w:sz w:val="32"/>
          <w:szCs w:val="32"/>
          <w:highlight w:val="none"/>
          <w:u w:val="none"/>
          <w:lang w:val="en-US" w:eastAsia="zh-CN"/>
        </w:rPr>
      </w:pPr>
      <w:r>
        <w:rPr>
          <w:rFonts w:hint="eastAsia" w:ascii="宋体" w:hAnsi="宋体" w:eastAsia="宋体" w:cs="宋体"/>
          <w:b/>
          <w:color w:val="auto"/>
          <w:kern w:val="0"/>
          <w:sz w:val="32"/>
          <w:szCs w:val="32"/>
          <w:highlight w:val="none"/>
          <w:u w:val="none"/>
          <w:lang w:val="en-US" w:eastAsia="zh-CN"/>
        </w:rPr>
        <w:t>五、提供基本户开户许可证（或基本存款账户信息）、投标保证金缴纳凭证扫描件。</w:t>
      </w:r>
    </w:p>
    <w:p w14:paraId="12B9ACE8">
      <w:pPr>
        <w:pStyle w:val="14"/>
        <w:rPr>
          <w:rFonts w:hint="eastAsia" w:ascii="宋体" w:hAnsi="宋体" w:eastAsia="宋体" w:cs="宋体"/>
          <w:color w:val="auto"/>
          <w:kern w:val="0"/>
          <w:sz w:val="24"/>
          <w:highlight w:val="none"/>
          <w:lang w:val="zh-CN"/>
        </w:rPr>
      </w:pPr>
    </w:p>
    <w:p w14:paraId="42A2DB62">
      <w:pPr>
        <w:pStyle w:val="24"/>
        <w:rPr>
          <w:rFonts w:hint="eastAsia" w:ascii="宋体" w:hAnsi="宋体" w:eastAsia="宋体" w:cs="宋体"/>
          <w:color w:val="auto"/>
          <w:kern w:val="0"/>
          <w:sz w:val="24"/>
          <w:highlight w:val="none"/>
          <w:lang w:val="zh-CN"/>
        </w:rPr>
      </w:pPr>
    </w:p>
    <w:p w14:paraId="787AC469">
      <w:pPr>
        <w:rPr>
          <w:rFonts w:hint="eastAsia" w:ascii="宋体" w:hAnsi="宋体" w:eastAsia="宋体" w:cs="宋体"/>
          <w:color w:val="auto"/>
          <w:kern w:val="0"/>
          <w:sz w:val="24"/>
          <w:highlight w:val="none"/>
          <w:lang w:val="zh-CN"/>
        </w:rPr>
      </w:pPr>
    </w:p>
    <w:p w14:paraId="7D0C5EED">
      <w:pPr>
        <w:pStyle w:val="13"/>
        <w:rPr>
          <w:rFonts w:hint="eastAsia" w:ascii="宋体" w:hAnsi="宋体" w:eastAsia="宋体" w:cs="宋体"/>
          <w:color w:val="auto"/>
          <w:kern w:val="0"/>
          <w:sz w:val="24"/>
          <w:highlight w:val="none"/>
          <w:lang w:val="zh-CN"/>
        </w:rPr>
      </w:pPr>
    </w:p>
    <w:p w14:paraId="6B2D6192">
      <w:pPr>
        <w:pStyle w:val="14"/>
        <w:rPr>
          <w:rFonts w:hint="eastAsia" w:ascii="宋体" w:hAnsi="宋体" w:eastAsia="宋体" w:cs="宋体"/>
          <w:color w:val="auto"/>
          <w:kern w:val="0"/>
          <w:sz w:val="24"/>
          <w:highlight w:val="none"/>
          <w:lang w:val="zh-CN"/>
        </w:rPr>
      </w:pPr>
    </w:p>
    <w:p w14:paraId="31960025">
      <w:pPr>
        <w:pStyle w:val="24"/>
        <w:rPr>
          <w:rFonts w:hint="eastAsia" w:ascii="宋体" w:hAnsi="宋体" w:eastAsia="宋体" w:cs="宋体"/>
          <w:color w:val="auto"/>
          <w:kern w:val="0"/>
          <w:sz w:val="24"/>
          <w:highlight w:val="none"/>
          <w:lang w:val="zh-CN"/>
        </w:rPr>
      </w:pPr>
    </w:p>
    <w:p w14:paraId="1B8E8A1C">
      <w:pPr>
        <w:rPr>
          <w:rFonts w:hint="eastAsia" w:ascii="宋体" w:hAnsi="宋体" w:eastAsia="宋体" w:cs="宋体"/>
          <w:color w:val="auto"/>
          <w:kern w:val="0"/>
          <w:sz w:val="24"/>
          <w:highlight w:val="none"/>
          <w:lang w:val="zh-CN"/>
        </w:rPr>
      </w:pPr>
    </w:p>
    <w:p w14:paraId="625E33DA">
      <w:pPr>
        <w:pStyle w:val="40"/>
        <w:spacing w:line="336" w:lineRule="auto"/>
        <w:rPr>
          <w:rFonts w:hint="eastAsia" w:ascii="宋体" w:hAnsi="宋体" w:eastAsia="宋体" w:cs="宋体"/>
          <w:color w:val="auto"/>
          <w:highlight w:val="none"/>
          <w:lang w:val="zh-CN"/>
        </w:rPr>
      </w:pPr>
    </w:p>
    <w:p w14:paraId="3D5C07CD">
      <w:pPr>
        <w:pStyle w:val="41"/>
        <w:rPr>
          <w:rFonts w:hint="eastAsia" w:ascii="宋体" w:hAnsi="宋体" w:eastAsia="宋体" w:cs="宋体"/>
          <w:color w:val="auto"/>
          <w:highlight w:val="none"/>
          <w:lang w:val="zh-CN"/>
        </w:rPr>
      </w:pPr>
    </w:p>
    <w:p w14:paraId="32F5451F">
      <w:pPr>
        <w:rPr>
          <w:rFonts w:hint="eastAsia" w:ascii="宋体" w:hAnsi="宋体" w:eastAsia="宋体" w:cs="宋体"/>
          <w:color w:val="auto"/>
          <w:highlight w:val="none"/>
          <w:lang w:val="zh-CN"/>
        </w:rPr>
      </w:pPr>
    </w:p>
    <w:p w14:paraId="1BF0DE75">
      <w:pPr>
        <w:rPr>
          <w:rFonts w:hint="eastAsia" w:ascii="宋体" w:hAnsi="宋体" w:eastAsia="宋体" w:cs="宋体"/>
          <w:color w:val="auto"/>
          <w:highlight w:val="none"/>
          <w:lang w:val="zh-CN"/>
        </w:rPr>
      </w:pPr>
    </w:p>
    <w:p w14:paraId="399FEE74">
      <w:pPr>
        <w:rPr>
          <w:rFonts w:hint="eastAsia" w:ascii="宋体" w:hAnsi="宋体" w:eastAsia="宋体" w:cs="宋体"/>
          <w:color w:val="auto"/>
          <w:highlight w:val="none"/>
          <w:lang w:val="zh-CN"/>
        </w:rPr>
      </w:pPr>
    </w:p>
    <w:p w14:paraId="676B1FAE">
      <w:pPr>
        <w:rPr>
          <w:rFonts w:hint="eastAsia" w:ascii="宋体" w:hAnsi="宋体" w:eastAsia="宋体" w:cs="宋体"/>
          <w:color w:val="auto"/>
          <w:highlight w:val="none"/>
          <w:lang w:val="zh-CN"/>
        </w:rPr>
      </w:pPr>
    </w:p>
    <w:p w14:paraId="23D030FD">
      <w:pPr>
        <w:rPr>
          <w:rFonts w:hint="eastAsia" w:ascii="宋体" w:hAnsi="宋体" w:eastAsia="宋体" w:cs="宋体"/>
          <w:color w:val="auto"/>
          <w:highlight w:val="none"/>
          <w:lang w:val="zh-CN"/>
        </w:rPr>
      </w:pPr>
    </w:p>
    <w:p w14:paraId="6F50A97C">
      <w:pPr>
        <w:rPr>
          <w:rFonts w:hint="eastAsia" w:ascii="宋体" w:hAnsi="宋体" w:eastAsia="宋体" w:cs="宋体"/>
          <w:color w:val="auto"/>
          <w:highlight w:val="none"/>
          <w:lang w:val="zh-CN"/>
        </w:rPr>
      </w:pPr>
    </w:p>
    <w:p w14:paraId="3E4F2E6F">
      <w:pPr>
        <w:rPr>
          <w:rFonts w:hint="eastAsia" w:ascii="宋体" w:hAnsi="宋体" w:eastAsia="宋体" w:cs="宋体"/>
          <w:color w:val="auto"/>
          <w:highlight w:val="none"/>
          <w:lang w:val="zh-CN"/>
        </w:rPr>
      </w:pPr>
    </w:p>
    <w:p w14:paraId="699EF8C3">
      <w:pPr>
        <w:rPr>
          <w:rFonts w:hint="eastAsia" w:ascii="宋体" w:hAnsi="宋体" w:eastAsia="宋体" w:cs="宋体"/>
          <w:color w:val="auto"/>
          <w:highlight w:val="none"/>
          <w:lang w:val="zh-CN"/>
        </w:rPr>
      </w:pPr>
    </w:p>
    <w:p w14:paraId="2BE16AC1">
      <w:pPr>
        <w:rPr>
          <w:rFonts w:hint="eastAsia" w:ascii="宋体" w:hAnsi="宋体" w:eastAsia="宋体" w:cs="宋体"/>
          <w:color w:val="auto"/>
          <w:highlight w:val="none"/>
          <w:lang w:val="zh-CN"/>
        </w:rPr>
      </w:pPr>
    </w:p>
    <w:p w14:paraId="3118089B">
      <w:pPr>
        <w:rPr>
          <w:rFonts w:hint="eastAsia" w:ascii="宋体" w:hAnsi="宋体" w:eastAsia="宋体" w:cs="宋体"/>
          <w:color w:val="auto"/>
          <w:highlight w:val="none"/>
          <w:lang w:val="zh-CN"/>
        </w:rPr>
      </w:pPr>
    </w:p>
    <w:p w14:paraId="31E95411">
      <w:pPr>
        <w:rPr>
          <w:rFonts w:hint="eastAsia" w:ascii="宋体" w:hAnsi="宋体" w:eastAsia="宋体" w:cs="宋体"/>
          <w:color w:val="auto"/>
          <w:highlight w:val="none"/>
          <w:lang w:val="zh-CN"/>
        </w:rPr>
      </w:pPr>
    </w:p>
    <w:p w14:paraId="2D7609D2">
      <w:pPr>
        <w:rPr>
          <w:rFonts w:hint="eastAsia" w:ascii="宋体" w:hAnsi="宋体" w:eastAsia="宋体" w:cs="宋体"/>
          <w:color w:val="auto"/>
          <w:highlight w:val="none"/>
          <w:lang w:val="zh-CN"/>
        </w:rPr>
      </w:pPr>
    </w:p>
    <w:p w14:paraId="7286D8BC">
      <w:pPr>
        <w:rPr>
          <w:rFonts w:hint="eastAsia" w:ascii="宋体" w:hAnsi="宋体" w:eastAsia="宋体" w:cs="宋体"/>
          <w:color w:val="auto"/>
          <w:highlight w:val="none"/>
          <w:lang w:val="zh-CN"/>
        </w:rPr>
      </w:pPr>
    </w:p>
    <w:p w14:paraId="4C085373">
      <w:pPr>
        <w:rPr>
          <w:rFonts w:hint="eastAsia" w:ascii="宋体" w:hAnsi="宋体" w:eastAsia="宋体" w:cs="宋体"/>
          <w:color w:val="auto"/>
          <w:highlight w:val="none"/>
          <w:lang w:val="zh-CN"/>
        </w:rPr>
      </w:pPr>
    </w:p>
    <w:p w14:paraId="60A6CA05">
      <w:pPr>
        <w:rPr>
          <w:rFonts w:hint="eastAsia" w:ascii="宋体" w:hAnsi="宋体" w:eastAsia="宋体" w:cs="宋体"/>
          <w:color w:val="auto"/>
          <w:highlight w:val="none"/>
          <w:lang w:val="zh-CN"/>
        </w:rPr>
      </w:pPr>
    </w:p>
    <w:p w14:paraId="1417DCDD">
      <w:pPr>
        <w:rPr>
          <w:rFonts w:hint="eastAsia" w:ascii="宋体" w:hAnsi="宋体" w:eastAsia="宋体" w:cs="宋体"/>
          <w:color w:val="auto"/>
          <w:highlight w:val="none"/>
          <w:lang w:val="zh-CN"/>
        </w:rPr>
      </w:pPr>
    </w:p>
    <w:p w14:paraId="796745C3">
      <w:pPr>
        <w:rPr>
          <w:rFonts w:hint="eastAsia" w:ascii="宋体" w:hAnsi="宋体" w:eastAsia="宋体" w:cs="宋体"/>
          <w:color w:val="auto"/>
          <w:highlight w:val="none"/>
          <w:lang w:val="zh-CN"/>
        </w:rPr>
      </w:pPr>
    </w:p>
    <w:p w14:paraId="69102FDC">
      <w:pPr>
        <w:jc w:val="both"/>
        <w:rPr>
          <w:rFonts w:hint="eastAsia" w:ascii="宋体" w:hAnsi="宋体" w:eastAsia="宋体" w:cs="宋体"/>
          <w:b/>
          <w:color w:val="auto"/>
          <w:kern w:val="0"/>
          <w:sz w:val="36"/>
          <w:szCs w:val="36"/>
          <w:highlight w:val="none"/>
        </w:rPr>
      </w:pPr>
    </w:p>
    <w:p w14:paraId="0B3D558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6A102B8">
      <w:pPr>
        <w:pStyle w:val="41"/>
        <w:ind w:left="0" w:leftChars="0" w:firstLine="0" w:firstLineChars="0"/>
        <w:rPr>
          <w:rFonts w:hint="eastAsia" w:ascii="宋体" w:hAnsi="宋体" w:eastAsia="宋体" w:cs="宋体"/>
          <w:color w:val="auto"/>
          <w:highlight w:val="none"/>
          <w:lang w:val="zh-CN"/>
        </w:rPr>
      </w:pPr>
    </w:p>
    <w:p w14:paraId="30FBDBDB">
      <w:pPr>
        <w:spacing w:line="336"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7856B732">
      <w:pPr>
        <w:pStyle w:val="41"/>
        <w:keepNext w:val="0"/>
        <w:keepLines w:val="0"/>
        <w:pageBreakBefore w:val="0"/>
        <w:kinsoku/>
        <w:overflowPunct/>
        <w:topLinePunct w:val="0"/>
        <w:autoSpaceDE/>
        <w:autoSpaceDN/>
        <w:bidi w:val="0"/>
        <w:snapToGrid/>
        <w:spacing w:line="480" w:lineRule="exact"/>
        <w:textAlignment w:val="auto"/>
        <w:rPr>
          <w:rFonts w:hint="eastAsia" w:ascii="宋体" w:hAnsi="宋体" w:eastAsia="宋体" w:cs="宋体"/>
          <w:color w:val="auto"/>
          <w:highlight w:val="none"/>
          <w:lang w:val="zh-CN"/>
        </w:rPr>
      </w:pPr>
    </w:p>
    <w:p w14:paraId="69A975DC">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投标函</w:t>
      </w:r>
      <w:r>
        <w:rPr>
          <w:rFonts w:hint="eastAsia" w:ascii="宋体" w:hAnsi="宋体" w:eastAsia="宋体" w:cs="宋体"/>
          <w:color w:val="auto"/>
          <w:highlight w:val="none"/>
        </w:rPr>
        <w:t>…………………………………………………………………………（页码）</w:t>
      </w:r>
    </w:p>
    <w:p w14:paraId="1814FA9B">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法定代表人身份证明书</w:t>
      </w:r>
      <w:r>
        <w:rPr>
          <w:rFonts w:hint="eastAsia" w:ascii="宋体" w:hAnsi="宋体" w:eastAsia="宋体" w:cs="宋体"/>
          <w:color w:val="auto"/>
          <w:highlight w:val="none"/>
        </w:rPr>
        <w:t>………………………………………………………（页码）</w:t>
      </w:r>
    </w:p>
    <w:p w14:paraId="455591BA">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法定代表人授权委托书</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授权代表社保证明（</w:t>
      </w:r>
      <w:r>
        <w:rPr>
          <w:rFonts w:hint="eastAsia" w:ascii="宋体" w:hAnsi="宋体" w:eastAsia="宋体" w:cs="宋体"/>
          <w:color w:val="auto"/>
          <w:sz w:val="24"/>
          <w:highlight w:val="none"/>
          <w:lang w:val="en-US" w:eastAsia="zh-CN"/>
        </w:rPr>
        <w:t>若委托</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rPr>
        <w:t>…………………（页码）</w:t>
      </w:r>
    </w:p>
    <w:p w14:paraId="654D0FD5">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法定代表人及其授权代表身份证复印件（正反面）</w:t>
      </w:r>
      <w:r>
        <w:rPr>
          <w:rFonts w:hint="eastAsia" w:ascii="宋体" w:hAnsi="宋体" w:eastAsia="宋体" w:cs="宋体"/>
          <w:color w:val="auto"/>
          <w:highlight w:val="none"/>
        </w:rPr>
        <w:t>………………………（页码）</w:t>
      </w:r>
    </w:p>
    <w:p w14:paraId="257BB4C8">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评分索引表</w:t>
      </w:r>
      <w:r>
        <w:rPr>
          <w:rFonts w:hint="eastAsia" w:ascii="宋体" w:hAnsi="宋体" w:eastAsia="宋体" w:cs="宋体"/>
          <w:color w:val="auto"/>
          <w:highlight w:val="none"/>
        </w:rPr>
        <w:t>……………………………………………………………………（页码）</w:t>
      </w:r>
    </w:p>
    <w:p w14:paraId="4DC8B46A">
      <w:pPr>
        <w:pStyle w:val="85"/>
        <w:keepNext w:val="0"/>
        <w:keepLines w:val="0"/>
        <w:pageBreakBefore w:val="0"/>
        <w:widowControl w:val="0"/>
        <w:numPr>
          <w:ilvl w:val="0"/>
          <w:numId w:val="8"/>
        </w:numPr>
        <w:kinsoku/>
        <w:wordWrap/>
        <w:overflowPunct/>
        <w:topLinePunct w:val="0"/>
        <w:autoSpaceDE/>
        <w:autoSpaceDN/>
        <w:bidi w:val="0"/>
        <w:snapToGrid/>
        <w:spacing w:line="480" w:lineRule="exact"/>
        <w:ind w:left="0" w:firstLine="0" w:firstLineChar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商务技术偏离表</w:t>
      </w:r>
      <w:r>
        <w:rPr>
          <w:rFonts w:hint="eastAsia" w:ascii="宋体" w:hAnsi="宋体" w:eastAsia="宋体" w:cs="宋体"/>
          <w:color w:val="auto"/>
          <w:highlight w:val="none"/>
        </w:rPr>
        <w:t>………………………………………………………………（页码）</w:t>
      </w:r>
    </w:p>
    <w:p w14:paraId="12F7C908">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w:t>
      </w:r>
      <w:r>
        <w:rPr>
          <w:rFonts w:hint="eastAsia" w:ascii="宋体" w:hAnsi="宋体" w:cs="宋体"/>
          <w:color w:val="auto"/>
          <w:kern w:val="2"/>
          <w:sz w:val="24"/>
          <w:highlight w:val="none"/>
          <w:lang w:val="en-US" w:eastAsia="zh-CN" w:bidi="ar-SA"/>
        </w:rPr>
        <w:t>7</w:t>
      </w:r>
      <w:r>
        <w:rPr>
          <w:rFonts w:hint="eastAsia" w:ascii="宋体" w:hAnsi="宋体" w:eastAsia="宋体" w:cs="宋体"/>
          <w:color w:val="auto"/>
          <w:kern w:val="2"/>
          <w:sz w:val="24"/>
          <w:highlight w:val="none"/>
          <w:lang w:val="en-US" w:eastAsia="zh-CN" w:bidi="ar-SA"/>
        </w:rPr>
        <w:t>）同类</w:t>
      </w:r>
      <w:r>
        <w:rPr>
          <w:rFonts w:hint="eastAsia" w:ascii="宋体" w:hAnsi="宋体" w:eastAsia="宋体" w:cs="宋体"/>
          <w:color w:val="auto"/>
          <w:kern w:val="2"/>
          <w:sz w:val="24"/>
          <w:highlight w:val="none"/>
          <w:lang w:val="zh-CN" w:eastAsia="zh-CN" w:bidi="ar-SA"/>
        </w:rPr>
        <w:t>业绩证明</w:t>
      </w:r>
      <w:r>
        <w:rPr>
          <w:rFonts w:hint="eastAsia" w:ascii="宋体" w:hAnsi="宋体" w:eastAsia="宋体" w:cs="宋体"/>
          <w:color w:val="auto"/>
          <w:highlight w:val="none"/>
        </w:rPr>
        <w:t>…………………………………………………………………（页码）</w:t>
      </w:r>
    </w:p>
    <w:p w14:paraId="6B8229F8">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）供应商廉洁自律承诺书</w:t>
      </w:r>
      <w:r>
        <w:rPr>
          <w:rFonts w:hint="eastAsia" w:ascii="宋体" w:hAnsi="宋体" w:eastAsia="宋体" w:cs="宋体"/>
          <w:color w:val="auto"/>
          <w:highlight w:val="none"/>
        </w:rPr>
        <w:t>………………………………………………………（页码）</w:t>
      </w:r>
    </w:p>
    <w:p w14:paraId="04DB248F">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(9)  </w:t>
      </w:r>
      <w:r>
        <w:rPr>
          <w:rFonts w:hint="eastAsia" w:ascii="宋体" w:hAnsi="宋体" w:cs="宋体"/>
          <w:color w:val="auto"/>
          <w:sz w:val="24"/>
          <w:highlight w:val="none"/>
          <w:lang w:val="en-US" w:eastAsia="zh-CN"/>
        </w:rPr>
        <w:t>企业证书</w:t>
      </w:r>
      <w:r>
        <w:rPr>
          <w:rFonts w:hint="eastAsia" w:ascii="宋体" w:hAnsi="宋体" w:eastAsia="宋体" w:cs="宋体"/>
          <w:color w:val="auto"/>
          <w:sz w:val="24"/>
          <w:highlight w:val="none"/>
          <w:lang w:val="en-US" w:eastAsia="zh-CN"/>
        </w:rPr>
        <w:t>……………………………………………………………………</w:t>
      </w:r>
      <w:r>
        <w:rPr>
          <w:rFonts w:hint="eastAsia" w:ascii="宋体" w:hAnsi="宋体" w:eastAsia="宋体" w:cs="宋体"/>
          <w:color w:val="auto"/>
          <w:highlight w:val="none"/>
        </w:rPr>
        <w:t>…（页码）</w:t>
      </w:r>
    </w:p>
    <w:p w14:paraId="4EE9D40C">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 xml:space="preserve">) </w:t>
      </w:r>
      <w:r>
        <w:rPr>
          <w:rFonts w:hint="eastAsia" w:ascii="宋体" w:hAnsi="宋体"/>
          <w:color w:val="auto"/>
          <w:sz w:val="24"/>
          <w:szCs w:val="24"/>
          <w:highlight w:val="none"/>
        </w:rPr>
        <w:t>拟派项目组成员</w:t>
      </w:r>
      <w:r>
        <w:rPr>
          <w:rFonts w:hint="eastAsia" w:ascii="宋体" w:hAnsi="宋体" w:eastAsia="宋体" w:cs="宋体"/>
          <w:color w:val="auto"/>
          <w:sz w:val="24"/>
          <w:highlight w:val="none"/>
          <w:lang w:val="en-US" w:eastAsia="zh-CN"/>
        </w:rPr>
        <w:t>………………………………………………………………（页码）</w:t>
      </w:r>
    </w:p>
    <w:p w14:paraId="447D798A">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w:t>
      </w:r>
      <w:r>
        <w:rPr>
          <w:rFonts w:hint="eastAsia" w:ascii="宋体" w:hAnsi="宋体"/>
          <w:color w:val="auto"/>
          <w:szCs w:val="21"/>
          <w:highlight w:val="none"/>
        </w:rPr>
        <w:t>技术要求</w:t>
      </w:r>
      <w:r>
        <w:rPr>
          <w:rFonts w:hint="eastAsia" w:ascii="宋体" w:hAnsi="宋体" w:eastAsia="宋体" w:cs="宋体"/>
          <w:color w:val="auto"/>
          <w:highlight w:val="none"/>
        </w:rPr>
        <w:t>…………………………………………………………………</w:t>
      </w:r>
      <w:r>
        <w:rPr>
          <w:rFonts w:hint="eastAsia" w:ascii="宋体" w:hAnsi="宋体" w:eastAsia="宋体" w:cs="宋体"/>
          <w:color w:val="auto"/>
          <w:sz w:val="24"/>
          <w:highlight w:val="none"/>
          <w:lang w:val="en-US" w:eastAsia="zh-CN"/>
        </w:rPr>
        <w:t>……（页码）</w:t>
      </w:r>
    </w:p>
    <w:p w14:paraId="41ACCACD">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 项目实施方案…………………………………………………………………（页码）</w:t>
      </w:r>
    </w:p>
    <w:p w14:paraId="1BB85CBA">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质量、安全管理保障…………………………………………………………（页码）</w:t>
      </w:r>
    </w:p>
    <w:p w14:paraId="63EA585D">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(1</w:t>
      </w:r>
      <w:r>
        <w:rPr>
          <w:rFonts w:hint="eastAsia" w:ascii="宋体" w:hAnsi="宋体" w:cs="宋体"/>
          <w:color w:val="auto"/>
          <w:kern w:val="2"/>
          <w:sz w:val="24"/>
          <w:highlight w:val="none"/>
          <w:lang w:val="en-US" w:eastAsia="zh-CN" w:bidi="ar-SA"/>
        </w:rPr>
        <w:t>4</w:t>
      </w:r>
      <w:r>
        <w:rPr>
          <w:rFonts w:hint="eastAsia" w:ascii="宋体" w:hAnsi="宋体" w:eastAsia="宋体" w:cs="宋体"/>
          <w:color w:val="auto"/>
          <w:kern w:val="2"/>
          <w:sz w:val="24"/>
          <w:highlight w:val="none"/>
          <w:lang w:val="en-US" w:eastAsia="zh-CN" w:bidi="ar-SA"/>
        </w:rPr>
        <w:t>) 工期进度保障…………………………………………………………………（页码）</w:t>
      </w:r>
    </w:p>
    <w:p w14:paraId="5A7E55DE">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(1</w:t>
      </w:r>
      <w:r>
        <w:rPr>
          <w:rFonts w:hint="eastAsia" w:ascii="宋体" w:hAnsi="宋体" w:cs="宋体"/>
          <w:color w:val="auto"/>
          <w:kern w:val="2"/>
          <w:sz w:val="24"/>
          <w:highlight w:val="none"/>
          <w:lang w:val="en-US" w:eastAsia="zh-CN" w:bidi="ar-SA"/>
        </w:rPr>
        <w:t>5</w:t>
      </w:r>
      <w:r>
        <w:rPr>
          <w:rFonts w:hint="eastAsia" w:ascii="宋体" w:hAnsi="宋体" w:eastAsia="宋体" w:cs="宋体"/>
          <w:color w:val="auto"/>
          <w:kern w:val="2"/>
          <w:sz w:val="24"/>
          <w:highlight w:val="none"/>
          <w:lang w:val="en-US" w:eastAsia="zh-CN" w:bidi="ar-SA"/>
        </w:rPr>
        <w:t>) 应急售后保障………………</w:t>
      </w:r>
      <w:r>
        <w:rPr>
          <w:rFonts w:hint="eastAsia" w:ascii="宋体" w:hAnsi="宋体" w:eastAsia="宋体" w:cs="宋体"/>
          <w:color w:val="auto"/>
          <w:sz w:val="24"/>
          <w:highlight w:val="none"/>
          <w:lang w:val="en-US" w:eastAsia="zh-CN"/>
        </w:rPr>
        <w:t>…………………………………………………（页码）</w:t>
      </w:r>
    </w:p>
    <w:p w14:paraId="783E539A">
      <w:pPr>
        <w:pStyle w:val="85"/>
        <w:keepNext w:val="0"/>
        <w:keepLines w:val="0"/>
        <w:pageBreakBefore w:val="0"/>
        <w:widowControl w:val="0"/>
        <w:numPr>
          <w:ilvl w:val="0"/>
          <w:numId w:val="0"/>
        </w:numPr>
        <w:kinsoku/>
        <w:wordWrap/>
        <w:overflowPunct/>
        <w:topLinePunct w:val="0"/>
        <w:autoSpaceDE/>
        <w:autoSpaceDN/>
        <w:bidi w:val="0"/>
        <w:snapToGrid/>
        <w:spacing w:line="480" w:lineRule="exact"/>
        <w:ind w:lef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bidi="ar-SA"/>
        </w:rPr>
        <w:t>(1</w:t>
      </w:r>
      <w:r>
        <w:rPr>
          <w:rFonts w:hint="eastAsia" w:ascii="宋体" w:hAnsi="宋体" w:cs="宋体"/>
          <w:color w:val="auto"/>
          <w:kern w:val="2"/>
          <w:sz w:val="24"/>
          <w:highlight w:val="none"/>
          <w:lang w:val="en-US" w:eastAsia="zh-CN" w:bidi="ar-SA"/>
        </w:rPr>
        <w:t>6</w:t>
      </w:r>
      <w:r>
        <w:rPr>
          <w:rFonts w:hint="eastAsia" w:ascii="宋体" w:hAnsi="宋体" w:eastAsia="宋体" w:cs="宋体"/>
          <w:color w:val="auto"/>
          <w:kern w:val="2"/>
          <w:sz w:val="24"/>
          <w:highlight w:val="none"/>
          <w:lang w:val="en-US" w:eastAsia="zh-CN" w:bidi="ar-SA"/>
        </w:rPr>
        <w:t>) 质保期……</w:t>
      </w:r>
      <w:r>
        <w:rPr>
          <w:rFonts w:hint="eastAsia" w:ascii="宋体" w:hAnsi="宋体" w:eastAsia="宋体" w:cs="宋体"/>
          <w:color w:val="auto"/>
          <w:sz w:val="24"/>
          <w:highlight w:val="none"/>
          <w:lang w:val="en-US" w:eastAsia="zh-CN"/>
        </w:rPr>
        <w:t>……………………………………………………………………（页码）</w:t>
      </w:r>
    </w:p>
    <w:p w14:paraId="33E11054">
      <w:pPr>
        <w:keepNext w:val="0"/>
        <w:keepLines w:val="0"/>
        <w:pageBreakBefore w:val="0"/>
        <w:kinsoku/>
        <w:overflowPunct/>
        <w:topLinePunct w:val="0"/>
        <w:autoSpaceDE/>
        <w:autoSpaceDN/>
        <w:bidi w:val="0"/>
        <w:snapToGrid/>
        <w:spacing w:line="480" w:lineRule="exact"/>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）投标人认为需要说明的其他文件和说明（若有）…………………………（页码）</w:t>
      </w:r>
    </w:p>
    <w:p w14:paraId="0437A54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5662DA4B">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0941044E">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69BB2A8C">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108CBA7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643D84F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highlight w:val="none"/>
        </w:rPr>
      </w:pPr>
    </w:p>
    <w:p w14:paraId="19BD981E">
      <w:pPr>
        <w:keepNext w:val="0"/>
        <w:keepLines w:val="0"/>
        <w:pageBreakBefore w:val="0"/>
        <w:kinsoku/>
        <w:wordWrap/>
        <w:overflowPunct/>
        <w:topLinePunct w:val="0"/>
        <w:autoSpaceDE/>
        <w:autoSpaceDN/>
        <w:bidi w:val="0"/>
        <w:adjustRightInd/>
        <w:snapToGrid w:val="0"/>
        <w:spacing w:line="480" w:lineRule="exact"/>
        <w:jc w:val="both"/>
        <w:textAlignment w:val="auto"/>
        <w:outlineLvl w:val="0"/>
        <w:rPr>
          <w:rFonts w:hint="eastAsia" w:ascii="宋体" w:hAnsi="宋体" w:eastAsia="宋体" w:cs="宋体"/>
          <w:b/>
          <w:color w:val="auto"/>
          <w:kern w:val="0"/>
          <w:sz w:val="32"/>
          <w:szCs w:val="32"/>
          <w:highlight w:val="none"/>
        </w:rPr>
      </w:pPr>
    </w:p>
    <w:p w14:paraId="4C02B927">
      <w:pPr>
        <w:keepNext w:val="0"/>
        <w:keepLines w:val="0"/>
        <w:pageBreakBefore w:val="0"/>
        <w:kinsoku/>
        <w:wordWrap/>
        <w:overflowPunct/>
        <w:topLinePunct w:val="0"/>
        <w:autoSpaceDE/>
        <w:autoSpaceDN/>
        <w:bidi w:val="0"/>
        <w:adjustRightInd/>
        <w:snapToGrid w:val="0"/>
        <w:spacing w:line="48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7D18554">
      <w:pPr>
        <w:pStyle w:val="82"/>
        <w:keepNext w:val="0"/>
        <w:keepLines w:val="0"/>
        <w:pageBreakBefore w:val="0"/>
        <w:widowControl/>
        <w:kinsoku/>
        <w:wordWrap/>
        <w:overflowPunct/>
        <w:topLinePunct w:val="0"/>
        <w:autoSpaceDE/>
        <w:autoSpaceDN/>
        <w:bidi w:val="0"/>
        <w:adjustRightInd/>
        <w:snapToGrid w:val="0"/>
        <w:spacing w:afterLines="0" w:line="480" w:lineRule="exact"/>
        <w:ind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名称）</w:t>
      </w:r>
    </w:p>
    <w:p w14:paraId="309A6BC2">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根据贵方（</w:t>
      </w:r>
      <w:r>
        <w:rPr>
          <w:rFonts w:hint="eastAsia" w:ascii="宋体" w:hAnsi="宋体" w:eastAsia="宋体" w:cs="宋体"/>
          <w:b/>
          <w:color w:val="auto"/>
          <w:szCs w:val="24"/>
          <w:highlight w:val="none"/>
          <w:u w:val="single"/>
        </w:rPr>
        <w:t>填写项目名称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文件的要求，正式授权</w:t>
      </w:r>
      <w:r>
        <w:rPr>
          <w:rFonts w:hint="eastAsia" w:ascii="宋体" w:hAnsi="宋体" w:eastAsia="宋体" w:cs="宋体"/>
          <w:b/>
          <w:color w:val="auto"/>
          <w:szCs w:val="24"/>
          <w:highlight w:val="none"/>
          <w:u w:val="single"/>
        </w:rPr>
        <w:t>（全权代表姓名 、单位  、职务   ）</w:t>
      </w:r>
      <w:r>
        <w:rPr>
          <w:rFonts w:hint="eastAsia" w:ascii="宋体" w:hAnsi="宋体" w:eastAsia="宋体" w:cs="宋体"/>
          <w:color w:val="auto"/>
          <w:szCs w:val="24"/>
          <w:highlight w:val="none"/>
        </w:rPr>
        <w:t>代表投标人</w:t>
      </w:r>
      <w:r>
        <w:rPr>
          <w:rFonts w:hint="eastAsia" w:ascii="宋体" w:hAnsi="宋体" w:eastAsia="宋体" w:cs="宋体"/>
          <w:color w:val="auto"/>
          <w:szCs w:val="24"/>
          <w:highlight w:val="none"/>
          <w:u w:val="single"/>
        </w:rPr>
        <w:t>（</w:t>
      </w:r>
      <w:r>
        <w:rPr>
          <w:rFonts w:hint="eastAsia" w:ascii="宋体" w:hAnsi="宋体" w:eastAsia="宋体" w:cs="宋体"/>
          <w:b/>
          <w:color w:val="auto"/>
          <w:szCs w:val="24"/>
          <w:highlight w:val="none"/>
          <w:u w:val="single"/>
        </w:rPr>
        <w:t xml:space="preserve">填写单位 、地址 </w:t>
      </w:r>
      <w:r>
        <w:rPr>
          <w:rFonts w:hint="eastAsia" w:ascii="宋体" w:hAnsi="宋体" w:eastAsia="宋体" w:cs="宋体"/>
          <w:color w:val="auto"/>
          <w:szCs w:val="24"/>
          <w:highlight w:val="none"/>
          <w:u w:val="single"/>
        </w:rPr>
        <w:t>）</w:t>
      </w:r>
      <w:r>
        <w:rPr>
          <w:rFonts w:hint="eastAsia" w:ascii="宋体" w:hAnsi="宋体" w:eastAsia="宋体" w:cs="宋体"/>
          <w:color w:val="auto"/>
          <w:szCs w:val="24"/>
          <w:highlight w:val="none"/>
        </w:rPr>
        <w:t>提交投标文件。</w:t>
      </w:r>
    </w:p>
    <w:p w14:paraId="1F14CD3F">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我方已完全明白</w:t>
      </w:r>
      <w:r>
        <w:rPr>
          <w:rFonts w:hint="eastAsia" w:ascii="宋体" w:hAnsi="宋体" w:eastAsia="宋体" w:cs="宋体"/>
          <w:color w:val="auto"/>
          <w:szCs w:val="24"/>
          <w:highlight w:val="none"/>
          <w:lang w:val="en-US" w:eastAsia="zh-CN"/>
        </w:rPr>
        <w:t>采购</w:t>
      </w:r>
      <w:r>
        <w:rPr>
          <w:rFonts w:hint="eastAsia" w:ascii="宋体" w:hAnsi="宋体" w:eastAsia="宋体" w:cs="宋体"/>
          <w:color w:val="auto"/>
          <w:szCs w:val="24"/>
          <w:highlight w:val="none"/>
        </w:rPr>
        <w:t>文件的所有条款要求，兹声明同意如下：</w:t>
      </w:r>
    </w:p>
    <w:p w14:paraId="61544A9A">
      <w:pPr>
        <w:pStyle w:val="5"/>
        <w:keepNext w:val="0"/>
        <w:keepLines w:val="0"/>
        <w:pageBreakBefore w:val="0"/>
        <w:kinsoku/>
        <w:wordWrap/>
        <w:overflowPunct/>
        <w:topLinePunct w:val="0"/>
        <w:autoSpaceDE/>
        <w:autoSpaceDN/>
        <w:bidi w:val="0"/>
        <w:adjustRightInd/>
        <w:spacing w:line="50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我方同意在投标人</w:t>
      </w:r>
      <w:r>
        <w:rPr>
          <w:rFonts w:hint="eastAsia" w:ascii="宋体" w:hAnsi="宋体" w:eastAsia="宋体" w:cs="宋体"/>
          <w:color w:val="auto"/>
          <w:kern w:val="44"/>
          <w:szCs w:val="24"/>
          <w:highlight w:val="none"/>
        </w:rPr>
        <w:t>须知</w:t>
      </w:r>
      <w:r>
        <w:rPr>
          <w:rFonts w:hint="eastAsia" w:ascii="宋体" w:hAnsi="宋体" w:eastAsia="宋体" w:cs="宋体"/>
          <w:color w:val="auto"/>
          <w:szCs w:val="24"/>
          <w:highlight w:val="none"/>
        </w:rPr>
        <w:t>规定的开标日期起遵守本投标文件中的承诺且在投标有效期满之前均具有约束力。</w:t>
      </w:r>
    </w:p>
    <w:p w14:paraId="6FCCED7E">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中规定的参加采购活动的供应商应当具备的条件。</w:t>
      </w:r>
    </w:p>
    <w:p w14:paraId="0B378F1F">
      <w:pPr>
        <w:pStyle w:val="5"/>
        <w:keepNext w:val="0"/>
        <w:keepLines w:val="0"/>
        <w:pageBreakBefore w:val="0"/>
        <w:numPr>
          <w:ilvl w:val="0"/>
          <w:numId w:val="0"/>
        </w:numPr>
        <w:kinsoku/>
        <w:wordWrap/>
        <w:overflowPunct/>
        <w:topLinePunct w:val="0"/>
        <w:autoSpaceDE/>
        <w:autoSpaceDN/>
        <w:bidi w:val="0"/>
        <w:adjustRightInd/>
        <w:spacing w:line="500" w:lineRule="exact"/>
        <w:ind w:left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4A4A01A2">
      <w:pPr>
        <w:pStyle w:val="82"/>
        <w:keepNext w:val="0"/>
        <w:keepLines w:val="0"/>
        <w:pageBreakBefore w:val="0"/>
        <w:kinsoku/>
        <w:wordWrap/>
        <w:overflowPunct/>
        <w:topLinePunct w:val="0"/>
        <w:autoSpaceDE/>
        <w:autoSpaceDN/>
        <w:bidi w:val="0"/>
        <w:adjustRightInd/>
        <w:spacing w:afterLines="0" w:line="5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4.我方理解贵方将不受你们所收到的最低报价的约束。</w:t>
      </w:r>
    </w:p>
    <w:p w14:paraId="255EE099">
      <w:pPr>
        <w:pStyle w:val="5"/>
        <w:keepNext w:val="0"/>
        <w:keepLines w:val="0"/>
        <w:pageBreakBefore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5.本投标自开标之日（投标截止之日）起90天内有效。</w:t>
      </w:r>
    </w:p>
    <w:p w14:paraId="1AD60340">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r>
        <w:rPr>
          <w:rFonts w:hint="eastAsia" w:ascii="宋体" w:hAnsi="宋体" w:eastAsia="宋体" w:cs="宋体"/>
          <w:color w:val="auto"/>
          <w:sz w:val="24"/>
          <w:highlight w:val="none"/>
        </w:rPr>
        <w:t>如在此有效期内，</w:t>
      </w:r>
      <w:r>
        <w:rPr>
          <w:rFonts w:hint="eastAsia" w:ascii="宋体" w:hAnsi="宋体" w:eastAsia="宋体" w:cs="宋体"/>
          <w:color w:val="auto"/>
          <w:sz w:val="24"/>
          <w:szCs w:val="24"/>
          <w:highlight w:val="none"/>
        </w:rPr>
        <w:t>我方出现下列行为之一者，同意无条件接受采购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及上级部门的处罚。</w:t>
      </w:r>
    </w:p>
    <w:p w14:paraId="05B3F5F2">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a)提供虚假材料谋取中标、成交的；</w:t>
      </w:r>
    </w:p>
    <w:p w14:paraId="7A00B6CA">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b)采取不正当手段诋毁、排挤其他供应商的；</w:t>
      </w:r>
    </w:p>
    <w:p w14:paraId="7111CE5F">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c)与采购人、其它供应商或者采购代理机构恶意串通的；</w:t>
      </w:r>
    </w:p>
    <w:p w14:paraId="03197B7B">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d)向采购人、采购代理机构行贿或者提供其他不正当利益的；</w:t>
      </w:r>
    </w:p>
    <w:p w14:paraId="6A4720C7">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e)在招标采购过程中与采购人进行协商谈判的；</w:t>
      </w:r>
    </w:p>
    <w:p w14:paraId="05189F78">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f)拒绝有关部门监督检查或提供虚假情况的。</w:t>
      </w:r>
    </w:p>
    <w:p w14:paraId="6D0F30F0">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供应商有前款第a)至e)项情形之一的，中标、成交无效。</w:t>
      </w:r>
    </w:p>
    <w:p w14:paraId="7E32EB39">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　　　　　　　　　　　　　　　邮政编码：</w:t>
      </w:r>
    </w:p>
    <w:p w14:paraId="611CA389">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                              传真：</w:t>
      </w:r>
    </w:p>
    <w:p w14:paraId="20230CC2">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开户银行：                          帐号：</w:t>
      </w:r>
    </w:p>
    <w:p w14:paraId="610DF14F">
      <w:pPr>
        <w:pStyle w:val="82"/>
        <w:keepNext w:val="0"/>
        <w:keepLines w:val="0"/>
        <w:pageBreakBefore w:val="0"/>
        <w:kinsoku/>
        <w:wordWrap/>
        <w:overflowPunct/>
        <w:topLinePunct w:val="0"/>
        <w:autoSpaceDE/>
        <w:autoSpaceDN/>
        <w:bidi w:val="0"/>
        <w:adjustRightInd/>
        <w:snapToGrid w:val="0"/>
        <w:spacing w:afterLines="0" w:line="48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法定代表人或授权委托人</w:t>
      </w:r>
      <w:r>
        <w:rPr>
          <w:rFonts w:hint="eastAsia" w:ascii="宋体" w:hAnsi="宋体" w:eastAsia="宋体" w:cs="宋体"/>
          <w:color w:val="auto"/>
          <w:spacing w:val="20"/>
          <w:szCs w:val="24"/>
          <w:highlight w:val="none"/>
        </w:rPr>
        <w:t>签</w:t>
      </w:r>
      <w:r>
        <w:rPr>
          <w:rFonts w:hint="eastAsia" w:ascii="宋体" w:hAnsi="宋体" w:eastAsia="宋体" w:cs="宋体"/>
          <w:color w:val="auto"/>
          <w:spacing w:val="20"/>
          <w:szCs w:val="24"/>
          <w:highlight w:val="none"/>
          <w:lang w:val="en-US" w:eastAsia="zh-CN"/>
        </w:rPr>
        <w:t>字</w:t>
      </w:r>
      <w:r>
        <w:rPr>
          <w:rFonts w:hint="eastAsia" w:ascii="宋体" w:hAnsi="宋体" w:eastAsia="宋体" w:cs="宋体"/>
          <w:color w:val="auto"/>
          <w:spacing w:val="20"/>
          <w:szCs w:val="24"/>
          <w:highlight w:val="none"/>
        </w:rPr>
        <w:t>：</w:t>
      </w:r>
    </w:p>
    <w:p w14:paraId="2F269239">
      <w:pPr>
        <w:keepNext w:val="0"/>
        <w:keepLines w:val="0"/>
        <w:pageBreakBefore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投标人(电子签名)：　　　　　　　　　日期：  </w:t>
      </w:r>
    </w:p>
    <w:p w14:paraId="7543A0BF">
      <w:pPr>
        <w:pStyle w:val="14"/>
        <w:keepNext w:val="0"/>
        <w:keepLines w:val="0"/>
        <w:pageBreakBefore w:val="0"/>
        <w:kinsoku/>
        <w:wordWrap/>
        <w:overflowPunct/>
        <w:topLinePunct w:val="0"/>
        <w:autoSpaceDE/>
        <w:autoSpaceDN/>
        <w:bidi w:val="0"/>
        <w:adjustRightInd/>
        <w:spacing w:after="0" w:line="500" w:lineRule="exact"/>
        <w:ind w:firstLine="480" w:firstLineChars="2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Cs w:val="24"/>
          <w:highlight w:val="none"/>
        </w:rPr>
        <w:t xml:space="preserve">  </w:t>
      </w:r>
    </w:p>
    <w:p w14:paraId="364FC2FD">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宋体" w:hAnsi="宋体" w:eastAsia="宋体" w:cs="宋体"/>
          <w:b/>
          <w:color w:val="auto"/>
          <w:kern w:val="0"/>
          <w:sz w:val="32"/>
          <w:szCs w:val="32"/>
          <w:highlight w:val="none"/>
          <w:lang w:val="en-US" w:eastAsia="zh-CN"/>
        </w:rPr>
      </w:pPr>
    </w:p>
    <w:p w14:paraId="3852CA4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二、法定代表人身份证明书</w:t>
      </w:r>
    </w:p>
    <w:p w14:paraId="60B4057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071B060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7CF7A48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97B3FF4">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p>
    <w:p w14:paraId="3AC7E804">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3822BA1">
      <w:pPr>
        <w:keepNext w:val="0"/>
        <w:keepLines w:val="0"/>
        <w:pageBreakBefore w:val="0"/>
        <w:widowControl w:val="0"/>
        <w:kinsoku/>
        <w:wordWrap/>
        <w:overflowPunct/>
        <w:topLinePunct w:val="0"/>
        <w:autoSpaceDE/>
        <w:autoSpaceDN/>
        <w:bidi w:val="0"/>
        <w:adjustRightInd w:val="0"/>
        <w:spacing w:line="360" w:lineRule="auto"/>
        <w:ind w:right="322" w:rightChars="134"/>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94B1BE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cs="宋体"/>
          <w:color w:val="auto"/>
          <w:sz w:val="24"/>
          <w:highlight w:val="none"/>
          <w:u w:val="single"/>
          <w:lang w:val="en-US" w:eastAsia="zh-CN"/>
        </w:rPr>
        <w:t>投标人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1B97F4D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7A6279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6087F3B3">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投标人(电子签名)</w:t>
      </w:r>
      <w:r>
        <w:rPr>
          <w:rFonts w:hint="eastAsia" w:ascii="宋体" w:hAnsi="宋体" w:eastAsia="宋体" w:cs="宋体"/>
          <w:color w:val="auto"/>
          <w:sz w:val="24"/>
          <w:highlight w:val="none"/>
          <w:lang w:val="en-US" w:eastAsia="zh-CN"/>
        </w:rPr>
        <w:t xml:space="preserve">            </w:t>
      </w:r>
    </w:p>
    <w:p w14:paraId="13931FD5">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D081385">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52F93AB6">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00369AA0">
      <w:pPr>
        <w:snapToGrid w:val="0"/>
        <w:spacing w:line="360" w:lineRule="auto"/>
        <w:ind w:right="480"/>
        <w:jc w:val="center"/>
        <w:rPr>
          <w:rFonts w:hint="eastAsia" w:ascii="宋体" w:hAnsi="宋体" w:eastAsia="宋体" w:cs="宋体"/>
          <w:b/>
          <w:color w:val="auto"/>
          <w:kern w:val="0"/>
          <w:sz w:val="32"/>
          <w:szCs w:val="32"/>
          <w:highlight w:val="none"/>
          <w:lang w:val="en-US" w:eastAsia="zh-CN"/>
        </w:rPr>
      </w:pPr>
    </w:p>
    <w:p w14:paraId="75C6CF9F">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10258EA8">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77DF56C0">
      <w:pPr>
        <w:pStyle w:val="111"/>
        <w:rPr>
          <w:rFonts w:hint="eastAsia" w:ascii="宋体" w:hAnsi="宋体" w:eastAsia="宋体" w:cs="宋体"/>
          <w:color w:val="auto"/>
          <w:highlight w:val="none"/>
          <w:lang w:val="en-US" w:eastAsia="zh-CN"/>
        </w:rPr>
      </w:pPr>
    </w:p>
    <w:p w14:paraId="56D8203E">
      <w:pPr>
        <w:pStyle w:val="111"/>
        <w:rPr>
          <w:rFonts w:hint="eastAsia" w:ascii="宋体" w:hAnsi="宋体" w:eastAsia="宋体" w:cs="宋体"/>
          <w:color w:val="auto"/>
          <w:highlight w:val="none"/>
          <w:lang w:val="en-US" w:eastAsia="zh-CN"/>
        </w:rPr>
      </w:pPr>
    </w:p>
    <w:p w14:paraId="21865B71">
      <w:pPr>
        <w:pStyle w:val="111"/>
        <w:rPr>
          <w:rFonts w:hint="eastAsia" w:ascii="宋体" w:hAnsi="宋体" w:eastAsia="宋体" w:cs="宋体"/>
          <w:color w:val="auto"/>
          <w:highlight w:val="none"/>
          <w:lang w:val="en-US" w:eastAsia="zh-CN"/>
        </w:rPr>
      </w:pPr>
    </w:p>
    <w:p w14:paraId="522893EC">
      <w:pPr>
        <w:pStyle w:val="111"/>
        <w:rPr>
          <w:rFonts w:hint="eastAsia" w:ascii="宋体" w:hAnsi="宋体" w:eastAsia="宋体" w:cs="宋体"/>
          <w:color w:val="auto"/>
          <w:highlight w:val="none"/>
          <w:lang w:val="en-US" w:eastAsia="zh-CN"/>
        </w:rPr>
      </w:pPr>
    </w:p>
    <w:p w14:paraId="535EC86D">
      <w:pPr>
        <w:pStyle w:val="111"/>
        <w:rPr>
          <w:rFonts w:hint="eastAsia" w:ascii="宋体" w:hAnsi="宋体" w:eastAsia="宋体" w:cs="宋体"/>
          <w:color w:val="auto"/>
          <w:highlight w:val="none"/>
          <w:lang w:val="en-US" w:eastAsia="zh-CN"/>
        </w:rPr>
      </w:pPr>
    </w:p>
    <w:p w14:paraId="764E3008">
      <w:pPr>
        <w:pStyle w:val="111"/>
        <w:rPr>
          <w:rFonts w:hint="eastAsia" w:ascii="宋体" w:hAnsi="宋体" w:eastAsia="宋体" w:cs="宋体"/>
          <w:color w:val="auto"/>
          <w:highlight w:val="none"/>
          <w:lang w:val="en-US" w:eastAsia="zh-CN"/>
        </w:rPr>
      </w:pPr>
    </w:p>
    <w:p w14:paraId="7BDB7D8C">
      <w:pPr>
        <w:pStyle w:val="111"/>
        <w:rPr>
          <w:rFonts w:hint="eastAsia" w:ascii="宋体" w:hAnsi="宋体" w:eastAsia="宋体" w:cs="宋体"/>
          <w:color w:val="auto"/>
          <w:highlight w:val="none"/>
          <w:lang w:val="en-US" w:eastAsia="zh-CN"/>
        </w:rPr>
      </w:pPr>
    </w:p>
    <w:p w14:paraId="189EDA42">
      <w:pPr>
        <w:pStyle w:val="111"/>
        <w:rPr>
          <w:rFonts w:hint="eastAsia" w:ascii="宋体" w:hAnsi="宋体" w:eastAsia="宋体" w:cs="宋体"/>
          <w:color w:val="auto"/>
          <w:highlight w:val="none"/>
          <w:lang w:val="en-US" w:eastAsia="zh-CN"/>
        </w:rPr>
      </w:pPr>
    </w:p>
    <w:p w14:paraId="61C65785">
      <w:pPr>
        <w:pStyle w:val="111"/>
        <w:rPr>
          <w:rFonts w:hint="eastAsia" w:ascii="宋体" w:hAnsi="宋体" w:eastAsia="宋体" w:cs="宋体"/>
          <w:color w:val="auto"/>
          <w:highlight w:val="none"/>
          <w:lang w:val="en-US" w:eastAsia="zh-CN"/>
        </w:rPr>
      </w:pPr>
    </w:p>
    <w:p w14:paraId="75206675">
      <w:pPr>
        <w:pStyle w:val="111"/>
        <w:rPr>
          <w:rFonts w:hint="eastAsia" w:ascii="宋体" w:hAnsi="宋体" w:eastAsia="宋体" w:cs="宋体"/>
          <w:color w:val="auto"/>
          <w:highlight w:val="none"/>
          <w:lang w:val="en-US" w:eastAsia="zh-CN"/>
        </w:rPr>
      </w:pPr>
    </w:p>
    <w:p w14:paraId="424B7A0C">
      <w:pPr>
        <w:keepNext w:val="0"/>
        <w:keepLines w:val="0"/>
        <w:pageBreakBefore w:val="0"/>
        <w:widowControl w:val="0"/>
        <w:kinsoku/>
        <w:wordWrap/>
        <w:overflowPunct/>
        <w:topLinePunct w:val="0"/>
        <w:autoSpaceDE/>
        <w:autoSpaceDN/>
        <w:bidi w:val="0"/>
        <w:adjustRightInd w:val="0"/>
        <w:snapToGrid w:val="0"/>
        <w:spacing w:line="360" w:lineRule="auto"/>
        <w:ind w:right="480"/>
        <w:jc w:val="both"/>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p w14:paraId="7D3C0C6B">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b/>
          <w:color w:val="auto"/>
          <w:kern w:val="0"/>
          <w:sz w:val="32"/>
          <w:szCs w:val="32"/>
          <w:highlight w:val="none"/>
          <w:lang w:val="en-US" w:eastAsia="zh-CN"/>
        </w:rPr>
      </w:pPr>
    </w:p>
    <w:p w14:paraId="4949050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en-US" w:eastAsia="zh-CN"/>
        </w:rPr>
        <w:t>三、法定代表人授权委托书及授权代表社保证明（若委托）</w:t>
      </w:r>
    </w:p>
    <w:p w14:paraId="1E17CC44">
      <w:pPr>
        <w:snapToGrid w:val="0"/>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(填写姓名)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（填写</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单位全称）</w:t>
      </w:r>
      <w:r>
        <w:rPr>
          <w:rFonts w:hint="eastAsia" w:ascii="宋体" w:hAnsi="宋体" w:eastAsia="宋体" w:cs="宋体"/>
          <w:color w:val="auto"/>
          <w:sz w:val="24"/>
          <w:highlight w:val="none"/>
        </w:rPr>
        <w:t>的法定代表人，现授权委托</w:t>
      </w:r>
      <w:r>
        <w:rPr>
          <w:rFonts w:hint="eastAsia" w:ascii="宋体" w:hAnsi="宋体" w:eastAsia="宋体" w:cs="宋体"/>
          <w:color w:val="auto"/>
          <w:sz w:val="24"/>
          <w:highlight w:val="none"/>
          <w:u w:val="single"/>
        </w:rPr>
        <w:t xml:space="preserve">                  （填写单位全称）</w:t>
      </w:r>
      <w:r>
        <w:rPr>
          <w:rFonts w:hint="eastAsia" w:ascii="宋体" w:hAnsi="宋体" w:eastAsia="宋体" w:cs="宋体"/>
          <w:color w:val="auto"/>
          <w:sz w:val="24"/>
          <w:highlight w:val="none"/>
        </w:rPr>
        <w:t>的（填写姓名）为我公司授权代表，</w:t>
      </w:r>
      <w:r>
        <w:rPr>
          <w:rFonts w:hint="eastAsia" w:ascii="宋体" w:hAnsi="宋体" w:eastAsia="宋体" w:cs="宋体"/>
          <w:color w:val="auto"/>
          <w:sz w:val="24"/>
          <w:highlight w:val="none"/>
          <w:u w:val="single"/>
        </w:rPr>
        <w:t>（填写身份证号码：                       ）</w:t>
      </w:r>
      <w:r>
        <w:rPr>
          <w:rFonts w:hint="eastAsia" w:ascii="宋体" w:hAnsi="宋体" w:eastAsia="宋体" w:cs="宋体"/>
          <w:color w:val="auto"/>
          <w:sz w:val="24"/>
          <w:highlight w:val="none"/>
        </w:rPr>
        <w:t>。以本公司的名义参加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活动。授权代表在开标、评标、合同谈判过程中所签署的一切文件和处理与之有关的一切事务，我均予以承认。</w:t>
      </w:r>
    </w:p>
    <w:p w14:paraId="6A2E5C5E">
      <w:pPr>
        <w:snapToGrid w:val="0"/>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在撤销授权的书面通知以前，本授权书一直有效。全权代表在授权书有效期内签署的所有文件不因授权的撤销而失效。</w:t>
      </w:r>
    </w:p>
    <w:p w14:paraId="7A2FB6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授权代表无转委托权。特此委托。</w:t>
      </w:r>
    </w:p>
    <w:p w14:paraId="1CEB2F64">
      <w:pPr>
        <w:snapToGrid w:val="0"/>
        <w:spacing w:line="600" w:lineRule="exact"/>
        <w:jc w:val="left"/>
        <w:rPr>
          <w:rFonts w:hint="eastAsia" w:ascii="宋体" w:hAnsi="宋体" w:eastAsia="宋体" w:cs="宋体"/>
          <w:color w:val="auto"/>
          <w:sz w:val="24"/>
          <w:highlight w:val="none"/>
        </w:rPr>
      </w:pPr>
    </w:p>
    <w:p w14:paraId="4D1A2DA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授权代表（签字或盖章）：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性别：               年龄：</w:t>
      </w:r>
    </w:p>
    <w:p w14:paraId="6B7D051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部门：               职务：</w:t>
      </w:r>
    </w:p>
    <w:p w14:paraId="2D670C1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办公地址：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联系电话：           传真：</w:t>
      </w:r>
    </w:p>
    <w:p w14:paraId="580436B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2CF51A3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highlight w:val="none"/>
        </w:rPr>
        <w:t>）：</w:t>
      </w:r>
    </w:p>
    <w:p w14:paraId="264C3E5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4FB1DC1C">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126B634F">
      <w:pPr>
        <w:spacing w:line="360" w:lineRule="exact"/>
        <w:rPr>
          <w:rFonts w:hint="eastAsia" w:ascii="宋体" w:hAnsi="宋体" w:eastAsia="宋体" w:cs="宋体"/>
          <w:color w:val="auto"/>
          <w:sz w:val="24"/>
          <w:highlight w:val="none"/>
        </w:rPr>
      </w:pPr>
    </w:p>
    <w:p w14:paraId="2127C798">
      <w:pPr>
        <w:spacing w:line="360" w:lineRule="exact"/>
        <w:rPr>
          <w:rFonts w:hint="eastAsia" w:ascii="宋体" w:hAnsi="宋体" w:eastAsia="宋体" w:cs="宋体"/>
          <w:color w:val="auto"/>
          <w:sz w:val="24"/>
          <w:highlight w:val="none"/>
        </w:rPr>
      </w:pPr>
    </w:p>
    <w:p w14:paraId="07235A09">
      <w:pPr>
        <w:snapToGrid w:val="0"/>
        <w:spacing w:line="360" w:lineRule="auto"/>
        <w:ind w:right="480"/>
        <w:jc w:val="righ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日期：    年   月   日</w:t>
      </w:r>
    </w:p>
    <w:p w14:paraId="29A30D1A">
      <w:pPr>
        <w:snapToGrid w:val="0"/>
        <w:spacing w:line="360" w:lineRule="auto"/>
        <w:ind w:right="480"/>
        <w:jc w:val="both"/>
        <w:rPr>
          <w:rFonts w:hint="eastAsia" w:ascii="宋体" w:hAnsi="宋体" w:eastAsia="宋体" w:cs="宋体"/>
          <w:b/>
          <w:color w:val="auto"/>
          <w:kern w:val="0"/>
          <w:sz w:val="32"/>
          <w:szCs w:val="32"/>
          <w:highlight w:val="none"/>
          <w:lang w:val="en-US" w:eastAsia="zh-CN"/>
        </w:rPr>
      </w:pPr>
    </w:p>
    <w:p w14:paraId="38474E47">
      <w:pPr>
        <w:pStyle w:val="13"/>
        <w:rPr>
          <w:rFonts w:hint="eastAsia"/>
          <w:color w:val="auto"/>
          <w:highlight w:val="none"/>
          <w:lang w:val="en-US" w:eastAsia="zh-CN"/>
        </w:rPr>
      </w:pPr>
    </w:p>
    <w:p w14:paraId="4ED7FA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highlight w:val="none"/>
          <w:lang w:val="en-US"/>
        </w:rPr>
      </w:pPr>
      <w:r>
        <w:rPr>
          <w:rFonts w:hint="eastAsia" w:ascii="宋体" w:hAnsi="宋体" w:eastAsia="宋体" w:cs="宋体"/>
          <w:b/>
          <w:bCs w:val="0"/>
          <w:color w:val="auto"/>
          <w:kern w:val="0"/>
          <w:sz w:val="24"/>
          <w:szCs w:val="24"/>
          <w:highlight w:val="none"/>
          <w:lang w:val="en-US" w:eastAsia="zh-CN"/>
        </w:rPr>
        <w:t>提供由社保机构出具的该授权代表的社保证明（1.如该授权代表为离退休返聘人员的，需提供退休证明及单位聘用证明;2.如由第三方代理社保事项的，则需提供加盖供应商公章的委托代理协议扫描件）</w:t>
      </w:r>
      <w:r>
        <w:rPr>
          <w:rFonts w:hint="eastAsia" w:ascii="宋体" w:hAnsi="宋体" w:cs="宋体"/>
          <w:b/>
          <w:bCs w:val="0"/>
          <w:color w:val="auto"/>
          <w:kern w:val="0"/>
          <w:sz w:val="24"/>
          <w:szCs w:val="24"/>
          <w:highlight w:val="none"/>
          <w:lang w:val="en-US" w:eastAsia="zh-CN"/>
        </w:rPr>
        <w:t>及法定代表人及其授权代表身份证复印件（正反面）</w:t>
      </w:r>
    </w:p>
    <w:p w14:paraId="47150071">
      <w:pPr>
        <w:jc w:val="both"/>
        <w:rPr>
          <w:rFonts w:hint="eastAsia" w:ascii="宋体" w:hAnsi="宋体" w:eastAsia="宋体" w:cs="宋体"/>
          <w:b/>
          <w:color w:val="auto"/>
          <w:kern w:val="0"/>
          <w:sz w:val="32"/>
          <w:szCs w:val="32"/>
          <w:highlight w:val="none"/>
        </w:rPr>
      </w:pPr>
    </w:p>
    <w:p w14:paraId="79E59F12">
      <w:pPr>
        <w:jc w:val="center"/>
        <w:rPr>
          <w:rFonts w:hint="eastAsia" w:ascii="宋体" w:hAnsi="宋体" w:eastAsia="宋体" w:cs="宋体"/>
          <w:b/>
          <w:bCs w:val="0"/>
          <w:color w:val="auto"/>
          <w:kern w:val="0"/>
          <w:sz w:val="32"/>
          <w:szCs w:val="32"/>
          <w:highlight w:val="none"/>
          <w:lang w:val="en-US" w:eastAsia="zh-CN"/>
        </w:rPr>
      </w:pPr>
      <w:r>
        <w:rPr>
          <w:rFonts w:hint="eastAsia" w:ascii="宋体" w:hAnsi="宋体" w:eastAsia="宋体" w:cs="宋体"/>
          <w:b/>
          <w:bCs w:val="0"/>
          <w:color w:val="auto"/>
          <w:kern w:val="0"/>
          <w:sz w:val="32"/>
          <w:szCs w:val="32"/>
          <w:highlight w:val="none"/>
          <w:lang w:val="en-US" w:eastAsia="zh-CN"/>
        </w:rPr>
        <w:t>四、法定代表人及其授权代表身份证复印件（正反面）</w:t>
      </w:r>
    </w:p>
    <w:p w14:paraId="2C6EB495">
      <w:pPr>
        <w:rPr>
          <w:rFonts w:hint="eastAsia" w:ascii="宋体" w:hAnsi="宋体" w:eastAsia="宋体" w:cs="宋体"/>
          <w:color w:val="auto"/>
          <w:highlight w:val="none"/>
          <w:lang w:val="en-US" w:eastAsia="zh-CN"/>
        </w:rPr>
      </w:pPr>
    </w:p>
    <w:p w14:paraId="4D6F228C">
      <w:pPr>
        <w:pStyle w:val="40"/>
        <w:rPr>
          <w:rFonts w:hint="eastAsia"/>
          <w:color w:val="auto"/>
          <w:highlight w:val="none"/>
          <w:lang w:val="en-US" w:eastAsia="zh-CN"/>
        </w:rPr>
      </w:pPr>
    </w:p>
    <w:p w14:paraId="18A408D0">
      <w:pPr>
        <w:pStyle w:val="41"/>
        <w:rPr>
          <w:rFonts w:hint="eastAsia"/>
          <w:color w:val="auto"/>
          <w:highlight w:val="none"/>
          <w:lang w:val="en-US" w:eastAsia="zh-CN"/>
        </w:rPr>
      </w:pPr>
    </w:p>
    <w:p w14:paraId="7F6E9641">
      <w:pPr>
        <w:rPr>
          <w:rFonts w:hint="eastAsia"/>
          <w:color w:val="auto"/>
          <w:highlight w:val="none"/>
          <w:lang w:val="en-US" w:eastAsia="zh-CN"/>
        </w:rPr>
      </w:pPr>
    </w:p>
    <w:p w14:paraId="3CBDC0F0">
      <w:pPr>
        <w:rPr>
          <w:rFonts w:hint="eastAsia"/>
          <w:color w:val="auto"/>
          <w:highlight w:val="none"/>
          <w:lang w:val="en-US" w:eastAsia="zh-CN"/>
        </w:rPr>
      </w:pPr>
    </w:p>
    <w:p w14:paraId="6A7BF1E4">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bCs w:val="0"/>
          <w:color w:val="auto"/>
          <w:kern w:val="0"/>
          <w:sz w:val="32"/>
          <w:szCs w:val="32"/>
          <w:highlight w:val="none"/>
          <w:lang w:val="en-US" w:eastAsia="zh-CN"/>
        </w:rPr>
        <w:t>五</w:t>
      </w:r>
      <w:r>
        <w:rPr>
          <w:rFonts w:hint="eastAsia" w:ascii="宋体" w:hAnsi="宋体" w:eastAsia="宋体" w:cs="宋体"/>
          <w:b/>
          <w:bCs w:val="0"/>
          <w:color w:val="auto"/>
          <w:kern w:val="0"/>
          <w:sz w:val="32"/>
          <w:szCs w:val="32"/>
          <w:highlight w:val="none"/>
          <w:lang w:val="en-US" w:eastAsia="zh-CN"/>
        </w:rPr>
        <w:t>、评分索引表</w:t>
      </w:r>
    </w:p>
    <w:tbl>
      <w:tblPr>
        <w:tblStyle w:val="31"/>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328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0ABDE4F3">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50" w:type="dxa"/>
            <w:noWrap w:val="0"/>
            <w:vAlign w:val="center"/>
          </w:tcPr>
          <w:p w14:paraId="1ECEC734">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476" w:type="dxa"/>
            <w:noWrap w:val="0"/>
            <w:vAlign w:val="center"/>
          </w:tcPr>
          <w:p w14:paraId="21F6A91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评分细则及要求</w:t>
            </w:r>
          </w:p>
        </w:tc>
        <w:tc>
          <w:tcPr>
            <w:tcW w:w="992" w:type="dxa"/>
            <w:noWrap w:val="0"/>
            <w:vAlign w:val="center"/>
          </w:tcPr>
          <w:p w14:paraId="39B98908">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1276" w:type="dxa"/>
            <w:noWrap w:val="0"/>
            <w:vAlign w:val="center"/>
          </w:tcPr>
          <w:p w14:paraId="10D7E9CD">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c>
          <w:tcPr>
            <w:tcW w:w="1134" w:type="dxa"/>
            <w:noWrap w:val="0"/>
            <w:vAlign w:val="center"/>
          </w:tcPr>
          <w:p w14:paraId="27D5710B">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自评分</w:t>
            </w:r>
          </w:p>
        </w:tc>
      </w:tr>
      <w:tr w14:paraId="22CD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CF7765">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3A09B375">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09EC5BC8">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334C1BCE">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4727E09">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3A02FA14">
            <w:pPr>
              <w:adjustRightInd/>
              <w:spacing w:line="380" w:lineRule="exact"/>
              <w:jc w:val="center"/>
              <w:outlineLvl w:val="9"/>
              <w:rPr>
                <w:rFonts w:hint="eastAsia" w:ascii="宋体" w:hAnsi="宋体" w:eastAsia="宋体" w:cs="宋体"/>
                <w:color w:val="auto"/>
                <w:sz w:val="24"/>
                <w:szCs w:val="24"/>
                <w:highlight w:val="none"/>
              </w:rPr>
            </w:pPr>
          </w:p>
        </w:tc>
      </w:tr>
      <w:tr w14:paraId="2D3D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B843ACB">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4EEC4CA4">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07FB1A8">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75301349">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0B966116">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5BC3EC6">
            <w:pPr>
              <w:adjustRightInd/>
              <w:spacing w:line="380" w:lineRule="exact"/>
              <w:jc w:val="center"/>
              <w:outlineLvl w:val="9"/>
              <w:rPr>
                <w:rFonts w:hint="eastAsia" w:ascii="宋体" w:hAnsi="宋体" w:eastAsia="宋体" w:cs="宋体"/>
                <w:color w:val="auto"/>
                <w:sz w:val="24"/>
                <w:szCs w:val="24"/>
                <w:highlight w:val="none"/>
              </w:rPr>
            </w:pPr>
          </w:p>
        </w:tc>
      </w:tr>
      <w:tr w14:paraId="020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3F61EB63">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5D24B2BE">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0FCB0ABD">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0A5F7ECD">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4E799B6C">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17062E85">
            <w:pPr>
              <w:adjustRightInd/>
              <w:spacing w:line="380" w:lineRule="exact"/>
              <w:jc w:val="center"/>
              <w:outlineLvl w:val="9"/>
              <w:rPr>
                <w:rFonts w:hint="eastAsia" w:ascii="宋体" w:hAnsi="宋体" w:eastAsia="宋体" w:cs="宋体"/>
                <w:color w:val="auto"/>
                <w:sz w:val="24"/>
                <w:szCs w:val="24"/>
                <w:highlight w:val="none"/>
              </w:rPr>
            </w:pPr>
          </w:p>
        </w:tc>
      </w:tr>
      <w:tr w14:paraId="4A13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2F064B10">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59EB5F55">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7AEA7BB">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60C1DFE9">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6849DD5F">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2DE781A">
            <w:pPr>
              <w:adjustRightInd/>
              <w:spacing w:line="380" w:lineRule="exact"/>
              <w:jc w:val="center"/>
              <w:outlineLvl w:val="9"/>
              <w:rPr>
                <w:rFonts w:hint="eastAsia" w:ascii="宋体" w:hAnsi="宋体" w:eastAsia="宋体" w:cs="宋体"/>
                <w:color w:val="auto"/>
                <w:sz w:val="24"/>
                <w:szCs w:val="24"/>
                <w:highlight w:val="none"/>
              </w:rPr>
            </w:pPr>
          </w:p>
        </w:tc>
      </w:tr>
      <w:tr w14:paraId="2F40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5B580AD">
            <w:pPr>
              <w:adjustRightInd/>
              <w:spacing w:line="380" w:lineRule="exact"/>
              <w:jc w:val="center"/>
              <w:outlineLvl w:val="9"/>
              <w:rPr>
                <w:rFonts w:hint="eastAsia" w:ascii="宋体" w:hAnsi="宋体" w:eastAsia="宋体" w:cs="宋体"/>
                <w:color w:val="auto"/>
                <w:sz w:val="24"/>
                <w:szCs w:val="24"/>
                <w:highlight w:val="none"/>
              </w:rPr>
            </w:pPr>
          </w:p>
        </w:tc>
        <w:tc>
          <w:tcPr>
            <w:tcW w:w="1650" w:type="dxa"/>
            <w:noWrap w:val="0"/>
            <w:vAlign w:val="center"/>
          </w:tcPr>
          <w:p w14:paraId="551DD1D4">
            <w:pPr>
              <w:adjustRightInd/>
              <w:spacing w:line="380" w:lineRule="exact"/>
              <w:jc w:val="center"/>
              <w:outlineLvl w:val="9"/>
              <w:rPr>
                <w:rFonts w:hint="eastAsia" w:ascii="宋体" w:hAnsi="宋体" w:eastAsia="宋体" w:cs="宋体"/>
                <w:color w:val="auto"/>
                <w:sz w:val="24"/>
                <w:szCs w:val="24"/>
                <w:highlight w:val="none"/>
              </w:rPr>
            </w:pPr>
          </w:p>
        </w:tc>
        <w:tc>
          <w:tcPr>
            <w:tcW w:w="2476" w:type="dxa"/>
            <w:noWrap w:val="0"/>
            <w:vAlign w:val="center"/>
          </w:tcPr>
          <w:p w14:paraId="32F7C079">
            <w:pPr>
              <w:adjustRightInd/>
              <w:spacing w:line="380" w:lineRule="exact"/>
              <w:jc w:val="center"/>
              <w:outlineLvl w:val="9"/>
              <w:rPr>
                <w:rFonts w:hint="eastAsia" w:ascii="宋体" w:hAnsi="宋体" w:eastAsia="宋体" w:cs="宋体"/>
                <w:color w:val="auto"/>
                <w:sz w:val="24"/>
                <w:szCs w:val="24"/>
                <w:highlight w:val="none"/>
              </w:rPr>
            </w:pPr>
          </w:p>
        </w:tc>
        <w:tc>
          <w:tcPr>
            <w:tcW w:w="992" w:type="dxa"/>
            <w:noWrap w:val="0"/>
            <w:vAlign w:val="center"/>
          </w:tcPr>
          <w:p w14:paraId="55636035">
            <w:pPr>
              <w:adjustRightInd/>
              <w:spacing w:line="380" w:lineRule="exact"/>
              <w:jc w:val="center"/>
              <w:outlineLvl w:val="9"/>
              <w:rPr>
                <w:rFonts w:hint="eastAsia" w:ascii="宋体" w:hAnsi="宋体" w:eastAsia="宋体" w:cs="宋体"/>
                <w:color w:val="auto"/>
                <w:sz w:val="24"/>
                <w:szCs w:val="24"/>
                <w:highlight w:val="none"/>
              </w:rPr>
            </w:pPr>
          </w:p>
        </w:tc>
        <w:tc>
          <w:tcPr>
            <w:tcW w:w="1276" w:type="dxa"/>
            <w:noWrap w:val="0"/>
            <w:vAlign w:val="center"/>
          </w:tcPr>
          <w:p w14:paraId="4F039C3F">
            <w:pPr>
              <w:adjustRightInd/>
              <w:spacing w:line="380" w:lineRule="exact"/>
              <w:jc w:val="center"/>
              <w:outlineLvl w:val="9"/>
              <w:rPr>
                <w:rFonts w:hint="eastAsia" w:ascii="宋体" w:hAnsi="宋体" w:eastAsia="宋体" w:cs="宋体"/>
                <w:color w:val="auto"/>
                <w:sz w:val="24"/>
                <w:szCs w:val="24"/>
                <w:highlight w:val="none"/>
              </w:rPr>
            </w:pPr>
          </w:p>
        </w:tc>
        <w:tc>
          <w:tcPr>
            <w:tcW w:w="1134" w:type="dxa"/>
            <w:noWrap w:val="0"/>
            <w:vAlign w:val="center"/>
          </w:tcPr>
          <w:p w14:paraId="5F7E2419">
            <w:pPr>
              <w:adjustRightInd/>
              <w:spacing w:line="380" w:lineRule="exact"/>
              <w:jc w:val="center"/>
              <w:outlineLvl w:val="9"/>
              <w:rPr>
                <w:rFonts w:hint="eastAsia" w:ascii="宋体" w:hAnsi="宋体" w:eastAsia="宋体" w:cs="宋体"/>
                <w:color w:val="auto"/>
                <w:sz w:val="24"/>
                <w:szCs w:val="24"/>
                <w:highlight w:val="none"/>
              </w:rPr>
            </w:pPr>
          </w:p>
        </w:tc>
      </w:tr>
    </w:tbl>
    <w:p w14:paraId="1582BDFB">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对应第四部分评标方法及标准（报价除外）</w:t>
      </w:r>
    </w:p>
    <w:p w14:paraId="77810E2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eastAsia="zh-CN"/>
        </w:rPr>
      </w:pPr>
    </w:p>
    <w:p w14:paraId="746A17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eastAsia="zh-CN"/>
        </w:rPr>
      </w:pPr>
    </w:p>
    <w:p w14:paraId="75731C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614AE81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402BAC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1B2D51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3A1945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b/>
          <w:color w:val="auto"/>
          <w:kern w:val="0"/>
          <w:sz w:val="32"/>
          <w:szCs w:val="32"/>
          <w:highlight w:val="none"/>
          <w:lang w:val="en-US" w:eastAsia="zh-CN"/>
        </w:rPr>
      </w:pPr>
    </w:p>
    <w:p w14:paraId="30F8DDC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商务技术</w:t>
      </w:r>
      <w:r>
        <w:rPr>
          <w:rFonts w:hint="eastAsia" w:ascii="宋体" w:hAnsi="宋体" w:eastAsia="宋体" w:cs="宋体"/>
          <w:b/>
          <w:color w:val="auto"/>
          <w:kern w:val="0"/>
          <w:sz w:val="32"/>
          <w:szCs w:val="32"/>
          <w:highlight w:val="none"/>
          <w:lang w:val="en-US" w:eastAsia="zh-CN"/>
        </w:rPr>
        <w:t>偏离</w:t>
      </w:r>
      <w:r>
        <w:rPr>
          <w:rFonts w:hint="eastAsia" w:ascii="宋体" w:hAnsi="宋体" w:eastAsia="宋体" w:cs="宋体"/>
          <w:b/>
          <w:color w:val="auto"/>
          <w:kern w:val="0"/>
          <w:sz w:val="32"/>
          <w:szCs w:val="32"/>
          <w:highlight w:val="none"/>
        </w:rPr>
        <w:t>表</w:t>
      </w:r>
    </w:p>
    <w:p w14:paraId="3947A82D">
      <w:pPr>
        <w:pStyle w:val="13"/>
        <w:numPr>
          <w:ilvl w:val="0"/>
          <w:numId w:val="0"/>
        </w:numPr>
        <w:rPr>
          <w:rFonts w:hint="eastAsia" w:ascii="宋体" w:hAnsi="宋体" w:eastAsia="宋体" w:cs="宋体"/>
          <w:color w:val="auto"/>
          <w:highlight w:val="none"/>
        </w:rPr>
      </w:pP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1C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1EE76DC">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center"/>
          </w:tcPr>
          <w:p w14:paraId="77355A15">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center"/>
          </w:tcPr>
          <w:p w14:paraId="0FA4FA3A">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center"/>
          </w:tcPr>
          <w:p w14:paraId="5780767F">
            <w:pPr>
              <w:keepNext w:val="0"/>
              <w:keepLines w:val="0"/>
              <w:suppressLineNumbers w:val="0"/>
              <w:adjustRightInd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319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8610479">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center"/>
          </w:tcPr>
          <w:p w14:paraId="5FF5918C">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17D02712">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787B2BC8">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7625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9488D75">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center"/>
          </w:tcPr>
          <w:p w14:paraId="47ADC0F7">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535E00FC">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150AFC80">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12F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E9B8C29">
            <w:pPr>
              <w:keepNext w:val="0"/>
              <w:keepLines w:val="0"/>
              <w:suppressLineNumbers w:val="0"/>
              <w:adjustRightInd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center"/>
          </w:tcPr>
          <w:p w14:paraId="2682CAC8">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vAlign w:val="center"/>
          </w:tcPr>
          <w:p w14:paraId="3B5C8179">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vAlign w:val="center"/>
          </w:tcPr>
          <w:p w14:paraId="27138BB3">
            <w:pPr>
              <w:keepNext w:val="0"/>
              <w:keepLines w:val="0"/>
              <w:suppressLineNumbers w:val="0"/>
              <w:adjustRightInd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5D5937B6">
      <w:pPr>
        <w:keepNext w:val="0"/>
        <w:keepLines w:val="0"/>
        <w:pageBreakBefore w:val="0"/>
        <w:widowControl w:val="0"/>
        <w:kinsoku/>
        <w:wordWrap/>
        <w:overflowPunct/>
        <w:topLinePunct w:val="0"/>
        <w:autoSpaceDE/>
        <w:autoSpaceDN/>
        <w:bidi w:val="0"/>
        <w:adjustRightInd w:val="0"/>
        <w:snapToGrid/>
        <w:spacing w:before="157" w:beforeLine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投标人保证：除商务技术偏离表列出的偏离外，投标人响应招标文件的全部要求</w:t>
      </w:r>
      <w:r>
        <w:rPr>
          <w:rFonts w:hint="eastAsia" w:ascii="宋体" w:hAnsi="宋体" w:eastAsia="宋体" w:cs="宋体"/>
          <w:color w:val="auto"/>
          <w:kern w:val="0"/>
          <w:sz w:val="24"/>
          <w:highlight w:val="none"/>
          <w:lang w:eastAsia="zh-CN"/>
        </w:rPr>
        <w:t>。</w:t>
      </w:r>
    </w:p>
    <w:p w14:paraId="3BBC494C">
      <w:pPr>
        <w:adjustRightInd w:val="0"/>
        <w:jc w:val="center"/>
        <w:rPr>
          <w:rFonts w:hint="eastAsia" w:ascii="宋体" w:hAnsi="宋体" w:eastAsia="宋体" w:cs="宋体"/>
          <w:b/>
          <w:color w:val="auto"/>
          <w:kern w:val="0"/>
          <w:sz w:val="32"/>
          <w:szCs w:val="32"/>
          <w:highlight w:val="none"/>
        </w:rPr>
      </w:pPr>
    </w:p>
    <w:p w14:paraId="74E39C7D">
      <w:pPr>
        <w:snapToGrid w:val="0"/>
        <w:spacing w:beforeLines="50"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注：按本格式和要求提供。</w:t>
      </w:r>
    </w:p>
    <w:p w14:paraId="48EFD60E">
      <w:pPr>
        <w:snapToGrid w:val="0"/>
        <w:spacing w:before="50" w:after="50" w:line="60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 xml:space="preserve"> </w:t>
      </w:r>
    </w:p>
    <w:p w14:paraId="10441701">
      <w:pPr>
        <w:snapToGrid w:val="0"/>
        <w:spacing w:before="50" w:after="50" w:line="60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p>
    <w:p w14:paraId="0B90E0FA">
      <w:pPr>
        <w:snapToGrid w:val="0"/>
        <w:spacing w:before="50" w:after="50" w:line="600" w:lineRule="exact"/>
        <w:rPr>
          <w:rFonts w:hint="eastAsia" w:ascii="宋体" w:hAnsi="宋体" w:cs="宋体"/>
          <w:color w:val="auto"/>
          <w:szCs w:val="21"/>
          <w:highlight w:val="none"/>
          <w:lang w:val="en-US" w:eastAsia="zh-CN"/>
        </w:rPr>
      </w:pPr>
    </w:p>
    <w:p w14:paraId="7C3D0B4A">
      <w:pPr>
        <w:snapToGrid w:val="0"/>
        <w:spacing w:before="50" w:after="50" w:line="600" w:lineRule="exact"/>
        <w:ind w:firstLine="528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电子签名</w:t>
      </w:r>
      <w:r>
        <w:rPr>
          <w:rFonts w:hint="eastAsia" w:ascii="宋体" w:hAnsi="宋体" w:eastAsia="宋体" w:cs="宋体"/>
          <w:color w:val="auto"/>
          <w:szCs w:val="21"/>
          <w:highlight w:val="none"/>
        </w:rPr>
        <w:t>）：</w:t>
      </w:r>
    </w:p>
    <w:p w14:paraId="4666A98B">
      <w:pPr>
        <w:snapToGrid w:val="0"/>
        <w:spacing w:before="50" w:after="50" w:line="60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 xml:space="preserve">  </w:t>
      </w:r>
      <w:r>
        <w:rPr>
          <w:rFonts w:hint="eastAsia" w:ascii="宋体" w:hAnsi="宋体" w:cs="宋体"/>
          <w:color w:val="auto"/>
          <w:spacing w:val="20"/>
          <w:szCs w:val="21"/>
          <w:highlight w:val="none"/>
          <w:lang w:val="en-US" w:eastAsia="zh-CN"/>
        </w:rPr>
        <w:t xml:space="preserve">                               </w:t>
      </w:r>
      <w:r>
        <w:rPr>
          <w:rFonts w:hint="eastAsia" w:ascii="宋体" w:hAnsi="宋体" w:eastAsia="宋体" w:cs="宋体"/>
          <w:color w:val="auto"/>
          <w:spacing w:val="20"/>
          <w:szCs w:val="21"/>
          <w:highlight w:val="none"/>
        </w:rPr>
        <w:t>日         期：</w:t>
      </w:r>
    </w:p>
    <w:p w14:paraId="31EAF95B">
      <w:pPr>
        <w:spacing w:line="360" w:lineRule="auto"/>
        <w:rPr>
          <w:rFonts w:hint="eastAsia" w:ascii="宋体" w:hAnsi="宋体" w:eastAsia="宋体" w:cs="宋体"/>
          <w:b/>
          <w:bCs/>
          <w:color w:val="auto"/>
          <w:szCs w:val="21"/>
          <w:highlight w:val="none"/>
        </w:rPr>
      </w:pPr>
    </w:p>
    <w:p w14:paraId="3CFF242F">
      <w:pPr>
        <w:spacing w:line="480" w:lineRule="exact"/>
        <w:ind w:right="-108" w:firstLine="720"/>
        <w:jc w:val="center"/>
        <w:rPr>
          <w:rFonts w:hint="eastAsia" w:ascii="宋体" w:hAnsi="宋体" w:eastAsia="宋体" w:cs="宋体"/>
          <w:color w:val="auto"/>
          <w:highlight w:val="none"/>
        </w:rPr>
      </w:pPr>
    </w:p>
    <w:p w14:paraId="7E722CE7">
      <w:pPr>
        <w:spacing w:line="360" w:lineRule="auto"/>
        <w:ind w:right="420"/>
        <w:rPr>
          <w:rFonts w:hint="eastAsia" w:ascii="宋体" w:hAnsi="宋体" w:eastAsia="宋体" w:cs="宋体"/>
          <w:b/>
          <w:bCs/>
          <w:color w:val="auto"/>
          <w:sz w:val="32"/>
          <w:szCs w:val="32"/>
          <w:highlight w:val="none"/>
        </w:rPr>
      </w:pPr>
    </w:p>
    <w:p w14:paraId="6BB096D2">
      <w:pPr>
        <w:widowControl/>
        <w:adjustRightInd/>
        <w:jc w:val="left"/>
        <w:rPr>
          <w:rFonts w:hint="eastAsia" w:ascii="宋体" w:hAnsi="宋体" w:eastAsia="宋体" w:cs="宋体"/>
          <w:b/>
          <w:bCs/>
          <w:color w:val="auto"/>
          <w:sz w:val="32"/>
          <w:szCs w:val="32"/>
          <w:highlight w:val="none"/>
          <w:lang w:eastAsia="zh-CN"/>
        </w:rPr>
      </w:pPr>
    </w:p>
    <w:p w14:paraId="73846B6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1A488B70">
      <w:pPr>
        <w:pStyle w:val="30"/>
        <w:rPr>
          <w:rFonts w:hint="eastAsia"/>
          <w:color w:val="auto"/>
          <w:highlight w:val="none"/>
          <w:lang w:val="en-US" w:eastAsia="zh-CN"/>
        </w:rPr>
      </w:pPr>
    </w:p>
    <w:p w14:paraId="23144E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p>
    <w:p w14:paraId="1033B9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cs="宋体"/>
          <w:b/>
          <w:color w:val="auto"/>
          <w:kern w:val="0"/>
          <w:sz w:val="32"/>
          <w:szCs w:val="32"/>
          <w:highlight w:val="none"/>
          <w:lang w:val="en-US" w:eastAsia="zh-CN"/>
        </w:rPr>
      </w:pPr>
    </w:p>
    <w:p w14:paraId="4A4938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en-US" w:eastAsia="zh-CN"/>
        </w:rPr>
        <w:t>、同类</w:t>
      </w:r>
      <w:r>
        <w:rPr>
          <w:rFonts w:hint="eastAsia" w:ascii="宋体" w:hAnsi="宋体" w:eastAsia="宋体" w:cs="宋体"/>
          <w:b/>
          <w:color w:val="auto"/>
          <w:kern w:val="0"/>
          <w:sz w:val="32"/>
          <w:szCs w:val="32"/>
          <w:highlight w:val="none"/>
          <w:lang w:val="zh-CN" w:eastAsia="zh-CN"/>
        </w:rPr>
        <w:t>业绩证明</w:t>
      </w:r>
    </w:p>
    <w:tbl>
      <w:tblPr>
        <w:tblStyle w:val="31"/>
        <w:tblW w:w="8634" w:type="dxa"/>
        <w:tblInd w:w="108" w:type="dxa"/>
        <w:tblLayout w:type="fixed"/>
        <w:tblCellMar>
          <w:top w:w="0" w:type="dxa"/>
          <w:left w:w="108" w:type="dxa"/>
          <w:bottom w:w="0" w:type="dxa"/>
          <w:right w:w="108" w:type="dxa"/>
        </w:tblCellMar>
      </w:tblPr>
      <w:tblGrid>
        <w:gridCol w:w="1438"/>
        <w:gridCol w:w="834"/>
        <w:gridCol w:w="1400"/>
        <w:gridCol w:w="1183"/>
        <w:gridCol w:w="1965"/>
        <w:gridCol w:w="757"/>
        <w:gridCol w:w="1057"/>
      </w:tblGrid>
      <w:tr w14:paraId="73D16572">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14:paraId="7A40B4C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34" w:type="dxa"/>
            <w:vMerge w:val="restart"/>
            <w:tcBorders>
              <w:top w:val="single" w:color="auto" w:sz="6" w:space="0"/>
              <w:left w:val="single" w:color="auto" w:sz="6" w:space="0"/>
              <w:right w:val="single" w:color="auto" w:sz="6" w:space="0"/>
            </w:tcBorders>
            <w:vAlign w:val="center"/>
          </w:tcPr>
          <w:p w14:paraId="1FC8D1D8">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3798013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1400" w:type="dxa"/>
            <w:vMerge w:val="restart"/>
            <w:tcBorders>
              <w:top w:val="single" w:color="auto" w:sz="6" w:space="0"/>
              <w:left w:val="single" w:color="auto" w:sz="6" w:space="0"/>
              <w:right w:val="single" w:color="auto" w:sz="6" w:space="0"/>
            </w:tcBorders>
            <w:vAlign w:val="center"/>
          </w:tcPr>
          <w:p w14:paraId="6A6D5DCE">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简要描述</w:t>
            </w:r>
          </w:p>
        </w:tc>
        <w:tc>
          <w:tcPr>
            <w:tcW w:w="1183" w:type="dxa"/>
            <w:vMerge w:val="restart"/>
            <w:tcBorders>
              <w:top w:val="single" w:color="auto" w:sz="6" w:space="0"/>
              <w:left w:val="single" w:color="auto" w:sz="6" w:space="0"/>
              <w:right w:val="single" w:color="auto" w:sz="6" w:space="0"/>
            </w:tcBorders>
            <w:vAlign w:val="center"/>
          </w:tcPr>
          <w:p w14:paraId="39FAEDBA">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26E051FF">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2377E0A9">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965" w:type="dxa"/>
            <w:vMerge w:val="restart"/>
            <w:tcBorders>
              <w:top w:val="single" w:color="auto" w:sz="6" w:space="0"/>
              <w:left w:val="single" w:color="auto" w:sz="6" w:space="0"/>
              <w:right w:val="single" w:color="auto" w:sz="6" w:space="0"/>
            </w:tcBorders>
            <w:vAlign w:val="center"/>
          </w:tcPr>
          <w:p w14:paraId="49406E5C">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项目地址与采购单位联系电话</w:t>
            </w:r>
          </w:p>
        </w:tc>
        <w:tc>
          <w:tcPr>
            <w:tcW w:w="757" w:type="dxa"/>
            <w:tcBorders>
              <w:top w:val="single" w:color="auto" w:sz="6" w:space="0"/>
              <w:left w:val="single" w:color="auto" w:sz="6" w:space="0"/>
              <w:bottom w:val="single" w:color="auto" w:sz="6" w:space="0"/>
              <w:right w:val="single" w:color="auto" w:sz="6" w:space="0"/>
            </w:tcBorders>
            <w:vAlign w:val="center"/>
          </w:tcPr>
          <w:p w14:paraId="2C30DFF4">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页码</w:t>
            </w:r>
          </w:p>
        </w:tc>
        <w:tc>
          <w:tcPr>
            <w:tcW w:w="1057" w:type="dxa"/>
            <w:vMerge w:val="restart"/>
            <w:tcBorders>
              <w:top w:val="single" w:color="auto" w:sz="6" w:space="0"/>
              <w:left w:val="single" w:color="auto" w:sz="6" w:space="0"/>
              <w:right w:val="single" w:color="auto" w:sz="6" w:space="0"/>
            </w:tcBorders>
            <w:vAlign w:val="center"/>
          </w:tcPr>
          <w:p w14:paraId="68938223">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r>
      <w:tr w14:paraId="61D76250">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14:paraId="5725398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834" w:type="dxa"/>
            <w:vMerge w:val="continue"/>
            <w:tcBorders>
              <w:left w:val="single" w:color="auto" w:sz="6" w:space="0"/>
              <w:bottom w:val="single" w:color="auto" w:sz="6" w:space="0"/>
              <w:right w:val="single" w:color="auto" w:sz="6" w:space="0"/>
            </w:tcBorders>
            <w:vAlign w:val="center"/>
          </w:tcPr>
          <w:p w14:paraId="391D003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400" w:type="dxa"/>
            <w:vMerge w:val="continue"/>
            <w:tcBorders>
              <w:left w:val="single" w:color="auto" w:sz="6" w:space="0"/>
              <w:bottom w:val="single" w:color="auto" w:sz="6" w:space="0"/>
              <w:right w:val="single" w:color="auto" w:sz="6" w:space="0"/>
            </w:tcBorders>
            <w:vAlign w:val="center"/>
          </w:tcPr>
          <w:p w14:paraId="63C61EA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183" w:type="dxa"/>
            <w:vMerge w:val="continue"/>
            <w:tcBorders>
              <w:left w:val="single" w:color="auto" w:sz="6" w:space="0"/>
              <w:bottom w:val="single" w:color="auto" w:sz="6" w:space="0"/>
              <w:right w:val="single" w:color="auto" w:sz="6" w:space="0"/>
            </w:tcBorders>
            <w:vAlign w:val="center"/>
          </w:tcPr>
          <w:p w14:paraId="4D0F51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1965" w:type="dxa"/>
            <w:vMerge w:val="continue"/>
            <w:tcBorders>
              <w:left w:val="single" w:color="auto" w:sz="6" w:space="0"/>
              <w:bottom w:val="single" w:color="auto" w:sz="6" w:space="0"/>
              <w:right w:val="single" w:color="auto" w:sz="6" w:space="0"/>
            </w:tcBorders>
            <w:vAlign w:val="center"/>
          </w:tcPr>
          <w:p w14:paraId="27A6773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highlight w:val="none"/>
              </w:rPr>
            </w:pPr>
          </w:p>
        </w:tc>
        <w:tc>
          <w:tcPr>
            <w:tcW w:w="757" w:type="dxa"/>
            <w:tcBorders>
              <w:top w:val="single" w:color="auto" w:sz="6" w:space="0"/>
              <w:left w:val="single" w:color="auto" w:sz="6" w:space="0"/>
              <w:bottom w:val="single" w:color="auto" w:sz="6" w:space="0"/>
              <w:right w:val="single" w:color="auto" w:sz="6" w:space="0"/>
            </w:tcBorders>
            <w:vAlign w:val="center"/>
          </w:tcPr>
          <w:p w14:paraId="6AA56AAE">
            <w:pPr>
              <w:adjustRightInd/>
              <w:spacing w:line="38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p>
        </w:tc>
        <w:tc>
          <w:tcPr>
            <w:tcW w:w="1057" w:type="dxa"/>
            <w:vMerge w:val="continue"/>
            <w:tcBorders>
              <w:left w:val="single" w:color="auto" w:sz="6" w:space="0"/>
              <w:bottom w:val="single" w:color="auto" w:sz="6" w:space="0"/>
              <w:right w:val="single" w:color="auto" w:sz="6" w:space="0"/>
            </w:tcBorders>
            <w:vAlign w:val="center"/>
          </w:tcPr>
          <w:p w14:paraId="4487907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highlight w:val="none"/>
                <w:lang w:val="en-US" w:eastAsia="zh-CN"/>
              </w:rPr>
            </w:pPr>
          </w:p>
        </w:tc>
      </w:tr>
      <w:tr w14:paraId="058D9C1A">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14:paraId="0B9845B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740312D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67804FC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E83038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611502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6C4AA8D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0B86DE0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7A063041">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14:paraId="20BCF8A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466230F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4DF53BED">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70398D4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4EBE095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19352CE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09E6B1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27DEF736">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713672F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0E92182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6F036BF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73F414F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77513D0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3D188D1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04388CF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4B8A147D">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47B0015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4AE147C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7DF94B9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3190865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808E91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18445FA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70DE674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048BB65F">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0FE19AE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3225067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56547D9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7673525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1F291DE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724D279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34844D9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r w14:paraId="16408DD2">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14:paraId="01290B3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834" w:type="dxa"/>
            <w:tcBorders>
              <w:top w:val="single" w:color="auto" w:sz="6" w:space="0"/>
              <w:left w:val="single" w:color="auto" w:sz="6" w:space="0"/>
              <w:bottom w:val="single" w:color="auto" w:sz="6" w:space="0"/>
              <w:right w:val="single" w:color="auto" w:sz="6" w:space="0"/>
            </w:tcBorders>
          </w:tcPr>
          <w:p w14:paraId="622496C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400" w:type="dxa"/>
            <w:tcBorders>
              <w:top w:val="single" w:color="auto" w:sz="6" w:space="0"/>
              <w:left w:val="single" w:color="auto" w:sz="6" w:space="0"/>
              <w:bottom w:val="single" w:color="auto" w:sz="6" w:space="0"/>
              <w:right w:val="single" w:color="auto" w:sz="6" w:space="0"/>
            </w:tcBorders>
          </w:tcPr>
          <w:p w14:paraId="3D0B072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183" w:type="dxa"/>
            <w:tcBorders>
              <w:top w:val="single" w:color="auto" w:sz="6" w:space="0"/>
              <w:left w:val="single" w:color="auto" w:sz="6" w:space="0"/>
              <w:bottom w:val="single" w:color="auto" w:sz="6" w:space="0"/>
              <w:right w:val="single" w:color="auto" w:sz="6" w:space="0"/>
            </w:tcBorders>
          </w:tcPr>
          <w:p w14:paraId="0A51799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965" w:type="dxa"/>
            <w:tcBorders>
              <w:top w:val="single" w:color="auto" w:sz="6" w:space="0"/>
              <w:left w:val="single" w:color="auto" w:sz="6" w:space="0"/>
              <w:bottom w:val="single" w:color="auto" w:sz="6" w:space="0"/>
              <w:right w:val="single" w:color="auto" w:sz="6" w:space="0"/>
            </w:tcBorders>
          </w:tcPr>
          <w:p w14:paraId="02D30AF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757" w:type="dxa"/>
            <w:tcBorders>
              <w:top w:val="single" w:color="auto" w:sz="6" w:space="0"/>
              <w:left w:val="single" w:color="auto" w:sz="6" w:space="0"/>
              <w:bottom w:val="single" w:color="auto" w:sz="6" w:space="0"/>
              <w:right w:val="single" w:color="auto" w:sz="6" w:space="0"/>
            </w:tcBorders>
          </w:tcPr>
          <w:p w14:paraId="5E2EE65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c>
          <w:tcPr>
            <w:tcW w:w="1057" w:type="dxa"/>
            <w:tcBorders>
              <w:top w:val="single" w:color="auto" w:sz="6" w:space="0"/>
              <w:left w:val="single" w:color="auto" w:sz="6" w:space="0"/>
              <w:bottom w:val="single" w:color="auto" w:sz="6" w:space="0"/>
              <w:right w:val="single" w:color="auto" w:sz="6" w:space="0"/>
            </w:tcBorders>
          </w:tcPr>
          <w:p w14:paraId="4F83C6C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highlight w:val="none"/>
              </w:rPr>
            </w:pPr>
          </w:p>
        </w:tc>
      </w:tr>
    </w:tbl>
    <w:p w14:paraId="1590C4A3">
      <w:pPr>
        <w:autoSpaceDE w:val="0"/>
        <w:autoSpaceDN w:val="0"/>
        <w:spacing w:line="360" w:lineRule="auto"/>
        <w:rPr>
          <w:rFonts w:hint="eastAsia" w:ascii="宋体" w:hAnsi="宋体" w:eastAsia="宋体" w:cs="宋体"/>
          <w:b/>
          <w:color w:val="auto"/>
          <w:sz w:val="24"/>
          <w:highlight w:val="none"/>
        </w:rPr>
      </w:pPr>
    </w:p>
    <w:p w14:paraId="33B57C8B">
      <w:pPr>
        <w:pStyle w:val="2"/>
        <w:rPr>
          <w:rFonts w:hint="eastAsia" w:ascii="宋体" w:hAnsi="宋体" w:eastAsia="宋体" w:cs="宋体"/>
          <w:color w:val="auto"/>
          <w:highlight w:val="none"/>
        </w:rPr>
      </w:pPr>
    </w:p>
    <w:p w14:paraId="51807C15">
      <w:pPr>
        <w:autoSpaceDE w:val="0"/>
        <w:autoSpaceDN w:val="0"/>
        <w:spacing w:line="360" w:lineRule="auto"/>
        <w:jc w:val="right"/>
        <w:rPr>
          <w:rFonts w:hint="eastAsia" w:ascii="宋体" w:hAnsi="宋体" w:eastAsia="宋体" w:cs="宋体"/>
          <w:color w:val="auto"/>
          <w:sz w:val="24"/>
          <w:highlight w:val="none"/>
        </w:rPr>
      </w:pPr>
    </w:p>
    <w:p w14:paraId="543410B8">
      <w:pPr>
        <w:spacing w:line="336" w:lineRule="auto"/>
        <w:ind w:firstLine="3600" w:firstLineChars="150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 xml:space="preserve">                          </w:t>
      </w:r>
    </w:p>
    <w:p w14:paraId="284D5483">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  年   月   日</w:t>
      </w:r>
    </w:p>
    <w:p w14:paraId="0F436876">
      <w:pPr>
        <w:pStyle w:val="8"/>
        <w:rPr>
          <w:rFonts w:hint="eastAsia" w:ascii="宋体" w:hAnsi="宋体" w:eastAsia="宋体" w:cs="宋体"/>
          <w:b/>
          <w:bCs/>
          <w:color w:val="auto"/>
          <w:sz w:val="32"/>
          <w:szCs w:val="32"/>
          <w:highlight w:val="none"/>
          <w:lang w:val="en-US" w:eastAsia="zh-CN"/>
        </w:rPr>
      </w:pPr>
    </w:p>
    <w:p w14:paraId="70533B38">
      <w:pPr>
        <w:pStyle w:val="9"/>
        <w:rPr>
          <w:rFonts w:hint="eastAsia" w:ascii="宋体" w:hAnsi="宋体" w:eastAsia="宋体" w:cs="宋体"/>
          <w:b/>
          <w:bCs/>
          <w:color w:val="auto"/>
          <w:sz w:val="32"/>
          <w:szCs w:val="32"/>
          <w:highlight w:val="none"/>
          <w:lang w:val="en-US" w:eastAsia="zh-CN"/>
        </w:rPr>
      </w:pPr>
    </w:p>
    <w:p w14:paraId="70E0E939">
      <w:pPr>
        <w:rPr>
          <w:rFonts w:hint="eastAsia" w:ascii="宋体" w:hAnsi="宋体" w:eastAsia="宋体" w:cs="宋体"/>
          <w:color w:val="auto"/>
          <w:highlight w:val="none"/>
          <w:lang w:val="en-US" w:eastAsia="zh-CN"/>
        </w:rPr>
      </w:pPr>
    </w:p>
    <w:p w14:paraId="3561B9A3">
      <w:pPr>
        <w:widowControl/>
        <w:adjustRightInd/>
        <w:jc w:val="center"/>
        <w:rPr>
          <w:rFonts w:hint="eastAsia" w:ascii="宋体" w:hAnsi="宋体" w:eastAsia="宋体" w:cs="宋体"/>
          <w:b/>
          <w:color w:val="auto"/>
          <w:kern w:val="0"/>
          <w:sz w:val="32"/>
          <w:szCs w:val="32"/>
          <w:highlight w:val="none"/>
          <w:lang w:val="en-US" w:eastAsia="zh-CN"/>
        </w:rPr>
      </w:pPr>
    </w:p>
    <w:p w14:paraId="766CBB56">
      <w:pPr>
        <w:widowControl/>
        <w:adjustRightInd/>
        <w:jc w:val="center"/>
        <w:rPr>
          <w:rFonts w:hint="eastAsia" w:ascii="宋体" w:hAnsi="宋体" w:eastAsia="宋体" w:cs="宋体"/>
          <w:b/>
          <w:color w:val="auto"/>
          <w:kern w:val="0"/>
          <w:sz w:val="32"/>
          <w:szCs w:val="32"/>
          <w:highlight w:val="none"/>
          <w:lang w:val="en-US" w:eastAsia="zh-CN"/>
        </w:rPr>
      </w:pPr>
    </w:p>
    <w:p w14:paraId="5AB46C6A">
      <w:pPr>
        <w:widowControl/>
        <w:adjustRightInd/>
        <w:jc w:val="center"/>
        <w:rPr>
          <w:rFonts w:hint="eastAsia" w:ascii="宋体" w:hAnsi="宋体" w:eastAsia="宋体" w:cs="宋体"/>
          <w:b/>
          <w:color w:val="auto"/>
          <w:kern w:val="0"/>
          <w:sz w:val="32"/>
          <w:szCs w:val="32"/>
          <w:highlight w:val="none"/>
          <w:lang w:val="en-US" w:eastAsia="zh-CN"/>
        </w:rPr>
      </w:pPr>
    </w:p>
    <w:p w14:paraId="03A45921">
      <w:pPr>
        <w:widowControl/>
        <w:adjustRightInd/>
        <w:jc w:val="center"/>
        <w:rPr>
          <w:rFonts w:hint="eastAsia" w:ascii="宋体" w:hAnsi="宋体" w:eastAsia="宋体" w:cs="宋体"/>
          <w:b/>
          <w:color w:val="auto"/>
          <w:kern w:val="0"/>
          <w:sz w:val="32"/>
          <w:szCs w:val="32"/>
          <w:highlight w:val="none"/>
          <w:lang w:val="en-US" w:eastAsia="zh-CN"/>
        </w:rPr>
      </w:pPr>
    </w:p>
    <w:p w14:paraId="3781EBE1">
      <w:pPr>
        <w:widowControl/>
        <w:adjustRightInd/>
        <w:jc w:val="center"/>
        <w:rPr>
          <w:rFonts w:hint="eastAsia" w:ascii="宋体" w:hAnsi="宋体" w:eastAsia="宋体" w:cs="宋体"/>
          <w:b/>
          <w:color w:val="auto"/>
          <w:kern w:val="0"/>
          <w:sz w:val="32"/>
          <w:szCs w:val="32"/>
          <w:highlight w:val="none"/>
          <w:lang w:val="en-US" w:eastAsia="zh-CN"/>
        </w:rPr>
      </w:pPr>
    </w:p>
    <w:p w14:paraId="1DB3DA59">
      <w:pPr>
        <w:widowControl/>
        <w:adjustRightInd/>
        <w:jc w:val="both"/>
        <w:rPr>
          <w:rFonts w:hint="eastAsia" w:ascii="宋体" w:hAnsi="宋体" w:eastAsia="宋体" w:cs="宋体"/>
          <w:b/>
          <w:color w:val="auto"/>
          <w:kern w:val="0"/>
          <w:sz w:val="32"/>
          <w:szCs w:val="32"/>
          <w:highlight w:val="none"/>
          <w:lang w:val="en-US" w:eastAsia="zh-CN"/>
        </w:rPr>
      </w:pPr>
    </w:p>
    <w:p w14:paraId="7EAABB56">
      <w:pPr>
        <w:widowControl/>
        <w:adjustRightInd/>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14:paraId="257477B6">
      <w:pPr>
        <w:snapToGrid w:val="0"/>
        <w:spacing w:line="360" w:lineRule="auto"/>
        <w:rPr>
          <w:rFonts w:hint="eastAsia" w:ascii="宋体" w:hAnsi="宋体" w:eastAsia="宋体" w:cs="宋体"/>
          <w:color w:val="auto"/>
          <w:sz w:val="24"/>
          <w:highlight w:val="none"/>
        </w:rPr>
      </w:pPr>
    </w:p>
    <w:p w14:paraId="0FC3E46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39B78A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560F6A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076C0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4E7BD1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04ECCA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FE94A3E">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F332E07">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F935900">
      <w:pPr>
        <w:autoSpaceDE w:val="0"/>
        <w:autoSpaceDN w:val="0"/>
        <w:spacing w:line="360" w:lineRule="auto"/>
        <w:ind w:left="550"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FF7AA9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BA7217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2F7D916">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4F1C3B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ECA1DA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7BC74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F598832">
      <w:pPr>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0DF8DE8">
      <w:pPr>
        <w:spacing w:line="360" w:lineRule="auto"/>
        <w:jc w:val="center"/>
        <w:rPr>
          <w:rFonts w:hint="eastAsia" w:ascii="宋体" w:hAnsi="宋体" w:eastAsia="宋体" w:cs="宋体"/>
          <w:b/>
          <w:bCs/>
          <w:color w:val="auto"/>
          <w:sz w:val="24"/>
          <w:highlight w:val="none"/>
        </w:rPr>
      </w:pPr>
    </w:p>
    <w:p w14:paraId="151A0F4C">
      <w:pPr>
        <w:spacing w:line="360" w:lineRule="auto"/>
        <w:jc w:val="center"/>
        <w:rPr>
          <w:rFonts w:hint="eastAsia" w:ascii="宋体" w:hAnsi="宋体" w:eastAsia="宋体" w:cs="宋体"/>
          <w:b/>
          <w:bCs/>
          <w:color w:val="auto"/>
          <w:sz w:val="24"/>
          <w:highlight w:val="none"/>
        </w:rPr>
      </w:pPr>
    </w:p>
    <w:p w14:paraId="6591B9A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60BF23E">
      <w:pPr>
        <w:spacing w:line="360" w:lineRule="auto"/>
        <w:jc w:val="center"/>
        <w:rPr>
          <w:rFonts w:hint="eastAsia" w:ascii="宋体" w:hAnsi="宋体" w:eastAsia="宋体" w:cs="宋体"/>
          <w:b/>
          <w:bCs/>
          <w:color w:val="auto"/>
          <w:sz w:val="24"/>
          <w:highlight w:val="none"/>
        </w:rPr>
      </w:pPr>
    </w:p>
    <w:p w14:paraId="3B222A28">
      <w:pPr>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eastAsia="zh-CN"/>
        </w:rPr>
        <w:br w:type="page"/>
      </w:r>
    </w:p>
    <w:p w14:paraId="1416E3CF">
      <w:pPr>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cs="宋体"/>
          <w:b/>
          <w:bCs/>
          <w:color w:val="auto"/>
          <w:kern w:val="2"/>
          <w:sz w:val="32"/>
          <w:szCs w:val="32"/>
          <w:highlight w:val="none"/>
          <w:lang w:val="en-US" w:eastAsia="zh-CN"/>
        </w:rPr>
        <w:t>企业证书</w:t>
      </w:r>
    </w:p>
    <w:p w14:paraId="4376E1D1">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p>
    <w:p w14:paraId="60BEAE59">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0AAAAE1A">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5DD362F7">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630F6E53">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923E2B5">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eastAsia="zh-CN"/>
        </w:rPr>
      </w:pPr>
    </w:p>
    <w:p w14:paraId="215B6F03">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lang w:val="en-US" w:eastAsia="zh-CN"/>
        </w:rPr>
        <w:t>、拟派项目组成员</w:t>
      </w:r>
    </w:p>
    <w:p w14:paraId="43A17D59">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665BEDF3">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6589EBB7">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38DC4E97">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02B800">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p>
    <w:p w14:paraId="7A27A767">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技术要求</w:t>
      </w:r>
    </w:p>
    <w:p w14:paraId="64EC5DF5">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193E7281">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0ED420F6">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2AE40DDA">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B380C9E">
      <w:pPr>
        <w:pStyle w:val="13"/>
        <w:keepNext w:val="0"/>
        <w:keepLines w:val="0"/>
        <w:pageBreakBefore w:val="0"/>
        <w:widowControl w:val="0"/>
        <w:kinsoku/>
        <w:wordWrap/>
        <w:overflowPunct/>
        <w:topLinePunct w:val="0"/>
        <w:bidi w:val="0"/>
        <w:snapToGrid/>
        <w:spacing w:after="0" w:line="480" w:lineRule="exact"/>
        <w:textAlignment w:val="auto"/>
        <w:rPr>
          <w:rFonts w:hint="eastAsia" w:ascii="宋体" w:hAnsi="宋体" w:eastAsia="宋体" w:cs="宋体"/>
          <w:color w:val="auto"/>
          <w:highlight w:val="none"/>
        </w:rPr>
      </w:pPr>
    </w:p>
    <w:p w14:paraId="49E3DA7F">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项目实施方案</w:t>
      </w:r>
    </w:p>
    <w:p w14:paraId="4C25759D">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6A05B140">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39993E49">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1B038919">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C50D264">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eastAsia="宋体" w:cs="宋体"/>
          <w:b/>
          <w:bCs/>
          <w:color w:val="auto"/>
          <w:sz w:val="32"/>
          <w:szCs w:val="32"/>
          <w:highlight w:val="none"/>
          <w:lang w:eastAsia="zh-CN"/>
        </w:rPr>
      </w:pPr>
    </w:p>
    <w:p w14:paraId="571E3A55">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p>
    <w:p w14:paraId="69358FC6">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p>
    <w:p w14:paraId="54331E19">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p>
    <w:p w14:paraId="79AE6465">
      <w:pPr>
        <w:keepNext w:val="0"/>
        <w:keepLines w:val="0"/>
        <w:pageBreakBefore w:val="0"/>
        <w:widowControl w:val="0"/>
        <w:kinsoku/>
        <w:wordWrap/>
        <w:overflowPunct/>
        <w:topLinePunct w:val="0"/>
        <w:bidi w:val="0"/>
        <w:snapToGrid/>
        <w:spacing w:line="480" w:lineRule="exact"/>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eastAsia="zh-CN"/>
        </w:rPr>
        <w:t>、</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质量、安全管理保障</w:t>
      </w:r>
    </w:p>
    <w:p w14:paraId="2B124C7F">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5E376523">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宋体" w:hAnsi="宋体" w:eastAsia="宋体" w:cs="宋体"/>
          <w:color w:val="auto"/>
          <w:sz w:val="24"/>
          <w:highlight w:val="none"/>
          <w:lang w:val="en-US" w:eastAsia="zh-CN"/>
        </w:rPr>
      </w:pPr>
    </w:p>
    <w:p w14:paraId="6185B1E2">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2783D44C">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2A73086E">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p>
    <w:p w14:paraId="165839D4">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en-US" w:eastAsia="zh-CN"/>
        </w:rPr>
        <w:t>、工期进度保障</w:t>
      </w:r>
    </w:p>
    <w:p w14:paraId="7FB1CD7A">
      <w:pPr>
        <w:keepNext w:val="0"/>
        <w:keepLines w:val="0"/>
        <w:pageBreakBefore w:val="0"/>
        <w:widowControl w:val="0"/>
        <w:kinsoku/>
        <w:wordWrap/>
        <w:overflowPunct/>
        <w:topLinePunct w:val="0"/>
        <w:autoSpaceDE w:val="0"/>
        <w:autoSpaceDN w:val="0"/>
        <w:bidi w:val="0"/>
        <w:snapToGrid/>
        <w:spacing w:line="48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359EABE7">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kern w:val="0"/>
          <w:sz w:val="24"/>
          <w:highlight w:val="none"/>
          <w:lang w:val="en-US" w:eastAsia="zh-CN"/>
        </w:rPr>
      </w:pPr>
    </w:p>
    <w:p w14:paraId="6D20A7E3">
      <w:pPr>
        <w:keepNext w:val="0"/>
        <w:keepLines w:val="0"/>
        <w:pageBreakBefore w:val="0"/>
        <w:widowControl w:val="0"/>
        <w:kinsoku/>
        <w:wordWrap/>
        <w:overflowPunct/>
        <w:topLinePunct w:val="0"/>
        <w:autoSpaceDE/>
        <w:autoSpaceDN/>
        <w:bidi w:val="0"/>
        <w:adjustRightInd w:val="0"/>
        <w:snapToGrid/>
        <w:spacing w:line="48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76B16349">
      <w:pPr>
        <w:keepNext w:val="0"/>
        <w:keepLines w:val="0"/>
        <w:pageBreakBefore w:val="0"/>
        <w:widowControl w:val="0"/>
        <w:kinsoku/>
        <w:wordWrap/>
        <w:overflowPunct/>
        <w:topLinePunct w:val="0"/>
        <w:bidi w:val="0"/>
        <w:snapToGrid/>
        <w:spacing w:line="48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719F653F">
      <w:pPr>
        <w:keepNext w:val="0"/>
        <w:keepLines w:val="0"/>
        <w:pageBreakBefore w:val="0"/>
        <w:widowControl w:val="0"/>
        <w:kinsoku/>
        <w:wordWrap/>
        <w:overflowPunct/>
        <w:topLinePunct w:val="0"/>
        <w:bidi w:val="0"/>
        <w:snapToGrid/>
        <w:spacing w:line="480" w:lineRule="exact"/>
        <w:jc w:val="both"/>
        <w:textAlignment w:val="auto"/>
        <w:rPr>
          <w:rFonts w:hint="eastAsia" w:ascii="宋体" w:hAnsi="宋体" w:cs="宋体"/>
          <w:b/>
          <w:bCs/>
          <w:color w:val="auto"/>
          <w:sz w:val="32"/>
          <w:szCs w:val="32"/>
          <w:highlight w:val="none"/>
          <w:lang w:val="en-US" w:eastAsia="zh-CN"/>
        </w:rPr>
      </w:pPr>
    </w:p>
    <w:p w14:paraId="4625EB74">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十五、</w:t>
      </w:r>
      <w:r>
        <w:rPr>
          <w:rFonts w:hint="eastAsia" w:ascii="宋体" w:hAnsi="宋体" w:eastAsia="宋体" w:cs="宋体"/>
          <w:b/>
          <w:bCs/>
          <w:color w:val="auto"/>
          <w:sz w:val="32"/>
          <w:szCs w:val="32"/>
          <w:highlight w:val="none"/>
          <w:lang w:val="en-US" w:eastAsia="zh-CN"/>
        </w:rPr>
        <w:t>应急售后保障</w:t>
      </w:r>
    </w:p>
    <w:p w14:paraId="5C0B026A">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E6F3317">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0DB08783">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6F2FC18D">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4551B9F4">
      <w:pPr>
        <w:spacing w:line="360" w:lineRule="auto"/>
        <w:ind w:firstLine="964" w:firstLineChars="300"/>
        <w:jc w:val="center"/>
        <w:rPr>
          <w:rFonts w:hint="eastAsia" w:ascii="宋体" w:hAnsi="宋体" w:eastAsia="宋体" w:cs="宋体"/>
          <w:b/>
          <w:bCs/>
          <w:color w:val="auto"/>
          <w:sz w:val="32"/>
          <w:szCs w:val="32"/>
          <w:highlight w:val="none"/>
          <w:lang w:val="en-US" w:eastAsia="zh-CN"/>
        </w:rPr>
      </w:pPr>
    </w:p>
    <w:p w14:paraId="10AEBB8F">
      <w:pPr>
        <w:keepNext w:val="0"/>
        <w:keepLines w:val="0"/>
        <w:pageBreakBefore w:val="0"/>
        <w:widowControl w:val="0"/>
        <w:kinsoku/>
        <w:wordWrap/>
        <w:overflowPunct/>
        <w:topLinePunct w:val="0"/>
        <w:bidi w:val="0"/>
        <w:snapToGrid/>
        <w:spacing w:line="480" w:lineRule="exact"/>
        <w:ind w:firstLine="964" w:firstLineChars="3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eastAsia="zh-CN"/>
        </w:rPr>
        <w:t>、质保期</w:t>
      </w:r>
    </w:p>
    <w:p w14:paraId="1D69A92C">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根据采购需求及</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评分</w:t>
      </w:r>
      <w:r>
        <w:rPr>
          <w:rFonts w:hint="eastAsia" w:ascii="宋体" w:hAnsi="宋体" w:eastAsia="宋体" w:cs="宋体"/>
          <w:color w:val="auto"/>
          <w:sz w:val="24"/>
          <w:highlight w:val="none"/>
        </w:rPr>
        <w:t>要求编制）</w:t>
      </w:r>
    </w:p>
    <w:p w14:paraId="22D80E4B">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kern w:val="0"/>
          <w:sz w:val="24"/>
          <w:highlight w:val="none"/>
          <w:lang w:val="en-US" w:eastAsia="zh-CN"/>
        </w:rPr>
      </w:pPr>
    </w:p>
    <w:p w14:paraId="2BB98A5A">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32ED1123">
      <w:pPr>
        <w:spacing w:line="336"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4"/>
          <w:highlight w:val="none"/>
        </w:rPr>
        <w:t xml:space="preserve">     日期：  年   月   日</w:t>
      </w:r>
    </w:p>
    <w:p w14:paraId="00B3A1D7">
      <w:pPr>
        <w:spacing w:line="360" w:lineRule="auto"/>
        <w:jc w:val="both"/>
        <w:rPr>
          <w:rFonts w:hint="eastAsia" w:ascii="宋体" w:hAnsi="宋体" w:eastAsia="宋体" w:cs="宋体"/>
          <w:b/>
          <w:bCs/>
          <w:color w:val="auto"/>
          <w:sz w:val="32"/>
          <w:szCs w:val="32"/>
          <w:highlight w:val="none"/>
          <w:lang w:val="en-US" w:eastAsia="zh-CN"/>
        </w:rPr>
      </w:pPr>
    </w:p>
    <w:p w14:paraId="1D601145">
      <w:pPr>
        <w:spacing w:line="360" w:lineRule="auto"/>
        <w:ind w:firstLine="964" w:firstLineChars="300"/>
        <w:jc w:val="both"/>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投标人认为</w:t>
      </w:r>
      <w:r>
        <w:rPr>
          <w:rFonts w:hint="eastAsia" w:ascii="宋体" w:hAnsi="宋体" w:eastAsia="宋体" w:cs="宋体"/>
          <w:b/>
          <w:bCs/>
          <w:color w:val="auto"/>
          <w:sz w:val="32"/>
          <w:szCs w:val="32"/>
          <w:highlight w:val="none"/>
        </w:rPr>
        <w:t>需要说明的其他文件和说明（若有）</w:t>
      </w:r>
    </w:p>
    <w:p w14:paraId="713D66C2">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 xml:space="preserve">名称（电子签名）：                          </w:t>
      </w:r>
    </w:p>
    <w:p w14:paraId="0B264CB7">
      <w:pPr>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6F0E278">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53A1A8F9">
      <w:pPr>
        <w:spacing w:line="336" w:lineRule="auto"/>
        <w:jc w:val="center"/>
        <w:outlineLvl w:val="0"/>
        <w:rPr>
          <w:rFonts w:hint="eastAsia" w:ascii="宋体" w:hAnsi="宋体" w:eastAsia="宋体" w:cs="宋体"/>
          <w:b/>
          <w:color w:val="auto"/>
          <w:kern w:val="0"/>
          <w:sz w:val="36"/>
          <w:szCs w:val="36"/>
          <w:highlight w:val="none"/>
        </w:rPr>
      </w:pPr>
    </w:p>
    <w:p w14:paraId="0650EAA3">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A5CADB1">
      <w:pPr>
        <w:spacing w:line="336"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9E9D6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p>
    <w:p w14:paraId="49B748DB">
      <w:pPr>
        <w:pStyle w:val="40"/>
        <w:rPr>
          <w:rFonts w:hint="eastAsia" w:ascii="宋体" w:hAnsi="宋体" w:eastAsia="宋体" w:cs="宋体"/>
          <w:color w:val="auto"/>
          <w:highlight w:val="none"/>
        </w:rPr>
      </w:pPr>
    </w:p>
    <w:p w14:paraId="173937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highlight w:val="none"/>
        </w:rPr>
        <w:t>开标一览表</w:t>
      </w:r>
      <w:r>
        <w:rPr>
          <w:rFonts w:hint="eastAsia" w:ascii="宋体" w:hAnsi="宋体" w:eastAsia="宋体" w:cs="宋体"/>
          <w:color w:val="auto"/>
          <w:kern w:val="0"/>
          <w:sz w:val="24"/>
          <w:szCs w:val="24"/>
          <w:highlight w:val="none"/>
        </w:rPr>
        <w:t>………………………………………………………………（页码）</w:t>
      </w:r>
    </w:p>
    <w:p w14:paraId="4CB99B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2）报价明细表</w:t>
      </w:r>
      <w:r>
        <w:rPr>
          <w:rFonts w:hint="eastAsia" w:ascii="宋体" w:hAnsi="宋体" w:eastAsia="宋体" w:cs="宋体"/>
          <w:color w:val="auto"/>
          <w:kern w:val="0"/>
          <w:sz w:val="24"/>
          <w:szCs w:val="24"/>
          <w:highlight w:val="none"/>
        </w:rPr>
        <w:t>………………………………………………………………（页码）</w:t>
      </w:r>
    </w:p>
    <w:p w14:paraId="5DA327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highlight w:val="none"/>
        </w:rPr>
        <w:t>投标人针对报价需要说明的其他文件和说明</w:t>
      </w:r>
      <w:r>
        <w:rPr>
          <w:rFonts w:hint="eastAsia" w:ascii="宋体" w:hAnsi="宋体" w:eastAsia="宋体" w:cs="宋体"/>
          <w:color w:val="auto"/>
          <w:kern w:val="0"/>
          <w:sz w:val="24"/>
          <w:szCs w:val="24"/>
          <w:highlight w:val="none"/>
        </w:rPr>
        <w:t>…………………………（页码）</w:t>
      </w:r>
    </w:p>
    <w:p w14:paraId="523BD3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p>
    <w:p w14:paraId="7655D22B">
      <w:pPr>
        <w:spacing w:line="360" w:lineRule="auto"/>
        <w:rPr>
          <w:rFonts w:hint="eastAsia" w:ascii="宋体" w:hAnsi="宋体" w:eastAsia="宋体" w:cs="宋体"/>
          <w:b/>
          <w:color w:val="auto"/>
          <w:spacing w:val="6"/>
          <w:sz w:val="28"/>
          <w:szCs w:val="28"/>
          <w:highlight w:val="none"/>
        </w:rPr>
      </w:pPr>
    </w:p>
    <w:p w14:paraId="444989F8">
      <w:pPr>
        <w:spacing w:line="360" w:lineRule="auto"/>
        <w:ind w:firstLine="482"/>
        <w:rPr>
          <w:rFonts w:hint="eastAsia" w:ascii="宋体" w:hAnsi="宋体" w:eastAsia="宋体" w:cs="宋体"/>
          <w:color w:val="auto"/>
          <w:highlight w:val="none"/>
        </w:rPr>
      </w:pPr>
    </w:p>
    <w:p w14:paraId="087292D5">
      <w:pPr>
        <w:pStyle w:val="14"/>
        <w:spacing w:line="360" w:lineRule="auto"/>
        <w:ind w:firstLine="240"/>
        <w:rPr>
          <w:rFonts w:hint="eastAsia" w:ascii="宋体" w:hAnsi="宋体" w:eastAsia="宋体" w:cs="宋体"/>
          <w:color w:val="auto"/>
          <w:highlight w:val="none"/>
        </w:rPr>
      </w:pPr>
    </w:p>
    <w:p w14:paraId="315E74FD">
      <w:pPr>
        <w:pStyle w:val="14"/>
        <w:spacing w:line="360" w:lineRule="auto"/>
        <w:ind w:firstLine="240"/>
        <w:rPr>
          <w:rFonts w:hint="eastAsia" w:ascii="宋体" w:hAnsi="宋体" w:eastAsia="宋体" w:cs="宋体"/>
          <w:color w:val="auto"/>
          <w:highlight w:val="none"/>
        </w:rPr>
      </w:pPr>
    </w:p>
    <w:p w14:paraId="4880A525">
      <w:pPr>
        <w:pStyle w:val="14"/>
        <w:spacing w:line="360" w:lineRule="auto"/>
        <w:ind w:firstLine="240"/>
        <w:rPr>
          <w:rFonts w:hint="eastAsia" w:ascii="宋体" w:hAnsi="宋体" w:eastAsia="宋体" w:cs="宋体"/>
          <w:color w:val="auto"/>
          <w:highlight w:val="none"/>
        </w:rPr>
      </w:pPr>
    </w:p>
    <w:p w14:paraId="391B3CC7">
      <w:pPr>
        <w:pStyle w:val="14"/>
        <w:spacing w:line="360" w:lineRule="auto"/>
        <w:ind w:firstLine="240"/>
        <w:rPr>
          <w:rFonts w:hint="eastAsia" w:ascii="宋体" w:hAnsi="宋体" w:eastAsia="宋体" w:cs="宋体"/>
          <w:color w:val="auto"/>
          <w:highlight w:val="none"/>
        </w:rPr>
      </w:pPr>
    </w:p>
    <w:p w14:paraId="0F844570">
      <w:pPr>
        <w:pStyle w:val="14"/>
        <w:spacing w:line="360" w:lineRule="auto"/>
        <w:ind w:firstLine="240"/>
        <w:rPr>
          <w:rFonts w:hint="eastAsia" w:ascii="宋体" w:hAnsi="宋体" w:eastAsia="宋体" w:cs="宋体"/>
          <w:color w:val="auto"/>
          <w:highlight w:val="none"/>
        </w:rPr>
      </w:pPr>
    </w:p>
    <w:p w14:paraId="1C706E1D">
      <w:pPr>
        <w:pStyle w:val="26"/>
        <w:spacing w:line="390" w:lineRule="exact"/>
        <w:ind w:firstLine="480" w:firstLineChars="200"/>
        <w:rPr>
          <w:rFonts w:hint="eastAsia" w:ascii="宋体" w:hAnsi="宋体" w:eastAsia="宋体" w:cs="宋体"/>
          <w:color w:val="auto"/>
          <w:szCs w:val="21"/>
          <w:highlight w:val="none"/>
        </w:rPr>
      </w:pPr>
    </w:p>
    <w:p w14:paraId="6DD2F0E2">
      <w:pPr>
        <w:spacing w:line="360" w:lineRule="auto"/>
        <w:rPr>
          <w:rFonts w:hint="eastAsia" w:ascii="宋体" w:hAnsi="宋体" w:eastAsia="宋体" w:cs="宋体"/>
          <w:b/>
          <w:color w:val="auto"/>
          <w:spacing w:val="6"/>
          <w:szCs w:val="21"/>
          <w:highlight w:val="none"/>
        </w:rPr>
      </w:pPr>
    </w:p>
    <w:p w14:paraId="1EF46EC8">
      <w:pPr>
        <w:spacing w:line="360" w:lineRule="auto"/>
        <w:rPr>
          <w:rFonts w:hint="eastAsia" w:ascii="宋体" w:hAnsi="宋体" w:eastAsia="宋体" w:cs="宋体"/>
          <w:b/>
          <w:color w:val="auto"/>
          <w:spacing w:val="6"/>
          <w:szCs w:val="21"/>
          <w:highlight w:val="none"/>
        </w:rPr>
      </w:pPr>
    </w:p>
    <w:p w14:paraId="7BBDAF4E">
      <w:pPr>
        <w:snapToGrid w:val="0"/>
        <w:spacing w:before="50" w:line="360" w:lineRule="auto"/>
        <w:jc w:val="center"/>
        <w:rPr>
          <w:rFonts w:hint="eastAsia" w:ascii="宋体" w:hAnsi="宋体" w:eastAsia="宋体" w:cs="宋体"/>
          <w:color w:val="auto"/>
          <w:szCs w:val="21"/>
          <w:highlight w:val="none"/>
        </w:rPr>
      </w:pPr>
    </w:p>
    <w:p w14:paraId="2DCB047B">
      <w:pPr>
        <w:snapToGrid w:val="0"/>
        <w:spacing w:before="50" w:line="360" w:lineRule="auto"/>
        <w:jc w:val="center"/>
        <w:rPr>
          <w:rFonts w:hint="eastAsia" w:ascii="宋体" w:hAnsi="宋体" w:eastAsia="宋体" w:cs="宋体"/>
          <w:color w:val="auto"/>
          <w:szCs w:val="21"/>
          <w:highlight w:val="none"/>
        </w:rPr>
      </w:pPr>
    </w:p>
    <w:p w14:paraId="16C07AF5">
      <w:pPr>
        <w:pStyle w:val="14"/>
        <w:ind w:firstLine="21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br w:type="page"/>
      </w:r>
    </w:p>
    <w:p w14:paraId="4F475CA5">
      <w:pPr>
        <w:snapToGrid w:val="0"/>
        <w:spacing w:before="50" w:afterLines="50"/>
        <w:jc w:val="center"/>
        <w:rPr>
          <w:rFonts w:hint="eastAsia" w:ascii="宋体" w:hAnsi="宋体"/>
          <w:b/>
          <w:bCs/>
          <w:color w:val="auto"/>
          <w:sz w:val="28"/>
          <w:szCs w:val="28"/>
          <w:highlight w:val="none"/>
          <w:lang w:val="en-US" w:eastAsia="zh-CN"/>
        </w:rPr>
      </w:pPr>
    </w:p>
    <w:p w14:paraId="1F780464">
      <w:pPr>
        <w:snapToGrid w:val="0"/>
        <w:spacing w:before="50" w:afterLines="50"/>
        <w:jc w:val="center"/>
        <w:rPr>
          <w:rFonts w:ascii="黑体" w:hAnsi="黑体" w:eastAsia="黑体" w:cs="黑体"/>
          <w:bCs/>
          <w:color w:val="auto"/>
          <w:sz w:val="36"/>
          <w:szCs w:val="36"/>
          <w:highlight w:val="none"/>
        </w:rPr>
      </w:pPr>
      <w:r>
        <w:rPr>
          <w:rFonts w:hint="eastAsia" w:ascii="宋体" w:hAnsi="宋体"/>
          <w:b/>
          <w:bCs/>
          <w:color w:val="auto"/>
          <w:sz w:val="28"/>
          <w:szCs w:val="28"/>
          <w:highlight w:val="none"/>
          <w:lang w:val="en-US" w:eastAsia="zh-CN"/>
        </w:rPr>
        <w:t>一、</w:t>
      </w:r>
      <w:r>
        <w:rPr>
          <w:rFonts w:hint="eastAsia" w:ascii="宋体" w:hAnsi="宋体"/>
          <w:b/>
          <w:bCs/>
          <w:color w:val="auto"/>
          <w:sz w:val="28"/>
          <w:szCs w:val="28"/>
          <w:highlight w:val="none"/>
        </w:rPr>
        <w:t>开标一览表（报价表）</w:t>
      </w:r>
    </w:p>
    <w:p w14:paraId="078C9EC7">
      <w:pPr>
        <w:pStyle w:val="17"/>
        <w:tabs>
          <w:tab w:val="left" w:pos="900"/>
        </w:tabs>
        <w:spacing w:before="120" w:after="120"/>
        <w:rPr>
          <w:rFonts w:hAnsi="宋体"/>
          <w:color w:val="auto"/>
          <w:szCs w:val="21"/>
          <w:highlight w:val="none"/>
        </w:rPr>
      </w:pPr>
      <w:r>
        <w:rPr>
          <w:rFonts w:hAnsi="宋体"/>
          <w:color w:val="auto"/>
          <w:sz w:val="24"/>
          <w:szCs w:val="24"/>
          <w:highlight w:val="none"/>
        </w:rPr>
        <w:t xml:space="preserve">项目名称： </w:t>
      </w:r>
    </w:p>
    <w:p w14:paraId="3E8D555E">
      <w:pPr>
        <w:tabs>
          <w:tab w:val="left" w:pos="8364"/>
        </w:tabs>
        <w:snapToGrid w:val="0"/>
        <w:spacing w:line="360" w:lineRule="auto"/>
        <w:ind w:right="-58"/>
        <w:rPr>
          <w:rFonts w:ascii="宋体" w:hAnsi="宋体"/>
          <w:color w:val="auto"/>
          <w:szCs w:val="21"/>
          <w:highlight w:val="none"/>
        </w:rPr>
      </w:pPr>
      <w:r>
        <w:rPr>
          <w:rFonts w:hint="eastAsia" w:ascii="宋体" w:hAnsi="宋体"/>
          <w:color w:val="auto"/>
          <w:szCs w:val="21"/>
          <w:highlight w:val="none"/>
        </w:rPr>
        <w:t>项目编号：</w:t>
      </w:r>
    </w:p>
    <w:p w14:paraId="239E1AA3">
      <w:pPr>
        <w:rPr>
          <w:color w:val="auto"/>
          <w:szCs w:val="21"/>
          <w:highlight w:val="none"/>
          <w:u w:val="single"/>
        </w:rPr>
      </w:pPr>
    </w:p>
    <w:tbl>
      <w:tblPr>
        <w:tblStyle w:val="3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3495"/>
        <w:gridCol w:w="915"/>
        <w:gridCol w:w="945"/>
        <w:gridCol w:w="1802"/>
        <w:gridCol w:w="1105"/>
      </w:tblGrid>
      <w:tr w14:paraId="2F2F5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38" w:type="dxa"/>
            <w:tcBorders>
              <w:top w:val="single" w:color="auto" w:sz="4" w:space="0"/>
              <w:left w:val="single" w:color="auto" w:sz="4" w:space="0"/>
              <w:bottom w:val="single" w:color="auto" w:sz="4" w:space="0"/>
              <w:right w:val="single" w:color="auto" w:sz="4" w:space="0"/>
            </w:tcBorders>
            <w:noWrap/>
            <w:vAlign w:val="center"/>
          </w:tcPr>
          <w:p w14:paraId="33532161">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495" w:type="dxa"/>
            <w:tcBorders>
              <w:top w:val="single" w:color="auto" w:sz="4" w:space="0"/>
              <w:left w:val="single" w:color="auto" w:sz="4" w:space="0"/>
              <w:bottom w:val="single" w:color="auto" w:sz="4" w:space="0"/>
              <w:right w:val="single" w:color="auto" w:sz="4" w:space="0"/>
            </w:tcBorders>
            <w:noWrap/>
            <w:vAlign w:val="center"/>
          </w:tcPr>
          <w:p w14:paraId="142B0D13">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名称</w:t>
            </w:r>
          </w:p>
        </w:tc>
        <w:tc>
          <w:tcPr>
            <w:tcW w:w="915" w:type="dxa"/>
            <w:tcBorders>
              <w:top w:val="single" w:color="auto" w:sz="4" w:space="0"/>
              <w:left w:val="single" w:color="auto" w:sz="4" w:space="0"/>
              <w:bottom w:val="single" w:color="auto" w:sz="4" w:space="0"/>
              <w:right w:val="single" w:color="auto" w:sz="4" w:space="0"/>
            </w:tcBorders>
            <w:noWrap/>
            <w:vAlign w:val="center"/>
          </w:tcPr>
          <w:p w14:paraId="22D67D5C">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tcBorders>
              <w:top w:val="single" w:color="auto" w:sz="4" w:space="0"/>
              <w:left w:val="single" w:color="auto" w:sz="4" w:space="0"/>
              <w:bottom w:val="single" w:color="auto" w:sz="4" w:space="0"/>
              <w:right w:val="single" w:color="auto" w:sz="4" w:space="0"/>
            </w:tcBorders>
            <w:noWrap/>
            <w:vAlign w:val="center"/>
          </w:tcPr>
          <w:p w14:paraId="64AB4AB8">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单位</w:t>
            </w:r>
          </w:p>
        </w:tc>
        <w:tc>
          <w:tcPr>
            <w:tcW w:w="1802" w:type="dxa"/>
            <w:tcBorders>
              <w:top w:val="single" w:color="auto" w:sz="4" w:space="0"/>
              <w:left w:val="single" w:color="auto" w:sz="4" w:space="0"/>
              <w:bottom w:val="single" w:color="auto" w:sz="4" w:space="0"/>
              <w:right w:val="single" w:color="auto" w:sz="4" w:space="0"/>
            </w:tcBorders>
            <w:noWrap/>
            <w:vAlign w:val="center"/>
          </w:tcPr>
          <w:p w14:paraId="04E2AAB2">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报价（元）</w:t>
            </w:r>
          </w:p>
        </w:tc>
        <w:tc>
          <w:tcPr>
            <w:tcW w:w="1105" w:type="dxa"/>
            <w:tcBorders>
              <w:top w:val="single" w:color="auto" w:sz="4" w:space="0"/>
              <w:left w:val="single" w:color="auto" w:sz="4" w:space="0"/>
              <w:bottom w:val="single" w:color="auto" w:sz="4" w:space="0"/>
              <w:right w:val="single" w:color="auto" w:sz="4" w:space="0"/>
            </w:tcBorders>
            <w:noWrap/>
            <w:vAlign w:val="center"/>
          </w:tcPr>
          <w:p w14:paraId="394AC6B7">
            <w:pPr>
              <w:snapToGrid w:val="0"/>
              <w:spacing w:before="100" w:beforeAutospacing="1" w:after="100" w:afterAutospacing="1" w:line="5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6DB41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5" w:hRule="atLeast"/>
          <w:jc w:val="center"/>
        </w:trPr>
        <w:tc>
          <w:tcPr>
            <w:tcW w:w="738" w:type="dxa"/>
            <w:tcBorders>
              <w:top w:val="single" w:color="auto" w:sz="4" w:space="0"/>
              <w:left w:val="single" w:color="auto" w:sz="4" w:space="0"/>
              <w:bottom w:val="single" w:color="auto" w:sz="4" w:space="0"/>
              <w:right w:val="single" w:color="auto" w:sz="4" w:space="0"/>
            </w:tcBorders>
            <w:noWrap/>
            <w:vAlign w:val="center"/>
          </w:tcPr>
          <w:p w14:paraId="3680BD8C">
            <w:pPr>
              <w:snapToGrid w:val="0"/>
              <w:spacing w:before="100" w:beforeAutospacing="1" w:after="100" w:afterAutospacing="1" w:line="5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3495" w:type="dxa"/>
            <w:tcBorders>
              <w:top w:val="single" w:color="auto" w:sz="4" w:space="0"/>
              <w:left w:val="single" w:color="auto" w:sz="4" w:space="0"/>
              <w:bottom w:val="single" w:color="auto" w:sz="4" w:space="0"/>
              <w:right w:val="single" w:color="auto" w:sz="4" w:space="0"/>
            </w:tcBorders>
            <w:noWrap/>
            <w:vAlign w:val="center"/>
          </w:tcPr>
          <w:p w14:paraId="3EAB2754">
            <w:pPr>
              <w:snapToGrid w:val="0"/>
              <w:spacing w:before="100" w:beforeAutospacing="1" w:after="100" w:afterAutospacing="1" w:line="500" w:lineRule="exact"/>
              <w:jc w:val="center"/>
              <w:rPr>
                <w:rFonts w:ascii="宋体" w:hAnsi="宋体" w:cs="宋体"/>
                <w:bCs/>
                <w:color w:val="auto"/>
                <w:szCs w:val="21"/>
                <w:highlight w:val="none"/>
              </w:rPr>
            </w:pPr>
          </w:p>
        </w:tc>
        <w:tc>
          <w:tcPr>
            <w:tcW w:w="915" w:type="dxa"/>
            <w:tcBorders>
              <w:top w:val="single" w:color="auto" w:sz="4" w:space="0"/>
              <w:left w:val="single" w:color="auto" w:sz="4" w:space="0"/>
              <w:right w:val="single" w:color="auto" w:sz="4" w:space="0"/>
            </w:tcBorders>
            <w:noWrap/>
            <w:vAlign w:val="center"/>
          </w:tcPr>
          <w:p w14:paraId="4B6409BA">
            <w:pPr>
              <w:snapToGrid w:val="0"/>
              <w:spacing w:before="100" w:beforeAutospacing="1" w:after="100" w:afterAutospacing="1" w:line="5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945" w:type="dxa"/>
            <w:tcBorders>
              <w:top w:val="single" w:color="auto" w:sz="4" w:space="0"/>
              <w:left w:val="single" w:color="auto" w:sz="4" w:space="0"/>
              <w:right w:val="single" w:color="auto" w:sz="4" w:space="0"/>
            </w:tcBorders>
            <w:noWrap/>
            <w:vAlign w:val="center"/>
          </w:tcPr>
          <w:p w14:paraId="4564BB7D">
            <w:pPr>
              <w:snapToGrid w:val="0"/>
              <w:spacing w:before="100" w:beforeAutospacing="1" w:after="100" w:afterAutospacing="1" w:line="500" w:lineRule="exact"/>
              <w:jc w:val="center"/>
              <w:rPr>
                <w:rFonts w:ascii="宋体" w:hAnsi="宋体"/>
                <w:color w:val="auto"/>
                <w:szCs w:val="21"/>
                <w:highlight w:val="none"/>
              </w:rPr>
            </w:pPr>
            <w:r>
              <w:rPr>
                <w:rFonts w:hint="eastAsia" w:ascii="宋体" w:hAnsi="宋体"/>
                <w:color w:val="auto"/>
                <w:szCs w:val="21"/>
                <w:highlight w:val="none"/>
              </w:rPr>
              <w:t>项</w:t>
            </w:r>
          </w:p>
        </w:tc>
        <w:tc>
          <w:tcPr>
            <w:tcW w:w="1802" w:type="dxa"/>
            <w:tcBorders>
              <w:top w:val="single" w:color="auto" w:sz="4" w:space="0"/>
              <w:left w:val="single" w:color="auto" w:sz="4" w:space="0"/>
              <w:right w:val="single" w:color="auto" w:sz="4" w:space="0"/>
            </w:tcBorders>
            <w:noWrap/>
            <w:vAlign w:val="center"/>
          </w:tcPr>
          <w:p w14:paraId="4DC66789">
            <w:pPr>
              <w:snapToGrid w:val="0"/>
              <w:spacing w:before="100" w:beforeAutospacing="1" w:after="100" w:afterAutospacing="1" w:line="500" w:lineRule="exact"/>
              <w:rPr>
                <w:rFonts w:ascii="宋体" w:hAnsi="宋体"/>
                <w:color w:val="auto"/>
                <w:szCs w:val="21"/>
                <w:highlight w:val="none"/>
              </w:rPr>
            </w:pPr>
          </w:p>
        </w:tc>
        <w:tc>
          <w:tcPr>
            <w:tcW w:w="1105" w:type="dxa"/>
            <w:tcBorders>
              <w:top w:val="single" w:color="auto" w:sz="4" w:space="0"/>
              <w:left w:val="single" w:color="auto" w:sz="4" w:space="0"/>
              <w:right w:val="single" w:color="auto" w:sz="4" w:space="0"/>
            </w:tcBorders>
            <w:noWrap/>
            <w:vAlign w:val="center"/>
          </w:tcPr>
          <w:p w14:paraId="53EE3D8C">
            <w:pPr>
              <w:snapToGrid w:val="0"/>
              <w:spacing w:before="100" w:beforeAutospacing="1" w:after="100" w:afterAutospacing="1" w:line="500" w:lineRule="exact"/>
              <w:rPr>
                <w:rFonts w:ascii="宋体" w:hAnsi="宋体"/>
                <w:color w:val="auto"/>
                <w:szCs w:val="21"/>
                <w:highlight w:val="none"/>
              </w:rPr>
            </w:pPr>
          </w:p>
        </w:tc>
      </w:tr>
    </w:tbl>
    <w:p w14:paraId="42ACCD8E">
      <w:pPr>
        <w:spacing w:line="500" w:lineRule="exact"/>
        <w:ind w:firstLine="472" w:firstLineChars="196"/>
        <w:rPr>
          <w:rFonts w:eastAsia="黑体"/>
          <w:b/>
          <w:color w:val="auto"/>
          <w:szCs w:val="21"/>
          <w:highlight w:val="none"/>
        </w:rPr>
      </w:pPr>
    </w:p>
    <w:p w14:paraId="439FEF69">
      <w:pPr>
        <w:rPr>
          <w:i/>
          <w:color w:val="auto"/>
          <w:szCs w:val="21"/>
          <w:highlight w:val="none"/>
        </w:rPr>
      </w:pPr>
    </w:p>
    <w:p w14:paraId="0B43A388">
      <w:pPr>
        <w:rPr>
          <w:color w:val="auto"/>
          <w:szCs w:val="21"/>
          <w:highlight w:val="none"/>
        </w:rPr>
      </w:pPr>
    </w:p>
    <w:p w14:paraId="5B5710A9">
      <w:pPr>
        <w:keepNext w:val="0"/>
        <w:keepLines w:val="0"/>
        <w:pageBreakBefore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kern w:val="0"/>
          <w:sz w:val="24"/>
          <w:szCs w:val="24"/>
          <w:highlight w:val="none"/>
          <w:lang w:val="en-US" w:eastAsia="zh-CN" w:bidi="ar-SA"/>
        </w:rPr>
      </w:pPr>
    </w:p>
    <w:p w14:paraId="2463D773">
      <w:pPr>
        <w:keepNext w:val="0"/>
        <w:keepLines w:val="0"/>
        <w:pageBreakBefore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highlight w:val="none"/>
        </w:rPr>
        <w:t>）：</w:t>
      </w:r>
    </w:p>
    <w:p w14:paraId="4EE04668">
      <w:pPr>
        <w:keepNext w:val="0"/>
        <w:keepLines w:val="0"/>
        <w:pageBreakBefore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sz w:val="24"/>
          <w:highlight w:val="none"/>
        </w:rPr>
      </w:pPr>
    </w:p>
    <w:p w14:paraId="766A24E3">
      <w:pPr>
        <w:keepNext w:val="0"/>
        <w:keepLines w:val="0"/>
        <w:pageBreakBefore w:val="0"/>
        <w:kinsoku/>
        <w:wordWrap/>
        <w:overflowPunct/>
        <w:topLinePunct w:val="0"/>
        <w:autoSpaceDE/>
        <w:autoSpaceDN/>
        <w:bidi w:val="0"/>
        <w:adjustRightInd w:val="0"/>
        <w:spacing w:line="360" w:lineRule="auto"/>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6C4FEB86">
      <w:pPr>
        <w:jc w:val="right"/>
        <w:rPr>
          <w:color w:val="auto"/>
          <w:highlight w:val="none"/>
        </w:rPr>
      </w:pPr>
      <w:r>
        <w:rPr>
          <w:rFonts w:hint="eastAsia"/>
          <w:color w:val="auto"/>
          <w:sz w:val="21"/>
          <w:szCs w:val="21"/>
          <w:highlight w:val="none"/>
        </w:rPr>
        <w:br w:type="page"/>
      </w:r>
    </w:p>
    <w:p w14:paraId="6D35613E">
      <w:pPr>
        <w:adjustRightInd w:val="0"/>
        <w:snapToGrid w:val="0"/>
        <w:jc w:val="both"/>
        <w:textAlignment w:val="baseline"/>
        <w:rPr>
          <w:rFonts w:ascii="宋体" w:hAnsi="宋体" w:cs="宋体"/>
          <w:b/>
          <w:color w:val="auto"/>
          <w:sz w:val="28"/>
          <w:szCs w:val="28"/>
          <w:highlight w:val="none"/>
        </w:rPr>
      </w:pPr>
    </w:p>
    <w:p w14:paraId="5BF436C0">
      <w:pPr>
        <w:adjustRightInd w:val="0"/>
        <w:snapToGrid w:val="0"/>
        <w:jc w:val="center"/>
        <w:textAlignment w:val="baseline"/>
        <w:rPr>
          <w:rFonts w:ascii="宋体" w:hAnsi="宋体"/>
          <w:bCs/>
          <w:color w:val="auto"/>
          <w:spacing w:val="6"/>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报价明细表</w:t>
      </w:r>
    </w:p>
    <w:p w14:paraId="558E341B">
      <w:pPr>
        <w:wordWrap w:val="0"/>
        <w:spacing w:line="360" w:lineRule="auto"/>
        <w:ind w:firstLine="480"/>
        <w:jc w:val="right"/>
        <w:rPr>
          <w:rFonts w:ascii="宋体" w:hAnsi="宋体" w:cs="宋体"/>
          <w:b/>
          <w:color w:val="auto"/>
          <w:sz w:val="28"/>
          <w:szCs w:val="28"/>
          <w:highlight w:val="none"/>
        </w:rPr>
      </w:pPr>
      <w:r>
        <w:rPr>
          <w:rFonts w:hint="eastAsia" w:ascii="宋体" w:hAnsi="宋体"/>
          <w:bCs/>
          <w:color w:val="auto"/>
          <w:spacing w:val="6"/>
          <w:highlight w:val="none"/>
        </w:rPr>
        <w:t>价格单位：（人民币）元</w:t>
      </w:r>
    </w:p>
    <w:tbl>
      <w:tblPr>
        <w:tblStyle w:val="31"/>
        <w:tblW w:w="9096" w:type="dxa"/>
        <w:tblInd w:w="0" w:type="dxa"/>
        <w:tblLayout w:type="fixed"/>
        <w:tblCellMar>
          <w:top w:w="0" w:type="dxa"/>
          <w:left w:w="108" w:type="dxa"/>
          <w:bottom w:w="0" w:type="dxa"/>
          <w:right w:w="108" w:type="dxa"/>
        </w:tblCellMar>
      </w:tblPr>
      <w:tblGrid>
        <w:gridCol w:w="755"/>
        <w:gridCol w:w="1482"/>
        <w:gridCol w:w="1332"/>
        <w:gridCol w:w="708"/>
        <w:gridCol w:w="709"/>
        <w:gridCol w:w="1230"/>
        <w:gridCol w:w="1575"/>
        <w:gridCol w:w="1305"/>
      </w:tblGrid>
      <w:tr w14:paraId="5EC2C518">
        <w:tblPrEx>
          <w:tblCellMar>
            <w:top w:w="0" w:type="dxa"/>
            <w:left w:w="108" w:type="dxa"/>
            <w:bottom w:w="0" w:type="dxa"/>
            <w:right w:w="108" w:type="dxa"/>
          </w:tblCellMar>
        </w:tblPrEx>
        <w:trPr>
          <w:cantSplit/>
          <w:trHeight w:val="686" w:hRule="atLeast"/>
        </w:trPr>
        <w:tc>
          <w:tcPr>
            <w:tcW w:w="75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943C9C">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序号</w:t>
            </w:r>
          </w:p>
        </w:tc>
        <w:tc>
          <w:tcPr>
            <w:tcW w:w="1482"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4C1B022">
            <w:pPr>
              <w:spacing w:after="120"/>
              <w:jc w:val="center"/>
              <w:rPr>
                <w:rFonts w:hint="eastAsia" w:ascii="宋体" w:hAnsi="宋体" w:cs="宋体"/>
                <w:color w:val="auto"/>
                <w:kern w:val="1"/>
                <w:sz w:val="24"/>
                <w:highlight w:val="none"/>
                <w:lang w:val="zh-CN"/>
              </w:rPr>
            </w:pPr>
            <w:r>
              <w:rPr>
                <w:rFonts w:hint="eastAsia" w:ascii="宋体" w:hAnsi="宋体" w:cs="宋体"/>
                <w:color w:val="auto"/>
                <w:kern w:val="1"/>
                <w:sz w:val="24"/>
                <w:highlight w:val="none"/>
                <w:lang w:val="zh-CN"/>
              </w:rPr>
              <w:t>名称</w:t>
            </w:r>
          </w:p>
        </w:tc>
        <w:tc>
          <w:tcPr>
            <w:tcW w:w="1332"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699B249">
            <w:pPr>
              <w:spacing w:after="120"/>
              <w:jc w:val="center"/>
              <w:rPr>
                <w:rFonts w:hint="default" w:ascii="宋体" w:hAnsi="宋体" w:eastAsia="宋体" w:cs="宋体"/>
                <w:color w:val="auto"/>
                <w:kern w:val="1"/>
                <w:sz w:val="24"/>
                <w:highlight w:val="none"/>
                <w:lang w:val="en-US" w:eastAsia="zh-CN"/>
              </w:rPr>
            </w:pPr>
            <w:r>
              <w:rPr>
                <w:rFonts w:hint="eastAsia" w:ascii="宋体" w:hAnsi="宋体" w:cs="宋体"/>
                <w:color w:val="auto"/>
                <w:kern w:val="1"/>
                <w:sz w:val="24"/>
                <w:highlight w:val="none"/>
                <w:lang w:val="en-US" w:eastAsia="zh-CN"/>
              </w:rPr>
              <w:t>参数</w:t>
            </w:r>
          </w:p>
        </w:tc>
        <w:tc>
          <w:tcPr>
            <w:tcW w:w="708"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107A8ED">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单位</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1E7ADA0">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数量</w:t>
            </w:r>
          </w:p>
        </w:tc>
        <w:tc>
          <w:tcPr>
            <w:tcW w:w="280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10F29C">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金 额</w:t>
            </w:r>
          </w:p>
        </w:tc>
        <w:tc>
          <w:tcPr>
            <w:tcW w:w="1305" w:type="dxa"/>
            <w:vMerge w:val="restart"/>
            <w:tcBorders>
              <w:top w:val="single" w:color="000000" w:sz="6" w:space="0"/>
              <w:left w:val="single" w:color="000000" w:sz="6" w:space="0"/>
              <w:right w:val="single" w:color="000000" w:sz="6" w:space="0"/>
            </w:tcBorders>
            <w:shd w:val="clear" w:color="auto" w:fill="FFFFFF"/>
            <w:noWrap w:val="0"/>
            <w:vAlign w:val="center"/>
          </w:tcPr>
          <w:p w14:paraId="19C66AEA">
            <w:pPr>
              <w:spacing w:after="120"/>
              <w:jc w:val="center"/>
              <w:rPr>
                <w:rFonts w:ascii="宋体" w:hAnsi="宋体" w:cs="宋体"/>
                <w:color w:val="auto"/>
                <w:kern w:val="1"/>
                <w:sz w:val="24"/>
                <w:highlight w:val="none"/>
                <w:shd w:val="clear" w:color="auto" w:fill="FFFFFF"/>
                <w:lang w:val="zh-CN"/>
              </w:rPr>
            </w:pPr>
            <w:r>
              <w:rPr>
                <w:rFonts w:ascii="宋体" w:hAnsi="宋体" w:cs="宋体"/>
                <w:color w:val="auto"/>
                <w:kern w:val="1"/>
                <w:sz w:val="24"/>
                <w:highlight w:val="none"/>
                <w:shd w:val="clear" w:color="auto" w:fill="FFFFFF"/>
                <w:lang w:val="zh-CN"/>
              </w:rPr>
              <w:t>备注</w:t>
            </w:r>
          </w:p>
          <w:p w14:paraId="05F1777E">
            <w:pPr>
              <w:spacing w:after="120"/>
              <w:jc w:val="center"/>
              <w:rPr>
                <w:rFonts w:ascii="宋体" w:hAnsi="宋体" w:cs="宋体"/>
                <w:color w:val="auto"/>
                <w:kern w:val="1"/>
                <w:sz w:val="24"/>
                <w:highlight w:val="none"/>
                <w:shd w:val="clear" w:color="auto" w:fill="D9D9D9"/>
                <w:lang w:val="zh-CN"/>
              </w:rPr>
            </w:pPr>
            <w:r>
              <w:rPr>
                <w:rFonts w:hint="eastAsia" w:ascii="宋体" w:hAnsi="宋体" w:cs="宋体"/>
                <w:color w:val="auto"/>
                <w:kern w:val="1"/>
                <w:sz w:val="24"/>
                <w:highlight w:val="none"/>
                <w:shd w:val="clear" w:color="auto" w:fill="FFFFFF"/>
                <w:lang w:val="zh-CN"/>
              </w:rPr>
              <w:t>（</w:t>
            </w:r>
            <w:r>
              <w:rPr>
                <w:rFonts w:hint="eastAsia" w:ascii="宋体" w:hAnsi="宋体" w:cs="宋体"/>
                <w:color w:val="auto"/>
                <w:kern w:val="1"/>
                <w:sz w:val="24"/>
                <w:highlight w:val="none"/>
                <w:shd w:val="clear" w:color="auto" w:fill="FFFFFF"/>
                <w:lang w:val="en-US" w:eastAsia="zh-CN"/>
              </w:rPr>
              <w:t>品牌</w:t>
            </w:r>
            <w:r>
              <w:rPr>
                <w:rFonts w:hint="eastAsia" w:ascii="宋体" w:hAnsi="宋体" w:cs="宋体"/>
                <w:color w:val="auto"/>
                <w:kern w:val="1"/>
                <w:sz w:val="24"/>
                <w:highlight w:val="none"/>
                <w:shd w:val="clear" w:color="auto" w:fill="FFFFFF"/>
                <w:lang w:val="zh-CN"/>
              </w:rPr>
              <w:t>）</w:t>
            </w:r>
          </w:p>
        </w:tc>
      </w:tr>
      <w:tr w14:paraId="7B58E60B">
        <w:tblPrEx>
          <w:tblCellMar>
            <w:top w:w="0" w:type="dxa"/>
            <w:left w:w="108" w:type="dxa"/>
            <w:bottom w:w="0" w:type="dxa"/>
            <w:right w:w="108" w:type="dxa"/>
          </w:tblCellMar>
        </w:tblPrEx>
        <w:trPr>
          <w:cantSplit/>
          <w:trHeight w:val="373" w:hRule="atLeast"/>
        </w:trPr>
        <w:tc>
          <w:tcPr>
            <w:tcW w:w="755"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D9AE41">
            <w:pPr>
              <w:jc w:val="left"/>
              <w:rPr>
                <w:rFonts w:ascii="宋体" w:hAnsi="宋体" w:cs="宋体"/>
                <w:color w:val="auto"/>
                <w:kern w:val="1"/>
                <w:sz w:val="24"/>
                <w:highlight w:val="none"/>
                <w:shd w:val="clear" w:color="auto" w:fill="D9D9D9"/>
                <w:lang w:val="zh-CN"/>
              </w:rPr>
            </w:pPr>
          </w:p>
        </w:tc>
        <w:tc>
          <w:tcPr>
            <w:tcW w:w="1482"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6E778E">
            <w:pPr>
              <w:spacing w:after="120"/>
              <w:jc w:val="center"/>
              <w:rPr>
                <w:rFonts w:ascii="宋体" w:hAnsi="宋体" w:cs="宋体"/>
                <w:color w:val="auto"/>
                <w:kern w:val="1"/>
                <w:sz w:val="24"/>
                <w:highlight w:val="none"/>
                <w:lang w:val="zh-CN"/>
              </w:rPr>
            </w:pPr>
          </w:p>
        </w:tc>
        <w:tc>
          <w:tcPr>
            <w:tcW w:w="1332"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E91E27">
            <w:pPr>
              <w:spacing w:after="120"/>
              <w:jc w:val="center"/>
              <w:rPr>
                <w:rFonts w:ascii="宋体" w:hAnsi="宋体" w:cs="宋体"/>
                <w:color w:val="auto"/>
                <w:kern w:val="1"/>
                <w:sz w:val="24"/>
                <w:highlight w:val="none"/>
                <w:lang w:val="zh-CN"/>
              </w:rPr>
            </w:pPr>
          </w:p>
        </w:tc>
        <w:tc>
          <w:tcPr>
            <w:tcW w:w="708"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0A322F3">
            <w:pPr>
              <w:spacing w:after="120"/>
              <w:jc w:val="center"/>
              <w:rPr>
                <w:rFonts w:ascii="宋体" w:hAnsi="宋体" w:cs="宋体"/>
                <w:color w:val="auto"/>
                <w:kern w:val="1"/>
                <w:sz w:val="24"/>
                <w:highlight w:val="none"/>
                <w:lang w:val="zh-CN"/>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4ECCCB">
            <w:pPr>
              <w:jc w:val="left"/>
              <w:rPr>
                <w:rFonts w:ascii="宋体" w:hAnsi="宋体" w:cs="宋体"/>
                <w:color w:val="auto"/>
                <w:kern w:val="1"/>
                <w:sz w:val="24"/>
                <w:highlight w:val="none"/>
                <w:shd w:val="clear" w:color="auto" w:fill="D9D9D9"/>
                <w:lang w:val="zh-CN"/>
              </w:rPr>
            </w:pPr>
          </w:p>
        </w:tc>
        <w:tc>
          <w:tcPr>
            <w:tcW w:w="123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E68A39">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综合单价</w:t>
            </w:r>
          </w:p>
        </w:tc>
        <w:tc>
          <w:tcPr>
            <w:tcW w:w="15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164356E">
            <w:pPr>
              <w:spacing w:after="120"/>
              <w:jc w:val="center"/>
              <w:rPr>
                <w:rFonts w:ascii="宋体" w:hAnsi="宋体" w:cs="宋体"/>
                <w:color w:val="auto"/>
                <w:kern w:val="1"/>
                <w:sz w:val="24"/>
                <w:highlight w:val="none"/>
                <w:lang w:val="zh-CN"/>
              </w:rPr>
            </w:pPr>
            <w:r>
              <w:rPr>
                <w:rFonts w:ascii="宋体" w:hAnsi="宋体" w:cs="宋体"/>
                <w:color w:val="auto"/>
                <w:kern w:val="1"/>
                <w:sz w:val="24"/>
                <w:highlight w:val="none"/>
                <w:lang w:val="zh-CN"/>
              </w:rPr>
              <w:t>总价</w:t>
            </w:r>
          </w:p>
        </w:tc>
        <w:tc>
          <w:tcPr>
            <w:tcW w:w="1305" w:type="dxa"/>
            <w:vMerge w:val="continue"/>
            <w:tcBorders>
              <w:left w:val="single" w:color="000000" w:sz="6" w:space="0"/>
              <w:bottom w:val="single" w:color="000000" w:sz="6" w:space="0"/>
              <w:right w:val="single" w:color="000000" w:sz="6" w:space="0"/>
            </w:tcBorders>
            <w:shd w:val="clear" w:color="auto" w:fill="C0C0C0"/>
            <w:noWrap w:val="0"/>
            <w:vAlign w:val="center"/>
          </w:tcPr>
          <w:p w14:paraId="5EC0CDBD">
            <w:pPr>
              <w:jc w:val="left"/>
              <w:rPr>
                <w:rFonts w:ascii="宋体" w:hAnsi="宋体" w:cs="宋体"/>
                <w:color w:val="auto"/>
                <w:kern w:val="1"/>
                <w:sz w:val="24"/>
                <w:highlight w:val="none"/>
                <w:lang w:val="zh-CN"/>
              </w:rPr>
            </w:pPr>
          </w:p>
        </w:tc>
      </w:tr>
      <w:tr w14:paraId="501520E3">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14E97EAF">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6D9D76F6">
            <w:pPr>
              <w:spacing w:after="120"/>
              <w:jc w:val="center"/>
              <w:rPr>
                <w:rFonts w:ascii="宋体" w:hAnsi="宋体" w:cs="宋体"/>
                <w:color w:val="auto"/>
                <w:kern w:val="1"/>
                <w:sz w:val="24"/>
                <w:highlight w:val="none"/>
                <w:lang w:val="zh-CN"/>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707BAE4B">
            <w:pPr>
              <w:spacing w:after="120"/>
              <w:jc w:val="center"/>
              <w:rPr>
                <w:rFonts w:ascii="宋体" w:hAnsi="宋体" w:cs="宋体"/>
                <w:color w:val="auto"/>
                <w:kern w:val="1"/>
                <w:sz w:val="24"/>
                <w:highlight w:val="none"/>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13729E43">
            <w:pPr>
              <w:spacing w:after="120"/>
              <w:jc w:val="center"/>
              <w:rPr>
                <w:rFonts w:ascii="宋体" w:hAnsi="宋体" w:cs="宋体"/>
                <w:color w:val="auto"/>
                <w:kern w:val="1"/>
                <w:sz w:val="24"/>
                <w:highlight w:val="none"/>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72C177B3">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52085D6F">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48795879">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79FCDB5A">
            <w:pPr>
              <w:spacing w:after="120"/>
              <w:rPr>
                <w:rFonts w:ascii="宋体" w:hAnsi="宋体" w:cs="宋体"/>
                <w:color w:val="auto"/>
                <w:kern w:val="1"/>
                <w:sz w:val="24"/>
                <w:highlight w:val="none"/>
              </w:rPr>
            </w:pPr>
          </w:p>
        </w:tc>
      </w:tr>
      <w:tr w14:paraId="3586B1E8">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437FEB65">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11BFDDEB">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2B146EF2">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48BDD182">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65C1051A">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53D65146">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33E41130">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06E7455C">
            <w:pPr>
              <w:spacing w:after="120"/>
              <w:rPr>
                <w:rFonts w:ascii="宋体" w:hAnsi="宋体" w:cs="宋体"/>
                <w:color w:val="auto"/>
                <w:kern w:val="1"/>
                <w:sz w:val="24"/>
                <w:highlight w:val="none"/>
              </w:rPr>
            </w:pPr>
          </w:p>
        </w:tc>
      </w:tr>
      <w:tr w14:paraId="16ED3B5E">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754071EA">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4E27C65A">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2DC33D7C">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052B45D0">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32375E54">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6927A0D6">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F2F4BDB">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59FA5097">
            <w:pPr>
              <w:spacing w:after="120"/>
              <w:rPr>
                <w:rFonts w:ascii="宋体" w:hAnsi="宋体" w:cs="宋体"/>
                <w:color w:val="auto"/>
                <w:kern w:val="1"/>
                <w:sz w:val="24"/>
                <w:highlight w:val="none"/>
              </w:rPr>
            </w:pPr>
          </w:p>
        </w:tc>
      </w:tr>
      <w:tr w14:paraId="299EB5D3">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1DCFCDAD">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2A7A0216">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79FD4BF0">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6DBDEC12">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6DBFF9A8">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086E1F71">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EB2DD25">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04E5FA67">
            <w:pPr>
              <w:spacing w:after="120"/>
              <w:rPr>
                <w:rFonts w:ascii="宋体" w:hAnsi="宋体" w:cs="宋体"/>
                <w:color w:val="auto"/>
                <w:kern w:val="1"/>
                <w:sz w:val="24"/>
                <w:highlight w:val="none"/>
              </w:rPr>
            </w:pPr>
          </w:p>
        </w:tc>
      </w:tr>
      <w:tr w14:paraId="454C681D">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153105C6">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7E3EE6AA">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737C28C0">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2B7C629B">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65E96040">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5E55639C">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3C798A0C">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4B71B7B1">
            <w:pPr>
              <w:spacing w:after="120"/>
              <w:rPr>
                <w:rFonts w:ascii="宋体" w:hAnsi="宋体" w:cs="宋体"/>
                <w:color w:val="auto"/>
                <w:kern w:val="1"/>
                <w:sz w:val="24"/>
                <w:highlight w:val="none"/>
              </w:rPr>
            </w:pPr>
          </w:p>
        </w:tc>
      </w:tr>
      <w:tr w14:paraId="22A5FA18">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3920456E">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40197F27">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59B55178">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72163660">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2DC5837D">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1A7B38A9">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1D98529D">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455FD2FA">
            <w:pPr>
              <w:spacing w:after="120"/>
              <w:rPr>
                <w:rFonts w:ascii="宋体" w:hAnsi="宋体" w:cs="宋体"/>
                <w:color w:val="auto"/>
                <w:kern w:val="1"/>
                <w:sz w:val="24"/>
                <w:highlight w:val="none"/>
              </w:rPr>
            </w:pPr>
          </w:p>
        </w:tc>
      </w:tr>
      <w:tr w14:paraId="7F6E09C7">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01114803">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65B027A0">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459F1373">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36472391">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37824ED1">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52BAE463">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13696DB">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16686E55">
            <w:pPr>
              <w:spacing w:after="120"/>
              <w:rPr>
                <w:rFonts w:ascii="宋体" w:hAnsi="宋体" w:cs="宋体"/>
                <w:color w:val="auto"/>
                <w:kern w:val="1"/>
                <w:sz w:val="24"/>
                <w:highlight w:val="none"/>
              </w:rPr>
            </w:pPr>
          </w:p>
        </w:tc>
      </w:tr>
      <w:tr w14:paraId="29300B9B">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76128A10">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7F749A83">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14B3AAD6">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2DFD5EBD">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0D17EFC4">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3C4CEC1D">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BA83311">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5CA1AFA3">
            <w:pPr>
              <w:spacing w:after="120"/>
              <w:rPr>
                <w:rFonts w:ascii="宋体" w:hAnsi="宋体" w:cs="宋体"/>
                <w:color w:val="auto"/>
                <w:kern w:val="1"/>
                <w:sz w:val="24"/>
                <w:highlight w:val="none"/>
              </w:rPr>
            </w:pPr>
          </w:p>
        </w:tc>
      </w:tr>
      <w:tr w14:paraId="7A8ACF01">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5143D423">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6C53A9CD">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2760A787">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666CE0E5">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6845198A">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248F7662">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33FA7656">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3E71AFFD">
            <w:pPr>
              <w:spacing w:after="120"/>
              <w:rPr>
                <w:rFonts w:ascii="宋体" w:hAnsi="宋体" w:cs="宋体"/>
                <w:color w:val="auto"/>
                <w:kern w:val="1"/>
                <w:sz w:val="24"/>
                <w:highlight w:val="none"/>
              </w:rPr>
            </w:pPr>
          </w:p>
        </w:tc>
      </w:tr>
      <w:tr w14:paraId="59A5D463">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43DAB1B8">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3783E6FF">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3F30E872">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02643B2C">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7B6362A5">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01F6C8A6">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7DA19CE">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68454965">
            <w:pPr>
              <w:spacing w:after="120"/>
              <w:rPr>
                <w:rFonts w:ascii="宋体" w:hAnsi="宋体" w:cs="宋体"/>
                <w:color w:val="auto"/>
                <w:kern w:val="1"/>
                <w:sz w:val="24"/>
                <w:highlight w:val="none"/>
              </w:rPr>
            </w:pPr>
          </w:p>
        </w:tc>
      </w:tr>
      <w:tr w14:paraId="07815CAE">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602D186E">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1678C1DF">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4C37720C">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0858C2C8">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0F1AF80D">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41BF10A0">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BCDAF4F">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0E290AF3">
            <w:pPr>
              <w:spacing w:after="120"/>
              <w:rPr>
                <w:rFonts w:ascii="宋体" w:hAnsi="宋体" w:cs="宋体"/>
                <w:color w:val="auto"/>
                <w:kern w:val="1"/>
                <w:sz w:val="24"/>
                <w:highlight w:val="none"/>
              </w:rPr>
            </w:pPr>
          </w:p>
        </w:tc>
      </w:tr>
      <w:tr w14:paraId="07A25AE8">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30EE6A9F">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0C8346D1">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41AA41F1">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32067C68">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23648FBA">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3EBED5D0">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16C704A5">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50E9CF5D">
            <w:pPr>
              <w:spacing w:after="120"/>
              <w:rPr>
                <w:rFonts w:ascii="宋体" w:hAnsi="宋体" w:cs="宋体"/>
                <w:color w:val="auto"/>
                <w:kern w:val="1"/>
                <w:sz w:val="24"/>
                <w:highlight w:val="none"/>
              </w:rPr>
            </w:pPr>
          </w:p>
        </w:tc>
      </w:tr>
      <w:tr w14:paraId="16EE5562">
        <w:tblPrEx>
          <w:tblCellMar>
            <w:top w:w="0" w:type="dxa"/>
            <w:left w:w="108" w:type="dxa"/>
            <w:bottom w:w="0" w:type="dxa"/>
            <w:right w:w="108" w:type="dxa"/>
          </w:tblCellMar>
        </w:tblPrEx>
        <w:trPr>
          <w:trHeight w:val="510"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6F0230F1">
            <w:pPr>
              <w:spacing w:after="120"/>
              <w:rPr>
                <w:rFonts w:ascii="宋体" w:hAnsi="宋体" w:cs="宋体"/>
                <w:color w:val="auto"/>
                <w:kern w:val="1"/>
                <w:sz w:val="24"/>
                <w:highlight w:val="none"/>
              </w:rPr>
            </w:pPr>
          </w:p>
        </w:tc>
        <w:tc>
          <w:tcPr>
            <w:tcW w:w="1482" w:type="dxa"/>
            <w:tcBorders>
              <w:top w:val="single" w:color="000000" w:sz="6" w:space="0"/>
              <w:left w:val="single" w:color="000000" w:sz="6" w:space="0"/>
              <w:bottom w:val="single" w:color="000000" w:sz="6" w:space="0"/>
              <w:right w:val="single" w:color="000000" w:sz="6" w:space="0"/>
            </w:tcBorders>
            <w:noWrap w:val="0"/>
            <w:vAlign w:val="top"/>
          </w:tcPr>
          <w:p w14:paraId="38A8217C">
            <w:pPr>
              <w:spacing w:after="120"/>
              <w:rPr>
                <w:rFonts w:ascii="宋体" w:hAnsi="宋体" w:cs="宋体"/>
                <w:color w:val="auto"/>
                <w:kern w:val="1"/>
                <w:sz w:val="24"/>
                <w:highlight w:val="none"/>
              </w:rPr>
            </w:pPr>
          </w:p>
        </w:tc>
        <w:tc>
          <w:tcPr>
            <w:tcW w:w="1332" w:type="dxa"/>
            <w:tcBorders>
              <w:top w:val="single" w:color="000000" w:sz="6" w:space="0"/>
              <w:left w:val="single" w:color="000000" w:sz="6" w:space="0"/>
              <w:bottom w:val="single" w:color="000000" w:sz="6" w:space="0"/>
              <w:right w:val="single" w:color="000000" w:sz="6" w:space="0"/>
            </w:tcBorders>
            <w:noWrap w:val="0"/>
            <w:vAlign w:val="top"/>
          </w:tcPr>
          <w:p w14:paraId="3D6390C8">
            <w:pPr>
              <w:spacing w:after="120"/>
              <w:rPr>
                <w:rFonts w:ascii="宋体" w:hAnsi="宋体" w:cs="宋体"/>
                <w:color w:val="auto"/>
                <w:kern w:val="1"/>
                <w:sz w:val="24"/>
                <w:highlight w:val="none"/>
              </w:rPr>
            </w:pPr>
          </w:p>
        </w:tc>
        <w:tc>
          <w:tcPr>
            <w:tcW w:w="708" w:type="dxa"/>
            <w:tcBorders>
              <w:top w:val="single" w:color="000000" w:sz="6" w:space="0"/>
              <w:left w:val="single" w:color="000000" w:sz="6" w:space="0"/>
              <w:bottom w:val="single" w:color="000000" w:sz="6" w:space="0"/>
              <w:right w:val="single" w:color="000000" w:sz="6" w:space="0"/>
            </w:tcBorders>
            <w:noWrap w:val="0"/>
            <w:vAlign w:val="top"/>
          </w:tcPr>
          <w:p w14:paraId="67E0A858">
            <w:pPr>
              <w:spacing w:after="120"/>
              <w:rPr>
                <w:rFonts w:ascii="宋体" w:hAnsi="宋体" w:cs="宋体"/>
                <w:color w:val="auto"/>
                <w:kern w:val="1"/>
                <w:sz w:val="24"/>
                <w:highlight w:val="none"/>
              </w:rPr>
            </w:pPr>
          </w:p>
        </w:tc>
        <w:tc>
          <w:tcPr>
            <w:tcW w:w="709" w:type="dxa"/>
            <w:tcBorders>
              <w:top w:val="single" w:color="000000" w:sz="6" w:space="0"/>
              <w:left w:val="single" w:color="000000" w:sz="6" w:space="0"/>
              <w:bottom w:val="single" w:color="000000" w:sz="6" w:space="0"/>
              <w:right w:val="single" w:color="000000" w:sz="6" w:space="0"/>
            </w:tcBorders>
            <w:noWrap w:val="0"/>
            <w:vAlign w:val="top"/>
          </w:tcPr>
          <w:p w14:paraId="65945B32">
            <w:pPr>
              <w:spacing w:after="120"/>
              <w:rPr>
                <w:rFonts w:ascii="宋体" w:hAnsi="宋体" w:cs="宋体"/>
                <w:color w:val="auto"/>
                <w:kern w:val="1"/>
                <w:sz w:val="24"/>
                <w:highlight w:val="none"/>
              </w:rPr>
            </w:pPr>
          </w:p>
        </w:tc>
        <w:tc>
          <w:tcPr>
            <w:tcW w:w="1230" w:type="dxa"/>
            <w:tcBorders>
              <w:top w:val="single" w:color="000000" w:sz="6" w:space="0"/>
              <w:left w:val="single" w:color="000000" w:sz="6" w:space="0"/>
              <w:bottom w:val="single" w:color="000000" w:sz="6" w:space="0"/>
              <w:right w:val="single" w:color="000000" w:sz="6" w:space="0"/>
            </w:tcBorders>
            <w:noWrap w:val="0"/>
            <w:vAlign w:val="top"/>
          </w:tcPr>
          <w:p w14:paraId="0F1D2065">
            <w:pPr>
              <w:spacing w:after="120"/>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D4881D7">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0D31AAFF">
            <w:pPr>
              <w:spacing w:after="120"/>
              <w:rPr>
                <w:rFonts w:ascii="宋体" w:hAnsi="宋体" w:cs="宋体"/>
                <w:color w:val="auto"/>
                <w:kern w:val="1"/>
                <w:sz w:val="24"/>
                <w:highlight w:val="none"/>
              </w:rPr>
            </w:pPr>
          </w:p>
        </w:tc>
      </w:tr>
      <w:tr w14:paraId="1EFE6BBA">
        <w:tblPrEx>
          <w:tblCellMar>
            <w:top w:w="0" w:type="dxa"/>
            <w:left w:w="108" w:type="dxa"/>
            <w:bottom w:w="0" w:type="dxa"/>
            <w:right w:w="108" w:type="dxa"/>
          </w:tblCellMar>
        </w:tblPrEx>
        <w:trPr>
          <w:trHeight w:val="746" w:hRule="atLeast"/>
        </w:trPr>
        <w:tc>
          <w:tcPr>
            <w:tcW w:w="755" w:type="dxa"/>
            <w:tcBorders>
              <w:top w:val="single" w:color="000000" w:sz="6" w:space="0"/>
              <w:left w:val="single" w:color="000000" w:sz="6" w:space="0"/>
              <w:bottom w:val="single" w:color="000000" w:sz="6" w:space="0"/>
              <w:right w:val="single" w:color="000000" w:sz="6" w:space="0"/>
            </w:tcBorders>
            <w:noWrap w:val="0"/>
            <w:vAlign w:val="top"/>
          </w:tcPr>
          <w:p w14:paraId="67293D99">
            <w:pPr>
              <w:spacing w:after="120"/>
              <w:rPr>
                <w:rFonts w:ascii="宋体" w:hAnsi="宋体" w:cs="宋体"/>
                <w:color w:val="auto"/>
                <w:kern w:val="1"/>
                <w:sz w:val="24"/>
                <w:highlight w:val="none"/>
              </w:rPr>
            </w:pPr>
          </w:p>
        </w:tc>
        <w:tc>
          <w:tcPr>
            <w:tcW w:w="5461" w:type="dxa"/>
            <w:gridSpan w:val="5"/>
            <w:tcBorders>
              <w:top w:val="single" w:color="000000" w:sz="6" w:space="0"/>
              <w:left w:val="single" w:color="000000" w:sz="6" w:space="0"/>
              <w:bottom w:val="single" w:color="000000" w:sz="6" w:space="0"/>
              <w:right w:val="single" w:color="000000" w:sz="6" w:space="0"/>
            </w:tcBorders>
            <w:noWrap w:val="0"/>
            <w:vAlign w:val="center"/>
          </w:tcPr>
          <w:p w14:paraId="2D5D824E">
            <w:pPr>
              <w:spacing w:after="120"/>
              <w:jc w:val="center"/>
              <w:rPr>
                <w:rFonts w:ascii="宋体" w:hAnsi="宋体" w:cs="宋体"/>
                <w:color w:val="auto"/>
                <w:kern w:val="1"/>
                <w:sz w:val="24"/>
                <w:highlight w:val="none"/>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B160A65">
            <w:pPr>
              <w:spacing w:after="120"/>
              <w:rPr>
                <w:rFonts w:ascii="宋体" w:hAnsi="宋体" w:cs="宋体"/>
                <w:color w:val="auto"/>
                <w:kern w:val="1"/>
                <w:sz w:val="24"/>
                <w:highlight w:val="none"/>
              </w:rPr>
            </w:pPr>
          </w:p>
        </w:tc>
        <w:tc>
          <w:tcPr>
            <w:tcW w:w="1305" w:type="dxa"/>
            <w:tcBorders>
              <w:top w:val="single" w:color="000000" w:sz="6" w:space="0"/>
              <w:left w:val="single" w:color="000000" w:sz="6" w:space="0"/>
              <w:bottom w:val="single" w:color="000000" w:sz="6" w:space="0"/>
              <w:right w:val="single" w:color="000000" w:sz="6" w:space="0"/>
            </w:tcBorders>
            <w:noWrap w:val="0"/>
            <w:vAlign w:val="top"/>
          </w:tcPr>
          <w:p w14:paraId="3E9D3781">
            <w:pPr>
              <w:spacing w:after="120"/>
              <w:rPr>
                <w:rFonts w:ascii="宋体" w:hAnsi="宋体" w:cs="宋体"/>
                <w:color w:val="auto"/>
                <w:kern w:val="1"/>
                <w:sz w:val="24"/>
                <w:highlight w:val="none"/>
              </w:rPr>
            </w:pPr>
          </w:p>
        </w:tc>
      </w:tr>
    </w:tbl>
    <w:p w14:paraId="6E1BCC7B">
      <w:pPr>
        <w:spacing w:after="120"/>
        <w:rPr>
          <w:rFonts w:ascii="宋体" w:hAnsi="宋体" w:cs="宋体"/>
          <w:color w:val="auto"/>
          <w:kern w:val="1"/>
          <w:sz w:val="24"/>
          <w:highlight w:val="none"/>
          <w:lang w:val="zh-CN"/>
        </w:rPr>
      </w:pPr>
    </w:p>
    <w:p w14:paraId="55F59FB7">
      <w:pPr>
        <w:spacing w:after="120"/>
        <w:rPr>
          <w:rFonts w:ascii="宋体" w:hAnsi="宋体" w:cs="宋体"/>
          <w:color w:val="auto"/>
          <w:kern w:val="1"/>
          <w:sz w:val="24"/>
          <w:highlight w:val="none"/>
        </w:rPr>
      </w:pPr>
      <w:r>
        <w:rPr>
          <w:rFonts w:ascii="宋体" w:hAnsi="宋体" w:cs="宋体"/>
          <w:color w:val="auto"/>
          <w:kern w:val="1"/>
          <w:sz w:val="24"/>
          <w:highlight w:val="none"/>
          <w:lang w:val="zh-CN"/>
        </w:rPr>
        <w:t>本表根据各子系统分别填写，表格可自行扩展。</w:t>
      </w:r>
    </w:p>
    <w:p w14:paraId="6143883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szCs w:val="24"/>
          <w:highlight w:val="none"/>
          <w:lang w:val="en-US" w:eastAsia="zh-CN" w:bidi="ar-SA"/>
        </w:rPr>
      </w:pPr>
    </w:p>
    <w:p w14:paraId="268F04D0">
      <w:pPr>
        <w:keepNext w:val="0"/>
        <w:keepLines w:val="0"/>
        <w:pageBreakBefore w:val="0"/>
        <w:kinsoku/>
        <w:wordWrap/>
        <w:overflowPunct/>
        <w:topLinePunct w:val="0"/>
        <w:autoSpaceDE/>
        <w:autoSpaceDN/>
        <w:bidi w:val="0"/>
        <w:adjustRightInd w:val="0"/>
        <w:spacing w:line="360" w:lineRule="auto"/>
        <w:ind w:firstLine="5040" w:firstLineChars="21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highlight w:val="none"/>
        </w:rPr>
        <w:t>）：</w:t>
      </w:r>
    </w:p>
    <w:p w14:paraId="752EE6D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p>
    <w:p w14:paraId="06A5448E">
      <w:pPr>
        <w:keepNext w:val="0"/>
        <w:keepLines w:val="0"/>
        <w:pageBreakBefore w:val="0"/>
        <w:kinsoku/>
        <w:wordWrap/>
        <w:overflowPunct/>
        <w:topLinePunct w:val="0"/>
        <w:autoSpaceDE/>
        <w:autoSpaceDN/>
        <w:bidi w:val="0"/>
        <w:adjustRightInd w:val="0"/>
        <w:spacing w:line="360" w:lineRule="auto"/>
        <w:ind w:firstLine="5040" w:firstLineChars="2100"/>
        <w:textAlignment w:val="auto"/>
        <w:rPr>
          <w:rFonts w:ascii="宋体" w:hAnsi="宋体" w:cs="宋体"/>
          <w:color w:val="auto"/>
          <w:szCs w:val="21"/>
          <w:highlight w:val="none"/>
        </w:rPr>
      </w:pPr>
      <w:r>
        <w:rPr>
          <w:rFonts w:hint="eastAsia" w:ascii="宋体" w:hAnsi="宋体" w:eastAsia="宋体" w:cs="宋体"/>
          <w:color w:val="auto"/>
          <w:sz w:val="24"/>
          <w:highlight w:val="none"/>
        </w:rPr>
        <w:t>法定代表人（签字或盖章）：</w:t>
      </w:r>
      <w:r>
        <w:rPr>
          <w:rFonts w:hint="eastAsia" w:ascii="宋体" w:hAnsi="宋体" w:cs="宋体"/>
          <w:color w:val="auto"/>
          <w:szCs w:val="21"/>
          <w:highlight w:val="none"/>
        </w:rPr>
        <w:t xml:space="preserve">            </w:t>
      </w:r>
    </w:p>
    <w:p w14:paraId="5D1045F0">
      <w:pPr>
        <w:spacing w:line="6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C89B6DD">
      <w:pPr>
        <w:snapToGrid w:val="0"/>
        <w:spacing w:line="360" w:lineRule="auto"/>
        <w:jc w:val="left"/>
        <w:rPr>
          <w:rFonts w:hint="eastAsia" w:ascii="宋体" w:hAnsi="宋体"/>
          <w:b/>
          <w:color w:val="auto"/>
          <w:spacing w:val="6"/>
          <w:sz w:val="32"/>
          <w:szCs w:val="32"/>
          <w:highlight w:val="none"/>
          <w:lang w:val="en-US" w:eastAsia="zh-CN"/>
        </w:rPr>
      </w:pPr>
    </w:p>
    <w:p w14:paraId="6B4DF5E4">
      <w:pPr>
        <w:snapToGrid w:val="0"/>
        <w:spacing w:line="360" w:lineRule="auto"/>
        <w:jc w:val="left"/>
        <w:rPr>
          <w:rFonts w:hint="eastAsia" w:ascii="宋体" w:hAnsi="宋体"/>
          <w:b/>
          <w:color w:val="auto"/>
          <w:spacing w:val="6"/>
          <w:sz w:val="32"/>
          <w:szCs w:val="32"/>
          <w:highlight w:val="none"/>
          <w:lang w:val="en-US" w:eastAsia="zh-CN"/>
        </w:rPr>
      </w:pPr>
    </w:p>
    <w:p w14:paraId="170B1D29">
      <w:pPr>
        <w:snapToGrid w:val="0"/>
        <w:spacing w:line="360" w:lineRule="auto"/>
        <w:jc w:val="left"/>
        <w:rPr>
          <w:rFonts w:ascii="宋体" w:hAnsi="宋体"/>
          <w:b/>
          <w:color w:val="auto"/>
          <w:spacing w:val="6"/>
          <w:sz w:val="32"/>
          <w:szCs w:val="32"/>
          <w:highlight w:val="none"/>
        </w:rPr>
      </w:pPr>
      <w:r>
        <w:rPr>
          <w:rFonts w:hint="eastAsia" w:ascii="宋体" w:hAnsi="宋体"/>
          <w:b/>
          <w:color w:val="auto"/>
          <w:spacing w:val="6"/>
          <w:sz w:val="32"/>
          <w:szCs w:val="32"/>
          <w:highlight w:val="none"/>
          <w:lang w:val="en-US" w:eastAsia="zh-CN"/>
        </w:rPr>
        <w:t>三、</w:t>
      </w:r>
      <w:r>
        <w:rPr>
          <w:rFonts w:hint="eastAsia" w:ascii="宋体" w:hAnsi="宋体"/>
          <w:b/>
          <w:color w:val="auto"/>
          <w:spacing w:val="6"/>
          <w:sz w:val="32"/>
          <w:szCs w:val="32"/>
          <w:highlight w:val="none"/>
        </w:rPr>
        <w:t>投标人针对报价需要说明的其他文件和说明（格式自拟）</w:t>
      </w:r>
    </w:p>
    <w:p w14:paraId="4052ED70">
      <w:pPr>
        <w:spacing w:line="588" w:lineRule="exact"/>
        <w:rPr>
          <w:rFonts w:ascii="宋体"/>
          <w:color w:val="auto"/>
          <w:szCs w:val="21"/>
          <w:highlight w:val="none"/>
        </w:rPr>
      </w:pPr>
    </w:p>
    <w:p w14:paraId="61178829">
      <w:pPr>
        <w:rPr>
          <w:color w:val="auto"/>
          <w:highlight w:val="none"/>
        </w:rPr>
      </w:pPr>
    </w:p>
    <w:p w14:paraId="7843EDFB">
      <w:pPr>
        <w:pStyle w:val="2"/>
        <w:rPr>
          <w:color w:val="auto"/>
          <w:highlight w:val="none"/>
        </w:rPr>
      </w:pPr>
    </w:p>
    <w:p w14:paraId="0DDA1111">
      <w:pPr>
        <w:rPr>
          <w:color w:val="auto"/>
          <w:highlight w:val="none"/>
        </w:rPr>
      </w:pPr>
    </w:p>
    <w:p w14:paraId="4F5CDA1B">
      <w:pPr>
        <w:pStyle w:val="2"/>
        <w:rPr>
          <w:color w:val="auto"/>
          <w:highlight w:val="none"/>
        </w:rPr>
      </w:pPr>
    </w:p>
    <w:p w14:paraId="6EAB12D6">
      <w:pPr>
        <w:rPr>
          <w:color w:val="auto"/>
          <w:highlight w:val="none"/>
        </w:rPr>
      </w:pPr>
    </w:p>
    <w:p w14:paraId="0EA42DA9">
      <w:pPr>
        <w:pStyle w:val="2"/>
        <w:rPr>
          <w:color w:val="auto"/>
          <w:highlight w:val="none"/>
        </w:rPr>
      </w:pPr>
    </w:p>
    <w:p w14:paraId="1CCAAF8D">
      <w:pPr>
        <w:rPr>
          <w:color w:val="auto"/>
          <w:highlight w:val="none"/>
        </w:rPr>
      </w:pPr>
    </w:p>
    <w:p w14:paraId="603DD046">
      <w:pPr>
        <w:pStyle w:val="2"/>
        <w:rPr>
          <w:color w:val="auto"/>
          <w:highlight w:val="none"/>
        </w:rPr>
      </w:pPr>
    </w:p>
    <w:p w14:paraId="4CF316CA">
      <w:pPr>
        <w:rPr>
          <w:color w:val="auto"/>
          <w:highlight w:val="none"/>
        </w:rPr>
      </w:pPr>
    </w:p>
    <w:p w14:paraId="1A091ED6">
      <w:pPr>
        <w:pStyle w:val="2"/>
        <w:rPr>
          <w:color w:val="auto"/>
          <w:highlight w:val="none"/>
        </w:rPr>
      </w:pPr>
    </w:p>
    <w:p w14:paraId="5C9881C6">
      <w:pPr>
        <w:rPr>
          <w:color w:val="auto"/>
          <w:highlight w:val="none"/>
        </w:rPr>
      </w:pPr>
    </w:p>
    <w:p w14:paraId="2ED63856">
      <w:pPr>
        <w:pStyle w:val="2"/>
        <w:rPr>
          <w:color w:val="auto"/>
          <w:highlight w:val="none"/>
        </w:rPr>
      </w:pPr>
    </w:p>
    <w:p w14:paraId="207EF5D1">
      <w:pPr>
        <w:rPr>
          <w:color w:val="auto"/>
          <w:highlight w:val="none"/>
        </w:rPr>
      </w:pPr>
    </w:p>
    <w:p w14:paraId="2208BCD0">
      <w:pPr>
        <w:pStyle w:val="2"/>
        <w:rPr>
          <w:color w:val="auto"/>
          <w:highlight w:val="none"/>
        </w:rPr>
      </w:pPr>
    </w:p>
    <w:p w14:paraId="00C1D293">
      <w:pPr>
        <w:rPr>
          <w:color w:val="auto"/>
          <w:highlight w:val="none"/>
        </w:rPr>
      </w:pPr>
    </w:p>
    <w:p w14:paraId="0D9970F4">
      <w:pPr>
        <w:rPr>
          <w:color w:val="auto"/>
          <w:highlight w:val="none"/>
        </w:rPr>
      </w:pPr>
    </w:p>
    <w:p w14:paraId="175AA963">
      <w:pPr>
        <w:rPr>
          <w:color w:val="auto"/>
          <w:highlight w:val="none"/>
        </w:rPr>
      </w:pPr>
    </w:p>
    <w:p w14:paraId="6E0FACBB">
      <w:pPr>
        <w:rPr>
          <w:color w:val="auto"/>
          <w:highlight w:val="none"/>
        </w:rPr>
      </w:pPr>
    </w:p>
    <w:p w14:paraId="3FC66570">
      <w:pPr>
        <w:rPr>
          <w:color w:val="auto"/>
          <w:highlight w:val="none"/>
        </w:rPr>
      </w:pPr>
    </w:p>
    <w:p w14:paraId="78C2419B">
      <w:pPr>
        <w:rPr>
          <w:color w:val="auto"/>
          <w:highlight w:val="none"/>
        </w:rPr>
      </w:pPr>
    </w:p>
    <w:p w14:paraId="12A7938F">
      <w:pPr>
        <w:rPr>
          <w:color w:val="auto"/>
          <w:highlight w:val="none"/>
        </w:rPr>
      </w:pPr>
    </w:p>
    <w:p w14:paraId="0C1F1D46">
      <w:pPr>
        <w:rPr>
          <w:color w:val="auto"/>
          <w:highlight w:val="none"/>
        </w:rPr>
      </w:pPr>
    </w:p>
    <w:p w14:paraId="152F8795">
      <w:pPr>
        <w:rPr>
          <w:color w:val="auto"/>
          <w:highlight w:val="none"/>
        </w:rPr>
      </w:pPr>
    </w:p>
    <w:p w14:paraId="419F06E0">
      <w:pPr>
        <w:rPr>
          <w:color w:val="auto"/>
          <w:highlight w:val="none"/>
        </w:rPr>
      </w:pPr>
    </w:p>
    <w:p w14:paraId="5A6AAE08">
      <w:pPr>
        <w:rPr>
          <w:color w:val="auto"/>
          <w:highlight w:val="none"/>
        </w:rPr>
      </w:pPr>
    </w:p>
    <w:p w14:paraId="39B98B32">
      <w:pPr>
        <w:rPr>
          <w:color w:val="auto"/>
          <w:highlight w:val="none"/>
        </w:rPr>
      </w:pPr>
    </w:p>
    <w:p w14:paraId="425B9C85">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ascii="黑体" w:hAnsi="黑体" w:eastAsia="黑体" w:cs="黑体"/>
          <w:color w:val="auto"/>
          <w:sz w:val="36"/>
          <w:szCs w:val="36"/>
          <w:highlight w:val="none"/>
        </w:rPr>
      </w:pPr>
    </w:p>
    <w:p w14:paraId="62345077">
      <w:pPr>
        <w:pStyle w:val="14"/>
        <w:keepNext w:val="0"/>
        <w:keepLines w:val="0"/>
        <w:pageBreakBefore w:val="0"/>
        <w:widowControl w:val="0"/>
        <w:kinsoku/>
        <w:wordWrap/>
        <w:overflowPunct/>
        <w:topLinePunct w:val="0"/>
        <w:autoSpaceDE/>
        <w:autoSpaceDN/>
        <w:bidi w:val="0"/>
        <w:adjustRightInd/>
        <w:snapToGrid/>
        <w:spacing w:line="440" w:lineRule="exact"/>
        <w:ind w:firstLine="360"/>
        <w:jc w:val="center"/>
        <w:textAlignment w:val="auto"/>
        <w:rPr>
          <w:rFonts w:ascii="黑体" w:hAnsi="黑体" w:eastAsia="黑体" w:cs="黑体"/>
          <w:color w:val="auto"/>
          <w:sz w:val="36"/>
          <w:szCs w:val="36"/>
          <w:highlight w:val="none"/>
        </w:rPr>
      </w:pPr>
      <w:r>
        <w:rPr>
          <w:rFonts w:ascii="黑体" w:hAnsi="黑体" w:eastAsia="黑体" w:cs="黑体"/>
          <w:color w:val="auto"/>
          <w:sz w:val="36"/>
          <w:szCs w:val="36"/>
          <w:highlight w:val="none"/>
        </w:rPr>
        <w:t>采购活动现场确认声明书</w:t>
      </w:r>
    </w:p>
    <w:p w14:paraId="6972938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highlight w:val="none"/>
        </w:rPr>
      </w:pPr>
      <w:r>
        <w:rPr>
          <w:rFonts w:hint="eastAsia"/>
          <w:color w:val="auto"/>
          <w:highlight w:val="none"/>
        </w:rPr>
        <w:t>（此声明书投标文件中不用做，</w:t>
      </w:r>
      <w:r>
        <w:rPr>
          <w:color w:val="auto"/>
          <w:highlight w:val="none"/>
        </w:rPr>
        <w:t>开标后供应商通过邮件形式将经授权代表签署的《采购活动现场确认声明书》扫描件发至代理机构经办人邮箱</w:t>
      </w:r>
      <w:r>
        <w:rPr>
          <w:color w:val="auto"/>
          <w:highlight w:val="none"/>
        </w:rPr>
        <w:fldChar w:fldCharType="begin"/>
      </w:r>
      <w:r>
        <w:rPr>
          <w:color w:val="auto"/>
          <w:highlight w:val="none"/>
        </w:rPr>
        <w:instrText xml:space="preserve"> HYPERLINK "mailto:360745117@qq.com" \h </w:instrText>
      </w:r>
      <w:r>
        <w:rPr>
          <w:color w:val="auto"/>
          <w:highlight w:val="none"/>
        </w:rPr>
        <w:fldChar w:fldCharType="separate"/>
      </w:r>
      <w:r>
        <w:rPr>
          <w:rFonts w:hint="eastAsia"/>
          <w:color w:val="auto"/>
          <w:highlight w:val="none"/>
        </w:rPr>
        <w:t>1039652341</w:t>
      </w:r>
      <w:r>
        <w:rPr>
          <w:color w:val="auto"/>
          <w:highlight w:val="none"/>
        </w:rPr>
        <w:t>@qq.com</w:t>
      </w:r>
      <w:r>
        <w:rPr>
          <w:color w:val="auto"/>
          <w:highlight w:val="none"/>
        </w:rPr>
        <w:fldChar w:fldCharType="end"/>
      </w:r>
      <w:r>
        <w:rPr>
          <w:color w:val="auto"/>
          <w:highlight w:val="none"/>
        </w:rPr>
        <w:t>，联系人：任燕，电话：0575-</w:t>
      </w:r>
      <w:r>
        <w:rPr>
          <w:rFonts w:hint="eastAsia"/>
          <w:color w:val="auto"/>
          <w:highlight w:val="none"/>
        </w:rPr>
        <w:t>83338198</w:t>
      </w:r>
      <w:r>
        <w:rPr>
          <w:color w:val="auto"/>
          <w:highlight w:val="none"/>
        </w:rPr>
        <w:t>）</w:t>
      </w:r>
    </w:p>
    <w:p w14:paraId="2B0562AF">
      <w:pPr>
        <w:pStyle w:val="49"/>
        <w:keepNext w:val="0"/>
        <w:keepLines w:val="0"/>
        <w:pageBreakBefore w:val="0"/>
        <w:kinsoku/>
        <w:wordWrap/>
        <w:overflowPunct/>
        <w:topLinePunct w:val="0"/>
        <w:autoSpaceDE/>
        <w:autoSpaceDN/>
        <w:bidi w:val="0"/>
        <w:adjustRightInd/>
        <w:snapToGrid w:val="0"/>
        <w:spacing w:beforeLines="100" w:line="460" w:lineRule="exact"/>
        <w:textAlignment w:val="auto"/>
        <w:rPr>
          <w:rFonts w:hAnsi="宋体" w:cs="宋体"/>
          <w:b/>
          <w:color w:val="auto"/>
          <w:szCs w:val="24"/>
          <w:highlight w:val="none"/>
        </w:rPr>
      </w:pPr>
      <w:r>
        <w:rPr>
          <w:rFonts w:hAnsi="宋体" w:cs="宋体"/>
          <w:color w:val="auto"/>
          <w:kern w:val="0"/>
          <w:szCs w:val="24"/>
          <w:highlight w:val="none"/>
        </w:rPr>
        <w:t>（采</w:t>
      </w:r>
      <w:r>
        <w:rPr>
          <w:rFonts w:hint="eastAsia" w:hAnsi="宋体" w:cs="宋体"/>
          <w:color w:val="auto"/>
          <w:kern w:val="0"/>
          <w:szCs w:val="24"/>
          <w:highlight w:val="none"/>
          <w:lang w:val="en-US" w:eastAsia="zh-CN"/>
        </w:rPr>
        <w:t>购代理</w:t>
      </w:r>
      <w:r>
        <w:rPr>
          <w:rFonts w:hAnsi="宋体" w:cs="宋体"/>
          <w:color w:val="auto"/>
          <w:kern w:val="0"/>
          <w:szCs w:val="24"/>
          <w:highlight w:val="none"/>
        </w:rPr>
        <w:t>机构名称）：</w:t>
      </w:r>
    </w:p>
    <w:p w14:paraId="2741CA4F">
      <w:pPr>
        <w:keepNext w:val="0"/>
        <w:keepLines w:val="0"/>
        <w:pageBreakBefore w:val="0"/>
        <w:tabs>
          <w:tab w:val="left" w:pos="9640"/>
        </w:tabs>
        <w:kinsoku/>
        <w:wordWrap/>
        <w:overflowPunct/>
        <w:topLinePunct w:val="0"/>
        <w:autoSpaceDE/>
        <w:autoSpaceDN/>
        <w:bidi w:val="0"/>
        <w:adjustRightInd/>
        <w:spacing w:line="460" w:lineRule="exact"/>
        <w:ind w:firstLine="504"/>
        <w:jc w:val="left"/>
        <w:textAlignment w:val="auto"/>
        <w:rPr>
          <w:rFonts w:ascii="宋体" w:hAnsi="宋体" w:cs="宋体"/>
          <w:color w:val="auto"/>
          <w:spacing w:val="6"/>
          <w:highlight w:val="none"/>
        </w:rPr>
      </w:pPr>
      <w:r>
        <w:rPr>
          <w:rFonts w:hint="eastAsia" w:ascii="宋体" w:hAnsi="宋体" w:cs="宋体"/>
          <w:color w:val="auto"/>
          <w:spacing w:val="6"/>
          <w:highlight w:val="none"/>
        </w:rPr>
        <w:t xml:space="preserve"> 本人（授权代表姓名）经由（单位</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（法定代表人姓名）合法授权参加</w:t>
      </w:r>
      <w:r>
        <w:rPr>
          <w:rFonts w:hint="eastAsia" w:ascii="宋体" w:hAnsi="宋体" w:cs="宋体"/>
          <w:color w:val="auto"/>
          <w:spacing w:val="6"/>
          <w:highlight w:val="none"/>
          <w:u w:val="single"/>
          <w:lang w:val="en-US" w:eastAsia="zh-CN"/>
        </w:rPr>
        <w:t xml:space="preserve">            </w:t>
      </w:r>
      <w:r>
        <w:rPr>
          <w:rFonts w:hint="eastAsia" w:cs="宋体"/>
          <w:color w:val="auto"/>
          <w:kern w:val="0"/>
          <w:highlight w:val="none"/>
          <w:u w:val="single"/>
        </w:rPr>
        <w:t>项目</w:t>
      </w:r>
      <w:r>
        <w:rPr>
          <w:rFonts w:hint="eastAsia" w:ascii="宋体" w:hAnsi="宋体" w:cs="宋体"/>
          <w:color w:val="auto"/>
          <w:spacing w:val="6"/>
          <w:highlight w:val="none"/>
        </w:rPr>
        <w:t>（</w:t>
      </w:r>
      <w:r>
        <w:rPr>
          <w:rFonts w:hint="eastAsia" w:ascii="宋体" w:hAnsi="宋体" w:cs="宋体"/>
          <w:color w:val="auto"/>
          <w:spacing w:val="6"/>
          <w:highlight w:val="none"/>
          <w:lang w:val="en-US" w:eastAsia="zh-CN"/>
        </w:rPr>
        <w:t>项目</w:t>
      </w:r>
      <w:r>
        <w:rPr>
          <w:rFonts w:hint="eastAsia" w:ascii="宋体" w:hAnsi="宋体" w:cs="宋体"/>
          <w:color w:val="auto"/>
          <w:spacing w:val="6"/>
          <w:highlight w:val="none"/>
        </w:rPr>
        <w:t>编号：</w:t>
      </w:r>
      <w:r>
        <w:rPr>
          <w:rFonts w:hint="eastAsia" w:ascii="宋体" w:hAnsi="宋体" w:cs="宋体"/>
          <w:color w:val="auto"/>
          <w:spacing w:val="6"/>
          <w:highlight w:val="none"/>
          <w:lang w:val="en-US" w:eastAsia="zh-CN"/>
        </w:rPr>
        <w:t xml:space="preserve">         </w:t>
      </w:r>
      <w:r>
        <w:rPr>
          <w:rFonts w:hint="eastAsia" w:ascii="宋体" w:hAnsi="宋体" w:cs="宋体"/>
          <w:color w:val="auto"/>
          <w:spacing w:val="6"/>
          <w:highlight w:val="none"/>
        </w:rPr>
        <w:t xml:space="preserve">）采购活动，经与本单位法人代表（负责人）联系确认，现就有关公平竞争事项郑重声明如下： </w:t>
      </w:r>
    </w:p>
    <w:p w14:paraId="17034932">
      <w:pPr>
        <w:pStyle w:val="50"/>
        <w:keepNext w:val="0"/>
        <w:keepLines w:val="0"/>
        <w:pageBreakBefore w:val="0"/>
        <w:widowControl/>
        <w:numPr>
          <w:ilvl w:val="0"/>
          <w:numId w:val="9"/>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本单位与采购人之间 </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不存在利害关系 □存在下列利害关系：</w:t>
      </w:r>
    </w:p>
    <w:p w14:paraId="51F31BA0">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A.投资关系    B.行政隶属关系    C.业务指导关系</w:t>
      </w:r>
    </w:p>
    <w:p w14:paraId="49A87705">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kern w:val="0"/>
          <w:szCs w:val="24"/>
          <w:highlight w:val="none"/>
        </w:rPr>
        <w:t xml:space="preserve">    D.其他可能</w:t>
      </w:r>
      <w:r>
        <w:rPr>
          <w:rFonts w:ascii="宋体" w:hAnsi="宋体" w:cs="宋体"/>
          <w:color w:val="auto"/>
          <w:szCs w:val="24"/>
          <w:highlight w:val="none"/>
        </w:rPr>
        <w:t>影响采购公正的</w:t>
      </w:r>
      <w:r>
        <w:rPr>
          <w:rFonts w:ascii="宋体" w:hAnsi="宋体" w:cs="宋体"/>
          <w:color w:val="auto"/>
          <w:kern w:val="0"/>
          <w:szCs w:val="24"/>
          <w:highlight w:val="none"/>
        </w:rPr>
        <w:t>利害关系</w:t>
      </w:r>
      <w:r>
        <w:rPr>
          <w:rFonts w:ascii="宋体" w:hAnsi="宋体" w:cs="宋体"/>
          <w:color w:val="auto"/>
          <w:kern w:val="0"/>
          <w:szCs w:val="24"/>
          <w:highlight w:val="none"/>
          <w:u w:val="single"/>
        </w:rPr>
        <w:t>（如有，请如实说明）</w:t>
      </w:r>
      <w:r>
        <w:rPr>
          <w:rFonts w:ascii="宋体" w:hAnsi="宋体" w:cs="宋体"/>
          <w:color w:val="auto"/>
          <w:kern w:val="0"/>
          <w:szCs w:val="24"/>
          <w:highlight w:val="none"/>
        </w:rPr>
        <w:t>。</w:t>
      </w:r>
    </w:p>
    <w:p w14:paraId="5B7621B1">
      <w:pPr>
        <w:pStyle w:val="50"/>
        <w:keepNext w:val="0"/>
        <w:keepLines w:val="0"/>
        <w:pageBreakBefore w:val="0"/>
        <w:widowControl/>
        <w:kinsoku/>
        <w:wordWrap/>
        <w:overflowPunct/>
        <w:topLinePunct w:val="0"/>
        <w:autoSpaceDE/>
        <w:autoSpaceDN/>
        <w:bidi w:val="0"/>
        <w:adjustRightInd/>
        <w:snapToGrid w:val="0"/>
        <w:spacing w:line="460" w:lineRule="exact"/>
        <w:textAlignment w:val="auto"/>
        <w:rPr>
          <w:rFonts w:ascii="宋体" w:hAnsi="宋体" w:cs="宋体"/>
          <w:color w:val="auto"/>
          <w:kern w:val="0"/>
          <w:szCs w:val="24"/>
          <w:highlight w:val="none"/>
        </w:rPr>
      </w:pPr>
      <w:r>
        <w:rPr>
          <w:rFonts w:ascii="宋体" w:hAnsi="宋体" w:cs="宋体"/>
          <w:color w:val="auto"/>
          <w:spacing w:val="6"/>
          <w:szCs w:val="24"/>
          <w:highlight w:val="none"/>
        </w:rPr>
        <w:t xml:space="preserve">    二、</w:t>
      </w:r>
      <w:r>
        <w:rPr>
          <w:rFonts w:ascii="宋体" w:hAnsi="宋体" w:cs="宋体"/>
          <w:color w:val="auto"/>
          <w:kern w:val="0"/>
          <w:szCs w:val="24"/>
          <w:highlight w:val="none"/>
        </w:rPr>
        <w:t>现已清楚知道参加本项目采购活动的其他所有供应商名称，本单位□与其他所有供应商之间均不存在利害关系 □与</w:t>
      </w:r>
      <w:r>
        <w:rPr>
          <w:rFonts w:ascii="宋体" w:hAnsi="宋体" w:cs="宋体"/>
          <w:color w:val="auto"/>
          <w:kern w:val="0"/>
          <w:szCs w:val="24"/>
          <w:highlight w:val="none"/>
          <w:u w:val="single"/>
        </w:rPr>
        <w:t xml:space="preserve">                        （供应商名称) </w:t>
      </w:r>
      <w:r>
        <w:rPr>
          <w:rFonts w:ascii="宋体" w:hAnsi="宋体" w:cs="宋体"/>
          <w:color w:val="auto"/>
          <w:kern w:val="0"/>
          <w:szCs w:val="24"/>
          <w:highlight w:val="none"/>
        </w:rPr>
        <w:t>之间存在下列利害关系：</w:t>
      </w:r>
    </w:p>
    <w:p w14:paraId="79AFABDA">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A.法定代表人或负责人或实际控制人是同一人</w:t>
      </w:r>
    </w:p>
    <w:p w14:paraId="441F0014">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B.法定代表人或负责人或实际控制人是夫妻关系</w:t>
      </w:r>
    </w:p>
    <w:p w14:paraId="21C416BB">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C.法定代表人或负责人或实际控制人是直系血亲关系</w:t>
      </w:r>
    </w:p>
    <w:p w14:paraId="4F36C88B">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kern w:val="0"/>
          <w:szCs w:val="24"/>
          <w:highlight w:val="none"/>
        </w:rPr>
        <w:t xml:space="preserve">    D.法定代表人或负责人或实际控制人存在三代以内旁系血亲关系</w:t>
      </w:r>
    </w:p>
    <w:p w14:paraId="7670288C">
      <w:pPr>
        <w:pStyle w:val="49"/>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Ansi="宋体" w:cs="宋体"/>
          <w:color w:val="auto"/>
          <w:kern w:val="0"/>
          <w:szCs w:val="24"/>
          <w:highlight w:val="none"/>
        </w:rPr>
      </w:pPr>
      <w:r>
        <w:rPr>
          <w:rFonts w:hAnsi="宋体" w:cs="宋体"/>
          <w:color w:val="auto"/>
          <w:kern w:val="0"/>
          <w:szCs w:val="24"/>
          <w:highlight w:val="none"/>
        </w:rPr>
        <w:t>E.法定代表人或负责人或实际控制人存在近姻亲关系</w:t>
      </w:r>
    </w:p>
    <w:p w14:paraId="24B1E3EA">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kern w:val="0"/>
          <w:szCs w:val="24"/>
          <w:highlight w:val="none"/>
        </w:rPr>
      </w:pPr>
      <w:r>
        <w:rPr>
          <w:rFonts w:hAnsi="宋体" w:cs="宋体"/>
          <w:color w:val="auto"/>
          <w:kern w:val="0"/>
          <w:szCs w:val="24"/>
          <w:highlight w:val="none"/>
        </w:rPr>
        <w:t xml:space="preserve">    F.法定代表人或负责人或实际控制人存在股份控制或实际控制关系</w:t>
      </w:r>
    </w:p>
    <w:p w14:paraId="59687537">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outlineLvl w:val="0"/>
        <w:rPr>
          <w:rFonts w:hAnsi="宋体" w:cs="宋体"/>
          <w:color w:val="auto"/>
          <w:kern w:val="0"/>
          <w:szCs w:val="24"/>
          <w:highlight w:val="none"/>
        </w:rPr>
      </w:pPr>
      <w:r>
        <w:rPr>
          <w:rFonts w:hAnsi="宋体" w:cs="宋体"/>
          <w:color w:val="auto"/>
          <w:kern w:val="0"/>
          <w:szCs w:val="24"/>
          <w:highlight w:val="none"/>
        </w:rPr>
        <w:t xml:space="preserve">    G.存在共同直接或间接投资设立子公司、联营企业和合营企业情况</w:t>
      </w:r>
    </w:p>
    <w:p w14:paraId="29AF3E49">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zCs w:val="24"/>
          <w:highlight w:val="none"/>
        </w:rPr>
      </w:pPr>
      <w:r>
        <w:rPr>
          <w:rFonts w:hAnsi="宋体" w:cs="宋体"/>
          <w:color w:val="auto"/>
          <w:kern w:val="0"/>
          <w:szCs w:val="24"/>
          <w:highlight w:val="none"/>
        </w:rPr>
        <w:t xml:space="preserve">    H.存在分级代理或代销关系、同一生产制造商关系、</w:t>
      </w:r>
      <w:r>
        <w:rPr>
          <w:rFonts w:hAnsi="宋体" w:cs="宋体"/>
          <w:color w:val="auto"/>
          <w:szCs w:val="24"/>
          <w:highlight w:val="none"/>
        </w:rPr>
        <w:t>管理关系、重要业务（占主营业务收入50%以上）或重要财务往来关系（如融资）等其他实质性控制关系</w:t>
      </w:r>
    </w:p>
    <w:p w14:paraId="4F6AD252">
      <w:pPr>
        <w:pStyle w:val="49"/>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Ansi="宋体" w:cs="宋体"/>
          <w:color w:val="auto"/>
          <w:spacing w:val="6"/>
          <w:szCs w:val="24"/>
          <w:highlight w:val="none"/>
        </w:rPr>
      </w:pPr>
      <w:r>
        <w:rPr>
          <w:rFonts w:hAnsi="宋体" w:cs="宋体"/>
          <w:color w:val="auto"/>
          <w:szCs w:val="24"/>
          <w:highlight w:val="none"/>
        </w:rPr>
        <w:t xml:space="preserve">    I</w:t>
      </w:r>
      <w:r>
        <w:rPr>
          <w:rFonts w:hAnsi="宋体" w:cs="宋体"/>
          <w:color w:val="auto"/>
          <w:kern w:val="0"/>
          <w:szCs w:val="24"/>
          <w:highlight w:val="none"/>
        </w:rPr>
        <w:t>.</w:t>
      </w:r>
      <w:r>
        <w:rPr>
          <w:rFonts w:hAnsi="宋体" w:cs="宋体"/>
          <w:color w:val="auto"/>
          <w:szCs w:val="24"/>
          <w:highlight w:val="none"/>
        </w:rPr>
        <w:t>其他利害关系情况</w:t>
      </w:r>
      <w:r>
        <w:rPr>
          <w:rFonts w:hAnsi="宋体" w:cs="宋体"/>
          <w:color w:val="auto"/>
          <w:kern w:val="0"/>
          <w:szCs w:val="24"/>
          <w:highlight w:val="none"/>
        </w:rPr>
        <w:t>。</w:t>
      </w:r>
    </w:p>
    <w:p w14:paraId="4AD36AC6">
      <w:pPr>
        <w:pStyle w:val="50"/>
        <w:keepNext w:val="0"/>
        <w:keepLines w:val="0"/>
        <w:pageBreakBefore w:val="0"/>
        <w:widowControl/>
        <w:numPr>
          <w:ilvl w:val="0"/>
          <w:numId w:val="10"/>
        </w:numPr>
        <w:kinsoku/>
        <w:wordWrap/>
        <w:overflowPunct/>
        <w:topLinePunct w:val="0"/>
        <w:autoSpaceDE/>
        <w:autoSpaceDN/>
        <w:bidi w:val="0"/>
        <w:adjustRightInd/>
        <w:snapToGrid w:val="0"/>
        <w:spacing w:line="460" w:lineRule="exact"/>
        <w:ind w:firstLine="453" w:firstLineChars="189"/>
        <w:textAlignment w:val="auto"/>
        <w:rPr>
          <w:rFonts w:ascii="宋体" w:hAnsi="宋体" w:cs="宋体"/>
          <w:color w:val="auto"/>
          <w:kern w:val="0"/>
          <w:szCs w:val="24"/>
          <w:highlight w:val="none"/>
        </w:rPr>
      </w:pPr>
      <w:r>
        <w:rPr>
          <w:rFonts w:ascii="宋体" w:hAnsi="宋体" w:cs="宋体"/>
          <w:color w:val="auto"/>
          <w:kern w:val="0"/>
          <w:szCs w:val="24"/>
          <w:highlight w:val="none"/>
        </w:rPr>
        <w:t>我发现</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供应商之间存在或可能存在上述第二条第</w:t>
      </w:r>
      <w:r>
        <w:rPr>
          <w:rFonts w:hint="eastAsia" w:ascii="宋体" w:hAnsi="宋体" w:cs="宋体"/>
          <w:color w:val="auto"/>
          <w:kern w:val="0"/>
          <w:szCs w:val="24"/>
          <w:highlight w:val="none"/>
          <w:u w:val="single"/>
          <w:lang w:val="en-US" w:eastAsia="zh-CN"/>
        </w:rPr>
        <w:t xml:space="preserve">    </w:t>
      </w:r>
      <w:r>
        <w:rPr>
          <w:rFonts w:ascii="宋体" w:hAnsi="宋体" w:cs="宋体"/>
          <w:color w:val="auto"/>
          <w:kern w:val="0"/>
          <w:szCs w:val="24"/>
          <w:highlight w:val="none"/>
        </w:rPr>
        <w:t>项利害关系。</w:t>
      </w:r>
    </w:p>
    <w:p w14:paraId="59827543">
      <w:pPr>
        <w:pStyle w:val="49"/>
        <w:widowControl w:val="0"/>
        <w:snapToGrid w:val="0"/>
        <w:spacing w:line="500" w:lineRule="exact"/>
        <w:ind w:firstLine="480" w:firstLineChars="200"/>
        <w:jc w:val="center"/>
        <w:rPr>
          <w:rFonts w:hAnsi="宋体" w:cs="宋体"/>
          <w:color w:val="auto"/>
          <w:szCs w:val="24"/>
          <w:highlight w:val="none"/>
        </w:rPr>
      </w:pPr>
    </w:p>
    <w:p w14:paraId="3E141991">
      <w:pPr>
        <w:pStyle w:val="49"/>
        <w:widowControl w:val="0"/>
        <w:snapToGrid w:val="0"/>
        <w:spacing w:line="500" w:lineRule="exact"/>
        <w:ind w:firstLine="480" w:firstLineChars="200"/>
        <w:jc w:val="center"/>
        <w:rPr>
          <w:rFonts w:hAnsi="宋体" w:cs="宋体"/>
          <w:color w:val="auto"/>
          <w:sz w:val="24"/>
          <w:szCs w:val="24"/>
          <w:highlight w:val="none"/>
        </w:rPr>
      </w:pPr>
      <w:r>
        <w:rPr>
          <w:rFonts w:hAnsi="宋体" w:cs="宋体"/>
          <w:color w:val="auto"/>
          <w:szCs w:val="24"/>
          <w:highlight w:val="none"/>
        </w:rPr>
        <w:t xml:space="preserve"> 供应商代表签名：</w:t>
      </w:r>
      <w:r>
        <w:rPr>
          <w:rFonts w:hAnsi="宋体" w:cs="宋体"/>
          <w:color w:val="auto"/>
          <w:sz w:val="24"/>
          <w:szCs w:val="24"/>
          <w:highlight w:val="none"/>
        </w:rPr>
        <w:t xml:space="preserve">    </w:t>
      </w:r>
      <w:bookmarkEnd w:id="33"/>
      <w:bookmarkEnd w:id="34"/>
      <w:bookmarkEnd w:id="35"/>
    </w:p>
    <w:p w14:paraId="692B03CE">
      <w:pPr>
        <w:pStyle w:val="49"/>
        <w:widowControl w:val="0"/>
        <w:snapToGrid w:val="0"/>
        <w:spacing w:line="500" w:lineRule="exact"/>
        <w:jc w:val="both"/>
        <w:rPr>
          <w:rFonts w:hAnsi="宋体" w:cs="宋体"/>
          <w:color w:val="auto"/>
          <w:sz w:val="24"/>
          <w:szCs w:val="24"/>
          <w:highlight w:val="none"/>
        </w:rPr>
      </w:pPr>
    </w:p>
    <w:p w14:paraId="5E4F0891">
      <w:pPr>
        <w:adjustRightInd w:val="0"/>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45E2C9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一、</w:t>
      </w:r>
      <w:r>
        <w:rPr>
          <w:rFonts w:hint="eastAsia" w:ascii="宋体" w:hAnsi="宋体" w:eastAsia="宋体" w:cs="宋体"/>
          <w:bCs/>
          <w:color w:val="auto"/>
          <w:sz w:val="24"/>
          <w:szCs w:val="24"/>
          <w:highlight w:val="none"/>
        </w:rPr>
        <w:t>质疑供应商基本信息</w:t>
      </w:r>
    </w:p>
    <w:p w14:paraId="49B569AE">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p>
    <w:p w14:paraId="05B6F67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37C91E0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联系人：联系电话：</w:t>
      </w:r>
    </w:p>
    <w:p w14:paraId="61B0913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p>
    <w:p w14:paraId="72CDF5C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91B8532">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地址：邮编：</w:t>
      </w:r>
    </w:p>
    <w:p w14:paraId="663CDF7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3A17BEC">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p>
    <w:p w14:paraId="2C642867">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质疑项目的编号：包号：</w:t>
      </w:r>
    </w:p>
    <w:p w14:paraId="7923D731">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p>
    <w:p w14:paraId="1E2EBBDA">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p>
    <w:p w14:paraId="6B32B77D">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1444ED6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p>
    <w:p w14:paraId="640FDF33">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6791089B">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p>
    <w:p w14:paraId="7EF34885">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284CE300">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B0B0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131958D6">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p>
    <w:p w14:paraId="5C80F880">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签字(签章)：公章：</w:t>
      </w:r>
    </w:p>
    <w:p w14:paraId="4D276039">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4F96917E">
      <w:pPr>
        <w:keepNext w:val="0"/>
        <w:keepLines w:val="0"/>
        <w:pageBreakBefore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13441A6A">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4147184A">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15DA1319">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6FF390C6">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02458CA5">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0450B84">
      <w:pPr>
        <w:keepNext w:val="0"/>
        <w:keepLines w:val="0"/>
        <w:pageBreakBefore w:val="0"/>
        <w:widowControl/>
        <w:kinsoku/>
        <w:wordWrap/>
        <w:overflowPunct/>
        <w:topLinePunct w:val="0"/>
        <w:autoSpaceDE/>
        <w:autoSpaceDN/>
        <w:bidi w:val="0"/>
        <w:adjustRightInd w:val="0"/>
        <w:spacing w:line="400" w:lineRule="exact"/>
        <w:ind w:firstLine="480"/>
        <w:jc w:val="left"/>
        <w:textAlignment w:val="auto"/>
        <w:rPr>
          <w:rFonts w:hAnsi="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Ansi="宋体" w:cs="宋体"/>
          <w:color w:val="auto"/>
          <w:sz w:val="24"/>
          <w:szCs w:val="24"/>
          <w:highlight w:val="none"/>
        </w:rPr>
        <w:t xml:space="preserve">    </w:t>
      </w:r>
    </w:p>
    <w:p w14:paraId="6FA10783">
      <w:pPr>
        <w:pStyle w:val="40"/>
        <w:rPr>
          <w:rFonts w:hAnsi="宋体" w:cs="宋体"/>
          <w:color w:val="auto"/>
          <w:sz w:val="24"/>
          <w:szCs w:val="24"/>
          <w:highlight w:val="none"/>
        </w:rPr>
      </w:pPr>
    </w:p>
    <w:p w14:paraId="1C2F8F13">
      <w:pPr>
        <w:pStyle w:val="41"/>
        <w:rPr>
          <w:rFonts w:hAnsi="宋体" w:cs="宋体"/>
          <w:color w:val="auto"/>
          <w:sz w:val="24"/>
          <w:szCs w:val="24"/>
          <w:highlight w:val="none"/>
        </w:rPr>
      </w:pPr>
    </w:p>
    <w:p w14:paraId="54C567F6">
      <w:pPr>
        <w:spacing w:line="360" w:lineRule="auto"/>
        <w:jc w:val="center"/>
        <w:rPr>
          <w:rFonts w:hint="eastAsia" w:ascii="宋体" w:hAnsi="宋体" w:eastAsia="宋体" w:cs="宋体"/>
          <w:b/>
          <w:color w:val="auto"/>
          <w:spacing w:val="6"/>
          <w:sz w:val="32"/>
          <w:szCs w:val="32"/>
          <w:highlight w:val="none"/>
        </w:rPr>
      </w:pPr>
    </w:p>
    <w:p w14:paraId="4A53B30B">
      <w:pPr>
        <w:spacing w:line="360" w:lineRule="auto"/>
        <w:jc w:val="center"/>
        <w:rPr>
          <w:rFonts w:hint="eastAsia" w:ascii="宋体" w:hAnsi="宋体" w:eastAsia="宋体" w:cs="宋体"/>
          <w:b/>
          <w:color w:val="auto"/>
          <w:spacing w:val="6"/>
          <w:sz w:val="32"/>
          <w:szCs w:val="32"/>
          <w:highlight w:val="none"/>
        </w:rPr>
      </w:pPr>
    </w:p>
    <w:p w14:paraId="66C4B54C">
      <w:pPr>
        <w:spacing w:line="360" w:lineRule="auto"/>
        <w:jc w:val="center"/>
        <w:rPr>
          <w:rFonts w:hint="eastAsia" w:ascii="宋体" w:hAnsi="宋体" w:eastAsia="宋体" w:cs="宋体"/>
          <w:b/>
          <w:color w:val="auto"/>
          <w:spacing w:val="6"/>
          <w:sz w:val="32"/>
          <w:szCs w:val="32"/>
          <w:highlight w:val="none"/>
        </w:rPr>
      </w:pPr>
    </w:p>
    <w:p w14:paraId="51CD5D93">
      <w:pPr>
        <w:spacing w:line="360" w:lineRule="auto"/>
        <w:jc w:val="center"/>
        <w:rPr>
          <w:rFonts w:hint="eastAsia" w:ascii="宋体" w:hAnsi="宋体" w:eastAsia="宋体" w:cs="宋体"/>
          <w:b/>
          <w:color w:val="auto"/>
          <w:spacing w:val="6"/>
          <w:sz w:val="32"/>
          <w:szCs w:val="32"/>
          <w:highlight w:val="none"/>
        </w:rPr>
      </w:pPr>
    </w:p>
    <w:p w14:paraId="5D31C289">
      <w:pPr>
        <w:spacing w:line="360" w:lineRule="auto"/>
        <w:jc w:val="center"/>
        <w:rPr>
          <w:rFonts w:hint="eastAsia" w:ascii="宋体" w:hAnsi="宋体" w:eastAsia="宋体" w:cs="宋体"/>
          <w:b/>
          <w:color w:val="auto"/>
          <w:spacing w:val="6"/>
          <w:sz w:val="32"/>
          <w:szCs w:val="32"/>
          <w:highlight w:val="none"/>
        </w:rPr>
      </w:pPr>
    </w:p>
    <w:p w14:paraId="66112EEC">
      <w:pPr>
        <w:spacing w:line="360" w:lineRule="auto"/>
        <w:jc w:val="center"/>
        <w:rPr>
          <w:rFonts w:hint="eastAsia" w:ascii="宋体" w:hAnsi="宋体" w:eastAsia="宋体" w:cs="宋体"/>
          <w:b/>
          <w:color w:val="auto"/>
          <w:spacing w:val="6"/>
          <w:sz w:val="32"/>
          <w:szCs w:val="32"/>
          <w:highlight w:val="none"/>
        </w:rPr>
      </w:pPr>
    </w:p>
    <w:p w14:paraId="4AE63E52">
      <w:pPr>
        <w:spacing w:line="360" w:lineRule="auto"/>
        <w:jc w:val="center"/>
        <w:rPr>
          <w:rFonts w:hint="eastAsia" w:ascii="宋体" w:hAnsi="宋体" w:eastAsia="宋体" w:cs="宋体"/>
          <w:b/>
          <w:color w:val="auto"/>
          <w:spacing w:val="6"/>
          <w:sz w:val="32"/>
          <w:szCs w:val="32"/>
          <w:highlight w:val="none"/>
        </w:rPr>
      </w:pPr>
    </w:p>
    <w:p w14:paraId="3D5DC66E">
      <w:pPr>
        <w:spacing w:line="360" w:lineRule="auto"/>
        <w:jc w:val="center"/>
        <w:rPr>
          <w:rFonts w:hint="eastAsia" w:ascii="宋体" w:hAnsi="宋体" w:eastAsia="宋体" w:cs="宋体"/>
          <w:b/>
          <w:color w:val="auto"/>
          <w:spacing w:val="6"/>
          <w:sz w:val="32"/>
          <w:szCs w:val="32"/>
          <w:highlight w:val="none"/>
        </w:rPr>
      </w:pPr>
    </w:p>
    <w:p w14:paraId="7A910ADA">
      <w:pPr>
        <w:spacing w:line="360" w:lineRule="auto"/>
        <w:jc w:val="center"/>
        <w:rPr>
          <w:rFonts w:hint="eastAsia" w:ascii="宋体" w:hAnsi="宋体" w:eastAsia="宋体" w:cs="宋体"/>
          <w:b/>
          <w:color w:val="auto"/>
          <w:spacing w:val="6"/>
          <w:sz w:val="32"/>
          <w:szCs w:val="32"/>
          <w:highlight w:val="none"/>
        </w:rPr>
      </w:pPr>
    </w:p>
    <w:p w14:paraId="129B7943">
      <w:pPr>
        <w:spacing w:line="360" w:lineRule="auto"/>
        <w:jc w:val="center"/>
        <w:rPr>
          <w:rFonts w:hint="eastAsia" w:ascii="宋体" w:hAnsi="宋体" w:eastAsia="宋体" w:cs="宋体"/>
          <w:b/>
          <w:color w:val="auto"/>
          <w:spacing w:val="6"/>
          <w:sz w:val="32"/>
          <w:szCs w:val="32"/>
          <w:highlight w:val="none"/>
        </w:rPr>
      </w:pPr>
    </w:p>
    <w:p w14:paraId="7F36DF53">
      <w:pPr>
        <w:spacing w:line="360" w:lineRule="auto"/>
        <w:jc w:val="center"/>
        <w:rPr>
          <w:rFonts w:hint="eastAsia" w:ascii="宋体" w:hAnsi="宋体" w:eastAsia="宋体" w:cs="宋体"/>
          <w:b/>
          <w:color w:val="auto"/>
          <w:spacing w:val="6"/>
          <w:sz w:val="32"/>
          <w:szCs w:val="32"/>
          <w:highlight w:val="none"/>
        </w:rPr>
      </w:pPr>
    </w:p>
    <w:p w14:paraId="1304B59C">
      <w:pPr>
        <w:spacing w:line="360" w:lineRule="auto"/>
        <w:jc w:val="center"/>
        <w:rPr>
          <w:rFonts w:hint="eastAsia" w:ascii="宋体" w:hAnsi="宋体" w:eastAsia="宋体" w:cs="宋体"/>
          <w:b/>
          <w:color w:val="auto"/>
          <w:spacing w:val="6"/>
          <w:sz w:val="32"/>
          <w:szCs w:val="32"/>
          <w:highlight w:val="none"/>
        </w:rPr>
      </w:pPr>
    </w:p>
    <w:p w14:paraId="7E532CC0">
      <w:pPr>
        <w:spacing w:line="360" w:lineRule="auto"/>
        <w:jc w:val="center"/>
        <w:rPr>
          <w:rFonts w:hint="eastAsia" w:ascii="宋体" w:hAnsi="宋体" w:eastAsia="宋体" w:cs="宋体"/>
          <w:b/>
          <w:color w:val="auto"/>
          <w:spacing w:val="6"/>
          <w:sz w:val="32"/>
          <w:szCs w:val="32"/>
          <w:highlight w:val="none"/>
        </w:rPr>
      </w:pPr>
    </w:p>
    <w:p w14:paraId="77A3337F">
      <w:pPr>
        <w:spacing w:line="360" w:lineRule="auto"/>
        <w:jc w:val="center"/>
        <w:rPr>
          <w:rFonts w:hint="eastAsia" w:ascii="宋体" w:hAnsi="宋体" w:eastAsia="宋体" w:cs="宋体"/>
          <w:b/>
          <w:color w:val="auto"/>
          <w:spacing w:val="6"/>
          <w:sz w:val="32"/>
          <w:szCs w:val="32"/>
          <w:highlight w:val="none"/>
        </w:rPr>
      </w:pPr>
    </w:p>
    <w:p w14:paraId="7686E2D7">
      <w:pPr>
        <w:spacing w:line="360" w:lineRule="auto"/>
        <w:jc w:val="center"/>
        <w:rPr>
          <w:rFonts w:hint="eastAsia" w:ascii="宋体" w:hAnsi="宋体" w:eastAsia="宋体" w:cs="宋体"/>
          <w:b/>
          <w:color w:val="auto"/>
          <w:spacing w:val="6"/>
          <w:sz w:val="32"/>
          <w:szCs w:val="32"/>
          <w:highlight w:val="none"/>
        </w:rPr>
      </w:pPr>
    </w:p>
    <w:p w14:paraId="7C2C213F">
      <w:pPr>
        <w:spacing w:line="360" w:lineRule="auto"/>
        <w:jc w:val="center"/>
        <w:rPr>
          <w:rFonts w:hint="eastAsia" w:ascii="宋体" w:hAnsi="宋体" w:eastAsia="宋体" w:cs="宋体"/>
          <w:b/>
          <w:color w:val="auto"/>
          <w:spacing w:val="6"/>
          <w:sz w:val="32"/>
          <w:szCs w:val="32"/>
          <w:highlight w:val="none"/>
        </w:rPr>
      </w:pPr>
    </w:p>
    <w:p w14:paraId="771FECAF">
      <w:pPr>
        <w:spacing w:line="360" w:lineRule="auto"/>
        <w:jc w:val="center"/>
        <w:rPr>
          <w:rFonts w:hint="eastAsia" w:ascii="宋体" w:hAnsi="宋体" w:eastAsia="宋体" w:cs="宋体"/>
          <w:b/>
          <w:color w:val="auto"/>
          <w:spacing w:val="6"/>
          <w:sz w:val="32"/>
          <w:szCs w:val="32"/>
          <w:highlight w:val="none"/>
        </w:rPr>
      </w:pPr>
    </w:p>
    <w:p w14:paraId="6CC15FC8">
      <w:pPr>
        <w:spacing w:line="360" w:lineRule="auto"/>
        <w:jc w:val="center"/>
        <w:rPr>
          <w:rFonts w:hint="eastAsia" w:ascii="宋体" w:hAnsi="宋体" w:eastAsia="宋体" w:cs="宋体"/>
          <w:b/>
          <w:color w:val="auto"/>
          <w:spacing w:val="6"/>
          <w:sz w:val="32"/>
          <w:szCs w:val="32"/>
          <w:highlight w:val="none"/>
        </w:rPr>
      </w:pPr>
    </w:p>
    <w:p w14:paraId="789C09DD">
      <w:pPr>
        <w:spacing w:line="360" w:lineRule="auto"/>
        <w:jc w:val="center"/>
        <w:rPr>
          <w:rFonts w:hint="eastAsia" w:ascii="宋体" w:hAnsi="宋体" w:eastAsia="宋体" w:cs="宋体"/>
          <w:b/>
          <w:color w:val="auto"/>
          <w:spacing w:val="6"/>
          <w:sz w:val="32"/>
          <w:szCs w:val="32"/>
          <w:highlight w:val="none"/>
        </w:rPr>
      </w:pPr>
    </w:p>
    <w:p w14:paraId="0140F4C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783F9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6A885D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392AB5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E0927C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B8324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E35E8F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911A6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6B4150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82E112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AA2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76D0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190FCC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668308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F0559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C563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F4B5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E50F14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37D93B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C63C3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1172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28C55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43FB36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B0A1F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DF96F6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C102C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F5EF5F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1EC50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C537E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86E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C044A2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A3B1E2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12F4E9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EB98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111979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97F81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36773B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73327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E92CD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002BC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F40F3A4">
      <w:pPr>
        <w:spacing w:line="360" w:lineRule="auto"/>
        <w:rPr>
          <w:rFonts w:hint="eastAsia" w:ascii="宋体" w:hAnsi="宋体" w:eastAsia="宋体" w:cs="宋体"/>
          <w:b/>
          <w:color w:val="auto"/>
          <w:sz w:val="24"/>
          <w:highlight w:val="none"/>
        </w:rPr>
      </w:pPr>
    </w:p>
    <w:p w14:paraId="1B28A981">
      <w:pPr>
        <w:spacing w:line="360" w:lineRule="auto"/>
        <w:rPr>
          <w:rFonts w:hint="eastAsia" w:ascii="宋体" w:hAnsi="宋体" w:eastAsia="宋体" w:cs="宋体"/>
          <w:b/>
          <w:color w:val="auto"/>
          <w:sz w:val="24"/>
          <w:highlight w:val="none"/>
        </w:rPr>
      </w:pPr>
    </w:p>
    <w:p w14:paraId="5AD3A7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B37E50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C51018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CF3FF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5C425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564B01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EAB9B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A260DA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A737DC9">
      <w:pPr>
        <w:rPr>
          <w:rFonts w:hint="eastAsia" w:ascii="宋体" w:hAnsi="宋体" w:eastAsia="宋体" w:cs="宋体"/>
          <w:color w:val="auto"/>
          <w:highlight w:val="none"/>
        </w:rPr>
      </w:pPr>
    </w:p>
    <w:p w14:paraId="55742752">
      <w:pPr>
        <w:pStyle w:val="49"/>
        <w:widowControl w:val="0"/>
        <w:snapToGrid w:val="0"/>
        <w:spacing w:line="500" w:lineRule="exact"/>
        <w:ind w:firstLine="480" w:firstLineChars="200"/>
        <w:jc w:val="center"/>
        <w:rPr>
          <w:rFonts w:hAnsi="宋体" w:cs="宋体"/>
          <w:color w:val="auto"/>
          <w:sz w:val="24"/>
          <w:szCs w:val="24"/>
          <w:highlight w:val="none"/>
        </w:rPr>
      </w:pPr>
    </w:p>
    <w:sectPr>
      <w:headerReference r:id="rId7" w:type="default"/>
      <w:footerReference r:id="rId8" w:type="default"/>
      <w:pgSz w:w="11906" w:h="16838"/>
      <w:pgMar w:top="1587" w:right="1570" w:bottom="1587" w:left="157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D9F2">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3D5DD">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03D5D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B7E9">
    <w:pPr>
      <w:pStyle w:val="20"/>
      <w:jc w:val="center"/>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B0F3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9B0F33">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51C6">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346EA">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3346EA">
                    <w:pPr>
                      <w:pStyle w:val="20"/>
                    </w:pPr>
                    <w:r>
                      <w:fldChar w:fldCharType="begin"/>
                    </w:r>
                    <w:r>
                      <w:instrText xml:space="preserve"> PAGE  \* MERGEFORMAT </w:instrText>
                    </w:r>
                    <w:r>
                      <w:fldChar w:fldCharType="separate"/>
                    </w:r>
                    <w:r>
                      <w:t>23</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D60E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307D60E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7A86">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1411">
                          <w:pPr>
                            <w:pStyle w:val="2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72B1411">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AEEC9">
    <w:pPr>
      <w:pStyle w:val="21"/>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2B80">
    <w:pPr>
      <w:pStyle w:val="2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DEDF"/>
    <w:multiLevelType w:val="multilevel"/>
    <w:tmpl w:val="A731DEDF"/>
    <w:lvl w:ilvl="0" w:tentative="0">
      <w:start w:val="4"/>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D16E957A"/>
    <w:multiLevelType w:val="singleLevel"/>
    <w:tmpl w:val="D16E957A"/>
    <w:lvl w:ilvl="0" w:tentative="0">
      <w:start w:val="1"/>
      <w:numFmt w:val="decimal"/>
      <w:lvlText w:val="%1."/>
      <w:lvlJc w:val="left"/>
      <w:pPr>
        <w:tabs>
          <w:tab w:val="left" w:pos="312"/>
        </w:tabs>
      </w:pPr>
    </w:lvl>
  </w:abstractNum>
  <w:abstractNum w:abstractNumId="2">
    <w:nsid w:val="FDBDBD64"/>
    <w:multiLevelType w:val="singleLevel"/>
    <w:tmpl w:val="FDBDBD64"/>
    <w:lvl w:ilvl="0" w:tentative="0">
      <w:start w:val="1"/>
      <w:numFmt w:val="decimal"/>
      <w:pStyle w:val="15"/>
      <w:lvlText w:val="%1."/>
      <w:lvlJc w:val="left"/>
      <w:pPr>
        <w:tabs>
          <w:tab w:val="left" w:pos="1200"/>
        </w:tabs>
        <w:ind w:left="1200" w:hanging="360"/>
      </w:pPr>
    </w:lvl>
  </w:abstractNum>
  <w:abstractNum w:abstractNumId="3">
    <w:nsid w:val="FFBEA65A"/>
    <w:multiLevelType w:val="singleLevel"/>
    <w:tmpl w:val="FFBEA65A"/>
    <w:lvl w:ilvl="0" w:tentative="0">
      <w:start w:val="1"/>
      <w:numFmt w:val="decimal"/>
      <w:suff w:val="nothing"/>
      <w:lvlText w:val="%1、"/>
      <w:lvlJc w:val="left"/>
    </w:lvl>
  </w:abstractNum>
  <w:abstractNum w:abstractNumId="4">
    <w:nsid w:val="FFFFFF88"/>
    <w:multiLevelType w:val="singleLevel"/>
    <w:tmpl w:val="FFFFFF88"/>
    <w:lvl w:ilvl="0" w:tentative="0">
      <w:start w:val="1"/>
      <w:numFmt w:val="decimal"/>
      <w:pStyle w:val="7"/>
      <w:lvlText w:val="%1."/>
      <w:lvlJc w:val="left"/>
      <w:pPr>
        <w:tabs>
          <w:tab w:val="left" w:pos="360"/>
        </w:tabs>
        <w:ind w:left="360" w:hanging="360" w:hangingChars="200"/>
      </w:pPr>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37DF4A40"/>
    <w:multiLevelType w:val="singleLevel"/>
    <w:tmpl w:val="37DF4A40"/>
    <w:lvl w:ilvl="0" w:tentative="0">
      <w:start w:val="1"/>
      <w:numFmt w:val="decimal"/>
      <w:pStyle w:val="5"/>
      <w:lvlText w:val="%1."/>
      <w:lvlJc w:val="left"/>
      <w:pPr>
        <w:tabs>
          <w:tab w:val="left" w:pos="780"/>
        </w:tabs>
        <w:ind w:left="780" w:hanging="36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2"/>
  </w:num>
  <w:num w:numId="4">
    <w:abstractNumId w:val="1"/>
  </w:num>
  <w:num w:numId="5">
    <w:abstractNumId w:val="0"/>
  </w:num>
  <w:num w:numId="6">
    <w:abstractNumId w:val="9"/>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ZDlmOTRlMmNiOWEzODI4MDgwZGRkZGZkNjlmZWEifQ=="/>
  </w:docVars>
  <w:rsids>
    <w:rsidRoot w:val="00013255"/>
    <w:rsid w:val="00013255"/>
    <w:rsid w:val="000166EB"/>
    <w:rsid w:val="000177AC"/>
    <w:rsid w:val="00027CDF"/>
    <w:rsid w:val="00031F0D"/>
    <w:rsid w:val="00043144"/>
    <w:rsid w:val="0006409E"/>
    <w:rsid w:val="00086AAA"/>
    <w:rsid w:val="000943F3"/>
    <w:rsid w:val="000973F2"/>
    <w:rsid w:val="000B50C7"/>
    <w:rsid w:val="000C40D6"/>
    <w:rsid w:val="000D068E"/>
    <w:rsid w:val="000E6478"/>
    <w:rsid w:val="000E675B"/>
    <w:rsid w:val="000F4900"/>
    <w:rsid w:val="00102456"/>
    <w:rsid w:val="00102B2E"/>
    <w:rsid w:val="001030B5"/>
    <w:rsid w:val="00104201"/>
    <w:rsid w:val="00105D32"/>
    <w:rsid w:val="00110BBD"/>
    <w:rsid w:val="00115618"/>
    <w:rsid w:val="00123322"/>
    <w:rsid w:val="001317C1"/>
    <w:rsid w:val="00137B84"/>
    <w:rsid w:val="00154675"/>
    <w:rsid w:val="001565F3"/>
    <w:rsid w:val="00162152"/>
    <w:rsid w:val="00166961"/>
    <w:rsid w:val="00172E78"/>
    <w:rsid w:val="001746B3"/>
    <w:rsid w:val="0018391E"/>
    <w:rsid w:val="00186BF0"/>
    <w:rsid w:val="001A3BFF"/>
    <w:rsid w:val="001A4F04"/>
    <w:rsid w:val="001A5B05"/>
    <w:rsid w:val="001C21D2"/>
    <w:rsid w:val="001D18AB"/>
    <w:rsid w:val="001D1961"/>
    <w:rsid w:val="001F18E2"/>
    <w:rsid w:val="001F290D"/>
    <w:rsid w:val="001F3B77"/>
    <w:rsid w:val="00203F43"/>
    <w:rsid w:val="00204F87"/>
    <w:rsid w:val="00215AA4"/>
    <w:rsid w:val="00216F62"/>
    <w:rsid w:val="00225378"/>
    <w:rsid w:val="00236524"/>
    <w:rsid w:val="00242DD9"/>
    <w:rsid w:val="00247EB6"/>
    <w:rsid w:val="00252247"/>
    <w:rsid w:val="00254D60"/>
    <w:rsid w:val="0025786A"/>
    <w:rsid w:val="00262733"/>
    <w:rsid w:val="00270620"/>
    <w:rsid w:val="00270BB0"/>
    <w:rsid w:val="00273880"/>
    <w:rsid w:val="00285358"/>
    <w:rsid w:val="0029345F"/>
    <w:rsid w:val="002A0D94"/>
    <w:rsid w:val="002C0859"/>
    <w:rsid w:val="002C2CAD"/>
    <w:rsid w:val="002E2146"/>
    <w:rsid w:val="002E59DF"/>
    <w:rsid w:val="00303F39"/>
    <w:rsid w:val="0031380D"/>
    <w:rsid w:val="00320871"/>
    <w:rsid w:val="00323BD2"/>
    <w:rsid w:val="00363D1B"/>
    <w:rsid w:val="00386EBE"/>
    <w:rsid w:val="00387933"/>
    <w:rsid w:val="00387BC4"/>
    <w:rsid w:val="003A2D9E"/>
    <w:rsid w:val="003A4DB8"/>
    <w:rsid w:val="003A5417"/>
    <w:rsid w:val="003B3EF0"/>
    <w:rsid w:val="003D5573"/>
    <w:rsid w:val="003E4683"/>
    <w:rsid w:val="00446222"/>
    <w:rsid w:val="00455712"/>
    <w:rsid w:val="00461122"/>
    <w:rsid w:val="00462249"/>
    <w:rsid w:val="004B2B21"/>
    <w:rsid w:val="004B3192"/>
    <w:rsid w:val="004B7001"/>
    <w:rsid w:val="004D4BD3"/>
    <w:rsid w:val="004D65B1"/>
    <w:rsid w:val="004D6899"/>
    <w:rsid w:val="004E2A2C"/>
    <w:rsid w:val="004F7CEB"/>
    <w:rsid w:val="00500CBB"/>
    <w:rsid w:val="00502095"/>
    <w:rsid w:val="005221C7"/>
    <w:rsid w:val="00535E7A"/>
    <w:rsid w:val="0054088A"/>
    <w:rsid w:val="0054524C"/>
    <w:rsid w:val="00556BCB"/>
    <w:rsid w:val="005663A5"/>
    <w:rsid w:val="005A28DD"/>
    <w:rsid w:val="005A42FA"/>
    <w:rsid w:val="005A503E"/>
    <w:rsid w:val="005C1676"/>
    <w:rsid w:val="005C76BB"/>
    <w:rsid w:val="005D21B5"/>
    <w:rsid w:val="005D4380"/>
    <w:rsid w:val="005E1CD9"/>
    <w:rsid w:val="005E6636"/>
    <w:rsid w:val="005E7B2B"/>
    <w:rsid w:val="006046E5"/>
    <w:rsid w:val="00612384"/>
    <w:rsid w:val="0061264F"/>
    <w:rsid w:val="006217BC"/>
    <w:rsid w:val="00637476"/>
    <w:rsid w:val="00641E35"/>
    <w:rsid w:val="006474C9"/>
    <w:rsid w:val="0065211C"/>
    <w:rsid w:val="006554EE"/>
    <w:rsid w:val="0066601C"/>
    <w:rsid w:val="0066795B"/>
    <w:rsid w:val="006872D9"/>
    <w:rsid w:val="006D15A9"/>
    <w:rsid w:val="006D1CB4"/>
    <w:rsid w:val="006D1E21"/>
    <w:rsid w:val="006D5CC9"/>
    <w:rsid w:val="006E0C85"/>
    <w:rsid w:val="006E12E4"/>
    <w:rsid w:val="006E4A62"/>
    <w:rsid w:val="006E6927"/>
    <w:rsid w:val="006E6D7B"/>
    <w:rsid w:val="00717CE8"/>
    <w:rsid w:val="00737E1D"/>
    <w:rsid w:val="00740C9B"/>
    <w:rsid w:val="00745795"/>
    <w:rsid w:val="007526DE"/>
    <w:rsid w:val="00755EEF"/>
    <w:rsid w:val="007646C7"/>
    <w:rsid w:val="007701B1"/>
    <w:rsid w:val="007736D2"/>
    <w:rsid w:val="00797432"/>
    <w:rsid w:val="007C1215"/>
    <w:rsid w:val="007C14C1"/>
    <w:rsid w:val="007C2628"/>
    <w:rsid w:val="007C5513"/>
    <w:rsid w:val="007D637E"/>
    <w:rsid w:val="007F178D"/>
    <w:rsid w:val="00810F15"/>
    <w:rsid w:val="00837BC8"/>
    <w:rsid w:val="00857E02"/>
    <w:rsid w:val="0088405E"/>
    <w:rsid w:val="00884A94"/>
    <w:rsid w:val="008906BF"/>
    <w:rsid w:val="008B5F98"/>
    <w:rsid w:val="008C2CD3"/>
    <w:rsid w:val="008E0C60"/>
    <w:rsid w:val="008E2A0E"/>
    <w:rsid w:val="008F3559"/>
    <w:rsid w:val="00931B9D"/>
    <w:rsid w:val="00950938"/>
    <w:rsid w:val="00951FEE"/>
    <w:rsid w:val="0099232E"/>
    <w:rsid w:val="009A2630"/>
    <w:rsid w:val="009A3274"/>
    <w:rsid w:val="009C0F8E"/>
    <w:rsid w:val="009C7398"/>
    <w:rsid w:val="009E3E84"/>
    <w:rsid w:val="009E41E4"/>
    <w:rsid w:val="009F2B74"/>
    <w:rsid w:val="00A316B4"/>
    <w:rsid w:val="00A35E4F"/>
    <w:rsid w:val="00A56502"/>
    <w:rsid w:val="00A63A56"/>
    <w:rsid w:val="00A775BA"/>
    <w:rsid w:val="00A77A87"/>
    <w:rsid w:val="00A8310F"/>
    <w:rsid w:val="00A95595"/>
    <w:rsid w:val="00A96843"/>
    <w:rsid w:val="00AA5080"/>
    <w:rsid w:val="00AC075E"/>
    <w:rsid w:val="00AE1E21"/>
    <w:rsid w:val="00AE2C9D"/>
    <w:rsid w:val="00AE448C"/>
    <w:rsid w:val="00AE51DC"/>
    <w:rsid w:val="00AE6FF9"/>
    <w:rsid w:val="00AF4022"/>
    <w:rsid w:val="00AF4E2F"/>
    <w:rsid w:val="00B12686"/>
    <w:rsid w:val="00B3403E"/>
    <w:rsid w:val="00B3769C"/>
    <w:rsid w:val="00B507A3"/>
    <w:rsid w:val="00B55DA3"/>
    <w:rsid w:val="00B72143"/>
    <w:rsid w:val="00B776BF"/>
    <w:rsid w:val="00B83D59"/>
    <w:rsid w:val="00BB567F"/>
    <w:rsid w:val="00BC4A01"/>
    <w:rsid w:val="00BC4E2D"/>
    <w:rsid w:val="00BD59DA"/>
    <w:rsid w:val="00BE2553"/>
    <w:rsid w:val="00BF581F"/>
    <w:rsid w:val="00BF5F1B"/>
    <w:rsid w:val="00C11B86"/>
    <w:rsid w:val="00C645C4"/>
    <w:rsid w:val="00C77375"/>
    <w:rsid w:val="00CA49EA"/>
    <w:rsid w:val="00CC51DF"/>
    <w:rsid w:val="00CD2556"/>
    <w:rsid w:val="00CD309D"/>
    <w:rsid w:val="00CE38B2"/>
    <w:rsid w:val="00CF377E"/>
    <w:rsid w:val="00CF537F"/>
    <w:rsid w:val="00D02837"/>
    <w:rsid w:val="00D25DFE"/>
    <w:rsid w:val="00D2706A"/>
    <w:rsid w:val="00D65AAF"/>
    <w:rsid w:val="00D66AF0"/>
    <w:rsid w:val="00D71948"/>
    <w:rsid w:val="00D73674"/>
    <w:rsid w:val="00D76AB3"/>
    <w:rsid w:val="00D85D7D"/>
    <w:rsid w:val="00D86022"/>
    <w:rsid w:val="00D86938"/>
    <w:rsid w:val="00D92F87"/>
    <w:rsid w:val="00D94740"/>
    <w:rsid w:val="00D9717E"/>
    <w:rsid w:val="00DC13D1"/>
    <w:rsid w:val="00DC533E"/>
    <w:rsid w:val="00DE1B95"/>
    <w:rsid w:val="00DE78F3"/>
    <w:rsid w:val="00DF0970"/>
    <w:rsid w:val="00DF7CCC"/>
    <w:rsid w:val="00E16EF2"/>
    <w:rsid w:val="00E16FC7"/>
    <w:rsid w:val="00E23BCA"/>
    <w:rsid w:val="00E25E80"/>
    <w:rsid w:val="00E26010"/>
    <w:rsid w:val="00E36E93"/>
    <w:rsid w:val="00E7316F"/>
    <w:rsid w:val="00E75FBE"/>
    <w:rsid w:val="00E76AEC"/>
    <w:rsid w:val="00E76CD3"/>
    <w:rsid w:val="00E84C3F"/>
    <w:rsid w:val="00E911C1"/>
    <w:rsid w:val="00EA000B"/>
    <w:rsid w:val="00EA40E8"/>
    <w:rsid w:val="00EB0547"/>
    <w:rsid w:val="00EB1C0E"/>
    <w:rsid w:val="00ED452B"/>
    <w:rsid w:val="00EF25F4"/>
    <w:rsid w:val="00F01B62"/>
    <w:rsid w:val="00F24582"/>
    <w:rsid w:val="00F3262D"/>
    <w:rsid w:val="00F35305"/>
    <w:rsid w:val="00F41897"/>
    <w:rsid w:val="00F41CBC"/>
    <w:rsid w:val="00F71E41"/>
    <w:rsid w:val="00F759B6"/>
    <w:rsid w:val="00F83193"/>
    <w:rsid w:val="00F84D83"/>
    <w:rsid w:val="00F9039A"/>
    <w:rsid w:val="00F92AF4"/>
    <w:rsid w:val="00F939DD"/>
    <w:rsid w:val="00FB01E8"/>
    <w:rsid w:val="00FB1A53"/>
    <w:rsid w:val="00FC0114"/>
    <w:rsid w:val="00FC02BF"/>
    <w:rsid w:val="00FC7526"/>
    <w:rsid w:val="00FE6EBA"/>
    <w:rsid w:val="00FF0ACE"/>
    <w:rsid w:val="00FF51CB"/>
    <w:rsid w:val="01011432"/>
    <w:rsid w:val="010A6538"/>
    <w:rsid w:val="011B0745"/>
    <w:rsid w:val="011C626C"/>
    <w:rsid w:val="0132783D"/>
    <w:rsid w:val="0136557F"/>
    <w:rsid w:val="0147778C"/>
    <w:rsid w:val="014A2DD9"/>
    <w:rsid w:val="015323E7"/>
    <w:rsid w:val="01562B56"/>
    <w:rsid w:val="015B6D94"/>
    <w:rsid w:val="01814321"/>
    <w:rsid w:val="018D0F17"/>
    <w:rsid w:val="019127B6"/>
    <w:rsid w:val="01987FE8"/>
    <w:rsid w:val="019D28FF"/>
    <w:rsid w:val="019F1377"/>
    <w:rsid w:val="01B80757"/>
    <w:rsid w:val="01B91D0C"/>
    <w:rsid w:val="01C20BC1"/>
    <w:rsid w:val="01CC1A40"/>
    <w:rsid w:val="01CF7782"/>
    <w:rsid w:val="01D33506"/>
    <w:rsid w:val="01E05E16"/>
    <w:rsid w:val="01E52B01"/>
    <w:rsid w:val="01E856A3"/>
    <w:rsid w:val="01EC20E2"/>
    <w:rsid w:val="01F223C5"/>
    <w:rsid w:val="01F43679"/>
    <w:rsid w:val="01F66ABD"/>
    <w:rsid w:val="020E02AA"/>
    <w:rsid w:val="02117D9A"/>
    <w:rsid w:val="021C29C7"/>
    <w:rsid w:val="022F4BD9"/>
    <w:rsid w:val="02313F99"/>
    <w:rsid w:val="02421D02"/>
    <w:rsid w:val="0247556A"/>
    <w:rsid w:val="024B6E08"/>
    <w:rsid w:val="024E0ADE"/>
    <w:rsid w:val="02632FB4"/>
    <w:rsid w:val="02671768"/>
    <w:rsid w:val="027728BA"/>
    <w:rsid w:val="02785724"/>
    <w:rsid w:val="02786FB6"/>
    <w:rsid w:val="029562D6"/>
    <w:rsid w:val="02A91D81"/>
    <w:rsid w:val="02B40E52"/>
    <w:rsid w:val="02C46BBB"/>
    <w:rsid w:val="02C92423"/>
    <w:rsid w:val="02CB0818"/>
    <w:rsid w:val="02D13C17"/>
    <w:rsid w:val="02DA30E7"/>
    <w:rsid w:val="02E35293"/>
    <w:rsid w:val="02F32FFC"/>
    <w:rsid w:val="02F53218"/>
    <w:rsid w:val="030671D3"/>
    <w:rsid w:val="031C43BE"/>
    <w:rsid w:val="031C69F7"/>
    <w:rsid w:val="03237D85"/>
    <w:rsid w:val="032C4E8C"/>
    <w:rsid w:val="032F04D8"/>
    <w:rsid w:val="03411FB9"/>
    <w:rsid w:val="0348159A"/>
    <w:rsid w:val="034A70C0"/>
    <w:rsid w:val="03505229"/>
    <w:rsid w:val="035F6CF1"/>
    <w:rsid w:val="035F7A8D"/>
    <w:rsid w:val="03766107"/>
    <w:rsid w:val="038002F5"/>
    <w:rsid w:val="039756DF"/>
    <w:rsid w:val="03A10CAA"/>
    <w:rsid w:val="03A72764"/>
    <w:rsid w:val="03A964DC"/>
    <w:rsid w:val="03B44E81"/>
    <w:rsid w:val="03B64756"/>
    <w:rsid w:val="03B83858"/>
    <w:rsid w:val="03B931BC"/>
    <w:rsid w:val="03C1014A"/>
    <w:rsid w:val="03DC41B1"/>
    <w:rsid w:val="03E01183"/>
    <w:rsid w:val="03E978E3"/>
    <w:rsid w:val="03F60FF6"/>
    <w:rsid w:val="03F86B1C"/>
    <w:rsid w:val="03F90AE6"/>
    <w:rsid w:val="03FB03BA"/>
    <w:rsid w:val="040053AC"/>
    <w:rsid w:val="04062505"/>
    <w:rsid w:val="04137DFA"/>
    <w:rsid w:val="04184FBC"/>
    <w:rsid w:val="04243DB5"/>
    <w:rsid w:val="0428089C"/>
    <w:rsid w:val="0433224A"/>
    <w:rsid w:val="043371C8"/>
    <w:rsid w:val="04365896"/>
    <w:rsid w:val="043F0415"/>
    <w:rsid w:val="045D1075"/>
    <w:rsid w:val="046976DB"/>
    <w:rsid w:val="046A433F"/>
    <w:rsid w:val="046E5030"/>
    <w:rsid w:val="04706FFA"/>
    <w:rsid w:val="0486237A"/>
    <w:rsid w:val="048B5BE2"/>
    <w:rsid w:val="049F51EA"/>
    <w:rsid w:val="04A42800"/>
    <w:rsid w:val="04B3705D"/>
    <w:rsid w:val="04B70785"/>
    <w:rsid w:val="04BF763A"/>
    <w:rsid w:val="04CD61FB"/>
    <w:rsid w:val="04D23811"/>
    <w:rsid w:val="04D72BD5"/>
    <w:rsid w:val="04E86B91"/>
    <w:rsid w:val="04F83365"/>
    <w:rsid w:val="05065269"/>
    <w:rsid w:val="050F05C1"/>
    <w:rsid w:val="051C1674"/>
    <w:rsid w:val="0523406D"/>
    <w:rsid w:val="053402B1"/>
    <w:rsid w:val="05542478"/>
    <w:rsid w:val="05583214"/>
    <w:rsid w:val="055F2BCB"/>
    <w:rsid w:val="05614B95"/>
    <w:rsid w:val="056A1C9B"/>
    <w:rsid w:val="056B1570"/>
    <w:rsid w:val="056D7096"/>
    <w:rsid w:val="0575419C"/>
    <w:rsid w:val="05776166"/>
    <w:rsid w:val="05805B85"/>
    <w:rsid w:val="058072FC"/>
    <w:rsid w:val="05874C16"/>
    <w:rsid w:val="05882122"/>
    <w:rsid w:val="058873C0"/>
    <w:rsid w:val="05A0746B"/>
    <w:rsid w:val="05B922DB"/>
    <w:rsid w:val="05C3315A"/>
    <w:rsid w:val="05CE7F8F"/>
    <w:rsid w:val="05CF0B21"/>
    <w:rsid w:val="05D80FC6"/>
    <w:rsid w:val="05DE61E6"/>
    <w:rsid w:val="05E732EC"/>
    <w:rsid w:val="05FB6D97"/>
    <w:rsid w:val="05FC0525"/>
    <w:rsid w:val="05FD666C"/>
    <w:rsid w:val="06023E58"/>
    <w:rsid w:val="060C1E85"/>
    <w:rsid w:val="06287461"/>
    <w:rsid w:val="063B53E6"/>
    <w:rsid w:val="064323A1"/>
    <w:rsid w:val="064F6B3F"/>
    <w:rsid w:val="06606822"/>
    <w:rsid w:val="06624721"/>
    <w:rsid w:val="066F6E3E"/>
    <w:rsid w:val="06874187"/>
    <w:rsid w:val="068C79F0"/>
    <w:rsid w:val="06935222"/>
    <w:rsid w:val="069B5B9D"/>
    <w:rsid w:val="06A60436"/>
    <w:rsid w:val="06A72A7B"/>
    <w:rsid w:val="06AD62E4"/>
    <w:rsid w:val="06BA27AF"/>
    <w:rsid w:val="06D05B2E"/>
    <w:rsid w:val="06D118A6"/>
    <w:rsid w:val="06DA4BFF"/>
    <w:rsid w:val="06E51DAE"/>
    <w:rsid w:val="06E72E78"/>
    <w:rsid w:val="06EB0BBA"/>
    <w:rsid w:val="06F6179A"/>
    <w:rsid w:val="06FE6B3F"/>
    <w:rsid w:val="07034156"/>
    <w:rsid w:val="070677A2"/>
    <w:rsid w:val="070D7056"/>
    <w:rsid w:val="07106873"/>
    <w:rsid w:val="071874D5"/>
    <w:rsid w:val="071D689A"/>
    <w:rsid w:val="071F0864"/>
    <w:rsid w:val="071F2612"/>
    <w:rsid w:val="07351E35"/>
    <w:rsid w:val="073C1416"/>
    <w:rsid w:val="073D0CEA"/>
    <w:rsid w:val="075141CC"/>
    <w:rsid w:val="07611477"/>
    <w:rsid w:val="076B43DC"/>
    <w:rsid w:val="076F17EB"/>
    <w:rsid w:val="07726BE5"/>
    <w:rsid w:val="077A3A35"/>
    <w:rsid w:val="077B0190"/>
    <w:rsid w:val="077C5CB6"/>
    <w:rsid w:val="07807554"/>
    <w:rsid w:val="078A03D3"/>
    <w:rsid w:val="078D1C71"/>
    <w:rsid w:val="079F3753"/>
    <w:rsid w:val="07A654C1"/>
    <w:rsid w:val="07A77725"/>
    <w:rsid w:val="07AA7D00"/>
    <w:rsid w:val="07AF3996"/>
    <w:rsid w:val="07B05960"/>
    <w:rsid w:val="07B436A2"/>
    <w:rsid w:val="07B92A66"/>
    <w:rsid w:val="07BD710D"/>
    <w:rsid w:val="07BE1E2B"/>
    <w:rsid w:val="07CA07CF"/>
    <w:rsid w:val="07CC09EB"/>
    <w:rsid w:val="07D258D6"/>
    <w:rsid w:val="07D618AF"/>
    <w:rsid w:val="07FB729A"/>
    <w:rsid w:val="08007C85"/>
    <w:rsid w:val="08040B54"/>
    <w:rsid w:val="08144141"/>
    <w:rsid w:val="081B06DA"/>
    <w:rsid w:val="08234384"/>
    <w:rsid w:val="0844165D"/>
    <w:rsid w:val="08444A26"/>
    <w:rsid w:val="08457EB8"/>
    <w:rsid w:val="08493DEA"/>
    <w:rsid w:val="085836BA"/>
    <w:rsid w:val="08626C5A"/>
    <w:rsid w:val="086504F8"/>
    <w:rsid w:val="08652B5E"/>
    <w:rsid w:val="08652BE4"/>
    <w:rsid w:val="08762705"/>
    <w:rsid w:val="08803584"/>
    <w:rsid w:val="08847374"/>
    <w:rsid w:val="08A46479"/>
    <w:rsid w:val="08AE022E"/>
    <w:rsid w:val="08B817A8"/>
    <w:rsid w:val="08C6543B"/>
    <w:rsid w:val="08C81884"/>
    <w:rsid w:val="08CE609D"/>
    <w:rsid w:val="08D30D5B"/>
    <w:rsid w:val="08E57F67"/>
    <w:rsid w:val="08EB30F3"/>
    <w:rsid w:val="08EE04EE"/>
    <w:rsid w:val="09074B37"/>
    <w:rsid w:val="09150170"/>
    <w:rsid w:val="09213AD4"/>
    <w:rsid w:val="09250379"/>
    <w:rsid w:val="092521FD"/>
    <w:rsid w:val="092B1742"/>
    <w:rsid w:val="093323A4"/>
    <w:rsid w:val="0935611C"/>
    <w:rsid w:val="093A3733"/>
    <w:rsid w:val="09420839"/>
    <w:rsid w:val="097053A7"/>
    <w:rsid w:val="097F330E"/>
    <w:rsid w:val="097F55EA"/>
    <w:rsid w:val="09817015"/>
    <w:rsid w:val="0995305F"/>
    <w:rsid w:val="099B68C7"/>
    <w:rsid w:val="09B039F5"/>
    <w:rsid w:val="09C82C7A"/>
    <w:rsid w:val="09C87119"/>
    <w:rsid w:val="09CA6A25"/>
    <w:rsid w:val="09CD0A4B"/>
    <w:rsid w:val="09CD37EC"/>
    <w:rsid w:val="09CF47C3"/>
    <w:rsid w:val="09E365B4"/>
    <w:rsid w:val="09EB2C7F"/>
    <w:rsid w:val="09F81004"/>
    <w:rsid w:val="09FE6E56"/>
    <w:rsid w:val="0A1421D6"/>
    <w:rsid w:val="0A1827EB"/>
    <w:rsid w:val="0A195A3E"/>
    <w:rsid w:val="0A2334AF"/>
    <w:rsid w:val="0A2A7C4B"/>
    <w:rsid w:val="0A2C751F"/>
    <w:rsid w:val="0A2E2EBC"/>
    <w:rsid w:val="0A391C3C"/>
    <w:rsid w:val="0A434869"/>
    <w:rsid w:val="0A461821"/>
    <w:rsid w:val="0A522CFE"/>
    <w:rsid w:val="0A54385D"/>
    <w:rsid w:val="0A5B1BB3"/>
    <w:rsid w:val="0A6071C9"/>
    <w:rsid w:val="0A821835"/>
    <w:rsid w:val="0A876E4C"/>
    <w:rsid w:val="0A884CF2"/>
    <w:rsid w:val="0A8B1D36"/>
    <w:rsid w:val="0A8C7FBE"/>
    <w:rsid w:val="0A9034BE"/>
    <w:rsid w:val="0A913826"/>
    <w:rsid w:val="0A9357F1"/>
    <w:rsid w:val="0A9D21CB"/>
    <w:rsid w:val="0AA277E2"/>
    <w:rsid w:val="0AC459AA"/>
    <w:rsid w:val="0ACF434F"/>
    <w:rsid w:val="0AD67BFB"/>
    <w:rsid w:val="0ADD2F10"/>
    <w:rsid w:val="0AE222D4"/>
    <w:rsid w:val="0AE41BA8"/>
    <w:rsid w:val="0AE676F0"/>
    <w:rsid w:val="0AE71698"/>
    <w:rsid w:val="0AF049F1"/>
    <w:rsid w:val="0AFD2902"/>
    <w:rsid w:val="0B0C55A3"/>
    <w:rsid w:val="0B0D7F7C"/>
    <w:rsid w:val="0B112BB9"/>
    <w:rsid w:val="0B1D330C"/>
    <w:rsid w:val="0B21104E"/>
    <w:rsid w:val="0B2408F9"/>
    <w:rsid w:val="0B246449"/>
    <w:rsid w:val="0B4A13AC"/>
    <w:rsid w:val="0B583DCB"/>
    <w:rsid w:val="0B6745CE"/>
    <w:rsid w:val="0B786794"/>
    <w:rsid w:val="0B8674D4"/>
    <w:rsid w:val="0B8E420A"/>
    <w:rsid w:val="0B9C06D5"/>
    <w:rsid w:val="0B9E71AD"/>
    <w:rsid w:val="0BC91C49"/>
    <w:rsid w:val="0BE16F32"/>
    <w:rsid w:val="0BE37935"/>
    <w:rsid w:val="0BE43B46"/>
    <w:rsid w:val="0BE61950"/>
    <w:rsid w:val="0BEA32BC"/>
    <w:rsid w:val="0BFD13C0"/>
    <w:rsid w:val="0C006EB6"/>
    <w:rsid w:val="0C07025C"/>
    <w:rsid w:val="0C18330D"/>
    <w:rsid w:val="0C1E558E"/>
    <w:rsid w:val="0C214339"/>
    <w:rsid w:val="0C28640C"/>
    <w:rsid w:val="0C395F24"/>
    <w:rsid w:val="0C3E353A"/>
    <w:rsid w:val="0C5B7150"/>
    <w:rsid w:val="0C685E35"/>
    <w:rsid w:val="0C742D75"/>
    <w:rsid w:val="0C760F26"/>
    <w:rsid w:val="0C7E602C"/>
    <w:rsid w:val="0C801DA5"/>
    <w:rsid w:val="0C802428"/>
    <w:rsid w:val="0C85560D"/>
    <w:rsid w:val="0C880C59"/>
    <w:rsid w:val="0C8A5EE5"/>
    <w:rsid w:val="0C963376"/>
    <w:rsid w:val="0C985340"/>
    <w:rsid w:val="0C9D2956"/>
    <w:rsid w:val="0CA23699"/>
    <w:rsid w:val="0CAB263C"/>
    <w:rsid w:val="0CAF268A"/>
    <w:rsid w:val="0CC2416B"/>
    <w:rsid w:val="0CCC4FEA"/>
    <w:rsid w:val="0CD93263"/>
    <w:rsid w:val="0CDB347F"/>
    <w:rsid w:val="0CDB6FDB"/>
    <w:rsid w:val="0CE265BB"/>
    <w:rsid w:val="0CE82126"/>
    <w:rsid w:val="0CEE1AAB"/>
    <w:rsid w:val="0CEE6D0E"/>
    <w:rsid w:val="0CF85DDF"/>
    <w:rsid w:val="0CFF0B73"/>
    <w:rsid w:val="0D0320F1"/>
    <w:rsid w:val="0D077DD0"/>
    <w:rsid w:val="0D0A06AF"/>
    <w:rsid w:val="0D162709"/>
    <w:rsid w:val="0D215336"/>
    <w:rsid w:val="0D240982"/>
    <w:rsid w:val="0D28559A"/>
    <w:rsid w:val="0D2A1D10"/>
    <w:rsid w:val="0D35493D"/>
    <w:rsid w:val="0D3B3F1D"/>
    <w:rsid w:val="0D557AE1"/>
    <w:rsid w:val="0D576E17"/>
    <w:rsid w:val="0D646FD0"/>
    <w:rsid w:val="0D782A7C"/>
    <w:rsid w:val="0D7C39C7"/>
    <w:rsid w:val="0D821B4C"/>
    <w:rsid w:val="0D841421"/>
    <w:rsid w:val="0D9773A6"/>
    <w:rsid w:val="0D984ECC"/>
    <w:rsid w:val="0D9D325A"/>
    <w:rsid w:val="0D9F26FE"/>
    <w:rsid w:val="0D9F44AC"/>
    <w:rsid w:val="0DAC2718"/>
    <w:rsid w:val="0DAF0B93"/>
    <w:rsid w:val="0DC6100A"/>
    <w:rsid w:val="0DC67C8B"/>
    <w:rsid w:val="0DCC20FC"/>
    <w:rsid w:val="0DCE6B40"/>
    <w:rsid w:val="0DD20D46"/>
    <w:rsid w:val="0DD405FA"/>
    <w:rsid w:val="0DD51C7C"/>
    <w:rsid w:val="0DDC74AE"/>
    <w:rsid w:val="0DE40111"/>
    <w:rsid w:val="0DFB23C6"/>
    <w:rsid w:val="0E06277D"/>
    <w:rsid w:val="0E0D1416"/>
    <w:rsid w:val="0E1409F6"/>
    <w:rsid w:val="0E1924B1"/>
    <w:rsid w:val="0E1A1D85"/>
    <w:rsid w:val="0E257E17"/>
    <w:rsid w:val="0E325AC7"/>
    <w:rsid w:val="0E356BBF"/>
    <w:rsid w:val="0E3A41D5"/>
    <w:rsid w:val="0E3E3CC5"/>
    <w:rsid w:val="0E4137B5"/>
    <w:rsid w:val="0E5168C6"/>
    <w:rsid w:val="0E5A03D3"/>
    <w:rsid w:val="0E606C70"/>
    <w:rsid w:val="0E6A1E4A"/>
    <w:rsid w:val="0E833DCE"/>
    <w:rsid w:val="0E8F4521"/>
    <w:rsid w:val="0E947DE1"/>
    <w:rsid w:val="0E9E29B6"/>
    <w:rsid w:val="0EB126E9"/>
    <w:rsid w:val="0EB40990"/>
    <w:rsid w:val="0EC341CA"/>
    <w:rsid w:val="0EDF7256"/>
    <w:rsid w:val="0EE24046"/>
    <w:rsid w:val="0EE303C9"/>
    <w:rsid w:val="0EE8653B"/>
    <w:rsid w:val="0EF35A43"/>
    <w:rsid w:val="0EFA4090"/>
    <w:rsid w:val="0F0A3BA7"/>
    <w:rsid w:val="0F1459C1"/>
    <w:rsid w:val="0F242EBB"/>
    <w:rsid w:val="0F3155D8"/>
    <w:rsid w:val="0F346F6A"/>
    <w:rsid w:val="0F481A9B"/>
    <w:rsid w:val="0F5117D6"/>
    <w:rsid w:val="0F6755A9"/>
    <w:rsid w:val="0F712470"/>
    <w:rsid w:val="0F783207"/>
    <w:rsid w:val="0F8B51DE"/>
    <w:rsid w:val="0F977B31"/>
    <w:rsid w:val="0FA85D6A"/>
    <w:rsid w:val="0FC65D20"/>
    <w:rsid w:val="0FD05A2E"/>
    <w:rsid w:val="0FD06E18"/>
    <w:rsid w:val="0FEE2258"/>
    <w:rsid w:val="0FF76461"/>
    <w:rsid w:val="0FFA6CF7"/>
    <w:rsid w:val="0FFD54BA"/>
    <w:rsid w:val="100D1BA1"/>
    <w:rsid w:val="100E79C7"/>
    <w:rsid w:val="101313A2"/>
    <w:rsid w:val="10190546"/>
    <w:rsid w:val="101D790A"/>
    <w:rsid w:val="10282537"/>
    <w:rsid w:val="102B0279"/>
    <w:rsid w:val="102D4B1A"/>
    <w:rsid w:val="10321608"/>
    <w:rsid w:val="10332DD5"/>
    <w:rsid w:val="10480E2B"/>
    <w:rsid w:val="10484987"/>
    <w:rsid w:val="10541406"/>
    <w:rsid w:val="1054157E"/>
    <w:rsid w:val="10581E37"/>
    <w:rsid w:val="105D02E8"/>
    <w:rsid w:val="106A6FF4"/>
    <w:rsid w:val="10771710"/>
    <w:rsid w:val="107B31B9"/>
    <w:rsid w:val="107C6D27"/>
    <w:rsid w:val="107F3A01"/>
    <w:rsid w:val="10802373"/>
    <w:rsid w:val="108654B0"/>
    <w:rsid w:val="108A4FA0"/>
    <w:rsid w:val="10905083"/>
    <w:rsid w:val="1090632E"/>
    <w:rsid w:val="109835A9"/>
    <w:rsid w:val="10A5002C"/>
    <w:rsid w:val="10AC449C"/>
    <w:rsid w:val="10AF4A06"/>
    <w:rsid w:val="10C77FA2"/>
    <w:rsid w:val="10FB7C4C"/>
    <w:rsid w:val="11033D49"/>
    <w:rsid w:val="110E5BD1"/>
    <w:rsid w:val="111B209C"/>
    <w:rsid w:val="111C620F"/>
    <w:rsid w:val="112B49AA"/>
    <w:rsid w:val="11380EA0"/>
    <w:rsid w:val="11405FA6"/>
    <w:rsid w:val="11457119"/>
    <w:rsid w:val="11494AAF"/>
    <w:rsid w:val="114A0634"/>
    <w:rsid w:val="11630664"/>
    <w:rsid w:val="116F4196"/>
    <w:rsid w:val="11716160"/>
    <w:rsid w:val="118714DF"/>
    <w:rsid w:val="118C373B"/>
    <w:rsid w:val="11CB3AC2"/>
    <w:rsid w:val="11D02E86"/>
    <w:rsid w:val="11DA00E3"/>
    <w:rsid w:val="11DD7EA8"/>
    <w:rsid w:val="11E16E34"/>
    <w:rsid w:val="11E64458"/>
    <w:rsid w:val="11E87EC2"/>
    <w:rsid w:val="11EF5AC2"/>
    <w:rsid w:val="11F264F1"/>
    <w:rsid w:val="11F56D91"/>
    <w:rsid w:val="11F6684A"/>
    <w:rsid w:val="11F8418B"/>
    <w:rsid w:val="11F94050"/>
    <w:rsid w:val="120312BA"/>
    <w:rsid w:val="12156159"/>
    <w:rsid w:val="12174F59"/>
    <w:rsid w:val="121C60CC"/>
    <w:rsid w:val="1225739F"/>
    <w:rsid w:val="122D02D9"/>
    <w:rsid w:val="122D269E"/>
    <w:rsid w:val="123644F1"/>
    <w:rsid w:val="124128CC"/>
    <w:rsid w:val="12456EF9"/>
    <w:rsid w:val="1255782F"/>
    <w:rsid w:val="125E4936"/>
    <w:rsid w:val="126134A6"/>
    <w:rsid w:val="126B0E01"/>
    <w:rsid w:val="127001C5"/>
    <w:rsid w:val="1283439D"/>
    <w:rsid w:val="12891287"/>
    <w:rsid w:val="12894E14"/>
    <w:rsid w:val="128B0826"/>
    <w:rsid w:val="12906AB9"/>
    <w:rsid w:val="12955E7E"/>
    <w:rsid w:val="12982A14"/>
    <w:rsid w:val="129A3494"/>
    <w:rsid w:val="12B74046"/>
    <w:rsid w:val="12C10DDF"/>
    <w:rsid w:val="12C66037"/>
    <w:rsid w:val="12D92E17"/>
    <w:rsid w:val="12DB164E"/>
    <w:rsid w:val="12DD1CFF"/>
    <w:rsid w:val="12E11EC1"/>
    <w:rsid w:val="12E91569"/>
    <w:rsid w:val="12EB3CF0"/>
    <w:rsid w:val="12EC28B4"/>
    <w:rsid w:val="12ED5CBA"/>
    <w:rsid w:val="12F2507E"/>
    <w:rsid w:val="12F26E2C"/>
    <w:rsid w:val="12F6691D"/>
    <w:rsid w:val="1305022D"/>
    <w:rsid w:val="130A061A"/>
    <w:rsid w:val="131B2827"/>
    <w:rsid w:val="13244572"/>
    <w:rsid w:val="132F0080"/>
    <w:rsid w:val="13394A5B"/>
    <w:rsid w:val="133D136E"/>
    <w:rsid w:val="1363758C"/>
    <w:rsid w:val="13661657"/>
    <w:rsid w:val="136956F4"/>
    <w:rsid w:val="136E07EA"/>
    <w:rsid w:val="137837D5"/>
    <w:rsid w:val="138C263E"/>
    <w:rsid w:val="138C7281"/>
    <w:rsid w:val="138E2AC5"/>
    <w:rsid w:val="139A44DB"/>
    <w:rsid w:val="13A22600"/>
    <w:rsid w:val="13A36BE1"/>
    <w:rsid w:val="13AB3BAB"/>
    <w:rsid w:val="13C0517C"/>
    <w:rsid w:val="13E744B7"/>
    <w:rsid w:val="13E9022F"/>
    <w:rsid w:val="13E93BC1"/>
    <w:rsid w:val="13E96481"/>
    <w:rsid w:val="13F84916"/>
    <w:rsid w:val="13F866C4"/>
    <w:rsid w:val="14063EDB"/>
    <w:rsid w:val="14193629"/>
    <w:rsid w:val="141E7F46"/>
    <w:rsid w:val="1424570B"/>
    <w:rsid w:val="14263231"/>
    <w:rsid w:val="14381B7B"/>
    <w:rsid w:val="14395E90"/>
    <w:rsid w:val="144638D4"/>
    <w:rsid w:val="145C4EA5"/>
    <w:rsid w:val="14603640"/>
    <w:rsid w:val="14641FAC"/>
    <w:rsid w:val="146861A2"/>
    <w:rsid w:val="14956609"/>
    <w:rsid w:val="14973F50"/>
    <w:rsid w:val="14A34882"/>
    <w:rsid w:val="14CE268F"/>
    <w:rsid w:val="14D40EDF"/>
    <w:rsid w:val="14D50018"/>
    <w:rsid w:val="14DA6FAE"/>
    <w:rsid w:val="14E05AD6"/>
    <w:rsid w:val="14E629C1"/>
    <w:rsid w:val="14ED5D0A"/>
    <w:rsid w:val="14EF1875"/>
    <w:rsid w:val="14F63288"/>
    <w:rsid w:val="15033573"/>
    <w:rsid w:val="15051FB2"/>
    <w:rsid w:val="15054238"/>
    <w:rsid w:val="1527518D"/>
    <w:rsid w:val="152B05E3"/>
    <w:rsid w:val="15301D70"/>
    <w:rsid w:val="154A11A2"/>
    <w:rsid w:val="15527217"/>
    <w:rsid w:val="155315AB"/>
    <w:rsid w:val="156201FA"/>
    <w:rsid w:val="15620294"/>
    <w:rsid w:val="156E30E2"/>
    <w:rsid w:val="156F0C08"/>
    <w:rsid w:val="15766B2C"/>
    <w:rsid w:val="15791D29"/>
    <w:rsid w:val="15797E41"/>
    <w:rsid w:val="157D1577"/>
    <w:rsid w:val="157E709D"/>
    <w:rsid w:val="1582093B"/>
    <w:rsid w:val="15875F52"/>
    <w:rsid w:val="158C17BA"/>
    <w:rsid w:val="158C3568"/>
    <w:rsid w:val="159348F7"/>
    <w:rsid w:val="15966195"/>
    <w:rsid w:val="15A11260"/>
    <w:rsid w:val="15AA7E92"/>
    <w:rsid w:val="15AC3C0A"/>
    <w:rsid w:val="15B716F5"/>
    <w:rsid w:val="15D31197"/>
    <w:rsid w:val="15D8055B"/>
    <w:rsid w:val="15DD5B72"/>
    <w:rsid w:val="15F1786F"/>
    <w:rsid w:val="15F35395"/>
    <w:rsid w:val="15F630D7"/>
    <w:rsid w:val="15FB249C"/>
    <w:rsid w:val="16087832"/>
    <w:rsid w:val="16117F11"/>
    <w:rsid w:val="16145F48"/>
    <w:rsid w:val="16161084"/>
    <w:rsid w:val="161F262E"/>
    <w:rsid w:val="162639BD"/>
    <w:rsid w:val="162C43CD"/>
    <w:rsid w:val="16302145"/>
    <w:rsid w:val="163065E9"/>
    <w:rsid w:val="16351E52"/>
    <w:rsid w:val="1635775C"/>
    <w:rsid w:val="16474911"/>
    <w:rsid w:val="16481B85"/>
    <w:rsid w:val="164B53B3"/>
    <w:rsid w:val="164E4CC1"/>
    <w:rsid w:val="164E6A70"/>
    <w:rsid w:val="168D18C4"/>
    <w:rsid w:val="16967CC0"/>
    <w:rsid w:val="169A3A63"/>
    <w:rsid w:val="16AF39B2"/>
    <w:rsid w:val="16B20DAC"/>
    <w:rsid w:val="16B70AB9"/>
    <w:rsid w:val="16BC7E7D"/>
    <w:rsid w:val="16BE1E47"/>
    <w:rsid w:val="16D056D6"/>
    <w:rsid w:val="16D301F3"/>
    <w:rsid w:val="16D57191"/>
    <w:rsid w:val="16D927DD"/>
    <w:rsid w:val="16DD2BDE"/>
    <w:rsid w:val="16E2350D"/>
    <w:rsid w:val="16EF3DAF"/>
    <w:rsid w:val="17054C23"/>
    <w:rsid w:val="170B0D59"/>
    <w:rsid w:val="172C67FB"/>
    <w:rsid w:val="173A48D6"/>
    <w:rsid w:val="17432C1D"/>
    <w:rsid w:val="174A117A"/>
    <w:rsid w:val="174D31CB"/>
    <w:rsid w:val="17604CAC"/>
    <w:rsid w:val="1761400C"/>
    <w:rsid w:val="176C3651"/>
    <w:rsid w:val="177A3A04"/>
    <w:rsid w:val="177B1AE6"/>
    <w:rsid w:val="177E5564"/>
    <w:rsid w:val="17872239"/>
    <w:rsid w:val="17885FB1"/>
    <w:rsid w:val="178A6601"/>
    <w:rsid w:val="1795684C"/>
    <w:rsid w:val="179606CE"/>
    <w:rsid w:val="17966384"/>
    <w:rsid w:val="179A7CC5"/>
    <w:rsid w:val="17AC1CA0"/>
    <w:rsid w:val="17DC00C1"/>
    <w:rsid w:val="17E458DD"/>
    <w:rsid w:val="17E85A1B"/>
    <w:rsid w:val="17E9747F"/>
    <w:rsid w:val="18027B12"/>
    <w:rsid w:val="1804388A"/>
    <w:rsid w:val="18131D1F"/>
    <w:rsid w:val="18226406"/>
    <w:rsid w:val="18275E17"/>
    <w:rsid w:val="182C2DE0"/>
    <w:rsid w:val="1831412F"/>
    <w:rsid w:val="18363C5F"/>
    <w:rsid w:val="183F0D66"/>
    <w:rsid w:val="185A16FC"/>
    <w:rsid w:val="18602A8A"/>
    <w:rsid w:val="1864257A"/>
    <w:rsid w:val="187B477F"/>
    <w:rsid w:val="18802DD1"/>
    <w:rsid w:val="18814EDA"/>
    <w:rsid w:val="18842C1C"/>
    <w:rsid w:val="189C7F66"/>
    <w:rsid w:val="18A1732B"/>
    <w:rsid w:val="18AD1107"/>
    <w:rsid w:val="18C62AC4"/>
    <w:rsid w:val="18E70460"/>
    <w:rsid w:val="18F03E0E"/>
    <w:rsid w:val="19006747"/>
    <w:rsid w:val="19120D79"/>
    <w:rsid w:val="19223CD4"/>
    <w:rsid w:val="1935070A"/>
    <w:rsid w:val="19404D95"/>
    <w:rsid w:val="19466EF4"/>
    <w:rsid w:val="194B6C84"/>
    <w:rsid w:val="194F6D87"/>
    <w:rsid w:val="19592563"/>
    <w:rsid w:val="195A6DE8"/>
    <w:rsid w:val="197D7D98"/>
    <w:rsid w:val="198253AE"/>
    <w:rsid w:val="19871ABB"/>
    <w:rsid w:val="1987566D"/>
    <w:rsid w:val="198A7DBF"/>
    <w:rsid w:val="198B481E"/>
    <w:rsid w:val="198C7FDB"/>
    <w:rsid w:val="199155F1"/>
    <w:rsid w:val="19B1359D"/>
    <w:rsid w:val="19B25567"/>
    <w:rsid w:val="19BD63E6"/>
    <w:rsid w:val="19C5529B"/>
    <w:rsid w:val="19E368B4"/>
    <w:rsid w:val="19F71C34"/>
    <w:rsid w:val="19F8741E"/>
    <w:rsid w:val="1A02029D"/>
    <w:rsid w:val="1A023DF9"/>
    <w:rsid w:val="1A1A3838"/>
    <w:rsid w:val="1A2226ED"/>
    <w:rsid w:val="1A271AB1"/>
    <w:rsid w:val="1A2A3962"/>
    <w:rsid w:val="1A3146DE"/>
    <w:rsid w:val="1A340CCE"/>
    <w:rsid w:val="1A3A3AD9"/>
    <w:rsid w:val="1A3D7527"/>
    <w:rsid w:val="1A424B3D"/>
    <w:rsid w:val="1A5D3725"/>
    <w:rsid w:val="1A6E5932"/>
    <w:rsid w:val="1A6F6194"/>
    <w:rsid w:val="1A7171D0"/>
    <w:rsid w:val="1A766595"/>
    <w:rsid w:val="1A7840BB"/>
    <w:rsid w:val="1A7E1F9E"/>
    <w:rsid w:val="1A8910F2"/>
    <w:rsid w:val="1A8A3DEE"/>
    <w:rsid w:val="1A8E076A"/>
    <w:rsid w:val="1A9133CF"/>
    <w:rsid w:val="1A9C249F"/>
    <w:rsid w:val="1AA4131B"/>
    <w:rsid w:val="1AAA1D05"/>
    <w:rsid w:val="1AAB26E2"/>
    <w:rsid w:val="1AAC0209"/>
    <w:rsid w:val="1AB1581F"/>
    <w:rsid w:val="1ABB742A"/>
    <w:rsid w:val="1ABF7BA8"/>
    <w:rsid w:val="1AC6751C"/>
    <w:rsid w:val="1ACD2659"/>
    <w:rsid w:val="1ACF6E5D"/>
    <w:rsid w:val="1ADC0AEE"/>
    <w:rsid w:val="1AE9473C"/>
    <w:rsid w:val="1AF007D6"/>
    <w:rsid w:val="1AFA5418"/>
    <w:rsid w:val="1B0167A6"/>
    <w:rsid w:val="1B0A2335"/>
    <w:rsid w:val="1B102545"/>
    <w:rsid w:val="1B17344E"/>
    <w:rsid w:val="1B23671D"/>
    <w:rsid w:val="1B2A407F"/>
    <w:rsid w:val="1B495A57"/>
    <w:rsid w:val="1B544B28"/>
    <w:rsid w:val="1B5468D6"/>
    <w:rsid w:val="1B590390"/>
    <w:rsid w:val="1B5E1503"/>
    <w:rsid w:val="1B5F73A7"/>
    <w:rsid w:val="1B724EFE"/>
    <w:rsid w:val="1B740D26"/>
    <w:rsid w:val="1B770817"/>
    <w:rsid w:val="1B7E1BA5"/>
    <w:rsid w:val="1B8C7B6C"/>
    <w:rsid w:val="1B9118D8"/>
    <w:rsid w:val="1B972803"/>
    <w:rsid w:val="1B972BB7"/>
    <w:rsid w:val="1B996E8C"/>
    <w:rsid w:val="1BAA299A"/>
    <w:rsid w:val="1BB03EA9"/>
    <w:rsid w:val="1BB750B7"/>
    <w:rsid w:val="1BB9408F"/>
    <w:rsid w:val="1BC3580A"/>
    <w:rsid w:val="1BCD0437"/>
    <w:rsid w:val="1BD21EF1"/>
    <w:rsid w:val="1BD619E1"/>
    <w:rsid w:val="1BDE43F2"/>
    <w:rsid w:val="1BE063BC"/>
    <w:rsid w:val="1BE16626"/>
    <w:rsid w:val="1BE340FE"/>
    <w:rsid w:val="1BEF3417"/>
    <w:rsid w:val="1BF12377"/>
    <w:rsid w:val="1BF43C15"/>
    <w:rsid w:val="1BF53076"/>
    <w:rsid w:val="1BF63E31"/>
    <w:rsid w:val="1BF6B2FF"/>
    <w:rsid w:val="1BFF0584"/>
    <w:rsid w:val="1C166281"/>
    <w:rsid w:val="1C2F283F"/>
    <w:rsid w:val="1C31023A"/>
    <w:rsid w:val="1C35495A"/>
    <w:rsid w:val="1C365FDC"/>
    <w:rsid w:val="1C4F7D9A"/>
    <w:rsid w:val="1C581A86"/>
    <w:rsid w:val="1C5A43C0"/>
    <w:rsid w:val="1C5D3A88"/>
    <w:rsid w:val="1C5D5C5E"/>
    <w:rsid w:val="1C5E5533"/>
    <w:rsid w:val="1C7A6810"/>
    <w:rsid w:val="1C824A3B"/>
    <w:rsid w:val="1C8950B0"/>
    <w:rsid w:val="1C8E619A"/>
    <w:rsid w:val="1C9D605B"/>
    <w:rsid w:val="1CA67A54"/>
    <w:rsid w:val="1CB00110"/>
    <w:rsid w:val="1CBB4733"/>
    <w:rsid w:val="1CC47A8B"/>
    <w:rsid w:val="1CCA0BDB"/>
    <w:rsid w:val="1CCE090A"/>
    <w:rsid w:val="1CE25E31"/>
    <w:rsid w:val="1CE75528"/>
    <w:rsid w:val="1CEE2D5A"/>
    <w:rsid w:val="1CF10155"/>
    <w:rsid w:val="1CF57C45"/>
    <w:rsid w:val="1D097B94"/>
    <w:rsid w:val="1D0A3566"/>
    <w:rsid w:val="1D184A7F"/>
    <w:rsid w:val="1D1D0F4A"/>
    <w:rsid w:val="1D2E017D"/>
    <w:rsid w:val="1D383FD6"/>
    <w:rsid w:val="1D3A18FD"/>
    <w:rsid w:val="1D3C1D18"/>
    <w:rsid w:val="1D44297A"/>
    <w:rsid w:val="1D48187F"/>
    <w:rsid w:val="1D563F4C"/>
    <w:rsid w:val="1D767669"/>
    <w:rsid w:val="1D844E1C"/>
    <w:rsid w:val="1D943902"/>
    <w:rsid w:val="1D9C08F7"/>
    <w:rsid w:val="1DA17DCD"/>
    <w:rsid w:val="1DA63635"/>
    <w:rsid w:val="1DA659B6"/>
    <w:rsid w:val="1DB00010"/>
    <w:rsid w:val="1DB160B1"/>
    <w:rsid w:val="1DB93368"/>
    <w:rsid w:val="1DC31AF1"/>
    <w:rsid w:val="1DCC309C"/>
    <w:rsid w:val="1DCD2970"/>
    <w:rsid w:val="1DD67A76"/>
    <w:rsid w:val="1DF32F59"/>
    <w:rsid w:val="1DF779ED"/>
    <w:rsid w:val="1E1C7453"/>
    <w:rsid w:val="1E205195"/>
    <w:rsid w:val="1E311151"/>
    <w:rsid w:val="1E442D57"/>
    <w:rsid w:val="1E57048B"/>
    <w:rsid w:val="1E6C2189"/>
    <w:rsid w:val="1E707ECB"/>
    <w:rsid w:val="1E984D2C"/>
    <w:rsid w:val="1E995F3E"/>
    <w:rsid w:val="1EA13609"/>
    <w:rsid w:val="1EB37DB8"/>
    <w:rsid w:val="1EC51899"/>
    <w:rsid w:val="1ECB5101"/>
    <w:rsid w:val="1ED71AE4"/>
    <w:rsid w:val="1EE401DE"/>
    <w:rsid w:val="1F1F544D"/>
    <w:rsid w:val="1F262338"/>
    <w:rsid w:val="1F2E5690"/>
    <w:rsid w:val="1F332CA6"/>
    <w:rsid w:val="1F354376"/>
    <w:rsid w:val="1F3C5FFF"/>
    <w:rsid w:val="1F3F33F9"/>
    <w:rsid w:val="1F3F789D"/>
    <w:rsid w:val="1F444EB4"/>
    <w:rsid w:val="1F4629DA"/>
    <w:rsid w:val="1F486A4C"/>
    <w:rsid w:val="1F574BE7"/>
    <w:rsid w:val="1F5F3A9B"/>
    <w:rsid w:val="1F784B5D"/>
    <w:rsid w:val="1F7C63FB"/>
    <w:rsid w:val="1F7E03C6"/>
    <w:rsid w:val="1F861001"/>
    <w:rsid w:val="1F8D23B7"/>
    <w:rsid w:val="1F8E612F"/>
    <w:rsid w:val="1F8F25D3"/>
    <w:rsid w:val="1F950C34"/>
    <w:rsid w:val="1F9803AC"/>
    <w:rsid w:val="1F9C6A9E"/>
    <w:rsid w:val="1F9F033C"/>
    <w:rsid w:val="1FA85442"/>
    <w:rsid w:val="1FA94D17"/>
    <w:rsid w:val="1FA978E4"/>
    <w:rsid w:val="1FB7615B"/>
    <w:rsid w:val="1FB763D7"/>
    <w:rsid w:val="1FC6010A"/>
    <w:rsid w:val="1FED554B"/>
    <w:rsid w:val="1FFC578E"/>
    <w:rsid w:val="20124FB2"/>
    <w:rsid w:val="20191E9C"/>
    <w:rsid w:val="201D0C6B"/>
    <w:rsid w:val="202764B4"/>
    <w:rsid w:val="20290B0C"/>
    <w:rsid w:val="202B4C70"/>
    <w:rsid w:val="202C6073"/>
    <w:rsid w:val="2031397D"/>
    <w:rsid w:val="204213F3"/>
    <w:rsid w:val="204B206D"/>
    <w:rsid w:val="205D622D"/>
    <w:rsid w:val="205F2EDB"/>
    <w:rsid w:val="20621A95"/>
    <w:rsid w:val="20663B3B"/>
    <w:rsid w:val="207452C2"/>
    <w:rsid w:val="20825C93"/>
    <w:rsid w:val="209239FD"/>
    <w:rsid w:val="20970569"/>
    <w:rsid w:val="209B0B03"/>
    <w:rsid w:val="20A91472"/>
    <w:rsid w:val="20B1673B"/>
    <w:rsid w:val="20BB2B59"/>
    <w:rsid w:val="20BE3C8C"/>
    <w:rsid w:val="20C22534"/>
    <w:rsid w:val="20C52024"/>
    <w:rsid w:val="20C91B14"/>
    <w:rsid w:val="20DD55C0"/>
    <w:rsid w:val="20FF748D"/>
    <w:rsid w:val="21026DD4"/>
    <w:rsid w:val="210466A8"/>
    <w:rsid w:val="210B3EDB"/>
    <w:rsid w:val="210E7DC4"/>
    <w:rsid w:val="2110329F"/>
    <w:rsid w:val="211663DC"/>
    <w:rsid w:val="211A5ECC"/>
    <w:rsid w:val="211D59BC"/>
    <w:rsid w:val="21224D81"/>
    <w:rsid w:val="212B00D9"/>
    <w:rsid w:val="21333432"/>
    <w:rsid w:val="21432ED9"/>
    <w:rsid w:val="214A5CFC"/>
    <w:rsid w:val="214B4E5D"/>
    <w:rsid w:val="21612E24"/>
    <w:rsid w:val="2164183D"/>
    <w:rsid w:val="217575A6"/>
    <w:rsid w:val="21817CF9"/>
    <w:rsid w:val="2186530F"/>
    <w:rsid w:val="21893192"/>
    <w:rsid w:val="218B47EA"/>
    <w:rsid w:val="219957D9"/>
    <w:rsid w:val="21A1039B"/>
    <w:rsid w:val="21B30595"/>
    <w:rsid w:val="21B46321"/>
    <w:rsid w:val="21C920A0"/>
    <w:rsid w:val="21CA4416"/>
    <w:rsid w:val="21CB71C6"/>
    <w:rsid w:val="21CD73E2"/>
    <w:rsid w:val="21D14E90"/>
    <w:rsid w:val="21D95D87"/>
    <w:rsid w:val="21EB1B52"/>
    <w:rsid w:val="21ED3680"/>
    <w:rsid w:val="21EF55AB"/>
    <w:rsid w:val="21F229A5"/>
    <w:rsid w:val="21FE57EE"/>
    <w:rsid w:val="220470C9"/>
    <w:rsid w:val="22101BA0"/>
    <w:rsid w:val="22105521"/>
    <w:rsid w:val="22142748"/>
    <w:rsid w:val="22205764"/>
    <w:rsid w:val="2228286B"/>
    <w:rsid w:val="223631D9"/>
    <w:rsid w:val="223C6316"/>
    <w:rsid w:val="224C6559"/>
    <w:rsid w:val="224F429B"/>
    <w:rsid w:val="225E44DE"/>
    <w:rsid w:val="22600256"/>
    <w:rsid w:val="226407A8"/>
    <w:rsid w:val="226C6405"/>
    <w:rsid w:val="22737F8A"/>
    <w:rsid w:val="227B1683"/>
    <w:rsid w:val="22883309"/>
    <w:rsid w:val="228C2DF9"/>
    <w:rsid w:val="228C4BA7"/>
    <w:rsid w:val="228E4DC3"/>
    <w:rsid w:val="22A05321"/>
    <w:rsid w:val="22A7378F"/>
    <w:rsid w:val="22A801EB"/>
    <w:rsid w:val="22A83150"/>
    <w:rsid w:val="22B12860"/>
    <w:rsid w:val="22B83BEE"/>
    <w:rsid w:val="22B91715"/>
    <w:rsid w:val="22CE74BA"/>
    <w:rsid w:val="22D64075"/>
    <w:rsid w:val="22E622E2"/>
    <w:rsid w:val="22F24386"/>
    <w:rsid w:val="22F5467D"/>
    <w:rsid w:val="22F95A26"/>
    <w:rsid w:val="2302130E"/>
    <w:rsid w:val="23091074"/>
    <w:rsid w:val="230D7650"/>
    <w:rsid w:val="23101ECA"/>
    <w:rsid w:val="23111551"/>
    <w:rsid w:val="231908F9"/>
    <w:rsid w:val="231B7273"/>
    <w:rsid w:val="231C21FE"/>
    <w:rsid w:val="2329689A"/>
    <w:rsid w:val="232C1EE7"/>
    <w:rsid w:val="23452FA8"/>
    <w:rsid w:val="2350216D"/>
    <w:rsid w:val="23565B53"/>
    <w:rsid w:val="2358717F"/>
    <w:rsid w:val="23623B5A"/>
    <w:rsid w:val="236A3B25"/>
    <w:rsid w:val="23871813"/>
    <w:rsid w:val="239006C7"/>
    <w:rsid w:val="23953F30"/>
    <w:rsid w:val="239A1546"/>
    <w:rsid w:val="23A128D5"/>
    <w:rsid w:val="23A3664D"/>
    <w:rsid w:val="23AC2FB1"/>
    <w:rsid w:val="23AE0B4E"/>
    <w:rsid w:val="23BB4C27"/>
    <w:rsid w:val="23C93BD9"/>
    <w:rsid w:val="23D70F44"/>
    <w:rsid w:val="23D9206E"/>
    <w:rsid w:val="23E74D0B"/>
    <w:rsid w:val="23EF1892"/>
    <w:rsid w:val="23F0560A"/>
    <w:rsid w:val="23F23130"/>
    <w:rsid w:val="240268DD"/>
    <w:rsid w:val="24082954"/>
    <w:rsid w:val="240A2B9D"/>
    <w:rsid w:val="24125580"/>
    <w:rsid w:val="241308D1"/>
    <w:rsid w:val="24133113"/>
    <w:rsid w:val="242022A8"/>
    <w:rsid w:val="242332EA"/>
    <w:rsid w:val="2429118E"/>
    <w:rsid w:val="24291ACC"/>
    <w:rsid w:val="242A28CA"/>
    <w:rsid w:val="2432689E"/>
    <w:rsid w:val="243279D1"/>
    <w:rsid w:val="24341DDC"/>
    <w:rsid w:val="24343749"/>
    <w:rsid w:val="243472A5"/>
    <w:rsid w:val="244E3C37"/>
    <w:rsid w:val="244F0582"/>
    <w:rsid w:val="245060A9"/>
    <w:rsid w:val="245108AC"/>
    <w:rsid w:val="24763D61"/>
    <w:rsid w:val="247E2C16"/>
    <w:rsid w:val="24870CFE"/>
    <w:rsid w:val="248875F1"/>
    <w:rsid w:val="248C662C"/>
    <w:rsid w:val="248F1143"/>
    <w:rsid w:val="249B7324"/>
    <w:rsid w:val="249C4E4A"/>
    <w:rsid w:val="24AA57B9"/>
    <w:rsid w:val="24AE5A41"/>
    <w:rsid w:val="24AF3183"/>
    <w:rsid w:val="24B93C4E"/>
    <w:rsid w:val="24BB1774"/>
    <w:rsid w:val="24BE4E0B"/>
    <w:rsid w:val="24CB1BF8"/>
    <w:rsid w:val="24EC5DD1"/>
    <w:rsid w:val="24F31271"/>
    <w:rsid w:val="250637EA"/>
    <w:rsid w:val="25085E72"/>
    <w:rsid w:val="250F7D12"/>
    <w:rsid w:val="25323A5B"/>
    <w:rsid w:val="253D487F"/>
    <w:rsid w:val="254617D4"/>
    <w:rsid w:val="25492E96"/>
    <w:rsid w:val="254E4396"/>
    <w:rsid w:val="255A3128"/>
    <w:rsid w:val="255B09C0"/>
    <w:rsid w:val="255F47F5"/>
    <w:rsid w:val="25626093"/>
    <w:rsid w:val="256C2A6E"/>
    <w:rsid w:val="257302A1"/>
    <w:rsid w:val="25867FD4"/>
    <w:rsid w:val="258A1E09"/>
    <w:rsid w:val="25900E53"/>
    <w:rsid w:val="259049AF"/>
    <w:rsid w:val="25950217"/>
    <w:rsid w:val="25952D9C"/>
    <w:rsid w:val="25987D07"/>
    <w:rsid w:val="25C40AFC"/>
    <w:rsid w:val="25D52D09"/>
    <w:rsid w:val="25EC1A6E"/>
    <w:rsid w:val="25EE40D9"/>
    <w:rsid w:val="25EF306E"/>
    <w:rsid w:val="25F64996"/>
    <w:rsid w:val="25F767DC"/>
    <w:rsid w:val="25F969F8"/>
    <w:rsid w:val="25FA2770"/>
    <w:rsid w:val="25FC3DF2"/>
    <w:rsid w:val="25FF1B34"/>
    <w:rsid w:val="2601765A"/>
    <w:rsid w:val="260E7FC9"/>
    <w:rsid w:val="26235823"/>
    <w:rsid w:val="2628108B"/>
    <w:rsid w:val="263317DE"/>
    <w:rsid w:val="26386260"/>
    <w:rsid w:val="26445799"/>
    <w:rsid w:val="264A1001"/>
    <w:rsid w:val="26526108"/>
    <w:rsid w:val="265C6F87"/>
    <w:rsid w:val="266B541C"/>
    <w:rsid w:val="268A7650"/>
    <w:rsid w:val="269B185D"/>
    <w:rsid w:val="26A55B5E"/>
    <w:rsid w:val="26B4291F"/>
    <w:rsid w:val="26B66F36"/>
    <w:rsid w:val="26C012C4"/>
    <w:rsid w:val="26D20FF7"/>
    <w:rsid w:val="26E054C2"/>
    <w:rsid w:val="26E25288"/>
    <w:rsid w:val="26E32316"/>
    <w:rsid w:val="26E50B40"/>
    <w:rsid w:val="26E677C8"/>
    <w:rsid w:val="26EA1290"/>
    <w:rsid w:val="26ED7BDF"/>
    <w:rsid w:val="26FD2518"/>
    <w:rsid w:val="26FD42C6"/>
    <w:rsid w:val="27013D9C"/>
    <w:rsid w:val="270216DD"/>
    <w:rsid w:val="270A0791"/>
    <w:rsid w:val="270D202F"/>
    <w:rsid w:val="27133AE9"/>
    <w:rsid w:val="27182EAE"/>
    <w:rsid w:val="271C05DF"/>
    <w:rsid w:val="272555CB"/>
    <w:rsid w:val="272D6972"/>
    <w:rsid w:val="27313F6F"/>
    <w:rsid w:val="273677B9"/>
    <w:rsid w:val="27455C6D"/>
    <w:rsid w:val="2749750B"/>
    <w:rsid w:val="27637EA1"/>
    <w:rsid w:val="276460F3"/>
    <w:rsid w:val="276E0D20"/>
    <w:rsid w:val="277F117F"/>
    <w:rsid w:val="278247CB"/>
    <w:rsid w:val="27910EB2"/>
    <w:rsid w:val="279A4D97"/>
    <w:rsid w:val="279F537D"/>
    <w:rsid w:val="27A43C03"/>
    <w:rsid w:val="27B25959"/>
    <w:rsid w:val="27B76947"/>
    <w:rsid w:val="27C070A1"/>
    <w:rsid w:val="27D44E2A"/>
    <w:rsid w:val="27D75A4D"/>
    <w:rsid w:val="27D94BD3"/>
    <w:rsid w:val="27E62FAC"/>
    <w:rsid w:val="27E86D24"/>
    <w:rsid w:val="27E965F8"/>
    <w:rsid w:val="27F46EC8"/>
    <w:rsid w:val="27FE6AD8"/>
    <w:rsid w:val="280478D6"/>
    <w:rsid w:val="280653FC"/>
    <w:rsid w:val="282D3621"/>
    <w:rsid w:val="282F380E"/>
    <w:rsid w:val="28341F69"/>
    <w:rsid w:val="28373807"/>
    <w:rsid w:val="284101E2"/>
    <w:rsid w:val="28416434"/>
    <w:rsid w:val="28445F24"/>
    <w:rsid w:val="284D76B0"/>
    <w:rsid w:val="286D34D7"/>
    <w:rsid w:val="2879797C"/>
    <w:rsid w:val="28862099"/>
    <w:rsid w:val="288B742E"/>
    <w:rsid w:val="28963C50"/>
    <w:rsid w:val="28991DCC"/>
    <w:rsid w:val="289B4D66"/>
    <w:rsid w:val="28A363E3"/>
    <w:rsid w:val="28A569C3"/>
    <w:rsid w:val="28A854D5"/>
    <w:rsid w:val="28B26CFC"/>
    <w:rsid w:val="28B906C0"/>
    <w:rsid w:val="28C66939"/>
    <w:rsid w:val="28E520A3"/>
    <w:rsid w:val="28EA743E"/>
    <w:rsid w:val="28ED2118"/>
    <w:rsid w:val="28F17E5A"/>
    <w:rsid w:val="28F214DC"/>
    <w:rsid w:val="28FB65E3"/>
    <w:rsid w:val="290B259E"/>
    <w:rsid w:val="290D2652"/>
    <w:rsid w:val="290D6316"/>
    <w:rsid w:val="29325D7D"/>
    <w:rsid w:val="2936586D"/>
    <w:rsid w:val="293715E5"/>
    <w:rsid w:val="294D5A63"/>
    <w:rsid w:val="294E705B"/>
    <w:rsid w:val="294F2DD3"/>
    <w:rsid w:val="295126A7"/>
    <w:rsid w:val="295D54F0"/>
    <w:rsid w:val="2960422B"/>
    <w:rsid w:val="29673C78"/>
    <w:rsid w:val="296879F1"/>
    <w:rsid w:val="296C74E1"/>
    <w:rsid w:val="297760FA"/>
    <w:rsid w:val="297840D8"/>
    <w:rsid w:val="29817476"/>
    <w:rsid w:val="298310E1"/>
    <w:rsid w:val="298C36DF"/>
    <w:rsid w:val="298E6F2C"/>
    <w:rsid w:val="29915199"/>
    <w:rsid w:val="299B516E"/>
    <w:rsid w:val="299F753A"/>
    <w:rsid w:val="29B0436D"/>
    <w:rsid w:val="29C30E0C"/>
    <w:rsid w:val="29C53533"/>
    <w:rsid w:val="29C75E48"/>
    <w:rsid w:val="29CD3D28"/>
    <w:rsid w:val="29D43131"/>
    <w:rsid w:val="29EE439A"/>
    <w:rsid w:val="29F00463"/>
    <w:rsid w:val="29F319B0"/>
    <w:rsid w:val="29F51284"/>
    <w:rsid w:val="29F7460B"/>
    <w:rsid w:val="29FD282F"/>
    <w:rsid w:val="2A224043"/>
    <w:rsid w:val="2A247DBB"/>
    <w:rsid w:val="2A297BBB"/>
    <w:rsid w:val="2A2A78D0"/>
    <w:rsid w:val="2A2F1B5D"/>
    <w:rsid w:val="2A320FEF"/>
    <w:rsid w:val="2A3224D8"/>
    <w:rsid w:val="2A377AEF"/>
    <w:rsid w:val="2A385615"/>
    <w:rsid w:val="2A391625"/>
    <w:rsid w:val="2A3B73EF"/>
    <w:rsid w:val="2A3E70CF"/>
    <w:rsid w:val="2A465F84"/>
    <w:rsid w:val="2A5135E5"/>
    <w:rsid w:val="2A524929"/>
    <w:rsid w:val="2A5777E9"/>
    <w:rsid w:val="2A587A65"/>
    <w:rsid w:val="2A6401B8"/>
    <w:rsid w:val="2A7A79DB"/>
    <w:rsid w:val="2A7D127A"/>
    <w:rsid w:val="2A81520E"/>
    <w:rsid w:val="2A821D67"/>
    <w:rsid w:val="2A844BF3"/>
    <w:rsid w:val="2A8A07EF"/>
    <w:rsid w:val="2A905641"/>
    <w:rsid w:val="2A9A1E2C"/>
    <w:rsid w:val="2AA66A22"/>
    <w:rsid w:val="2AAF1D7B"/>
    <w:rsid w:val="2ABC7FF4"/>
    <w:rsid w:val="2AD01CF1"/>
    <w:rsid w:val="2AD4533E"/>
    <w:rsid w:val="2ADB142F"/>
    <w:rsid w:val="2ADC0696"/>
    <w:rsid w:val="2AED28A3"/>
    <w:rsid w:val="2AF25638"/>
    <w:rsid w:val="2AF27C7A"/>
    <w:rsid w:val="2AF552B4"/>
    <w:rsid w:val="2AF95BF7"/>
    <w:rsid w:val="2B1020EE"/>
    <w:rsid w:val="2B1225BD"/>
    <w:rsid w:val="2B1240B8"/>
    <w:rsid w:val="2B1304BD"/>
    <w:rsid w:val="2B1E480B"/>
    <w:rsid w:val="2B200583"/>
    <w:rsid w:val="2B275DB5"/>
    <w:rsid w:val="2B334FBF"/>
    <w:rsid w:val="2B345DDC"/>
    <w:rsid w:val="2B3C1135"/>
    <w:rsid w:val="2B3E30FF"/>
    <w:rsid w:val="2B415C62"/>
    <w:rsid w:val="2B45448D"/>
    <w:rsid w:val="2B572F02"/>
    <w:rsid w:val="2B5841C1"/>
    <w:rsid w:val="2B5B5A5F"/>
    <w:rsid w:val="2B5E72FD"/>
    <w:rsid w:val="2B6341CE"/>
    <w:rsid w:val="2B6A19C9"/>
    <w:rsid w:val="2B6D7540"/>
    <w:rsid w:val="2B764647"/>
    <w:rsid w:val="2B7E6805"/>
    <w:rsid w:val="2B886795"/>
    <w:rsid w:val="2B8D1F6B"/>
    <w:rsid w:val="2B8F395A"/>
    <w:rsid w:val="2B960845"/>
    <w:rsid w:val="2B9C26BE"/>
    <w:rsid w:val="2B9D7E25"/>
    <w:rsid w:val="2BA94A1C"/>
    <w:rsid w:val="2BB84C5F"/>
    <w:rsid w:val="2BC41856"/>
    <w:rsid w:val="2BC41BFF"/>
    <w:rsid w:val="2BD62420"/>
    <w:rsid w:val="2BD66E93"/>
    <w:rsid w:val="2BE75544"/>
    <w:rsid w:val="2BE76B7B"/>
    <w:rsid w:val="2BEC4909"/>
    <w:rsid w:val="2BEE0681"/>
    <w:rsid w:val="2BEE7D6B"/>
    <w:rsid w:val="2BFA536A"/>
    <w:rsid w:val="2C077995"/>
    <w:rsid w:val="2C0954BB"/>
    <w:rsid w:val="2C097269"/>
    <w:rsid w:val="2C147DB3"/>
    <w:rsid w:val="2C173C1F"/>
    <w:rsid w:val="2C2F024C"/>
    <w:rsid w:val="2C327882"/>
    <w:rsid w:val="2C33078A"/>
    <w:rsid w:val="2C332538"/>
    <w:rsid w:val="2C390649"/>
    <w:rsid w:val="2C4B5AD3"/>
    <w:rsid w:val="2C522D19"/>
    <w:rsid w:val="2C55187F"/>
    <w:rsid w:val="2C5F50DB"/>
    <w:rsid w:val="2C626979"/>
    <w:rsid w:val="2C635C8A"/>
    <w:rsid w:val="2C6426F1"/>
    <w:rsid w:val="2C66729E"/>
    <w:rsid w:val="2C7212B2"/>
    <w:rsid w:val="2C862667"/>
    <w:rsid w:val="2C866B0B"/>
    <w:rsid w:val="2C900FEE"/>
    <w:rsid w:val="2C901738"/>
    <w:rsid w:val="2C951B71"/>
    <w:rsid w:val="2C954FA0"/>
    <w:rsid w:val="2C974875"/>
    <w:rsid w:val="2CA93F28"/>
    <w:rsid w:val="2CB25B52"/>
    <w:rsid w:val="2CB90C8F"/>
    <w:rsid w:val="2CC118F2"/>
    <w:rsid w:val="2CC3178E"/>
    <w:rsid w:val="2CC87124"/>
    <w:rsid w:val="2CCE400E"/>
    <w:rsid w:val="2CCF2B51"/>
    <w:rsid w:val="2CCF6918"/>
    <w:rsid w:val="2CD23AFF"/>
    <w:rsid w:val="2CDF446E"/>
    <w:rsid w:val="2CF06633"/>
    <w:rsid w:val="2CFF31EB"/>
    <w:rsid w:val="2D087520"/>
    <w:rsid w:val="2D0A14EA"/>
    <w:rsid w:val="2D1B36F8"/>
    <w:rsid w:val="2D1C4D7A"/>
    <w:rsid w:val="2D1F071D"/>
    <w:rsid w:val="2D267167"/>
    <w:rsid w:val="2D287BC3"/>
    <w:rsid w:val="2D2D342B"/>
    <w:rsid w:val="2D305785"/>
    <w:rsid w:val="2D314CC9"/>
    <w:rsid w:val="2D4349FC"/>
    <w:rsid w:val="2D4C406B"/>
    <w:rsid w:val="2D4D260B"/>
    <w:rsid w:val="2D4D7629"/>
    <w:rsid w:val="2D574DFE"/>
    <w:rsid w:val="2D6A3D37"/>
    <w:rsid w:val="2D712C9C"/>
    <w:rsid w:val="2D7921CC"/>
    <w:rsid w:val="2D855015"/>
    <w:rsid w:val="2D85560F"/>
    <w:rsid w:val="2D880661"/>
    <w:rsid w:val="2D8D5C78"/>
    <w:rsid w:val="2D914B0D"/>
    <w:rsid w:val="2DAA682A"/>
    <w:rsid w:val="2DB66924"/>
    <w:rsid w:val="2DBD1E0F"/>
    <w:rsid w:val="2DCD2AB1"/>
    <w:rsid w:val="2DD438A6"/>
    <w:rsid w:val="2DDD275B"/>
    <w:rsid w:val="2DDE4823"/>
    <w:rsid w:val="2DDF2977"/>
    <w:rsid w:val="2DE7182C"/>
    <w:rsid w:val="2DEB3BAF"/>
    <w:rsid w:val="2DF504E4"/>
    <w:rsid w:val="2E057F04"/>
    <w:rsid w:val="2E0979F4"/>
    <w:rsid w:val="2E2E745B"/>
    <w:rsid w:val="2E4F19A0"/>
    <w:rsid w:val="2E555940"/>
    <w:rsid w:val="2E586286"/>
    <w:rsid w:val="2E5A554C"/>
    <w:rsid w:val="2E641B15"/>
    <w:rsid w:val="2E690493"/>
    <w:rsid w:val="2E6C1D31"/>
    <w:rsid w:val="2E755089"/>
    <w:rsid w:val="2E7A26A0"/>
    <w:rsid w:val="2E8928E3"/>
    <w:rsid w:val="2E9C43C4"/>
    <w:rsid w:val="2EA26199"/>
    <w:rsid w:val="2EA965F7"/>
    <w:rsid w:val="2EB040E3"/>
    <w:rsid w:val="2EB5368F"/>
    <w:rsid w:val="2EDF93AA"/>
    <w:rsid w:val="2EFA10EB"/>
    <w:rsid w:val="2F1037A9"/>
    <w:rsid w:val="2F103815"/>
    <w:rsid w:val="2F13711A"/>
    <w:rsid w:val="2F1D17BE"/>
    <w:rsid w:val="2F2A1380"/>
    <w:rsid w:val="2F3226FE"/>
    <w:rsid w:val="2F436F36"/>
    <w:rsid w:val="2F4E1D0F"/>
    <w:rsid w:val="2F5051AF"/>
    <w:rsid w:val="2F594063"/>
    <w:rsid w:val="2F6D5D61"/>
    <w:rsid w:val="2F703907"/>
    <w:rsid w:val="2F7865AA"/>
    <w:rsid w:val="2FA07EE4"/>
    <w:rsid w:val="2FAD43AF"/>
    <w:rsid w:val="2FB27C17"/>
    <w:rsid w:val="2FB41BE1"/>
    <w:rsid w:val="2FC00586"/>
    <w:rsid w:val="2FC07B82"/>
    <w:rsid w:val="2FC21522"/>
    <w:rsid w:val="2FCC2A87"/>
    <w:rsid w:val="2FD7592E"/>
    <w:rsid w:val="2FDE6606"/>
    <w:rsid w:val="2FF16992"/>
    <w:rsid w:val="2FF344B8"/>
    <w:rsid w:val="2FF7387C"/>
    <w:rsid w:val="2FF95846"/>
    <w:rsid w:val="30073ABF"/>
    <w:rsid w:val="30074904"/>
    <w:rsid w:val="30180806"/>
    <w:rsid w:val="301D1535"/>
    <w:rsid w:val="301F34FF"/>
    <w:rsid w:val="30217F1D"/>
    <w:rsid w:val="30274161"/>
    <w:rsid w:val="30284935"/>
    <w:rsid w:val="302E3742"/>
    <w:rsid w:val="30313232"/>
    <w:rsid w:val="30336FAA"/>
    <w:rsid w:val="303643A5"/>
    <w:rsid w:val="30422D49"/>
    <w:rsid w:val="304D454B"/>
    <w:rsid w:val="305B205D"/>
    <w:rsid w:val="305D5DD5"/>
    <w:rsid w:val="305F7D9F"/>
    <w:rsid w:val="306E1D90"/>
    <w:rsid w:val="307B44AD"/>
    <w:rsid w:val="308275EA"/>
    <w:rsid w:val="3087288E"/>
    <w:rsid w:val="308F1B5C"/>
    <w:rsid w:val="309317F7"/>
    <w:rsid w:val="30937A49"/>
    <w:rsid w:val="309A4933"/>
    <w:rsid w:val="309F019C"/>
    <w:rsid w:val="30A0456A"/>
    <w:rsid w:val="30A23511"/>
    <w:rsid w:val="30A43AE3"/>
    <w:rsid w:val="30AB4D93"/>
    <w:rsid w:val="30AB6B41"/>
    <w:rsid w:val="30AE6631"/>
    <w:rsid w:val="30B359F5"/>
    <w:rsid w:val="30B579BF"/>
    <w:rsid w:val="30BF439A"/>
    <w:rsid w:val="30C96FC7"/>
    <w:rsid w:val="30CB1972"/>
    <w:rsid w:val="30CB1D19"/>
    <w:rsid w:val="30CD2F5B"/>
    <w:rsid w:val="30CF6AA7"/>
    <w:rsid w:val="30D2231F"/>
    <w:rsid w:val="30E107B4"/>
    <w:rsid w:val="30FA1876"/>
    <w:rsid w:val="31127F83"/>
    <w:rsid w:val="311566B0"/>
    <w:rsid w:val="311E2422"/>
    <w:rsid w:val="311F12DD"/>
    <w:rsid w:val="31210BB1"/>
    <w:rsid w:val="31216E03"/>
    <w:rsid w:val="31232B7B"/>
    <w:rsid w:val="312378AF"/>
    <w:rsid w:val="312863E3"/>
    <w:rsid w:val="31307B16"/>
    <w:rsid w:val="313E4222"/>
    <w:rsid w:val="314B4DD6"/>
    <w:rsid w:val="314D7BF8"/>
    <w:rsid w:val="31576E12"/>
    <w:rsid w:val="315A40C3"/>
    <w:rsid w:val="316A69FC"/>
    <w:rsid w:val="318B6972"/>
    <w:rsid w:val="318D6246"/>
    <w:rsid w:val="319475D5"/>
    <w:rsid w:val="3199427B"/>
    <w:rsid w:val="31A92150"/>
    <w:rsid w:val="31AA6DF8"/>
    <w:rsid w:val="31AD0696"/>
    <w:rsid w:val="31AE37B4"/>
    <w:rsid w:val="31B15E56"/>
    <w:rsid w:val="31CD2AE7"/>
    <w:rsid w:val="31D039B5"/>
    <w:rsid w:val="31DD71CE"/>
    <w:rsid w:val="31E3055C"/>
    <w:rsid w:val="31E542D4"/>
    <w:rsid w:val="31E63BA8"/>
    <w:rsid w:val="31EB13AC"/>
    <w:rsid w:val="31EC5663"/>
    <w:rsid w:val="31EE0600"/>
    <w:rsid w:val="31F036D7"/>
    <w:rsid w:val="31F14A27"/>
    <w:rsid w:val="31F2079F"/>
    <w:rsid w:val="31F44517"/>
    <w:rsid w:val="32015B80"/>
    <w:rsid w:val="32024E86"/>
    <w:rsid w:val="320C7AB3"/>
    <w:rsid w:val="3212499D"/>
    <w:rsid w:val="3216623C"/>
    <w:rsid w:val="321E1594"/>
    <w:rsid w:val="322A618B"/>
    <w:rsid w:val="322C25E8"/>
    <w:rsid w:val="323112C7"/>
    <w:rsid w:val="3239017C"/>
    <w:rsid w:val="323D1A1A"/>
    <w:rsid w:val="32456B21"/>
    <w:rsid w:val="325154C6"/>
    <w:rsid w:val="325E7BE3"/>
    <w:rsid w:val="32650F71"/>
    <w:rsid w:val="326C7315"/>
    <w:rsid w:val="326F1DF0"/>
    <w:rsid w:val="3271759A"/>
    <w:rsid w:val="32737B32"/>
    <w:rsid w:val="3276317E"/>
    <w:rsid w:val="327D733C"/>
    <w:rsid w:val="328A09D8"/>
    <w:rsid w:val="32941E4F"/>
    <w:rsid w:val="32981347"/>
    <w:rsid w:val="329A50BF"/>
    <w:rsid w:val="32A221C5"/>
    <w:rsid w:val="32AB3B37"/>
    <w:rsid w:val="32AB4810"/>
    <w:rsid w:val="32AB72CC"/>
    <w:rsid w:val="32AE46C6"/>
    <w:rsid w:val="32B36CE5"/>
    <w:rsid w:val="32B37F2E"/>
    <w:rsid w:val="32B617CD"/>
    <w:rsid w:val="32C91500"/>
    <w:rsid w:val="32CB52DE"/>
    <w:rsid w:val="32CD730F"/>
    <w:rsid w:val="32D16607"/>
    <w:rsid w:val="32DC55BA"/>
    <w:rsid w:val="32DF0D23"/>
    <w:rsid w:val="32DF2AD1"/>
    <w:rsid w:val="32E77BD8"/>
    <w:rsid w:val="32E85031"/>
    <w:rsid w:val="32EC51EE"/>
    <w:rsid w:val="32F435DC"/>
    <w:rsid w:val="32FF4F22"/>
    <w:rsid w:val="33044C2E"/>
    <w:rsid w:val="33062754"/>
    <w:rsid w:val="331F55C4"/>
    <w:rsid w:val="332546A1"/>
    <w:rsid w:val="33260700"/>
    <w:rsid w:val="33294694"/>
    <w:rsid w:val="332C1A8F"/>
    <w:rsid w:val="332C7EB5"/>
    <w:rsid w:val="333A57B7"/>
    <w:rsid w:val="334C7BCC"/>
    <w:rsid w:val="334C7FB6"/>
    <w:rsid w:val="3353526D"/>
    <w:rsid w:val="335A7985"/>
    <w:rsid w:val="336934AE"/>
    <w:rsid w:val="336F02F9"/>
    <w:rsid w:val="3379080A"/>
    <w:rsid w:val="338423DD"/>
    <w:rsid w:val="338664CD"/>
    <w:rsid w:val="33AB1439"/>
    <w:rsid w:val="33B421B0"/>
    <w:rsid w:val="33BBFD2F"/>
    <w:rsid w:val="33DB598F"/>
    <w:rsid w:val="33E04D53"/>
    <w:rsid w:val="33E67E90"/>
    <w:rsid w:val="33EB36F8"/>
    <w:rsid w:val="33F24A86"/>
    <w:rsid w:val="33F702EF"/>
    <w:rsid w:val="33FE3D30"/>
    <w:rsid w:val="340A1DD0"/>
    <w:rsid w:val="340C3D9A"/>
    <w:rsid w:val="341E2B5B"/>
    <w:rsid w:val="341F0078"/>
    <w:rsid w:val="342310E4"/>
    <w:rsid w:val="3423136E"/>
    <w:rsid w:val="34272982"/>
    <w:rsid w:val="34321327"/>
    <w:rsid w:val="34367069"/>
    <w:rsid w:val="343C67F2"/>
    <w:rsid w:val="343E1A7A"/>
    <w:rsid w:val="34403A44"/>
    <w:rsid w:val="344A7002"/>
    <w:rsid w:val="344D7F0F"/>
    <w:rsid w:val="345D7A29"/>
    <w:rsid w:val="34645984"/>
    <w:rsid w:val="34680092"/>
    <w:rsid w:val="346E6803"/>
    <w:rsid w:val="34737FC2"/>
    <w:rsid w:val="347A52C4"/>
    <w:rsid w:val="347D3C45"/>
    <w:rsid w:val="348410F4"/>
    <w:rsid w:val="34897AF5"/>
    <w:rsid w:val="3491429F"/>
    <w:rsid w:val="349249DB"/>
    <w:rsid w:val="34963664"/>
    <w:rsid w:val="349D2C44"/>
    <w:rsid w:val="34B63D06"/>
    <w:rsid w:val="34B8139C"/>
    <w:rsid w:val="34C44675"/>
    <w:rsid w:val="34C93A39"/>
    <w:rsid w:val="34CC177B"/>
    <w:rsid w:val="34DA0784"/>
    <w:rsid w:val="34F06C3B"/>
    <w:rsid w:val="34F94D16"/>
    <w:rsid w:val="34FD36E3"/>
    <w:rsid w:val="34FF745B"/>
    <w:rsid w:val="35040F15"/>
    <w:rsid w:val="35165311"/>
    <w:rsid w:val="351D5B33"/>
    <w:rsid w:val="351F246F"/>
    <w:rsid w:val="35242876"/>
    <w:rsid w:val="35305866"/>
    <w:rsid w:val="353349FB"/>
    <w:rsid w:val="353C420B"/>
    <w:rsid w:val="353E4427"/>
    <w:rsid w:val="355E2212"/>
    <w:rsid w:val="355F614C"/>
    <w:rsid w:val="35635719"/>
    <w:rsid w:val="35700359"/>
    <w:rsid w:val="35753BC1"/>
    <w:rsid w:val="357F234A"/>
    <w:rsid w:val="35804783"/>
    <w:rsid w:val="358B0CEF"/>
    <w:rsid w:val="3592207D"/>
    <w:rsid w:val="35931E3C"/>
    <w:rsid w:val="3599165E"/>
    <w:rsid w:val="35B4648C"/>
    <w:rsid w:val="35BB1C43"/>
    <w:rsid w:val="35BB230D"/>
    <w:rsid w:val="35BC534C"/>
    <w:rsid w:val="35BF3F67"/>
    <w:rsid w:val="35CB37E1"/>
    <w:rsid w:val="35D25868"/>
    <w:rsid w:val="35DD109D"/>
    <w:rsid w:val="35E6061B"/>
    <w:rsid w:val="35EA1EB9"/>
    <w:rsid w:val="35F85AD9"/>
    <w:rsid w:val="360F476D"/>
    <w:rsid w:val="36145188"/>
    <w:rsid w:val="36237179"/>
    <w:rsid w:val="362B4280"/>
    <w:rsid w:val="363650FE"/>
    <w:rsid w:val="363A74FC"/>
    <w:rsid w:val="3647730B"/>
    <w:rsid w:val="364E72DF"/>
    <w:rsid w:val="364F61C0"/>
    <w:rsid w:val="365437D6"/>
    <w:rsid w:val="36545584"/>
    <w:rsid w:val="365E7F82"/>
    <w:rsid w:val="36625EF3"/>
    <w:rsid w:val="36644FE9"/>
    <w:rsid w:val="367E2601"/>
    <w:rsid w:val="3684230E"/>
    <w:rsid w:val="36853C27"/>
    <w:rsid w:val="36A54032"/>
    <w:rsid w:val="36AE738B"/>
    <w:rsid w:val="36B975A9"/>
    <w:rsid w:val="36C721FA"/>
    <w:rsid w:val="36C941C4"/>
    <w:rsid w:val="36D358EB"/>
    <w:rsid w:val="36E44B5A"/>
    <w:rsid w:val="36E83689"/>
    <w:rsid w:val="36EB2184"/>
    <w:rsid w:val="36EE59D9"/>
    <w:rsid w:val="370451FC"/>
    <w:rsid w:val="37074CED"/>
    <w:rsid w:val="370C40B1"/>
    <w:rsid w:val="370E7993"/>
    <w:rsid w:val="37171BA5"/>
    <w:rsid w:val="371B60A2"/>
    <w:rsid w:val="37230C70"/>
    <w:rsid w:val="37270EEB"/>
    <w:rsid w:val="373B4C58"/>
    <w:rsid w:val="37537F32"/>
    <w:rsid w:val="3756532C"/>
    <w:rsid w:val="376F2C6C"/>
    <w:rsid w:val="37704640"/>
    <w:rsid w:val="377140FB"/>
    <w:rsid w:val="377C2FB4"/>
    <w:rsid w:val="377F2AD5"/>
    <w:rsid w:val="379C0A32"/>
    <w:rsid w:val="37A72204"/>
    <w:rsid w:val="37B11755"/>
    <w:rsid w:val="37CB5D1A"/>
    <w:rsid w:val="37CE75B8"/>
    <w:rsid w:val="37E961A0"/>
    <w:rsid w:val="37EA083E"/>
    <w:rsid w:val="37EB4955"/>
    <w:rsid w:val="37ED5C91"/>
    <w:rsid w:val="37EF1A09"/>
    <w:rsid w:val="37EF7C5B"/>
    <w:rsid w:val="37F05781"/>
    <w:rsid w:val="37F304FA"/>
    <w:rsid w:val="381F5461"/>
    <w:rsid w:val="38207E14"/>
    <w:rsid w:val="382F44FB"/>
    <w:rsid w:val="383428CB"/>
    <w:rsid w:val="3836588A"/>
    <w:rsid w:val="38397128"/>
    <w:rsid w:val="383A0932"/>
    <w:rsid w:val="383B2EA0"/>
    <w:rsid w:val="383E029A"/>
    <w:rsid w:val="38437A17"/>
    <w:rsid w:val="38507FCD"/>
    <w:rsid w:val="38545D10"/>
    <w:rsid w:val="38613F89"/>
    <w:rsid w:val="386F66A6"/>
    <w:rsid w:val="387168C2"/>
    <w:rsid w:val="38741F0E"/>
    <w:rsid w:val="387463B2"/>
    <w:rsid w:val="38775944"/>
    <w:rsid w:val="387B329C"/>
    <w:rsid w:val="38817BEB"/>
    <w:rsid w:val="389B749B"/>
    <w:rsid w:val="38A24CCD"/>
    <w:rsid w:val="38A638D1"/>
    <w:rsid w:val="38A65E3F"/>
    <w:rsid w:val="38AA1DD4"/>
    <w:rsid w:val="38AB0112"/>
    <w:rsid w:val="38B425CD"/>
    <w:rsid w:val="38BC7547"/>
    <w:rsid w:val="38D94467"/>
    <w:rsid w:val="38E16F56"/>
    <w:rsid w:val="38F35529"/>
    <w:rsid w:val="3900052F"/>
    <w:rsid w:val="3905700A"/>
    <w:rsid w:val="39134975"/>
    <w:rsid w:val="39275AE1"/>
    <w:rsid w:val="39285DE7"/>
    <w:rsid w:val="39331DC9"/>
    <w:rsid w:val="39366FC5"/>
    <w:rsid w:val="393B2A2C"/>
    <w:rsid w:val="393D0552"/>
    <w:rsid w:val="39400042"/>
    <w:rsid w:val="394713D0"/>
    <w:rsid w:val="394C4C39"/>
    <w:rsid w:val="39567866"/>
    <w:rsid w:val="395B4E7C"/>
    <w:rsid w:val="395D6536"/>
    <w:rsid w:val="395D6E46"/>
    <w:rsid w:val="39721ED6"/>
    <w:rsid w:val="397F500E"/>
    <w:rsid w:val="3980268B"/>
    <w:rsid w:val="398616DE"/>
    <w:rsid w:val="398A630E"/>
    <w:rsid w:val="398B3413"/>
    <w:rsid w:val="398C3287"/>
    <w:rsid w:val="398E34A3"/>
    <w:rsid w:val="39916480"/>
    <w:rsid w:val="39941F91"/>
    <w:rsid w:val="39965EB4"/>
    <w:rsid w:val="399B34CA"/>
    <w:rsid w:val="39A22AAB"/>
    <w:rsid w:val="39A6259B"/>
    <w:rsid w:val="39AC0218"/>
    <w:rsid w:val="39BA4298"/>
    <w:rsid w:val="39BA7DF4"/>
    <w:rsid w:val="39BF7EC2"/>
    <w:rsid w:val="39C6449A"/>
    <w:rsid w:val="39CB0253"/>
    <w:rsid w:val="39CD3FCC"/>
    <w:rsid w:val="39CD5D7A"/>
    <w:rsid w:val="39CF6C2E"/>
    <w:rsid w:val="39D36F90"/>
    <w:rsid w:val="39D728C6"/>
    <w:rsid w:val="39D866E1"/>
    <w:rsid w:val="39DE7F87"/>
    <w:rsid w:val="3A0818E0"/>
    <w:rsid w:val="3A0977A4"/>
    <w:rsid w:val="3A0B0650"/>
    <w:rsid w:val="3A1514CF"/>
    <w:rsid w:val="3A1C6C50"/>
    <w:rsid w:val="3A1FBA9E"/>
    <w:rsid w:val="3A2160C5"/>
    <w:rsid w:val="3A290CED"/>
    <w:rsid w:val="3A2B0CF2"/>
    <w:rsid w:val="3A2D05C6"/>
    <w:rsid w:val="3A4A561C"/>
    <w:rsid w:val="3A4A73CA"/>
    <w:rsid w:val="3A5A5133"/>
    <w:rsid w:val="3A5E69D2"/>
    <w:rsid w:val="3A6769CF"/>
    <w:rsid w:val="3A6F5083"/>
    <w:rsid w:val="3A726921"/>
    <w:rsid w:val="3A7B57D6"/>
    <w:rsid w:val="3A7D310D"/>
    <w:rsid w:val="3A963B49"/>
    <w:rsid w:val="3A976388"/>
    <w:rsid w:val="3A9E3272"/>
    <w:rsid w:val="3ABB02C8"/>
    <w:rsid w:val="3AD4693D"/>
    <w:rsid w:val="3ADC2E01"/>
    <w:rsid w:val="3AEC66D3"/>
    <w:rsid w:val="3AEE244B"/>
    <w:rsid w:val="3AF67A8F"/>
    <w:rsid w:val="3AFA2B6A"/>
    <w:rsid w:val="3B057795"/>
    <w:rsid w:val="3B070E17"/>
    <w:rsid w:val="3B0C0B24"/>
    <w:rsid w:val="3B0C28D2"/>
    <w:rsid w:val="3B131EB2"/>
    <w:rsid w:val="3B3616FD"/>
    <w:rsid w:val="3B4E4C98"/>
    <w:rsid w:val="3B5953EB"/>
    <w:rsid w:val="3B6E0E96"/>
    <w:rsid w:val="3B7010B2"/>
    <w:rsid w:val="3B762441"/>
    <w:rsid w:val="3B781D15"/>
    <w:rsid w:val="3B7B1805"/>
    <w:rsid w:val="3B8701AA"/>
    <w:rsid w:val="3B871F58"/>
    <w:rsid w:val="3B8905EF"/>
    <w:rsid w:val="3B970D61"/>
    <w:rsid w:val="3B9B5A04"/>
    <w:rsid w:val="3BA477D3"/>
    <w:rsid w:val="3BB6283D"/>
    <w:rsid w:val="3BD55EF8"/>
    <w:rsid w:val="3BDD426E"/>
    <w:rsid w:val="3BDF3B42"/>
    <w:rsid w:val="3BE13D5E"/>
    <w:rsid w:val="3BE41159"/>
    <w:rsid w:val="3BE86E9B"/>
    <w:rsid w:val="3BF07AFD"/>
    <w:rsid w:val="3BF30E01"/>
    <w:rsid w:val="3BF82E56"/>
    <w:rsid w:val="3C291261"/>
    <w:rsid w:val="3C2C0941"/>
    <w:rsid w:val="3C342025"/>
    <w:rsid w:val="3C355E58"/>
    <w:rsid w:val="3C3C71E7"/>
    <w:rsid w:val="3C4117E9"/>
    <w:rsid w:val="3C4900BA"/>
    <w:rsid w:val="3C4E5E9E"/>
    <w:rsid w:val="3C5A766D"/>
    <w:rsid w:val="3C68449E"/>
    <w:rsid w:val="3C74072E"/>
    <w:rsid w:val="3C746980"/>
    <w:rsid w:val="3C7D424D"/>
    <w:rsid w:val="3C813DBA"/>
    <w:rsid w:val="3C8D7A42"/>
    <w:rsid w:val="3C8F7316"/>
    <w:rsid w:val="3C91560C"/>
    <w:rsid w:val="3C97266F"/>
    <w:rsid w:val="3C9B3F0D"/>
    <w:rsid w:val="3C9C7C85"/>
    <w:rsid w:val="3C9E1C4F"/>
    <w:rsid w:val="3CA134EE"/>
    <w:rsid w:val="3CAF1767"/>
    <w:rsid w:val="3CC03974"/>
    <w:rsid w:val="3CC50F8A"/>
    <w:rsid w:val="3CC66AB0"/>
    <w:rsid w:val="3CC72F54"/>
    <w:rsid w:val="3CC87600"/>
    <w:rsid w:val="3CCD7E3F"/>
    <w:rsid w:val="3CDB255C"/>
    <w:rsid w:val="3CF33D49"/>
    <w:rsid w:val="3CF950D8"/>
    <w:rsid w:val="3CFA4EFB"/>
    <w:rsid w:val="3D197528"/>
    <w:rsid w:val="3D24762D"/>
    <w:rsid w:val="3D475E43"/>
    <w:rsid w:val="3D4F4CF8"/>
    <w:rsid w:val="3D566086"/>
    <w:rsid w:val="3D5E514C"/>
    <w:rsid w:val="3D610E5E"/>
    <w:rsid w:val="3D714C6E"/>
    <w:rsid w:val="3D803DBC"/>
    <w:rsid w:val="3D8C4591"/>
    <w:rsid w:val="3D923791"/>
    <w:rsid w:val="3D932E36"/>
    <w:rsid w:val="3DAB3BB3"/>
    <w:rsid w:val="3DB31B27"/>
    <w:rsid w:val="3DB37034"/>
    <w:rsid w:val="3DB9344B"/>
    <w:rsid w:val="3DBA485E"/>
    <w:rsid w:val="3DDA6CB7"/>
    <w:rsid w:val="3DF02037"/>
    <w:rsid w:val="3DF80EEB"/>
    <w:rsid w:val="3DFD4754"/>
    <w:rsid w:val="3E047890"/>
    <w:rsid w:val="3E0D0E3B"/>
    <w:rsid w:val="3E141C6C"/>
    <w:rsid w:val="3E1675C3"/>
    <w:rsid w:val="3E1A70B4"/>
    <w:rsid w:val="3E1E1319"/>
    <w:rsid w:val="3E1F0B6E"/>
    <w:rsid w:val="3E385855"/>
    <w:rsid w:val="3E3A1504"/>
    <w:rsid w:val="3E4405D4"/>
    <w:rsid w:val="3E587BDC"/>
    <w:rsid w:val="3E5A5A73"/>
    <w:rsid w:val="3E5A7DF8"/>
    <w:rsid w:val="3E693B97"/>
    <w:rsid w:val="3E7840B8"/>
    <w:rsid w:val="3E7A2248"/>
    <w:rsid w:val="3E7C38CA"/>
    <w:rsid w:val="3E832EAB"/>
    <w:rsid w:val="3E94330A"/>
    <w:rsid w:val="3EAB2402"/>
    <w:rsid w:val="3EBF1A09"/>
    <w:rsid w:val="3EC872CE"/>
    <w:rsid w:val="3ECF6D22"/>
    <w:rsid w:val="3ED5122D"/>
    <w:rsid w:val="3ED96F6F"/>
    <w:rsid w:val="3EDE5210"/>
    <w:rsid w:val="3EDE6D46"/>
    <w:rsid w:val="3EE33949"/>
    <w:rsid w:val="3EE37DED"/>
    <w:rsid w:val="3EE854B5"/>
    <w:rsid w:val="3EFF2F66"/>
    <w:rsid w:val="3F074F48"/>
    <w:rsid w:val="3F0F473E"/>
    <w:rsid w:val="3F1104B7"/>
    <w:rsid w:val="3F255D10"/>
    <w:rsid w:val="3F323895"/>
    <w:rsid w:val="3F391461"/>
    <w:rsid w:val="3F3C12AC"/>
    <w:rsid w:val="3F3F7DC2"/>
    <w:rsid w:val="3F402B4A"/>
    <w:rsid w:val="3F636838"/>
    <w:rsid w:val="3F964E60"/>
    <w:rsid w:val="3F980BD8"/>
    <w:rsid w:val="3F9A4950"/>
    <w:rsid w:val="3FA4757D"/>
    <w:rsid w:val="3FA70E1B"/>
    <w:rsid w:val="3FAF1A7E"/>
    <w:rsid w:val="3FBE9BF3"/>
    <w:rsid w:val="3FD31C10"/>
    <w:rsid w:val="3FD57736"/>
    <w:rsid w:val="3FDC2ADC"/>
    <w:rsid w:val="3FEC1E3F"/>
    <w:rsid w:val="3FEC294C"/>
    <w:rsid w:val="3FFD4EDF"/>
    <w:rsid w:val="400C6332"/>
    <w:rsid w:val="40251D40"/>
    <w:rsid w:val="402B37FA"/>
    <w:rsid w:val="40363F4D"/>
    <w:rsid w:val="4037219F"/>
    <w:rsid w:val="403A1342"/>
    <w:rsid w:val="404043A0"/>
    <w:rsid w:val="404B5C4A"/>
    <w:rsid w:val="404E1296"/>
    <w:rsid w:val="40534611"/>
    <w:rsid w:val="405A435B"/>
    <w:rsid w:val="405C7E57"/>
    <w:rsid w:val="40672358"/>
    <w:rsid w:val="40675817"/>
    <w:rsid w:val="4072332D"/>
    <w:rsid w:val="40752CC7"/>
    <w:rsid w:val="40827192"/>
    <w:rsid w:val="408973D9"/>
    <w:rsid w:val="408D1DBF"/>
    <w:rsid w:val="408D6263"/>
    <w:rsid w:val="408D6705"/>
    <w:rsid w:val="408E54D0"/>
    <w:rsid w:val="40953369"/>
    <w:rsid w:val="409A0980"/>
    <w:rsid w:val="409C0254"/>
    <w:rsid w:val="40A67324"/>
    <w:rsid w:val="40AA0BC3"/>
    <w:rsid w:val="40AB66E9"/>
    <w:rsid w:val="40B732E0"/>
    <w:rsid w:val="40C20896"/>
    <w:rsid w:val="40CF0629"/>
    <w:rsid w:val="40D043A1"/>
    <w:rsid w:val="40E35E83"/>
    <w:rsid w:val="40E63BC5"/>
    <w:rsid w:val="40EC6950"/>
    <w:rsid w:val="40ED2526"/>
    <w:rsid w:val="40F24F08"/>
    <w:rsid w:val="40F475A0"/>
    <w:rsid w:val="40F60D4D"/>
    <w:rsid w:val="40F96BB0"/>
    <w:rsid w:val="40FB2880"/>
    <w:rsid w:val="410C52E4"/>
    <w:rsid w:val="4114428E"/>
    <w:rsid w:val="41194822"/>
    <w:rsid w:val="411D00F5"/>
    <w:rsid w:val="412065EA"/>
    <w:rsid w:val="412245B6"/>
    <w:rsid w:val="41236F59"/>
    <w:rsid w:val="41263FC1"/>
    <w:rsid w:val="41264427"/>
    <w:rsid w:val="41265D6F"/>
    <w:rsid w:val="412A1D04"/>
    <w:rsid w:val="412D70FE"/>
    <w:rsid w:val="4148218A"/>
    <w:rsid w:val="41487973"/>
    <w:rsid w:val="415723CD"/>
    <w:rsid w:val="41652D3C"/>
    <w:rsid w:val="416F5968"/>
    <w:rsid w:val="41703483"/>
    <w:rsid w:val="417D5732"/>
    <w:rsid w:val="41831414"/>
    <w:rsid w:val="418E2B88"/>
    <w:rsid w:val="41A31ADD"/>
    <w:rsid w:val="41A35612"/>
    <w:rsid w:val="41A75102"/>
    <w:rsid w:val="41B072D7"/>
    <w:rsid w:val="41BD0482"/>
    <w:rsid w:val="41C37A62"/>
    <w:rsid w:val="41C95079"/>
    <w:rsid w:val="41D67795"/>
    <w:rsid w:val="41DE664A"/>
    <w:rsid w:val="41F229CD"/>
    <w:rsid w:val="42075BA1"/>
    <w:rsid w:val="420E6F2F"/>
    <w:rsid w:val="422C1AAB"/>
    <w:rsid w:val="42336996"/>
    <w:rsid w:val="42360234"/>
    <w:rsid w:val="42415557"/>
    <w:rsid w:val="42447A1F"/>
    <w:rsid w:val="424515BD"/>
    <w:rsid w:val="4262727B"/>
    <w:rsid w:val="426C3C56"/>
    <w:rsid w:val="427A320B"/>
    <w:rsid w:val="427A6373"/>
    <w:rsid w:val="4283791D"/>
    <w:rsid w:val="42903DE8"/>
    <w:rsid w:val="42975177"/>
    <w:rsid w:val="42982C9D"/>
    <w:rsid w:val="429C453B"/>
    <w:rsid w:val="42AB6E74"/>
    <w:rsid w:val="42B20202"/>
    <w:rsid w:val="42B37AD7"/>
    <w:rsid w:val="42B86E9B"/>
    <w:rsid w:val="42CD6DEA"/>
    <w:rsid w:val="42D1070F"/>
    <w:rsid w:val="42D31F27"/>
    <w:rsid w:val="42D71A17"/>
    <w:rsid w:val="42E2557F"/>
    <w:rsid w:val="42F500EF"/>
    <w:rsid w:val="430B7913"/>
    <w:rsid w:val="430D71E7"/>
    <w:rsid w:val="430D7729"/>
    <w:rsid w:val="431D5651"/>
    <w:rsid w:val="43406545"/>
    <w:rsid w:val="435A177E"/>
    <w:rsid w:val="436808C1"/>
    <w:rsid w:val="43690277"/>
    <w:rsid w:val="436A288B"/>
    <w:rsid w:val="436D27D1"/>
    <w:rsid w:val="437255D6"/>
    <w:rsid w:val="43811983"/>
    <w:rsid w:val="438823EF"/>
    <w:rsid w:val="43884ABF"/>
    <w:rsid w:val="439416B6"/>
    <w:rsid w:val="439671DC"/>
    <w:rsid w:val="43972F54"/>
    <w:rsid w:val="439C7DDE"/>
    <w:rsid w:val="439F61E6"/>
    <w:rsid w:val="43A15517"/>
    <w:rsid w:val="43A318F9"/>
    <w:rsid w:val="43A84854"/>
    <w:rsid w:val="43AC2E51"/>
    <w:rsid w:val="43B342D5"/>
    <w:rsid w:val="43B64920"/>
    <w:rsid w:val="43CC52F4"/>
    <w:rsid w:val="43E44D17"/>
    <w:rsid w:val="43F14D5A"/>
    <w:rsid w:val="43F87E97"/>
    <w:rsid w:val="440120F5"/>
    <w:rsid w:val="44145283"/>
    <w:rsid w:val="441F5D36"/>
    <w:rsid w:val="4427252A"/>
    <w:rsid w:val="442742D8"/>
    <w:rsid w:val="442962A2"/>
    <w:rsid w:val="442F206B"/>
    <w:rsid w:val="44315157"/>
    <w:rsid w:val="44330ECF"/>
    <w:rsid w:val="4439400C"/>
    <w:rsid w:val="444035EC"/>
    <w:rsid w:val="444430DC"/>
    <w:rsid w:val="444906F3"/>
    <w:rsid w:val="445A46AE"/>
    <w:rsid w:val="4469669F"/>
    <w:rsid w:val="446A5D56"/>
    <w:rsid w:val="44871D79"/>
    <w:rsid w:val="448919A2"/>
    <w:rsid w:val="44983EC7"/>
    <w:rsid w:val="449905D9"/>
    <w:rsid w:val="449A6429"/>
    <w:rsid w:val="449C6A74"/>
    <w:rsid w:val="449F0313"/>
    <w:rsid w:val="44A122DD"/>
    <w:rsid w:val="44A44B31"/>
    <w:rsid w:val="44AD6ED3"/>
    <w:rsid w:val="44BA09DD"/>
    <w:rsid w:val="44BF6C07"/>
    <w:rsid w:val="44E15151"/>
    <w:rsid w:val="44E45023"/>
    <w:rsid w:val="44E86854"/>
    <w:rsid w:val="44F248E6"/>
    <w:rsid w:val="44F405A8"/>
    <w:rsid w:val="44FA3CB5"/>
    <w:rsid w:val="44FE1EE9"/>
    <w:rsid w:val="45036AF3"/>
    <w:rsid w:val="45040A06"/>
    <w:rsid w:val="450D1720"/>
    <w:rsid w:val="453F5652"/>
    <w:rsid w:val="455235D7"/>
    <w:rsid w:val="45594965"/>
    <w:rsid w:val="455B692F"/>
    <w:rsid w:val="456C0CC0"/>
    <w:rsid w:val="456D21BF"/>
    <w:rsid w:val="457C68A6"/>
    <w:rsid w:val="457F1EF2"/>
    <w:rsid w:val="4588524B"/>
    <w:rsid w:val="458F2E81"/>
    <w:rsid w:val="459260C9"/>
    <w:rsid w:val="45A04342"/>
    <w:rsid w:val="45AF0A29"/>
    <w:rsid w:val="45AF6A59"/>
    <w:rsid w:val="45B002FD"/>
    <w:rsid w:val="45B55914"/>
    <w:rsid w:val="45B63B66"/>
    <w:rsid w:val="45C5024D"/>
    <w:rsid w:val="45C81AEB"/>
    <w:rsid w:val="45D43FEC"/>
    <w:rsid w:val="45DE1D77"/>
    <w:rsid w:val="45E16705"/>
    <w:rsid w:val="45E83F3B"/>
    <w:rsid w:val="45EC7588"/>
    <w:rsid w:val="45ED68FD"/>
    <w:rsid w:val="45EF0E26"/>
    <w:rsid w:val="45F428E0"/>
    <w:rsid w:val="45F46EEA"/>
    <w:rsid w:val="46162269"/>
    <w:rsid w:val="46162793"/>
    <w:rsid w:val="46207200"/>
    <w:rsid w:val="46226D08"/>
    <w:rsid w:val="462B0666"/>
    <w:rsid w:val="46342CDD"/>
    <w:rsid w:val="463D7F3C"/>
    <w:rsid w:val="464955D3"/>
    <w:rsid w:val="464F5D68"/>
    <w:rsid w:val="465669B8"/>
    <w:rsid w:val="465670F7"/>
    <w:rsid w:val="46582E6F"/>
    <w:rsid w:val="465B470D"/>
    <w:rsid w:val="46690BD8"/>
    <w:rsid w:val="467066EF"/>
    <w:rsid w:val="4671675C"/>
    <w:rsid w:val="467D0B27"/>
    <w:rsid w:val="467FC45F"/>
    <w:rsid w:val="46841EB6"/>
    <w:rsid w:val="4689127A"/>
    <w:rsid w:val="468B47AB"/>
    <w:rsid w:val="469043B7"/>
    <w:rsid w:val="469B15DD"/>
    <w:rsid w:val="469C5A41"/>
    <w:rsid w:val="469C7200"/>
    <w:rsid w:val="46A06DFD"/>
    <w:rsid w:val="46A71700"/>
    <w:rsid w:val="46A75BA4"/>
    <w:rsid w:val="46B502C1"/>
    <w:rsid w:val="46BA1434"/>
    <w:rsid w:val="46C202E8"/>
    <w:rsid w:val="46C40504"/>
    <w:rsid w:val="46C422B2"/>
    <w:rsid w:val="46C71DA3"/>
    <w:rsid w:val="46CD560B"/>
    <w:rsid w:val="46CF76DE"/>
    <w:rsid w:val="46D52711"/>
    <w:rsid w:val="46D651B3"/>
    <w:rsid w:val="46D70238"/>
    <w:rsid w:val="46DA56D2"/>
    <w:rsid w:val="46DF0E9A"/>
    <w:rsid w:val="46E93066"/>
    <w:rsid w:val="46EE4673"/>
    <w:rsid w:val="46F029AF"/>
    <w:rsid w:val="46F30DEA"/>
    <w:rsid w:val="46F31E5A"/>
    <w:rsid w:val="470321F6"/>
    <w:rsid w:val="47176886"/>
    <w:rsid w:val="47191BB7"/>
    <w:rsid w:val="4723347D"/>
    <w:rsid w:val="47347438"/>
    <w:rsid w:val="47434D48"/>
    <w:rsid w:val="4746716B"/>
    <w:rsid w:val="474857F1"/>
    <w:rsid w:val="47503B46"/>
    <w:rsid w:val="47633879"/>
    <w:rsid w:val="47685032"/>
    <w:rsid w:val="4769234B"/>
    <w:rsid w:val="476937DB"/>
    <w:rsid w:val="476B0980"/>
    <w:rsid w:val="47737835"/>
    <w:rsid w:val="477C0DDF"/>
    <w:rsid w:val="478A6996"/>
    <w:rsid w:val="47941618"/>
    <w:rsid w:val="479B691A"/>
    <w:rsid w:val="47A006D6"/>
    <w:rsid w:val="47A2174A"/>
    <w:rsid w:val="47AA14A8"/>
    <w:rsid w:val="47AD2D46"/>
    <w:rsid w:val="47AD71EA"/>
    <w:rsid w:val="47B57537"/>
    <w:rsid w:val="47B73BC5"/>
    <w:rsid w:val="47BA5463"/>
    <w:rsid w:val="47CF316E"/>
    <w:rsid w:val="47D97FDF"/>
    <w:rsid w:val="47DB3D58"/>
    <w:rsid w:val="47DE1152"/>
    <w:rsid w:val="47EA0BE5"/>
    <w:rsid w:val="47F64FEA"/>
    <w:rsid w:val="47FB4ABF"/>
    <w:rsid w:val="47FE7A46"/>
    <w:rsid w:val="480212E4"/>
    <w:rsid w:val="48026F58"/>
    <w:rsid w:val="480768FB"/>
    <w:rsid w:val="480F1C53"/>
    <w:rsid w:val="48135CD5"/>
    <w:rsid w:val="481676AF"/>
    <w:rsid w:val="48225263"/>
    <w:rsid w:val="482A083B"/>
    <w:rsid w:val="482F072B"/>
    <w:rsid w:val="482F5E51"/>
    <w:rsid w:val="48314507"/>
    <w:rsid w:val="48476A5C"/>
    <w:rsid w:val="48537D92"/>
    <w:rsid w:val="485B6C46"/>
    <w:rsid w:val="4860425D"/>
    <w:rsid w:val="48643D4D"/>
    <w:rsid w:val="48651873"/>
    <w:rsid w:val="48694241"/>
    <w:rsid w:val="486F6553"/>
    <w:rsid w:val="487625B5"/>
    <w:rsid w:val="48797903"/>
    <w:rsid w:val="489108BA"/>
    <w:rsid w:val="48A00177"/>
    <w:rsid w:val="48A424F4"/>
    <w:rsid w:val="48C04CFB"/>
    <w:rsid w:val="48C52312"/>
    <w:rsid w:val="48D2515B"/>
    <w:rsid w:val="48D83DF3"/>
    <w:rsid w:val="48D8725E"/>
    <w:rsid w:val="48DF1625"/>
    <w:rsid w:val="48F010BA"/>
    <w:rsid w:val="48F055E1"/>
    <w:rsid w:val="48F867A7"/>
    <w:rsid w:val="4900334A"/>
    <w:rsid w:val="490270C2"/>
    <w:rsid w:val="490746D8"/>
    <w:rsid w:val="49106BE3"/>
    <w:rsid w:val="49227764"/>
    <w:rsid w:val="492B6619"/>
    <w:rsid w:val="492E2692"/>
    <w:rsid w:val="49322567"/>
    <w:rsid w:val="49351245"/>
    <w:rsid w:val="493E738B"/>
    <w:rsid w:val="49467955"/>
    <w:rsid w:val="495C67D2"/>
    <w:rsid w:val="4968786D"/>
    <w:rsid w:val="496A5B88"/>
    <w:rsid w:val="4970736E"/>
    <w:rsid w:val="4981448B"/>
    <w:rsid w:val="498D2E30"/>
    <w:rsid w:val="49920446"/>
    <w:rsid w:val="49A36F50"/>
    <w:rsid w:val="49A5202F"/>
    <w:rsid w:val="49A73042"/>
    <w:rsid w:val="49A81A17"/>
    <w:rsid w:val="49AA648C"/>
    <w:rsid w:val="49B06B1E"/>
    <w:rsid w:val="49C0063D"/>
    <w:rsid w:val="49C10D2B"/>
    <w:rsid w:val="49C34AA3"/>
    <w:rsid w:val="49C600F0"/>
    <w:rsid w:val="49C65A76"/>
    <w:rsid w:val="49D56C33"/>
    <w:rsid w:val="49DB003F"/>
    <w:rsid w:val="49DE45AD"/>
    <w:rsid w:val="49E962D9"/>
    <w:rsid w:val="49EC3FFA"/>
    <w:rsid w:val="49F512D8"/>
    <w:rsid w:val="49F70BF1"/>
    <w:rsid w:val="49FA6AE9"/>
    <w:rsid w:val="49FF5353"/>
    <w:rsid w:val="4A031344"/>
    <w:rsid w:val="4A123335"/>
    <w:rsid w:val="4A162E25"/>
    <w:rsid w:val="4A166124"/>
    <w:rsid w:val="4A190B67"/>
    <w:rsid w:val="4A1D0657"/>
    <w:rsid w:val="4A1E7F2C"/>
    <w:rsid w:val="4A2F038B"/>
    <w:rsid w:val="4A370FED"/>
    <w:rsid w:val="4A3A68E8"/>
    <w:rsid w:val="4A481450"/>
    <w:rsid w:val="4A4D25BF"/>
    <w:rsid w:val="4A5120AF"/>
    <w:rsid w:val="4A527BD5"/>
    <w:rsid w:val="4A547DF1"/>
    <w:rsid w:val="4A5E47CC"/>
    <w:rsid w:val="4A7F1811"/>
    <w:rsid w:val="4A834233"/>
    <w:rsid w:val="4A842484"/>
    <w:rsid w:val="4A8568AA"/>
    <w:rsid w:val="4A867F75"/>
    <w:rsid w:val="4A8E50B1"/>
    <w:rsid w:val="4A8F69E9"/>
    <w:rsid w:val="4A9B157C"/>
    <w:rsid w:val="4A9D59F1"/>
    <w:rsid w:val="4A9F72BE"/>
    <w:rsid w:val="4AA30431"/>
    <w:rsid w:val="4AAA7A11"/>
    <w:rsid w:val="4AAF5028"/>
    <w:rsid w:val="4AAF6DD6"/>
    <w:rsid w:val="4AB36A30"/>
    <w:rsid w:val="4AC7411F"/>
    <w:rsid w:val="4ACE1952"/>
    <w:rsid w:val="4AD52CE0"/>
    <w:rsid w:val="4AD8457E"/>
    <w:rsid w:val="4ADB7BCB"/>
    <w:rsid w:val="4AE27640"/>
    <w:rsid w:val="4B0C5FD6"/>
    <w:rsid w:val="4B125CE2"/>
    <w:rsid w:val="4B14115F"/>
    <w:rsid w:val="4B3043BA"/>
    <w:rsid w:val="4B502367"/>
    <w:rsid w:val="4B517E8D"/>
    <w:rsid w:val="4B58746D"/>
    <w:rsid w:val="4B613103"/>
    <w:rsid w:val="4B736055"/>
    <w:rsid w:val="4B7D0C82"/>
    <w:rsid w:val="4B8169C4"/>
    <w:rsid w:val="4B8450BF"/>
    <w:rsid w:val="4B8D1D61"/>
    <w:rsid w:val="4B984363"/>
    <w:rsid w:val="4B9BA75A"/>
    <w:rsid w:val="4BA44460"/>
    <w:rsid w:val="4BB01057"/>
    <w:rsid w:val="4BB46D99"/>
    <w:rsid w:val="4BB521CC"/>
    <w:rsid w:val="4BB96C17"/>
    <w:rsid w:val="4BBA0128"/>
    <w:rsid w:val="4BBD4578"/>
    <w:rsid w:val="4BC32B39"/>
    <w:rsid w:val="4BD20FCE"/>
    <w:rsid w:val="4BD4520F"/>
    <w:rsid w:val="4BD905AE"/>
    <w:rsid w:val="4BD9235C"/>
    <w:rsid w:val="4BE8F4B4"/>
    <w:rsid w:val="4BEA0B83"/>
    <w:rsid w:val="4BEB02E1"/>
    <w:rsid w:val="4BEB208F"/>
    <w:rsid w:val="4C0C5A1B"/>
    <w:rsid w:val="4C0D2C73"/>
    <w:rsid w:val="4C0F3FD0"/>
    <w:rsid w:val="4C1D377B"/>
    <w:rsid w:val="4C1E06B7"/>
    <w:rsid w:val="4C207F2B"/>
    <w:rsid w:val="4C325F10"/>
    <w:rsid w:val="4C4A67B0"/>
    <w:rsid w:val="4C5145E8"/>
    <w:rsid w:val="4C5365B2"/>
    <w:rsid w:val="4C545E87"/>
    <w:rsid w:val="4C5900BC"/>
    <w:rsid w:val="4C5B0FC3"/>
    <w:rsid w:val="4C7402D7"/>
    <w:rsid w:val="4C932A4A"/>
    <w:rsid w:val="4C94169A"/>
    <w:rsid w:val="4C955995"/>
    <w:rsid w:val="4C995F8F"/>
    <w:rsid w:val="4C9D3ED0"/>
    <w:rsid w:val="4C9D782D"/>
    <w:rsid w:val="4CA30BBC"/>
    <w:rsid w:val="4CA74208"/>
    <w:rsid w:val="4CB84667"/>
    <w:rsid w:val="4CBF751C"/>
    <w:rsid w:val="4CC11A74"/>
    <w:rsid w:val="4CC1642A"/>
    <w:rsid w:val="4CC56D84"/>
    <w:rsid w:val="4CC81A74"/>
    <w:rsid w:val="4CD945DE"/>
    <w:rsid w:val="4CDA2830"/>
    <w:rsid w:val="4CDD5E7C"/>
    <w:rsid w:val="4CE251D5"/>
    <w:rsid w:val="4CE5133F"/>
    <w:rsid w:val="4CE54D31"/>
    <w:rsid w:val="4CF2547F"/>
    <w:rsid w:val="4CF3569F"/>
    <w:rsid w:val="4D094EC3"/>
    <w:rsid w:val="4D0C49B3"/>
    <w:rsid w:val="4D152927"/>
    <w:rsid w:val="4D1675E0"/>
    <w:rsid w:val="4D1C19ED"/>
    <w:rsid w:val="4D275349"/>
    <w:rsid w:val="4D371A30"/>
    <w:rsid w:val="4D3A1520"/>
    <w:rsid w:val="4D48391E"/>
    <w:rsid w:val="4D4E5624"/>
    <w:rsid w:val="4D6640C3"/>
    <w:rsid w:val="4D6644C5"/>
    <w:rsid w:val="4D697710"/>
    <w:rsid w:val="4D6D36A4"/>
    <w:rsid w:val="4D73058E"/>
    <w:rsid w:val="4D814A59"/>
    <w:rsid w:val="4D826A23"/>
    <w:rsid w:val="4D8C0196"/>
    <w:rsid w:val="4D9E6E64"/>
    <w:rsid w:val="4DC42B98"/>
    <w:rsid w:val="4DC4528E"/>
    <w:rsid w:val="4E0051A6"/>
    <w:rsid w:val="4E015B9A"/>
    <w:rsid w:val="4E031912"/>
    <w:rsid w:val="4E044BF2"/>
    <w:rsid w:val="4E0545B3"/>
    <w:rsid w:val="4E0B07C7"/>
    <w:rsid w:val="4E233D62"/>
    <w:rsid w:val="4E2545EC"/>
    <w:rsid w:val="4E347D1E"/>
    <w:rsid w:val="4E3C2196"/>
    <w:rsid w:val="4E4168DE"/>
    <w:rsid w:val="4E4243EA"/>
    <w:rsid w:val="4E4361B3"/>
    <w:rsid w:val="4E473EF5"/>
    <w:rsid w:val="4E483B90"/>
    <w:rsid w:val="4E4C4E42"/>
    <w:rsid w:val="4E527AAF"/>
    <w:rsid w:val="4E540A58"/>
    <w:rsid w:val="4E571C5E"/>
    <w:rsid w:val="4E5E2FEC"/>
    <w:rsid w:val="4E8A50C6"/>
    <w:rsid w:val="4E915170"/>
    <w:rsid w:val="4E9702AC"/>
    <w:rsid w:val="4E997F68"/>
    <w:rsid w:val="4EA26166"/>
    <w:rsid w:val="4EA87052"/>
    <w:rsid w:val="4EC10278"/>
    <w:rsid w:val="4ECA0682"/>
    <w:rsid w:val="4EDD03B5"/>
    <w:rsid w:val="4EDE0C0F"/>
    <w:rsid w:val="4EE05E69"/>
    <w:rsid w:val="4EFF3A96"/>
    <w:rsid w:val="4F0E056F"/>
    <w:rsid w:val="4F310701"/>
    <w:rsid w:val="4F346C2B"/>
    <w:rsid w:val="4F3E53F4"/>
    <w:rsid w:val="4F4B1105"/>
    <w:rsid w:val="4F4D178A"/>
    <w:rsid w:val="4F5F154A"/>
    <w:rsid w:val="4F617740"/>
    <w:rsid w:val="4F675ED1"/>
    <w:rsid w:val="4F6F4D85"/>
    <w:rsid w:val="4F7806A0"/>
    <w:rsid w:val="4F7E56D3"/>
    <w:rsid w:val="4F7F68E8"/>
    <w:rsid w:val="4F894099"/>
    <w:rsid w:val="4F897533"/>
    <w:rsid w:val="4FA42493"/>
    <w:rsid w:val="4FB629B4"/>
    <w:rsid w:val="4FB82BD0"/>
    <w:rsid w:val="4FBA06F6"/>
    <w:rsid w:val="4FC13833"/>
    <w:rsid w:val="4FD03A76"/>
    <w:rsid w:val="4FE17A31"/>
    <w:rsid w:val="4FE3AC2F"/>
    <w:rsid w:val="50025BF9"/>
    <w:rsid w:val="50033E4B"/>
    <w:rsid w:val="500951DA"/>
    <w:rsid w:val="50280768"/>
    <w:rsid w:val="5032028D"/>
    <w:rsid w:val="503F0BFC"/>
    <w:rsid w:val="504D3319"/>
    <w:rsid w:val="505439EB"/>
    <w:rsid w:val="5060304C"/>
    <w:rsid w:val="508F3F0E"/>
    <w:rsid w:val="50967DFF"/>
    <w:rsid w:val="50983711"/>
    <w:rsid w:val="50992C99"/>
    <w:rsid w:val="50997448"/>
    <w:rsid w:val="50A81AB3"/>
    <w:rsid w:val="50B415EA"/>
    <w:rsid w:val="50B45B0C"/>
    <w:rsid w:val="50CA4969"/>
    <w:rsid w:val="50CA6717"/>
    <w:rsid w:val="50CC6933"/>
    <w:rsid w:val="50CF3D2E"/>
    <w:rsid w:val="50D130C8"/>
    <w:rsid w:val="50D50081"/>
    <w:rsid w:val="50EA0B67"/>
    <w:rsid w:val="50F32112"/>
    <w:rsid w:val="51124B24"/>
    <w:rsid w:val="51177ECF"/>
    <w:rsid w:val="5119144D"/>
    <w:rsid w:val="51295B34"/>
    <w:rsid w:val="512978E2"/>
    <w:rsid w:val="513D15DF"/>
    <w:rsid w:val="51486532"/>
    <w:rsid w:val="514F30C0"/>
    <w:rsid w:val="51516E38"/>
    <w:rsid w:val="515D758B"/>
    <w:rsid w:val="516F72BF"/>
    <w:rsid w:val="517364CA"/>
    <w:rsid w:val="5176064D"/>
    <w:rsid w:val="517B5C63"/>
    <w:rsid w:val="518014CC"/>
    <w:rsid w:val="519D5BDA"/>
    <w:rsid w:val="51A20121"/>
    <w:rsid w:val="51BA49DE"/>
    <w:rsid w:val="51D610EC"/>
    <w:rsid w:val="51DC0DF8"/>
    <w:rsid w:val="51E367A6"/>
    <w:rsid w:val="51EB4B97"/>
    <w:rsid w:val="51F07734"/>
    <w:rsid w:val="51F85506"/>
    <w:rsid w:val="52120A55"/>
    <w:rsid w:val="52122562"/>
    <w:rsid w:val="521237FC"/>
    <w:rsid w:val="52140128"/>
    <w:rsid w:val="52285DEB"/>
    <w:rsid w:val="522C4FFD"/>
    <w:rsid w:val="522C5257"/>
    <w:rsid w:val="522D3402"/>
    <w:rsid w:val="523D0094"/>
    <w:rsid w:val="52416EAD"/>
    <w:rsid w:val="524349D3"/>
    <w:rsid w:val="524D5555"/>
    <w:rsid w:val="525941F7"/>
    <w:rsid w:val="52796647"/>
    <w:rsid w:val="528B2997"/>
    <w:rsid w:val="528F6754"/>
    <w:rsid w:val="529C47BF"/>
    <w:rsid w:val="529E1C09"/>
    <w:rsid w:val="52A336C4"/>
    <w:rsid w:val="52B92EE7"/>
    <w:rsid w:val="52BF6691"/>
    <w:rsid w:val="52C04276"/>
    <w:rsid w:val="52CB56EE"/>
    <w:rsid w:val="52D25ACE"/>
    <w:rsid w:val="52D6583A"/>
    <w:rsid w:val="52D7336D"/>
    <w:rsid w:val="52DC6BD6"/>
    <w:rsid w:val="52DE64AA"/>
    <w:rsid w:val="52E235B7"/>
    <w:rsid w:val="52E31D12"/>
    <w:rsid w:val="52E361B6"/>
    <w:rsid w:val="52E741C9"/>
    <w:rsid w:val="53113369"/>
    <w:rsid w:val="53177E59"/>
    <w:rsid w:val="531A7224"/>
    <w:rsid w:val="531D6306"/>
    <w:rsid w:val="53206AC2"/>
    <w:rsid w:val="53277E51"/>
    <w:rsid w:val="533E33EC"/>
    <w:rsid w:val="533E69B6"/>
    <w:rsid w:val="53476745"/>
    <w:rsid w:val="53513120"/>
    <w:rsid w:val="5355276E"/>
    <w:rsid w:val="5362532D"/>
    <w:rsid w:val="53890B0C"/>
    <w:rsid w:val="538C05FC"/>
    <w:rsid w:val="538E5F89"/>
    <w:rsid w:val="539C6DA7"/>
    <w:rsid w:val="53A03BED"/>
    <w:rsid w:val="53A07C03"/>
    <w:rsid w:val="53A5346C"/>
    <w:rsid w:val="53A72D40"/>
    <w:rsid w:val="53B611D5"/>
    <w:rsid w:val="53C41B44"/>
    <w:rsid w:val="53CC09F8"/>
    <w:rsid w:val="53D06F9D"/>
    <w:rsid w:val="53D5659B"/>
    <w:rsid w:val="53D94F3D"/>
    <w:rsid w:val="53EE4E13"/>
    <w:rsid w:val="53F651A6"/>
    <w:rsid w:val="53FC12DE"/>
    <w:rsid w:val="540630C1"/>
    <w:rsid w:val="540977F1"/>
    <w:rsid w:val="54185403"/>
    <w:rsid w:val="541A5C08"/>
    <w:rsid w:val="54212AF2"/>
    <w:rsid w:val="5422529D"/>
    <w:rsid w:val="542441FB"/>
    <w:rsid w:val="5429097D"/>
    <w:rsid w:val="542A76F3"/>
    <w:rsid w:val="542D76E9"/>
    <w:rsid w:val="543F11CA"/>
    <w:rsid w:val="54404808"/>
    <w:rsid w:val="544669FD"/>
    <w:rsid w:val="54646E83"/>
    <w:rsid w:val="54694499"/>
    <w:rsid w:val="546A418F"/>
    <w:rsid w:val="548A4CE3"/>
    <w:rsid w:val="54947768"/>
    <w:rsid w:val="54972DB4"/>
    <w:rsid w:val="549B4E7B"/>
    <w:rsid w:val="549E05E7"/>
    <w:rsid w:val="549E2395"/>
    <w:rsid w:val="54A10956"/>
    <w:rsid w:val="54A35BFD"/>
    <w:rsid w:val="54B15827"/>
    <w:rsid w:val="54B90F7D"/>
    <w:rsid w:val="54BC0090"/>
    <w:rsid w:val="54CA2703"/>
    <w:rsid w:val="54CA318A"/>
    <w:rsid w:val="54D55F7F"/>
    <w:rsid w:val="54E87AB4"/>
    <w:rsid w:val="54F16968"/>
    <w:rsid w:val="54F41009"/>
    <w:rsid w:val="54F9581D"/>
    <w:rsid w:val="55006BAB"/>
    <w:rsid w:val="55083CB2"/>
    <w:rsid w:val="550A268B"/>
    <w:rsid w:val="551663CF"/>
    <w:rsid w:val="55326F81"/>
    <w:rsid w:val="5536081F"/>
    <w:rsid w:val="55452810"/>
    <w:rsid w:val="554A7E27"/>
    <w:rsid w:val="554D5B69"/>
    <w:rsid w:val="5556122E"/>
    <w:rsid w:val="555F460E"/>
    <w:rsid w:val="5563501D"/>
    <w:rsid w:val="5563713A"/>
    <w:rsid w:val="556B681E"/>
    <w:rsid w:val="557B2E9D"/>
    <w:rsid w:val="557C1155"/>
    <w:rsid w:val="559267E1"/>
    <w:rsid w:val="5596446C"/>
    <w:rsid w:val="559B4E20"/>
    <w:rsid w:val="55A57753"/>
    <w:rsid w:val="55B654BC"/>
    <w:rsid w:val="55C4407D"/>
    <w:rsid w:val="55C951EF"/>
    <w:rsid w:val="55D87B28"/>
    <w:rsid w:val="55E5191B"/>
    <w:rsid w:val="55E738C7"/>
    <w:rsid w:val="55F01743"/>
    <w:rsid w:val="55FE7F40"/>
    <w:rsid w:val="560403F4"/>
    <w:rsid w:val="560721BC"/>
    <w:rsid w:val="56091A90"/>
    <w:rsid w:val="560C77D2"/>
    <w:rsid w:val="56156687"/>
    <w:rsid w:val="561B17C3"/>
    <w:rsid w:val="56312D95"/>
    <w:rsid w:val="563F1955"/>
    <w:rsid w:val="5653130A"/>
    <w:rsid w:val="565C6063"/>
    <w:rsid w:val="56682C5A"/>
    <w:rsid w:val="566B44F9"/>
    <w:rsid w:val="569649D8"/>
    <w:rsid w:val="569C6DA8"/>
    <w:rsid w:val="56A812A9"/>
    <w:rsid w:val="56A874FB"/>
    <w:rsid w:val="56AB00D2"/>
    <w:rsid w:val="56AB2B47"/>
    <w:rsid w:val="56AD68BF"/>
    <w:rsid w:val="56BF65F2"/>
    <w:rsid w:val="56E86972"/>
    <w:rsid w:val="56E878F7"/>
    <w:rsid w:val="56EC44CD"/>
    <w:rsid w:val="56F24C1A"/>
    <w:rsid w:val="56F71F0D"/>
    <w:rsid w:val="56F75D8C"/>
    <w:rsid w:val="56FA11A9"/>
    <w:rsid w:val="56FBC0FB"/>
    <w:rsid w:val="570851B2"/>
    <w:rsid w:val="570A1F63"/>
    <w:rsid w:val="570A5ABF"/>
    <w:rsid w:val="571406EC"/>
    <w:rsid w:val="57146014"/>
    <w:rsid w:val="57203535"/>
    <w:rsid w:val="57233025"/>
    <w:rsid w:val="572D203D"/>
    <w:rsid w:val="572F3F6E"/>
    <w:rsid w:val="57337F1D"/>
    <w:rsid w:val="573451D3"/>
    <w:rsid w:val="573B5D90"/>
    <w:rsid w:val="574B1842"/>
    <w:rsid w:val="575256B8"/>
    <w:rsid w:val="57541431"/>
    <w:rsid w:val="5765363E"/>
    <w:rsid w:val="576A47B0"/>
    <w:rsid w:val="5780751F"/>
    <w:rsid w:val="578D66F1"/>
    <w:rsid w:val="57947A7F"/>
    <w:rsid w:val="579B2BBB"/>
    <w:rsid w:val="579D1EE7"/>
    <w:rsid w:val="57AE698D"/>
    <w:rsid w:val="57AF6667"/>
    <w:rsid w:val="57C32112"/>
    <w:rsid w:val="57CA34A1"/>
    <w:rsid w:val="57CF4D25"/>
    <w:rsid w:val="57E176C8"/>
    <w:rsid w:val="57E75E01"/>
    <w:rsid w:val="57EA58F1"/>
    <w:rsid w:val="57EA75B6"/>
    <w:rsid w:val="57EC78BB"/>
    <w:rsid w:val="57EF4CB5"/>
    <w:rsid w:val="580F25F1"/>
    <w:rsid w:val="581E3DE2"/>
    <w:rsid w:val="58283866"/>
    <w:rsid w:val="5834613A"/>
    <w:rsid w:val="583555B0"/>
    <w:rsid w:val="583639BE"/>
    <w:rsid w:val="583F6981"/>
    <w:rsid w:val="58474AF1"/>
    <w:rsid w:val="58594DCC"/>
    <w:rsid w:val="585D4798"/>
    <w:rsid w:val="58607995"/>
    <w:rsid w:val="58704048"/>
    <w:rsid w:val="58727DC0"/>
    <w:rsid w:val="587677E4"/>
    <w:rsid w:val="58781F86"/>
    <w:rsid w:val="587C29ED"/>
    <w:rsid w:val="587D0513"/>
    <w:rsid w:val="588502C1"/>
    <w:rsid w:val="58896EB8"/>
    <w:rsid w:val="588A400D"/>
    <w:rsid w:val="58A03E85"/>
    <w:rsid w:val="58A145D5"/>
    <w:rsid w:val="58AD005F"/>
    <w:rsid w:val="58AE4B70"/>
    <w:rsid w:val="58B101BD"/>
    <w:rsid w:val="58B45C07"/>
    <w:rsid w:val="58B5476B"/>
    <w:rsid w:val="58D95E28"/>
    <w:rsid w:val="58E3481A"/>
    <w:rsid w:val="58EF7663"/>
    <w:rsid w:val="58F63754"/>
    <w:rsid w:val="58FA1B64"/>
    <w:rsid w:val="5906675A"/>
    <w:rsid w:val="59097FF9"/>
    <w:rsid w:val="590D4ADB"/>
    <w:rsid w:val="59126EAD"/>
    <w:rsid w:val="59246BE1"/>
    <w:rsid w:val="59262959"/>
    <w:rsid w:val="592D31E7"/>
    <w:rsid w:val="592F7A5F"/>
    <w:rsid w:val="593257A1"/>
    <w:rsid w:val="5934151A"/>
    <w:rsid w:val="59360ECA"/>
    <w:rsid w:val="594F3C5E"/>
    <w:rsid w:val="59545BCC"/>
    <w:rsid w:val="5955323E"/>
    <w:rsid w:val="595D5A21"/>
    <w:rsid w:val="59617E35"/>
    <w:rsid w:val="5966544B"/>
    <w:rsid w:val="596A2439"/>
    <w:rsid w:val="596A6CE9"/>
    <w:rsid w:val="59706067"/>
    <w:rsid w:val="59706A3E"/>
    <w:rsid w:val="597A4A53"/>
    <w:rsid w:val="598D4786"/>
    <w:rsid w:val="598F49A2"/>
    <w:rsid w:val="59A0095D"/>
    <w:rsid w:val="59A26483"/>
    <w:rsid w:val="59A450EF"/>
    <w:rsid w:val="59A47466"/>
    <w:rsid w:val="59A541C5"/>
    <w:rsid w:val="59AC10B0"/>
    <w:rsid w:val="59BE4D82"/>
    <w:rsid w:val="59BE5384"/>
    <w:rsid w:val="59BE5FF6"/>
    <w:rsid w:val="59C003C5"/>
    <w:rsid w:val="59CA59DA"/>
    <w:rsid w:val="59CD7278"/>
    <w:rsid w:val="59CF1242"/>
    <w:rsid w:val="59D16321"/>
    <w:rsid w:val="59D77FD1"/>
    <w:rsid w:val="59DA33D2"/>
    <w:rsid w:val="59EC76FE"/>
    <w:rsid w:val="59ED3476"/>
    <w:rsid w:val="59EE152F"/>
    <w:rsid w:val="59F667CF"/>
    <w:rsid w:val="59FE68ED"/>
    <w:rsid w:val="5A006C9B"/>
    <w:rsid w:val="5A04713E"/>
    <w:rsid w:val="5A05170C"/>
    <w:rsid w:val="5A201A9E"/>
    <w:rsid w:val="5A290952"/>
    <w:rsid w:val="5A2C1221"/>
    <w:rsid w:val="5A315A59"/>
    <w:rsid w:val="5A327C3B"/>
    <w:rsid w:val="5A3B0686"/>
    <w:rsid w:val="5A3C3F0A"/>
    <w:rsid w:val="5A455061"/>
    <w:rsid w:val="5A517EA9"/>
    <w:rsid w:val="5A5359CF"/>
    <w:rsid w:val="5A567682"/>
    <w:rsid w:val="5A581238"/>
    <w:rsid w:val="5A582FE6"/>
    <w:rsid w:val="5A6220B6"/>
    <w:rsid w:val="5A785436"/>
    <w:rsid w:val="5A7E575D"/>
    <w:rsid w:val="5A81253D"/>
    <w:rsid w:val="5A8B33BB"/>
    <w:rsid w:val="5A9F29C3"/>
    <w:rsid w:val="5AA050D8"/>
    <w:rsid w:val="5AA12BDF"/>
    <w:rsid w:val="5AAD586E"/>
    <w:rsid w:val="5ABC17C7"/>
    <w:rsid w:val="5AC77E60"/>
    <w:rsid w:val="5ACB37B8"/>
    <w:rsid w:val="5ACE5829"/>
    <w:rsid w:val="5AD00DCE"/>
    <w:rsid w:val="5AD96C47"/>
    <w:rsid w:val="5ADC4F12"/>
    <w:rsid w:val="5AEE027D"/>
    <w:rsid w:val="5AF30F60"/>
    <w:rsid w:val="5AF96577"/>
    <w:rsid w:val="5B1038C0"/>
    <w:rsid w:val="5B13515F"/>
    <w:rsid w:val="5B136F0D"/>
    <w:rsid w:val="5B152C85"/>
    <w:rsid w:val="5B24780E"/>
    <w:rsid w:val="5B2552A4"/>
    <w:rsid w:val="5B2555BE"/>
    <w:rsid w:val="5B305D11"/>
    <w:rsid w:val="5B3A6B8F"/>
    <w:rsid w:val="5B5C222A"/>
    <w:rsid w:val="5B667984"/>
    <w:rsid w:val="5B6A7475"/>
    <w:rsid w:val="5B6D2AC1"/>
    <w:rsid w:val="5B734DF4"/>
    <w:rsid w:val="5B75500B"/>
    <w:rsid w:val="5B7A6F8C"/>
    <w:rsid w:val="5B841BB9"/>
    <w:rsid w:val="5B911BA5"/>
    <w:rsid w:val="5B9444F1"/>
    <w:rsid w:val="5B9E711E"/>
    <w:rsid w:val="5BA159E3"/>
    <w:rsid w:val="5BA5225B"/>
    <w:rsid w:val="5BA56B4D"/>
    <w:rsid w:val="5BAF30D9"/>
    <w:rsid w:val="5BB47AC3"/>
    <w:rsid w:val="5BB55878"/>
    <w:rsid w:val="5BBB1A7E"/>
    <w:rsid w:val="5BC216F7"/>
    <w:rsid w:val="5BC528FD"/>
    <w:rsid w:val="5BC546AB"/>
    <w:rsid w:val="5BD6484E"/>
    <w:rsid w:val="5BD97AEB"/>
    <w:rsid w:val="5BDA4A94"/>
    <w:rsid w:val="5BE03293"/>
    <w:rsid w:val="5BEB6D33"/>
    <w:rsid w:val="5BEC1C38"/>
    <w:rsid w:val="5BEC7E8A"/>
    <w:rsid w:val="5BF64864"/>
    <w:rsid w:val="5BFC7A7E"/>
    <w:rsid w:val="5BFD5022"/>
    <w:rsid w:val="5C0A47B4"/>
    <w:rsid w:val="5C425CFC"/>
    <w:rsid w:val="5C4557EC"/>
    <w:rsid w:val="5C4656FE"/>
    <w:rsid w:val="5C5468E9"/>
    <w:rsid w:val="5C657C3C"/>
    <w:rsid w:val="5C737BB0"/>
    <w:rsid w:val="5C7E485A"/>
    <w:rsid w:val="5C8F6A67"/>
    <w:rsid w:val="5C9964B7"/>
    <w:rsid w:val="5CA42512"/>
    <w:rsid w:val="5CB87D6C"/>
    <w:rsid w:val="5CBB785C"/>
    <w:rsid w:val="5CBD2ACA"/>
    <w:rsid w:val="5CD252D1"/>
    <w:rsid w:val="5CD526CC"/>
    <w:rsid w:val="5CD60DC1"/>
    <w:rsid w:val="5CFE3DD6"/>
    <w:rsid w:val="5CFE60C6"/>
    <w:rsid w:val="5CFF599B"/>
    <w:rsid w:val="5D02738C"/>
    <w:rsid w:val="5D0573C0"/>
    <w:rsid w:val="5D0D2B76"/>
    <w:rsid w:val="5D105DFA"/>
    <w:rsid w:val="5D156F6C"/>
    <w:rsid w:val="5D355860"/>
    <w:rsid w:val="5D5C2DED"/>
    <w:rsid w:val="5D5E4DB7"/>
    <w:rsid w:val="5D63113F"/>
    <w:rsid w:val="5D667D88"/>
    <w:rsid w:val="5D79399F"/>
    <w:rsid w:val="5D7F5001"/>
    <w:rsid w:val="5D812854"/>
    <w:rsid w:val="5D8B4513"/>
    <w:rsid w:val="5D910E46"/>
    <w:rsid w:val="5D922E97"/>
    <w:rsid w:val="5D9500AD"/>
    <w:rsid w:val="5DA33C1E"/>
    <w:rsid w:val="5DA54794"/>
    <w:rsid w:val="5DAB3C67"/>
    <w:rsid w:val="5DAB78D0"/>
    <w:rsid w:val="5DAD599C"/>
    <w:rsid w:val="5DB06C95"/>
    <w:rsid w:val="5DB1138B"/>
    <w:rsid w:val="5DBB1B81"/>
    <w:rsid w:val="5DCA244C"/>
    <w:rsid w:val="5DDE1A54"/>
    <w:rsid w:val="5DE40E97"/>
    <w:rsid w:val="5DE84681"/>
    <w:rsid w:val="5DEA664B"/>
    <w:rsid w:val="5DEE7F91"/>
    <w:rsid w:val="5DEF5A0F"/>
    <w:rsid w:val="5DF64FF0"/>
    <w:rsid w:val="5DF748C4"/>
    <w:rsid w:val="5DF7988F"/>
    <w:rsid w:val="5E01357E"/>
    <w:rsid w:val="5E06305A"/>
    <w:rsid w:val="5E111E29"/>
    <w:rsid w:val="5E1379F2"/>
    <w:rsid w:val="5E192A8C"/>
    <w:rsid w:val="5E2926FE"/>
    <w:rsid w:val="5E345B18"/>
    <w:rsid w:val="5E371164"/>
    <w:rsid w:val="5E385608"/>
    <w:rsid w:val="5E3B2062"/>
    <w:rsid w:val="5E3E0745"/>
    <w:rsid w:val="5E460CAD"/>
    <w:rsid w:val="5E6301AB"/>
    <w:rsid w:val="5E740740"/>
    <w:rsid w:val="5E746B35"/>
    <w:rsid w:val="5E75B6A8"/>
    <w:rsid w:val="5E7718F3"/>
    <w:rsid w:val="5E785A05"/>
    <w:rsid w:val="5E846949"/>
    <w:rsid w:val="5E912F6A"/>
    <w:rsid w:val="5E940365"/>
    <w:rsid w:val="5E954808"/>
    <w:rsid w:val="5EAC1CF8"/>
    <w:rsid w:val="5EAF2AE6"/>
    <w:rsid w:val="5EB6652D"/>
    <w:rsid w:val="5EBA426F"/>
    <w:rsid w:val="5ECE3876"/>
    <w:rsid w:val="5ED657BB"/>
    <w:rsid w:val="5EEF26E1"/>
    <w:rsid w:val="5EF05EE3"/>
    <w:rsid w:val="5EF12A43"/>
    <w:rsid w:val="5F013C4C"/>
    <w:rsid w:val="5F0279C4"/>
    <w:rsid w:val="5F047298"/>
    <w:rsid w:val="5F0A25F1"/>
    <w:rsid w:val="5F1D47FE"/>
    <w:rsid w:val="5F36141C"/>
    <w:rsid w:val="5F3C2ED6"/>
    <w:rsid w:val="5F471F9C"/>
    <w:rsid w:val="5F4955F3"/>
    <w:rsid w:val="5F506981"/>
    <w:rsid w:val="5F546472"/>
    <w:rsid w:val="5F561AAA"/>
    <w:rsid w:val="5F571ABE"/>
    <w:rsid w:val="5F5A7800"/>
    <w:rsid w:val="5F5F0972"/>
    <w:rsid w:val="5F6C76F4"/>
    <w:rsid w:val="5F775CBC"/>
    <w:rsid w:val="5F7A0949"/>
    <w:rsid w:val="5F805BF7"/>
    <w:rsid w:val="5F8403D9"/>
    <w:rsid w:val="5F8B1768"/>
    <w:rsid w:val="5F8F61EB"/>
    <w:rsid w:val="5F904CD0"/>
    <w:rsid w:val="5F97010C"/>
    <w:rsid w:val="5FAB1E0A"/>
    <w:rsid w:val="5FAF7B5C"/>
    <w:rsid w:val="5FBF580A"/>
    <w:rsid w:val="5FC03B07"/>
    <w:rsid w:val="5FC5111D"/>
    <w:rsid w:val="5FCD3B2E"/>
    <w:rsid w:val="5FD2383A"/>
    <w:rsid w:val="5FD276B3"/>
    <w:rsid w:val="5FD926C4"/>
    <w:rsid w:val="5FDD794C"/>
    <w:rsid w:val="5FDE3F8D"/>
    <w:rsid w:val="5FE61094"/>
    <w:rsid w:val="5FF4E6F9"/>
    <w:rsid w:val="5FFA8573"/>
    <w:rsid w:val="5FFB68ED"/>
    <w:rsid w:val="5FFF3EA6"/>
    <w:rsid w:val="600E7C8D"/>
    <w:rsid w:val="6010696C"/>
    <w:rsid w:val="601654D5"/>
    <w:rsid w:val="602816AC"/>
    <w:rsid w:val="602C4CF9"/>
    <w:rsid w:val="602F47E9"/>
    <w:rsid w:val="60365B77"/>
    <w:rsid w:val="6045400C"/>
    <w:rsid w:val="6054424F"/>
    <w:rsid w:val="6058433C"/>
    <w:rsid w:val="605B55DE"/>
    <w:rsid w:val="60652839"/>
    <w:rsid w:val="60675D31"/>
    <w:rsid w:val="60730B79"/>
    <w:rsid w:val="607641C6"/>
    <w:rsid w:val="6078593B"/>
    <w:rsid w:val="60807BF7"/>
    <w:rsid w:val="6081192B"/>
    <w:rsid w:val="608120FB"/>
    <w:rsid w:val="60844B35"/>
    <w:rsid w:val="608C39E9"/>
    <w:rsid w:val="608C51B9"/>
    <w:rsid w:val="6098238E"/>
    <w:rsid w:val="609D30C7"/>
    <w:rsid w:val="609F196E"/>
    <w:rsid w:val="60A868FD"/>
    <w:rsid w:val="60AC15B7"/>
    <w:rsid w:val="60AC7BE7"/>
    <w:rsid w:val="60B44CEE"/>
    <w:rsid w:val="60BA0C74"/>
    <w:rsid w:val="60BA5938"/>
    <w:rsid w:val="60BB3113"/>
    <w:rsid w:val="60C93D3C"/>
    <w:rsid w:val="60D21603"/>
    <w:rsid w:val="60E455D3"/>
    <w:rsid w:val="60E90E3C"/>
    <w:rsid w:val="61093C77"/>
    <w:rsid w:val="610B0DB2"/>
    <w:rsid w:val="61265BEC"/>
    <w:rsid w:val="612C1577"/>
    <w:rsid w:val="613025C6"/>
    <w:rsid w:val="614B6D92"/>
    <w:rsid w:val="61502C69"/>
    <w:rsid w:val="615074AC"/>
    <w:rsid w:val="615269E1"/>
    <w:rsid w:val="6155027F"/>
    <w:rsid w:val="615838CB"/>
    <w:rsid w:val="615C160D"/>
    <w:rsid w:val="61706E67"/>
    <w:rsid w:val="6171498D"/>
    <w:rsid w:val="61761FA3"/>
    <w:rsid w:val="61810725"/>
    <w:rsid w:val="6183303E"/>
    <w:rsid w:val="61873490"/>
    <w:rsid w:val="61893075"/>
    <w:rsid w:val="619568CD"/>
    <w:rsid w:val="619E7E05"/>
    <w:rsid w:val="619F1626"/>
    <w:rsid w:val="61A11716"/>
    <w:rsid w:val="61A62889"/>
    <w:rsid w:val="61A9201F"/>
    <w:rsid w:val="61BD7BD2"/>
    <w:rsid w:val="61C608BB"/>
    <w:rsid w:val="61C6117D"/>
    <w:rsid w:val="61CB22EF"/>
    <w:rsid w:val="61CD42B9"/>
    <w:rsid w:val="61D27B22"/>
    <w:rsid w:val="61D60DE9"/>
    <w:rsid w:val="61F061FA"/>
    <w:rsid w:val="61F47A98"/>
    <w:rsid w:val="61F53810"/>
    <w:rsid w:val="61F60B14"/>
    <w:rsid w:val="61FA4982"/>
    <w:rsid w:val="61FC4B9F"/>
    <w:rsid w:val="62013F63"/>
    <w:rsid w:val="62015D11"/>
    <w:rsid w:val="620A72BB"/>
    <w:rsid w:val="620D6DAC"/>
    <w:rsid w:val="62195750"/>
    <w:rsid w:val="62214605"/>
    <w:rsid w:val="622814F0"/>
    <w:rsid w:val="622A34BA"/>
    <w:rsid w:val="622D44F9"/>
    <w:rsid w:val="62411F2B"/>
    <w:rsid w:val="62514EEA"/>
    <w:rsid w:val="62571DD5"/>
    <w:rsid w:val="625A02AF"/>
    <w:rsid w:val="625D09DE"/>
    <w:rsid w:val="626F711E"/>
    <w:rsid w:val="62746075"/>
    <w:rsid w:val="62763D02"/>
    <w:rsid w:val="62892E07"/>
    <w:rsid w:val="62894211"/>
    <w:rsid w:val="628F156F"/>
    <w:rsid w:val="6291178B"/>
    <w:rsid w:val="62966DA1"/>
    <w:rsid w:val="629E3112"/>
    <w:rsid w:val="62A212A2"/>
    <w:rsid w:val="62AC0373"/>
    <w:rsid w:val="62B47227"/>
    <w:rsid w:val="62BE4EA7"/>
    <w:rsid w:val="62C204A2"/>
    <w:rsid w:val="62D022B3"/>
    <w:rsid w:val="62D11B87"/>
    <w:rsid w:val="62D358FF"/>
    <w:rsid w:val="62D476F6"/>
    <w:rsid w:val="62DD677E"/>
    <w:rsid w:val="62E33669"/>
    <w:rsid w:val="62E73159"/>
    <w:rsid w:val="62FC09CC"/>
    <w:rsid w:val="62FD0BCE"/>
    <w:rsid w:val="63030D51"/>
    <w:rsid w:val="630663F6"/>
    <w:rsid w:val="630B32EB"/>
    <w:rsid w:val="630D63C6"/>
    <w:rsid w:val="630E2B70"/>
    <w:rsid w:val="631657EC"/>
    <w:rsid w:val="63180259"/>
    <w:rsid w:val="632E0D88"/>
    <w:rsid w:val="633F2F95"/>
    <w:rsid w:val="634A1969"/>
    <w:rsid w:val="637636F5"/>
    <w:rsid w:val="63807109"/>
    <w:rsid w:val="63871D3B"/>
    <w:rsid w:val="63995208"/>
    <w:rsid w:val="639D4F81"/>
    <w:rsid w:val="639D5F0D"/>
    <w:rsid w:val="63A1064A"/>
    <w:rsid w:val="63A908B6"/>
    <w:rsid w:val="63AC7EFE"/>
    <w:rsid w:val="63B82D47"/>
    <w:rsid w:val="63BC564E"/>
    <w:rsid w:val="63C139AA"/>
    <w:rsid w:val="63C32B18"/>
    <w:rsid w:val="63D336DD"/>
    <w:rsid w:val="63D731CD"/>
    <w:rsid w:val="63E43B3C"/>
    <w:rsid w:val="63E47698"/>
    <w:rsid w:val="63F907C6"/>
    <w:rsid w:val="640B68C9"/>
    <w:rsid w:val="64124205"/>
    <w:rsid w:val="642503DD"/>
    <w:rsid w:val="64340532"/>
    <w:rsid w:val="64395C36"/>
    <w:rsid w:val="643F61C9"/>
    <w:rsid w:val="64410F8F"/>
    <w:rsid w:val="64460353"/>
    <w:rsid w:val="64630F05"/>
    <w:rsid w:val="64634A61"/>
    <w:rsid w:val="646507D9"/>
    <w:rsid w:val="64713622"/>
    <w:rsid w:val="6472739A"/>
    <w:rsid w:val="64760C38"/>
    <w:rsid w:val="648126D8"/>
    <w:rsid w:val="648844C8"/>
    <w:rsid w:val="648A46E4"/>
    <w:rsid w:val="648B3FB8"/>
    <w:rsid w:val="648F6CB2"/>
    <w:rsid w:val="649C7F73"/>
    <w:rsid w:val="649E1F3D"/>
    <w:rsid w:val="64A96370"/>
    <w:rsid w:val="64AC465A"/>
    <w:rsid w:val="64AD3F2E"/>
    <w:rsid w:val="64B74DAD"/>
    <w:rsid w:val="64B928D3"/>
    <w:rsid w:val="64DC3C48"/>
    <w:rsid w:val="64E536C8"/>
    <w:rsid w:val="64F80A4B"/>
    <w:rsid w:val="65081117"/>
    <w:rsid w:val="650A312E"/>
    <w:rsid w:val="65113196"/>
    <w:rsid w:val="65165F77"/>
    <w:rsid w:val="651B533C"/>
    <w:rsid w:val="651D5558"/>
    <w:rsid w:val="653C7DE7"/>
    <w:rsid w:val="6544290D"/>
    <w:rsid w:val="655226E8"/>
    <w:rsid w:val="65656F8B"/>
    <w:rsid w:val="65670581"/>
    <w:rsid w:val="65705687"/>
    <w:rsid w:val="65745E36"/>
    <w:rsid w:val="657809E0"/>
    <w:rsid w:val="658C3983"/>
    <w:rsid w:val="659155FE"/>
    <w:rsid w:val="659333F2"/>
    <w:rsid w:val="65A341BF"/>
    <w:rsid w:val="65A610A9"/>
    <w:rsid w:val="65A6554D"/>
    <w:rsid w:val="65B03CD6"/>
    <w:rsid w:val="65B05698"/>
    <w:rsid w:val="65B2072A"/>
    <w:rsid w:val="65B37C6A"/>
    <w:rsid w:val="65C77271"/>
    <w:rsid w:val="65D559DD"/>
    <w:rsid w:val="65D8322D"/>
    <w:rsid w:val="65E17B5A"/>
    <w:rsid w:val="65F056A2"/>
    <w:rsid w:val="65FC5AF0"/>
    <w:rsid w:val="66012783"/>
    <w:rsid w:val="661108C1"/>
    <w:rsid w:val="66157FDD"/>
    <w:rsid w:val="661C1C7B"/>
    <w:rsid w:val="661F70AE"/>
    <w:rsid w:val="662621EA"/>
    <w:rsid w:val="66285F62"/>
    <w:rsid w:val="662B27CE"/>
    <w:rsid w:val="662D17CA"/>
    <w:rsid w:val="662E109F"/>
    <w:rsid w:val="664B39FF"/>
    <w:rsid w:val="664D59C9"/>
    <w:rsid w:val="665B029B"/>
    <w:rsid w:val="6660394E"/>
    <w:rsid w:val="666F3B91"/>
    <w:rsid w:val="668C4743"/>
    <w:rsid w:val="669929BC"/>
    <w:rsid w:val="669E7FD2"/>
    <w:rsid w:val="66A31A8D"/>
    <w:rsid w:val="66A827DC"/>
    <w:rsid w:val="66AA2E1B"/>
    <w:rsid w:val="66AF32CB"/>
    <w:rsid w:val="66AF6362"/>
    <w:rsid w:val="66B9305E"/>
    <w:rsid w:val="66BE0674"/>
    <w:rsid w:val="66D32372"/>
    <w:rsid w:val="66D9725C"/>
    <w:rsid w:val="670C14BC"/>
    <w:rsid w:val="67220C03"/>
    <w:rsid w:val="67254250"/>
    <w:rsid w:val="672901E4"/>
    <w:rsid w:val="673152EA"/>
    <w:rsid w:val="67326068"/>
    <w:rsid w:val="673D77EB"/>
    <w:rsid w:val="673F17B5"/>
    <w:rsid w:val="67437A3D"/>
    <w:rsid w:val="674548F2"/>
    <w:rsid w:val="674E19F8"/>
    <w:rsid w:val="67564D51"/>
    <w:rsid w:val="675B5EC3"/>
    <w:rsid w:val="676314F1"/>
    <w:rsid w:val="676B40F0"/>
    <w:rsid w:val="677129D8"/>
    <w:rsid w:val="6773320D"/>
    <w:rsid w:val="67742476"/>
    <w:rsid w:val="677B0314"/>
    <w:rsid w:val="677D0530"/>
    <w:rsid w:val="67861921"/>
    <w:rsid w:val="678A1093"/>
    <w:rsid w:val="67B70DFE"/>
    <w:rsid w:val="67D30150"/>
    <w:rsid w:val="67D53EC8"/>
    <w:rsid w:val="67EC1211"/>
    <w:rsid w:val="67ED0AFA"/>
    <w:rsid w:val="67EED73E"/>
    <w:rsid w:val="67F105D6"/>
    <w:rsid w:val="67F325A0"/>
    <w:rsid w:val="67FC1454"/>
    <w:rsid w:val="68016A6B"/>
    <w:rsid w:val="68071BA7"/>
    <w:rsid w:val="680B4E69"/>
    <w:rsid w:val="680B78E9"/>
    <w:rsid w:val="681662CF"/>
    <w:rsid w:val="68182006"/>
    <w:rsid w:val="681E06EC"/>
    <w:rsid w:val="682C160E"/>
    <w:rsid w:val="6834699D"/>
    <w:rsid w:val="683F2481"/>
    <w:rsid w:val="6841155D"/>
    <w:rsid w:val="684150B9"/>
    <w:rsid w:val="68420E31"/>
    <w:rsid w:val="684D3A5E"/>
    <w:rsid w:val="68546615"/>
    <w:rsid w:val="685F19E3"/>
    <w:rsid w:val="68662D72"/>
    <w:rsid w:val="6873723D"/>
    <w:rsid w:val="68863414"/>
    <w:rsid w:val="68914293"/>
    <w:rsid w:val="68967484"/>
    <w:rsid w:val="68AA0EB0"/>
    <w:rsid w:val="68AF4719"/>
    <w:rsid w:val="68B00491"/>
    <w:rsid w:val="68BC3EF8"/>
    <w:rsid w:val="68D777CC"/>
    <w:rsid w:val="68DB5223"/>
    <w:rsid w:val="68E0445E"/>
    <w:rsid w:val="68E32614"/>
    <w:rsid w:val="68E36170"/>
    <w:rsid w:val="68F55EA4"/>
    <w:rsid w:val="690600B1"/>
    <w:rsid w:val="690D7691"/>
    <w:rsid w:val="6922167D"/>
    <w:rsid w:val="6922313D"/>
    <w:rsid w:val="692350BF"/>
    <w:rsid w:val="69272501"/>
    <w:rsid w:val="692D4CEA"/>
    <w:rsid w:val="6937562E"/>
    <w:rsid w:val="693E3CEF"/>
    <w:rsid w:val="693F5EA4"/>
    <w:rsid w:val="694766FF"/>
    <w:rsid w:val="695157D0"/>
    <w:rsid w:val="695D23C7"/>
    <w:rsid w:val="6962178B"/>
    <w:rsid w:val="69634AB3"/>
    <w:rsid w:val="69674FF3"/>
    <w:rsid w:val="69676DA1"/>
    <w:rsid w:val="696E6CF7"/>
    <w:rsid w:val="6984688D"/>
    <w:rsid w:val="699C4207"/>
    <w:rsid w:val="699E02E9"/>
    <w:rsid w:val="699F29DF"/>
    <w:rsid w:val="69C20C02"/>
    <w:rsid w:val="69C75A92"/>
    <w:rsid w:val="69CF3481"/>
    <w:rsid w:val="69EE1271"/>
    <w:rsid w:val="69F820EF"/>
    <w:rsid w:val="69FF31EF"/>
    <w:rsid w:val="6A0665BA"/>
    <w:rsid w:val="6A0E1913"/>
    <w:rsid w:val="6A136F29"/>
    <w:rsid w:val="6A1C3809"/>
    <w:rsid w:val="6A201D13"/>
    <w:rsid w:val="6A222CC8"/>
    <w:rsid w:val="6A372C18"/>
    <w:rsid w:val="6A3B3D8A"/>
    <w:rsid w:val="6A3D3FA6"/>
    <w:rsid w:val="6A3F7D1E"/>
    <w:rsid w:val="6A403ED9"/>
    <w:rsid w:val="6A4E7F61"/>
    <w:rsid w:val="6A531ADF"/>
    <w:rsid w:val="6A5C0D00"/>
    <w:rsid w:val="6A641533"/>
    <w:rsid w:val="6A6766E4"/>
    <w:rsid w:val="6A6B28C1"/>
    <w:rsid w:val="6A7A2B04"/>
    <w:rsid w:val="6A835E5D"/>
    <w:rsid w:val="6A837C0B"/>
    <w:rsid w:val="6A9D7623"/>
    <w:rsid w:val="6AA10091"/>
    <w:rsid w:val="6AA302AD"/>
    <w:rsid w:val="6AA61B4B"/>
    <w:rsid w:val="6AB8592C"/>
    <w:rsid w:val="6AD761A9"/>
    <w:rsid w:val="6AD94673"/>
    <w:rsid w:val="6AE30A9B"/>
    <w:rsid w:val="6AE40EF1"/>
    <w:rsid w:val="6AEA5EDC"/>
    <w:rsid w:val="6AFE54E3"/>
    <w:rsid w:val="6B036F9E"/>
    <w:rsid w:val="6B0625EA"/>
    <w:rsid w:val="6B074014"/>
    <w:rsid w:val="6B092BFE"/>
    <w:rsid w:val="6B0F5943"/>
    <w:rsid w:val="6B217424"/>
    <w:rsid w:val="6B222008"/>
    <w:rsid w:val="6B293346"/>
    <w:rsid w:val="6B2A277C"/>
    <w:rsid w:val="6B451364"/>
    <w:rsid w:val="6B4A697B"/>
    <w:rsid w:val="6B533D5A"/>
    <w:rsid w:val="6B5D7A41"/>
    <w:rsid w:val="6B6C68F1"/>
    <w:rsid w:val="6B961BC0"/>
    <w:rsid w:val="6B96571C"/>
    <w:rsid w:val="6BA442DD"/>
    <w:rsid w:val="6BA73DCD"/>
    <w:rsid w:val="6BAA566B"/>
    <w:rsid w:val="6BAB6E72"/>
    <w:rsid w:val="6BB42046"/>
    <w:rsid w:val="6BC424DC"/>
    <w:rsid w:val="6BD5641E"/>
    <w:rsid w:val="6BE04BE9"/>
    <w:rsid w:val="6BE23524"/>
    <w:rsid w:val="6BE37E48"/>
    <w:rsid w:val="6BE87F8C"/>
    <w:rsid w:val="6BF95CAB"/>
    <w:rsid w:val="6C00528B"/>
    <w:rsid w:val="6C0E1756"/>
    <w:rsid w:val="6C153D1A"/>
    <w:rsid w:val="6C1D1C28"/>
    <w:rsid w:val="6C284CD4"/>
    <w:rsid w:val="6C3311BD"/>
    <w:rsid w:val="6C3F5DB4"/>
    <w:rsid w:val="6C53185F"/>
    <w:rsid w:val="6C7812C6"/>
    <w:rsid w:val="6C835763"/>
    <w:rsid w:val="6C8E0AE9"/>
    <w:rsid w:val="6CAF118B"/>
    <w:rsid w:val="6CB00A5F"/>
    <w:rsid w:val="6CB2105A"/>
    <w:rsid w:val="6CB22A29"/>
    <w:rsid w:val="6CC22541"/>
    <w:rsid w:val="6CDB405E"/>
    <w:rsid w:val="6CDE737B"/>
    <w:rsid w:val="6CDF1345"/>
    <w:rsid w:val="6CE60128"/>
    <w:rsid w:val="6CE801F9"/>
    <w:rsid w:val="6CE85CBF"/>
    <w:rsid w:val="6CF21078"/>
    <w:rsid w:val="6CF7043C"/>
    <w:rsid w:val="6D1F5E22"/>
    <w:rsid w:val="6D2D3E5E"/>
    <w:rsid w:val="6D316C4F"/>
    <w:rsid w:val="6D323B6A"/>
    <w:rsid w:val="6D325918"/>
    <w:rsid w:val="6D390A55"/>
    <w:rsid w:val="6D3E42BD"/>
    <w:rsid w:val="6D463172"/>
    <w:rsid w:val="6D486EEA"/>
    <w:rsid w:val="6D605FE2"/>
    <w:rsid w:val="6D655CEE"/>
    <w:rsid w:val="6D68133A"/>
    <w:rsid w:val="6D7918CC"/>
    <w:rsid w:val="6D7F57D3"/>
    <w:rsid w:val="6D8C327A"/>
    <w:rsid w:val="6D8F2D6B"/>
    <w:rsid w:val="6D8F4B19"/>
    <w:rsid w:val="6D9852BB"/>
    <w:rsid w:val="6D995997"/>
    <w:rsid w:val="6DA71E62"/>
    <w:rsid w:val="6DA927E6"/>
    <w:rsid w:val="6DA96B0F"/>
    <w:rsid w:val="6DA9794A"/>
    <w:rsid w:val="6DAF6F69"/>
    <w:rsid w:val="6DBE25DF"/>
    <w:rsid w:val="6DC718F1"/>
    <w:rsid w:val="6DCF4F15"/>
    <w:rsid w:val="6DD32C57"/>
    <w:rsid w:val="6DE5298B"/>
    <w:rsid w:val="6DF06593"/>
    <w:rsid w:val="6DF4643A"/>
    <w:rsid w:val="6E063FA6"/>
    <w:rsid w:val="6E2039C3"/>
    <w:rsid w:val="6E222B10"/>
    <w:rsid w:val="6E272FA3"/>
    <w:rsid w:val="6E2B2A93"/>
    <w:rsid w:val="6E3260E0"/>
    <w:rsid w:val="6E361D10"/>
    <w:rsid w:val="6E4F0700"/>
    <w:rsid w:val="6E533D98"/>
    <w:rsid w:val="6E535B46"/>
    <w:rsid w:val="6E697118"/>
    <w:rsid w:val="6E6B10E2"/>
    <w:rsid w:val="6E6C09B6"/>
    <w:rsid w:val="6E7066F8"/>
    <w:rsid w:val="6E745C57"/>
    <w:rsid w:val="6E7A30D3"/>
    <w:rsid w:val="6E82642B"/>
    <w:rsid w:val="6E861244"/>
    <w:rsid w:val="6E9028F6"/>
    <w:rsid w:val="6E923636"/>
    <w:rsid w:val="6E985C4F"/>
    <w:rsid w:val="6EA10B98"/>
    <w:rsid w:val="6EE65108"/>
    <w:rsid w:val="6EF47329"/>
    <w:rsid w:val="6F03756C"/>
    <w:rsid w:val="6F081D86"/>
    <w:rsid w:val="6F0A523B"/>
    <w:rsid w:val="6F1A5353"/>
    <w:rsid w:val="6F1C23DC"/>
    <w:rsid w:val="6F2319BD"/>
    <w:rsid w:val="6F27744D"/>
    <w:rsid w:val="6F2D283B"/>
    <w:rsid w:val="6F2F6E1D"/>
    <w:rsid w:val="6F4162E7"/>
    <w:rsid w:val="6F422360"/>
    <w:rsid w:val="6F4F4560"/>
    <w:rsid w:val="6F533DC0"/>
    <w:rsid w:val="6F587E99"/>
    <w:rsid w:val="6F5E2C53"/>
    <w:rsid w:val="6F651FD5"/>
    <w:rsid w:val="6F6A46D4"/>
    <w:rsid w:val="6F6D70DC"/>
    <w:rsid w:val="6F6F4757"/>
    <w:rsid w:val="6F977CB5"/>
    <w:rsid w:val="6F9E54E7"/>
    <w:rsid w:val="6FA127D3"/>
    <w:rsid w:val="6FA75E74"/>
    <w:rsid w:val="6FB13768"/>
    <w:rsid w:val="6FB24AEE"/>
    <w:rsid w:val="6FB645DF"/>
    <w:rsid w:val="6FBB39A3"/>
    <w:rsid w:val="6FCB3EA6"/>
    <w:rsid w:val="6FCE7B7A"/>
    <w:rsid w:val="6FD56AEC"/>
    <w:rsid w:val="6FF0654E"/>
    <w:rsid w:val="6FF5479D"/>
    <w:rsid w:val="6FF944CB"/>
    <w:rsid w:val="6FFEC856"/>
    <w:rsid w:val="70030FCD"/>
    <w:rsid w:val="70167FBF"/>
    <w:rsid w:val="7019691C"/>
    <w:rsid w:val="701B07F5"/>
    <w:rsid w:val="701D01BA"/>
    <w:rsid w:val="7020414E"/>
    <w:rsid w:val="702C48A1"/>
    <w:rsid w:val="703210FB"/>
    <w:rsid w:val="703B6CD7"/>
    <w:rsid w:val="70455963"/>
    <w:rsid w:val="704736EF"/>
    <w:rsid w:val="7048597B"/>
    <w:rsid w:val="70763D6E"/>
    <w:rsid w:val="70795447"/>
    <w:rsid w:val="70862203"/>
    <w:rsid w:val="708C17E3"/>
    <w:rsid w:val="70904E30"/>
    <w:rsid w:val="7091206C"/>
    <w:rsid w:val="70A1528F"/>
    <w:rsid w:val="70A42689"/>
    <w:rsid w:val="70B802C1"/>
    <w:rsid w:val="70BC3E77"/>
    <w:rsid w:val="70BD374B"/>
    <w:rsid w:val="70C132B4"/>
    <w:rsid w:val="70CB40BA"/>
    <w:rsid w:val="70DC1E23"/>
    <w:rsid w:val="70DF1913"/>
    <w:rsid w:val="70E319B5"/>
    <w:rsid w:val="70E6656D"/>
    <w:rsid w:val="70EB5E97"/>
    <w:rsid w:val="70EE1B56"/>
    <w:rsid w:val="70F25AEA"/>
    <w:rsid w:val="70F76C5D"/>
    <w:rsid w:val="70FA0ED5"/>
    <w:rsid w:val="71031AA6"/>
    <w:rsid w:val="7104581E"/>
    <w:rsid w:val="7113780F"/>
    <w:rsid w:val="71163687"/>
    <w:rsid w:val="711F7F62"/>
    <w:rsid w:val="71467832"/>
    <w:rsid w:val="7148086A"/>
    <w:rsid w:val="714E0847"/>
    <w:rsid w:val="714F4911"/>
    <w:rsid w:val="71557E27"/>
    <w:rsid w:val="71600CA6"/>
    <w:rsid w:val="7164006A"/>
    <w:rsid w:val="71641ECA"/>
    <w:rsid w:val="7169742F"/>
    <w:rsid w:val="716F6B00"/>
    <w:rsid w:val="717F5A62"/>
    <w:rsid w:val="718801FD"/>
    <w:rsid w:val="718E4F43"/>
    <w:rsid w:val="71900E5F"/>
    <w:rsid w:val="71922E29"/>
    <w:rsid w:val="71946BA2"/>
    <w:rsid w:val="71A5106C"/>
    <w:rsid w:val="71A843FB"/>
    <w:rsid w:val="71B66B18"/>
    <w:rsid w:val="71BE777B"/>
    <w:rsid w:val="71C034F3"/>
    <w:rsid w:val="71C254BD"/>
    <w:rsid w:val="71C805F9"/>
    <w:rsid w:val="71CA4371"/>
    <w:rsid w:val="71E03B95"/>
    <w:rsid w:val="71E371E1"/>
    <w:rsid w:val="71F03F54"/>
    <w:rsid w:val="71F11605"/>
    <w:rsid w:val="71F281BC"/>
    <w:rsid w:val="72017972"/>
    <w:rsid w:val="721F5091"/>
    <w:rsid w:val="72253C9E"/>
    <w:rsid w:val="722C2936"/>
    <w:rsid w:val="722E4789"/>
    <w:rsid w:val="72312642"/>
    <w:rsid w:val="7235622E"/>
    <w:rsid w:val="723932A5"/>
    <w:rsid w:val="724C7C71"/>
    <w:rsid w:val="724D7270"/>
    <w:rsid w:val="72516841"/>
    <w:rsid w:val="7252731D"/>
    <w:rsid w:val="72542C05"/>
    <w:rsid w:val="725B1FB2"/>
    <w:rsid w:val="725B2386"/>
    <w:rsid w:val="728A577A"/>
    <w:rsid w:val="728B1D53"/>
    <w:rsid w:val="72952BD1"/>
    <w:rsid w:val="72A72905"/>
    <w:rsid w:val="72B666A4"/>
    <w:rsid w:val="72BE2B6E"/>
    <w:rsid w:val="72BE649F"/>
    <w:rsid w:val="72BF7C4E"/>
    <w:rsid w:val="72C61256"/>
    <w:rsid w:val="72C70407"/>
    <w:rsid w:val="72CE7E91"/>
    <w:rsid w:val="72D8486C"/>
    <w:rsid w:val="72DA4A88"/>
    <w:rsid w:val="72DF6B7C"/>
    <w:rsid w:val="72ED2B30"/>
    <w:rsid w:val="72F07E08"/>
    <w:rsid w:val="72FD155C"/>
    <w:rsid w:val="730679BB"/>
    <w:rsid w:val="731C29AB"/>
    <w:rsid w:val="731F249B"/>
    <w:rsid w:val="732B0E40"/>
    <w:rsid w:val="732F094D"/>
    <w:rsid w:val="732F23C3"/>
    <w:rsid w:val="733C129F"/>
    <w:rsid w:val="7346551F"/>
    <w:rsid w:val="735C724B"/>
    <w:rsid w:val="735E7467"/>
    <w:rsid w:val="736B56E0"/>
    <w:rsid w:val="737126BD"/>
    <w:rsid w:val="7372081D"/>
    <w:rsid w:val="7373618B"/>
    <w:rsid w:val="7375030D"/>
    <w:rsid w:val="737C1903"/>
    <w:rsid w:val="73841655"/>
    <w:rsid w:val="73880E07"/>
    <w:rsid w:val="738B7B30"/>
    <w:rsid w:val="738F6DB9"/>
    <w:rsid w:val="73903399"/>
    <w:rsid w:val="739A5FC5"/>
    <w:rsid w:val="73A429A0"/>
    <w:rsid w:val="73AB1F81"/>
    <w:rsid w:val="73BF33DA"/>
    <w:rsid w:val="73BF77DA"/>
    <w:rsid w:val="73CA68AB"/>
    <w:rsid w:val="73DD4830"/>
    <w:rsid w:val="73DE5EB2"/>
    <w:rsid w:val="73E62FB9"/>
    <w:rsid w:val="73EB05CF"/>
    <w:rsid w:val="740B71DF"/>
    <w:rsid w:val="741B0EB4"/>
    <w:rsid w:val="7420296E"/>
    <w:rsid w:val="74310324"/>
    <w:rsid w:val="74343D24"/>
    <w:rsid w:val="7434641A"/>
    <w:rsid w:val="744321B9"/>
    <w:rsid w:val="74484FC8"/>
    <w:rsid w:val="74485A21"/>
    <w:rsid w:val="744A2CB4"/>
    <w:rsid w:val="744B6DE7"/>
    <w:rsid w:val="7459523B"/>
    <w:rsid w:val="74604FAC"/>
    <w:rsid w:val="746C7962"/>
    <w:rsid w:val="746E5488"/>
    <w:rsid w:val="74746816"/>
    <w:rsid w:val="747552BC"/>
    <w:rsid w:val="747B5DF7"/>
    <w:rsid w:val="747E54A6"/>
    <w:rsid w:val="748218F8"/>
    <w:rsid w:val="74862638"/>
    <w:rsid w:val="748922C2"/>
    <w:rsid w:val="74A60C5C"/>
    <w:rsid w:val="74B02D5E"/>
    <w:rsid w:val="74B974C6"/>
    <w:rsid w:val="74CE5F27"/>
    <w:rsid w:val="74D15A17"/>
    <w:rsid w:val="74D55507"/>
    <w:rsid w:val="74DB6895"/>
    <w:rsid w:val="74E9656F"/>
    <w:rsid w:val="74F57957"/>
    <w:rsid w:val="74F811F5"/>
    <w:rsid w:val="74FA6600"/>
    <w:rsid w:val="75016C0B"/>
    <w:rsid w:val="75044386"/>
    <w:rsid w:val="75071439"/>
    <w:rsid w:val="75151DA7"/>
    <w:rsid w:val="75163159"/>
    <w:rsid w:val="7517700E"/>
    <w:rsid w:val="751A1798"/>
    <w:rsid w:val="751A73BE"/>
    <w:rsid w:val="75271ADB"/>
    <w:rsid w:val="75357D54"/>
    <w:rsid w:val="75371D1E"/>
    <w:rsid w:val="753B165A"/>
    <w:rsid w:val="75480117"/>
    <w:rsid w:val="755F7EF4"/>
    <w:rsid w:val="75614FED"/>
    <w:rsid w:val="75622B13"/>
    <w:rsid w:val="75683D18"/>
    <w:rsid w:val="756C5396"/>
    <w:rsid w:val="756D3991"/>
    <w:rsid w:val="75703482"/>
    <w:rsid w:val="75866801"/>
    <w:rsid w:val="75956A44"/>
    <w:rsid w:val="75A40753"/>
    <w:rsid w:val="75A86778"/>
    <w:rsid w:val="75DBED17"/>
    <w:rsid w:val="75E023B5"/>
    <w:rsid w:val="75E63744"/>
    <w:rsid w:val="75EA3234"/>
    <w:rsid w:val="75EF3088"/>
    <w:rsid w:val="75F0011F"/>
    <w:rsid w:val="75F53987"/>
    <w:rsid w:val="75F86A3A"/>
    <w:rsid w:val="76022CF1"/>
    <w:rsid w:val="76085468"/>
    <w:rsid w:val="76104C5D"/>
    <w:rsid w:val="76197675"/>
    <w:rsid w:val="761E4C8C"/>
    <w:rsid w:val="762D1373"/>
    <w:rsid w:val="76361FD5"/>
    <w:rsid w:val="76391AC6"/>
    <w:rsid w:val="76424E1E"/>
    <w:rsid w:val="7645046A"/>
    <w:rsid w:val="76470FFA"/>
    <w:rsid w:val="764C6DB0"/>
    <w:rsid w:val="76544B51"/>
    <w:rsid w:val="76612DCA"/>
    <w:rsid w:val="7662180E"/>
    <w:rsid w:val="76650107"/>
    <w:rsid w:val="767040BF"/>
    <w:rsid w:val="7683414A"/>
    <w:rsid w:val="76937428"/>
    <w:rsid w:val="769B008A"/>
    <w:rsid w:val="76A50F09"/>
    <w:rsid w:val="76AF3B36"/>
    <w:rsid w:val="76B4739E"/>
    <w:rsid w:val="76CF6212"/>
    <w:rsid w:val="76D812DE"/>
    <w:rsid w:val="76EC6B38"/>
    <w:rsid w:val="770976EA"/>
    <w:rsid w:val="770B16B4"/>
    <w:rsid w:val="77152EE5"/>
    <w:rsid w:val="771D3195"/>
    <w:rsid w:val="7725204A"/>
    <w:rsid w:val="77291B3A"/>
    <w:rsid w:val="772B58B2"/>
    <w:rsid w:val="773872EC"/>
    <w:rsid w:val="773B7675"/>
    <w:rsid w:val="7763329E"/>
    <w:rsid w:val="77690189"/>
    <w:rsid w:val="777032C5"/>
    <w:rsid w:val="777EB4CE"/>
    <w:rsid w:val="77822FF8"/>
    <w:rsid w:val="778B6351"/>
    <w:rsid w:val="778C3E77"/>
    <w:rsid w:val="77974CF6"/>
    <w:rsid w:val="779D7E32"/>
    <w:rsid w:val="77B21B30"/>
    <w:rsid w:val="77B533CE"/>
    <w:rsid w:val="77C16217"/>
    <w:rsid w:val="77C33D3D"/>
    <w:rsid w:val="77C81353"/>
    <w:rsid w:val="77D870BC"/>
    <w:rsid w:val="77E12415"/>
    <w:rsid w:val="77E45A61"/>
    <w:rsid w:val="77E720B2"/>
    <w:rsid w:val="77EB5041"/>
    <w:rsid w:val="77FC6F6B"/>
    <w:rsid w:val="77FFFE1E"/>
    <w:rsid w:val="78014865"/>
    <w:rsid w:val="780A371A"/>
    <w:rsid w:val="78106856"/>
    <w:rsid w:val="78163B2D"/>
    <w:rsid w:val="781D57D3"/>
    <w:rsid w:val="781E7D5E"/>
    <w:rsid w:val="78283BA0"/>
    <w:rsid w:val="782A3DBC"/>
    <w:rsid w:val="782B3690"/>
    <w:rsid w:val="78570929"/>
    <w:rsid w:val="786A41B8"/>
    <w:rsid w:val="787E5EB6"/>
    <w:rsid w:val="789B4399"/>
    <w:rsid w:val="789F7CC1"/>
    <w:rsid w:val="78A85E34"/>
    <w:rsid w:val="78C230D4"/>
    <w:rsid w:val="78C758FF"/>
    <w:rsid w:val="78E51400"/>
    <w:rsid w:val="78EF46BD"/>
    <w:rsid w:val="78F16688"/>
    <w:rsid w:val="78FF0AC7"/>
    <w:rsid w:val="7919798C"/>
    <w:rsid w:val="791D747D"/>
    <w:rsid w:val="791F1447"/>
    <w:rsid w:val="79220FB0"/>
    <w:rsid w:val="79224A93"/>
    <w:rsid w:val="7925031F"/>
    <w:rsid w:val="79306EEF"/>
    <w:rsid w:val="794964C4"/>
    <w:rsid w:val="794A183F"/>
    <w:rsid w:val="79592940"/>
    <w:rsid w:val="795C61F7"/>
    <w:rsid w:val="795D0B6D"/>
    <w:rsid w:val="79667075"/>
    <w:rsid w:val="797F1EE5"/>
    <w:rsid w:val="79815539"/>
    <w:rsid w:val="798412AA"/>
    <w:rsid w:val="79870D9A"/>
    <w:rsid w:val="798870BE"/>
    <w:rsid w:val="798F3DA9"/>
    <w:rsid w:val="798F7942"/>
    <w:rsid w:val="799C2A97"/>
    <w:rsid w:val="79B25D48"/>
    <w:rsid w:val="79B778D1"/>
    <w:rsid w:val="79B87C08"/>
    <w:rsid w:val="79B95592"/>
    <w:rsid w:val="79BC6C95"/>
    <w:rsid w:val="79BD47BC"/>
    <w:rsid w:val="79C1605A"/>
    <w:rsid w:val="79C36487"/>
    <w:rsid w:val="79C922CD"/>
    <w:rsid w:val="79CF6D12"/>
    <w:rsid w:val="79D40A02"/>
    <w:rsid w:val="79D556BA"/>
    <w:rsid w:val="79EE0E19"/>
    <w:rsid w:val="79FA5A10"/>
    <w:rsid w:val="7A1C1515"/>
    <w:rsid w:val="7A260224"/>
    <w:rsid w:val="7A291E51"/>
    <w:rsid w:val="7A2E1215"/>
    <w:rsid w:val="7A480529"/>
    <w:rsid w:val="7A631C90"/>
    <w:rsid w:val="7A676AD2"/>
    <w:rsid w:val="7A6F5AB6"/>
    <w:rsid w:val="7A715CD2"/>
    <w:rsid w:val="7A765096"/>
    <w:rsid w:val="7A8323E5"/>
    <w:rsid w:val="7A844787"/>
    <w:rsid w:val="7A8A30FA"/>
    <w:rsid w:val="7A8F6158"/>
    <w:rsid w:val="7A9674E6"/>
    <w:rsid w:val="7A97325F"/>
    <w:rsid w:val="7AAC4F5C"/>
    <w:rsid w:val="7AB12572"/>
    <w:rsid w:val="7AB56F76"/>
    <w:rsid w:val="7AB83901"/>
    <w:rsid w:val="7ABE2599"/>
    <w:rsid w:val="7AC11AFE"/>
    <w:rsid w:val="7AC34570"/>
    <w:rsid w:val="7ACA53E2"/>
    <w:rsid w:val="7AD9593B"/>
    <w:rsid w:val="7ADE15F5"/>
    <w:rsid w:val="7ADE7427"/>
    <w:rsid w:val="7AE528BD"/>
    <w:rsid w:val="7AFF5EC9"/>
    <w:rsid w:val="7B095F0A"/>
    <w:rsid w:val="7B1D19B6"/>
    <w:rsid w:val="7B2B0707"/>
    <w:rsid w:val="7B312553"/>
    <w:rsid w:val="7B3206AC"/>
    <w:rsid w:val="7B354F51"/>
    <w:rsid w:val="7B366F41"/>
    <w:rsid w:val="7B4512D9"/>
    <w:rsid w:val="7B486307"/>
    <w:rsid w:val="7B5D6256"/>
    <w:rsid w:val="7B5F7657"/>
    <w:rsid w:val="7B66335D"/>
    <w:rsid w:val="7B737828"/>
    <w:rsid w:val="7B790082"/>
    <w:rsid w:val="7B7D4202"/>
    <w:rsid w:val="7B987C76"/>
    <w:rsid w:val="7BA7127F"/>
    <w:rsid w:val="7BAB6FC2"/>
    <w:rsid w:val="7BB51BEE"/>
    <w:rsid w:val="7BB5399C"/>
    <w:rsid w:val="7BC938EC"/>
    <w:rsid w:val="7BCF4C49"/>
    <w:rsid w:val="7BDD2EF3"/>
    <w:rsid w:val="7BE1477E"/>
    <w:rsid w:val="7BE44282"/>
    <w:rsid w:val="7BE642B7"/>
    <w:rsid w:val="7BE6624C"/>
    <w:rsid w:val="7BEA0B95"/>
    <w:rsid w:val="7BF00E78"/>
    <w:rsid w:val="7BF0290E"/>
    <w:rsid w:val="7BF2699E"/>
    <w:rsid w:val="7BFA1CF7"/>
    <w:rsid w:val="7BFC781D"/>
    <w:rsid w:val="7BFE8DB6"/>
    <w:rsid w:val="7C116148"/>
    <w:rsid w:val="7C125D37"/>
    <w:rsid w:val="7C176405"/>
    <w:rsid w:val="7C1E3C37"/>
    <w:rsid w:val="7C26489A"/>
    <w:rsid w:val="7C35247C"/>
    <w:rsid w:val="7C442F72"/>
    <w:rsid w:val="7C5D7990"/>
    <w:rsid w:val="7C6364E6"/>
    <w:rsid w:val="7C696F46"/>
    <w:rsid w:val="7C725D31"/>
    <w:rsid w:val="7C8F0691"/>
    <w:rsid w:val="7C921F30"/>
    <w:rsid w:val="7C9B5288"/>
    <w:rsid w:val="7CA51FCB"/>
    <w:rsid w:val="7CA659DB"/>
    <w:rsid w:val="7CA665FA"/>
    <w:rsid w:val="7CA81753"/>
    <w:rsid w:val="7CAC1243"/>
    <w:rsid w:val="7CB974BC"/>
    <w:rsid w:val="7CBA4FE2"/>
    <w:rsid w:val="7CC06A9D"/>
    <w:rsid w:val="7CC16DE3"/>
    <w:rsid w:val="7CD36C81"/>
    <w:rsid w:val="7CD73DE6"/>
    <w:rsid w:val="7CE00EED"/>
    <w:rsid w:val="7CE04A49"/>
    <w:rsid w:val="7CE65DD7"/>
    <w:rsid w:val="7CF57E0E"/>
    <w:rsid w:val="7CF60710"/>
    <w:rsid w:val="7CFB7AD5"/>
    <w:rsid w:val="7D0C1CE2"/>
    <w:rsid w:val="7D0E5A5A"/>
    <w:rsid w:val="7D0F3580"/>
    <w:rsid w:val="7D1312C2"/>
    <w:rsid w:val="7D146DE8"/>
    <w:rsid w:val="7D1C7A4B"/>
    <w:rsid w:val="7D1E1F4E"/>
    <w:rsid w:val="7D23702C"/>
    <w:rsid w:val="7D276244"/>
    <w:rsid w:val="7D472D1A"/>
    <w:rsid w:val="7D536175"/>
    <w:rsid w:val="7D537911"/>
    <w:rsid w:val="7D681F0F"/>
    <w:rsid w:val="7D697134"/>
    <w:rsid w:val="7D6A6A08"/>
    <w:rsid w:val="7D6B1CE3"/>
    <w:rsid w:val="7D807847"/>
    <w:rsid w:val="7D887A3F"/>
    <w:rsid w:val="7D9278DA"/>
    <w:rsid w:val="7D9341B1"/>
    <w:rsid w:val="7D9B26AB"/>
    <w:rsid w:val="7D9C2CA5"/>
    <w:rsid w:val="7DB73A5A"/>
    <w:rsid w:val="7DBB1012"/>
    <w:rsid w:val="7DD6409E"/>
    <w:rsid w:val="7DD86068"/>
    <w:rsid w:val="7DE40569"/>
    <w:rsid w:val="7DE92122"/>
    <w:rsid w:val="7DFD162B"/>
    <w:rsid w:val="7DFF53A3"/>
    <w:rsid w:val="7E0429B9"/>
    <w:rsid w:val="7E0B01EB"/>
    <w:rsid w:val="7E1207C4"/>
    <w:rsid w:val="7E1F77F3"/>
    <w:rsid w:val="7E216DFF"/>
    <w:rsid w:val="7E370FE0"/>
    <w:rsid w:val="7E3F7E95"/>
    <w:rsid w:val="7E5971A9"/>
    <w:rsid w:val="7E5F5E41"/>
    <w:rsid w:val="7E61605D"/>
    <w:rsid w:val="7E617E0B"/>
    <w:rsid w:val="7E6654E6"/>
    <w:rsid w:val="7E7F8706"/>
    <w:rsid w:val="7E97382D"/>
    <w:rsid w:val="7E98735F"/>
    <w:rsid w:val="7E9975A5"/>
    <w:rsid w:val="7EB536D1"/>
    <w:rsid w:val="7EB865F7"/>
    <w:rsid w:val="7EBA751C"/>
    <w:rsid w:val="7EBB576E"/>
    <w:rsid w:val="7EBE0DBA"/>
    <w:rsid w:val="7ED14F91"/>
    <w:rsid w:val="7ED72141"/>
    <w:rsid w:val="7ED7D7D8"/>
    <w:rsid w:val="7EE051D4"/>
    <w:rsid w:val="7EF05DF7"/>
    <w:rsid w:val="7EF700DD"/>
    <w:rsid w:val="7EF737B0"/>
    <w:rsid w:val="7EF742CC"/>
    <w:rsid w:val="7F007624"/>
    <w:rsid w:val="7F016C0F"/>
    <w:rsid w:val="7F016EF9"/>
    <w:rsid w:val="7F063DDD"/>
    <w:rsid w:val="7F08472B"/>
    <w:rsid w:val="7F17671C"/>
    <w:rsid w:val="7F2826D7"/>
    <w:rsid w:val="7F2E1006"/>
    <w:rsid w:val="7F3217A8"/>
    <w:rsid w:val="7F392B36"/>
    <w:rsid w:val="7F3948E4"/>
    <w:rsid w:val="7F4E6660"/>
    <w:rsid w:val="7F4FA303"/>
    <w:rsid w:val="7F6E0A32"/>
    <w:rsid w:val="7F78494A"/>
    <w:rsid w:val="7F866A55"/>
    <w:rsid w:val="7F8D0BC5"/>
    <w:rsid w:val="7F9628DE"/>
    <w:rsid w:val="7F9D0021"/>
    <w:rsid w:val="7FA36202"/>
    <w:rsid w:val="7FB14DC3"/>
    <w:rsid w:val="7FBAC0D0"/>
    <w:rsid w:val="7FC71EF0"/>
    <w:rsid w:val="7FC90C4F"/>
    <w:rsid w:val="7FE01204"/>
    <w:rsid w:val="7FE6204D"/>
    <w:rsid w:val="7FE9455C"/>
    <w:rsid w:val="7FF058EB"/>
    <w:rsid w:val="7FF3582B"/>
    <w:rsid w:val="7FF73DD8"/>
    <w:rsid w:val="9ED35654"/>
    <w:rsid w:val="A67F788B"/>
    <w:rsid w:val="A772F3D5"/>
    <w:rsid w:val="ABCD414F"/>
    <w:rsid w:val="B34FC0B9"/>
    <w:rsid w:val="B9632C1B"/>
    <w:rsid w:val="BAFF8543"/>
    <w:rsid w:val="CEDB44A1"/>
    <w:rsid w:val="D5FF5B41"/>
    <w:rsid w:val="DAF7A259"/>
    <w:rsid w:val="DBFFC680"/>
    <w:rsid w:val="DEFF9EBA"/>
    <w:rsid w:val="DFA67D1C"/>
    <w:rsid w:val="EBFF382C"/>
    <w:rsid w:val="EF5A9C1B"/>
    <w:rsid w:val="EFEB3968"/>
    <w:rsid w:val="F2DD094B"/>
    <w:rsid w:val="F3A182A3"/>
    <w:rsid w:val="F3DD294E"/>
    <w:rsid w:val="F6EFB156"/>
    <w:rsid w:val="F7EB835B"/>
    <w:rsid w:val="F7FD1A1C"/>
    <w:rsid w:val="F9FDDEA2"/>
    <w:rsid w:val="FBDD845F"/>
    <w:rsid w:val="FBDF80A7"/>
    <w:rsid w:val="FBFFE527"/>
    <w:rsid w:val="FDDE696E"/>
    <w:rsid w:val="FEFD3EC2"/>
    <w:rsid w:val="FF75BE4D"/>
    <w:rsid w:val="FFBACD94"/>
    <w:rsid w:val="FFD7EDE9"/>
    <w:rsid w:val="FFDF5DCB"/>
    <w:rsid w:val="FFEEE7C6"/>
    <w:rsid w:val="FFFCF196"/>
    <w:rsid w:val="FFFE3E95"/>
    <w:rsid w:val="FFFF156F"/>
    <w:rsid w:val="FFFF9E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5"/>
    <w:qFormat/>
    <w:uiPriority w:val="9"/>
    <w:pPr>
      <w:spacing w:line="360" w:lineRule="auto"/>
      <w:jc w:val="center"/>
      <w:outlineLvl w:val="0"/>
    </w:pPr>
    <w:rPr>
      <w:rFonts w:eastAsia="隶书"/>
      <w:b/>
      <w:sz w:val="36"/>
      <w:szCs w:val="36"/>
    </w:rPr>
  </w:style>
  <w:style w:type="paragraph" w:styleId="3">
    <w:name w:val="heading 2"/>
    <w:basedOn w:val="1"/>
    <w:next w:val="1"/>
    <w:link w:val="46"/>
    <w:qFormat/>
    <w:uiPriority w:val="9"/>
    <w:pPr>
      <w:keepNext/>
      <w:keepLines/>
      <w:outlineLvl w:val="1"/>
    </w:pPr>
    <w:rPr>
      <w:rFonts w:ascii="Arial" w:hAnsi="Arial" w:eastAsia="黑体" w:cs="Arial"/>
      <w:b/>
      <w:sz w:val="32"/>
      <w:szCs w:val="32"/>
    </w:rPr>
  </w:style>
  <w:style w:type="paragraph" w:styleId="4">
    <w:name w:val="heading 3"/>
    <w:basedOn w:val="1"/>
    <w:next w:val="1"/>
    <w:link w:val="54"/>
    <w:qFormat/>
    <w:uiPriority w:val="9"/>
    <w:pPr>
      <w:keepNext/>
      <w:keepLines/>
      <w:tabs>
        <w:tab w:val="left" w:pos="778"/>
      </w:tabs>
      <w:spacing w:beforeLines="50" w:afterLines="50" w:line="360" w:lineRule="auto"/>
      <w:ind w:firstLine="138" w:firstLineChars="49"/>
      <w:outlineLvl w:val="2"/>
    </w:pPr>
    <w:rPr>
      <w:rFonts w:ascii="Arial" w:hAnsi="Arial"/>
      <w:b/>
      <w:kern w:val="0"/>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List Number 2"/>
    <w:basedOn w:val="1"/>
    <w:semiHidden/>
    <w:unhideWhenUsed/>
    <w:qFormat/>
    <w:uiPriority w:val="99"/>
    <w:pPr>
      <w:numPr>
        <w:ilvl w:val="0"/>
        <w:numId w:val="1"/>
      </w:numPr>
    </w:pPr>
  </w:style>
  <w:style w:type="paragraph" w:styleId="6">
    <w:name w:val="table of authorities"/>
    <w:basedOn w:val="1"/>
    <w:next w:val="1"/>
    <w:qFormat/>
    <w:uiPriority w:val="0"/>
    <w:pPr>
      <w:ind w:left="420" w:leftChars="200"/>
    </w:pPr>
  </w:style>
  <w:style w:type="paragraph" w:styleId="7">
    <w:name w:val="List Number"/>
    <w:basedOn w:val="1"/>
    <w:unhideWhenUsed/>
    <w:qFormat/>
    <w:uiPriority w:val="0"/>
    <w:pPr>
      <w:numPr>
        <w:ilvl w:val="0"/>
        <w:numId w:val="2"/>
      </w:numPr>
      <w:contextualSpacing/>
    </w:pPr>
  </w:style>
  <w:style w:type="paragraph" w:styleId="8">
    <w:name w:val="Normal Indent"/>
    <w:basedOn w:val="1"/>
    <w:next w:val="9"/>
    <w:link w:val="73"/>
    <w:qFormat/>
    <w:uiPriority w:val="0"/>
    <w:pPr>
      <w:ind w:firstLine="420"/>
    </w:pPr>
  </w:style>
  <w:style w:type="paragraph" w:styleId="9">
    <w:name w:val="Body Text Indent"/>
    <w:basedOn w:val="1"/>
    <w:next w:val="1"/>
    <w:link w:val="57"/>
    <w:qFormat/>
    <w:uiPriority w:val="0"/>
    <w:pPr>
      <w:spacing w:line="200" w:lineRule="exact"/>
      <w:ind w:firstLine="301"/>
    </w:pPr>
    <w:rPr>
      <w:rFonts w:ascii="宋体" w:hAnsi="Courier New"/>
      <w:spacing w:val="-4"/>
      <w:sz w:val="18"/>
    </w:r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annotation text"/>
    <w:basedOn w:val="1"/>
    <w:link w:val="55"/>
    <w:qFormat/>
    <w:uiPriority w:val="0"/>
    <w:pPr>
      <w:jc w:val="left"/>
    </w:pPr>
  </w:style>
  <w:style w:type="paragraph" w:styleId="12">
    <w:name w:val="Body Text 3"/>
    <w:basedOn w:val="1"/>
    <w:link w:val="56"/>
    <w:qFormat/>
    <w:uiPriority w:val="0"/>
    <w:pPr>
      <w:snapToGrid w:val="0"/>
      <w:spacing w:before="50" w:after="50"/>
    </w:pPr>
    <w:rPr>
      <w:rFonts w:hAnsi="宋体" w:eastAsia="仿宋_GB2312"/>
      <w:b/>
      <w:bCs/>
    </w:rPr>
  </w:style>
  <w:style w:type="paragraph" w:styleId="13">
    <w:name w:val="Body Text"/>
    <w:basedOn w:val="1"/>
    <w:next w:val="14"/>
    <w:link w:val="47"/>
    <w:unhideWhenUsed/>
    <w:qFormat/>
    <w:uiPriority w:val="0"/>
    <w:pPr>
      <w:spacing w:after="120"/>
    </w:pPr>
  </w:style>
  <w:style w:type="paragraph" w:styleId="14">
    <w:name w:val="Body Text First Indent"/>
    <w:basedOn w:val="13"/>
    <w:next w:val="1"/>
    <w:link w:val="48"/>
    <w:unhideWhenUsed/>
    <w:qFormat/>
    <w:uiPriority w:val="0"/>
    <w:pPr>
      <w:ind w:firstLine="420" w:firstLineChars="100"/>
    </w:pPr>
  </w:style>
  <w:style w:type="paragraph" w:styleId="15">
    <w:name w:val="List Number 3"/>
    <w:basedOn w:val="1"/>
    <w:semiHidden/>
    <w:unhideWhenUsed/>
    <w:qFormat/>
    <w:uiPriority w:val="99"/>
    <w:pPr>
      <w:numPr>
        <w:ilvl w:val="0"/>
        <w:numId w:val="3"/>
      </w:numPr>
    </w:pPr>
  </w:style>
  <w:style w:type="paragraph" w:styleId="1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7">
    <w:name w:val="Plain Text"/>
    <w:basedOn w:val="1"/>
    <w:next w:val="1"/>
    <w:link w:val="58"/>
    <w:qFormat/>
    <w:uiPriority w:val="0"/>
    <w:rPr>
      <w:rFonts w:ascii="宋体" w:hAnsi="Courier New"/>
      <w:sz w:val="21"/>
    </w:rPr>
  </w:style>
  <w:style w:type="paragraph" w:styleId="18">
    <w:name w:val="Date"/>
    <w:next w:val="1"/>
    <w:link w:val="59"/>
    <w:qFormat/>
    <w:uiPriority w:val="99"/>
    <w:pPr>
      <w:jc w:val="both"/>
    </w:pPr>
    <w:rPr>
      <w:rFonts w:ascii="楷体_GB2312" w:hAnsi="Times New Roman" w:eastAsia="楷体_GB2312" w:cs="Times New Roman"/>
      <w:sz w:val="32"/>
      <w:lang w:val="en-US" w:eastAsia="zh-CN" w:bidi="ar-SA"/>
    </w:rPr>
  </w:style>
  <w:style w:type="paragraph" w:styleId="19">
    <w:name w:val="Balloon Text"/>
    <w:basedOn w:val="1"/>
    <w:link w:val="60"/>
    <w:qFormat/>
    <w:uiPriority w:val="0"/>
    <w:rPr>
      <w:sz w:val="18"/>
      <w:szCs w:val="18"/>
    </w:rPr>
  </w:style>
  <w:style w:type="paragraph" w:styleId="20">
    <w:name w:val="footer"/>
    <w:basedOn w:val="1"/>
    <w:link w:val="61"/>
    <w:qFormat/>
    <w:uiPriority w:val="99"/>
    <w:pPr>
      <w:tabs>
        <w:tab w:val="center" w:pos="4153"/>
        <w:tab w:val="right" w:pos="8306"/>
      </w:tabs>
      <w:snapToGrid w:val="0"/>
      <w:jc w:val="left"/>
    </w:pPr>
    <w:rPr>
      <w:rFonts w:eastAsia="黑体"/>
      <w:snapToGrid w:val="0"/>
      <w:sz w:val="18"/>
      <w:szCs w:val="18"/>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rFonts w:eastAsia="仿宋_GB2312"/>
      <w:sz w:val="18"/>
      <w:szCs w:val="24"/>
    </w:rPr>
  </w:style>
  <w:style w:type="paragraph" w:styleId="22">
    <w:name w:val="toc 1"/>
    <w:next w:val="1"/>
    <w:qFormat/>
    <w:uiPriority w:val="39"/>
    <w:pPr>
      <w:widowControl w:val="0"/>
    </w:pPr>
    <w:rPr>
      <w:rFonts w:ascii="Times New Roman" w:hAnsi="Times New Roman" w:eastAsia="宋体" w:cs="Times New Roman"/>
      <w:b/>
      <w:caps/>
      <w:kern w:val="2"/>
      <w:lang w:val="en-US" w:eastAsia="zh-CN" w:bidi="ar-SA"/>
    </w:rPr>
  </w:style>
  <w:style w:type="paragraph" w:styleId="23">
    <w:name w:val="List"/>
    <w:basedOn w:val="1"/>
    <w:qFormat/>
    <w:uiPriority w:val="0"/>
    <w:pPr>
      <w:ind w:left="200" w:hanging="200" w:hangingChars="200"/>
    </w:pPr>
    <w:rPr>
      <w:sz w:val="28"/>
    </w:rPr>
  </w:style>
  <w:style w:type="paragraph" w:styleId="24">
    <w:name w:val="toc 6"/>
    <w:basedOn w:val="1"/>
    <w:next w:val="1"/>
    <w:qFormat/>
    <w:uiPriority w:val="0"/>
    <w:pPr>
      <w:ind w:left="2100" w:leftChars="1000"/>
    </w:pPr>
  </w:style>
  <w:style w:type="paragraph" w:styleId="25">
    <w:name w:val="toc 2"/>
    <w:basedOn w:val="1"/>
    <w:next w:val="1"/>
    <w:unhideWhenUsed/>
    <w:qFormat/>
    <w:uiPriority w:val="39"/>
    <w:pPr>
      <w:ind w:left="420" w:leftChars="200"/>
    </w:pPr>
  </w:style>
  <w:style w:type="paragraph" w:styleId="26">
    <w:name w:val="Body Text 2"/>
    <w:basedOn w:val="1"/>
    <w:qFormat/>
    <w:uiPriority w:val="0"/>
    <w:pPr>
      <w:spacing w:after="120" w:line="480" w:lineRule="auto"/>
    </w:pPr>
    <w:rPr>
      <w:rFonts w:ascii="Calibri" w:hAnsi="Calibri"/>
      <w:szCs w:val="22"/>
    </w:rPr>
  </w:style>
  <w:style w:type="paragraph" w:styleId="27">
    <w:name w:val="Normal (Web)"/>
    <w:basedOn w:val="1"/>
    <w:link w:val="76"/>
    <w:qFormat/>
    <w:uiPriority w:val="0"/>
    <w:rPr>
      <w:szCs w:val="24"/>
    </w:rPr>
  </w:style>
  <w:style w:type="paragraph" w:styleId="28">
    <w:name w:val="Title"/>
    <w:basedOn w:val="1"/>
    <w:next w:val="1"/>
    <w:link w:val="63"/>
    <w:qFormat/>
    <w:uiPriority w:val="0"/>
    <w:pPr>
      <w:spacing w:before="240" w:after="60"/>
      <w:jc w:val="center"/>
      <w:outlineLvl w:val="0"/>
    </w:pPr>
    <w:rPr>
      <w:rFonts w:ascii="Cambria" w:hAnsi="Cambria"/>
      <w:b/>
      <w:bCs/>
      <w:kern w:val="28"/>
      <w:sz w:val="32"/>
      <w:szCs w:val="32"/>
    </w:rPr>
  </w:style>
  <w:style w:type="paragraph" w:styleId="29">
    <w:name w:val="annotation subject"/>
    <w:basedOn w:val="11"/>
    <w:next w:val="11"/>
    <w:link w:val="64"/>
    <w:qFormat/>
    <w:uiPriority w:val="0"/>
    <w:rPr>
      <w:b/>
      <w:bCs/>
    </w:rPr>
  </w:style>
  <w:style w:type="paragraph" w:styleId="30">
    <w:name w:val="Body Text First Indent 2"/>
    <w:basedOn w:val="9"/>
    <w:link w:val="65"/>
    <w:unhideWhenUsed/>
    <w:qFormat/>
    <w:uiPriority w:val="99"/>
    <w:pPr>
      <w:spacing w:after="120"/>
      <w:ind w:left="420" w:leftChars="200" w:firstLine="420"/>
    </w:pPr>
    <w:rPr>
      <w:rFonts w:cs="宋体"/>
      <w:sz w:val="21"/>
      <w:szCs w:val="21"/>
    </w:rPr>
  </w:style>
  <w:style w:type="table" w:styleId="32">
    <w:name w:val="Table Grid"/>
    <w:basedOn w:val="31"/>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9">
    <w:name w:val="TOC 标题4"/>
    <w:next w:val="1"/>
    <w:qFormat/>
    <w:uiPriority w:val="0"/>
    <w:pPr>
      <w:wordWrap w:val="0"/>
    </w:pPr>
    <w:rPr>
      <w:rFonts w:ascii="Times New Roman" w:hAnsi="Times New Roman" w:eastAsia="宋体" w:cs="Times New Roman"/>
      <w:sz w:val="32"/>
      <w:lang w:val="en-US" w:eastAsia="zh-CN" w:bidi="ar-SA"/>
    </w:rPr>
  </w:style>
  <w:style w:type="paragraph" w:customStyle="1" w:styleId="40">
    <w:name w:val="Default"/>
    <w:next w:val="4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42">
    <w:name w:val="列表段落1"/>
    <w:basedOn w:val="1"/>
    <w:qFormat/>
    <w:uiPriority w:val="99"/>
    <w:pPr>
      <w:spacing w:line="360" w:lineRule="auto"/>
      <w:ind w:firstLine="420" w:firstLineChars="200"/>
    </w:pPr>
    <w:rPr>
      <w:sz w:val="21"/>
    </w:rPr>
  </w:style>
  <w:style w:type="paragraph" w:customStyle="1" w:styleId="4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4">
    <w:name w:val="Heading1"/>
    <w:basedOn w:val="1"/>
    <w:next w:val="1"/>
    <w:qFormat/>
    <w:uiPriority w:val="0"/>
    <w:pPr>
      <w:keepNext/>
      <w:keepLines/>
      <w:spacing w:before="340" w:after="330" w:line="578" w:lineRule="auto"/>
      <w:ind w:left="425" w:hanging="425"/>
    </w:pPr>
    <w:rPr>
      <w:rFonts w:eastAsia="仿宋_GB2312"/>
      <w:b/>
      <w:kern w:val="44"/>
      <w:sz w:val="44"/>
    </w:rPr>
  </w:style>
  <w:style w:type="character" w:customStyle="1" w:styleId="45">
    <w:name w:val="标题 1 字符"/>
    <w:basedOn w:val="33"/>
    <w:link w:val="2"/>
    <w:qFormat/>
    <w:uiPriority w:val="9"/>
    <w:rPr>
      <w:rFonts w:eastAsia="隶书"/>
      <w:b/>
      <w:kern w:val="2"/>
      <w:sz w:val="36"/>
      <w:szCs w:val="36"/>
    </w:rPr>
  </w:style>
  <w:style w:type="character" w:customStyle="1" w:styleId="46">
    <w:name w:val="标题 2 字符"/>
    <w:basedOn w:val="33"/>
    <w:link w:val="3"/>
    <w:qFormat/>
    <w:uiPriority w:val="0"/>
    <w:rPr>
      <w:rFonts w:ascii="Arial" w:hAnsi="Arial" w:eastAsia="黑体" w:cs="Arial"/>
      <w:b/>
      <w:kern w:val="2"/>
      <w:sz w:val="32"/>
      <w:szCs w:val="32"/>
    </w:rPr>
  </w:style>
  <w:style w:type="character" w:customStyle="1" w:styleId="47">
    <w:name w:val="正文文本 字符"/>
    <w:basedOn w:val="33"/>
    <w:link w:val="13"/>
    <w:qFormat/>
    <w:uiPriority w:val="0"/>
    <w:rPr>
      <w:kern w:val="2"/>
      <w:sz w:val="21"/>
      <w:szCs w:val="24"/>
    </w:rPr>
  </w:style>
  <w:style w:type="character" w:customStyle="1" w:styleId="48">
    <w:name w:val="正文文本首行缩进 字符"/>
    <w:basedOn w:val="47"/>
    <w:link w:val="14"/>
    <w:semiHidden/>
    <w:qFormat/>
    <w:uiPriority w:val="99"/>
    <w:rPr>
      <w:kern w:val="2"/>
      <w:sz w:val="21"/>
      <w:szCs w:val="24"/>
    </w:rPr>
  </w:style>
  <w:style w:type="paragraph" w:customStyle="1" w:styleId="49">
    <w:name w:val="纯文本1"/>
    <w:basedOn w:val="1"/>
    <w:qFormat/>
    <w:uiPriority w:val="0"/>
    <w:pPr>
      <w:widowControl/>
      <w:jc w:val="left"/>
    </w:pPr>
    <w:rPr>
      <w:rFonts w:ascii="宋体" w:hAnsi="Courier New"/>
      <w:color w:val="000000"/>
      <w:kern w:val="1"/>
    </w:rPr>
  </w:style>
  <w:style w:type="paragraph" w:customStyle="1" w:styleId="50">
    <w:name w:val="正文1"/>
    <w:basedOn w:val="1"/>
    <w:qFormat/>
    <w:uiPriority w:val="0"/>
    <w:rPr>
      <w:color w:val="000000"/>
      <w:kern w:val="1"/>
    </w:rPr>
  </w:style>
  <w:style w:type="paragraph" w:customStyle="1" w:styleId="51">
    <w:name w:val="+正文"/>
    <w:basedOn w:val="1"/>
    <w:qFormat/>
    <w:uiPriority w:val="0"/>
    <w:pPr>
      <w:spacing w:line="360" w:lineRule="auto"/>
      <w:ind w:firstLine="200"/>
    </w:pPr>
    <w:rPr>
      <w:kern w:val="1"/>
    </w:rPr>
  </w:style>
  <w:style w:type="paragraph" w:customStyle="1" w:styleId="52">
    <w:name w:val="样式 列表编号 + 段后: 0.5 行"/>
    <w:basedOn w:val="7"/>
    <w:qFormat/>
    <w:uiPriority w:val="0"/>
    <w:pPr>
      <w:numPr>
        <w:ilvl w:val="0"/>
        <w:numId w:val="0"/>
      </w:numPr>
      <w:tabs>
        <w:tab w:val="left" w:pos="720"/>
      </w:tabs>
      <w:ind w:left="720" w:hanging="360"/>
      <w:contextualSpacing w:val="0"/>
    </w:pPr>
  </w:style>
  <w:style w:type="paragraph" w:customStyle="1" w:styleId="53">
    <w:name w:val="正文 + 宋体"/>
    <w:basedOn w:val="1"/>
    <w:qFormat/>
    <w:uiPriority w:val="0"/>
    <w:pPr>
      <w:spacing w:before="31" w:line="400" w:lineRule="atLeast"/>
      <w:ind w:firstLine="420"/>
    </w:pPr>
    <w:rPr>
      <w:rFonts w:ascii="宋体" w:hAnsi="宋体" w:cs="宋体"/>
      <w:kern w:val="1"/>
    </w:rPr>
  </w:style>
  <w:style w:type="character" w:customStyle="1" w:styleId="54">
    <w:name w:val="标题 3 字符"/>
    <w:basedOn w:val="33"/>
    <w:link w:val="4"/>
    <w:qFormat/>
    <w:uiPriority w:val="0"/>
    <w:rPr>
      <w:rFonts w:ascii="Arial" w:hAnsi="Arial" w:eastAsia="宋体"/>
      <w:b/>
      <w:sz w:val="28"/>
    </w:rPr>
  </w:style>
  <w:style w:type="character" w:customStyle="1" w:styleId="55">
    <w:name w:val="批注文字 字符"/>
    <w:basedOn w:val="33"/>
    <w:link w:val="11"/>
    <w:qFormat/>
    <w:uiPriority w:val="0"/>
    <w:rPr>
      <w:rFonts w:ascii="Times New Roman" w:hAnsi="Times New Roman" w:eastAsia="宋体"/>
      <w:kern w:val="2"/>
      <w:sz w:val="24"/>
    </w:rPr>
  </w:style>
  <w:style w:type="character" w:customStyle="1" w:styleId="56">
    <w:name w:val="正文文本 3 字符"/>
    <w:basedOn w:val="33"/>
    <w:link w:val="12"/>
    <w:qFormat/>
    <w:uiPriority w:val="0"/>
    <w:rPr>
      <w:rFonts w:ascii="Times New Roman" w:hAnsi="宋体" w:eastAsia="仿宋_GB2312"/>
      <w:b/>
      <w:bCs/>
      <w:kern w:val="2"/>
      <w:sz w:val="24"/>
    </w:rPr>
  </w:style>
  <w:style w:type="character" w:customStyle="1" w:styleId="57">
    <w:name w:val="正文文本缩进 字符"/>
    <w:basedOn w:val="33"/>
    <w:link w:val="9"/>
    <w:qFormat/>
    <w:uiPriority w:val="0"/>
    <w:rPr>
      <w:rFonts w:ascii="宋体" w:hAnsi="Courier New" w:eastAsia="宋体"/>
      <w:spacing w:val="-4"/>
      <w:kern w:val="2"/>
      <w:sz w:val="18"/>
    </w:rPr>
  </w:style>
  <w:style w:type="character" w:customStyle="1" w:styleId="58">
    <w:name w:val="纯文本 字符"/>
    <w:basedOn w:val="33"/>
    <w:link w:val="17"/>
    <w:qFormat/>
    <w:uiPriority w:val="0"/>
    <w:rPr>
      <w:rFonts w:ascii="宋体" w:hAnsi="Courier New" w:eastAsia="宋体"/>
      <w:kern w:val="2"/>
      <w:sz w:val="21"/>
    </w:rPr>
  </w:style>
  <w:style w:type="character" w:customStyle="1" w:styleId="59">
    <w:name w:val="日期 字符"/>
    <w:basedOn w:val="33"/>
    <w:link w:val="18"/>
    <w:qFormat/>
    <w:uiPriority w:val="99"/>
    <w:rPr>
      <w:rFonts w:ascii="楷体_GB2312" w:hAnsi="Times New Roman" w:eastAsia="楷体_GB2312"/>
      <w:sz w:val="32"/>
    </w:rPr>
  </w:style>
  <w:style w:type="character" w:customStyle="1" w:styleId="60">
    <w:name w:val="批注框文本 字符"/>
    <w:basedOn w:val="33"/>
    <w:link w:val="19"/>
    <w:qFormat/>
    <w:uiPriority w:val="0"/>
    <w:rPr>
      <w:rFonts w:ascii="Times New Roman" w:hAnsi="Times New Roman" w:eastAsia="宋体"/>
      <w:kern w:val="2"/>
      <w:sz w:val="18"/>
      <w:szCs w:val="18"/>
    </w:rPr>
  </w:style>
  <w:style w:type="character" w:customStyle="1" w:styleId="61">
    <w:name w:val="页脚 字符"/>
    <w:basedOn w:val="33"/>
    <w:link w:val="20"/>
    <w:qFormat/>
    <w:uiPriority w:val="99"/>
    <w:rPr>
      <w:rFonts w:ascii="Times New Roman" w:hAnsi="Times New Roman" w:eastAsia="黑体"/>
      <w:snapToGrid w:val="0"/>
      <w:kern w:val="2"/>
      <w:sz w:val="18"/>
      <w:szCs w:val="18"/>
    </w:rPr>
  </w:style>
  <w:style w:type="character" w:customStyle="1" w:styleId="62">
    <w:name w:val="页眉 字符"/>
    <w:basedOn w:val="33"/>
    <w:link w:val="21"/>
    <w:qFormat/>
    <w:uiPriority w:val="99"/>
    <w:rPr>
      <w:rFonts w:ascii="Times New Roman" w:hAnsi="Times New Roman" w:eastAsia="仿宋_GB2312"/>
      <w:kern w:val="2"/>
      <w:sz w:val="18"/>
      <w:szCs w:val="24"/>
    </w:rPr>
  </w:style>
  <w:style w:type="character" w:customStyle="1" w:styleId="63">
    <w:name w:val="标题 字符"/>
    <w:basedOn w:val="33"/>
    <w:link w:val="28"/>
    <w:qFormat/>
    <w:uiPriority w:val="0"/>
    <w:rPr>
      <w:rFonts w:ascii="Cambria" w:hAnsi="Cambria" w:eastAsia="宋体"/>
      <w:b/>
      <w:bCs/>
      <w:kern w:val="28"/>
      <w:sz w:val="32"/>
      <w:szCs w:val="32"/>
    </w:rPr>
  </w:style>
  <w:style w:type="character" w:customStyle="1" w:styleId="64">
    <w:name w:val="批注主题 字符"/>
    <w:basedOn w:val="55"/>
    <w:link w:val="29"/>
    <w:qFormat/>
    <w:uiPriority w:val="0"/>
    <w:rPr>
      <w:rFonts w:ascii="Times New Roman" w:hAnsi="Times New Roman" w:eastAsia="宋体"/>
      <w:b/>
      <w:bCs/>
      <w:kern w:val="2"/>
      <w:sz w:val="24"/>
    </w:rPr>
  </w:style>
  <w:style w:type="character" w:customStyle="1" w:styleId="65">
    <w:name w:val="正文文本首行缩进 2 字符"/>
    <w:basedOn w:val="57"/>
    <w:link w:val="30"/>
    <w:qFormat/>
    <w:uiPriority w:val="99"/>
    <w:rPr>
      <w:rFonts w:ascii="宋体" w:hAnsi="Courier New" w:eastAsia="宋体" w:cs="宋体"/>
      <w:spacing w:val="-4"/>
      <w:kern w:val="2"/>
      <w:sz w:val="21"/>
      <w:szCs w:val="21"/>
    </w:rPr>
  </w:style>
  <w:style w:type="paragraph" w:customStyle="1" w:styleId="66">
    <w:name w:val="GP正文(无首行缩进)"/>
    <w:qFormat/>
    <w:uiPriority w:val="99"/>
    <w:pPr>
      <w:widowControl w:val="0"/>
      <w:spacing w:line="360" w:lineRule="auto"/>
    </w:pPr>
    <w:rPr>
      <w:rFonts w:ascii="Times New Roman" w:hAnsi="Times New Roman" w:eastAsia="宋体" w:cs="Times New Roman"/>
      <w:color w:val="000000"/>
      <w:kern w:val="1"/>
      <w:sz w:val="24"/>
      <w:szCs w:val="21"/>
      <w:lang w:val="en-US" w:eastAsia="zh-CN" w:bidi="ar-SA"/>
    </w:rPr>
  </w:style>
  <w:style w:type="paragraph" w:customStyle="1" w:styleId="67">
    <w:name w:val="表格文字"/>
    <w:basedOn w:val="17"/>
    <w:next w:val="13"/>
    <w:qFormat/>
    <w:uiPriority w:val="0"/>
    <w:pPr>
      <w:jc w:val="left"/>
    </w:pPr>
    <w:rPr>
      <w:sz w:val="24"/>
    </w:rPr>
  </w:style>
  <w:style w:type="paragraph" w:customStyle="1" w:styleId="68">
    <w:name w:val="样式 宋体"/>
    <w:basedOn w:val="1"/>
    <w:next w:val="1"/>
    <w:qFormat/>
    <w:uiPriority w:val="0"/>
    <w:pPr>
      <w:widowControl/>
    </w:pPr>
    <w:rPr>
      <w:rFonts w:ascii="宋体"/>
      <w:color w:val="000000"/>
    </w:rPr>
  </w:style>
  <w:style w:type="paragraph" w:customStyle="1" w:styleId="69">
    <w:name w:val="reader-word-layer reader-word-s1-8"/>
    <w:basedOn w:val="1"/>
    <w:qFormat/>
    <w:uiPriority w:val="0"/>
    <w:pPr>
      <w:widowControl/>
      <w:spacing w:before="100" w:beforeAutospacing="1" w:after="100" w:afterAutospacing="1"/>
      <w:jc w:val="left"/>
    </w:pPr>
    <w:rPr>
      <w:rFonts w:ascii="宋体" w:hAnsi="宋体" w:cs="宋体"/>
      <w:kern w:val="0"/>
    </w:rPr>
  </w:style>
  <w:style w:type="character" w:customStyle="1" w:styleId="70">
    <w:name w:val="NormalCharacter"/>
    <w:qFormat/>
    <w:uiPriority w:val="0"/>
  </w:style>
  <w:style w:type="paragraph" w:customStyle="1" w:styleId="71">
    <w:name w:val="UserStyle_89"/>
    <w:basedOn w:val="1"/>
    <w:qFormat/>
    <w:uiPriority w:val="0"/>
    <w:pPr>
      <w:ind w:firstLine="420"/>
      <w:jc w:val="left"/>
    </w:pPr>
    <w:rPr>
      <w:kern w:val="0"/>
    </w:rPr>
  </w:style>
  <w:style w:type="paragraph" w:customStyle="1" w:styleId="72">
    <w:name w:val="HtmlNormal"/>
    <w:basedOn w:val="1"/>
    <w:qFormat/>
    <w:uiPriority w:val="0"/>
    <w:pPr>
      <w:spacing w:before="100" w:beforeAutospacing="1" w:after="100" w:afterAutospacing="1"/>
      <w:jc w:val="left"/>
    </w:pPr>
    <w:rPr>
      <w:rFonts w:ascii="Arial Unicode MS" w:hAnsi="Arial Unicode MS" w:eastAsia="Arial Unicode MS"/>
      <w:color w:val="000000"/>
      <w:kern w:val="0"/>
      <w:sz w:val="19"/>
      <w:szCs w:val="19"/>
    </w:rPr>
  </w:style>
  <w:style w:type="character" w:customStyle="1" w:styleId="73">
    <w:name w:val="正文缩进 字符"/>
    <w:link w:val="8"/>
    <w:qFormat/>
    <w:uiPriority w:val="0"/>
    <w:rPr>
      <w:rFonts w:ascii="Times New Roman" w:hAnsi="Times New Roman" w:eastAsia="宋体"/>
      <w:kern w:val="2"/>
      <w:sz w:val="24"/>
    </w:rPr>
  </w:style>
  <w:style w:type="character" w:customStyle="1" w:styleId="74">
    <w:name w:val="point_normal1"/>
    <w:qFormat/>
    <w:uiPriority w:val="0"/>
    <w:rPr>
      <w:rFonts w:hint="default" w:ascii="Arial" w:hAnsi="Arial"/>
      <w:sz w:val="22"/>
    </w:rPr>
  </w:style>
  <w:style w:type="paragraph" w:customStyle="1" w:styleId="75">
    <w:name w:val="p0"/>
    <w:basedOn w:val="1"/>
    <w:qFormat/>
    <w:uiPriority w:val="99"/>
    <w:pPr>
      <w:widowControl/>
      <w:spacing w:before="100" w:beforeAutospacing="1" w:after="100" w:afterAutospacing="1"/>
      <w:jc w:val="left"/>
    </w:pPr>
    <w:rPr>
      <w:rFonts w:ascii="宋体" w:hAnsi="宋体"/>
      <w:kern w:val="0"/>
    </w:rPr>
  </w:style>
  <w:style w:type="character" w:customStyle="1" w:styleId="76">
    <w:name w:val="普通(网站) 字符"/>
    <w:link w:val="27"/>
    <w:qFormat/>
    <w:uiPriority w:val="0"/>
    <w:rPr>
      <w:rFonts w:ascii="Times New Roman" w:hAnsi="Times New Roman" w:eastAsia="宋体"/>
      <w:kern w:val="2"/>
      <w:sz w:val="24"/>
      <w:szCs w:val="24"/>
    </w:rPr>
  </w:style>
  <w:style w:type="character" w:customStyle="1" w:styleId="77">
    <w:name w:val="bookmark-item"/>
    <w:basedOn w:val="33"/>
    <w:qFormat/>
    <w:uiPriority w:val="0"/>
  </w:style>
  <w:style w:type="paragraph" w:customStyle="1" w:styleId="78">
    <w:name w:val="列出段落1"/>
    <w:basedOn w:val="1"/>
    <w:unhideWhenUsed/>
    <w:qFormat/>
    <w:uiPriority w:val="34"/>
    <w:pPr>
      <w:ind w:firstLine="420" w:firstLineChars="200"/>
    </w:pPr>
  </w:style>
  <w:style w:type="paragraph" w:customStyle="1" w:styleId="79">
    <w:name w:val="!表格正文"/>
    <w:basedOn w:val="1"/>
    <w:qFormat/>
    <w:uiPriority w:val="0"/>
    <w:rPr>
      <w:rFonts w:cs="Calibri"/>
      <w:kern w:val="0"/>
      <w:szCs w:val="21"/>
    </w:rPr>
  </w:style>
  <w:style w:type="paragraph" w:customStyle="1" w:styleId="80">
    <w:name w:val="列出段落11"/>
    <w:basedOn w:val="1"/>
    <w:qFormat/>
    <w:uiPriority w:val="0"/>
    <w:pPr>
      <w:ind w:firstLine="420"/>
    </w:pPr>
    <w:rPr>
      <w:rFonts w:ascii="Calibri" w:hAnsi="Calibri"/>
      <w:sz w:val="21"/>
    </w:rPr>
  </w:style>
  <w:style w:type="paragraph" w:customStyle="1" w:styleId="81">
    <w:name w:val="_正文段落"/>
    <w:basedOn w:val="1"/>
    <w:qFormat/>
    <w:uiPriority w:val="99"/>
    <w:pPr>
      <w:spacing w:beforeLines="15" w:afterLines="30"/>
    </w:pPr>
    <w:rPr>
      <w:rFonts w:ascii="Calibri" w:hAnsi="Calibri"/>
      <w:szCs w:val="24"/>
    </w:rPr>
  </w:style>
  <w:style w:type="paragraph" w:customStyle="1" w:styleId="82">
    <w:name w:val="正文段"/>
    <w:basedOn w:val="1"/>
    <w:qFormat/>
    <w:uiPriority w:val="0"/>
    <w:pPr>
      <w:widowControl/>
      <w:snapToGrid w:val="0"/>
      <w:spacing w:afterLines="50"/>
      <w:ind w:firstLine="200" w:firstLineChars="200"/>
    </w:pPr>
    <w:rPr>
      <w:kern w:val="0"/>
    </w:rPr>
  </w:style>
  <w:style w:type="paragraph" w:customStyle="1" w:styleId="83">
    <w:name w:val="CM4"/>
    <w:basedOn w:val="40"/>
    <w:next w:val="40"/>
    <w:unhideWhenUsed/>
    <w:qFormat/>
    <w:uiPriority w:val="0"/>
    <w:pPr>
      <w:adjustRightInd/>
      <w:spacing w:line="411" w:lineRule="atLeast"/>
    </w:pPr>
    <w:rPr>
      <w:rFonts w:cs="Times New Roman"/>
      <w:szCs w:val="20"/>
    </w:rPr>
  </w:style>
  <w:style w:type="paragraph" w:customStyle="1" w:styleId="84">
    <w:name w:val="CM5"/>
    <w:basedOn w:val="40"/>
    <w:next w:val="40"/>
    <w:unhideWhenUsed/>
    <w:qFormat/>
    <w:uiPriority w:val="0"/>
    <w:pPr>
      <w:adjustRightInd/>
      <w:spacing w:line="408" w:lineRule="atLeast"/>
    </w:pPr>
    <w:rPr>
      <w:rFonts w:cs="Times New Roman"/>
      <w:szCs w:val="20"/>
    </w:rPr>
  </w:style>
  <w:style w:type="paragraph" w:customStyle="1" w:styleId="85">
    <w:name w:val="样式5"/>
    <w:basedOn w:val="1"/>
    <w:qFormat/>
    <w:uiPriority w:val="99"/>
    <w:pPr>
      <w:spacing w:line="360" w:lineRule="auto"/>
      <w:ind w:firstLine="200" w:firstLineChars="200"/>
      <w:jc w:val="left"/>
    </w:pPr>
  </w:style>
  <w:style w:type="character" w:customStyle="1" w:styleId="86">
    <w:name w:val="纯文本 Char3"/>
    <w:qFormat/>
    <w:uiPriority w:val="0"/>
    <w:rPr>
      <w:rFonts w:ascii="??" w:hAnsi="??" w:eastAsia="??" w:cs="宋体"/>
      <w:kern w:val="2"/>
      <w:sz w:val="21"/>
      <w:szCs w:val="21"/>
    </w:rPr>
  </w:style>
  <w:style w:type="paragraph" w:customStyle="1" w:styleId="87">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88">
    <w:name w:val="无间隔2"/>
    <w:qFormat/>
    <w:uiPriority w:val="99"/>
    <w:rPr>
      <w:rFonts w:ascii="Times New Roman" w:hAnsi="Times New Roman" w:eastAsia="Times New Roman" w:cs="Times New Roman"/>
      <w:kern w:val="2"/>
      <w:sz w:val="22"/>
      <w:szCs w:val="22"/>
      <w:lang w:val="en-US" w:eastAsia="zh-CN" w:bidi="ar-SA"/>
    </w:rPr>
  </w:style>
  <w:style w:type="paragraph" w:styleId="89">
    <w:name w:val="List Paragraph"/>
    <w:basedOn w:val="1"/>
    <w:unhideWhenUsed/>
    <w:qFormat/>
    <w:uiPriority w:val="0"/>
    <w:pPr>
      <w:ind w:firstLine="420" w:firstLineChars="200"/>
    </w:pPr>
  </w:style>
  <w:style w:type="paragraph" w:customStyle="1" w:styleId="90">
    <w:name w:val="段落正文"/>
    <w:basedOn w:val="11"/>
    <w:link w:val="91"/>
    <w:qFormat/>
    <w:uiPriority w:val="0"/>
    <w:pPr>
      <w:adjustRightInd w:val="0"/>
      <w:snapToGrid w:val="0"/>
      <w:spacing w:line="360" w:lineRule="auto"/>
      <w:ind w:firstLine="420" w:firstLineChars="200"/>
      <w:jc w:val="both"/>
    </w:pPr>
    <w:rPr>
      <w:sz w:val="21"/>
      <w:szCs w:val="21"/>
    </w:rPr>
  </w:style>
  <w:style w:type="character" w:customStyle="1" w:styleId="91">
    <w:name w:val="段落正文 字符"/>
    <w:basedOn w:val="55"/>
    <w:link w:val="90"/>
    <w:qFormat/>
    <w:uiPriority w:val="0"/>
    <w:rPr>
      <w:rFonts w:ascii="Times New Roman" w:hAnsi="Times New Roman" w:eastAsia="宋体"/>
      <w:kern w:val="2"/>
      <w:sz w:val="21"/>
      <w:szCs w:val="21"/>
    </w:rPr>
  </w:style>
  <w:style w:type="paragraph" w:customStyle="1" w:styleId="92">
    <w:name w:val="正文格式"/>
    <w:basedOn w:val="1"/>
    <w:link w:val="93"/>
    <w:qFormat/>
    <w:uiPriority w:val="0"/>
    <w:pPr>
      <w:spacing w:beforeLines="50" w:afterLines="50" w:line="360" w:lineRule="auto"/>
      <w:ind w:firstLine="480" w:firstLineChars="200"/>
    </w:pPr>
    <w:rPr>
      <w:kern w:val="0"/>
      <w:szCs w:val="24"/>
      <w:lang w:val="en-GB"/>
    </w:rPr>
  </w:style>
  <w:style w:type="character" w:customStyle="1" w:styleId="93">
    <w:name w:val="正文格式 Char"/>
    <w:link w:val="92"/>
    <w:qFormat/>
    <w:uiPriority w:val="0"/>
    <w:rPr>
      <w:rFonts w:ascii="Times New Roman" w:hAnsi="Times New Roman" w:eastAsia="宋体"/>
      <w:sz w:val="24"/>
      <w:szCs w:val="24"/>
      <w:lang w:val="en-GB"/>
    </w:rPr>
  </w:style>
  <w:style w:type="character" w:customStyle="1" w:styleId="94">
    <w:name w:val="Unresolved Mention"/>
    <w:basedOn w:val="33"/>
    <w:semiHidden/>
    <w:unhideWhenUsed/>
    <w:qFormat/>
    <w:uiPriority w:val="99"/>
    <w:rPr>
      <w:color w:val="605E5C"/>
      <w:shd w:val="clear" w:color="auto" w:fill="E1DFDD"/>
    </w:rPr>
  </w:style>
  <w:style w:type="table" w:customStyle="1" w:styleId="95">
    <w:name w:val="网格型浅色1"/>
    <w:basedOn w:val="31"/>
    <w:qFormat/>
    <w:uiPriority w:val="40"/>
    <w:rPr>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
    <w:name w:val="正文缩进2"/>
    <w:basedOn w:val="1"/>
    <w:qFormat/>
    <w:uiPriority w:val="0"/>
    <w:pPr>
      <w:spacing w:before="60"/>
      <w:ind w:firstLine="476"/>
    </w:pPr>
  </w:style>
  <w:style w:type="paragraph" w:customStyle="1" w:styleId="97">
    <w:name w:val="图"/>
    <w:basedOn w:val="1"/>
    <w:qFormat/>
    <w:uiPriority w:val="0"/>
    <w:pPr>
      <w:keepNext/>
      <w:spacing w:before="60" w:after="60" w:line="300" w:lineRule="auto"/>
      <w:jc w:val="center"/>
    </w:pPr>
    <w:rPr>
      <w:spacing w:val="20"/>
      <w:sz w:val="24"/>
      <w:szCs w:val="20"/>
    </w:rPr>
  </w:style>
  <w:style w:type="paragraph" w:customStyle="1" w:styleId="98">
    <w:name w:val="_Style 3"/>
    <w:basedOn w:val="1"/>
    <w:next w:val="1"/>
    <w:qFormat/>
    <w:uiPriority w:val="1"/>
    <w:pPr>
      <w:pBdr>
        <w:bottom w:val="single" w:color="auto" w:sz="6" w:space="1"/>
      </w:pBdr>
      <w:jc w:val="center"/>
    </w:pPr>
    <w:rPr>
      <w:rFonts w:ascii="Arial" w:hAnsi="Calibri"/>
      <w:vanish/>
      <w:sz w:val="16"/>
    </w:rPr>
  </w:style>
  <w:style w:type="paragraph" w:customStyle="1" w:styleId="9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00">
    <w:name w:val="font12"/>
    <w:basedOn w:val="33"/>
    <w:qFormat/>
    <w:uiPriority w:val="0"/>
    <w:rPr>
      <w:rFonts w:hint="eastAsia" w:ascii="宋体" w:hAnsi="宋体" w:eastAsia="宋体" w:cs="宋体"/>
      <w:color w:val="000000"/>
      <w:sz w:val="24"/>
      <w:szCs w:val="24"/>
      <w:u w:val="none"/>
    </w:rPr>
  </w:style>
  <w:style w:type="character" w:customStyle="1" w:styleId="101">
    <w:name w:val="font11"/>
    <w:basedOn w:val="33"/>
    <w:qFormat/>
    <w:uiPriority w:val="0"/>
    <w:rPr>
      <w:rFonts w:hint="eastAsia" w:ascii="等线" w:hAnsi="等线" w:eastAsia="等线" w:cs="等线"/>
      <w:b/>
      <w:bCs/>
      <w:color w:val="000000"/>
      <w:sz w:val="44"/>
      <w:szCs w:val="44"/>
      <w:u w:val="none"/>
    </w:rPr>
  </w:style>
  <w:style w:type="character" w:customStyle="1" w:styleId="102">
    <w:name w:val="font21"/>
    <w:basedOn w:val="33"/>
    <w:qFormat/>
    <w:uiPriority w:val="0"/>
    <w:rPr>
      <w:rFonts w:hint="eastAsia" w:ascii="等线" w:hAnsi="等线" w:eastAsia="等线" w:cs="等线"/>
      <w:b/>
      <w:bCs/>
      <w:color w:val="000000"/>
      <w:sz w:val="32"/>
      <w:szCs w:val="32"/>
      <w:u w:val="none"/>
    </w:rPr>
  </w:style>
  <w:style w:type="character" w:customStyle="1" w:styleId="103">
    <w:name w:val="font31"/>
    <w:basedOn w:val="33"/>
    <w:qFormat/>
    <w:uiPriority w:val="0"/>
    <w:rPr>
      <w:rFonts w:hint="eastAsia" w:ascii="宋体" w:hAnsi="宋体" w:eastAsia="宋体" w:cs="宋体"/>
      <w:b/>
      <w:bCs/>
      <w:color w:val="000000"/>
      <w:sz w:val="24"/>
      <w:szCs w:val="24"/>
      <w:u w:val="none"/>
    </w:rPr>
  </w:style>
  <w:style w:type="character" w:customStyle="1" w:styleId="104">
    <w:name w:val="font51"/>
    <w:basedOn w:val="33"/>
    <w:qFormat/>
    <w:uiPriority w:val="0"/>
    <w:rPr>
      <w:rFonts w:hint="eastAsia" w:ascii="宋体" w:hAnsi="宋体" w:eastAsia="宋体" w:cs="宋体"/>
      <w:color w:val="000000"/>
      <w:sz w:val="24"/>
      <w:szCs w:val="24"/>
      <w:u w:val="none"/>
    </w:rPr>
  </w:style>
  <w:style w:type="character" w:customStyle="1" w:styleId="105">
    <w:name w:val="font41"/>
    <w:basedOn w:val="33"/>
    <w:qFormat/>
    <w:uiPriority w:val="0"/>
    <w:rPr>
      <w:rFonts w:hint="eastAsia" w:ascii="宋体" w:hAnsi="宋体" w:eastAsia="宋体" w:cs="宋体"/>
      <w:color w:val="000000"/>
      <w:sz w:val="24"/>
      <w:szCs w:val="24"/>
      <w:u w:val="none"/>
    </w:rPr>
  </w:style>
  <w:style w:type="paragraph" w:customStyle="1" w:styleId="106">
    <w:name w:val="BodyText1I2"/>
    <w:basedOn w:val="107"/>
    <w:qFormat/>
    <w:uiPriority w:val="0"/>
    <w:pPr>
      <w:ind w:left="420" w:leftChars="200" w:firstLine="420" w:firstLineChars="200"/>
      <w:jc w:val="both"/>
      <w:textAlignment w:val="baseline"/>
    </w:pPr>
  </w:style>
  <w:style w:type="paragraph" w:customStyle="1" w:styleId="107">
    <w:name w:val="BodyTextIndent"/>
    <w:basedOn w:val="1"/>
    <w:next w:val="108"/>
    <w:qFormat/>
    <w:uiPriority w:val="0"/>
    <w:pPr>
      <w:ind w:left="420" w:leftChars="200" w:firstLine="480" w:firstLineChars="200"/>
      <w:jc w:val="both"/>
      <w:textAlignment w:val="baseline"/>
    </w:pPr>
    <w:rPr>
      <w:kern w:val="2"/>
      <w:sz w:val="24"/>
      <w:szCs w:val="24"/>
      <w:lang w:val="en-US" w:eastAsia="zh-CN" w:bidi="ar-SA"/>
    </w:rPr>
  </w:style>
  <w:style w:type="paragraph" w:customStyle="1" w:styleId="108">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109">
    <w:name w:val="正文2"/>
    <w:basedOn w:val="1"/>
    <w:qFormat/>
    <w:uiPriority w:val="0"/>
    <w:pPr>
      <w:spacing w:before="156" w:line="360" w:lineRule="auto"/>
      <w:ind w:firstLine="510" w:firstLineChars="200"/>
    </w:pPr>
    <w:rPr>
      <w:sz w:val="24"/>
      <w:szCs w:val="20"/>
    </w:rPr>
  </w:style>
  <w:style w:type="paragraph" w:customStyle="1" w:styleId="1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1">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11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3">
    <w:name w:val="Table Text"/>
    <w:basedOn w:val="1"/>
    <w:semiHidden/>
    <w:qFormat/>
    <w:uiPriority w:val="0"/>
    <w:rPr>
      <w:rFonts w:ascii="宋体" w:hAnsi="宋体" w:eastAsia="宋体" w:cs="宋体"/>
      <w:sz w:val="46"/>
      <w:szCs w:val="46"/>
      <w:lang w:val="en-US" w:eastAsia="en-US" w:bidi="ar-SA"/>
    </w:rPr>
  </w:style>
  <w:style w:type="table" w:customStyle="1" w:styleId="114">
    <w:name w:val="Table Normal"/>
    <w:semiHidden/>
    <w:unhideWhenUsed/>
    <w:qFormat/>
    <w:uiPriority w:val="0"/>
    <w:tblPr>
      <w:tblCellMar>
        <w:top w:w="0" w:type="dxa"/>
        <w:left w:w="0" w:type="dxa"/>
        <w:bottom w:w="0" w:type="dxa"/>
        <w:right w:w="0" w:type="dxa"/>
      </w:tblCellMar>
    </w:tblPr>
  </w:style>
  <w:style w:type="character" w:customStyle="1" w:styleId="115">
    <w:name w:val="font61"/>
    <w:basedOn w:val="33"/>
    <w:qFormat/>
    <w:uiPriority w:val="0"/>
    <w:rPr>
      <w:rFonts w:hint="eastAsia" w:ascii="宋体" w:hAnsi="宋体" w:eastAsia="宋体" w:cs="宋体"/>
      <w:color w:val="000000"/>
      <w:sz w:val="21"/>
      <w:szCs w:val="21"/>
      <w:u w:val="none"/>
    </w:rPr>
  </w:style>
  <w:style w:type="character" w:customStyle="1" w:styleId="116">
    <w:name w:val="font101"/>
    <w:basedOn w:val="33"/>
    <w:qFormat/>
    <w:uiPriority w:val="0"/>
    <w:rPr>
      <w:rFonts w:hint="eastAsia" w:ascii="宋体" w:hAnsi="宋体" w:eastAsia="宋体" w:cs="宋体"/>
      <w:color w:val="000000"/>
      <w:sz w:val="21"/>
      <w:szCs w:val="21"/>
      <w:u w:val="none"/>
    </w:rPr>
  </w:style>
  <w:style w:type="character" w:customStyle="1" w:styleId="117">
    <w:name w:val="font71"/>
    <w:basedOn w:val="33"/>
    <w:qFormat/>
    <w:uiPriority w:val="0"/>
    <w:rPr>
      <w:rFonts w:hint="eastAsia" w:ascii="黑体" w:hAnsi="宋体" w:eastAsia="黑体" w:cs="黑体"/>
      <w:color w:val="000000"/>
      <w:sz w:val="18"/>
      <w:szCs w:val="18"/>
      <w:u w:val="none"/>
    </w:rPr>
  </w:style>
  <w:style w:type="character" w:customStyle="1" w:styleId="118">
    <w:name w:val="font13"/>
    <w:basedOn w:val="33"/>
    <w:qFormat/>
    <w:uiPriority w:val="0"/>
    <w:rPr>
      <w:rFonts w:hint="eastAsia" w:ascii="宋体" w:hAnsi="宋体" w:eastAsia="宋体" w:cs="宋体"/>
      <w:color w:val="000000"/>
      <w:sz w:val="18"/>
      <w:szCs w:val="18"/>
      <w:u w:val="none"/>
    </w:rPr>
  </w:style>
  <w:style w:type="character" w:customStyle="1" w:styleId="119">
    <w:name w:val="font91"/>
    <w:basedOn w:val="33"/>
    <w:qFormat/>
    <w:uiPriority w:val="0"/>
    <w:rPr>
      <w:rFonts w:hint="eastAsia" w:ascii="黑体" w:hAnsi="宋体" w:eastAsia="黑体" w:cs="黑体"/>
      <w:color w:val="000000"/>
      <w:sz w:val="18"/>
      <w:szCs w:val="18"/>
      <w:u w:val="none"/>
    </w:rPr>
  </w:style>
  <w:style w:type="character" w:customStyle="1" w:styleId="120">
    <w:name w:val="font01"/>
    <w:basedOn w:val="33"/>
    <w:qFormat/>
    <w:uiPriority w:val="0"/>
    <w:rPr>
      <w:rFonts w:hint="eastAsia" w:ascii="宋体" w:hAnsi="宋体" w:eastAsia="宋体" w:cs="宋体"/>
      <w:color w:val="000000"/>
      <w:sz w:val="22"/>
      <w:szCs w:val="22"/>
      <w:u w:val="none"/>
    </w:rPr>
  </w:style>
  <w:style w:type="character" w:customStyle="1" w:styleId="121">
    <w:name w:val="font141"/>
    <w:basedOn w:val="33"/>
    <w:qFormat/>
    <w:uiPriority w:val="0"/>
    <w:rPr>
      <w:rFonts w:hint="default" w:ascii="Times New Roman" w:hAnsi="Times New Roman" w:cs="Times New Roman"/>
      <w:color w:val="000000"/>
      <w:sz w:val="22"/>
      <w:szCs w:val="22"/>
      <w:u w:val="none"/>
    </w:rPr>
  </w:style>
  <w:style w:type="character" w:customStyle="1" w:styleId="122">
    <w:name w:val="font151"/>
    <w:basedOn w:val="33"/>
    <w:qFormat/>
    <w:uiPriority w:val="0"/>
    <w:rPr>
      <w:rFonts w:hint="eastAsia" w:ascii="宋体" w:hAnsi="宋体" w:eastAsia="宋体" w:cs="宋体"/>
      <w:color w:val="FF0000"/>
      <w:sz w:val="18"/>
      <w:szCs w:val="18"/>
      <w:u w:val="none"/>
    </w:rPr>
  </w:style>
  <w:style w:type="character" w:customStyle="1" w:styleId="123">
    <w:name w:val="font121"/>
    <w:basedOn w:val="33"/>
    <w:qFormat/>
    <w:uiPriority w:val="0"/>
    <w:rPr>
      <w:rFonts w:hint="default" w:ascii="Times New Roman" w:hAnsi="Times New Roman" w:cs="Times New Roman"/>
      <w:color w:val="000000"/>
      <w:sz w:val="22"/>
      <w:szCs w:val="22"/>
      <w:u w:val="none"/>
    </w:rPr>
  </w:style>
  <w:style w:type="character" w:customStyle="1" w:styleId="124">
    <w:name w:val="font81"/>
    <w:basedOn w:val="33"/>
    <w:qFormat/>
    <w:uiPriority w:val="0"/>
    <w:rPr>
      <w:rFonts w:hint="eastAsia" w:ascii="宋体" w:hAnsi="宋体" w:eastAsia="宋体" w:cs="宋体"/>
      <w:color w:val="000000"/>
      <w:sz w:val="22"/>
      <w:szCs w:val="22"/>
      <w:u w:val="none"/>
    </w:rPr>
  </w:style>
  <w:style w:type="paragraph" w:customStyle="1" w:styleId="125">
    <w:name w:val="一级条标题"/>
    <w:basedOn w:val="126"/>
    <w:next w:val="127"/>
    <w:qFormat/>
    <w:uiPriority w:val="0"/>
    <w:pPr>
      <w:tabs>
        <w:tab w:val="left" w:pos="1260"/>
        <w:tab w:val="left" w:pos="1680"/>
      </w:tabs>
      <w:spacing w:before="0" w:beforeLines="0" w:after="0" w:afterLines="0"/>
      <w:ind w:left="1680"/>
      <w:outlineLvl w:val="2"/>
    </w:pPr>
  </w:style>
  <w:style w:type="paragraph" w:customStyle="1" w:styleId="126">
    <w:name w:val="章标题"/>
    <w:next w:val="1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2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29">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71</Pages>
  <Words>19828</Words>
  <Characters>23745</Characters>
  <Lines>1</Lines>
  <Paragraphs>1</Paragraphs>
  <TotalTime>0</TotalTime>
  <ScaleCrop>false</ScaleCrop>
  <LinksUpToDate>false</LinksUpToDate>
  <CharactersWithSpaces>24235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2021-11-20T00:24:00Z</dcterms:created>
  <dc:creator>NTKO</dc:creator>
  <cp:lastModifiedBy>希望</cp:lastModifiedBy>
  <cp:lastPrinted>2025-07-15T19:29:00Z</cp:lastPrinted>
  <dcterms:modified xsi:type="dcterms:W3CDTF">2025-07-15T13:57:09Z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FF79F16FF1C263A330AB6B68BD898C95_43</vt:lpwstr>
  </property>
  <property fmtid="{D5CDD505-2E9C-101B-9397-08002B2CF9AE}" pid="4" name="KSOTemplateDocerSaveRecord">
    <vt:lpwstr>eyJoZGlkIjoiNmU4MWM1NjljYzJjZWFmZjIwZDE3ODM5ZjAwOTk3OGQiLCJ1c2VySWQiOiI0NDMyODMzNDAifQ==</vt:lpwstr>
  </property>
</Properties>
</file>