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EDA93">
      <w:pPr>
        <w:bidi w:val="0"/>
        <w:jc w:val="center"/>
        <w:rPr>
          <w:rFonts w:hint="eastAsia"/>
          <w:b/>
          <w:bCs/>
          <w:color w:val="auto"/>
          <w:sz w:val="44"/>
          <w:szCs w:val="44"/>
          <w:lang w:eastAsia="zh-CN"/>
        </w:rPr>
      </w:pPr>
      <w:r>
        <w:rPr>
          <w:rFonts w:hint="eastAsia"/>
          <w:b/>
          <w:bCs/>
          <w:color w:val="auto"/>
          <w:sz w:val="44"/>
          <w:szCs w:val="44"/>
          <w:lang w:eastAsia="zh-CN"/>
        </w:rPr>
        <w:t>嵊州经济开发区艇湖科技城（锐境科技产业园）四期项目电梯采购及安装项目</w:t>
      </w:r>
    </w:p>
    <w:p w14:paraId="45E88F36">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（项目编号：</w:t>
      </w:r>
      <w:r>
        <w:rPr>
          <w:rFonts w:hint="eastAsia" w:ascii="宋体" w:hAnsi="宋体" w:cs="宋体"/>
          <w:b w:val="0"/>
          <w:bCs w:val="0"/>
          <w:color w:val="auto"/>
          <w:sz w:val="28"/>
          <w:szCs w:val="28"/>
          <w:highlight w:val="none"/>
          <w:lang w:val="en-US" w:eastAsia="zh-CN"/>
        </w:rPr>
        <w:t>SZMY-H20250621</w:t>
      </w:r>
      <w:r>
        <w:rPr>
          <w:rFonts w:hint="eastAsia" w:ascii="宋体" w:hAnsi="宋体" w:eastAsia="宋体" w:cs="宋体"/>
          <w:b w:val="0"/>
          <w:bCs w:val="0"/>
          <w:color w:val="auto"/>
          <w:sz w:val="28"/>
          <w:szCs w:val="28"/>
          <w:highlight w:val="none"/>
        </w:rPr>
        <w:t>）</w:t>
      </w:r>
    </w:p>
    <w:p w14:paraId="574A44A4">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（国企采购）</w:t>
      </w:r>
    </w:p>
    <w:p w14:paraId="5ACE01A2">
      <w:pPr>
        <w:pStyle w:val="20"/>
        <w:bidi w:val="0"/>
        <w:rPr>
          <w:rFonts w:hint="eastAsia"/>
          <w:color w:val="auto"/>
        </w:rPr>
      </w:pPr>
    </w:p>
    <w:p w14:paraId="2901A718">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lang w:val="en-US" w:eastAsia="zh-CN"/>
        </w:rPr>
      </w:pPr>
    </w:p>
    <w:p w14:paraId="3D172953">
      <w:pPr>
        <w:keepNext w:val="0"/>
        <w:keepLines w:val="0"/>
        <w:pageBreakBefore w:val="0"/>
        <w:widowControl w:val="0"/>
        <w:kinsoku/>
        <w:wordWrap/>
        <w:overflowPunct/>
        <w:topLinePunct w:val="0"/>
        <w:autoSpaceDE/>
        <w:autoSpaceDN/>
        <w:bidi w:val="0"/>
        <w:adjustRightInd/>
        <w:snapToGrid/>
        <w:spacing w:before="313" w:beforeLines="100" w:line="1000" w:lineRule="exact"/>
        <w:jc w:val="center"/>
        <w:textAlignment w:val="auto"/>
        <w:outlineLvl w:val="0"/>
        <w:rPr>
          <w:rFonts w:hint="eastAsia" w:ascii="仿宋" w:hAnsi="仿宋" w:eastAsia="仿宋" w:cs="仿宋"/>
          <w:b/>
          <w:bCs w:val="0"/>
          <w:color w:val="auto"/>
          <w:sz w:val="84"/>
          <w:szCs w:val="84"/>
          <w:highlight w:val="none"/>
          <w:lang w:val="en-US" w:eastAsia="zh-CN"/>
        </w:rPr>
      </w:pPr>
      <w:r>
        <w:rPr>
          <w:rFonts w:hint="eastAsia" w:ascii="仿宋" w:hAnsi="仿宋" w:eastAsia="仿宋" w:cs="仿宋"/>
          <w:b/>
          <w:bCs w:val="0"/>
          <w:color w:val="auto"/>
          <w:sz w:val="84"/>
          <w:szCs w:val="84"/>
          <w:highlight w:val="none"/>
          <w:lang w:val="en-US" w:eastAsia="zh-CN"/>
        </w:rPr>
        <w:t>公</w:t>
      </w:r>
    </w:p>
    <w:p w14:paraId="54554265">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开</w:t>
      </w:r>
    </w:p>
    <w:p w14:paraId="774CB0D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招</w:t>
      </w:r>
    </w:p>
    <w:p w14:paraId="182898B0">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标</w:t>
      </w:r>
    </w:p>
    <w:p w14:paraId="6F2E6049">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文</w:t>
      </w:r>
    </w:p>
    <w:p w14:paraId="5553ADA6">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44"/>
          <w:highlight w:val="none"/>
        </w:rPr>
      </w:pPr>
      <w:r>
        <w:rPr>
          <w:rFonts w:hint="eastAsia" w:ascii="仿宋" w:hAnsi="仿宋" w:eastAsia="仿宋" w:cs="仿宋"/>
          <w:b/>
          <w:bCs w:val="0"/>
          <w:color w:val="auto"/>
          <w:sz w:val="84"/>
          <w:szCs w:val="84"/>
          <w:highlight w:val="none"/>
        </w:rPr>
        <w:t>件</w:t>
      </w:r>
    </w:p>
    <w:p w14:paraId="3D7088D9">
      <w:pPr>
        <w:spacing w:line="580" w:lineRule="exact"/>
        <w:jc w:val="both"/>
        <w:rPr>
          <w:rFonts w:ascii="宋体" w:hAnsi="宋体" w:cs="宋体"/>
          <w:bCs/>
          <w:color w:val="auto"/>
          <w:sz w:val="36"/>
          <w:highlight w:val="none"/>
        </w:rPr>
      </w:pPr>
    </w:p>
    <w:p w14:paraId="51072A88">
      <w:pPr>
        <w:keepNext w:val="0"/>
        <w:keepLines w:val="0"/>
        <w:pageBreakBefore w:val="0"/>
        <w:widowControl w:val="0"/>
        <w:kinsoku/>
        <w:wordWrap/>
        <w:overflowPunct/>
        <w:topLinePunct w:val="0"/>
        <w:autoSpaceDE/>
        <w:autoSpaceDN/>
        <w:bidi w:val="0"/>
        <w:adjustRightInd/>
        <w:snapToGrid/>
        <w:spacing w:before="313" w:beforeLines="100" w:line="600" w:lineRule="exact"/>
        <w:jc w:val="both"/>
        <w:textAlignment w:val="auto"/>
        <w:rPr>
          <w:rFonts w:hint="eastAsia" w:ascii="宋体" w:hAnsi="宋体" w:eastAsia="宋体" w:cs="宋体"/>
          <w:bCs/>
          <w:color w:val="auto"/>
          <w:sz w:val="32"/>
          <w:szCs w:val="32"/>
          <w:highlight w:val="none"/>
          <w:lang w:eastAsia="zh-CN"/>
        </w:rPr>
      </w:pPr>
    </w:p>
    <w:p w14:paraId="67F515DA">
      <w:pPr>
        <w:keepNext w:val="0"/>
        <w:keepLines w:val="0"/>
        <w:pageBreakBefore w:val="0"/>
        <w:widowControl w:val="0"/>
        <w:kinsoku/>
        <w:wordWrap/>
        <w:overflowPunct/>
        <w:topLinePunct w:val="0"/>
        <w:autoSpaceDE/>
        <w:autoSpaceDN/>
        <w:bidi w:val="0"/>
        <w:adjustRightInd/>
        <w:snapToGrid/>
        <w:spacing w:line="680" w:lineRule="exact"/>
        <w:ind w:firstLine="1280" w:firstLineChars="4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采购单位：</w:t>
      </w:r>
      <w:r>
        <w:rPr>
          <w:rFonts w:hint="eastAsia" w:ascii="宋体" w:hAnsi="宋体"/>
          <w:color w:val="auto"/>
          <w:sz w:val="32"/>
          <w:szCs w:val="32"/>
          <w:highlight w:val="none"/>
          <w:lang w:eastAsia="zh-CN"/>
        </w:rPr>
        <w:t>嵊州市经济开发区投资有限公司</w:t>
      </w:r>
    </w:p>
    <w:p w14:paraId="62248CB4">
      <w:pPr>
        <w:keepNext w:val="0"/>
        <w:keepLines w:val="0"/>
        <w:pageBreakBefore w:val="0"/>
        <w:widowControl w:val="0"/>
        <w:kinsoku/>
        <w:wordWrap/>
        <w:overflowPunct/>
        <w:topLinePunct w:val="0"/>
        <w:autoSpaceDE/>
        <w:autoSpaceDN/>
        <w:bidi w:val="0"/>
        <w:adjustRightInd/>
        <w:snapToGrid/>
        <w:spacing w:line="680" w:lineRule="exact"/>
        <w:ind w:firstLine="1280" w:firstLineChars="400"/>
        <w:jc w:val="both"/>
        <w:textAlignment w:val="auto"/>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代理机构：浙江明业项目管理有限公司</w:t>
      </w:r>
    </w:p>
    <w:p w14:paraId="644E3A8F">
      <w:pPr>
        <w:pStyle w:val="18"/>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Cs/>
          <w:color w:val="auto"/>
          <w:szCs w:val="32"/>
          <w:highlight w:val="none"/>
        </w:rPr>
        <w:sectPr>
          <w:pgSz w:w="11906" w:h="16838"/>
          <w:pgMar w:top="1361" w:right="1289" w:bottom="1361" w:left="1400" w:header="851" w:footer="851" w:gutter="0"/>
          <w:cols w:space="720" w:num="1"/>
          <w:docGrid w:type="lines" w:linePitch="312" w:charSpace="0"/>
        </w:sectPr>
      </w:pPr>
      <w:bookmarkStart w:id="0" w:name="用户单位名称"/>
      <w:bookmarkEnd w:id="0"/>
      <w:r>
        <w:rPr>
          <w:rFonts w:hint="eastAsia" w:ascii="宋体" w:hAnsi="宋体" w:eastAsia="宋体" w:cs="宋体"/>
          <w:bCs/>
          <w:color w:val="auto"/>
          <w:szCs w:val="32"/>
          <w:highlight w:val="none"/>
        </w:rPr>
        <w:t>202</w:t>
      </w:r>
      <w:r>
        <w:rPr>
          <w:rFonts w:hint="eastAsia" w:ascii="宋体" w:hAnsi="宋体" w:eastAsia="宋体" w:cs="宋体"/>
          <w:bCs/>
          <w:color w:val="auto"/>
          <w:szCs w:val="32"/>
          <w:highlight w:val="none"/>
          <w:lang w:val="en-US" w:eastAsia="zh-CN"/>
        </w:rPr>
        <w:t>5</w:t>
      </w:r>
      <w:r>
        <w:rPr>
          <w:rFonts w:hint="eastAsia" w:ascii="宋体" w:hAnsi="宋体" w:eastAsia="宋体" w:cs="宋体"/>
          <w:bCs/>
          <w:color w:val="auto"/>
          <w:szCs w:val="32"/>
          <w:highlight w:val="none"/>
        </w:rPr>
        <w:t>年</w:t>
      </w:r>
      <w:r>
        <w:rPr>
          <w:rFonts w:hint="eastAsia" w:ascii="宋体" w:hAnsi="宋体" w:eastAsia="宋体" w:cs="宋体"/>
          <w:bCs/>
          <w:color w:val="auto"/>
          <w:szCs w:val="32"/>
          <w:highlight w:val="none"/>
          <w:lang w:val="en-US" w:eastAsia="zh-CN"/>
        </w:rPr>
        <w:t>6</w:t>
      </w:r>
      <w:r>
        <w:rPr>
          <w:rFonts w:hint="eastAsia" w:ascii="宋体" w:hAnsi="宋体" w:eastAsia="宋体" w:cs="宋体"/>
          <w:bCs/>
          <w:color w:val="auto"/>
          <w:szCs w:val="32"/>
          <w:highlight w:val="none"/>
        </w:rPr>
        <w:t>月</w:t>
      </w:r>
    </w:p>
    <w:p w14:paraId="27064547">
      <w:pPr>
        <w:pStyle w:val="18"/>
        <w:widowControl w:val="0"/>
        <w:spacing w:line="580" w:lineRule="exact"/>
        <w:jc w:val="center"/>
        <w:rPr>
          <w:rFonts w:hint="eastAsia" w:ascii="宋体" w:hAnsi="宋体" w:eastAsia="宋体" w:cs="宋体"/>
          <w:bCs/>
          <w:color w:val="auto"/>
          <w:sz w:val="44"/>
          <w:szCs w:val="44"/>
          <w:highlight w:val="none"/>
        </w:rPr>
      </w:pPr>
    </w:p>
    <w:p w14:paraId="45DB9E0B">
      <w:pPr>
        <w:pStyle w:val="18"/>
        <w:widowControl w:val="0"/>
        <w:spacing w:line="58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目  录</w:t>
      </w:r>
    </w:p>
    <w:p w14:paraId="250E9BA8">
      <w:pPr>
        <w:rPr>
          <w:rFonts w:ascii="宋体" w:hAnsi="宋体" w:cs="宋体"/>
          <w:color w:val="auto"/>
          <w:highlight w:val="none"/>
        </w:rPr>
      </w:pPr>
    </w:p>
    <w:p w14:paraId="46F8732D">
      <w:pPr>
        <w:rPr>
          <w:rFonts w:ascii="宋体" w:hAnsi="宋体" w:cs="宋体"/>
          <w:color w:val="auto"/>
          <w:highlight w:val="none"/>
        </w:rPr>
      </w:pPr>
    </w:p>
    <w:p w14:paraId="46841D93">
      <w:pPr>
        <w:rPr>
          <w:rFonts w:ascii="宋体" w:hAnsi="宋体" w:cs="宋体"/>
          <w:color w:val="auto"/>
          <w:highlight w:val="none"/>
        </w:rPr>
      </w:pPr>
    </w:p>
    <w:p w14:paraId="2A187938">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"_Toc513456138" </w:instrText>
      </w:r>
      <w:r>
        <w:rPr>
          <w:color w:val="auto"/>
          <w:highlight w:val="none"/>
        </w:rPr>
        <w:fldChar w:fldCharType="separate"/>
      </w:r>
      <w:r>
        <w:rPr>
          <w:rStyle w:val="36"/>
          <w:rFonts w:hint="eastAsia" w:ascii="宋体" w:hAnsi="宋体" w:cs="宋体"/>
          <w:b w:val="0"/>
          <w:bCs/>
          <w:color w:val="auto"/>
          <w:sz w:val="28"/>
          <w:szCs w:val="28"/>
          <w:highlight w:val="none"/>
        </w:rPr>
        <w:t>第一部分  招标公告</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1</w:t>
      </w:r>
      <w:r>
        <w:rPr>
          <w:rFonts w:hint="eastAsia" w:ascii="宋体" w:hAnsi="宋体" w:cs="宋体"/>
          <w:b w:val="0"/>
          <w:bCs/>
          <w:color w:val="auto"/>
          <w:sz w:val="28"/>
          <w:szCs w:val="28"/>
          <w:highlight w:val="none"/>
        </w:rPr>
        <w:fldChar w:fldCharType="end"/>
      </w:r>
    </w:p>
    <w:p w14:paraId="1B3FFA7A">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"_Toc513456139" </w:instrText>
      </w:r>
      <w:r>
        <w:rPr>
          <w:color w:val="auto"/>
          <w:highlight w:val="none"/>
        </w:rPr>
        <w:fldChar w:fldCharType="separate"/>
      </w:r>
      <w:r>
        <w:rPr>
          <w:rStyle w:val="36"/>
          <w:rFonts w:hint="eastAsia" w:ascii="宋体" w:hAnsi="宋体" w:cs="宋体"/>
          <w:b w:val="0"/>
          <w:bCs/>
          <w:color w:val="auto"/>
          <w:sz w:val="28"/>
          <w:szCs w:val="28"/>
          <w:highlight w:val="none"/>
        </w:rPr>
        <w:t>第二部分  投标须知</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5</w:t>
      </w:r>
      <w:r>
        <w:rPr>
          <w:rFonts w:hint="eastAsia" w:ascii="宋体" w:hAnsi="宋体" w:cs="宋体"/>
          <w:b w:val="0"/>
          <w:bCs/>
          <w:color w:val="auto"/>
          <w:sz w:val="28"/>
          <w:szCs w:val="28"/>
          <w:highlight w:val="none"/>
        </w:rPr>
        <w:fldChar w:fldCharType="end"/>
      </w:r>
    </w:p>
    <w:p w14:paraId="56C75A6C">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"_Toc513456147" </w:instrText>
      </w:r>
      <w:r>
        <w:rPr>
          <w:color w:val="auto"/>
          <w:highlight w:val="none"/>
        </w:rPr>
        <w:fldChar w:fldCharType="separate"/>
      </w:r>
      <w:r>
        <w:rPr>
          <w:rStyle w:val="36"/>
          <w:rFonts w:hint="eastAsia" w:ascii="宋体" w:hAnsi="宋体" w:cs="宋体"/>
          <w:b w:val="0"/>
          <w:bCs/>
          <w:color w:val="auto"/>
          <w:sz w:val="28"/>
          <w:szCs w:val="28"/>
          <w:highlight w:val="none"/>
        </w:rPr>
        <w:t>第三部分  项目招标范围及服务要求</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w:t>
      </w:r>
    </w:p>
    <w:p w14:paraId="2B3915B1">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"_Toc513456150" </w:instrText>
      </w:r>
      <w:r>
        <w:rPr>
          <w:color w:val="auto"/>
          <w:highlight w:val="none"/>
        </w:rPr>
        <w:fldChar w:fldCharType="separate"/>
      </w:r>
      <w:r>
        <w:rPr>
          <w:rStyle w:val="36"/>
          <w:rFonts w:hint="eastAsia" w:ascii="宋体" w:hAnsi="宋体" w:cs="宋体"/>
          <w:b w:val="0"/>
          <w:bCs/>
          <w:color w:val="auto"/>
          <w:sz w:val="28"/>
          <w:szCs w:val="28"/>
          <w:highlight w:val="none"/>
        </w:rPr>
        <w:t>第四部分  评标办</w:t>
      </w:r>
      <w:bookmarkStart w:id="1" w:name="_Hlt516404789"/>
      <w:bookmarkStart w:id="2" w:name="_Hlt516404788"/>
      <w:r>
        <w:rPr>
          <w:rStyle w:val="36"/>
          <w:rFonts w:hint="eastAsia" w:ascii="宋体" w:hAnsi="宋体" w:cs="宋体"/>
          <w:b w:val="0"/>
          <w:bCs/>
          <w:color w:val="auto"/>
          <w:sz w:val="28"/>
          <w:szCs w:val="28"/>
          <w:highlight w:val="none"/>
        </w:rPr>
        <w:t>法</w:t>
      </w:r>
      <w:bookmarkEnd w:id="1"/>
      <w:bookmarkEnd w:id="2"/>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36</w:t>
      </w:r>
    </w:p>
    <w:p w14:paraId="5E066DB9">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"_Toc513456151" </w:instrText>
      </w:r>
      <w:r>
        <w:rPr>
          <w:color w:val="auto"/>
          <w:highlight w:val="none"/>
        </w:rPr>
        <w:fldChar w:fldCharType="separate"/>
      </w:r>
      <w:r>
        <w:rPr>
          <w:rStyle w:val="36"/>
          <w:rFonts w:hint="eastAsia" w:ascii="宋体" w:hAnsi="宋体" w:cs="宋体"/>
          <w:b w:val="0"/>
          <w:bCs/>
          <w:color w:val="auto"/>
          <w:sz w:val="28"/>
          <w:szCs w:val="28"/>
          <w:highlight w:val="none"/>
        </w:rPr>
        <w:t>第五部分  合同主要条款</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40</w:t>
      </w:r>
    </w:p>
    <w:p w14:paraId="3D66BA64">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"_Toc513456152" </w:instrText>
      </w:r>
      <w:r>
        <w:rPr>
          <w:color w:val="auto"/>
          <w:highlight w:val="none"/>
        </w:rPr>
        <w:fldChar w:fldCharType="separate"/>
      </w:r>
      <w:r>
        <w:rPr>
          <w:rStyle w:val="36"/>
          <w:rFonts w:hint="eastAsia" w:ascii="宋体" w:hAnsi="宋体" w:cs="宋体"/>
          <w:b w:val="0"/>
          <w:bCs/>
          <w:color w:val="auto"/>
          <w:sz w:val="28"/>
          <w:szCs w:val="28"/>
          <w:highlight w:val="none"/>
        </w:rPr>
        <w:t>第六部分  投标文件</w:t>
      </w:r>
      <w:r>
        <w:rPr>
          <w:rStyle w:val="36"/>
          <w:rFonts w:hint="eastAsia" w:ascii="宋体" w:hAnsi="宋体" w:cs="宋体"/>
          <w:b w:val="0"/>
          <w:bCs/>
          <w:color w:val="auto"/>
          <w:sz w:val="28"/>
          <w:szCs w:val="28"/>
          <w:highlight w:val="none"/>
          <w:lang w:val="en-US" w:eastAsia="zh-CN"/>
        </w:rPr>
        <w:t>及其附件</w:t>
      </w:r>
      <w:r>
        <w:rPr>
          <w:rStyle w:val="36"/>
          <w:rFonts w:hint="eastAsia" w:ascii="宋体" w:hAnsi="宋体" w:cs="宋体"/>
          <w:b w:val="0"/>
          <w:bCs/>
          <w:color w:val="auto"/>
          <w:sz w:val="28"/>
          <w:szCs w:val="28"/>
          <w:highlight w:val="none"/>
        </w:rPr>
        <w:t>格式</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48</w:t>
      </w:r>
    </w:p>
    <w:p w14:paraId="2F27271C">
      <w:pPr>
        <w:rPr>
          <w:rFonts w:ascii="宋体" w:hAnsi="宋体" w:cs="宋体"/>
          <w:color w:val="auto"/>
          <w:highlight w:val="none"/>
        </w:rPr>
      </w:pPr>
    </w:p>
    <w:p w14:paraId="1A24EF2D">
      <w:pPr>
        <w:rPr>
          <w:rFonts w:ascii="宋体" w:hAnsi="宋体" w:cs="宋体"/>
          <w:color w:val="auto"/>
          <w:highlight w:val="none"/>
        </w:rPr>
      </w:pPr>
    </w:p>
    <w:p w14:paraId="1008381F">
      <w:pPr>
        <w:pStyle w:val="43"/>
        <w:rPr>
          <w:color w:val="auto"/>
          <w:highlight w:val="none"/>
        </w:rPr>
      </w:pPr>
    </w:p>
    <w:p w14:paraId="3EF7DAAC">
      <w:pPr>
        <w:rPr>
          <w:rFonts w:hint="eastAsia" w:hAnsi="宋体" w:cs="宋体"/>
          <w:color w:val="auto"/>
          <w:highlight w:val="none"/>
        </w:rPr>
      </w:pPr>
      <w:r>
        <w:rPr>
          <w:rFonts w:hint="eastAsia" w:hAnsi="宋体" w:cs="宋体"/>
          <w:color w:val="auto"/>
          <w:highlight w:val="none"/>
        </w:rPr>
        <w:fldChar w:fldCharType="end"/>
      </w:r>
      <w:bookmarkStart w:id="3" w:name="_Toc15829"/>
    </w:p>
    <w:p w14:paraId="1B362BC5">
      <w:pPr>
        <w:rPr>
          <w:rFonts w:hint="eastAsia" w:hAnsi="宋体" w:cs="宋体"/>
          <w:color w:val="auto"/>
          <w:highlight w:val="none"/>
        </w:rPr>
      </w:pPr>
    </w:p>
    <w:p w14:paraId="58264D8F">
      <w:pPr>
        <w:rPr>
          <w:rFonts w:hint="eastAsia" w:hAnsi="宋体" w:cs="宋体"/>
          <w:color w:val="auto"/>
          <w:highlight w:val="none"/>
        </w:rPr>
      </w:pPr>
    </w:p>
    <w:p w14:paraId="5650B221">
      <w:pPr>
        <w:rPr>
          <w:rFonts w:hint="eastAsia" w:hAnsi="宋体" w:cs="宋体"/>
          <w:color w:val="auto"/>
          <w:highlight w:val="none"/>
        </w:rPr>
      </w:pPr>
    </w:p>
    <w:p w14:paraId="05A89AA6">
      <w:pPr>
        <w:rPr>
          <w:rFonts w:hint="eastAsia" w:hAnsi="宋体" w:cs="宋体"/>
          <w:color w:val="auto"/>
          <w:highlight w:val="none"/>
        </w:rPr>
      </w:pPr>
    </w:p>
    <w:p w14:paraId="5A2ED876">
      <w:pPr>
        <w:rPr>
          <w:rFonts w:hint="eastAsia" w:hAnsi="宋体" w:cs="宋体"/>
          <w:color w:val="auto"/>
          <w:highlight w:val="none"/>
        </w:rPr>
      </w:pPr>
    </w:p>
    <w:p w14:paraId="71700702">
      <w:pPr>
        <w:rPr>
          <w:rFonts w:hint="eastAsia" w:hAnsi="宋体" w:cs="宋体"/>
          <w:color w:val="auto"/>
          <w:highlight w:val="none"/>
        </w:rPr>
      </w:pPr>
    </w:p>
    <w:p w14:paraId="48FA7F85">
      <w:pPr>
        <w:rPr>
          <w:rFonts w:hint="eastAsia" w:hAnsi="宋体" w:cs="宋体"/>
          <w:color w:val="auto"/>
          <w:highlight w:val="none"/>
        </w:rPr>
      </w:pPr>
    </w:p>
    <w:p w14:paraId="1AEAE0BF">
      <w:pPr>
        <w:rPr>
          <w:rFonts w:hint="eastAsia" w:hAnsi="宋体" w:cs="宋体"/>
          <w:color w:val="auto"/>
          <w:highlight w:val="none"/>
        </w:rPr>
      </w:pPr>
    </w:p>
    <w:p w14:paraId="43A0DA28">
      <w:pPr>
        <w:rPr>
          <w:rFonts w:hint="eastAsia" w:hAnsi="宋体" w:cs="宋体"/>
          <w:color w:val="auto"/>
          <w:highlight w:val="none"/>
        </w:rPr>
      </w:pPr>
    </w:p>
    <w:p w14:paraId="0D991871">
      <w:pPr>
        <w:rPr>
          <w:rFonts w:hint="eastAsia" w:hAnsi="宋体" w:cs="宋体"/>
          <w:color w:val="auto"/>
          <w:highlight w:val="none"/>
        </w:rPr>
      </w:pPr>
    </w:p>
    <w:p w14:paraId="00BC78E0">
      <w:pPr>
        <w:rPr>
          <w:rFonts w:hint="eastAsia" w:hAnsi="宋体" w:cs="宋体"/>
          <w:color w:val="auto"/>
          <w:highlight w:val="none"/>
        </w:rPr>
      </w:pPr>
    </w:p>
    <w:p w14:paraId="772926F1">
      <w:pPr>
        <w:rPr>
          <w:rFonts w:hint="eastAsia" w:hAnsi="宋体" w:cs="宋体"/>
          <w:color w:val="auto"/>
          <w:highlight w:val="none"/>
        </w:rPr>
      </w:pPr>
    </w:p>
    <w:p w14:paraId="4049A750">
      <w:pPr>
        <w:rPr>
          <w:rFonts w:hint="eastAsia" w:hAnsi="宋体" w:cs="宋体"/>
          <w:color w:val="auto"/>
          <w:highlight w:val="none"/>
        </w:rPr>
      </w:pPr>
    </w:p>
    <w:p w14:paraId="7E5D5479">
      <w:pPr>
        <w:rPr>
          <w:rFonts w:hint="eastAsia" w:hAnsi="宋体" w:cs="宋体"/>
          <w:color w:val="auto"/>
          <w:highlight w:val="none"/>
        </w:rPr>
      </w:pPr>
    </w:p>
    <w:p w14:paraId="4F4C7959">
      <w:pPr>
        <w:pStyle w:val="2"/>
        <w:rPr>
          <w:rFonts w:hint="eastAsia"/>
          <w:color w:val="auto"/>
          <w:highlight w:val="none"/>
        </w:rPr>
      </w:pPr>
    </w:p>
    <w:p w14:paraId="68396A0F">
      <w:pPr>
        <w:rPr>
          <w:rFonts w:hint="eastAsia"/>
          <w:color w:val="auto"/>
          <w:highlight w:val="none"/>
        </w:rPr>
      </w:pPr>
    </w:p>
    <w:p w14:paraId="4A515E57">
      <w:pPr>
        <w:pStyle w:val="39"/>
        <w:rPr>
          <w:rFonts w:hint="eastAsia"/>
          <w:color w:val="auto"/>
          <w:highlight w:val="none"/>
        </w:rPr>
      </w:pPr>
    </w:p>
    <w:p w14:paraId="70BDA5AD">
      <w:pPr>
        <w:pStyle w:val="40"/>
        <w:rPr>
          <w:rFonts w:hint="eastAsia"/>
          <w:color w:val="auto"/>
          <w:highlight w:val="none"/>
        </w:rPr>
      </w:pPr>
    </w:p>
    <w:p w14:paraId="28066EFA">
      <w:pPr>
        <w:rPr>
          <w:rFonts w:hint="eastAsia" w:hAnsi="宋体" w:cs="宋体"/>
          <w:color w:val="auto"/>
          <w:highlight w:val="none"/>
        </w:rPr>
        <w:sectPr>
          <w:footerReference r:id="rId3" w:type="default"/>
          <w:pgSz w:w="11906" w:h="16838"/>
          <w:pgMar w:top="1134" w:right="1289" w:bottom="1134" w:left="1797" w:header="851" w:footer="851" w:gutter="0"/>
          <w:pgNumType w:start="1"/>
          <w:cols w:space="720" w:num="1"/>
          <w:docGrid w:type="lines" w:linePitch="312" w:charSpace="0"/>
        </w:sectPr>
      </w:pPr>
    </w:p>
    <w:p w14:paraId="0CD6E32C">
      <w:pPr>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第一部分  招标公告</w:t>
      </w:r>
      <w:bookmarkEnd w:id="3"/>
    </w:p>
    <w:p w14:paraId="09E083D1">
      <w:pPr>
        <w:spacing w:line="300" w:lineRule="exact"/>
        <w:jc w:val="center"/>
        <w:rPr>
          <w:rFonts w:ascii="宋体" w:hAnsi="宋体" w:cs="宋体"/>
          <w:color w:val="auto"/>
          <w:spacing w:val="6"/>
          <w:sz w:val="21"/>
          <w:szCs w:val="21"/>
          <w:highlight w:val="none"/>
        </w:rPr>
      </w:pPr>
    </w:p>
    <w:p w14:paraId="1104F492">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项目概况</w:t>
      </w:r>
    </w:p>
    <w:p w14:paraId="2548113B">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highlight w:val="none"/>
          <w:u w:val="single"/>
          <w:lang w:eastAsia="zh-CN"/>
        </w:rPr>
        <w:t>嵊州经济开发区艇湖科技城（锐境科技产业园）四期项目电梯采购及安装项目</w:t>
      </w:r>
      <w:r>
        <w:rPr>
          <w:rFonts w:hint="eastAsia" w:ascii="宋体" w:hAnsi="宋体" w:cs="宋体"/>
          <w:color w:val="auto"/>
          <w:szCs w:val="24"/>
          <w:highlight w:val="none"/>
        </w:rPr>
        <w:t>的潜在投标人应在</w:t>
      </w:r>
      <w:r>
        <w:rPr>
          <w:rFonts w:hint="eastAsia" w:ascii="宋体" w:hAnsi="宋体" w:cs="宋体"/>
          <w:color w:val="auto"/>
          <w:spacing w:val="6"/>
          <w:szCs w:val="24"/>
          <w:highlight w:val="none"/>
        </w:rPr>
        <w:t>乐采云平台</w:t>
      </w:r>
      <w:r>
        <w:rPr>
          <w:color w:val="auto"/>
          <w:highlight w:val="none"/>
        </w:rPr>
        <w:fldChar w:fldCharType="begin"/>
      </w:r>
      <w:r>
        <w:rPr>
          <w:color w:val="auto"/>
          <w:highlight w:val="none"/>
        </w:rPr>
        <w:instrText xml:space="preserve"> HYPERLINK "http://www.zcygov.cn/获取采购文件，并于2023年" </w:instrText>
      </w:r>
      <w:r>
        <w:rPr>
          <w:color w:val="auto"/>
          <w:highlight w:val="none"/>
        </w:rPr>
        <w:fldChar w:fldCharType="separate"/>
      </w:r>
      <w:r>
        <w:rPr>
          <w:rFonts w:hint="eastAsia" w:ascii="宋体" w:hAnsi="宋体" w:eastAsia="宋体" w:cs="宋体"/>
          <w:color w:val="auto"/>
          <w:sz w:val="24"/>
          <w:u w:val="single"/>
        </w:rPr>
        <w:t>（</w:t>
      </w:r>
      <w:r>
        <w:rPr>
          <w:rFonts w:hint="eastAsia" w:ascii="宋体" w:hAnsi="宋体" w:eastAsia="宋体" w:cs="宋体"/>
          <w:color w:val="auto"/>
          <w:u w:val="single"/>
        </w:rPr>
        <w:fldChar w:fldCharType="begin"/>
      </w:r>
      <w:r>
        <w:rPr>
          <w:rFonts w:hint="eastAsia" w:ascii="宋体" w:hAnsi="宋体" w:eastAsia="宋体" w:cs="宋体"/>
          <w:color w:val="auto"/>
          <w:u w:val="single"/>
        </w:rPr>
        <w:instrText xml:space="preserve"> HYPERLINK "https://www.zcygov.cn/" </w:instrText>
      </w:r>
      <w:r>
        <w:rPr>
          <w:rFonts w:hint="eastAsia" w:ascii="宋体" w:hAnsi="宋体" w:eastAsia="宋体" w:cs="宋体"/>
          <w:color w:val="auto"/>
          <w:u w:val="single"/>
        </w:rPr>
        <w:fldChar w:fldCharType="separate"/>
      </w:r>
      <w:r>
        <w:rPr>
          <w:rStyle w:val="36"/>
          <w:rFonts w:hint="eastAsia" w:ascii="宋体" w:hAnsi="宋体" w:eastAsia="宋体" w:cs="宋体"/>
          <w:color w:val="auto"/>
          <w:sz w:val="24"/>
          <w:u w:val="single"/>
        </w:rPr>
        <w:t>https://www.lecaiyun.com/</w:t>
      </w:r>
      <w:r>
        <w:rPr>
          <w:rStyle w:val="36"/>
          <w:rFonts w:hint="eastAsia" w:ascii="宋体" w:hAnsi="宋体" w:eastAsia="宋体" w:cs="宋体"/>
          <w:color w:val="auto"/>
          <w:sz w:val="24"/>
          <w:u w:val="single"/>
        </w:rPr>
        <w:fldChar w:fldCharType="end"/>
      </w:r>
      <w:r>
        <w:rPr>
          <w:rFonts w:hint="eastAsia" w:ascii="宋体" w:hAnsi="宋体" w:eastAsia="宋体" w:cs="宋体"/>
          <w:color w:val="auto"/>
          <w:sz w:val="24"/>
          <w:u w:val="single"/>
        </w:rPr>
        <w:t>）</w:t>
      </w:r>
      <w:r>
        <w:rPr>
          <w:rStyle w:val="36"/>
          <w:rFonts w:hint="eastAsia" w:ascii="宋体" w:hAnsi="宋体" w:cs="宋体"/>
          <w:color w:val="auto"/>
          <w:szCs w:val="24"/>
          <w:highlight w:val="none"/>
          <w:u w:val="none"/>
        </w:rPr>
        <w:t>获取采购文件，并于</w:t>
      </w:r>
      <w:r>
        <w:rPr>
          <w:rStyle w:val="36"/>
          <w:rFonts w:hint="eastAsia" w:ascii="宋体" w:hAnsi="宋体" w:cs="宋体"/>
          <w:color w:val="auto"/>
          <w:szCs w:val="24"/>
          <w:highlight w:val="none"/>
        </w:rPr>
        <w:t>202</w:t>
      </w:r>
      <w:r>
        <w:rPr>
          <w:rStyle w:val="36"/>
          <w:rFonts w:hint="eastAsia" w:ascii="宋体" w:hAnsi="宋体" w:cs="宋体"/>
          <w:color w:val="auto"/>
          <w:szCs w:val="24"/>
          <w:highlight w:val="none"/>
          <w:lang w:val="en-US" w:eastAsia="zh-CN"/>
        </w:rPr>
        <w:t>5</w:t>
      </w:r>
      <w:r>
        <w:rPr>
          <w:rStyle w:val="36"/>
          <w:rFonts w:hint="eastAsia" w:ascii="宋体" w:hAnsi="宋体" w:cs="宋体"/>
          <w:color w:val="auto"/>
          <w:szCs w:val="24"/>
          <w:highlight w:val="none"/>
          <w:u w:val="none"/>
        </w:rPr>
        <w:t>年</w:t>
      </w:r>
      <w:r>
        <w:rPr>
          <w:rStyle w:val="36"/>
          <w:rFonts w:hint="eastAsia" w:ascii="宋体" w:hAnsi="宋体" w:cs="宋体"/>
          <w:color w:val="auto"/>
          <w:szCs w:val="24"/>
          <w:highlight w:val="none"/>
          <w:u w:val="none"/>
        </w:rPr>
        <w:fldChar w:fldCharType="end"/>
      </w:r>
      <w:r>
        <w:rPr>
          <w:rStyle w:val="36"/>
          <w:rFonts w:hint="eastAsia" w:ascii="宋体" w:hAnsi="宋体" w:cs="宋体"/>
          <w:color w:val="auto"/>
          <w:szCs w:val="24"/>
          <w:highlight w:val="none"/>
          <w:u w:val="single"/>
          <w:lang w:val="en-US" w:eastAsia="zh-CN"/>
        </w:rPr>
        <w:t xml:space="preserve"> 7 </w:t>
      </w:r>
      <w:r>
        <w:rPr>
          <w:rFonts w:hint="eastAsia" w:ascii="宋体" w:hAnsi="宋体" w:cs="宋体"/>
          <w:color w:val="auto"/>
          <w:szCs w:val="24"/>
          <w:highlight w:val="none"/>
        </w:rPr>
        <w:t>月</w:t>
      </w:r>
      <w:r>
        <w:rPr>
          <w:rFonts w:hint="eastAsia" w:ascii="宋体" w:hAnsi="宋体" w:cs="宋体"/>
          <w:color w:val="auto"/>
          <w:szCs w:val="24"/>
          <w:highlight w:val="none"/>
          <w:u w:val="single"/>
          <w:lang w:val="en-US" w:eastAsia="zh-CN"/>
        </w:rPr>
        <w:t xml:space="preserve"> 14 </w:t>
      </w:r>
      <w:r>
        <w:rPr>
          <w:rFonts w:hint="eastAsia" w:ascii="宋体" w:hAnsi="宋体" w:cs="宋体"/>
          <w:color w:val="auto"/>
          <w:szCs w:val="24"/>
          <w:highlight w:val="none"/>
        </w:rPr>
        <w:t>日</w:t>
      </w:r>
      <w:r>
        <w:rPr>
          <w:rFonts w:hint="eastAsia" w:ascii="宋体" w:hAnsi="宋体" w:cs="宋体"/>
          <w:color w:val="auto"/>
          <w:szCs w:val="24"/>
          <w:highlight w:val="none"/>
          <w:u w:val="single"/>
          <w:lang w:val="en-US" w:eastAsia="zh-CN"/>
        </w:rPr>
        <w:t xml:space="preserve"> 15</w:t>
      </w:r>
      <w:bookmarkStart w:id="63" w:name="_GoBack"/>
      <w:bookmarkEnd w:id="63"/>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rPr>
        <w:t>点</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00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w:t>
      </w:r>
      <w:r>
        <w:rPr>
          <w:rFonts w:hint="eastAsia" w:ascii="宋体" w:hAnsi="宋体" w:cs="宋体"/>
          <w:bCs/>
          <w:color w:val="auto"/>
          <w:szCs w:val="24"/>
          <w:highlight w:val="none"/>
        </w:rPr>
        <w:t>（北京时间）前递交投标文件</w:t>
      </w:r>
      <w:r>
        <w:rPr>
          <w:rFonts w:hint="eastAsia" w:ascii="宋体" w:hAnsi="宋体" w:cs="宋体"/>
          <w:color w:val="auto"/>
          <w:szCs w:val="24"/>
          <w:highlight w:val="none"/>
        </w:rPr>
        <w:t>。</w:t>
      </w:r>
    </w:p>
    <w:p w14:paraId="7B841C4A">
      <w:pPr>
        <w:spacing w:line="440" w:lineRule="exact"/>
        <w:rPr>
          <w:rFonts w:ascii="宋体" w:hAnsi="宋体" w:cs="宋体"/>
          <w:b/>
          <w:bCs/>
          <w:color w:val="auto"/>
          <w:spacing w:val="6"/>
          <w:szCs w:val="24"/>
          <w:highlight w:val="none"/>
        </w:rPr>
      </w:pPr>
      <w:bookmarkStart w:id="4" w:name="_Toc35393790"/>
      <w:bookmarkStart w:id="5" w:name="_Toc28359079"/>
      <w:bookmarkStart w:id="6" w:name="_Toc35393621"/>
      <w:bookmarkStart w:id="7" w:name="_Toc28359002"/>
      <w:bookmarkStart w:id="8" w:name="_Hlk24379207"/>
      <w:r>
        <w:rPr>
          <w:rFonts w:hint="eastAsia" w:ascii="宋体" w:hAnsi="宋体" w:cs="宋体"/>
          <w:b/>
          <w:bCs/>
          <w:color w:val="auto"/>
          <w:spacing w:val="6"/>
          <w:szCs w:val="24"/>
          <w:highlight w:val="none"/>
        </w:rPr>
        <w:t>一、项目基本情况</w:t>
      </w:r>
      <w:bookmarkEnd w:id="4"/>
      <w:bookmarkEnd w:id="5"/>
      <w:bookmarkEnd w:id="6"/>
      <w:bookmarkEnd w:id="7"/>
    </w:p>
    <w:p w14:paraId="45DB5EEC">
      <w:pPr>
        <w:spacing w:line="480" w:lineRule="exact"/>
        <w:ind w:firstLine="480" w:firstLineChars="200"/>
        <w:rPr>
          <w:rFonts w:hint="eastAsia" w:ascii="宋体" w:hAnsi="宋体" w:eastAsia="宋体" w:cs="宋体"/>
          <w:color w:val="auto"/>
          <w:highlight w:val="none"/>
          <w:u w:val="single"/>
          <w:lang w:val="en-US" w:eastAsia="zh-CN"/>
        </w:rPr>
      </w:pPr>
      <w:r>
        <w:rPr>
          <w:rFonts w:hint="eastAsia" w:ascii="宋体" w:hAnsi="宋体" w:cs="宋体"/>
          <w:color w:val="auto"/>
          <w:szCs w:val="24"/>
          <w:highlight w:val="none"/>
        </w:rPr>
        <w:t>1.项目编号：</w:t>
      </w:r>
      <w:r>
        <w:rPr>
          <w:rFonts w:hint="eastAsia" w:ascii="宋体" w:hAnsi="宋体" w:cs="宋体"/>
          <w:color w:val="auto"/>
          <w:szCs w:val="24"/>
          <w:highlight w:val="none"/>
          <w:lang w:val="en-US" w:eastAsia="zh-CN"/>
        </w:rPr>
        <w:t>SZMY-H20250621</w:t>
      </w:r>
    </w:p>
    <w:p w14:paraId="641E5096">
      <w:pPr>
        <w:spacing w:line="480" w:lineRule="exact"/>
        <w:ind w:firstLine="480" w:firstLineChars="200"/>
        <w:rPr>
          <w:rFonts w:ascii="宋体" w:hAnsi="宋体" w:cs="宋体"/>
          <w:color w:val="auto"/>
          <w:szCs w:val="24"/>
          <w:highlight w:val="none"/>
          <w:u w:val="none"/>
        </w:rPr>
      </w:pPr>
      <w:r>
        <w:rPr>
          <w:rFonts w:hint="eastAsia" w:ascii="宋体" w:hAnsi="宋体" w:cs="宋体"/>
          <w:color w:val="auto"/>
          <w:szCs w:val="24"/>
          <w:highlight w:val="none"/>
        </w:rPr>
        <w:t>2.项目名称：</w:t>
      </w:r>
      <w:r>
        <w:rPr>
          <w:rFonts w:hint="eastAsia" w:ascii="宋体" w:hAnsi="宋体" w:cs="宋体"/>
          <w:color w:val="auto"/>
          <w:highlight w:val="none"/>
          <w:u w:val="none"/>
          <w:lang w:eastAsia="zh-CN"/>
        </w:rPr>
        <w:t>嵊州经济开发区艇湖科技城（锐境科技产业园）四期项目电梯采购及安装项目</w:t>
      </w:r>
      <w:r>
        <w:rPr>
          <w:rFonts w:hint="eastAsia" w:ascii="宋体" w:hAnsi="宋体" w:cs="宋体"/>
          <w:color w:val="auto"/>
          <w:szCs w:val="24"/>
          <w:highlight w:val="none"/>
          <w:u w:val="none"/>
        </w:rPr>
        <w:t>。</w:t>
      </w:r>
    </w:p>
    <w:bookmarkEnd w:id="8"/>
    <w:p w14:paraId="231247CC">
      <w:pPr>
        <w:spacing w:line="480" w:lineRule="exact"/>
        <w:ind w:firstLine="480" w:firstLineChars="200"/>
        <w:rPr>
          <w:rFonts w:hint="default" w:ascii="宋体" w:hAnsi="宋体" w:cs="宋体"/>
          <w:color w:val="auto"/>
          <w:szCs w:val="24"/>
          <w:highlight w:val="none"/>
          <w:lang w:val="en-US"/>
        </w:rPr>
      </w:pPr>
      <w:r>
        <w:rPr>
          <w:rFonts w:hint="eastAsia" w:ascii="宋体" w:hAnsi="宋体" w:cs="宋体"/>
          <w:color w:val="auto"/>
          <w:szCs w:val="24"/>
          <w:highlight w:val="none"/>
        </w:rPr>
        <w:t>3.预算金额：</w:t>
      </w:r>
      <w:r>
        <w:rPr>
          <w:rFonts w:hint="eastAsia" w:ascii="宋体" w:hAnsi="宋体" w:cs="宋体"/>
          <w:color w:val="auto"/>
          <w:szCs w:val="24"/>
          <w:highlight w:val="none"/>
          <w:lang w:val="en-US" w:eastAsia="zh-CN"/>
        </w:rPr>
        <w:t xml:space="preserve"> 3210000元</w:t>
      </w:r>
    </w:p>
    <w:p w14:paraId="5D8FCE28">
      <w:pPr>
        <w:spacing w:line="440" w:lineRule="exact"/>
        <w:ind w:firstLine="480" w:firstLineChars="200"/>
        <w:rPr>
          <w:rFonts w:hint="default" w:ascii="宋体" w:hAnsi="宋体" w:cs="宋体"/>
          <w:color w:val="auto"/>
          <w:szCs w:val="24"/>
          <w:highlight w:val="none"/>
          <w:lang w:val="en-US"/>
        </w:rPr>
      </w:pPr>
      <w:r>
        <w:rPr>
          <w:rFonts w:hint="eastAsia" w:ascii="宋体" w:hAnsi="宋体" w:cs="宋体"/>
          <w:color w:val="auto"/>
          <w:szCs w:val="24"/>
          <w:highlight w:val="none"/>
        </w:rPr>
        <w:t>4.最高限价：</w:t>
      </w:r>
      <w:r>
        <w:rPr>
          <w:rFonts w:hint="eastAsia" w:ascii="宋体" w:hAnsi="宋体" w:cs="宋体"/>
          <w:color w:val="auto"/>
          <w:szCs w:val="24"/>
          <w:highlight w:val="none"/>
          <w:lang w:val="en-US" w:eastAsia="zh-CN"/>
        </w:rPr>
        <w:t xml:space="preserve"> 3210000元</w:t>
      </w:r>
    </w:p>
    <w:p w14:paraId="07B038B4">
      <w:pPr>
        <w:pStyle w:val="81"/>
        <w:spacing w:afterLines="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5.采购需求：</w:t>
      </w:r>
    </w:p>
    <w:p w14:paraId="4338CE97">
      <w:pPr>
        <w:pStyle w:val="81"/>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标项一:</w:t>
      </w:r>
    </w:p>
    <w:p w14:paraId="0B2B35BD">
      <w:pPr>
        <w:pStyle w:val="81"/>
        <w:spacing w:afterLines="0" w:line="440" w:lineRule="exact"/>
        <w:ind w:firstLine="480"/>
        <w:rPr>
          <w:rFonts w:hint="eastAsia" w:ascii="宋体" w:hAnsi="宋体" w:cs="宋体"/>
          <w:color w:val="auto"/>
          <w:highlight w:val="none"/>
          <w:u w:val="none"/>
          <w:lang w:eastAsia="zh-CN"/>
        </w:rPr>
      </w:pPr>
      <w:r>
        <w:rPr>
          <w:rFonts w:hint="eastAsia" w:ascii="宋体" w:hAnsi="宋体" w:eastAsia="宋体" w:cs="宋体"/>
          <w:color w:val="auto"/>
          <w:kern w:val="2"/>
          <w:sz w:val="24"/>
          <w:szCs w:val="24"/>
          <w:highlight w:val="none"/>
          <w:lang w:val="en-US" w:eastAsia="zh-CN" w:bidi="ar-SA"/>
        </w:rPr>
        <w:t xml:space="preserve">标项名称: </w:t>
      </w:r>
      <w:r>
        <w:rPr>
          <w:rFonts w:hint="eastAsia" w:ascii="宋体" w:hAnsi="宋体" w:cs="宋体"/>
          <w:color w:val="auto"/>
          <w:highlight w:val="none"/>
          <w:u w:val="none"/>
          <w:lang w:eastAsia="zh-CN"/>
        </w:rPr>
        <w:t>嵊州经济开发区艇湖科技城（锐境科技产业园）四期项目电梯采购及安装项目</w:t>
      </w:r>
    </w:p>
    <w:p w14:paraId="38CF7C2E">
      <w:pPr>
        <w:pStyle w:val="81"/>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数量:1批</w:t>
      </w:r>
    </w:p>
    <w:p w14:paraId="5801531A">
      <w:pPr>
        <w:pStyle w:val="81"/>
        <w:spacing w:afterLines="0" w:line="440" w:lineRule="exact"/>
        <w:ind w:firstLine="48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szCs w:val="24"/>
          <w:highlight w:val="none"/>
          <w:lang w:val="en-US" w:eastAsia="zh-CN"/>
        </w:rPr>
        <w:t>3210000元</w:t>
      </w:r>
    </w:p>
    <w:p w14:paraId="7C7437B9">
      <w:pPr>
        <w:pStyle w:val="81"/>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简要规格描述或项目基本概况介绍、用途：详见采购文件 </w:t>
      </w:r>
    </w:p>
    <w:p w14:paraId="282681F4">
      <w:pPr>
        <w:pStyle w:val="81"/>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合同履约期限：</w:t>
      </w:r>
      <w:r>
        <w:rPr>
          <w:rFonts w:hint="eastAsia" w:ascii="宋体" w:hAnsi="宋体" w:cs="宋体"/>
          <w:color w:val="auto"/>
          <w:kern w:val="2"/>
          <w:sz w:val="24"/>
          <w:szCs w:val="24"/>
          <w:highlight w:val="none"/>
          <w:lang w:val="en-US" w:eastAsia="zh-CN" w:bidi="ar-SA"/>
        </w:rPr>
        <w:t xml:space="preserve"> 120天     </w:t>
      </w:r>
    </w:p>
    <w:p w14:paraId="07C8CA5F">
      <w:pPr>
        <w:spacing w:line="440" w:lineRule="exact"/>
        <w:ind w:firstLine="480" w:firstLineChars="200"/>
        <w:rPr>
          <w:rFonts w:hint="eastAsia" w:ascii="宋体" w:hAnsi="宋体" w:eastAsia="宋体" w:cs="宋体"/>
          <w:color w:val="auto"/>
          <w:kern w:val="2"/>
          <w:sz w:val="24"/>
          <w:szCs w:val="24"/>
          <w:highlight w:val="none"/>
          <w:lang w:val="en-US" w:eastAsia="zh-CN" w:bidi="ar-SA"/>
        </w:rPr>
      </w:pPr>
      <w:bookmarkStart w:id="9" w:name="_Toc35393791"/>
      <w:bookmarkStart w:id="10" w:name="_Toc35393622"/>
      <w:bookmarkStart w:id="11" w:name="_Toc28359080"/>
      <w:bookmarkStart w:id="12" w:name="_Toc28359003"/>
      <w:r>
        <w:rPr>
          <w:rFonts w:hint="eastAsia" w:ascii="宋体" w:hAnsi="宋体" w:eastAsia="宋体" w:cs="宋体"/>
          <w:color w:val="auto"/>
          <w:kern w:val="2"/>
          <w:sz w:val="24"/>
          <w:szCs w:val="24"/>
          <w:highlight w:val="none"/>
          <w:lang w:val="en-US" w:eastAsia="zh-CN" w:bidi="ar-SA"/>
        </w:rPr>
        <w:t>本项目接受联合体投标：☑ 否。</w:t>
      </w:r>
    </w:p>
    <w:p w14:paraId="37CB41CA">
      <w:pPr>
        <w:spacing w:line="440" w:lineRule="exact"/>
        <w:rPr>
          <w:rFonts w:ascii="宋体" w:hAnsi="宋体" w:cs="宋体"/>
          <w:b/>
          <w:bCs/>
          <w:color w:val="auto"/>
          <w:spacing w:val="6"/>
          <w:szCs w:val="24"/>
          <w:highlight w:val="none"/>
        </w:rPr>
      </w:pPr>
      <w:r>
        <w:rPr>
          <w:rFonts w:hint="eastAsia" w:ascii="宋体" w:hAnsi="宋体" w:cs="宋体"/>
          <w:b/>
          <w:bCs/>
          <w:color w:val="auto"/>
          <w:spacing w:val="6"/>
          <w:szCs w:val="24"/>
          <w:highlight w:val="none"/>
        </w:rPr>
        <w:t>二、</w:t>
      </w:r>
      <w:r>
        <w:rPr>
          <w:rFonts w:hint="eastAsia" w:ascii="宋体" w:hAnsi="宋体" w:cs="宋体"/>
          <w:b/>
          <w:bCs/>
          <w:color w:val="auto"/>
          <w:spacing w:val="6"/>
          <w:szCs w:val="24"/>
          <w:highlight w:val="none"/>
          <w:lang w:val="en-US" w:eastAsia="zh-CN"/>
        </w:rPr>
        <w:t>供应商</w:t>
      </w:r>
      <w:r>
        <w:rPr>
          <w:rFonts w:hint="eastAsia" w:ascii="宋体" w:hAnsi="宋体" w:cs="宋体"/>
          <w:b/>
          <w:bCs/>
          <w:color w:val="auto"/>
          <w:spacing w:val="6"/>
          <w:szCs w:val="24"/>
          <w:highlight w:val="none"/>
        </w:rPr>
        <w:t>的资格要求：</w:t>
      </w:r>
      <w:bookmarkEnd w:id="9"/>
      <w:bookmarkEnd w:id="10"/>
      <w:bookmarkEnd w:id="11"/>
      <w:bookmarkEnd w:id="12"/>
    </w:p>
    <w:p w14:paraId="12215697">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bookmarkStart w:id="13" w:name="_Toc35393623"/>
      <w:bookmarkStart w:id="14" w:name="_Toc35393792"/>
      <w:bookmarkStart w:id="15" w:name="_Toc28359004"/>
      <w:bookmarkStart w:id="16" w:name="_Toc28359081"/>
      <w:r>
        <w:rPr>
          <w:rFonts w:hint="eastAsia" w:ascii="宋体" w:hAnsi="宋体" w:eastAsia="宋体" w:cs="宋体"/>
          <w:color w:val="auto"/>
          <w:sz w:val="24"/>
          <w:highlight w:val="none"/>
        </w:rPr>
        <w:t>1.具有独立承担民事责任的能力；</w:t>
      </w:r>
    </w:p>
    <w:p w14:paraId="47B753BB">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w:t>
      </w:r>
    </w:p>
    <w:p w14:paraId="1C945FB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3.具有履行合同所必需的设备和专业技术，售后保障等能力；</w:t>
      </w:r>
    </w:p>
    <w:p w14:paraId="6B8CB8AD">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0993CD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5.参加采购活动前三年内，没有重大违法记录，严重失信行为和行贿记录；</w:t>
      </w:r>
    </w:p>
    <w:p w14:paraId="793EF96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26D9DF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未被“信用中国”（www.creditchina.gov.cn)、中国政府采购网（www.ccgp.gov.cn）列入失信被执行人、重大税收违法</w:t>
      </w:r>
      <w:r>
        <w:rPr>
          <w:rFonts w:hint="eastAsia" w:ascii="宋体" w:hAnsi="宋体" w:cs="宋体"/>
          <w:color w:val="auto"/>
          <w:sz w:val="24"/>
          <w:highlight w:val="none"/>
          <w:lang w:val="en-US" w:eastAsia="zh-CN"/>
        </w:rPr>
        <w:t>失信主体</w:t>
      </w:r>
      <w:r>
        <w:rPr>
          <w:rFonts w:hint="eastAsia" w:ascii="宋体" w:hAnsi="宋体" w:eastAsia="宋体" w:cs="宋体"/>
          <w:color w:val="auto"/>
          <w:sz w:val="24"/>
          <w:highlight w:val="none"/>
        </w:rPr>
        <w:t>、政府采购严重违法失信行为记录名单；</w:t>
      </w:r>
    </w:p>
    <w:p w14:paraId="75F53DE1">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highlight w:val="none"/>
        </w:rPr>
        <w:t>本项目的特定资格要求：</w:t>
      </w:r>
    </w:p>
    <w:p w14:paraId="3CEAA260">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（1）本项目投标人</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为电梯制造商须具有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《中华人民共和国特种设备制造许可证》(电梯)B级及以上和《中华人民共和国特种设备安装改造维修许可证》(电梯)B级</w:t>
      </w:r>
      <w:r>
        <w:rPr>
          <w:rFonts w:hint="eastAsia" w:ascii="宋体" w:hAnsi="宋体" w:eastAsia="宋体" w:cs="宋体"/>
          <w:color w:val="auto"/>
          <w:sz w:val="24"/>
          <w:highlight w:val="none"/>
          <w:lang w:val="en-US" w:eastAsia="zh-CN"/>
        </w:rPr>
        <w:t>及以上</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或新版《中华人民共和国特种设备生产许可证》(电梯制造(含安装、修理、改造)曳引驱动乘客电梯，证书须在有效期内</w:t>
      </w:r>
      <w:r>
        <w:rPr>
          <w:rFonts w:hint="eastAsia" w:ascii="宋体" w:hAnsi="宋体" w:eastAsia="宋体" w:cs="宋体"/>
          <w:color w:val="auto"/>
          <w:sz w:val="24"/>
          <w:highlight w:val="none"/>
          <w:lang w:eastAsia="zh-CN"/>
        </w:rPr>
        <w:t>。</w:t>
      </w:r>
    </w:p>
    <w:p w14:paraId="627DB34B">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（2）本项目投标人</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为电梯经销商(代理商)的须具有</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其经销(代理)电梯制造商的《中华人民共和国特种设备制造许可证》(电梯)B级及以上和《中华人民共和国特种设备安装改造维修许可证》(电梯)B级</w:t>
      </w:r>
      <w:r>
        <w:rPr>
          <w:rFonts w:hint="eastAsia" w:ascii="宋体" w:hAnsi="宋体" w:eastAsia="宋体" w:cs="宋体"/>
          <w:color w:val="auto"/>
          <w:sz w:val="24"/>
          <w:highlight w:val="none"/>
          <w:lang w:val="en-US" w:eastAsia="zh-CN"/>
        </w:rPr>
        <w:t>及以上</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或新版《中华人民共和国特种设备生产许可证》(电梯制造(含安装、修理、改造)曳引驱动乘客电梯，证书须在有效期内。②投标人的《中华人民共和国特种设备安装改造维修许可证》(电梯)B级及以上或新版《中华人民共和国特种设备生产许可证》（电梯安装（含修理））曳引驱动乘客电梯，证书须在有效期内。</w:t>
      </w:r>
    </w:p>
    <w:p w14:paraId="6B6B3480">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E54197E">
      <w:pPr>
        <w:keepNext w:val="0"/>
        <w:keepLines w:val="0"/>
        <w:pageBreakBefore w:val="0"/>
        <w:kinsoku/>
        <w:wordWrap/>
        <w:overflowPunct/>
        <w:topLinePunct w:val="0"/>
        <w:autoSpaceDE/>
        <w:autoSpaceDN/>
        <w:bidi w:val="0"/>
        <w:adjustRightInd/>
        <w:snapToGrid/>
        <w:spacing w:line="460" w:lineRule="exact"/>
        <w:textAlignment w:val="auto"/>
        <w:rPr>
          <w:rFonts w:ascii="宋体" w:hAnsi="宋体" w:cs="宋体"/>
          <w:b/>
          <w:bCs/>
          <w:color w:val="auto"/>
          <w:spacing w:val="6"/>
          <w:szCs w:val="24"/>
          <w:highlight w:val="none"/>
        </w:rPr>
      </w:pPr>
      <w:r>
        <w:rPr>
          <w:rFonts w:hint="eastAsia" w:ascii="宋体" w:hAnsi="宋体" w:cs="宋体"/>
          <w:b/>
          <w:bCs/>
          <w:color w:val="auto"/>
          <w:spacing w:val="6"/>
          <w:szCs w:val="24"/>
          <w:highlight w:val="none"/>
        </w:rPr>
        <w:t>三、获取</w:t>
      </w:r>
      <w:bookmarkEnd w:id="13"/>
      <w:bookmarkEnd w:id="14"/>
      <w:bookmarkEnd w:id="15"/>
      <w:bookmarkEnd w:id="16"/>
      <w:r>
        <w:rPr>
          <w:rFonts w:hint="eastAsia" w:ascii="宋体" w:hAnsi="宋体" w:cs="宋体"/>
          <w:b/>
          <w:bCs/>
          <w:color w:val="auto"/>
          <w:spacing w:val="6"/>
          <w:szCs w:val="24"/>
          <w:highlight w:val="none"/>
          <w:lang w:val="en-US" w:eastAsia="zh-CN"/>
        </w:rPr>
        <w:t>招标</w:t>
      </w:r>
      <w:r>
        <w:rPr>
          <w:rFonts w:hint="eastAsia" w:ascii="宋体" w:hAnsi="宋体" w:cs="宋体"/>
          <w:b/>
          <w:bCs/>
          <w:color w:val="auto"/>
          <w:spacing w:val="6"/>
          <w:szCs w:val="24"/>
          <w:highlight w:val="none"/>
        </w:rPr>
        <w:t>文件</w:t>
      </w:r>
    </w:p>
    <w:p w14:paraId="1A6C1CAE">
      <w:pPr>
        <w:keepNext w:val="0"/>
        <w:keepLines w:val="0"/>
        <w:pageBreakBefore w:val="0"/>
        <w:kinsoku/>
        <w:wordWrap/>
        <w:overflowPunct/>
        <w:topLinePunct w:val="0"/>
        <w:autoSpaceDE/>
        <w:autoSpaceDN/>
        <w:bidi w:val="0"/>
        <w:adjustRightInd/>
        <w:snapToGrid/>
        <w:spacing w:line="460" w:lineRule="exact"/>
        <w:ind w:firstLine="504" w:firstLineChars="200"/>
        <w:textAlignment w:val="auto"/>
        <w:rPr>
          <w:bCs/>
          <w:color w:val="auto"/>
          <w:highlight w:val="none"/>
        </w:rPr>
      </w:pPr>
      <w:bookmarkStart w:id="17" w:name="_Toc28359082"/>
      <w:bookmarkStart w:id="18" w:name="_Toc35393624"/>
      <w:bookmarkStart w:id="19" w:name="_Toc28359005"/>
      <w:bookmarkStart w:id="20" w:name="_Toc35393793"/>
      <w:r>
        <w:rPr>
          <w:rFonts w:hint="eastAsia" w:ascii="宋体" w:hAnsi="宋体" w:cs="宋体"/>
          <w:color w:val="auto"/>
          <w:spacing w:val="6"/>
          <w:szCs w:val="24"/>
          <w:highlight w:val="none"/>
        </w:rPr>
        <w:t>1.采购文件获取时间：</w:t>
      </w:r>
      <w:r>
        <w:rPr>
          <w:rFonts w:hint="eastAsia" w:ascii="Times New Roman" w:hAnsi="Times New Roman" w:eastAsia="宋体" w:cs="Times New Roman"/>
          <w:bCs/>
          <w:color w:val="auto"/>
          <w:highlight w:val="none"/>
        </w:rPr>
        <w:t>/至</w:t>
      </w:r>
      <w:r>
        <w:rPr>
          <w:rFonts w:hint="eastAsia" w:cs="Times New Roman"/>
          <w:bCs/>
          <w:color w:val="auto"/>
          <w:highlight w:val="none"/>
          <w:u w:val="single"/>
          <w:lang w:val="en-US" w:eastAsia="zh-CN"/>
        </w:rPr>
        <w:t xml:space="preserve"> 2025</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eastAsia="zh-CN"/>
        </w:rPr>
        <w:t>年</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 xml:space="preserve">7 </w:t>
      </w:r>
      <w:r>
        <w:rPr>
          <w:rFonts w:hint="eastAsia" w:ascii="Times New Roman" w:hAnsi="Times New Roman" w:eastAsia="宋体" w:cs="Times New Roman"/>
          <w:bCs/>
          <w:color w:val="auto"/>
          <w:highlight w:val="none"/>
          <w:lang w:val="en-US" w:eastAsia="zh-CN"/>
        </w:rPr>
        <w:t>月</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 xml:space="preserve">14 </w:t>
      </w:r>
      <w:r>
        <w:rPr>
          <w:rFonts w:hint="eastAsia" w:ascii="Times New Roman" w:hAnsi="Times New Roman" w:eastAsia="宋体" w:cs="Times New Roman"/>
          <w:bCs/>
          <w:color w:val="auto"/>
          <w:highlight w:val="none"/>
          <w:lang w:val="en-US" w:eastAsia="zh-CN"/>
        </w:rPr>
        <w:t>日</w:t>
      </w:r>
      <w:r>
        <w:rPr>
          <w:rFonts w:hint="eastAsia" w:ascii="Times New Roman" w:hAnsi="Times New Roman" w:eastAsia="宋体" w:cs="Times New Roman"/>
          <w:bCs/>
          <w:color w:val="auto"/>
          <w:highlight w:val="none"/>
        </w:rPr>
        <w:t>。每</w:t>
      </w:r>
      <w:r>
        <w:rPr>
          <w:rFonts w:hint="eastAsia"/>
          <w:bCs/>
          <w:color w:val="auto"/>
          <w:highlight w:val="none"/>
        </w:rPr>
        <w:t>天上午</w:t>
      </w:r>
      <w:r>
        <w:rPr>
          <w:rFonts w:hint="eastAsia"/>
          <w:bCs/>
          <w:color w:val="auto"/>
          <w:highlight w:val="none"/>
          <w:u w:val="single"/>
        </w:rPr>
        <w:t>00:00</w:t>
      </w:r>
      <w:r>
        <w:rPr>
          <w:rFonts w:hint="eastAsia"/>
          <w:bCs/>
          <w:color w:val="auto"/>
          <w:highlight w:val="none"/>
        </w:rPr>
        <w:t>至</w:t>
      </w:r>
      <w:r>
        <w:rPr>
          <w:rFonts w:hint="eastAsia"/>
          <w:bCs/>
          <w:color w:val="auto"/>
          <w:highlight w:val="none"/>
          <w:u w:val="single"/>
        </w:rPr>
        <w:t>12:00</w:t>
      </w:r>
      <w:r>
        <w:rPr>
          <w:rFonts w:hint="eastAsia"/>
          <w:bCs/>
          <w:color w:val="auto"/>
          <w:highlight w:val="none"/>
        </w:rPr>
        <w:t>，下午</w:t>
      </w:r>
      <w:r>
        <w:rPr>
          <w:rFonts w:hint="eastAsia"/>
          <w:bCs/>
          <w:color w:val="auto"/>
          <w:highlight w:val="none"/>
          <w:u w:val="single"/>
        </w:rPr>
        <w:t>12:00</w:t>
      </w:r>
      <w:r>
        <w:rPr>
          <w:rFonts w:hint="eastAsia"/>
          <w:bCs/>
          <w:color w:val="auto"/>
          <w:highlight w:val="none"/>
        </w:rPr>
        <w:t>至</w:t>
      </w:r>
      <w:r>
        <w:rPr>
          <w:rFonts w:hint="eastAsia"/>
          <w:bCs/>
          <w:color w:val="auto"/>
          <w:highlight w:val="none"/>
          <w:u w:val="single"/>
        </w:rPr>
        <w:t>23:59</w:t>
      </w:r>
      <w:r>
        <w:rPr>
          <w:rFonts w:hint="eastAsia"/>
          <w:bCs/>
          <w:color w:val="auto"/>
          <w:highlight w:val="none"/>
        </w:rPr>
        <w:t>（北京时间，线上获取法定节假日均可，线下获取文件法定节假日除外）</w:t>
      </w:r>
    </w:p>
    <w:p w14:paraId="19C81F67">
      <w:pPr>
        <w:keepNext w:val="0"/>
        <w:keepLines w:val="0"/>
        <w:pageBreakBefore w:val="0"/>
        <w:widowControl/>
        <w:kinsoku/>
        <w:wordWrap/>
        <w:overflowPunct/>
        <w:topLinePunct w:val="0"/>
        <w:autoSpaceDE/>
        <w:autoSpaceDN/>
        <w:bidi w:val="0"/>
        <w:adjustRightInd/>
        <w:snapToGrid/>
        <w:spacing w:line="460" w:lineRule="exact"/>
        <w:ind w:firstLine="378" w:firstLineChars="150"/>
        <w:jc w:val="left"/>
        <w:textAlignment w:val="auto"/>
        <w:rPr>
          <w:rFonts w:ascii="宋体" w:hAnsi="宋体" w:cs="宋体"/>
          <w:color w:val="auto"/>
          <w:spacing w:val="6"/>
          <w:szCs w:val="24"/>
          <w:highlight w:val="none"/>
        </w:rPr>
      </w:pPr>
      <w:r>
        <w:rPr>
          <w:rFonts w:ascii="宋体" w:hAnsi="宋体" w:cs="宋体"/>
          <w:color w:val="auto"/>
          <w:spacing w:val="6"/>
          <w:szCs w:val="24"/>
          <w:highlight w:val="none"/>
        </w:rPr>
        <w:t>2.地点（网址）：</w:t>
      </w:r>
      <w:r>
        <w:rPr>
          <w:rFonts w:hint="eastAsia" w:ascii="宋体" w:hAnsi="宋体" w:cs="宋体"/>
          <w:color w:val="auto"/>
          <w:spacing w:val="6"/>
          <w:szCs w:val="24"/>
          <w:highlight w:val="none"/>
        </w:rPr>
        <w:t>乐采云平台</w:t>
      </w:r>
      <w:r>
        <w:rPr>
          <w:rFonts w:hint="eastAsia" w:ascii="宋体" w:hAnsi="宋体" w:eastAsia="宋体" w:cs="宋体"/>
          <w:color w:val="auto"/>
          <w:sz w:val="24"/>
          <w:u w:val="none"/>
        </w:rPr>
        <w:t>（</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"https://www.zcygov.cn/" </w:instrText>
      </w:r>
      <w:r>
        <w:rPr>
          <w:rFonts w:hint="eastAsia" w:ascii="宋体" w:hAnsi="宋体" w:eastAsia="宋体" w:cs="宋体"/>
          <w:color w:val="auto"/>
          <w:u w:val="none"/>
        </w:rPr>
        <w:fldChar w:fldCharType="separate"/>
      </w:r>
      <w:r>
        <w:rPr>
          <w:rStyle w:val="36"/>
          <w:rFonts w:hint="eastAsia" w:ascii="宋体" w:hAnsi="宋体" w:eastAsia="宋体" w:cs="宋体"/>
          <w:color w:val="auto"/>
          <w:sz w:val="24"/>
          <w:u w:val="none"/>
        </w:rPr>
        <w:t>https://www.lecaiyun.com/</w:t>
      </w:r>
      <w:r>
        <w:rPr>
          <w:rStyle w:val="36"/>
          <w:rFonts w:hint="eastAsia" w:ascii="宋体" w:hAnsi="宋体" w:eastAsia="宋体" w:cs="宋体"/>
          <w:color w:val="auto"/>
          <w:sz w:val="24"/>
          <w:u w:val="none"/>
        </w:rPr>
        <w:fldChar w:fldCharType="end"/>
      </w:r>
      <w:r>
        <w:rPr>
          <w:rFonts w:hint="eastAsia" w:ascii="宋体" w:hAnsi="宋体" w:eastAsia="宋体" w:cs="宋体"/>
          <w:color w:val="auto"/>
          <w:sz w:val="24"/>
          <w:u w:val="none"/>
        </w:rPr>
        <w:t>）</w:t>
      </w:r>
      <w:r>
        <w:rPr>
          <w:rFonts w:ascii="宋体" w:hAnsi="宋体" w:cs="宋体"/>
          <w:color w:val="auto"/>
          <w:spacing w:val="6"/>
          <w:szCs w:val="24"/>
          <w:highlight w:val="none"/>
        </w:rPr>
        <w:t> </w:t>
      </w:r>
    </w:p>
    <w:p w14:paraId="20974CC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cs="宋体"/>
          <w:color w:val="auto"/>
          <w:spacing w:val="6"/>
          <w:szCs w:val="24"/>
          <w:highlight w:val="none"/>
        </w:rPr>
      </w:pPr>
      <w:r>
        <w:rPr>
          <w:rFonts w:ascii="仿宋" w:hAnsi="仿宋" w:cs="宋体"/>
          <w:color w:val="auto"/>
          <w:kern w:val="0"/>
          <w:sz w:val="27"/>
          <w:szCs w:val="27"/>
          <w:highlight w:val="none"/>
        </w:rPr>
        <w:t> </w:t>
      </w:r>
      <w:r>
        <w:rPr>
          <w:rFonts w:hint="eastAsia" w:ascii="仿宋" w:hAnsi="仿宋" w:cs="宋体"/>
          <w:color w:val="auto"/>
          <w:kern w:val="0"/>
          <w:sz w:val="27"/>
          <w:szCs w:val="27"/>
          <w:highlight w:val="none"/>
          <w:lang w:val="en-US" w:eastAsia="zh-CN"/>
        </w:rPr>
        <w:t xml:space="preserve">  </w:t>
      </w:r>
      <w:r>
        <w:rPr>
          <w:rFonts w:ascii="宋体" w:hAnsi="宋体" w:cs="宋体"/>
          <w:color w:val="auto"/>
          <w:spacing w:val="6"/>
          <w:szCs w:val="24"/>
          <w:highlight w:val="none"/>
        </w:rPr>
        <w:t>3.方式：在线获取 </w:t>
      </w:r>
    </w:p>
    <w:p w14:paraId="4EA8CFCF">
      <w:pPr>
        <w:keepNext w:val="0"/>
        <w:keepLines w:val="0"/>
        <w:pageBreakBefore w:val="0"/>
        <w:widowControl/>
        <w:kinsoku/>
        <w:wordWrap/>
        <w:overflowPunct/>
        <w:topLinePunct w:val="0"/>
        <w:autoSpaceDE/>
        <w:autoSpaceDN/>
        <w:bidi w:val="0"/>
        <w:adjustRightInd/>
        <w:snapToGrid/>
        <w:spacing w:line="460" w:lineRule="exact"/>
        <w:ind w:firstLine="360" w:firstLineChars="150"/>
        <w:jc w:val="left"/>
        <w:textAlignment w:val="auto"/>
        <w:rPr>
          <w:bCs/>
          <w:color w:val="auto"/>
          <w:highlight w:val="none"/>
        </w:rPr>
      </w:pPr>
      <w:r>
        <w:rPr>
          <w:bCs/>
          <w:color w:val="auto"/>
          <w:szCs w:val="21"/>
          <w:highlight w:val="none"/>
        </w:rPr>
        <w:t>4.</w:t>
      </w:r>
      <w:r>
        <w:rPr>
          <w:rFonts w:hint="eastAsia"/>
          <w:bCs/>
          <w:color w:val="auto"/>
          <w:szCs w:val="21"/>
          <w:highlight w:val="none"/>
        </w:rPr>
        <w:t>售价（元）：</w:t>
      </w:r>
      <w:r>
        <w:rPr>
          <w:bCs/>
          <w:color w:val="auto"/>
          <w:highlight w:val="none"/>
        </w:rPr>
        <w:t>0</w:t>
      </w:r>
    </w:p>
    <w:p w14:paraId="3E450529">
      <w:pPr>
        <w:pStyle w:val="27"/>
        <w:keepNext w:val="0"/>
        <w:keepLines w:val="0"/>
        <w:pageBreakBefore w:val="0"/>
        <w:widowControl/>
        <w:kinsoku/>
        <w:wordWrap/>
        <w:overflowPunct/>
        <w:topLinePunct w:val="0"/>
        <w:autoSpaceDE/>
        <w:autoSpaceDN/>
        <w:bidi w:val="0"/>
        <w:adjustRightInd/>
        <w:snapToGrid/>
        <w:spacing w:line="460" w:lineRule="exact"/>
        <w:textAlignment w:val="auto"/>
        <w:outlineLvl w:val="1"/>
        <w:rPr>
          <w:b/>
          <w:color w:val="auto"/>
          <w:highlight w:val="none"/>
        </w:rPr>
      </w:pPr>
      <w:r>
        <w:rPr>
          <w:rFonts w:hint="eastAsia"/>
          <w:bCs/>
          <w:color w:val="auto"/>
          <w:szCs w:val="20"/>
          <w:highlight w:val="none"/>
        </w:rPr>
        <w:t> </w:t>
      </w:r>
      <w:bookmarkStart w:id="21" w:name="_Toc413"/>
      <w:bookmarkStart w:id="22" w:name="_Toc208"/>
      <w:r>
        <w:rPr>
          <w:b/>
          <w:color w:val="auto"/>
          <w:highlight w:val="none"/>
        </w:rPr>
        <w:t>四、提交投标文件截止时间、开标时间和地点</w:t>
      </w:r>
      <w:bookmarkEnd w:id="21"/>
      <w:bookmarkEnd w:id="22"/>
    </w:p>
    <w:p w14:paraId="4B8E2B8C">
      <w:pPr>
        <w:pStyle w:val="27"/>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1.提交投标文件截止时间：</w:t>
      </w:r>
      <w:r>
        <w:rPr>
          <w:rFonts w:hint="eastAsia" w:cs="Times New Roman"/>
          <w:bCs/>
          <w:color w:val="auto"/>
          <w:highlight w:val="none"/>
          <w:u w:val="single"/>
          <w:lang w:val="en-US" w:eastAsia="zh-CN"/>
        </w:rPr>
        <w:t>2025</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eastAsia="zh-CN"/>
        </w:rPr>
        <w:t>年</w:t>
      </w:r>
      <w:r>
        <w:rPr>
          <w:rFonts w:hint="eastAsia" w:cs="Times New Roman"/>
          <w:bCs/>
          <w:color w:val="auto"/>
          <w:highlight w:val="none"/>
          <w:u w:val="single"/>
          <w:lang w:val="en-US" w:eastAsia="zh-CN"/>
        </w:rPr>
        <w:t xml:space="preserve"> 7 </w:t>
      </w:r>
      <w:r>
        <w:rPr>
          <w:rFonts w:hint="eastAsia" w:ascii="Times New Roman" w:hAnsi="Times New Roman" w:eastAsia="宋体" w:cs="Times New Roman"/>
          <w:bCs/>
          <w:color w:val="auto"/>
          <w:highlight w:val="none"/>
          <w:lang w:val="en-US" w:eastAsia="zh-CN"/>
        </w:rPr>
        <w:t>月</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 xml:space="preserve">14 </w:t>
      </w:r>
      <w:r>
        <w:rPr>
          <w:rFonts w:hint="eastAsia" w:ascii="Times New Roman" w:hAnsi="Times New Roman" w:eastAsia="宋体" w:cs="Times New Roman"/>
          <w:bCs/>
          <w:color w:val="auto"/>
          <w:highlight w:val="none"/>
          <w:lang w:val="en-US" w:eastAsia="zh-CN"/>
        </w:rPr>
        <w:t>日</w:t>
      </w:r>
      <w:r>
        <w:rPr>
          <w:rFonts w:hint="eastAsia"/>
          <w:bCs/>
          <w:color w:val="auto"/>
          <w:highlight w:val="none"/>
          <w:u w:val="single"/>
          <w:lang w:val="en-US" w:eastAsia="zh-CN"/>
        </w:rPr>
        <w:t xml:space="preserve"> 15:00 </w:t>
      </w:r>
      <w:r>
        <w:rPr>
          <w:rFonts w:hint="eastAsia"/>
          <w:bCs/>
          <w:color w:val="auto"/>
          <w:highlight w:val="none"/>
        </w:rPr>
        <w:t>（北京时间）</w:t>
      </w:r>
    </w:p>
    <w:p w14:paraId="077F97A6">
      <w:pPr>
        <w:pStyle w:val="27"/>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2.投标地点（网址）：</w:t>
      </w:r>
      <w:r>
        <w:rPr>
          <w:rStyle w:val="34"/>
          <w:rFonts w:hint="eastAsia"/>
          <w:color w:val="auto"/>
          <w:highlight w:val="none"/>
        </w:rPr>
        <w:t>通过“乐采云平台</w:t>
      </w:r>
      <w:r>
        <w:rPr>
          <w:rFonts w:hint="eastAsia" w:ascii="宋体" w:hAnsi="宋体" w:eastAsia="宋体" w:cs="宋体"/>
          <w:b/>
          <w:bCs/>
          <w:color w:val="auto"/>
          <w:sz w:val="24"/>
          <w:u w:val="none"/>
        </w:rPr>
        <w:t>（</w:t>
      </w:r>
      <w:r>
        <w:rPr>
          <w:rFonts w:hint="eastAsia" w:ascii="宋体" w:hAnsi="宋体" w:eastAsia="宋体" w:cs="宋体"/>
          <w:b/>
          <w:bCs/>
          <w:color w:val="auto"/>
          <w:u w:val="none"/>
        </w:rPr>
        <w:fldChar w:fldCharType="begin"/>
      </w:r>
      <w:r>
        <w:rPr>
          <w:rFonts w:hint="eastAsia" w:ascii="宋体" w:hAnsi="宋体" w:eastAsia="宋体" w:cs="宋体"/>
          <w:b/>
          <w:bCs/>
          <w:color w:val="auto"/>
          <w:u w:val="none"/>
        </w:rPr>
        <w:instrText xml:space="preserve"> HYPERLINK "https://www.zcygov.cn/" </w:instrText>
      </w:r>
      <w:r>
        <w:rPr>
          <w:rFonts w:hint="eastAsia" w:ascii="宋体" w:hAnsi="宋体" w:eastAsia="宋体" w:cs="宋体"/>
          <w:b/>
          <w:bCs/>
          <w:color w:val="auto"/>
          <w:u w:val="none"/>
        </w:rPr>
        <w:fldChar w:fldCharType="separate"/>
      </w:r>
      <w:r>
        <w:rPr>
          <w:rStyle w:val="36"/>
          <w:rFonts w:hint="eastAsia" w:ascii="宋体" w:hAnsi="宋体" w:eastAsia="宋体" w:cs="宋体"/>
          <w:b/>
          <w:bCs/>
          <w:color w:val="auto"/>
          <w:sz w:val="24"/>
          <w:u w:val="none"/>
        </w:rPr>
        <w:t>https://www.lecaiyun.com/</w:t>
      </w:r>
      <w:r>
        <w:rPr>
          <w:rStyle w:val="36"/>
          <w:rFonts w:hint="eastAsia" w:ascii="宋体" w:hAnsi="宋体" w:eastAsia="宋体" w:cs="宋体"/>
          <w:b/>
          <w:bCs/>
          <w:color w:val="auto"/>
          <w:sz w:val="24"/>
          <w:u w:val="none"/>
        </w:rPr>
        <w:fldChar w:fldCharType="end"/>
      </w:r>
      <w:r>
        <w:rPr>
          <w:rFonts w:hint="eastAsia" w:ascii="宋体" w:hAnsi="宋体" w:eastAsia="宋体" w:cs="宋体"/>
          <w:b/>
          <w:bCs/>
          <w:color w:val="auto"/>
          <w:sz w:val="24"/>
          <w:u w:val="none"/>
        </w:rPr>
        <w:t>）</w:t>
      </w:r>
      <w:r>
        <w:rPr>
          <w:rStyle w:val="34"/>
          <w:rFonts w:hint="eastAsia"/>
          <w:color w:val="auto"/>
          <w:highlight w:val="none"/>
        </w:rPr>
        <w:t>”实行在线投标响应</w:t>
      </w:r>
    </w:p>
    <w:p w14:paraId="23DD7B5B">
      <w:pPr>
        <w:pStyle w:val="27"/>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3.开标时间：</w:t>
      </w:r>
      <w:r>
        <w:rPr>
          <w:rFonts w:hint="eastAsia" w:cs="Times New Roman"/>
          <w:bCs/>
          <w:color w:val="auto"/>
          <w:highlight w:val="none"/>
          <w:u w:val="single"/>
          <w:lang w:val="en-US" w:eastAsia="zh-CN"/>
        </w:rPr>
        <w:t>2025</w:t>
      </w:r>
      <w:r>
        <w:rPr>
          <w:rFonts w:hint="eastAsia" w:ascii="Times New Roman" w:hAnsi="Times New Roman" w:eastAsia="宋体" w:cs="Times New Roman"/>
          <w:bCs/>
          <w:color w:val="auto"/>
          <w:highlight w:val="none"/>
          <w:u w:val="single"/>
          <w:lang w:val="en-US" w:eastAsia="zh-CN"/>
        </w:rPr>
        <w:t xml:space="preserve"> </w:t>
      </w:r>
      <w:r>
        <w:rPr>
          <w:rFonts w:hint="eastAsia" w:ascii="Times New Roman" w:hAnsi="Times New Roman" w:eastAsia="宋体" w:cs="Times New Roman"/>
          <w:bCs/>
          <w:color w:val="auto"/>
          <w:highlight w:val="none"/>
          <w:lang w:eastAsia="zh-CN"/>
        </w:rPr>
        <w:t>年</w:t>
      </w:r>
      <w:r>
        <w:rPr>
          <w:rFonts w:hint="eastAsia" w:cs="Times New Roman"/>
          <w:bCs/>
          <w:color w:val="auto"/>
          <w:highlight w:val="none"/>
          <w:u w:val="single"/>
          <w:lang w:val="en-US" w:eastAsia="zh-CN"/>
        </w:rPr>
        <w:t xml:space="preserve"> 7 </w:t>
      </w:r>
      <w:r>
        <w:rPr>
          <w:rFonts w:hint="eastAsia" w:ascii="Times New Roman" w:hAnsi="Times New Roman" w:eastAsia="宋体" w:cs="Times New Roman"/>
          <w:bCs/>
          <w:color w:val="auto"/>
          <w:highlight w:val="none"/>
          <w:lang w:val="en-US" w:eastAsia="zh-CN"/>
        </w:rPr>
        <w:t>月</w:t>
      </w:r>
      <w:r>
        <w:rPr>
          <w:rFonts w:hint="eastAsia" w:ascii="Times New Roman" w:hAnsi="Times New Roman" w:eastAsia="宋体" w:cs="Times New Roman"/>
          <w:bCs/>
          <w:color w:val="auto"/>
          <w:highlight w:val="none"/>
          <w:u w:val="single"/>
          <w:lang w:val="en-US" w:eastAsia="zh-CN"/>
        </w:rPr>
        <w:t xml:space="preserve"> </w:t>
      </w:r>
      <w:r>
        <w:rPr>
          <w:rFonts w:hint="eastAsia" w:cs="Times New Roman"/>
          <w:bCs/>
          <w:color w:val="auto"/>
          <w:highlight w:val="none"/>
          <w:u w:val="single"/>
          <w:lang w:val="en-US" w:eastAsia="zh-CN"/>
        </w:rPr>
        <w:t xml:space="preserve">14 </w:t>
      </w:r>
      <w:r>
        <w:rPr>
          <w:rFonts w:hint="eastAsia" w:ascii="Times New Roman" w:hAnsi="Times New Roman" w:eastAsia="宋体" w:cs="Times New Roman"/>
          <w:bCs/>
          <w:color w:val="auto"/>
          <w:highlight w:val="none"/>
          <w:lang w:val="en-US" w:eastAsia="zh-CN"/>
        </w:rPr>
        <w:t>日</w:t>
      </w:r>
      <w:r>
        <w:rPr>
          <w:rFonts w:hint="eastAsia"/>
          <w:bCs/>
          <w:color w:val="auto"/>
          <w:highlight w:val="none"/>
          <w:u w:val="single"/>
          <w:lang w:val="en-US" w:eastAsia="zh-CN"/>
        </w:rPr>
        <w:t xml:space="preserve"> 15:00 </w:t>
      </w:r>
      <w:r>
        <w:rPr>
          <w:rFonts w:hint="eastAsia"/>
          <w:bCs/>
          <w:color w:val="auto"/>
          <w:highlight w:val="none"/>
        </w:rPr>
        <w:t>（北京时间）</w:t>
      </w:r>
    </w:p>
    <w:p w14:paraId="471F8D35">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宋体" w:hAnsi="宋体" w:cs="宋体"/>
          <w:bCs/>
          <w:color w:val="auto"/>
          <w:highlight w:val="none"/>
        </w:rPr>
      </w:pPr>
      <w:r>
        <w:rPr>
          <w:rFonts w:hint="eastAsia"/>
          <w:bCs/>
          <w:color w:val="auto"/>
          <w:highlight w:val="none"/>
        </w:rPr>
        <w:t>4.开标地点（网址）：</w:t>
      </w:r>
      <w:r>
        <w:rPr>
          <w:rFonts w:hint="eastAsia" w:ascii="宋体" w:hAnsi="宋体" w:cs="宋体"/>
          <w:bCs/>
          <w:color w:val="auto"/>
          <w:highlight w:val="none"/>
        </w:rPr>
        <w:t>乐采云平台（https://www.lecaiyun.com/）</w:t>
      </w:r>
    </w:p>
    <w:p w14:paraId="17E76BF1">
      <w:pPr>
        <w:pStyle w:val="27"/>
        <w:keepNext w:val="0"/>
        <w:keepLines w:val="0"/>
        <w:pageBreakBefore w:val="0"/>
        <w:widowControl/>
        <w:kinsoku/>
        <w:wordWrap/>
        <w:overflowPunct/>
        <w:topLinePunct w:val="0"/>
        <w:autoSpaceDE/>
        <w:autoSpaceDN/>
        <w:bidi w:val="0"/>
        <w:adjustRightInd/>
        <w:snapToGrid/>
        <w:spacing w:line="460" w:lineRule="exact"/>
        <w:textAlignment w:val="auto"/>
        <w:rPr>
          <w:b/>
          <w:color w:val="auto"/>
          <w:highlight w:val="none"/>
        </w:rPr>
      </w:pPr>
      <w:bookmarkStart w:id="23" w:name="_Toc14112"/>
      <w:bookmarkStart w:id="24" w:name="_Toc5110"/>
      <w:r>
        <w:rPr>
          <w:rFonts w:hint="eastAsia"/>
          <w:b/>
          <w:color w:val="auto"/>
          <w:highlight w:val="none"/>
          <w:lang w:val="en-US" w:eastAsia="zh-CN"/>
        </w:rPr>
        <w:t>五</w:t>
      </w:r>
      <w:r>
        <w:rPr>
          <w:b/>
          <w:color w:val="auto"/>
          <w:highlight w:val="none"/>
        </w:rPr>
        <w:t>、公告期限</w:t>
      </w:r>
      <w:bookmarkEnd w:id="23"/>
      <w:bookmarkEnd w:id="24"/>
    </w:p>
    <w:p w14:paraId="44A875FF">
      <w:pPr>
        <w:pStyle w:val="27"/>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bCs/>
          <w:color w:val="auto"/>
          <w:highlight w:val="none"/>
        </w:rPr>
      </w:pPr>
      <w:r>
        <w:rPr>
          <w:rFonts w:hint="eastAsia"/>
          <w:bCs/>
          <w:color w:val="auto"/>
          <w:highlight w:val="none"/>
        </w:rPr>
        <w:t>自本公告发布之日起5个工作日。</w:t>
      </w:r>
    </w:p>
    <w:p w14:paraId="46B9BB8C">
      <w:pPr>
        <w:keepNext w:val="0"/>
        <w:keepLines w:val="0"/>
        <w:pageBreakBefore w:val="0"/>
        <w:widowControl/>
        <w:kinsoku/>
        <w:wordWrap/>
        <w:overflowPunct/>
        <w:topLinePunct w:val="0"/>
        <w:autoSpaceDE/>
        <w:autoSpaceDN/>
        <w:bidi w:val="0"/>
        <w:adjustRightInd/>
        <w:snapToGrid/>
        <w:spacing w:line="460" w:lineRule="exact"/>
        <w:textAlignment w:val="auto"/>
        <w:rPr>
          <w:bCs/>
          <w:color w:val="auto"/>
          <w:highlight w:val="none"/>
        </w:rPr>
      </w:pPr>
      <w:r>
        <w:rPr>
          <w:rFonts w:hint="eastAsia" w:ascii="宋体" w:hAnsi="宋体" w:cs="宋体"/>
          <w:b/>
          <w:bCs/>
          <w:color w:val="auto"/>
          <w:spacing w:val="6"/>
          <w:szCs w:val="24"/>
          <w:highlight w:val="none"/>
          <w:lang w:val="en-US" w:eastAsia="zh-CN"/>
        </w:rPr>
        <w:t>六</w:t>
      </w:r>
      <w:r>
        <w:rPr>
          <w:rFonts w:hint="eastAsia" w:ascii="宋体" w:hAnsi="宋体" w:cs="宋体"/>
          <w:b/>
          <w:bCs/>
          <w:color w:val="auto"/>
          <w:spacing w:val="6"/>
          <w:szCs w:val="24"/>
          <w:highlight w:val="none"/>
        </w:rPr>
        <w:t>、其他补充事宜</w:t>
      </w:r>
    </w:p>
    <w:bookmarkEnd w:id="17"/>
    <w:bookmarkEnd w:id="18"/>
    <w:bookmarkEnd w:id="19"/>
    <w:bookmarkEnd w:id="20"/>
    <w:p w14:paraId="6861C010">
      <w:pPr>
        <w:pStyle w:val="27"/>
        <w:keepNext w:val="0"/>
        <w:keepLines w:val="0"/>
        <w:pageBreakBefore w:val="0"/>
        <w:widowControl/>
        <w:numPr>
          <w:ilvl w:val="0"/>
          <w:numId w:val="4"/>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宋体" w:hAnsi="宋体" w:eastAsia="宋体" w:cs="宋体"/>
          <w:color w:val="auto"/>
          <w:szCs w:val="24"/>
          <w:highlight w:val="none"/>
        </w:rPr>
        <w:t>可以在答复期满后十五个工作日</w:t>
      </w:r>
      <w:r>
        <w:rPr>
          <w:rFonts w:hint="eastAsia" w:ascii="宋体" w:hAnsi="宋体" w:eastAsia="宋体" w:cs="宋体"/>
          <w:color w:val="auto"/>
          <w:szCs w:val="24"/>
          <w:highlight w:val="none"/>
          <w:lang w:val="en-US" w:eastAsia="zh-CN"/>
        </w:rPr>
        <w:t>内根据嵊国资委【2023】1号文件的规定</w:t>
      </w:r>
      <w:r>
        <w:rPr>
          <w:rFonts w:hint="eastAsia" w:ascii="宋体" w:hAnsi="宋体" w:eastAsia="宋体" w:cs="宋体"/>
          <w:color w:val="auto"/>
          <w:szCs w:val="24"/>
          <w:highlight w:val="none"/>
        </w:rPr>
        <w:t>提出投诉。</w:t>
      </w:r>
    </w:p>
    <w:p w14:paraId="7528EE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在线下载一电子交易端”进行下载并安装；③招标文件的获取：使用账号登录或者使用CA登录乐采云平台（www.lecaiyun.com）；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乐采云平台“服务中心-帮助文档-项目采购-操作流程-电子招投标-采购项目电子交易管理操作指南-供应商”。</w:t>
      </w:r>
    </w:p>
    <w:p w14:paraId="1DC2E88F">
      <w:pPr>
        <w:keepNext w:val="0"/>
        <w:keepLines w:val="0"/>
        <w:pageBreakBefore w:val="0"/>
        <w:widowControl/>
        <w:kinsoku/>
        <w:wordWrap/>
        <w:overflowPunct/>
        <w:topLinePunct w:val="0"/>
        <w:autoSpaceDE/>
        <w:autoSpaceDN/>
        <w:bidi w:val="0"/>
        <w:adjustRightInd/>
        <w:snapToGrid/>
        <w:spacing w:line="480" w:lineRule="exact"/>
        <w:textAlignment w:val="auto"/>
        <w:rPr>
          <w:rFonts w:ascii="宋体" w:hAnsi="宋体" w:cs="宋体"/>
          <w:b/>
          <w:bCs/>
          <w:color w:val="auto"/>
          <w:spacing w:val="6"/>
          <w:szCs w:val="24"/>
          <w:highlight w:val="none"/>
        </w:rPr>
      </w:pPr>
      <w:r>
        <w:rPr>
          <w:rFonts w:hint="eastAsia" w:ascii="宋体" w:hAnsi="宋体" w:cs="宋体"/>
          <w:b/>
          <w:bCs/>
          <w:color w:val="auto"/>
          <w:spacing w:val="6"/>
          <w:szCs w:val="24"/>
          <w:highlight w:val="none"/>
          <w:lang w:val="en-US" w:eastAsia="zh-CN"/>
        </w:rPr>
        <w:t>七</w:t>
      </w:r>
      <w:r>
        <w:rPr>
          <w:rFonts w:hint="eastAsia" w:ascii="宋体" w:hAnsi="宋体" w:cs="宋体"/>
          <w:b/>
          <w:bCs/>
          <w:color w:val="auto"/>
          <w:spacing w:val="6"/>
          <w:szCs w:val="24"/>
          <w:highlight w:val="none"/>
        </w:rPr>
        <w:t>、对本次采购提出询问、质疑、投诉，请按以下方式联系</w:t>
      </w:r>
    </w:p>
    <w:p w14:paraId="6F2255C8">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ascii="宋体" w:hAnsi="宋体" w:cs="宋体"/>
          <w:color w:val="auto"/>
          <w:kern w:val="0"/>
          <w:sz w:val="27"/>
          <w:szCs w:val="27"/>
          <w:highlight w:val="none"/>
        </w:rPr>
        <w:t> </w:t>
      </w:r>
      <w:r>
        <w:rPr>
          <w:rFonts w:ascii="仿宋" w:hAnsi="仿宋" w:cs="宋体"/>
          <w:color w:val="auto"/>
          <w:kern w:val="0"/>
          <w:sz w:val="27"/>
          <w:szCs w:val="27"/>
          <w:highlight w:val="none"/>
        </w:rPr>
        <w:t xml:space="preserve"> </w:t>
      </w:r>
      <w:r>
        <w:rPr>
          <w:bCs/>
          <w:color w:val="auto"/>
          <w:szCs w:val="24"/>
          <w:highlight w:val="none"/>
        </w:rPr>
        <w:t>1.</w:t>
      </w:r>
      <w:r>
        <w:rPr>
          <w:rFonts w:hint="eastAsia"/>
          <w:bCs/>
          <w:color w:val="auto"/>
          <w:szCs w:val="24"/>
          <w:highlight w:val="none"/>
        </w:rPr>
        <w:t>采购人信息</w:t>
      </w:r>
    </w:p>
    <w:p w14:paraId="528C9DBF">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80" w:lineRule="exact"/>
        <w:ind w:left="0" w:leftChars="0"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名    称：嵊州市经济开发区投资有限公司　　　　　　　　</w:t>
      </w:r>
    </w:p>
    <w:p w14:paraId="40536149">
      <w:pPr>
        <w:pStyle w:val="2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80" w:lineRule="exact"/>
        <w:ind w:left="0" w:leftChars="0" w:firstLine="480" w:firstLineChars="200"/>
        <w:textAlignment w:val="auto"/>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 xml:space="preserve">地    址：嵊州市梓荫路777号  </w:t>
      </w:r>
    </w:p>
    <w:p w14:paraId="64F5C26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项目联系人（询问）： 俞工</w:t>
      </w:r>
    </w:p>
    <w:p w14:paraId="2D2FEC6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项目联系方式（询问）：0575-83193929</w:t>
      </w:r>
    </w:p>
    <w:p w14:paraId="2869ADFA">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 xml:space="preserve"> 质疑联系人：史工         </w:t>
      </w:r>
    </w:p>
    <w:p w14:paraId="413F1E10">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质疑联系方式：</w:t>
      </w:r>
      <w:r>
        <w:rPr>
          <w:rFonts w:hint="eastAsia" w:ascii="Times New Roman" w:hAnsi="Times New Roman" w:eastAsia="宋体" w:cs="Times New Roman"/>
          <w:bCs/>
          <w:color w:val="auto"/>
          <w:kern w:val="2"/>
          <w:sz w:val="24"/>
          <w:szCs w:val="24"/>
          <w:lang w:val="en-US" w:eastAsia="zh-CN" w:bidi="ar-SA"/>
        </w:rPr>
        <w:t>0575-83193929</w:t>
      </w:r>
    </w:p>
    <w:p w14:paraId="5FF3D6E3">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rPr>
      </w:pPr>
      <w:r>
        <w:rPr>
          <w:rFonts w:hint="eastAsia"/>
          <w:bCs/>
          <w:color w:val="auto"/>
          <w:szCs w:val="24"/>
          <w:highlight w:val="none"/>
        </w:rPr>
        <w:t>  </w:t>
      </w:r>
      <w:r>
        <w:rPr>
          <w:bCs/>
          <w:color w:val="auto"/>
          <w:szCs w:val="24"/>
          <w:highlight w:val="none"/>
        </w:rPr>
        <w:t xml:space="preserve"> </w:t>
      </w:r>
      <w:r>
        <w:rPr>
          <w:rFonts w:hint="eastAsia"/>
          <w:bCs/>
          <w:color w:val="auto"/>
          <w:szCs w:val="24"/>
          <w:highlight w:val="none"/>
          <w:lang w:val="en-US" w:eastAsia="zh-CN"/>
        </w:rPr>
        <w:t xml:space="preserve"> </w:t>
      </w:r>
      <w:r>
        <w:rPr>
          <w:bCs/>
          <w:color w:val="auto"/>
          <w:szCs w:val="24"/>
          <w:highlight w:val="none"/>
        </w:rPr>
        <w:t>2.</w:t>
      </w:r>
      <w:r>
        <w:rPr>
          <w:rFonts w:hint="eastAsia"/>
          <w:bCs/>
          <w:color w:val="auto"/>
          <w:szCs w:val="24"/>
          <w:highlight w:val="none"/>
        </w:rPr>
        <w:t>采购代理机构信息</w:t>
      </w:r>
      <w:r>
        <w:rPr>
          <w:bCs/>
          <w:color w:val="auto"/>
          <w:szCs w:val="24"/>
          <w:highlight w:val="none"/>
        </w:rPr>
        <w:t xml:space="preserve">            </w:t>
      </w:r>
    </w:p>
    <w:p w14:paraId="708DC2C6">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 w:val="24"/>
          <w:szCs w:val="24"/>
        </w:rPr>
      </w:pPr>
      <w:r>
        <w:rPr>
          <w:rFonts w:hint="eastAsia"/>
          <w:bCs/>
          <w:color w:val="auto"/>
          <w:szCs w:val="24"/>
          <w:highlight w:val="none"/>
        </w:rPr>
        <w:t> </w:t>
      </w:r>
      <w:r>
        <w:rPr>
          <w:bCs/>
          <w:color w:val="auto"/>
          <w:szCs w:val="24"/>
          <w:highlight w:val="none"/>
        </w:rPr>
        <w:t xml:space="preserve">  </w:t>
      </w:r>
      <w:bookmarkStart w:id="25" w:name="_Toc513456147"/>
      <w:r>
        <w:rPr>
          <w:rFonts w:hint="eastAsia"/>
          <w:bCs/>
          <w:color w:val="auto"/>
          <w:szCs w:val="24"/>
          <w:highlight w:val="none"/>
          <w:lang w:val="en-US" w:eastAsia="zh-CN"/>
        </w:rPr>
        <w:t xml:space="preserve"> </w:t>
      </w:r>
      <w:r>
        <w:rPr>
          <w:rFonts w:hint="eastAsia"/>
          <w:bCs/>
          <w:color w:val="auto"/>
          <w:sz w:val="24"/>
          <w:szCs w:val="24"/>
        </w:rPr>
        <w:t>名   称：浙江</w:t>
      </w:r>
      <w:r>
        <w:rPr>
          <w:bCs/>
          <w:color w:val="auto"/>
          <w:sz w:val="24"/>
          <w:szCs w:val="24"/>
        </w:rPr>
        <w:t>明业项目管理有限公司</w:t>
      </w:r>
      <w:r>
        <w:rPr>
          <w:rFonts w:hint="eastAsia"/>
          <w:bCs/>
          <w:color w:val="auto"/>
          <w:sz w:val="24"/>
          <w:szCs w:val="24"/>
        </w:rPr>
        <w:t>       </w:t>
      </w:r>
    </w:p>
    <w:p w14:paraId="0910F25A">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 w:val="24"/>
          <w:szCs w:val="24"/>
        </w:rPr>
      </w:pPr>
      <w:r>
        <w:rPr>
          <w:rFonts w:hint="eastAsia"/>
          <w:bCs/>
          <w:color w:val="auto"/>
          <w:sz w:val="24"/>
          <w:szCs w:val="24"/>
        </w:rPr>
        <w:t> </w:t>
      </w:r>
      <w:r>
        <w:rPr>
          <w:bCs/>
          <w:color w:val="auto"/>
          <w:sz w:val="24"/>
          <w:szCs w:val="24"/>
        </w:rPr>
        <w:t xml:space="preserve">   </w:t>
      </w:r>
      <w:r>
        <w:rPr>
          <w:rFonts w:hint="eastAsia"/>
          <w:bCs/>
          <w:color w:val="auto"/>
          <w:sz w:val="24"/>
          <w:szCs w:val="24"/>
        </w:rPr>
        <w:t>地   址：嵊州市</w:t>
      </w:r>
      <w:r>
        <w:rPr>
          <w:bCs/>
          <w:color w:val="auto"/>
          <w:sz w:val="24"/>
          <w:szCs w:val="24"/>
        </w:rPr>
        <w:t>官河南路</w:t>
      </w:r>
      <w:r>
        <w:rPr>
          <w:rFonts w:hint="eastAsia"/>
          <w:bCs/>
          <w:color w:val="auto"/>
          <w:sz w:val="24"/>
          <w:szCs w:val="24"/>
        </w:rPr>
        <w:t>489号君泰大厦北楼14层       </w:t>
      </w:r>
    </w:p>
    <w:p w14:paraId="3F29E04E">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 w:val="24"/>
          <w:szCs w:val="24"/>
        </w:rPr>
      </w:pPr>
      <w:r>
        <w:rPr>
          <w:rFonts w:hint="eastAsia"/>
          <w:bCs/>
          <w:color w:val="auto"/>
          <w:sz w:val="24"/>
          <w:szCs w:val="24"/>
        </w:rPr>
        <w:t> </w:t>
      </w:r>
      <w:r>
        <w:rPr>
          <w:bCs/>
          <w:color w:val="auto"/>
          <w:sz w:val="24"/>
          <w:szCs w:val="24"/>
        </w:rPr>
        <w:t xml:space="preserve"> </w:t>
      </w:r>
      <w:r>
        <w:rPr>
          <w:rFonts w:hint="eastAsia"/>
          <w:bCs/>
          <w:color w:val="auto"/>
          <w:sz w:val="24"/>
          <w:szCs w:val="24"/>
          <w:lang w:val="en-US" w:eastAsia="zh-CN"/>
        </w:rPr>
        <w:t xml:space="preserve"> </w:t>
      </w:r>
      <w:r>
        <w:rPr>
          <w:bCs/>
          <w:color w:val="auto"/>
          <w:sz w:val="24"/>
          <w:szCs w:val="24"/>
        </w:rPr>
        <w:t xml:space="preserve"> </w:t>
      </w:r>
      <w:r>
        <w:rPr>
          <w:rFonts w:hint="eastAsia"/>
          <w:bCs/>
          <w:color w:val="auto"/>
          <w:sz w:val="24"/>
          <w:szCs w:val="24"/>
          <w:lang w:val="en-US" w:eastAsia="zh-CN"/>
        </w:rPr>
        <w:t>项目</w:t>
      </w:r>
      <w:r>
        <w:rPr>
          <w:rFonts w:hint="eastAsia"/>
          <w:bCs/>
          <w:color w:val="auto"/>
          <w:sz w:val="24"/>
          <w:szCs w:val="24"/>
        </w:rPr>
        <w:t>联系人</w:t>
      </w:r>
      <w:r>
        <w:rPr>
          <w:rFonts w:hint="eastAsia" w:ascii="Times New Roman" w:hAnsi="Times New Roman" w:eastAsia="宋体" w:cs="Times New Roman"/>
          <w:bCs/>
          <w:color w:val="auto"/>
          <w:kern w:val="2"/>
          <w:sz w:val="24"/>
          <w:szCs w:val="24"/>
          <w:lang w:val="en-US" w:eastAsia="zh-CN" w:bidi="ar-SA"/>
        </w:rPr>
        <w:t>（询问）</w:t>
      </w:r>
      <w:r>
        <w:rPr>
          <w:rFonts w:hint="eastAsia"/>
          <w:bCs/>
          <w:color w:val="auto"/>
          <w:sz w:val="24"/>
          <w:szCs w:val="24"/>
          <w:lang w:val="en-US" w:eastAsia="zh-CN"/>
        </w:rPr>
        <w:t>：</w:t>
      </w:r>
      <w:r>
        <w:rPr>
          <w:rFonts w:hint="eastAsia"/>
          <w:bCs/>
          <w:color w:val="auto"/>
          <w:sz w:val="24"/>
          <w:szCs w:val="24"/>
        </w:rPr>
        <w:t>任  燕   </w:t>
      </w:r>
    </w:p>
    <w:p w14:paraId="7669DA2F">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ascii="宋体" w:hAnsi="宋体" w:cs="宋体"/>
          <w:b/>
          <w:bCs/>
          <w:color w:val="auto"/>
          <w:kern w:val="0"/>
          <w:sz w:val="24"/>
          <w:szCs w:val="24"/>
        </w:rPr>
      </w:pPr>
      <w:r>
        <w:rPr>
          <w:rFonts w:hint="eastAsia"/>
          <w:bCs/>
          <w:color w:val="auto"/>
          <w:sz w:val="24"/>
          <w:szCs w:val="24"/>
          <w:lang w:val="en-US" w:eastAsia="zh-CN"/>
        </w:rPr>
        <w:t>项目</w:t>
      </w:r>
      <w:r>
        <w:rPr>
          <w:rFonts w:hint="eastAsia"/>
          <w:bCs/>
          <w:color w:val="auto"/>
          <w:sz w:val="24"/>
          <w:szCs w:val="24"/>
        </w:rPr>
        <w:t>联系方式</w:t>
      </w:r>
      <w:r>
        <w:rPr>
          <w:rFonts w:hint="eastAsia" w:ascii="Times New Roman" w:hAnsi="Times New Roman" w:eastAsia="宋体" w:cs="Times New Roman"/>
          <w:bCs/>
          <w:color w:val="auto"/>
          <w:kern w:val="2"/>
          <w:sz w:val="24"/>
          <w:szCs w:val="24"/>
          <w:lang w:val="en-US" w:eastAsia="zh-CN" w:bidi="ar-SA"/>
        </w:rPr>
        <w:t>（询问）</w:t>
      </w:r>
      <w:r>
        <w:rPr>
          <w:rFonts w:hint="eastAsia"/>
          <w:bCs/>
          <w:color w:val="auto"/>
          <w:sz w:val="24"/>
          <w:szCs w:val="24"/>
        </w:rPr>
        <w:t>：0575-83338198   13757539220  </w:t>
      </w:r>
    </w:p>
    <w:p w14:paraId="19FFB863">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 xml:space="preserve"> 质疑联系人：董玲玲             </w:t>
      </w:r>
    </w:p>
    <w:p w14:paraId="31FFA901">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质疑联系方式：18957531591</w:t>
      </w:r>
    </w:p>
    <w:p w14:paraId="5B26B6A4">
      <w:pPr>
        <w:keepNext w:val="0"/>
        <w:keepLines w:val="0"/>
        <w:pageBreakBefore w:val="0"/>
        <w:widowControl/>
        <w:kinsoku/>
        <w:wordWrap/>
        <w:overflowPunct/>
        <w:topLinePunct w:val="0"/>
        <w:autoSpaceDE/>
        <w:autoSpaceDN/>
        <w:bidi w:val="0"/>
        <w:adjustRightInd/>
        <w:snapToGrid/>
        <w:spacing w:line="480" w:lineRule="exact"/>
        <w:ind w:firstLine="360"/>
        <w:jc w:val="left"/>
        <w:textAlignment w:val="auto"/>
        <w:rPr>
          <w:rFonts w:hint="eastAsia"/>
          <w:bCs/>
          <w:color w:val="auto"/>
          <w:szCs w:val="24"/>
          <w:highlight w:val="none"/>
        </w:rPr>
      </w:pPr>
    </w:p>
    <w:p w14:paraId="653EE8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kern w:val="0"/>
          <w:sz w:val="36"/>
          <w:highlight w:val="none"/>
        </w:rPr>
      </w:pPr>
    </w:p>
    <w:p w14:paraId="629AFD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1EDA8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644813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4CF9C5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336DE7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1047DE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p>
    <w:p w14:paraId="0DE7D8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t>第二部分 投标须知</w:t>
      </w:r>
    </w:p>
    <w:p w14:paraId="5FD589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bookmarkStart w:id="26" w:name="_Hlk47616320"/>
      <w:r>
        <w:rPr>
          <w:rFonts w:hint="eastAsia" w:ascii="宋体" w:hAnsi="宋体" w:eastAsia="宋体" w:cs="宋体"/>
          <w:b/>
          <w:bCs/>
          <w:color w:val="auto"/>
          <w:kern w:val="0"/>
          <w:sz w:val="36"/>
          <w:highlight w:val="none"/>
        </w:rPr>
        <w:t>前附表</w:t>
      </w:r>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14:paraId="2B6A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9B287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83" w:type="dxa"/>
            <w:gridSpan w:val="2"/>
            <w:vAlign w:val="center"/>
          </w:tcPr>
          <w:p w14:paraId="26F361A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4F84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7F2182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83" w:type="dxa"/>
            <w:gridSpan w:val="2"/>
            <w:vAlign w:val="center"/>
          </w:tcPr>
          <w:p w14:paraId="057934AD">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投标人按照项目要求</w:t>
            </w:r>
            <w:r>
              <w:rPr>
                <w:rFonts w:hint="eastAsia" w:ascii="宋体" w:hAnsi="宋体" w:eastAsia="宋体" w:cs="宋体"/>
                <w:b/>
                <w:color w:val="auto"/>
                <w:sz w:val="24"/>
                <w:szCs w:val="24"/>
                <w:highlight w:val="none"/>
              </w:rPr>
              <w:t>特许资格、资信证明文件（如果有）：</w:t>
            </w:r>
          </w:p>
          <w:p w14:paraId="5FA838B7">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FA4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626865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83" w:type="dxa"/>
            <w:gridSpan w:val="2"/>
            <w:vAlign w:val="center"/>
          </w:tcPr>
          <w:p w14:paraId="787EAC0E">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w:t>
            </w:r>
          </w:p>
          <w:p w14:paraId="310134A9">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1.资格后审。</w:t>
            </w:r>
          </w:p>
          <w:p w14:paraId="51D42023">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w:t>
            </w:r>
            <w:r>
              <w:rPr>
                <w:rFonts w:hint="eastAsia" w:ascii="宋体" w:hAnsi="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w:t>
            </w:r>
          </w:p>
        </w:tc>
      </w:tr>
      <w:tr w14:paraId="60C4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065A0D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83" w:type="dxa"/>
            <w:gridSpan w:val="2"/>
            <w:vAlign w:val="center"/>
          </w:tcPr>
          <w:p w14:paraId="1BFE1C0F">
            <w:pPr>
              <w:keepNext w:val="0"/>
              <w:keepLines w:val="0"/>
              <w:pageBreakBefore w:val="0"/>
              <w:widowControl w:val="0"/>
              <w:kinsoku/>
              <w:wordWrap/>
              <w:overflowPunct/>
              <w:topLinePunct w:val="0"/>
              <w:autoSpaceDE w:val="0"/>
              <w:autoSpaceDN w:val="0"/>
              <w:bidi w:val="0"/>
              <w:spacing w:line="500" w:lineRule="exact"/>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投标有效期：</w:t>
            </w:r>
            <w:r>
              <w:rPr>
                <w:rFonts w:hint="eastAsia" w:ascii="宋体" w:hAnsi="宋体" w:eastAsia="宋体" w:cs="宋体"/>
                <w:color w:val="auto"/>
                <w:sz w:val="24"/>
                <w:szCs w:val="24"/>
                <w:highlight w:val="none"/>
              </w:rPr>
              <w:t>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tc>
      </w:tr>
      <w:tr w14:paraId="4DD2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6863D2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83" w:type="dxa"/>
            <w:gridSpan w:val="2"/>
            <w:vAlign w:val="center"/>
          </w:tcPr>
          <w:p w14:paraId="2F430E37">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转包：</w:t>
            </w:r>
            <w:r>
              <w:rPr>
                <w:rFonts w:hint="eastAsia" w:ascii="宋体" w:hAnsi="宋体" w:eastAsia="宋体" w:cs="宋体"/>
                <w:color w:val="auto"/>
                <w:sz w:val="24"/>
                <w:szCs w:val="24"/>
                <w:highlight w:val="none"/>
              </w:rPr>
              <w:t>本项目不得转包。</w:t>
            </w:r>
          </w:p>
        </w:tc>
      </w:tr>
      <w:tr w14:paraId="4AC3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FC0446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83" w:type="dxa"/>
            <w:gridSpan w:val="2"/>
            <w:vAlign w:val="center"/>
          </w:tcPr>
          <w:p w14:paraId="6A225F83">
            <w:pPr>
              <w:keepNext w:val="0"/>
              <w:keepLines w:val="0"/>
              <w:pageBreakBefore w:val="0"/>
              <w:widowControl w:val="0"/>
              <w:kinsoku/>
              <w:wordWrap/>
              <w:overflowPunct/>
              <w:topLinePunct w:val="0"/>
              <w:bidi w:val="0"/>
              <w:spacing w:line="50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分包：</w:t>
            </w:r>
            <w:r>
              <w:rPr>
                <w:rFonts w:hint="eastAsia" w:ascii="宋体" w:hAnsi="宋体" w:eastAsia="宋体" w:cs="宋体"/>
                <w:b w:val="0"/>
                <w:bCs/>
                <w:color w:val="auto"/>
                <w:sz w:val="24"/>
                <w:szCs w:val="24"/>
                <w:highlight w:val="none"/>
                <w:lang w:val="en-US" w:eastAsia="zh-CN"/>
              </w:rPr>
              <w:t>不同意分包。</w:t>
            </w:r>
          </w:p>
        </w:tc>
      </w:tr>
      <w:tr w14:paraId="1080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D9CBD92">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483" w:type="dxa"/>
            <w:gridSpan w:val="2"/>
            <w:vAlign w:val="center"/>
          </w:tcPr>
          <w:p w14:paraId="512DF2B9">
            <w:pPr>
              <w:keepNext w:val="0"/>
              <w:keepLines w:val="0"/>
              <w:pageBreakBefore w:val="0"/>
              <w:widowControl w:val="0"/>
              <w:kinsoku/>
              <w:wordWrap/>
              <w:overflowPunct/>
              <w:topLinePunct w:val="0"/>
              <w:autoSpaceDN/>
              <w:bidi w:val="0"/>
              <w:adjustRightInd w:val="0"/>
              <w:snapToGrid w:val="0"/>
              <w:spacing w:line="500" w:lineRule="exac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投标保证金：人民币</w:t>
            </w:r>
            <w:r>
              <w:rPr>
                <w:rFonts w:hint="eastAsia" w:cs="Times New Roman"/>
                <w:bCs/>
                <w:color w:val="auto"/>
                <w:kern w:val="2"/>
                <w:sz w:val="24"/>
                <w:szCs w:val="24"/>
                <w:highlight w:val="none"/>
                <w:lang w:val="en-US" w:eastAsia="zh-CN" w:bidi="ar-SA"/>
              </w:rPr>
              <w:t>60000</w:t>
            </w:r>
            <w:r>
              <w:rPr>
                <w:rFonts w:hint="eastAsia" w:ascii="Times New Roman" w:hAnsi="Times New Roman" w:eastAsia="宋体" w:cs="Times New Roman"/>
                <w:bCs/>
                <w:color w:val="auto"/>
                <w:kern w:val="2"/>
                <w:sz w:val="24"/>
                <w:szCs w:val="24"/>
                <w:highlight w:val="none"/>
                <w:lang w:val="en-US" w:eastAsia="zh-CN" w:bidi="ar-SA"/>
              </w:rPr>
              <w:t xml:space="preserve">元。  </w:t>
            </w:r>
          </w:p>
          <w:p w14:paraId="75863DE7">
            <w:pPr>
              <w:keepNext w:val="0"/>
              <w:keepLines w:val="0"/>
              <w:pageBreakBefore w:val="0"/>
              <w:widowControl w:val="0"/>
              <w:kinsoku/>
              <w:wordWrap/>
              <w:overflowPunct/>
              <w:topLinePunct w:val="0"/>
              <w:autoSpaceDN/>
              <w:bidi w:val="0"/>
              <w:adjustRightInd w:val="0"/>
              <w:snapToGrid w:val="0"/>
              <w:spacing w:line="500" w:lineRule="exac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投标人应于202</w:t>
            </w:r>
            <w:r>
              <w:rPr>
                <w:rFonts w:hint="eastAsia" w:cs="Times New Roman"/>
                <w:bCs/>
                <w:color w:val="auto"/>
                <w:kern w:val="2"/>
                <w:sz w:val="24"/>
                <w:szCs w:val="24"/>
                <w:highlight w:val="none"/>
                <w:lang w:val="en-US" w:eastAsia="zh-CN" w:bidi="ar-SA"/>
              </w:rPr>
              <w:t>5</w:t>
            </w:r>
            <w:r>
              <w:rPr>
                <w:rFonts w:hint="eastAsia" w:ascii="Times New Roman" w:hAnsi="Times New Roman" w:eastAsia="宋体" w:cs="Times New Roman"/>
                <w:bCs/>
                <w:color w:val="auto"/>
                <w:kern w:val="2"/>
                <w:sz w:val="24"/>
                <w:szCs w:val="24"/>
                <w:highlight w:val="none"/>
                <w:lang w:val="en-US" w:eastAsia="zh-CN" w:bidi="ar-SA"/>
              </w:rPr>
              <w:t>年</w:t>
            </w:r>
            <w:r>
              <w:rPr>
                <w:rFonts w:hint="eastAsia" w:cs="Times New Roman"/>
                <w:bCs/>
                <w:color w:val="auto"/>
                <w:kern w:val="2"/>
                <w:sz w:val="24"/>
                <w:szCs w:val="24"/>
                <w:highlight w:val="none"/>
                <w:lang w:val="en-US" w:eastAsia="zh-CN" w:bidi="ar-SA"/>
              </w:rPr>
              <w:t xml:space="preserve"> 7 </w:t>
            </w:r>
            <w:r>
              <w:rPr>
                <w:rFonts w:hint="eastAsia" w:ascii="Times New Roman" w:hAnsi="Times New Roman" w:eastAsia="宋体" w:cs="Times New Roman"/>
                <w:bCs/>
                <w:color w:val="auto"/>
                <w:kern w:val="2"/>
                <w:sz w:val="24"/>
                <w:szCs w:val="24"/>
                <w:highlight w:val="none"/>
                <w:lang w:val="en-US" w:eastAsia="zh-CN" w:bidi="ar-SA"/>
              </w:rPr>
              <w:t>月</w:t>
            </w:r>
            <w:r>
              <w:rPr>
                <w:rFonts w:hint="eastAsia" w:cs="Times New Roman"/>
                <w:bCs/>
                <w:color w:val="auto"/>
                <w:kern w:val="2"/>
                <w:sz w:val="24"/>
                <w:szCs w:val="24"/>
                <w:highlight w:val="none"/>
                <w:lang w:val="en-US" w:eastAsia="zh-CN" w:bidi="ar-SA"/>
              </w:rPr>
              <w:t xml:space="preserve"> 13 </w:t>
            </w:r>
            <w:r>
              <w:rPr>
                <w:rFonts w:hint="eastAsia" w:ascii="Times New Roman" w:hAnsi="Times New Roman" w:eastAsia="宋体" w:cs="Times New Roman"/>
                <w:bCs/>
                <w:color w:val="auto"/>
                <w:kern w:val="2"/>
                <w:sz w:val="24"/>
                <w:szCs w:val="24"/>
                <w:highlight w:val="none"/>
                <w:lang w:val="en-US" w:eastAsia="zh-CN" w:bidi="ar-SA"/>
              </w:rPr>
              <w:t>日16</w:t>
            </w:r>
            <w:r>
              <w:rPr>
                <w:rFonts w:hint="eastAsia" w:cs="Times New Roman"/>
                <w:bCs/>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00时前将投标保证金以电汇、转账、网上银行交至浙江明业项目管理有限公司嵊州分公司，投标保证金以到账时间为准。如因投标人自身原因，造成投标人保证金未及时到账的，一律视为不响应采购文件，投标无效。投标人的投标保证金必须从其基本账户转出。</w:t>
            </w:r>
          </w:p>
          <w:p w14:paraId="0E3F0487">
            <w:pPr>
              <w:keepNext w:val="0"/>
              <w:keepLines w:val="0"/>
              <w:pageBreakBefore w:val="0"/>
              <w:widowControl/>
              <w:kinsoku/>
              <w:wordWrap/>
              <w:overflowPunct/>
              <w:topLinePunct w:val="0"/>
              <w:autoSpaceDN/>
              <w:bidi w:val="0"/>
              <w:adjustRightInd w:val="0"/>
              <w:spacing w:line="500" w:lineRule="exact"/>
              <w:ind w:firstLine="480" w:firstLineChars="20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户 名：浙江明业项目管理有限公司嵊州分公司</w:t>
            </w:r>
          </w:p>
          <w:p w14:paraId="7CF6A4F4">
            <w:pPr>
              <w:keepNext w:val="0"/>
              <w:keepLines w:val="0"/>
              <w:pageBreakBefore w:val="0"/>
              <w:widowControl/>
              <w:kinsoku/>
              <w:wordWrap/>
              <w:overflowPunct/>
              <w:topLinePunct w:val="0"/>
              <w:autoSpaceDN/>
              <w:bidi w:val="0"/>
              <w:adjustRightInd w:val="0"/>
              <w:spacing w:line="500" w:lineRule="exact"/>
              <w:ind w:firstLine="480" w:firstLineChars="20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开户银行：中国银行嵊州城东支行</w:t>
            </w:r>
          </w:p>
          <w:p w14:paraId="55801036">
            <w:pPr>
              <w:pStyle w:val="67"/>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20" w:lineRule="exact"/>
              <w:ind w:right="0" w:firstLine="480" w:firstLineChars="200"/>
              <w:textAlignment w:val="bottom"/>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银行账号：367 558 339 668</w:t>
            </w:r>
          </w:p>
          <w:p w14:paraId="70B312E9">
            <w:pPr>
              <w:keepNext w:val="0"/>
              <w:keepLines w:val="0"/>
              <w:pageBreakBefore w:val="0"/>
              <w:widowControl w:val="0"/>
              <w:kinsoku/>
              <w:wordWrap/>
              <w:overflowPunct/>
              <w:topLinePunct w:val="0"/>
              <w:bidi w:val="0"/>
              <w:spacing w:line="500" w:lineRule="exact"/>
              <w:rPr>
                <w:rFonts w:hint="eastAsia" w:ascii="宋体" w:hAnsi="宋体" w:eastAsia="宋体" w:cs="宋体"/>
                <w:b/>
                <w:color w:val="auto"/>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投标保证金的退还：未中标的投标人的投标保证金将在中标通知书发出之日起3个工作日内退还，中标人的投标保证金在中标人与招标人签订采购合同后5个工作日内退还。</w:t>
            </w:r>
          </w:p>
        </w:tc>
      </w:tr>
      <w:tr w14:paraId="5111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1D7131A">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483" w:type="dxa"/>
            <w:gridSpan w:val="2"/>
            <w:vAlign w:val="center"/>
          </w:tcPr>
          <w:p w14:paraId="4235D881">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投标文件份数：</w:t>
            </w:r>
            <w:r>
              <w:rPr>
                <w:rFonts w:hint="eastAsia" w:ascii="宋体" w:hAnsi="宋体" w:eastAsia="宋体" w:cs="宋体"/>
                <w:color w:val="auto"/>
                <w:sz w:val="24"/>
                <w:szCs w:val="24"/>
                <w:highlight w:val="none"/>
              </w:rPr>
              <w:t>本项目实行网上投标，供应商于“</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采云”上提供电子投标文件。</w:t>
            </w:r>
          </w:p>
        </w:tc>
      </w:tr>
      <w:tr w14:paraId="0C48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DEA8370">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483" w:type="dxa"/>
            <w:gridSpan w:val="2"/>
            <w:vAlign w:val="center"/>
          </w:tcPr>
          <w:p w14:paraId="50ED1E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67B7351A">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A不组织</w:t>
            </w:r>
          </w:p>
          <w:p w14:paraId="47B79C92">
            <w:pPr>
              <w:keepNext w:val="0"/>
              <w:keepLines w:val="0"/>
              <w:pageBreakBefore w:val="0"/>
              <w:widowControl w:val="0"/>
              <w:kinsoku/>
              <w:wordWrap/>
              <w:overflowPunct/>
              <w:topLinePunct w:val="0"/>
              <w:bidi w:val="0"/>
              <w:spacing w:line="500" w:lineRule="exact"/>
              <w:rPr>
                <w:rFonts w:hint="default" w:ascii="宋体" w:hAnsi="宋体" w:eastAsia="宋体" w:cs="宋体"/>
                <w:b/>
                <w:color w:val="auto"/>
                <w:sz w:val="24"/>
                <w:szCs w:val="24"/>
                <w:highlight w:val="none"/>
                <w:lang w:val="en-US" w:eastAsia="zh-CN"/>
              </w:rPr>
            </w:pPr>
            <w:sdt>
              <w:sdtPr>
                <w:rPr>
                  <w:rFonts w:hint="eastAsia" w:ascii="仿宋" w:hAnsi="仿宋" w:eastAsia="仿宋" w:cs="仿宋"/>
                  <w:color w:val="auto"/>
                  <w:kern w:val="0"/>
                  <w:sz w:val="24"/>
                  <w:szCs w:val="22"/>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B组织</w:t>
            </w:r>
          </w:p>
        </w:tc>
      </w:tr>
      <w:tr w14:paraId="1341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FF4E631">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483" w:type="dxa"/>
            <w:gridSpan w:val="2"/>
            <w:vAlign w:val="center"/>
          </w:tcPr>
          <w:p w14:paraId="47CCAABD">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p w14:paraId="59896B7B">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仿宋" w:hAnsi="仿宋" w:eastAsia="仿宋" w:cs="仿宋"/>
                <w:color w:val="auto"/>
                <w:sz w:val="24"/>
                <w:szCs w:val="22"/>
                <w:highlight w:val="none"/>
              </w:rPr>
            </w:pPr>
            <w:sdt>
              <w:sdtPr>
                <w:rPr>
                  <w:rFonts w:hint="eastAsia" w:ascii="仿宋" w:hAnsi="仿宋" w:eastAsia="仿宋" w:cs="仿宋"/>
                  <w:color w:val="auto"/>
                  <w:kern w:val="0"/>
                  <w:sz w:val="24"/>
                  <w:szCs w:val="22"/>
                  <w:highlight w:val="none"/>
                </w:rPr>
                <w:id w:val="14746743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宋体" w:hAnsi="宋体" w:eastAsia="宋体" w:cs="宋体"/>
                <w:color w:val="auto"/>
                <w:sz w:val="24"/>
                <w:szCs w:val="22"/>
                <w:highlight w:val="none"/>
              </w:rPr>
              <w:t>不要求提供</w:t>
            </w:r>
            <w:r>
              <w:rPr>
                <w:rFonts w:hint="eastAsia" w:ascii="仿宋" w:hAnsi="仿宋" w:eastAsia="仿宋" w:cs="仿宋"/>
                <w:color w:val="auto"/>
                <w:sz w:val="24"/>
                <w:szCs w:val="22"/>
                <w:highlight w:val="none"/>
              </w:rPr>
              <w:t>。</w:t>
            </w:r>
          </w:p>
          <w:p w14:paraId="013C4598">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sdt>
              <w:sdtPr>
                <w:rPr>
                  <w:rFonts w:hint="eastAsia" w:ascii="仿宋" w:hAnsi="仿宋" w:eastAsia="仿宋" w:cs="仿宋"/>
                  <w:color w:val="auto"/>
                  <w:kern w:val="0"/>
                  <w:sz w:val="24"/>
                  <w:szCs w:val="22"/>
                  <w:highlight w:val="none"/>
                </w:rPr>
                <w:id w:val="14747483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Theme="majorEastAsia" w:hAnsiTheme="majorEastAsia" w:eastAsiaTheme="majorEastAsia" w:cstheme="majorEastAsia"/>
                <w:color w:val="auto"/>
                <w:kern w:val="0"/>
                <w:sz w:val="24"/>
                <w:szCs w:val="22"/>
                <w:highlight w:val="none"/>
              </w:rPr>
              <w:t>要求提供，</w:t>
            </w:r>
          </w:p>
          <w:p w14:paraId="6B2A9D56">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（1）</w:t>
            </w:r>
            <w:r>
              <w:rPr>
                <w:rFonts w:hint="eastAsia" w:asciiTheme="majorEastAsia" w:hAnsiTheme="majorEastAsia" w:eastAsiaTheme="majorEastAsia" w:cstheme="majorEastAsia"/>
                <w:snapToGrid w:val="0"/>
                <w:color w:val="auto"/>
                <w:kern w:val="28"/>
                <w:sz w:val="24"/>
                <w:szCs w:val="22"/>
                <w:highlight w:val="none"/>
              </w:rPr>
              <w:t>样品：</w:t>
            </w:r>
            <w:r>
              <w:rPr>
                <w:rFonts w:hint="eastAsia" w:asciiTheme="majorEastAsia" w:hAnsiTheme="majorEastAsia" w:eastAsiaTheme="majorEastAsia" w:cstheme="majorEastAsia"/>
                <w:color w:val="auto"/>
                <w:sz w:val="24"/>
                <w:szCs w:val="22"/>
                <w:highlight w:val="none"/>
                <w:u w:val="single"/>
                <w:lang w:eastAsia="zh-CN"/>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第三部分项目招标范围及服务要求；</w:t>
            </w:r>
          </w:p>
          <w:p w14:paraId="59B85688">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（2）</w:t>
            </w:r>
            <w:r>
              <w:rPr>
                <w:rFonts w:hint="eastAsia" w:asciiTheme="majorEastAsia" w:hAnsiTheme="majorEastAsia" w:eastAsiaTheme="majorEastAsia" w:cstheme="majorEastAsia"/>
                <w:snapToGrid w:val="0"/>
                <w:color w:val="auto"/>
                <w:kern w:val="28"/>
                <w:sz w:val="24"/>
                <w:szCs w:val="22"/>
                <w:highlight w:val="none"/>
              </w:rPr>
              <w:t>样品制作的标准和要求：</w:t>
            </w:r>
            <w:r>
              <w:rPr>
                <w:rFonts w:hint="eastAsia" w:asciiTheme="majorEastAsia" w:hAnsiTheme="majorEastAsia" w:eastAsiaTheme="majorEastAsia" w:cstheme="majorEastAsia"/>
                <w:color w:val="auto"/>
                <w:sz w:val="24"/>
                <w:szCs w:val="22"/>
                <w:highlight w:val="none"/>
                <w:u w:val="single"/>
                <w:lang w:eastAsia="zh-CN"/>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第三部分项目招标范围及服务要求</w:t>
            </w:r>
            <w:r>
              <w:rPr>
                <w:rFonts w:hint="eastAsia" w:asciiTheme="majorEastAsia" w:hAnsiTheme="majorEastAsia" w:eastAsiaTheme="majorEastAsia" w:cstheme="majorEastAsia"/>
                <w:color w:val="auto"/>
                <w:kern w:val="0"/>
                <w:sz w:val="24"/>
                <w:szCs w:val="22"/>
                <w:highlight w:val="none"/>
              </w:rPr>
              <w:t>；</w:t>
            </w:r>
          </w:p>
          <w:p w14:paraId="2704960E">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（3）样品的评审方法以及评审标准</w:t>
            </w:r>
            <w:r>
              <w:rPr>
                <w:rFonts w:hint="eastAsia" w:asciiTheme="majorEastAsia" w:hAnsiTheme="majorEastAsia" w:eastAsiaTheme="majorEastAsia" w:cstheme="majorEastAsia"/>
                <w:snapToGrid w:val="0"/>
                <w:color w:val="auto"/>
                <w:kern w:val="28"/>
                <w:sz w:val="24"/>
                <w:szCs w:val="22"/>
                <w:highlight w:val="none"/>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第四部分</w:t>
            </w:r>
            <w:r>
              <w:rPr>
                <w:rFonts w:hint="eastAsia" w:asciiTheme="majorEastAsia" w:hAnsiTheme="majorEastAsia" w:eastAsiaTheme="majorEastAsia" w:cstheme="majorEastAsia"/>
                <w:color w:val="auto"/>
                <w:sz w:val="24"/>
                <w:szCs w:val="22"/>
                <w:highlight w:val="none"/>
                <w:u w:val="single"/>
              </w:rPr>
              <w:t>评标办法</w:t>
            </w:r>
            <w:r>
              <w:rPr>
                <w:rFonts w:hint="eastAsia" w:asciiTheme="majorEastAsia" w:hAnsiTheme="majorEastAsia" w:eastAsiaTheme="majorEastAsia" w:cstheme="majorEastAsia"/>
                <w:color w:val="auto"/>
                <w:kern w:val="0"/>
                <w:sz w:val="24"/>
                <w:szCs w:val="22"/>
                <w:highlight w:val="none"/>
              </w:rPr>
              <w:t>；</w:t>
            </w:r>
          </w:p>
          <w:p w14:paraId="27C20C54">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（4）是否需要随样品提交检测报告：</w:t>
            </w:r>
            <w:sdt>
              <w:sdtPr>
                <w:rPr>
                  <w:rFonts w:hint="eastAsia" w:asciiTheme="majorEastAsia" w:hAnsiTheme="majorEastAsia" w:eastAsiaTheme="majorEastAsia" w:cstheme="majorEastAsia"/>
                  <w:color w:val="auto"/>
                  <w:kern w:val="0"/>
                  <w:sz w:val="24"/>
                  <w:szCs w:val="22"/>
                  <w:highlight w:val="none"/>
                </w:rPr>
                <w:id w:val="130342145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szCs w:val="22"/>
                  <w:highlight w:val="none"/>
                </w:rPr>
              </w:sdtEndPr>
              <w:sdtContent>
                <w:r>
                  <w:rPr>
                    <w:rFonts w:hint="eastAsia" w:ascii="Wingdings" w:hAnsi="Wingdings" w:eastAsiaTheme="majorEastAsia" w:cstheme="majorEastAsia"/>
                    <w:color w:val="auto"/>
                    <w:kern w:val="0"/>
                    <w:sz w:val="24"/>
                    <w:szCs w:val="22"/>
                    <w:highlight w:val="none"/>
                    <w:lang w:val="en-US" w:eastAsia="zh-CN" w:bidi="ar-SA"/>
                  </w:rPr>
                  <w:t>þ</w:t>
                </w:r>
              </w:sdtContent>
            </w:sdt>
            <w:r>
              <w:rPr>
                <w:rFonts w:hint="eastAsia" w:asciiTheme="majorEastAsia" w:hAnsiTheme="majorEastAsia" w:eastAsiaTheme="majorEastAsia" w:cstheme="majorEastAsia"/>
                <w:color w:val="auto"/>
                <w:kern w:val="0"/>
                <w:sz w:val="24"/>
                <w:szCs w:val="22"/>
                <w:highlight w:val="none"/>
              </w:rPr>
              <w:t>否；</w:t>
            </w:r>
            <w:sdt>
              <w:sdtPr>
                <w:rPr>
                  <w:rFonts w:hint="eastAsia" w:asciiTheme="majorEastAsia" w:hAnsiTheme="majorEastAsia" w:eastAsiaTheme="majorEastAsia" w:cstheme="majorEastAsia"/>
                  <w:color w:val="auto"/>
                  <w:kern w:val="0"/>
                  <w:sz w:val="24"/>
                  <w:szCs w:val="22"/>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szCs w:val="22"/>
                  <w:highlight w:val="none"/>
                </w:rPr>
              </w:sdtEndPr>
              <w:sdtContent>
                <w:r>
                  <w:rPr>
                    <w:rFonts w:hint="eastAsia" w:ascii="MS Gothic" w:hAnsi="MS Gothic" w:eastAsiaTheme="majorEastAsia" w:cstheme="majorEastAsia"/>
                    <w:color w:val="auto"/>
                    <w:kern w:val="0"/>
                    <w:sz w:val="24"/>
                    <w:szCs w:val="22"/>
                    <w:highlight w:val="none"/>
                    <w:lang w:val="en-US" w:eastAsia="zh-CN" w:bidi="ar-SA"/>
                  </w:rPr>
                  <w:t>☐</w:t>
                </w:r>
              </w:sdtContent>
            </w:sdt>
            <w:r>
              <w:rPr>
                <w:rFonts w:hint="eastAsia" w:asciiTheme="majorEastAsia" w:hAnsiTheme="majorEastAsia" w:eastAsiaTheme="majorEastAsia" w:cstheme="majorEastAsia"/>
                <w:color w:val="auto"/>
                <w:kern w:val="0"/>
                <w:sz w:val="24"/>
                <w:szCs w:val="22"/>
                <w:highlight w:val="none"/>
              </w:rPr>
              <w:t>是，检测机构的要求</w:t>
            </w:r>
            <w:r>
              <w:rPr>
                <w:rFonts w:hint="eastAsia" w:asciiTheme="majorEastAsia" w:hAnsiTheme="majorEastAsia" w:eastAsiaTheme="majorEastAsia" w:cstheme="majorEastAsia"/>
                <w:color w:val="auto"/>
                <w:sz w:val="24"/>
                <w:szCs w:val="22"/>
                <w:highlight w:val="none"/>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sz w:val="24"/>
                <w:szCs w:val="22"/>
                <w:highlight w:val="none"/>
                <w:u w:val="single"/>
                <w:lang w:val="en-US" w:eastAsia="zh-CN"/>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kern w:val="0"/>
                <w:sz w:val="24"/>
                <w:szCs w:val="22"/>
                <w:highlight w:val="none"/>
              </w:rPr>
              <w:t>；检测内容</w:t>
            </w:r>
            <w:r>
              <w:rPr>
                <w:rFonts w:hint="eastAsia" w:asciiTheme="majorEastAsia" w:hAnsiTheme="majorEastAsia" w:eastAsiaTheme="majorEastAsia" w:cstheme="majorEastAsia"/>
                <w:color w:val="auto"/>
                <w:sz w:val="24"/>
                <w:szCs w:val="22"/>
                <w:highlight w:val="none"/>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sz w:val="24"/>
                <w:szCs w:val="22"/>
                <w:highlight w:val="none"/>
                <w:u w:val="single"/>
                <w:lang w:val="en-US" w:eastAsia="zh-CN"/>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kern w:val="0"/>
                <w:sz w:val="24"/>
                <w:szCs w:val="22"/>
                <w:highlight w:val="none"/>
              </w:rPr>
              <w:t>。</w:t>
            </w:r>
          </w:p>
          <w:p w14:paraId="7E9C6175">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（5）提供样品的时间：</w:t>
            </w:r>
            <w:r>
              <w:rPr>
                <w:rFonts w:hint="eastAsia" w:ascii="宋体" w:hAnsi="宋体"/>
                <w:color w:val="auto"/>
                <w:highlight w:val="none"/>
                <w:u w:val="single"/>
                <w:lang w:val="en-US" w:eastAsia="zh-CN"/>
              </w:rPr>
              <w:t xml:space="preserve">    </w:t>
            </w:r>
            <w:r>
              <w:rPr>
                <w:rFonts w:ascii="宋体" w:hAnsi="宋体"/>
                <w:color w:val="auto"/>
                <w:highlight w:val="none"/>
              </w:rPr>
              <w:t>年</w:t>
            </w:r>
            <w:r>
              <w:rPr>
                <w:rFonts w:hint="eastAsia" w:ascii="宋体" w:hAnsi="宋体"/>
                <w:color w:val="auto"/>
                <w:highlight w:val="none"/>
                <w:u w:val="single"/>
                <w:lang w:val="en-US" w:eastAsia="zh-CN"/>
              </w:rPr>
              <w:t xml:space="preserve">  </w:t>
            </w:r>
            <w:r>
              <w:rPr>
                <w:rFonts w:ascii="宋体" w:hAnsi="宋体"/>
                <w:color w:val="auto"/>
                <w:highlight w:val="none"/>
              </w:rPr>
              <w:t>月</w:t>
            </w:r>
            <w:r>
              <w:rPr>
                <w:rFonts w:hint="eastAsia" w:ascii="宋体" w:hAnsi="宋体"/>
                <w:color w:val="auto"/>
                <w:highlight w:val="none"/>
                <w:u w:val="single"/>
                <w:lang w:val="en-US" w:eastAsia="zh-CN"/>
              </w:rPr>
              <w:t xml:space="preserve">   </w:t>
            </w:r>
            <w:r>
              <w:rPr>
                <w:rFonts w:ascii="宋体" w:hAnsi="宋体"/>
                <w:color w:val="auto"/>
                <w:highlight w:val="none"/>
              </w:rPr>
              <w:t>日</w:t>
            </w:r>
            <w:r>
              <w:rPr>
                <w:rFonts w:hint="eastAsia" w:ascii="宋体" w:hAnsi="宋体"/>
                <w:color w:val="auto"/>
                <w:highlight w:val="none"/>
                <w:u w:val="single"/>
                <w:lang w:val="en-US" w:eastAsia="zh-CN"/>
              </w:rPr>
              <w:t xml:space="preserve"> 9:00</w:t>
            </w:r>
            <w:r>
              <w:rPr>
                <w:rFonts w:hint="eastAsia" w:ascii="宋体" w:hAnsi="宋体"/>
                <w:color w:val="auto"/>
                <w:highlight w:val="none"/>
              </w:rPr>
              <w:t>时</w:t>
            </w:r>
            <w:r>
              <w:rPr>
                <w:rFonts w:hint="eastAsia" w:ascii="宋体" w:hAnsi="宋体"/>
                <w:color w:val="auto"/>
                <w:highlight w:val="none"/>
                <w:lang w:val="en-US" w:eastAsia="zh-CN"/>
              </w:rPr>
              <w:t>前</w:t>
            </w:r>
            <w:r>
              <w:rPr>
                <w:rFonts w:hint="eastAsia" w:asciiTheme="majorEastAsia" w:hAnsiTheme="majorEastAsia" w:eastAsiaTheme="majorEastAsia" w:cstheme="majorEastAsia"/>
                <w:color w:val="auto"/>
                <w:sz w:val="24"/>
                <w:szCs w:val="22"/>
                <w:highlight w:val="none"/>
              </w:rPr>
              <w:t>；地点：</w:t>
            </w:r>
            <w:r>
              <w:rPr>
                <w:color w:val="auto"/>
              </w:rPr>
              <w:t>嵊州市官河南路 699 号(嵊州市国际会展中心)北楼三楼</w:t>
            </w:r>
            <w:r>
              <w:rPr>
                <w:rFonts w:hint="eastAsia"/>
                <w:color w:val="auto"/>
                <w:lang w:val="en-US" w:eastAsia="zh-CN"/>
              </w:rPr>
              <w:t>一</w:t>
            </w:r>
            <w:r>
              <w:rPr>
                <w:color w:val="auto"/>
              </w:rPr>
              <w:t>号开标室（嵊州市公共资源交易中心）</w:t>
            </w:r>
            <w:r>
              <w:rPr>
                <w:rFonts w:hint="eastAsia"/>
                <w:color w:val="auto"/>
                <w:lang w:eastAsia="zh-CN"/>
              </w:rPr>
              <w:t>。</w:t>
            </w:r>
            <w:r>
              <w:rPr>
                <w:rFonts w:hint="eastAsia" w:asciiTheme="majorEastAsia" w:hAnsiTheme="majorEastAsia" w:eastAsiaTheme="majorEastAsia" w:cstheme="majorEastAsia"/>
                <w:color w:val="auto"/>
                <w:sz w:val="24"/>
                <w:szCs w:val="22"/>
                <w:highlight w:val="none"/>
              </w:rPr>
              <w:t>联系人：</w:t>
            </w:r>
            <w:r>
              <w:rPr>
                <w:rFonts w:hint="eastAsia" w:asciiTheme="majorEastAsia" w:hAnsiTheme="majorEastAsia" w:eastAsiaTheme="majorEastAsia" w:cstheme="majorEastAsia"/>
                <w:color w:val="auto"/>
                <w:sz w:val="24"/>
                <w:szCs w:val="22"/>
                <w:highlight w:val="none"/>
                <w:lang w:val="en-US" w:eastAsia="zh-CN"/>
              </w:rPr>
              <w:t>任燕</w:t>
            </w:r>
            <w:r>
              <w:rPr>
                <w:rFonts w:hint="eastAsia" w:asciiTheme="majorEastAsia" w:hAnsiTheme="majorEastAsia" w:eastAsiaTheme="majorEastAsia" w:cstheme="majorEastAsia"/>
                <w:color w:val="auto"/>
                <w:sz w:val="24"/>
                <w:szCs w:val="22"/>
                <w:highlight w:val="none"/>
              </w:rPr>
              <w:t>，联系电话：</w:t>
            </w:r>
            <w:r>
              <w:rPr>
                <w:rFonts w:hint="eastAsia" w:asciiTheme="majorEastAsia" w:hAnsiTheme="majorEastAsia" w:eastAsiaTheme="majorEastAsia" w:cstheme="majorEastAsia"/>
                <w:color w:val="auto"/>
                <w:sz w:val="24"/>
                <w:szCs w:val="22"/>
                <w:highlight w:val="none"/>
                <w:lang w:val="en-US" w:eastAsia="zh-CN"/>
              </w:rPr>
              <w:t>13757539220</w:t>
            </w:r>
            <w:r>
              <w:rPr>
                <w:rFonts w:hint="eastAsia" w:asciiTheme="majorEastAsia" w:hAnsiTheme="majorEastAsia" w:eastAsiaTheme="majorEastAsia" w:cstheme="majorEastAsia"/>
                <w:color w:val="auto"/>
                <w:sz w:val="24"/>
                <w:szCs w:val="22"/>
                <w:highlight w:val="none"/>
              </w:rPr>
              <w:t>。请投标人在上述时间内提供样品并按规定位置安装完毕。超过截止时间的，采购人或采购代理机构将不予接收，将清场并封闭样品现场。</w:t>
            </w:r>
          </w:p>
          <w:p w14:paraId="168F5836">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25B4B79">
            <w:pPr>
              <w:keepNext w:val="0"/>
              <w:keepLines w:val="0"/>
              <w:pageBreakBefore w:val="0"/>
              <w:widowControl w:val="0"/>
              <w:kinsoku/>
              <w:wordWrap/>
              <w:overflowPunct/>
              <w:topLinePunct w:val="0"/>
              <w:autoSpaceDE w:val="0"/>
              <w:autoSpaceDN w:val="0"/>
              <w:bidi w:val="0"/>
              <w:adjustRightInd w:val="0"/>
              <w:spacing w:line="500" w:lineRule="exact"/>
              <w:jc w:val="left"/>
              <w:rPr>
                <w:rFonts w:hint="eastAsia" w:ascii="宋体" w:hAnsi="宋体" w:eastAsia="宋体" w:cs="宋体"/>
                <w:b/>
                <w:color w:val="auto"/>
                <w:sz w:val="24"/>
                <w:szCs w:val="24"/>
                <w:highlight w:val="none"/>
              </w:rPr>
            </w:pPr>
            <w:r>
              <w:rPr>
                <w:rFonts w:hint="eastAsia" w:asciiTheme="majorEastAsia" w:hAnsiTheme="majorEastAsia" w:eastAsiaTheme="majorEastAsia" w:cstheme="majorEastAsia"/>
                <w:color w:val="auto"/>
                <w:sz w:val="24"/>
                <w:szCs w:val="22"/>
                <w:highlight w:val="none"/>
              </w:rPr>
              <w:t>（7）制作、运输、安装和保管样品所发生的一切费用由投标人自理。</w:t>
            </w:r>
          </w:p>
        </w:tc>
      </w:tr>
      <w:tr w14:paraId="7F8C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B01F197">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483" w:type="dxa"/>
            <w:gridSpan w:val="2"/>
            <w:vAlign w:val="center"/>
          </w:tcPr>
          <w:p w14:paraId="5630225D">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p w14:paraId="4FA1932B">
            <w:pPr>
              <w:spacing w:beforeLines="0" w:afterLines="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07ED7083">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□B有方案讲解演示：</w:t>
            </w:r>
          </w:p>
          <w:p w14:paraId="64B2E432">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分钟（编制时可根据项目情况进行调整），讲解次序以投标文件解密时间先后次序为准。讲解演示结束后按要求解答评标委员会提问。</w:t>
            </w:r>
          </w:p>
          <w:p w14:paraId="5FF73A57">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3898D5A6">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方式一：</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采云平台在线讲解演示。</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采云平台在线讲解需供应商根据</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采云平台操作要求做好准备工作，提前完善软硬件配置环境。</w:t>
            </w:r>
          </w:p>
          <w:p w14:paraId="5C0AF504">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3765725B">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1BA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94D3E1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1260" w:type="dxa"/>
            <w:vAlign w:val="center"/>
          </w:tcPr>
          <w:p w14:paraId="0196075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进口</w:t>
            </w:r>
          </w:p>
          <w:p w14:paraId="0D39E68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w:t>
            </w:r>
          </w:p>
        </w:tc>
        <w:tc>
          <w:tcPr>
            <w:tcW w:w="7223" w:type="dxa"/>
            <w:vAlign w:val="center"/>
          </w:tcPr>
          <w:p w14:paraId="40457FE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本项目不</w:t>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rPr>
              <w:t>采购进口产品，供应商所提供的货物和服务须在我国境内合法生产、销售。</w:t>
            </w:r>
          </w:p>
        </w:tc>
      </w:tr>
      <w:tr w14:paraId="5F16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FEB292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260" w:type="dxa"/>
            <w:vAlign w:val="center"/>
          </w:tcPr>
          <w:p w14:paraId="76CC7AC2">
            <w:pPr>
              <w:keepNext w:val="0"/>
              <w:keepLines w:val="0"/>
              <w:pageBreakBefore w:val="0"/>
              <w:widowControl w:val="0"/>
              <w:kinsoku/>
              <w:wordWrap/>
              <w:overflowPunct/>
              <w:topLinePunct w:val="0"/>
              <w:bidi w:val="0"/>
              <w:adjustRightInd w:val="0"/>
              <w:snapToGrid w:val="0"/>
              <w:spacing w:line="500" w:lineRule="exact"/>
              <w:ind w:left="14" w:leftChars="0" w:right="0" w:rightChars="0" w:hanging="14" w:hangingChars="7"/>
              <w:rPr>
                <w:rFonts w:hint="eastAsia" w:ascii="仿宋" w:hAnsi="仿宋" w:eastAsia="仿宋" w:cs="仿宋"/>
                <w:b/>
                <w:color w:val="auto"/>
                <w:spacing w:val="-20"/>
                <w:kern w:val="2"/>
                <w:sz w:val="24"/>
                <w:highlight w:val="none"/>
                <w:lang w:val="en-US" w:eastAsia="zh-CN" w:bidi="ar-SA"/>
              </w:rPr>
            </w:pPr>
            <w:r>
              <w:rPr>
                <w:rFonts w:hint="eastAsia" w:ascii="宋体" w:hAnsi="宋体" w:eastAsia="宋体" w:cs="宋体"/>
                <w:b/>
                <w:color w:val="auto"/>
                <w:spacing w:val="-20"/>
                <w:sz w:val="24"/>
                <w:highlight w:val="none"/>
              </w:rPr>
              <w:t>项目属性与核心产品</w:t>
            </w:r>
          </w:p>
        </w:tc>
        <w:tc>
          <w:tcPr>
            <w:tcW w:w="7223" w:type="dxa"/>
            <w:vAlign w:val="center"/>
          </w:tcPr>
          <w:p w14:paraId="06FF3E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14:paraId="6006C5E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kern w:val="2"/>
                <w:sz w:val="24"/>
                <w:highlight w:val="none"/>
                <w:lang w:val="en-US" w:eastAsia="zh-CN" w:bidi="ar-SA"/>
              </w:rPr>
            </w:pP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734E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38C30590">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260" w:type="dxa"/>
            <w:vMerge w:val="restart"/>
            <w:vAlign w:val="center"/>
          </w:tcPr>
          <w:p w14:paraId="1345F6D0">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投标人信用信息事项</w:t>
            </w:r>
          </w:p>
        </w:tc>
        <w:tc>
          <w:tcPr>
            <w:tcW w:w="7223" w:type="dxa"/>
            <w:vAlign w:val="center"/>
          </w:tcPr>
          <w:p w14:paraId="20985CC9">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信用信息查询渠道及截止时间：</w:t>
            </w:r>
            <w:r>
              <w:rPr>
                <w:rFonts w:hint="eastAsia" w:ascii="宋体" w:hAnsi="宋体" w:eastAsia="宋体" w:cs="宋体"/>
                <w:color w:val="auto"/>
                <w:sz w:val="24"/>
                <w:szCs w:val="24"/>
                <w:highlight w:val="none"/>
              </w:rPr>
              <w:t>采购人或采购代理机构将通过“信用中国”网站(www.creditchina.gov.cn)、中国政府采购网(www.ccgp.gov.cn)渠道查询投标人</w:t>
            </w:r>
            <w:r>
              <w:rPr>
                <w:rFonts w:hint="eastAsia" w:ascii="宋体" w:hAnsi="宋体" w:eastAsia="宋体" w:cs="宋体"/>
                <w:b/>
                <w:color w:val="auto"/>
                <w:sz w:val="24"/>
                <w:szCs w:val="24"/>
                <w:highlight w:val="none"/>
              </w:rPr>
              <w:t>开标当天</w:t>
            </w:r>
            <w:r>
              <w:rPr>
                <w:rFonts w:hint="eastAsia" w:ascii="宋体" w:hAnsi="宋体" w:eastAsia="宋体" w:cs="宋体"/>
                <w:color w:val="auto"/>
                <w:sz w:val="24"/>
                <w:szCs w:val="24"/>
                <w:highlight w:val="none"/>
              </w:rPr>
              <w:t>的信用记录。</w:t>
            </w:r>
          </w:p>
        </w:tc>
      </w:tr>
      <w:tr w14:paraId="20D1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7F1CE366">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5E5F4230">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11BEE327">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信用信息查询记录和证据留存的具体方式：</w:t>
            </w:r>
            <w:r>
              <w:rPr>
                <w:rFonts w:hint="eastAsia" w:ascii="宋体" w:hAnsi="宋体" w:eastAsia="宋体" w:cs="宋体"/>
                <w:color w:val="auto"/>
                <w:sz w:val="24"/>
                <w:szCs w:val="24"/>
                <w:highlight w:val="none"/>
              </w:rPr>
              <w:t>采购人或采购代理机构现场查询投标人的信用记录，查询结果经确认后与采购文件一起存档。</w:t>
            </w:r>
          </w:p>
        </w:tc>
      </w:tr>
      <w:tr w14:paraId="22A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79FC9786">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4934AE67">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0D52F966">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信用信息的使用规则：</w:t>
            </w:r>
            <w:r>
              <w:rPr>
                <w:rFonts w:hint="eastAsia" w:ascii="宋体" w:hAnsi="宋体" w:eastAsia="宋体" w:cs="宋体"/>
                <w:color w:val="auto"/>
                <w:sz w:val="24"/>
                <w:szCs w:val="24"/>
                <w:highlight w:val="none"/>
              </w:rPr>
              <w:t>经查询列入失信被执行人名单、</w:t>
            </w:r>
            <w:r>
              <w:rPr>
                <w:rFonts w:hint="eastAsia" w:ascii="宋体" w:hAnsi="宋体" w:cs="宋体"/>
                <w:color w:val="auto"/>
                <w:sz w:val="24"/>
                <w:highlight w:val="none"/>
              </w:rPr>
              <w:t>重大税收违法</w:t>
            </w:r>
            <w:r>
              <w:rPr>
                <w:rFonts w:hint="eastAsia" w:ascii="宋体" w:hAnsi="宋体" w:cs="宋体"/>
                <w:color w:val="auto"/>
                <w:sz w:val="24"/>
                <w:highlight w:val="none"/>
                <w:lang w:val="en-US" w:eastAsia="zh-CN"/>
              </w:rPr>
              <w:t>失信主体</w:t>
            </w:r>
            <w:r>
              <w:rPr>
                <w:rFonts w:hint="eastAsia" w:ascii="宋体" w:hAnsi="宋体" w:eastAsia="宋体" w:cs="宋体"/>
                <w:color w:val="auto"/>
                <w:sz w:val="24"/>
                <w:szCs w:val="24"/>
                <w:highlight w:val="none"/>
              </w:rPr>
              <w:t>、政府采购严重违法失信行为记录名单的投标人将被拒绝参与采购活动。</w:t>
            </w:r>
          </w:p>
        </w:tc>
      </w:tr>
      <w:tr w14:paraId="35A3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7BF0EE8">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483" w:type="dxa"/>
            <w:gridSpan w:val="2"/>
            <w:vAlign w:val="center"/>
          </w:tcPr>
          <w:p w14:paraId="7A519023">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更正补充公告请自行登录</w:t>
            </w:r>
            <w:r>
              <w:rPr>
                <w:rFonts w:hint="eastAsia" w:ascii="宋体" w:hAnsi="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查看下载。</w:t>
            </w:r>
          </w:p>
        </w:tc>
      </w:tr>
      <w:tr w14:paraId="1AA7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Align w:val="center"/>
          </w:tcPr>
          <w:p w14:paraId="244CB60D">
            <w:pPr>
              <w:keepNext w:val="0"/>
              <w:keepLines w:val="0"/>
              <w:pageBreakBefore w:val="0"/>
              <w:widowControl w:val="0"/>
              <w:kinsoku/>
              <w:wordWrap/>
              <w:overflowPunct/>
              <w:topLinePunct w:val="0"/>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8483" w:type="dxa"/>
            <w:gridSpan w:val="2"/>
            <w:vAlign w:val="center"/>
          </w:tcPr>
          <w:p w14:paraId="7E33D751">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投标与开标注意事项：</w:t>
            </w:r>
          </w:p>
          <w:p w14:paraId="4C337FDE">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1.本项目实行网上投标，采用电子投标文件。若供应商参与投标，自行承担投标一切费用。</w:t>
            </w:r>
          </w:p>
          <w:p w14:paraId="1E308935">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2.标前准备：各供应商应在开标前完成CA数字证书办理。供应商将</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采云电子交易客户端下载、安装完成后，可通过账号密码或CA登录客户端进行投标文件制作。在使用</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采云投标客户端时，建议使用WIN7及以上操作系统。</w:t>
            </w:r>
          </w:p>
          <w:p w14:paraId="2457EEE3">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采云平台进行绑定，CA相关操作可参考《CA申领操作指南》和《CA管理操作指南》。完成CA数字证书办理在资料齐全的情况下预计7个工作日左右，建议供应商获取招标文件后立即办理。</w:t>
            </w:r>
          </w:p>
          <w:p w14:paraId="7AB0E74D">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3.投标文件制作、递交、解密：</w:t>
            </w:r>
          </w:p>
          <w:p w14:paraId="31A297A7">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3.1应按照本项目招标文件和</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采云平台的要求编制、加密传输投标文件。供应商在使用系统进行投标的过程中遇到涉及平台使用的任何问题，可致电</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25AB9DA1">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3.2投标人通过“</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采云”平台制作电子投标文件，投标文件制作详见“供应商-采购项目电子交易操作指南：</w:t>
            </w:r>
          </w:p>
          <w:p w14:paraId="37BEF456">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3.3开标时间后30分钟内供应商可以登录“</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采云”平台，用“项目采购-开标评标”功能进行解密投标文件。若供应商</w:t>
            </w:r>
            <w:r>
              <w:rPr>
                <w:rFonts w:hint="eastAsia" w:ascii="宋体" w:hAnsi="宋体" w:eastAsia="宋体" w:cs="宋体"/>
                <w:b/>
                <w:color w:val="auto"/>
                <w:sz w:val="24"/>
                <w:szCs w:val="24"/>
                <w:highlight w:val="none"/>
                <w:u w:val="single"/>
              </w:rPr>
              <w:t>未按时解密的</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视为投标文件撤回</w:t>
            </w:r>
            <w:r>
              <w:rPr>
                <w:rFonts w:hint="eastAsia" w:ascii="宋体" w:hAnsi="宋体" w:eastAsia="宋体" w:cs="宋体"/>
                <w:color w:val="auto"/>
                <w:sz w:val="24"/>
                <w:szCs w:val="24"/>
                <w:highlight w:val="none"/>
              </w:rPr>
              <w:t>。</w:t>
            </w:r>
          </w:p>
        </w:tc>
      </w:tr>
      <w:tr w14:paraId="1305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4218CFF">
            <w:pPr>
              <w:keepNext w:val="0"/>
              <w:keepLines w:val="0"/>
              <w:pageBreakBefore w:val="0"/>
              <w:widowControl w:val="0"/>
              <w:kinsoku/>
              <w:wordWrap/>
              <w:overflowPunct/>
              <w:topLinePunct w:val="0"/>
              <w:bidi w:val="0"/>
              <w:adjustRightIn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8483" w:type="dxa"/>
            <w:gridSpan w:val="2"/>
            <w:vAlign w:val="center"/>
          </w:tcPr>
          <w:p w14:paraId="72EB515D">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1.采购代理服务费：</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如下标准</w:t>
            </w:r>
            <w:r>
              <w:rPr>
                <w:rFonts w:hint="eastAsia" w:ascii="宋体" w:hAnsi="宋体" w:eastAsia="宋体" w:cs="宋体"/>
                <w:color w:val="auto"/>
                <w:sz w:val="24"/>
                <w:szCs w:val="24"/>
                <w:highlight w:val="none"/>
                <w:lang w:val="en-US" w:eastAsia="zh-CN"/>
              </w:rPr>
              <w:t>下浮40%</w:t>
            </w:r>
            <w:r>
              <w:rPr>
                <w:rFonts w:hint="eastAsia" w:ascii="宋体" w:hAnsi="宋体" w:eastAsia="宋体" w:cs="宋体"/>
                <w:color w:val="auto"/>
                <w:sz w:val="24"/>
                <w:szCs w:val="24"/>
                <w:highlight w:val="none"/>
              </w:rPr>
              <w:t>交纳中标服务费，请在投标报价中自行考虑：</w:t>
            </w:r>
          </w:p>
          <w:tbl>
            <w:tblPr>
              <w:tblStyle w:val="31"/>
              <w:tblW w:w="0" w:type="auto"/>
              <w:jc w:val="center"/>
              <w:tblLayout w:type="fixed"/>
              <w:tblCellMar>
                <w:top w:w="0" w:type="dxa"/>
                <w:left w:w="0" w:type="dxa"/>
                <w:bottom w:w="0" w:type="dxa"/>
                <w:right w:w="0" w:type="dxa"/>
              </w:tblCellMar>
            </w:tblPr>
            <w:tblGrid>
              <w:gridCol w:w="2132"/>
              <w:gridCol w:w="1725"/>
              <w:gridCol w:w="1725"/>
              <w:gridCol w:w="1726"/>
            </w:tblGrid>
            <w:tr w14:paraId="35C5B452">
              <w:tblPrEx>
                <w:tblCellMar>
                  <w:top w:w="0" w:type="dxa"/>
                  <w:left w:w="0" w:type="dxa"/>
                  <w:bottom w:w="0" w:type="dxa"/>
                  <w:right w:w="0" w:type="dxa"/>
                </w:tblCellMar>
              </w:tblPrEx>
              <w:trPr>
                <w:jc w:val="center"/>
              </w:trPr>
              <w:tc>
                <w:tcPr>
                  <w:tcW w:w="213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top"/>
                </w:tcPr>
                <w:p w14:paraId="360569D3">
                  <w:pPr>
                    <w:widowControl/>
                    <w:spacing w:line="4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中标金额（万元）</w:t>
                  </w:r>
                </w:p>
              </w:tc>
              <w:tc>
                <w:tcPr>
                  <w:tcW w:w="1725" w:type="dxa"/>
                  <w:tcBorders>
                    <w:top w:val="single" w:color="auto" w:sz="8" w:space="0"/>
                    <w:left w:val="outset" w:color="F4F4F4" w:sz="6" w:space="0"/>
                    <w:bottom w:val="single" w:color="auto" w:sz="4" w:space="0"/>
                    <w:right w:val="single" w:color="auto" w:sz="8" w:space="0"/>
                  </w:tcBorders>
                  <w:noWrap w:val="0"/>
                  <w:tcMar>
                    <w:top w:w="0" w:type="dxa"/>
                    <w:left w:w="108" w:type="dxa"/>
                    <w:bottom w:w="0" w:type="dxa"/>
                    <w:right w:w="108" w:type="dxa"/>
                  </w:tcMar>
                  <w:vAlign w:val="center"/>
                </w:tcPr>
                <w:p w14:paraId="6349D734">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货物招标</w:t>
                  </w:r>
                </w:p>
              </w:tc>
              <w:tc>
                <w:tcPr>
                  <w:tcW w:w="1725" w:type="dxa"/>
                  <w:tcBorders>
                    <w:top w:val="single" w:color="auto" w:sz="8" w:space="0"/>
                    <w:left w:val="outset" w:color="F4F4F4" w:sz="6" w:space="0"/>
                    <w:bottom w:val="single" w:color="auto" w:sz="4" w:space="0"/>
                    <w:right w:val="single" w:color="auto" w:sz="8" w:space="0"/>
                  </w:tcBorders>
                  <w:noWrap w:val="0"/>
                  <w:tcMar>
                    <w:top w:w="0" w:type="dxa"/>
                    <w:left w:w="108" w:type="dxa"/>
                    <w:bottom w:w="0" w:type="dxa"/>
                    <w:right w:w="108" w:type="dxa"/>
                  </w:tcMar>
                  <w:vAlign w:val="center"/>
                </w:tcPr>
                <w:p w14:paraId="3FB084ED">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服务招标</w:t>
                  </w:r>
                </w:p>
              </w:tc>
              <w:tc>
                <w:tcPr>
                  <w:tcW w:w="1726" w:type="dxa"/>
                  <w:tcBorders>
                    <w:top w:val="single" w:color="auto" w:sz="8" w:space="0"/>
                    <w:left w:val="outset" w:color="F4F4F4" w:sz="6" w:space="0"/>
                    <w:bottom w:val="single" w:color="auto" w:sz="4" w:space="0"/>
                    <w:right w:val="single" w:color="auto" w:sz="8" w:space="0"/>
                  </w:tcBorders>
                  <w:noWrap w:val="0"/>
                  <w:tcMar>
                    <w:top w:w="0" w:type="dxa"/>
                    <w:left w:w="108" w:type="dxa"/>
                    <w:bottom w:w="0" w:type="dxa"/>
                    <w:right w:w="108" w:type="dxa"/>
                  </w:tcMar>
                  <w:vAlign w:val="center"/>
                </w:tcPr>
                <w:p w14:paraId="7DFBC34E">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工程招标</w:t>
                  </w:r>
                </w:p>
              </w:tc>
            </w:tr>
            <w:tr w14:paraId="19034BC3">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DC8A64C">
                  <w:pPr>
                    <w:widowControl/>
                    <w:spacing w:line="4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100 以下</w:t>
                  </w:r>
                </w:p>
              </w:tc>
              <w:tc>
                <w:tcPr>
                  <w:tcW w:w="17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699000">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1.5%</w:t>
                  </w:r>
                </w:p>
              </w:tc>
              <w:tc>
                <w:tcPr>
                  <w:tcW w:w="17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81DCB6">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1.5%</w:t>
                  </w:r>
                </w:p>
              </w:tc>
              <w:tc>
                <w:tcPr>
                  <w:tcW w:w="17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2510A7">
                  <w:pPr>
                    <w:widowControl/>
                    <w:spacing w:line="4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1.0%</w:t>
                  </w:r>
                </w:p>
              </w:tc>
            </w:tr>
            <w:tr w14:paraId="036F5B90">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45F42A0">
                  <w:pPr>
                    <w:widowControl/>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100-500</w:t>
                  </w:r>
                </w:p>
              </w:tc>
              <w:tc>
                <w:tcPr>
                  <w:tcW w:w="17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713E9B">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w:t>
                  </w:r>
                </w:p>
              </w:tc>
              <w:tc>
                <w:tcPr>
                  <w:tcW w:w="17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7599D4">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p>
              </w:tc>
              <w:tc>
                <w:tcPr>
                  <w:tcW w:w="17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E60E8A">
                  <w:pPr>
                    <w:widowControl/>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0.7</w:t>
                  </w:r>
                  <w:r>
                    <w:rPr>
                      <w:rFonts w:hint="eastAsia" w:ascii="宋体" w:hAnsi="宋体" w:eastAsia="宋体" w:cs="宋体"/>
                      <w:color w:val="auto"/>
                      <w:kern w:val="0"/>
                      <w:sz w:val="24"/>
                      <w:highlight w:val="none"/>
                    </w:rPr>
                    <w:t>%</w:t>
                  </w:r>
                </w:p>
              </w:tc>
            </w:tr>
          </w:tbl>
          <w:p w14:paraId="50D454C9">
            <w:pPr>
              <w:pStyle w:val="67"/>
              <w:keepNext w:val="0"/>
              <w:keepLines w:val="0"/>
              <w:pageBreakBefore w:val="0"/>
              <w:widowControl w:val="0"/>
              <w:numPr>
                <w:ilvl w:val="0"/>
                <w:numId w:val="0"/>
              </w:numPr>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2、中标服务费的交纳方式：</w:t>
            </w:r>
          </w:p>
          <w:p w14:paraId="4937D65B">
            <w:pPr>
              <w:pStyle w:val="67"/>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用银行支票、汇票、电汇、现金等付款方式直接交纳中标服务费。</w:t>
            </w:r>
          </w:p>
          <w:p w14:paraId="62B511D0">
            <w:pPr>
              <w:pStyle w:val="67"/>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公司名称：浙江明业项目管理有限公司嵊州分公司</w:t>
            </w:r>
          </w:p>
          <w:p w14:paraId="19C6B49E">
            <w:pPr>
              <w:pStyle w:val="67"/>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Ansi="宋体" w:cs="宋体"/>
                <w:color w:val="auto"/>
                <w:szCs w:val="24"/>
                <w:highlight w:val="none"/>
              </w:rPr>
            </w:pPr>
            <w:r>
              <w:rPr>
                <w:rFonts w:hint="eastAsia" w:hAnsi="宋体" w:cs="宋体"/>
                <w:color w:val="auto"/>
                <w:szCs w:val="24"/>
                <w:highlight w:val="none"/>
              </w:rPr>
              <w:t>开户行：中国银行嵊州城东支行</w:t>
            </w:r>
          </w:p>
          <w:p w14:paraId="579EB2BA">
            <w:pPr>
              <w:pStyle w:val="67"/>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color w:val="auto"/>
                <w:sz w:val="24"/>
                <w:szCs w:val="24"/>
                <w:highlight w:val="none"/>
                <w:lang w:val="en-US" w:eastAsia="zh-CN"/>
              </w:rPr>
            </w:pPr>
            <w:r>
              <w:rPr>
                <w:rFonts w:hint="eastAsia" w:hAnsi="宋体" w:cs="宋体"/>
                <w:color w:val="auto"/>
                <w:szCs w:val="24"/>
                <w:highlight w:val="none"/>
              </w:rPr>
              <w:t>账  号：367 558 339 668</w:t>
            </w:r>
          </w:p>
        </w:tc>
      </w:tr>
      <w:tr w14:paraId="402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240" w:type="dxa"/>
            <w:gridSpan w:val="3"/>
            <w:vAlign w:val="center"/>
          </w:tcPr>
          <w:p w14:paraId="18D68F2C">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解释：凡涉及本招标文件的解释权属于采购人。</w:t>
            </w:r>
          </w:p>
        </w:tc>
      </w:tr>
      <w:tr w14:paraId="4CB5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14:paraId="21621391">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注：中标人放弃中标资格或因质疑、投诉被取消中标资格或不能履行合同的，本项目重新组织采购。</w:t>
            </w:r>
          </w:p>
        </w:tc>
      </w:tr>
      <w:bookmarkEnd w:id="26"/>
    </w:tbl>
    <w:p w14:paraId="62C1E927">
      <w:pPr>
        <w:pageBreakBefore/>
        <w:snapToGrid w:val="0"/>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一、总则</w:t>
      </w:r>
    </w:p>
    <w:p w14:paraId="3F58C19A">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6889F80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0C3894C">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543977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F97C8B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EC078F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14:paraId="41998BB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“负责人”系指法人企业的法定负责人，或其他组织为法律、行政法规规定代表单位行使职权的主要负责人，或自然人本人。</w:t>
      </w:r>
    </w:p>
    <w:p w14:paraId="21F12D3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w:t>
      </w:r>
    </w:p>
    <w:p w14:paraId="48DC361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p>
    <w:p w14:paraId="158180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sz w:val="24"/>
          <w:highlight w:val="none"/>
          <w:lang w:val="en" w:eastAsia="zh-CN"/>
        </w:rPr>
        <w:t>☑</w:t>
      </w:r>
      <w:r>
        <w:rPr>
          <w:rFonts w:hint="eastAsia" w:ascii="宋体" w:hAnsi="宋体" w:eastAsia="宋体" w:cs="宋体"/>
          <w:color w:val="auto"/>
          <w:sz w:val="24"/>
          <w:highlight w:val="none"/>
        </w:rPr>
        <w:t>” 系指适用本项目的要求，“☐” 系指不适用本项目的要求。</w:t>
      </w:r>
    </w:p>
    <w:p w14:paraId="6788345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.特别说明</w:t>
      </w:r>
    </w:p>
    <w:p w14:paraId="178EC7D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.1供应商投标所使用的资格、信誉、荣誉、业绩与企业认证必须为投标单位所拥有。供应商投标所使用的采购项目实施人员必须为投标单位正式员工。</w:t>
      </w:r>
    </w:p>
    <w:p w14:paraId="46B20F1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.2供应商应仔细阅读招标文件的所有内容，按照招标文件的要求提交投标文件，并对所提供的全部资料的真实性承担法律责任。</w:t>
      </w:r>
    </w:p>
    <w:p w14:paraId="74B03CF0">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10264756">
      <w:pPr>
        <w:keepNext w:val="0"/>
        <w:keepLines w:val="0"/>
        <w:pageBreakBefore w:val="0"/>
        <w:widowControl w:val="0"/>
        <w:kinsoku/>
        <w:wordWrap/>
        <w:overflowPunct/>
        <w:topLinePunct w:val="0"/>
        <w:autoSpaceDE/>
        <w:autoSpaceDN/>
        <w:bidi w:val="0"/>
        <w:adjustRightInd/>
        <w:snapToGrid w:val="0"/>
        <w:spacing w:before="156" w:beforeLines="50" w:after="156" w:afterLines="50" w:line="50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二、招标文件</w:t>
      </w:r>
    </w:p>
    <w:p w14:paraId="3CF3619A">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1．招标方式</w:t>
      </w:r>
    </w:p>
    <w:p w14:paraId="31B921F0">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本次招标采用</w:t>
      </w:r>
      <w:r>
        <w:rPr>
          <w:rFonts w:hint="eastAsia" w:ascii="宋体" w:hAnsi="宋体" w:eastAsia="宋体" w:cs="宋体"/>
          <w:b/>
          <w:color w:val="auto"/>
          <w:kern w:val="0"/>
          <w:sz w:val="24"/>
          <w:szCs w:val="24"/>
          <w:highlight w:val="none"/>
        </w:rPr>
        <w:t>公开招标</w:t>
      </w:r>
      <w:r>
        <w:rPr>
          <w:rFonts w:hint="eastAsia" w:ascii="宋体" w:hAnsi="宋体" w:eastAsia="宋体" w:cs="宋体"/>
          <w:color w:val="auto"/>
          <w:sz w:val="24"/>
          <w:szCs w:val="24"/>
          <w:highlight w:val="none"/>
        </w:rPr>
        <w:t>方式进行。</w:t>
      </w:r>
    </w:p>
    <w:p w14:paraId="43FAAF78">
      <w:pPr>
        <w:snapToGrid w:val="0"/>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 如某一标项投标人或实质性响应招标文件的投标人不足三家时，由采购人重新组织招标或按有关规定实施。</w:t>
      </w:r>
    </w:p>
    <w:p w14:paraId="4834F2BB">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本次招标设定限价，即招标公告中公布的各标项预算金额或最高限价（各标项之间的预算金额不能互相调整）。</w:t>
      </w:r>
    </w:p>
    <w:p w14:paraId="1F6D577B">
      <w:pPr>
        <w:pStyle w:val="14"/>
        <w:snapToGrid w:val="0"/>
        <w:spacing w:after="0" w:line="440" w:lineRule="exact"/>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64964632">
      <w:pPr>
        <w:pStyle w:val="9"/>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0E1F3B9A">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投标费用</w:t>
      </w:r>
    </w:p>
    <w:p w14:paraId="78DC0CF0">
      <w:pPr>
        <w:pStyle w:val="9"/>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投标人应自行承担编制投标文件及参加本次投标所涉及的一切费用。不管投标结果如何，招标人对上述费用不负任何责任。</w:t>
      </w:r>
    </w:p>
    <w:p w14:paraId="363B1DE9">
      <w:pPr>
        <w:numPr>
          <w:ilvl w:val="0"/>
          <w:numId w:val="5"/>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招标文件的修改</w:t>
      </w:r>
    </w:p>
    <w:p w14:paraId="385738EC">
      <w:pPr>
        <w:numPr>
          <w:ilvl w:val="0"/>
          <w:numId w:val="0"/>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招标文件包括本招标文件及所有的招标答疑记录（澄清、修改）和发出的补充通知。</w:t>
      </w:r>
    </w:p>
    <w:p w14:paraId="0EE6407F">
      <w:pPr>
        <w:numPr>
          <w:ilvl w:val="0"/>
          <w:numId w:val="0"/>
        </w:numPr>
        <w:snapToGrid w:val="0"/>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4.2招标文件的澄清  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14:paraId="2C38F66D">
      <w:pPr>
        <w:pStyle w:val="9"/>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4.3招标文件的修改</w:t>
      </w:r>
    </w:p>
    <w:p w14:paraId="5CD6B618">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4.3.1在投标截止时间前，招标人有权修改招标文件，</w:t>
      </w:r>
      <w:r>
        <w:rPr>
          <w:rFonts w:hint="eastAsia" w:ascii="宋体" w:hAnsi="宋体" w:eastAsia="宋体" w:cs="宋体"/>
          <w:color w:val="auto"/>
          <w:kern w:val="2"/>
          <w:sz w:val="24"/>
          <w:szCs w:val="24"/>
          <w:highlight w:val="none"/>
          <w:lang w:val="en-US" w:eastAsia="zh-CN" w:bidi="ar-SA"/>
        </w:rPr>
        <w:t>将会在发布招标公告的网站上发布更正公告。澄清或者修改的内容可能影响投标文件编制的，更正公告在提交投标截止时间至少15日前发出；不足15日的，采购人应当顺延提交投标文件的截止时间。</w:t>
      </w:r>
    </w:p>
    <w:p w14:paraId="1E10815C">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4.3.2</w:t>
      </w:r>
      <w:r>
        <w:rPr>
          <w:rFonts w:hint="eastAsia" w:ascii="宋体" w:hAnsi="宋体" w:eastAsia="宋体" w:cs="宋体"/>
          <w:color w:val="auto"/>
          <w:kern w:val="2"/>
          <w:sz w:val="24"/>
          <w:szCs w:val="24"/>
          <w:highlight w:val="none"/>
          <w:lang w:val="en-US" w:eastAsia="zh-CN" w:bidi="ar-SA"/>
        </w:rPr>
        <w:t>更正公告为招标文件的组成部分，一经在网站发布，视同已通知所有招标文件的收受人，不再采用其它方式传达相关信息, 若因未能及时了解到上述网站上发布的相关信息而导致的一切后果自行承担。</w:t>
      </w:r>
    </w:p>
    <w:p w14:paraId="78967F0C">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b/>
          <w:color w:val="auto"/>
          <w:sz w:val="24"/>
          <w:szCs w:val="24"/>
          <w:highlight w:val="none"/>
        </w:rPr>
        <w:t>参考品牌</w:t>
      </w:r>
    </w:p>
    <w:p w14:paraId="3982D62C">
      <w:pPr>
        <w:pStyle w:val="9"/>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本招标文件如涉及各类品牌、型号，则所述品牌、型号是结合实际现有情况的推荐性参考方案，投标方也可根据招标文件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w:t>
      </w:r>
    </w:p>
    <w:p w14:paraId="4DECE944">
      <w:pPr>
        <w:snapToGrid w:val="0"/>
        <w:spacing w:line="8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三、投标文件</w:t>
      </w:r>
    </w:p>
    <w:p w14:paraId="16B90489">
      <w:pPr>
        <w:numPr>
          <w:ilvl w:val="0"/>
          <w:numId w:val="6"/>
        </w:num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投标文件的语言、计量单位、形式及效力</w:t>
      </w:r>
    </w:p>
    <w:p w14:paraId="57C398F6">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76CB5EAB">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5D4C4BE0">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5750FA62">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367AAFC7">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36A10FC2">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w:t>
      </w:r>
      <w:r>
        <w:rPr>
          <w:rFonts w:hint="eastAsia" w:ascii="宋体" w:hAnsi="宋体" w:cs="宋体"/>
          <w:b/>
          <w:color w:val="auto"/>
          <w:sz w:val="24"/>
          <w:szCs w:val="24"/>
          <w:highlight w:val="none"/>
          <w:lang w:val="en-US" w:eastAsia="zh-CN"/>
        </w:rPr>
        <w:t>乐</w:t>
      </w:r>
      <w:r>
        <w:rPr>
          <w:rFonts w:hint="eastAsia" w:ascii="宋体" w:hAnsi="宋体" w:eastAsia="宋体" w:cs="宋体"/>
          <w:b/>
          <w:color w:val="auto"/>
          <w:sz w:val="24"/>
          <w:szCs w:val="24"/>
          <w:highlight w:val="none"/>
        </w:rPr>
        <w:t>采云供应商项目采购-电子招投标操作指南”及本招标文件要求制作、加密传输。</w:t>
      </w:r>
    </w:p>
    <w:p w14:paraId="7978AA4B">
      <w:pPr>
        <w:snapToGrid w:val="0"/>
        <w:spacing w:line="440" w:lineRule="exact"/>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196334F4">
      <w:pPr>
        <w:snapToGrid w:val="0"/>
        <w:spacing w:line="440" w:lineRule="exact"/>
        <w:ind w:firstLine="472" w:firstLineChars="196"/>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04F7F86A">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投标文件的组成</w:t>
      </w:r>
    </w:p>
    <w:p w14:paraId="53D2C8DA">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投标文件由</w:t>
      </w:r>
      <w:r>
        <w:rPr>
          <w:rFonts w:hint="eastAsia" w:ascii="宋体" w:hAnsi="宋体" w:eastAsia="宋体" w:cs="宋体"/>
          <w:b/>
          <w:bCs/>
          <w:color w:val="auto"/>
          <w:sz w:val="24"/>
          <w:szCs w:val="24"/>
          <w:highlight w:val="none"/>
          <w:lang w:eastAsia="zh-CN"/>
        </w:rPr>
        <w:t>“资格文件”、</w:t>
      </w:r>
      <w:r>
        <w:rPr>
          <w:rFonts w:hint="eastAsia" w:ascii="宋体" w:hAnsi="宋体" w:eastAsia="宋体" w:cs="宋体"/>
          <w:b/>
          <w:bCs/>
          <w:color w:val="auto"/>
          <w:sz w:val="24"/>
          <w:szCs w:val="24"/>
          <w:highlight w:val="none"/>
        </w:rPr>
        <w:t>“商务技术文件资料”、“报价文件资料”</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部分组成，其中电子投标文件中所须加盖公章部分均应采用电子签章。</w:t>
      </w:r>
    </w:p>
    <w:p w14:paraId="507D775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49052CF5">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营业执照扫描件；</w:t>
      </w:r>
    </w:p>
    <w:p w14:paraId="310943B8">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符合参加采购活动应当具备的一般条件的承诺函；</w:t>
      </w:r>
    </w:p>
    <w:p w14:paraId="008B9933">
      <w:pPr>
        <w:pStyle w:val="16"/>
        <w:keepNext w:val="0"/>
        <w:keepLines w:val="0"/>
        <w:pageBreakBefore w:val="0"/>
        <w:widowControl w:val="0"/>
        <w:kinsoku/>
        <w:wordWrap/>
        <w:overflowPunct/>
        <w:topLinePunct w:val="0"/>
        <w:autoSpaceDE/>
        <w:autoSpaceDN/>
        <w:bidi w:val="0"/>
        <w:spacing w:line="480" w:lineRule="exact"/>
        <w:ind w:left="0" w:leftChars="0" w:right="0" w:firstLine="720" w:firstLineChars="300"/>
        <w:textAlignment w:val="auto"/>
        <w:rPr>
          <w:rFonts w:hint="eastAsia" w:ascii="宋体" w:hAnsi="宋体" w:eastAsia="宋体" w:cs="宋体"/>
          <w:color w:val="auto"/>
          <w:sz w:val="24"/>
          <w:szCs w:val="24"/>
          <w:highlight w:val="none"/>
          <w:u w:val="none"/>
          <w:lang w:val="en-US" w:eastAsia="zh-CN"/>
        </w:rPr>
      </w:pPr>
      <w:r>
        <w:rPr>
          <w:rStyle w:val="36"/>
          <w:rFonts w:hint="eastAsia" w:ascii="宋体" w:hAnsi="宋体" w:eastAsia="宋体" w:cs="宋体"/>
          <w:color w:val="auto"/>
          <w:sz w:val="24"/>
          <w:szCs w:val="24"/>
          <w:highlight w:val="none"/>
          <w:u w:val="none"/>
          <w:lang w:val="en-US" w:eastAsia="zh-CN" w:bidi="ar-SA"/>
        </w:rPr>
        <w:t>2.1.</w:t>
      </w:r>
      <w:r>
        <w:rPr>
          <w:rStyle w:val="36"/>
          <w:rFonts w:hint="eastAsia" w:hAnsi="宋体" w:cs="宋体"/>
          <w:color w:val="auto"/>
          <w:sz w:val="24"/>
          <w:szCs w:val="24"/>
          <w:highlight w:val="none"/>
          <w:u w:val="none"/>
          <w:lang w:val="en-US" w:eastAsia="zh-CN" w:bidi="ar-SA"/>
        </w:rPr>
        <w:t>3</w:t>
      </w:r>
      <w:r>
        <w:rPr>
          <w:rStyle w:val="36"/>
          <w:rFonts w:hint="eastAsia" w:ascii="宋体" w:hAnsi="宋体" w:eastAsia="宋体" w:cs="宋体"/>
          <w:color w:val="auto"/>
          <w:sz w:val="24"/>
          <w:szCs w:val="24"/>
          <w:highlight w:val="none"/>
          <w:u w:val="none"/>
          <w:lang w:val="en-US" w:eastAsia="zh-CN" w:bidi="ar-SA"/>
        </w:rPr>
        <w:t xml:space="preserve"> 特定资格要求</w:t>
      </w:r>
      <w:r>
        <w:rPr>
          <w:rStyle w:val="36"/>
          <w:rFonts w:hint="eastAsia" w:hAnsi="宋体" w:cs="宋体"/>
          <w:color w:val="auto"/>
          <w:sz w:val="24"/>
          <w:szCs w:val="24"/>
          <w:highlight w:val="none"/>
          <w:u w:val="none"/>
          <w:lang w:val="en-US" w:eastAsia="zh-CN" w:bidi="ar-SA"/>
        </w:rPr>
        <w:t>需提供</w:t>
      </w:r>
      <w:r>
        <w:rPr>
          <w:rStyle w:val="36"/>
          <w:rFonts w:hint="eastAsia" w:ascii="宋体" w:hAnsi="宋体" w:eastAsia="宋体" w:cs="宋体"/>
          <w:color w:val="auto"/>
          <w:sz w:val="24"/>
          <w:szCs w:val="24"/>
          <w:highlight w:val="none"/>
          <w:u w:val="none"/>
          <w:lang w:val="en-US" w:eastAsia="zh-CN" w:bidi="ar-SA"/>
        </w:rPr>
        <w:t>的证明材料（</w:t>
      </w:r>
      <w:r>
        <w:rPr>
          <w:rStyle w:val="36"/>
          <w:rFonts w:hint="eastAsia" w:hAnsi="宋体" w:cs="宋体"/>
          <w:color w:val="auto"/>
          <w:sz w:val="24"/>
          <w:szCs w:val="24"/>
          <w:highlight w:val="none"/>
          <w:u w:val="none"/>
          <w:lang w:val="en-US" w:eastAsia="zh-CN" w:bidi="ar-SA"/>
        </w:rPr>
        <w:t>若</w:t>
      </w:r>
      <w:r>
        <w:rPr>
          <w:rStyle w:val="36"/>
          <w:rFonts w:hint="eastAsia" w:ascii="宋体" w:hAnsi="宋体" w:eastAsia="宋体" w:cs="宋体"/>
          <w:color w:val="auto"/>
          <w:sz w:val="24"/>
          <w:szCs w:val="24"/>
          <w:highlight w:val="none"/>
          <w:u w:val="none"/>
          <w:lang w:val="en-US" w:eastAsia="zh-CN" w:bidi="ar-SA"/>
        </w:rPr>
        <w:t>有）。</w:t>
      </w:r>
    </w:p>
    <w:p w14:paraId="3FFBE692">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2商务技术</w:t>
      </w:r>
      <w:r>
        <w:rPr>
          <w:rFonts w:hint="eastAsia" w:ascii="宋体" w:hAnsi="宋体" w:eastAsia="宋体" w:cs="宋体"/>
          <w:b/>
          <w:color w:val="auto"/>
          <w:sz w:val="24"/>
          <w:szCs w:val="24"/>
          <w:highlight w:val="none"/>
          <w:lang w:val="zh-CN"/>
        </w:rPr>
        <w:t>文件：</w:t>
      </w:r>
    </w:p>
    <w:p w14:paraId="79D8A9C1">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zh-CN"/>
        </w:rPr>
        <w:t xml:space="preserve"> </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函；</w:t>
      </w:r>
    </w:p>
    <w:p w14:paraId="260DE7F2">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法定代表人身份证明书；</w:t>
      </w:r>
    </w:p>
    <w:p w14:paraId="7F4DEF0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授权代表社保证明（</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p>
    <w:p w14:paraId="479074E2">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lang w:val="en-US" w:eastAsia="zh-CN"/>
        </w:rPr>
        <w:t>法定代表人及其授权代表身份证复印件（正反面）；</w:t>
      </w:r>
    </w:p>
    <w:p w14:paraId="161A69F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评分索引表；</w:t>
      </w:r>
    </w:p>
    <w:p w14:paraId="52C15CA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highlight w:val="none"/>
          <w:lang w:val="en-US" w:eastAsia="zh-CN"/>
        </w:rPr>
        <w:t>商务</w:t>
      </w:r>
      <w:r>
        <w:rPr>
          <w:rFonts w:hint="eastAsia" w:ascii="宋体" w:hAnsi="宋体" w:cs="宋体"/>
          <w:color w:val="auto"/>
          <w:highlight w:val="none"/>
          <w:lang w:val="en-US" w:eastAsia="zh-CN"/>
        </w:rPr>
        <w:t>偏离</w:t>
      </w:r>
      <w:r>
        <w:rPr>
          <w:rFonts w:hint="eastAsia" w:ascii="宋体" w:hAnsi="宋体" w:eastAsia="宋体" w:cs="宋体"/>
          <w:color w:val="auto"/>
          <w:highlight w:val="none"/>
          <w:lang w:val="en-US" w:eastAsia="zh-CN"/>
        </w:rPr>
        <w:t>表</w:t>
      </w:r>
      <w:r>
        <w:rPr>
          <w:rFonts w:hint="eastAsia" w:ascii="宋体" w:hAnsi="宋体" w:eastAsia="宋体" w:cs="宋体"/>
          <w:color w:val="auto"/>
          <w:sz w:val="24"/>
          <w:szCs w:val="24"/>
          <w:highlight w:val="none"/>
          <w:lang w:val="en-US" w:eastAsia="zh-CN"/>
        </w:rPr>
        <w:t>；</w:t>
      </w:r>
    </w:p>
    <w:p w14:paraId="697D7347">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2.2.7 </w:t>
      </w:r>
      <w:r>
        <w:rPr>
          <w:rFonts w:hint="eastAsia" w:ascii="宋体" w:hAnsi="宋体" w:cs="宋体"/>
          <w:color w:val="auto"/>
          <w:sz w:val="24"/>
          <w:szCs w:val="24"/>
          <w:highlight w:val="none"/>
          <w:lang w:val="en-US" w:eastAsia="zh-CN"/>
        </w:rPr>
        <w:t>技术</w:t>
      </w:r>
      <w:r>
        <w:rPr>
          <w:rFonts w:hint="eastAsia" w:ascii="宋体" w:hAnsi="宋体" w:cs="宋体"/>
          <w:color w:val="auto"/>
          <w:highlight w:val="none"/>
          <w:lang w:val="en-US" w:eastAsia="zh-CN"/>
        </w:rPr>
        <w:t>偏离</w:t>
      </w:r>
      <w:r>
        <w:rPr>
          <w:rFonts w:hint="eastAsia" w:ascii="宋体" w:hAnsi="宋体" w:eastAsia="宋体" w:cs="宋体"/>
          <w:color w:val="auto"/>
          <w:highlight w:val="none"/>
          <w:lang w:val="en-US" w:eastAsia="zh-CN"/>
        </w:rPr>
        <w:t>表</w:t>
      </w:r>
      <w:r>
        <w:rPr>
          <w:rFonts w:hint="eastAsia" w:ascii="宋体" w:hAnsi="宋体" w:eastAsia="宋体" w:cs="宋体"/>
          <w:color w:val="auto"/>
          <w:sz w:val="24"/>
          <w:szCs w:val="24"/>
          <w:highlight w:val="none"/>
          <w:lang w:val="en-US" w:eastAsia="zh-CN"/>
        </w:rPr>
        <w:t>；</w:t>
      </w:r>
    </w:p>
    <w:p w14:paraId="48BCD8FC">
      <w:pPr>
        <w:keepNext w:val="0"/>
        <w:keepLines w:val="0"/>
        <w:pageBreakBefore w:val="0"/>
        <w:widowControl w:val="0"/>
        <w:kinsoku/>
        <w:wordWrap/>
        <w:overflowPunct/>
        <w:topLinePunct w:val="0"/>
        <w:autoSpaceDE/>
        <w:autoSpaceDN/>
        <w:bidi w:val="0"/>
        <w:adjustRightInd w:val="0"/>
        <w:snapToGrid w:val="0"/>
        <w:spacing w:beforeAutospacing="0" w:line="46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highlight w:val="none"/>
          <w:lang w:val="en-US" w:eastAsia="zh-CN" w:bidi="ar-SA"/>
        </w:rPr>
        <w:t>同类</w:t>
      </w:r>
      <w:r>
        <w:rPr>
          <w:rFonts w:hint="eastAsia" w:ascii="宋体" w:hAnsi="宋体" w:eastAsia="宋体" w:cs="宋体"/>
          <w:color w:val="auto"/>
          <w:kern w:val="2"/>
          <w:sz w:val="24"/>
          <w:highlight w:val="none"/>
          <w:lang w:val="zh-CN" w:eastAsia="zh-CN" w:bidi="ar-SA"/>
        </w:rPr>
        <w:t>业绩证明</w:t>
      </w:r>
      <w:r>
        <w:rPr>
          <w:rFonts w:hint="eastAsia" w:ascii="宋体" w:hAnsi="宋体" w:eastAsia="宋体" w:cs="宋体"/>
          <w:color w:val="auto"/>
          <w:sz w:val="24"/>
          <w:szCs w:val="24"/>
          <w:highlight w:val="none"/>
          <w:lang w:val="en-US" w:eastAsia="zh-CN"/>
        </w:rPr>
        <w:t>；</w:t>
      </w:r>
    </w:p>
    <w:p w14:paraId="1FC44F9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供应商廉洁自律承诺书；</w:t>
      </w:r>
    </w:p>
    <w:p w14:paraId="6B2810D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2.2.10 认证</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szCs w:val="24"/>
          <w:highlight w:val="none"/>
          <w:lang w:val="en-US" w:eastAsia="zh-CN"/>
        </w:rPr>
        <w:t>；</w:t>
      </w:r>
    </w:p>
    <w:p w14:paraId="44CCD25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w:t>
      </w:r>
      <w:r>
        <w:rPr>
          <w:rFonts w:hint="eastAsia" w:ascii="宋体" w:hAnsi="宋体" w:cs="宋体"/>
          <w:b w:val="0"/>
          <w:color w:val="auto"/>
          <w:kern w:val="2"/>
          <w:sz w:val="24"/>
          <w:szCs w:val="24"/>
          <w:highlight w:val="none"/>
          <w:lang w:val="en-US" w:eastAsia="zh-CN" w:bidi="ar-SA"/>
        </w:rPr>
        <w:t>11</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情况</w:t>
      </w:r>
      <w:r>
        <w:rPr>
          <w:rFonts w:hint="eastAsia" w:ascii="宋体" w:hAnsi="宋体" w:eastAsia="宋体" w:cs="宋体"/>
          <w:b w:val="0"/>
          <w:color w:val="auto"/>
          <w:kern w:val="2"/>
          <w:sz w:val="24"/>
          <w:szCs w:val="24"/>
          <w:highlight w:val="none"/>
          <w:lang w:val="en-US" w:eastAsia="zh-CN" w:bidi="ar-SA"/>
        </w:rPr>
        <w:t>；</w:t>
      </w:r>
    </w:p>
    <w:p w14:paraId="3E20F1A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color w:val="auto"/>
          <w:sz w:val="24"/>
          <w:highlight w:val="none"/>
          <w:lang w:val="en-US" w:eastAsia="zh-CN"/>
        </w:rPr>
        <w:t>主要部件情况</w:t>
      </w:r>
      <w:r>
        <w:rPr>
          <w:rFonts w:hint="eastAsia" w:ascii="宋体" w:hAnsi="宋体" w:eastAsia="宋体" w:cs="宋体"/>
          <w:b w:val="0"/>
          <w:color w:val="auto"/>
          <w:kern w:val="2"/>
          <w:sz w:val="24"/>
          <w:szCs w:val="24"/>
          <w:highlight w:val="none"/>
          <w:lang w:val="en-US" w:eastAsia="zh-CN" w:bidi="ar-SA"/>
        </w:rPr>
        <w:t>；</w:t>
      </w:r>
    </w:p>
    <w:p w14:paraId="1F7878F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3</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b w:val="0"/>
          <w:color w:val="auto"/>
          <w:kern w:val="2"/>
          <w:sz w:val="24"/>
          <w:szCs w:val="24"/>
          <w:highlight w:val="none"/>
          <w:lang w:val="en-US" w:eastAsia="zh-CN" w:bidi="ar-SA"/>
        </w:rPr>
        <w:t>产品</w:t>
      </w:r>
      <w:r>
        <w:rPr>
          <w:rFonts w:hint="eastAsia" w:ascii="宋体" w:hAnsi="宋体" w:cs="宋体"/>
          <w:color w:val="auto"/>
          <w:sz w:val="24"/>
          <w:highlight w:val="none"/>
          <w:lang w:val="en-US" w:eastAsia="zh-CN"/>
        </w:rPr>
        <w:t>配置</w:t>
      </w:r>
      <w:r>
        <w:rPr>
          <w:rFonts w:hint="eastAsia" w:ascii="宋体" w:hAnsi="宋体" w:eastAsia="宋体" w:cs="宋体"/>
          <w:b w:val="0"/>
          <w:color w:val="auto"/>
          <w:kern w:val="2"/>
          <w:sz w:val="24"/>
          <w:szCs w:val="24"/>
          <w:highlight w:val="none"/>
          <w:lang w:val="en-US" w:eastAsia="zh-CN" w:bidi="ar-SA"/>
        </w:rPr>
        <w:t>；</w:t>
      </w:r>
    </w:p>
    <w:p w14:paraId="5E16A09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b w:val="0"/>
          <w:color w:val="auto"/>
          <w:kern w:val="2"/>
          <w:sz w:val="24"/>
          <w:szCs w:val="24"/>
          <w:highlight w:val="none"/>
          <w:lang w:val="en-US" w:eastAsia="zh-CN" w:bidi="ar-SA"/>
        </w:rPr>
        <w:t>安全部件</w:t>
      </w:r>
      <w:r>
        <w:rPr>
          <w:rFonts w:hint="eastAsia" w:ascii="宋体" w:hAnsi="宋体" w:eastAsia="宋体" w:cs="宋体"/>
          <w:b w:val="0"/>
          <w:color w:val="auto"/>
          <w:kern w:val="2"/>
          <w:sz w:val="24"/>
          <w:szCs w:val="24"/>
          <w:highlight w:val="none"/>
          <w:lang w:val="en-US" w:eastAsia="zh-CN" w:bidi="ar-SA"/>
        </w:rPr>
        <w:t>；</w:t>
      </w:r>
    </w:p>
    <w:p w14:paraId="35DAC84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2.2.15 轿厢布置和装潢</w:t>
      </w:r>
      <w:r>
        <w:rPr>
          <w:rFonts w:hint="eastAsia" w:ascii="宋体" w:hAnsi="宋体" w:eastAsia="宋体" w:cs="宋体"/>
          <w:b w:val="0"/>
          <w:color w:val="auto"/>
          <w:kern w:val="2"/>
          <w:sz w:val="24"/>
          <w:szCs w:val="24"/>
          <w:highlight w:val="none"/>
          <w:lang w:val="en-US" w:eastAsia="zh-CN" w:bidi="ar-SA"/>
        </w:rPr>
        <w:t>；</w:t>
      </w:r>
    </w:p>
    <w:p w14:paraId="3B09B9C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b w:val="0"/>
          <w:color w:val="auto"/>
          <w:kern w:val="2"/>
          <w:sz w:val="24"/>
          <w:szCs w:val="24"/>
          <w:highlight w:val="none"/>
          <w:lang w:val="en-US" w:eastAsia="zh-CN" w:bidi="ar-SA"/>
        </w:rPr>
        <w:t>实施方案</w:t>
      </w:r>
      <w:r>
        <w:rPr>
          <w:rFonts w:hint="eastAsia" w:ascii="宋体" w:hAnsi="宋体" w:eastAsia="宋体" w:cs="宋体"/>
          <w:b w:val="0"/>
          <w:color w:val="auto"/>
          <w:kern w:val="2"/>
          <w:sz w:val="24"/>
          <w:szCs w:val="24"/>
          <w:highlight w:val="none"/>
          <w:lang w:val="en-US" w:eastAsia="zh-CN" w:bidi="ar-SA"/>
        </w:rPr>
        <w:t>；</w:t>
      </w:r>
    </w:p>
    <w:p w14:paraId="3B0AF8B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7</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s="宋体"/>
          <w:b w:val="0"/>
          <w:color w:val="auto"/>
          <w:kern w:val="2"/>
          <w:sz w:val="24"/>
          <w:szCs w:val="24"/>
          <w:highlight w:val="none"/>
          <w:lang w:val="en-US" w:eastAsia="zh-CN" w:bidi="ar-SA"/>
        </w:rPr>
        <w:t>培训方案</w:t>
      </w:r>
      <w:r>
        <w:rPr>
          <w:rFonts w:hint="eastAsia" w:ascii="宋体" w:hAnsi="宋体" w:eastAsia="宋体" w:cs="宋体"/>
          <w:b w:val="0"/>
          <w:color w:val="auto"/>
          <w:kern w:val="2"/>
          <w:sz w:val="24"/>
          <w:szCs w:val="24"/>
          <w:highlight w:val="none"/>
          <w:lang w:val="en-US" w:eastAsia="zh-CN" w:bidi="ar-SA"/>
        </w:rPr>
        <w:t>；</w:t>
      </w:r>
    </w:p>
    <w:p w14:paraId="7D1EDC6A">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2.2.18 质保期；</w:t>
      </w:r>
    </w:p>
    <w:p w14:paraId="07D015E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color w:val="auto"/>
          <w:lang w:val="en-US" w:eastAsia="zh-CN"/>
        </w:rPr>
      </w:pPr>
      <w:r>
        <w:rPr>
          <w:rFonts w:hint="eastAsia" w:ascii="宋体" w:hAnsi="宋体" w:cs="宋体"/>
          <w:b w:val="0"/>
          <w:color w:val="auto"/>
          <w:kern w:val="2"/>
          <w:sz w:val="24"/>
          <w:szCs w:val="24"/>
          <w:highlight w:val="none"/>
          <w:lang w:val="en-US" w:eastAsia="zh-CN" w:bidi="ar-SA"/>
        </w:rPr>
        <w:t>2.2.19 售后服务</w:t>
      </w:r>
    </w:p>
    <w:p w14:paraId="1018DE9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 xml:space="preserve"> 投标人认为需要说明的其他文件和说明（若有）。</w:t>
      </w:r>
    </w:p>
    <w:p w14:paraId="0DC7C592">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14:paraId="3AEA72FF">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2.3.1开标一览表；</w:t>
      </w:r>
    </w:p>
    <w:p w14:paraId="352108E5">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2.3.2报价明细表</w:t>
      </w:r>
    </w:p>
    <w:p w14:paraId="302EAD81">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cs="宋体"/>
          <w:color w:val="auto"/>
          <w:sz w:val="24"/>
          <w:szCs w:val="24"/>
          <w:highlight w:val="none"/>
          <w:lang w:val="en-US" w:eastAsia="zh-CN"/>
        </w:rPr>
        <w:t xml:space="preserve">3 </w:t>
      </w:r>
      <w:r>
        <w:rPr>
          <w:rFonts w:hint="eastAsia" w:ascii="宋体" w:hAnsi="宋体"/>
          <w:color w:val="auto"/>
          <w:highlight w:val="none"/>
        </w:rPr>
        <w:t>投标人针对报价需要说明的其他文件和说明</w:t>
      </w:r>
      <w:r>
        <w:rPr>
          <w:rFonts w:hint="eastAsia" w:ascii="宋体" w:hAnsi="宋体"/>
          <w:color w:val="auto"/>
          <w:highlight w:val="none"/>
          <w:lang w:eastAsia="zh-CN"/>
        </w:rPr>
        <w:t>。</w:t>
      </w:r>
    </w:p>
    <w:p w14:paraId="6B596767">
      <w:pPr>
        <w:keepNext w:val="0"/>
        <w:keepLines w:val="0"/>
        <w:pageBreakBefore w:val="0"/>
        <w:widowControl w:val="0"/>
        <w:kinsoku/>
        <w:wordWrap/>
        <w:overflowPunct/>
        <w:topLinePunct w:val="0"/>
        <w:autoSpaceDE/>
        <w:autoSpaceDN/>
        <w:bidi w:val="0"/>
        <w:adjustRightInd w:val="0"/>
        <w:snapToGrid w:val="0"/>
        <w:spacing w:beforeAutospacing="0" w:line="48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 投标报价</w:t>
      </w:r>
    </w:p>
    <w:p w14:paraId="576CC8E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3.1供应商应按招标文件中《开标一览表》等附表要求填写。</w:t>
      </w:r>
    </w:p>
    <w:p w14:paraId="1F437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lang w:val="en-US" w:eastAsia="zh-CN"/>
        </w:rPr>
        <w:t>投标报价是完成本招标文件所述的项目内容所需的全部费用，包括但不限于</w:t>
      </w:r>
      <w:r>
        <w:rPr>
          <w:rFonts w:hint="eastAsia" w:ascii="宋体" w:hAnsi="宋体" w:eastAsia="宋体" w:cs="宋体"/>
          <w:bCs/>
          <w:color w:val="auto"/>
          <w:sz w:val="24"/>
          <w:highlight w:val="none"/>
        </w:rPr>
        <w:t>(含运行监视系统)的设计、</w:t>
      </w:r>
      <w:r>
        <w:rPr>
          <w:rFonts w:hint="eastAsia" w:ascii="宋体" w:hAnsi="宋体" w:eastAsia="宋体" w:cs="宋体"/>
          <w:bCs/>
          <w:color w:val="auto"/>
          <w:sz w:val="24"/>
          <w:highlight w:val="none"/>
          <w:lang w:val="en-US" w:eastAsia="zh-CN"/>
        </w:rPr>
        <w:t>设备的价款</w:t>
      </w:r>
      <w:r>
        <w:rPr>
          <w:rFonts w:hint="eastAsia" w:ascii="宋体" w:hAnsi="宋体" w:eastAsia="宋体" w:cs="宋体"/>
          <w:bCs/>
          <w:color w:val="auto"/>
          <w:sz w:val="24"/>
          <w:highlight w:val="none"/>
        </w:rPr>
        <w:t>、安装调试费和其它费用（装卸费、仓储保管费、预埋件、二次结构拆改、脚手架、水平/垂直运输、井道照明、主机搁梁、设备就位、安装、调试、验收、培训、委托监检、成品保护、权威部门验收、培训、交付使用、售后服务、以及向采购人提供全过程形成的图纸、记录、档案资料、施工水电费、总包服务费、</w:t>
      </w:r>
      <w:r>
        <w:rPr>
          <w:rFonts w:hint="eastAsia" w:ascii="宋体" w:hAnsi="宋体" w:cs="宋体"/>
          <w:bCs/>
          <w:color w:val="auto"/>
          <w:sz w:val="24"/>
          <w:szCs w:val="24"/>
          <w:highlight w:val="none"/>
          <w:lang w:val="en-US" w:eastAsia="zh-CN"/>
        </w:rPr>
        <w:t>安装电梯所需的材料及相关费用、</w:t>
      </w:r>
      <w:r>
        <w:rPr>
          <w:rFonts w:hint="eastAsia" w:ascii="宋体" w:hAnsi="宋体" w:eastAsia="宋体" w:cs="宋体"/>
          <w:bCs/>
          <w:color w:val="auto"/>
          <w:sz w:val="24"/>
          <w:highlight w:val="none"/>
        </w:rPr>
        <w:t>招标代理费</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highlight w:val="none"/>
          <w:lang w:val="en-US" w:eastAsia="zh-CN"/>
        </w:rPr>
        <w:t>不可预见费等一切完成合同所需的一切本身和不可或缺的所有工作开支、政策性文件规定计合同包含的所有风险、责任等各项全部费用</w:t>
      </w:r>
      <w:r>
        <w:rPr>
          <w:rFonts w:hint="eastAsia" w:ascii="宋体" w:hAnsi="宋体" w:eastAsia="宋体" w:cs="宋体"/>
          <w:color w:val="auto"/>
          <w:sz w:val="24"/>
          <w:szCs w:val="24"/>
          <w:highlight w:val="none"/>
        </w:rPr>
        <w:t>。</w:t>
      </w:r>
    </w:p>
    <w:p w14:paraId="210E5FF9">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6EFBCBB3">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3.4招标文件未列明，而供应商认为必需的费用也需列入报价。</w:t>
      </w:r>
    </w:p>
    <w:p w14:paraId="4E2BA716">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ind w:firstLine="482" w:firstLineChars="200"/>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3.5投标报价只允许有一个报价，有选择的报价将不予接受（除指定外）</w:t>
      </w:r>
      <w:r>
        <w:rPr>
          <w:rFonts w:hint="eastAsia" w:ascii="宋体" w:hAnsi="宋体" w:eastAsia="宋体" w:cs="宋体"/>
          <w:b/>
          <w:bCs/>
          <w:color w:val="auto"/>
          <w:sz w:val="24"/>
          <w:highlight w:val="none"/>
          <w:lang w:val="en-US"/>
        </w:rPr>
        <w:t>。</w:t>
      </w:r>
    </w:p>
    <w:p w14:paraId="76F33A6D">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line="4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eastAsia="宋体" w:cs="宋体"/>
          <w:color w:val="auto"/>
          <w:kern w:val="2"/>
          <w:sz w:val="24"/>
          <w:szCs w:val="24"/>
          <w:highlight w:val="none"/>
          <w:lang w:val="en-US" w:eastAsia="zh-CN" w:bidi="ar-SA"/>
        </w:rPr>
        <w:t>投标文件的编制和签署</w:t>
      </w:r>
    </w:p>
    <w:p w14:paraId="736EB650">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99EBDC">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.2投标人进行电子投标应安装客户端软件—“</w:t>
      </w:r>
      <w:r>
        <w:rPr>
          <w:rFonts w:hint="eastAsia" w:ascii="宋体" w:hAnsi="宋体" w:cs="宋体"/>
          <w:color w:val="auto"/>
          <w:kern w:val="2"/>
          <w:sz w:val="24"/>
          <w:szCs w:val="24"/>
          <w:highlight w:val="none"/>
          <w:lang w:val="en-US" w:eastAsia="zh-CN" w:bidi="ar-SA"/>
        </w:rPr>
        <w:t>乐</w:t>
      </w:r>
      <w:r>
        <w:rPr>
          <w:rFonts w:hint="eastAsia" w:ascii="宋体" w:hAnsi="宋体" w:eastAsia="宋体" w:cs="宋体"/>
          <w:color w:val="auto"/>
          <w:kern w:val="2"/>
          <w:sz w:val="24"/>
          <w:szCs w:val="24"/>
          <w:highlight w:val="none"/>
          <w:lang w:val="zh-CN" w:eastAsia="zh-CN" w:bidi="ar-SA"/>
        </w:rPr>
        <w:t>采云电子交易客户端”，并按照招标文件和电子交易平台的要求编制并加密投标文件。投标人未按规定加密的投标文件，电子交易平台将拒收并提示。</w:t>
      </w:r>
    </w:p>
    <w:p w14:paraId="377BEBBA">
      <w:pPr>
        <w:snapToGrid w:val="0"/>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sz w:val="24"/>
          <w:szCs w:val="24"/>
          <w:highlight w:val="none"/>
          <w:lang w:val="zh-CN"/>
        </w:rPr>
        <w:t>使用“乐采云电子交易客户端”需要提前申领CA数字证书，申领流程请自行前往“</w:t>
      </w:r>
      <w:r>
        <w:rPr>
          <w:rFonts w:hint="eastAsia" w:ascii="宋体" w:hAnsi="宋体" w:eastAsia="宋体" w:cs="宋体"/>
          <w:color w:val="auto"/>
          <w:kern w:val="2"/>
          <w:sz w:val="24"/>
          <w:szCs w:val="24"/>
          <w:highlight w:val="none"/>
          <w:lang w:val="en-US" w:eastAsia="zh-CN" w:bidi="ar-SA"/>
        </w:rPr>
        <w:t>浙江企业采购信息服务网</w:t>
      </w:r>
      <w:r>
        <w:rPr>
          <w:rFonts w:hint="eastAsia" w:ascii="宋体" w:hAnsi="宋体" w:eastAsia="宋体" w:cs="宋体"/>
          <w:color w:val="auto"/>
          <w:sz w:val="24"/>
          <w:szCs w:val="24"/>
          <w:highlight w:val="none"/>
          <w:lang w:val="zh-CN"/>
        </w:rPr>
        <w:t>-下载专区-电子交易客户端-CA驱动和申领流程”进行查阅。</w:t>
      </w:r>
    </w:p>
    <w:p w14:paraId="0741DB98">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4.4</w:t>
      </w:r>
      <w:r>
        <w:rPr>
          <w:rFonts w:hint="eastAsia" w:ascii="宋体" w:hAnsi="宋体" w:eastAsia="宋体" w:cs="宋体"/>
          <w:color w:val="auto"/>
          <w:kern w:val="2"/>
          <w:sz w:val="24"/>
          <w:szCs w:val="24"/>
          <w:highlight w:val="none"/>
          <w:lang w:val="zh-CN" w:eastAsia="zh-CN" w:bidi="ar-SA"/>
        </w:rPr>
        <w:t>投标文件按照招标文件第六部分格式要求进行签署、盖章。投标人的投标文件未按照招标文件要求签署、盖章的，其投标无效。</w:t>
      </w:r>
    </w:p>
    <w:p w14:paraId="1FB94D0C">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为确保网上操作合法、有效和安全，投标人应当在投标截止时间前完成在“</w:t>
      </w:r>
      <w:r>
        <w:rPr>
          <w:rFonts w:hint="eastAsia" w:ascii="宋体" w:hAnsi="宋体" w:eastAsia="宋体" w:cs="宋体"/>
          <w:color w:val="auto"/>
          <w:sz w:val="24"/>
          <w:szCs w:val="24"/>
          <w:highlight w:val="none"/>
          <w:lang w:val="zh-CN"/>
        </w:rPr>
        <w:t>乐采云平台”</w:t>
      </w:r>
      <w:r>
        <w:rPr>
          <w:rFonts w:hint="eastAsia" w:ascii="宋体" w:hAnsi="宋体" w:eastAsia="宋体" w:cs="宋体"/>
          <w:color w:val="auto"/>
          <w:kern w:val="2"/>
          <w:sz w:val="24"/>
          <w:szCs w:val="24"/>
          <w:highlight w:val="none"/>
          <w:lang w:val="zh-CN" w:eastAsia="zh-CN" w:bidi="ar-SA"/>
        </w:rPr>
        <w:t>的身份认证，确保在电子投标过程中能够对相关数据电文进行加密和使用电子签名。</w:t>
      </w:r>
    </w:p>
    <w:p w14:paraId="4DC41BBE">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kern w:val="2"/>
          <w:sz w:val="24"/>
          <w:szCs w:val="24"/>
          <w:highlight w:val="none"/>
          <w:lang w:val="zh-CN" w:eastAsia="zh-CN" w:bidi="ar-SA"/>
        </w:rPr>
        <w:t>招标文件对投标文件签署、盖章的要求适用于电子签名。</w:t>
      </w:r>
    </w:p>
    <w:p w14:paraId="1CE16334">
      <w:pPr>
        <w:pStyle w:val="108"/>
        <w:spacing w:before="0" w:line="4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 投标文件的提交、补充、修改、撤回</w:t>
      </w:r>
    </w:p>
    <w:p w14:paraId="52B0EB7B">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EC5E47">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5.2电子交易平台收到投标文件，将妥善保存并即时向供应商发出确认回执通知。在投标截止时间前，除供应商补充、修改或者撤回投标文件外，任何单位和个人不得解密或提取投标文件。</w:t>
      </w:r>
    </w:p>
    <w:p w14:paraId="48CE7B56">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5.3采购人、采购代理机构可以视情况延长投标文件提交的截止时间。在上述情况下，采购代理机构与投标人以前在投标截止期方面的全部权利、责任和义务，将适用于延长至新的投标截止期。</w:t>
      </w:r>
    </w:p>
    <w:p w14:paraId="65BC59B5">
      <w:pPr>
        <w:adjustRightInd w:val="0"/>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.投标有效期</w:t>
      </w:r>
    </w:p>
    <w:p w14:paraId="2EDF9F8C">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.1投标有效期为从提交投标文件的截止之日起90天。投标人的投标文件中承诺的投标有效期少于招标文件中载明的投标有效期的，投标无效。</w:t>
      </w:r>
    </w:p>
    <w:p w14:paraId="72D4291D">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.2投标文件合格投递后，自投标截止日期起，在投标有效期内有效。</w:t>
      </w:r>
    </w:p>
    <w:p w14:paraId="04D56E0B">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r>
        <w:rPr>
          <w:rFonts w:hint="default" w:ascii="仿宋" w:hAnsi="仿宋" w:eastAsia="仿宋" w:cs="仿宋"/>
          <w:b w:val="0"/>
          <w:bCs w:val="0"/>
          <w:i w:val="0"/>
          <w:iCs w:val="0"/>
          <w:color w:val="auto"/>
          <w:kern w:val="2"/>
          <w:sz w:val="24"/>
          <w:szCs w:val="24"/>
          <w:highlight w:val="none"/>
          <w:vertAlign w:val="baseline"/>
          <w:lang w:val="en-US" w:eastAsia="zh-CN" w:bidi="ar-SA"/>
        </w:rPr>
        <w:t>。</w:t>
      </w:r>
    </w:p>
    <w:p w14:paraId="05A513B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四、开标和评标</w:t>
      </w:r>
    </w:p>
    <w:p w14:paraId="42520481">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1．电子招投标开标及评审程序</w:t>
      </w:r>
    </w:p>
    <w:p w14:paraId="28373105">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1.1投标截止时间后，主持人宣布开标开始。</w:t>
      </w:r>
    </w:p>
    <w:p w14:paraId="7EF24ED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采云平台，用“项目采购-开标评标”功能对电子投标文件进行在线解密。在线解密电子投标文件时间为开标时间起30分钟内。</w:t>
      </w:r>
    </w:p>
    <w:p w14:paraId="233F935E">
      <w:pPr>
        <w:snapToGrid w:val="0"/>
        <w:spacing w:line="4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1.3评标委员会对资格和商务技术响应文件进行评审</w:t>
      </w:r>
      <w:r>
        <w:rPr>
          <w:rFonts w:hint="eastAsia" w:ascii="宋体" w:hAnsi="宋体" w:eastAsia="宋体" w:cs="宋体"/>
          <w:color w:val="auto"/>
          <w:sz w:val="24"/>
          <w:szCs w:val="24"/>
          <w:highlight w:val="none"/>
          <w:lang w:eastAsia="zh-CN"/>
        </w:rPr>
        <w:t>。</w:t>
      </w:r>
    </w:p>
    <w:p w14:paraId="1BF42CE0">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1.4主持人宣布商务技术得分及无效（废）投标情形（如有），公布经商务技术（资信）评审符合招标文件要求的投标人名单及其商务技术得分。</w:t>
      </w:r>
    </w:p>
    <w:p w14:paraId="6BF5D1A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1.5启封报价文件资料，主持人宣读投标人名称、投标价格和投标文件的其他内容。未宣读的投标报价和招标文件未允许提供的备选投标方案等实质性内容，评标时不予承认。</w:t>
      </w:r>
    </w:p>
    <w:p w14:paraId="1010834A">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1.6评标委员会对投标文件报价文件资料进行评审，核准投标报价及计算价格分，汇总商务技术分、价格分，根据得分排序确定中标候选人。</w:t>
      </w:r>
    </w:p>
    <w:p w14:paraId="6D7A039D">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1.7主持人公布评标结果。</w:t>
      </w:r>
    </w:p>
    <w:p w14:paraId="62C31FC4">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r>
        <w:rPr>
          <w:rFonts w:hint="eastAsia" w:ascii="宋体" w:hAnsi="宋体" w:cs="宋体"/>
          <w:b/>
          <w:color w:val="auto"/>
          <w:sz w:val="24"/>
          <w:szCs w:val="24"/>
          <w:highlight w:val="none"/>
          <w:lang w:val="en-US" w:eastAsia="zh-CN"/>
        </w:rPr>
        <w:t>乐</w:t>
      </w:r>
      <w:r>
        <w:rPr>
          <w:rFonts w:hint="eastAsia" w:ascii="宋体" w:hAnsi="宋体" w:eastAsia="宋体" w:cs="宋体"/>
          <w:b/>
          <w:color w:val="auto"/>
          <w:sz w:val="24"/>
          <w:szCs w:val="24"/>
          <w:highlight w:val="none"/>
        </w:rPr>
        <w:t>采云公司如对电子化开标及评审程序有调整的，按调整后的程序操作。</w:t>
      </w:r>
    </w:p>
    <w:p w14:paraId="51942E71">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44B0315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3F33FF6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0CB07634">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696E04E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228D19F2">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45C3FC05">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6ACCCFC7">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3．评标</w:t>
      </w:r>
    </w:p>
    <w:p w14:paraId="441F6A88">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5817F68A">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3.2评标委员会由采购人代表和有关方面的专家组成，成员人数为五人以上单数。</w:t>
      </w:r>
    </w:p>
    <w:p w14:paraId="7756E56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3.3评标委员会负责对投标人资格的最终审定。</w:t>
      </w:r>
    </w:p>
    <w:p w14:paraId="08BC3D87">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3.4评标委员会可以要求投标人对其投标文件中含义不明确的内容作必要的澄清或者说明，但澄清或者说明不得超过投标文件的范围或者改变投标文件的实质性内容。</w:t>
      </w:r>
    </w:p>
    <w:p w14:paraId="440848F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采云平台交换数据电文。给予供应商提交澄清说明或补正的时间不少于半小时，供应商已经明确表示澄清说明或补正完毕的除外。</w:t>
      </w:r>
    </w:p>
    <w:p w14:paraId="74409A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采云平台交换的数据电文必须进行电子签章。</w:t>
      </w:r>
    </w:p>
    <w:p w14:paraId="1BF563AD">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对投标文件的判定，只依据投标文件和招标文件内容本身，不依据任何外来证明。</w:t>
      </w:r>
    </w:p>
    <w:p w14:paraId="24C76D8F">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3.6评标委员会不向落标方解释落标的原因。</w:t>
      </w:r>
    </w:p>
    <w:p w14:paraId="6F7F6A46">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4．投标文件的初审鉴定</w:t>
      </w:r>
    </w:p>
    <w:p w14:paraId="467EA25B">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17A85873">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0B0B76F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7E305B0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C1C8904">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39BFF81E">
      <w:pPr>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5. </w:t>
      </w:r>
      <w:r>
        <w:rPr>
          <w:rFonts w:hint="eastAsia" w:ascii="宋体" w:hAnsi="宋体" w:eastAsia="宋体" w:cs="宋体"/>
          <w:b/>
          <w:color w:val="auto"/>
          <w:sz w:val="24"/>
          <w:szCs w:val="24"/>
          <w:highlight w:val="none"/>
        </w:rPr>
        <w:t>投标文件报价出现前后不一致的，按照下列规定修正：</w:t>
      </w:r>
    </w:p>
    <w:p w14:paraId="1CF29393">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63183AE2">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0A97AC93">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18D47C9F">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6DC54533">
      <w:pPr>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w:t>
      </w:r>
      <w:r>
        <w:rPr>
          <w:rFonts w:hint="eastAsia" w:ascii="宋体" w:hAnsi="宋体" w:eastAsia="宋体" w:cs="宋体"/>
          <w:bCs/>
          <w:color w:val="auto"/>
          <w:sz w:val="24"/>
          <w:szCs w:val="24"/>
          <w:highlight w:val="none"/>
        </w:rPr>
        <w:t>修正后的报价</w:t>
      </w:r>
      <w:r>
        <w:rPr>
          <w:rFonts w:hint="eastAsia" w:ascii="宋体" w:hAnsi="宋体" w:cs="宋体"/>
          <w:bCs/>
          <w:color w:val="auto"/>
          <w:sz w:val="24"/>
          <w:szCs w:val="24"/>
          <w:highlight w:val="none"/>
          <w:lang w:val="en-US" w:eastAsia="zh-CN"/>
        </w:rPr>
        <w:t>参</w:t>
      </w:r>
      <w:r>
        <w:rPr>
          <w:rFonts w:hint="eastAsia" w:ascii="宋体" w:hAnsi="宋体" w:eastAsia="宋体" w:cs="宋体"/>
          <w:bCs/>
          <w:color w:val="auto"/>
          <w:sz w:val="24"/>
          <w:szCs w:val="24"/>
          <w:highlight w:val="none"/>
        </w:rPr>
        <w:t>照财政部公布第87号令 《政府采购货物和服务招标投标管理办法》</w:t>
      </w:r>
      <w:r>
        <w:rPr>
          <w:rFonts w:hint="eastAsia" w:ascii="宋体" w:hAnsi="宋体" w:eastAsia="宋体" w:cs="宋体"/>
          <w:color w:val="auto"/>
          <w:sz w:val="24"/>
          <w:szCs w:val="24"/>
          <w:highlight w:val="none"/>
        </w:rPr>
        <w:t>第五十一条第二款的规定经投标人确认后产生约束力，投标人不确认的，其投标无效。</w:t>
      </w:r>
    </w:p>
    <w:p w14:paraId="221478C1">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33D3F4CF">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52EACE6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采云平台进行书面说明并提供相关材料，但不得超过投标文件的范围或者改变投标文件的实质性内容。</w:t>
      </w:r>
    </w:p>
    <w:p w14:paraId="0AFE64E7">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22E61FE1">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采云平台进行线上确认，但不允许对偏离条款进行补充、修正或撤回。</w:t>
      </w:r>
    </w:p>
    <w:p w14:paraId="149C6BE1">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313C1C9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661EAD63">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4CCE45F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采云平台提供线上说明，必要时提交相关证明材料。</w:t>
      </w:r>
    </w:p>
    <w:p w14:paraId="606459B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6.7.3如需投标价格修正，按财政部87号令第五十九条的规定对投标价格进行修正。</w:t>
      </w:r>
    </w:p>
    <w:p w14:paraId="5790D58B">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6.8评标委员会依据招标文件规定的评标标准和方法，对投标文件进行评审和比较后提供书面评标报告，并按得分高低排序推荐中标候选供应商。</w:t>
      </w:r>
    </w:p>
    <w:p w14:paraId="178899CE">
      <w:pPr>
        <w:pStyle w:val="9"/>
        <w:widowControl w:val="0"/>
        <w:numPr>
          <w:ilvl w:val="0"/>
          <w:numId w:val="0"/>
        </w:numPr>
        <w:spacing w:afterLines="0" w:line="440" w:lineRule="exact"/>
        <w:ind w:leftChars="-20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36618C52">
      <w:pPr>
        <w:pStyle w:val="9"/>
        <w:widowControl w:val="0"/>
        <w:spacing w:afterLines="0"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06E7068D">
      <w:pPr>
        <w:pStyle w:val="16"/>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5560C403">
      <w:pPr>
        <w:tabs>
          <w:tab w:val="left" w:pos="4085"/>
        </w:tabs>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48E43019">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8.1未按照招标文件规定要求电子签章、签字或盖章的；</w:t>
      </w:r>
    </w:p>
    <w:p w14:paraId="0D859F22">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8.2单位负责人为同一人或者存在直接控股、管理关系的不同供应商参加同一合同项下的采购活动的（均无效）；</w:t>
      </w:r>
    </w:p>
    <w:p w14:paraId="7600C928">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8.3为采购项目提供整体设计、规范编制或者项目管理、监理、检测等服务的供应商参加该采购项目的其他采购活动的； </w:t>
      </w:r>
    </w:p>
    <w:p w14:paraId="48DB6988">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8.4投标人不具备招标文件中规定的资格要求的（投标人未提供有效的资格证明文件的，视为投标人不具备招标文件中规定的资格要求）；</w:t>
      </w:r>
    </w:p>
    <w:p w14:paraId="2C04DA36">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8.5《法定代表人身份证明书》与提供的身份证复印件信息不符的；《法定代表人授权委托书》与提供的身份证复印件信息不符的；</w:t>
      </w:r>
    </w:p>
    <w:p w14:paraId="0F48C076">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8.6《法定代表人授权委托书》或《法定代表人身份证明书》填写不全、错误、未电子签章(《法定代表人授权委托书》要求“电子签章”和“签字或盖章”缺一不可）的；</w:t>
      </w:r>
    </w:p>
    <w:p w14:paraId="7721E1D1">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8.7授权代表非投标单位正式职工的（以社保证明为准，如授权代表为离退休返聘人员的，需提供退休证明及单位聘用证明），法定代表人及个体工商户除外；</w:t>
      </w:r>
    </w:p>
    <w:p w14:paraId="2F262B3F">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8.8投标文件中的投标函无投标人的电子签章或填写不全的；</w:t>
      </w:r>
    </w:p>
    <w:p w14:paraId="557CB7EF">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8.9报</w:t>
      </w:r>
      <w:r>
        <w:rPr>
          <w:rFonts w:hint="eastAsia" w:ascii="宋体" w:hAnsi="宋体" w:eastAsia="宋体" w:cs="宋体"/>
          <w:b/>
          <w:color w:val="auto"/>
          <w:sz w:val="24"/>
          <w:szCs w:val="24"/>
          <w:highlight w:val="none"/>
        </w:rPr>
        <w:t>价一经涂改，未在涂改处加盖投标单位公章或者未经法定代表人或其授权代表签字或盖章的；</w:t>
      </w:r>
    </w:p>
    <w:p w14:paraId="01009DE3">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8.10</w:t>
      </w:r>
      <w:r>
        <w:rPr>
          <w:rFonts w:hint="eastAsia" w:ascii="宋体" w:hAnsi="宋体" w:eastAsia="宋体" w:cs="宋体"/>
          <w:b/>
          <w:color w:val="auto"/>
          <w:sz w:val="24"/>
          <w:szCs w:val="24"/>
          <w:highlight w:val="none"/>
        </w:rPr>
        <w:t>未按招标文件规定的格式填写，或对招标服务或技术或产品等要求未详细应答或应答内容不全、有缺失的,经评标委员会认定为无法评审的；</w:t>
      </w:r>
    </w:p>
    <w:p w14:paraId="53FBA55B">
      <w:pPr>
        <w:pStyle w:val="16"/>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36734209">
      <w:pPr>
        <w:pStyle w:val="16"/>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8.12《技术偏离说明表》不真实填写或弄虚作假的；</w:t>
      </w:r>
    </w:p>
    <w:p w14:paraId="48557F16">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8.13投</w:t>
      </w:r>
      <w:r>
        <w:rPr>
          <w:rFonts w:hint="eastAsia" w:ascii="宋体" w:hAnsi="宋体" w:eastAsia="宋体" w:cs="宋体"/>
          <w:b/>
          <w:color w:val="auto"/>
          <w:kern w:val="0"/>
          <w:sz w:val="24"/>
          <w:szCs w:val="24"/>
          <w:highlight w:val="none"/>
        </w:rPr>
        <w:t>标文件含有采购人不能接受的附加条件；</w:t>
      </w:r>
    </w:p>
    <w:p w14:paraId="7571838F">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8.14评</w:t>
      </w:r>
      <w:r>
        <w:rPr>
          <w:rFonts w:hint="eastAsia" w:ascii="宋体" w:hAnsi="宋体" w:eastAsia="宋体" w:cs="宋体"/>
          <w:b/>
          <w:color w:val="auto"/>
          <w:sz w:val="24"/>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29BF37D6">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8.15报价超过招标文件中规定的预算金额或最高限价的；</w:t>
      </w:r>
    </w:p>
    <w:p w14:paraId="1FDAB75C">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8.16投标文件“商务技术（资信）文件资料”部分中出现《开标一览表》相关内容的；</w:t>
      </w:r>
    </w:p>
    <w:p w14:paraId="4E47B3E1">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《开标一览表》填写不完整或字迹不能辨认或有漏项的，经评标委员会认定属于重大偏差的；</w:t>
      </w:r>
    </w:p>
    <w:p w14:paraId="674B0B98">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投标人对根据修正原则修正后的报价不确认的；</w:t>
      </w:r>
    </w:p>
    <w:p w14:paraId="7A57455E">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cs="宋体"/>
          <w:b/>
          <w:color w:val="auto"/>
          <w:sz w:val="24"/>
          <w:szCs w:val="24"/>
          <w:highlight w:val="none"/>
          <w:lang w:val="en-US" w:eastAsia="zh-CN"/>
        </w:rPr>
        <w:t>19</w:t>
      </w:r>
      <w:r>
        <w:rPr>
          <w:rFonts w:hint="eastAsia" w:ascii="宋体" w:hAnsi="宋体" w:eastAsia="宋体" w:cs="宋体"/>
          <w:b/>
          <w:color w:val="auto"/>
          <w:sz w:val="24"/>
          <w:szCs w:val="24"/>
          <w:highlight w:val="none"/>
        </w:rPr>
        <w:t>投标人提供虚假材料投标的（包括但不限于以下情节）；</w:t>
      </w:r>
    </w:p>
    <w:p w14:paraId="6FA199C1">
      <w:pPr>
        <w:keepNext w:val="0"/>
        <w:keepLines w:val="0"/>
        <w:pageBreakBefore w:val="0"/>
        <w:tabs>
          <w:tab w:val="left" w:pos="3870"/>
          <w:tab w:val="left" w:pos="4085"/>
        </w:tabs>
        <w:kinsoku/>
        <w:wordWrap/>
        <w:overflowPunct/>
        <w:topLinePunct w:val="0"/>
        <w:bidi w:val="0"/>
        <w:adjustRightInd/>
        <w:snapToGrid w:val="0"/>
        <w:spacing w:line="440" w:lineRule="exact"/>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8.20.1使用伪造、变造的许可证件；</w:t>
      </w:r>
    </w:p>
    <w:p w14:paraId="1FC948E7">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8.20.2提供虚假的财务状况或者业绩；</w:t>
      </w:r>
    </w:p>
    <w:p w14:paraId="282C685B">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8.20.3提供虚假的项目负责人或者主要技术人员简历、劳动关系证明；</w:t>
      </w:r>
    </w:p>
    <w:p w14:paraId="144A4695">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8.20.4提供虚假的信用状况；</w:t>
      </w:r>
    </w:p>
    <w:p w14:paraId="3C584C98">
      <w:pPr>
        <w:keepNext w:val="0"/>
        <w:keepLines w:val="0"/>
        <w:pageBreakBefore w:val="0"/>
        <w:tabs>
          <w:tab w:val="left" w:pos="3870"/>
          <w:tab w:val="left" w:pos="4085"/>
        </w:tabs>
        <w:kinsoku/>
        <w:wordWrap/>
        <w:overflowPunct/>
        <w:topLinePunct w:val="0"/>
        <w:bidi w:val="0"/>
        <w:adjustRightInd/>
        <w:snapToGri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8.20.5其他弄虚作假的行为。</w:t>
      </w:r>
    </w:p>
    <w:p w14:paraId="77AF71EE">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下列情形之一的，视为投标人串通投标，其投标无效：</w:t>
      </w:r>
    </w:p>
    <w:p w14:paraId="6A058523">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.1不同投标人的投标文件由同一单位或者个人编制；</w:t>
      </w:r>
    </w:p>
    <w:p w14:paraId="64CE2E38">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.2不同投标人委托同一单位或者个人办理投标事宜；</w:t>
      </w:r>
    </w:p>
    <w:p w14:paraId="79BC98BE">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.3不同投标人的投标文件载明的项目管理成员或者联系人员为同一人；</w:t>
      </w:r>
    </w:p>
    <w:p w14:paraId="757999C3">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.4不同投标人的投标文件异常一致或者投标报价呈规律性差异；</w:t>
      </w:r>
    </w:p>
    <w:p w14:paraId="6E0E6A9B">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.5不同投标人的投标文件相互混装；</w:t>
      </w:r>
    </w:p>
    <w:p w14:paraId="6E7F6642">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512531CF">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有下列情形之一的，属于恶意串通，其投标无效：</w:t>
      </w:r>
    </w:p>
    <w:p w14:paraId="51FF7CBF">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.1供应商直接或者间接从采购人或者采购机构处获得其他供应商的相关情况并修改其投标文件或者响应文件；</w:t>
      </w:r>
    </w:p>
    <w:p w14:paraId="24978AF3">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.2供应商按照采购人或者采购机构的授意撤换、修改投标文件或者响应文件；</w:t>
      </w:r>
    </w:p>
    <w:p w14:paraId="58CF1F8C">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.3供应商之间协商报价、技术方案等投标文件或者响应文件的实质性内容；</w:t>
      </w:r>
    </w:p>
    <w:p w14:paraId="55CBEDEC">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.4属于同一集团、协会、商会等组织成员的供应商按照该组织要求协同参加采购活动；</w:t>
      </w:r>
    </w:p>
    <w:p w14:paraId="41103173">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.5供应商之间事先约定由某一特定供应商中标、成交；</w:t>
      </w:r>
    </w:p>
    <w:p w14:paraId="00B75FA6">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.6供应商之间商定部分供应商放弃参加采购活动或者放弃中标、成交；</w:t>
      </w:r>
    </w:p>
    <w:p w14:paraId="099E4E5E">
      <w:pPr>
        <w:keepNext w:val="0"/>
        <w:keepLines w:val="0"/>
        <w:pageBreakBefore w:val="0"/>
        <w:tabs>
          <w:tab w:val="left" w:pos="3870"/>
          <w:tab w:val="left" w:pos="4085"/>
        </w:tabs>
        <w:kinsoku/>
        <w:wordWrap/>
        <w:overflowPunct/>
        <w:topLinePunct w:val="0"/>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.7供应商与采购人或者采购机构之间、供应商相互之间，为谋求特定供应商中标、成交或者排斥其他供应商的其他串通行为。</w:t>
      </w:r>
    </w:p>
    <w:p w14:paraId="379EA7DE">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评标委员会认定有重大偏差或实质性不响应招标文件要求的；</w:t>
      </w:r>
    </w:p>
    <w:p w14:paraId="605E3EC1">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报价文件中出现2个(含)以上的报价或方案的；</w:t>
      </w:r>
    </w:p>
    <w:p w14:paraId="657F4C58">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其他违反法律、法规的情形。</w:t>
      </w:r>
    </w:p>
    <w:p w14:paraId="474117C8">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 评标过程保密</w:t>
      </w:r>
    </w:p>
    <w:p w14:paraId="79BA9B16">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7925FEC">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在评标期间，投标人企图影响招标人或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p w14:paraId="3DCAA212">
      <w:pPr>
        <w:pStyle w:val="16"/>
        <w:keepNext w:val="0"/>
        <w:keepLines w:val="0"/>
        <w:pageBreakBefore w:val="0"/>
        <w:kinsoku/>
        <w:wordWrap/>
        <w:overflowPunct/>
        <w:topLinePunct w:val="0"/>
        <w:bidi w:val="0"/>
        <w:adjustRightInd/>
        <w:spacing w:line="440" w:lineRule="exact"/>
        <w:ind w:firstLine="726"/>
        <w:jc w:val="center"/>
        <w:textAlignment w:val="auto"/>
        <w:rPr>
          <w:rFonts w:hint="eastAsia" w:ascii="宋体" w:hAnsi="宋体" w:eastAsia="宋体" w:cs="宋体"/>
          <w:b/>
          <w:color w:val="auto"/>
          <w:sz w:val="24"/>
          <w:szCs w:val="24"/>
          <w:highlight w:val="none"/>
        </w:rPr>
      </w:pPr>
      <w:bookmarkStart w:id="27" w:name="_Toc84325929"/>
      <w:bookmarkStart w:id="28" w:name="_Toc81372953"/>
      <w:bookmarkStart w:id="29" w:name="_Toc81372776"/>
      <w:r>
        <w:rPr>
          <w:rFonts w:hint="eastAsia" w:ascii="宋体" w:hAnsi="宋体" w:eastAsia="宋体" w:cs="宋体"/>
          <w:b/>
          <w:color w:val="auto"/>
          <w:sz w:val="24"/>
          <w:szCs w:val="24"/>
          <w:highlight w:val="none"/>
        </w:rPr>
        <w:t>五、授予合同</w:t>
      </w:r>
    </w:p>
    <w:p w14:paraId="49930A09">
      <w:pPr>
        <w:pStyle w:val="9"/>
        <w:keepNext w:val="0"/>
        <w:keepLines w:val="0"/>
        <w:pageBreakBefore w:val="0"/>
        <w:numPr>
          <w:ilvl w:val="0"/>
          <w:numId w:val="0"/>
        </w:numPr>
        <w:kinsoku/>
        <w:wordWrap/>
        <w:overflowPunct/>
        <w:topLinePunct w:val="0"/>
        <w:bidi w:val="0"/>
        <w:adjustRightInd/>
        <w:spacing w:afterLines="0" w:line="440" w:lineRule="exact"/>
        <w:ind w:leftChars="-200"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1.中标条件</w:t>
      </w:r>
    </w:p>
    <w:p w14:paraId="4D20906A">
      <w:pPr>
        <w:pStyle w:val="9"/>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608427A1">
      <w:pPr>
        <w:pStyle w:val="9"/>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009ACC56">
      <w:pPr>
        <w:pStyle w:val="9"/>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1.3实施方案最合理并对招标人最为有利，最大限度满足招标文件的要求；</w:t>
      </w:r>
    </w:p>
    <w:p w14:paraId="04722087">
      <w:pPr>
        <w:pStyle w:val="9"/>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49113F27">
      <w:pPr>
        <w:pStyle w:val="9"/>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1.5招标人将把中标通知书授予最佳投标者，但最低价不是中标的绝对保证。</w:t>
      </w:r>
    </w:p>
    <w:bookmarkEnd w:id="27"/>
    <w:bookmarkEnd w:id="28"/>
    <w:bookmarkEnd w:id="29"/>
    <w:p w14:paraId="2D5CD35F">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7EFF5A8F">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5983A118">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24E3C858">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302D4668">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3．中标通知</w:t>
      </w:r>
    </w:p>
    <w:p w14:paraId="6156C57A">
      <w:pPr>
        <w:pStyle w:val="108"/>
        <w:keepNext w:val="0"/>
        <w:keepLines w:val="0"/>
        <w:pageBreakBefore w:val="0"/>
        <w:tabs>
          <w:tab w:val="left" w:pos="0"/>
        </w:tabs>
        <w:kinsoku/>
        <w:wordWrap/>
        <w:overflowPunct/>
        <w:topLinePunct w:val="0"/>
        <w:bidi w:val="0"/>
        <w:adjustRightInd/>
        <w:spacing w:before="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对中标结果在指定媒体</w:t>
      </w:r>
      <w:r>
        <w:rPr>
          <w:rFonts w:hint="eastAsia" w:ascii="宋体" w:hAnsi="宋体" w:eastAsia="宋体" w:cs="宋体"/>
          <w:color w:val="auto"/>
          <w:kern w:val="0"/>
          <w:sz w:val="24"/>
          <w:szCs w:val="24"/>
          <w:highlight w:val="none"/>
          <w:lang w:val="en-US" w:eastAsia="zh-CN" w:bidi="ar-SA"/>
        </w:rPr>
        <w:t>（乐采云平台</w:t>
      </w:r>
      <w:r>
        <w:rPr>
          <w:rFonts w:hint="eastAsia" w:ascii="宋体" w:hAnsi="宋体" w:eastAsia="宋体" w:cs="宋体"/>
          <w:color w:val="auto"/>
          <w:u w:val="none"/>
        </w:rPr>
        <w:fldChar w:fldCharType="begin"/>
      </w:r>
      <w:r>
        <w:rPr>
          <w:rFonts w:hint="eastAsia" w:ascii="宋体" w:hAnsi="宋体" w:eastAsia="宋体" w:cs="宋体"/>
          <w:color w:val="auto"/>
          <w:u w:val="none"/>
        </w:rPr>
        <w:instrText xml:space="preserve"> HYPERLINK "https://www.zcygov.cn/" </w:instrText>
      </w:r>
      <w:r>
        <w:rPr>
          <w:rFonts w:hint="eastAsia" w:ascii="宋体" w:hAnsi="宋体" w:eastAsia="宋体" w:cs="宋体"/>
          <w:color w:val="auto"/>
          <w:u w:val="none"/>
        </w:rPr>
        <w:fldChar w:fldCharType="separate"/>
      </w:r>
      <w:r>
        <w:rPr>
          <w:rStyle w:val="36"/>
          <w:rFonts w:hint="eastAsia" w:ascii="宋体" w:hAnsi="宋体" w:eastAsia="宋体" w:cs="宋体"/>
          <w:color w:val="auto"/>
          <w:sz w:val="24"/>
          <w:u w:val="none"/>
        </w:rPr>
        <w:t>https://www.lecaiyun.com/</w:t>
      </w:r>
      <w:r>
        <w:rPr>
          <w:rStyle w:val="36"/>
          <w:rFonts w:hint="eastAsia" w:ascii="宋体" w:hAnsi="宋体" w:eastAsia="宋体" w:cs="宋体"/>
          <w:color w:val="auto"/>
          <w:sz w:val="24"/>
          <w:u w:val="none"/>
        </w:rPr>
        <w:fldChar w:fldCharType="end"/>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发布中标公告，中标公告期限为1个工作日。</w:t>
      </w:r>
    </w:p>
    <w:p w14:paraId="796BF087">
      <w:pPr>
        <w:keepNext w:val="0"/>
        <w:keepLines w:val="0"/>
        <w:pageBreakBefore w:val="0"/>
        <w:tabs>
          <w:tab w:val="left" w:pos="0"/>
        </w:tabs>
        <w:kinsoku/>
        <w:wordWrap/>
        <w:overflowPunct/>
        <w:topLinePunct w:val="0"/>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3.2在采购代理机构发出中标通知书前，中标供应商如有违反有关法律法规和本项目要求行为的，则取消该投标人的中标资格</w:t>
      </w:r>
      <w:r>
        <w:rPr>
          <w:rFonts w:hint="eastAsia" w:ascii="宋体" w:hAnsi="宋体" w:eastAsia="宋体" w:cs="宋体"/>
          <w:color w:val="auto"/>
          <w:kern w:val="0"/>
          <w:sz w:val="24"/>
          <w:szCs w:val="24"/>
          <w:highlight w:val="none"/>
          <w:lang w:val="zh-CN"/>
        </w:rPr>
        <w:t>。</w:t>
      </w:r>
    </w:p>
    <w:p w14:paraId="4BF6E1F1">
      <w:pPr>
        <w:keepNext w:val="0"/>
        <w:keepLines w:val="0"/>
        <w:pageBreakBefore w:val="0"/>
        <w:kinsoku/>
        <w:wordWrap/>
        <w:overflowPunct/>
        <w:topLinePunct w:val="0"/>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14682B25">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4．履约保证金</w:t>
      </w:r>
    </w:p>
    <w:p w14:paraId="2CE55A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4.1中标单位按照招标文件规定递交履约保证金。</w:t>
      </w:r>
    </w:p>
    <w:p w14:paraId="61EEC8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4.2签订合同后，如中标单位不按双方合同约定履约，则没收其全部履约保证金，履约保证金不足以赔偿损失的，按实际损失赔偿。</w:t>
      </w:r>
    </w:p>
    <w:p w14:paraId="53D6FD85">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4.3中标单位如未按时交纳履约保证金，采购人有权撤销其中标资格，报请批准后另行采购。</w:t>
      </w:r>
    </w:p>
    <w:p w14:paraId="5BFA6250">
      <w:pPr>
        <w:keepNext w:val="0"/>
        <w:keepLines w:val="0"/>
        <w:pageBreakBefore w:val="0"/>
        <w:kinsoku/>
        <w:wordWrap/>
        <w:overflowPunct/>
        <w:topLinePunct w:val="0"/>
        <w:bidi w:val="0"/>
        <w:adjustRightIn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．合同签订及备案</w:t>
      </w:r>
    </w:p>
    <w:p w14:paraId="7F44F56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5.1中标人应当在中标通知书发出之日起30天内与采购人签订合同，自采购合同签订之日起3个工作日内，通过电子交易平台进行备案。</w:t>
      </w:r>
    </w:p>
    <w:p w14:paraId="3CC82FD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5.2如中标人为联合体的，由联合体成员各方法定代表人或其授权代表与采购人代表签订合同。</w:t>
      </w:r>
    </w:p>
    <w:p w14:paraId="2589B2A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1C49CF66">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05D33252">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1E566E12">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6.3 采购人负责加强对中标人的履约管理，并按照采购合同约定，及时向中标人支</w:t>
      </w:r>
      <w:r>
        <w:rPr>
          <w:rFonts w:hint="eastAsia" w:ascii="宋体" w:hAnsi="宋体" w:eastAsia="宋体" w:cs="宋体"/>
          <w:color w:val="auto"/>
          <w:spacing w:val="-11"/>
          <w:sz w:val="24"/>
          <w:szCs w:val="24"/>
          <w:highlight w:val="none"/>
        </w:rPr>
        <w:t>付采购资金。对于中标人违反采购合同约定的行为，采购人应当及时处理，依法追究其违约责任。</w:t>
      </w:r>
    </w:p>
    <w:p w14:paraId="43769E59">
      <w:pPr>
        <w:keepNext w:val="0"/>
        <w:keepLines w:val="0"/>
        <w:pageBreakBefore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六、质疑与投诉</w:t>
      </w:r>
    </w:p>
    <w:bookmarkEnd w:id="25"/>
    <w:p w14:paraId="2C6EAADA">
      <w:pPr>
        <w:keepNext w:val="0"/>
        <w:keepLines w:val="0"/>
        <w:pageBreakBefore w:val="0"/>
        <w:kinsoku/>
        <w:wordWrap/>
        <w:overflowPunct/>
        <w:topLinePunct w:val="0"/>
        <w:bidi w:val="0"/>
        <w:adjustRightInd/>
        <w:spacing w:line="460" w:lineRule="exact"/>
        <w:ind w:firstLine="420"/>
        <w:textAlignment w:val="auto"/>
        <w:rPr>
          <w:rFonts w:ascii="宋体" w:hAnsi="宋体" w:cs="宋体"/>
          <w:color w:val="auto"/>
          <w:szCs w:val="24"/>
          <w:highlight w:val="none"/>
        </w:rPr>
      </w:pPr>
      <w:bookmarkStart w:id="30" w:name="_Toc513456151"/>
      <w:r>
        <w:rPr>
          <w:rFonts w:hint="eastAsia" w:ascii="宋体" w:hAnsi="宋体" w:cs="宋体"/>
          <w:color w:val="auto"/>
          <w:szCs w:val="24"/>
          <w:highlight w:val="none"/>
        </w:rPr>
        <w:t>供应商（投标人，下同）可以依法提起质疑和投诉</w:t>
      </w:r>
      <w:r>
        <w:rPr>
          <w:rFonts w:hint="eastAsia" w:ascii="宋体" w:hAnsi="宋体" w:cs="宋体"/>
          <w:color w:val="auto"/>
          <w:szCs w:val="24"/>
          <w:highlight w:val="none"/>
          <w:lang w:eastAsia="zh-CN"/>
        </w:rPr>
        <w:t>，</w:t>
      </w:r>
      <w:r>
        <w:rPr>
          <w:rFonts w:hint="eastAsia" w:ascii="宋体" w:hAnsi="宋体" w:cs="宋体"/>
          <w:color w:val="auto"/>
          <w:szCs w:val="24"/>
          <w:highlight w:val="none"/>
        </w:rPr>
        <w:t>质疑函范本、投诉书范本请到浙江政府采购网下载专区下载。</w:t>
      </w:r>
    </w:p>
    <w:p w14:paraId="3131A96D">
      <w:pPr>
        <w:keepNext w:val="0"/>
        <w:keepLines w:val="0"/>
        <w:pageBreakBefore w:val="0"/>
        <w:kinsoku/>
        <w:wordWrap/>
        <w:overflowPunct/>
        <w:topLinePunct w:val="0"/>
        <w:autoSpaceDE w:val="0"/>
        <w:autoSpaceDN w:val="0"/>
        <w:bidi w:val="0"/>
        <w:adjustRightInd/>
        <w:spacing w:line="460" w:lineRule="exact"/>
        <w:ind w:firstLine="472" w:firstLineChars="196"/>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1.供应商询问</w:t>
      </w:r>
    </w:p>
    <w:p w14:paraId="490132F2">
      <w:pPr>
        <w:pStyle w:val="16"/>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供应商对采购活动事项有疑问的，可以向采购机构提出询问，采购机构将对供应商依法提出的询问作出答复，但答复的内容不得涉及商业秘密。</w:t>
      </w:r>
    </w:p>
    <w:p w14:paraId="22071033">
      <w:pPr>
        <w:keepNext w:val="0"/>
        <w:keepLines w:val="0"/>
        <w:pageBreakBefore w:val="0"/>
        <w:kinsoku/>
        <w:wordWrap/>
        <w:overflowPunct/>
        <w:topLinePunct w:val="0"/>
        <w:bidi w:val="0"/>
        <w:adjustRightInd/>
        <w:spacing w:line="4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供应商质疑</w:t>
      </w:r>
    </w:p>
    <w:p w14:paraId="2E7F4F23">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.1质疑提出时效</w:t>
      </w:r>
    </w:p>
    <w:p w14:paraId="39F600BE">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.1.1提出质疑的供应商应当是参与所质疑项目采购活动的供应商。潜在供应商已依法获取其可质疑的采购文件的，可以对该文件提出质疑。</w:t>
      </w:r>
    </w:p>
    <w:p w14:paraId="5179517B">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1052EB7">
      <w:pPr>
        <w:keepNext w:val="0"/>
        <w:keepLines w:val="0"/>
        <w:pageBreakBefore w:val="0"/>
        <w:widowControl/>
        <w:kinsoku/>
        <w:wordWrap/>
        <w:overflowPunct/>
        <w:topLinePunct w:val="0"/>
        <w:bidi w:val="0"/>
        <w:adjustRightInd/>
        <w:snapToGrid w:val="0"/>
        <w:spacing w:line="460" w:lineRule="exact"/>
        <w:ind w:firstLine="434" w:firstLineChars="181"/>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.1.2.1对采购文件提出质疑的，质疑期限为供应商获得采购文件之日或者采购文件公告期限届满之日起计算，采购文件在获取截止之日后获得的，应当自采购文件公告期限届满之日起计算。</w:t>
      </w:r>
    </w:p>
    <w:p w14:paraId="04ACE266">
      <w:pPr>
        <w:keepNext w:val="0"/>
        <w:keepLines w:val="0"/>
        <w:pageBreakBefore w:val="0"/>
        <w:kinsoku/>
        <w:wordWrap/>
        <w:overflowPunct/>
        <w:topLinePunct w:val="0"/>
        <w:bidi w:val="0"/>
        <w:adjustRightInd/>
        <w:spacing w:line="460" w:lineRule="exact"/>
        <w:ind w:firstLine="456" w:firstLineChars="200"/>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.1.2.2对采购过程提出质疑的，质疑期限为各采购程序环节结束之日起计算。</w:t>
      </w:r>
    </w:p>
    <w:p w14:paraId="38F7F9A3">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.1.2.3对采购结果提出质疑的，质疑期限自采购结果公告期限届满之日起计算。</w:t>
      </w:r>
    </w:p>
    <w:p w14:paraId="061EB3D8">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.1.2.4对同一采购程序环节的质疑，供应商须一次性提出。</w:t>
      </w:r>
    </w:p>
    <w:p w14:paraId="6187850B">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质疑函</w:t>
      </w:r>
    </w:p>
    <w:p w14:paraId="1C27D4F1">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.2.1供应商提出质疑应当提交质疑函和必要的证明材料。质疑函应当包括下列内容：</w:t>
      </w:r>
    </w:p>
    <w:p w14:paraId="1F17D96C">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55BF4B8B">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质疑项目的名称、编号；</w:t>
      </w:r>
    </w:p>
    <w:p w14:paraId="7FC2B20A">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2E3F1B32">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事实依据；</w:t>
      </w:r>
    </w:p>
    <w:p w14:paraId="69C52BB9">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必要的法律依据；</w:t>
      </w:r>
    </w:p>
    <w:p w14:paraId="00FEEC38">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提出质疑的日期。</w:t>
      </w:r>
    </w:p>
    <w:p w14:paraId="1BE161B9">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2CD3B3F8">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质疑函范本及制作说明详见附件。</w:t>
      </w:r>
    </w:p>
    <w:p w14:paraId="19E0A558">
      <w:pPr>
        <w:keepNext w:val="0"/>
        <w:keepLines w:val="0"/>
        <w:pageBreakBefore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.供应商投诉</w:t>
      </w:r>
    </w:p>
    <w:p w14:paraId="50DCFECB">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.1质疑供应商对采购人或采购代理机构的答复不满意或者采购人、采购代理机构未在规定的时间内作出答复的，可以在答复期满后十五个工作日内向采购监督管理部门提出投诉。</w:t>
      </w:r>
    </w:p>
    <w:p w14:paraId="558417DC">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.2供应商投诉的事项不得超出已质疑事项的范围，基于质疑答复内容提出的投诉事项除外。</w:t>
      </w:r>
    </w:p>
    <w:p w14:paraId="6191ABDF">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4.3供应商投诉应当有明确的请求和必要的证明材料。</w:t>
      </w:r>
    </w:p>
    <w:p w14:paraId="2CF1D0A5">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4.4以联合体形式参加采购活动的，其投诉应当由组成联合体的所有供应商共同提出。</w:t>
      </w:r>
    </w:p>
    <w:p w14:paraId="795DB37D">
      <w:pPr>
        <w:keepNext w:val="0"/>
        <w:keepLines w:val="0"/>
        <w:pageBreakBefore w:val="0"/>
        <w:kinsoku/>
        <w:wordWrap/>
        <w:overflowPunct/>
        <w:topLinePunct w:val="0"/>
        <w:bidi w:val="0"/>
        <w:adjustRightInd/>
        <w:snapToGrid w:val="0"/>
        <w:spacing w:line="440" w:lineRule="exact"/>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投诉书范本及制作说明详见附件。</w:t>
      </w:r>
    </w:p>
    <w:p w14:paraId="0A406701">
      <w:pPr>
        <w:pStyle w:val="6"/>
        <w:keepNext w:val="0"/>
        <w:keepLines w:val="0"/>
        <w:pageBreakBefore w:val="0"/>
        <w:kinsoku/>
        <w:wordWrap/>
        <w:overflowPunct/>
        <w:topLinePunct w:val="0"/>
        <w:bidi w:val="0"/>
        <w:adjustRightInd/>
        <w:spacing w:after="0" w:line="440" w:lineRule="exact"/>
        <w:ind w:firstLine="480" w:firstLineChars="200"/>
        <w:textAlignment w:val="auto"/>
        <w:rPr>
          <w:rFonts w:hint="eastAsia" w:ascii="宋体" w:hAnsi="宋体" w:eastAsia="宋体" w:cs="宋体"/>
          <w:color w:val="auto"/>
          <w:sz w:val="24"/>
          <w:szCs w:val="24"/>
          <w:highlight w:val="none"/>
        </w:rPr>
        <w:sectPr>
          <w:footerReference r:id="rId4" w:type="default"/>
          <w:pgSz w:w="11906" w:h="16838"/>
          <w:pgMar w:top="1474" w:right="1814" w:bottom="1474" w:left="1814" w:header="851" w:footer="834" w:gutter="0"/>
          <w:pgNumType w:start="1"/>
          <w:cols w:space="720" w:num="1"/>
          <w:docGrid w:linePitch="312" w:charSpace="0"/>
        </w:sectPr>
      </w:pPr>
    </w:p>
    <w:p w14:paraId="75E75BCC">
      <w:pPr>
        <w:keepNext w:val="0"/>
        <w:keepLines w:val="0"/>
        <w:pageBreakBefore w:val="0"/>
        <w:widowControl w:val="0"/>
        <w:numPr>
          <w:ilvl w:val="0"/>
          <w:numId w:val="7"/>
        </w:numPr>
        <w:kinsoku/>
        <w:wordWrap/>
        <w:overflowPunct/>
        <w:topLinePunct w:val="0"/>
        <w:bidi w:val="0"/>
        <w:adjustRightInd w:val="0"/>
        <w:snapToGrid/>
        <w:spacing w:line="440" w:lineRule="exact"/>
        <w:ind w:firstLine="723" w:firstLineChars="200"/>
        <w:jc w:val="center"/>
        <w:textAlignment w:val="auto"/>
        <w:outlineLvl w:val="0"/>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t>项目招标范围及服务要求</w:t>
      </w:r>
    </w:p>
    <w:p w14:paraId="3DAA4735">
      <w:pPr>
        <w:keepNext w:val="0"/>
        <w:keepLines w:val="0"/>
        <w:pageBreakBefore w:val="0"/>
        <w:widowControl w:val="0"/>
        <w:kinsoku/>
        <w:wordWrap/>
        <w:overflowPunct/>
        <w:topLinePunct w:val="0"/>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一、概述</w:t>
      </w:r>
    </w:p>
    <w:p w14:paraId="63E5DCAA">
      <w:pPr>
        <w:pStyle w:val="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1.本技术规范要求提出的是最低限度的基本技术要求，并未对所有技术细节作出规定，投标人应提供符合本技术要求和国家标准、行业标准的优质产品。</w:t>
      </w:r>
    </w:p>
    <w:p w14:paraId="488A2627">
      <w:pPr>
        <w:pStyle w:val="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2.技术要求及标准的执行</w:t>
      </w:r>
    </w:p>
    <w:p w14:paraId="3214D431">
      <w:pPr>
        <w:pStyle w:val="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投标人提供的产品应标明所执行的质量标准，若同一标准已颁发新标准，则按最新标准执行。若同一产品同时有几个标准（国家标准、行业标准、企业标准等），则按最高层次的标准执行。</w:t>
      </w:r>
    </w:p>
    <w:p w14:paraId="10164F01">
      <w:pPr>
        <w:pStyle w:val="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3.货物的提供及相应的技术、售后服务，需满足本招标文件及相关标准、规范的要求。对提供的货物的有关要求等，中标人成交后须与采购人复核确认，以满足安装的需要。</w:t>
      </w:r>
    </w:p>
    <w:p w14:paraId="0ABDD35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二、采购清单及技术要求</w:t>
      </w:r>
    </w:p>
    <w:p w14:paraId="08BD348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（一）采购清单</w:t>
      </w:r>
    </w:p>
    <w:tbl>
      <w:tblPr>
        <w:tblStyle w:val="31"/>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0"/>
        <w:gridCol w:w="2309"/>
        <w:gridCol w:w="1134"/>
        <w:gridCol w:w="1134"/>
        <w:gridCol w:w="1531"/>
      </w:tblGrid>
      <w:tr w14:paraId="368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4" w:type="dxa"/>
            <w:noWrap w:val="0"/>
            <w:tcMar>
              <w:top w:w="0" w:type="dxa"/>
              <w:left w:w="28" w:type="dxa"/>
              <w:bottom w:w="0" w:type="dxa"/>
              <w:right w:w="28" w:type="dxa"/>
            </w:tcMar>
            <w:vAlign w:val="center"/>
          </w:tcPr>
          <w:p w14:paraId="307250E4">
            <w:pPr>
              <w:keepNext w:val="0"/>
              <w:keepLines w:val="0"/>
              <w:pageBreakBefore w:val="0"/>
              <w:kinsoku/>
              <w:wordWrap/>
              <w:overflowPunct/>
              <w:topLinePunct w:val="0"/>
              <w:bidi w:val="0"/>
              <w:adjustRightInd w:val="0"/>
              <w:spacing w:line="440" w:lineRule="exact"/>
              <w:jc w:val="center"/>
              <w:rPr>
                <w:rFonts w:hint="eastAsia" w:ascii="宋体" w:hAnsi="宋体" w:eastAsia="宋体" w:cs="宋体"/>
                <w:b/>
                <w:bCs/>
                <w:color w:val="auto"/>
                <w:kern w:val="0"/>
                <w:sz w:val="24"/>
                <w:szCs w:val="24"/>
                <w:highlight w:val="none"/>
                <w:lang w:bidi="en-US"/>
              </w:rPr>
            </w:pPr>
            <w:r>
              <w:rPr>
                <w:rFonts w:hint="eastAsia" w:ascii="宋体" w:hAnsi="宋体" w:eastAsia="宋体" w:cs="宋体"/>
                <w:b/>
                <w:bCs/>
                <w:color w:val="auto"/>
                <w:kern w:val="0"/>
                <w:sz w:val="24"/>
                <w:szCs w:val="24"/>
                <w:highlight w:val="none"/>
                <w:lang w:bidi="en-US"/>
              </w:rPr>
              <w:t>楼号</w:t>
            </w:r>
          </w:p>
        </w:tc>
        <w:tc>
          <w:tcPr>
            <w:tcW w:w="1750" w:type="dxa"/>
            <w:noWrap w:val="0"/>
            <w:tcMar>
              <w:top w:w="0" w:type="dxa"/>
              <w:left w:w="28" w:type="dxa"/>
              <w:bottom w:w="0" w:type="dxa"/>
              <w:right w:w="28" w:type="dxa"/>
            </w:tcMar>
            <w:vAlign w:val="center"/>
          </w:tcPr>
          <w:p w14:paraId="51F3E497">
            <w:pPr>
              <w:keepNext w:val="0"/>
              <w:keepLines w:val="0"/>
              <w:pageBreakBefore w:val="0"/>
              <w:kinsoku/>
              <w:wordWrap/>
              <w:overflowPunct/>
              <w:topLinePunct w:val="0"/>
              <w:bidi w:val="0"/>
              <w:adjustRightInd w:val="0"/>
              <w:spacing w:line="440" w:lineRule="exact"/>
              <w:jc w:val="center"/>
              <w:rPr>
                <w:rFonts w:hint="eastAsia" w:ascii="宋体" w:hAnsi="宋体" w:eastAsia="宋体" w:cs="宋体"/>
                <w:b/>
                <w:bCs/>
                <w:color w:val="auto"/>
                <w:kern w:val="0"/>
                <w:sz w:val="24"/>
                <w:szCs w:val="24"/>
                <w:highlight w:val="none"/>
                <w:lang w:val="en-US" w:eastAsia="zh-CN" w:bidi="en-US"/>
              </w:rPr>
            </w:pPr>
            <w:r>
              <w:rPr>
                <w:rFonts w:hint="eastAsia" w:ascii="宋体" w:hAnsi="宋体" w:eastAsia="宋体" w:cs="宋体"/>
                <w:b/>
                <w:bCs/>
                <w:color w:val="auto"/>
                <w:kern w:val="0"/>
                <w:sz w:val="24"/>
                <w:szCs w:val="24"/>
                <w:highlight w:val="none"/>
                <w:lang w:val="en-US" w:eastAsia="zh-CN" w:bidi="en-US"/>
              </w:rPr>
              <w:t>编号</w:t>
            </w:r>
          </w:p>
        </w:tc>
        <w:tc>
          <w:tcPr>
            <w:tcW w:w="2309" w:type="dxa"/>
            <w:noWrap w:val="0"/>
            <w:tcMar>
              <w:top w:w="0" w:type="dxa"/>
              <w:left w:w="28" w:type="dxa"/>
              <w:bottom w:w="0" w:type="dxa"/>
              <w:right w:w="28" w:type="dxa"/>
            </w:tcMar>
            <w:vAlign w:val="center"/>
          </w:tcPr>
          <w:p w14:paraId="27098ADA">
            <w:pPr>
              <w:keepNext w:val="0"/>
              <w:keepLines w:val="0"/>
              <w:pageBreakBefore w:val="0"/>
              <w:kinsoku/>
              <w:wordWrap/>
              <w:overflowPunct/>
              <w:topLinePunct w:val="0"/>
              <w:bidi w:val="0"/>
              <w:adjustRightInd w:val="0"/>
              <w:spacing w:line="440" w:lineRule="exact"/>
              <w:jc w:val="center"/>
              <w:rPr>
                <w:rFonts w:hint="eastAsia" w:ascii="宋体" w:hAnsi="宋体" w:eastAsia="宋体" w:cs="宋体"/>
                <w:b/>
                <w:bCs/>
                <w:color w:val="auto"/>
                <w:kern w:val="0"/>
                <w:sz w:val="24"/>
                <w:szCs w:val="24"/>
                <w:highlight w:val="none"/>
                <w:lang w:bidi="en-US"/>
              </w:rPr>
            </w:pPr>
            <w:r>
              <w:rPr>
                <w:rFonts w:hint="eastAsia" w:ascii="宋体" w:hAnsi="宋体" w:eastAsia="宋体" w:cs="宋体"/>
                <w:b/>
                <w:bCs/>
                <w:color w:val="auto"/>
                <w:kern w:val="0"/>
                <w:sz w:val="24"/>
                <w:szCs w:val="24"/>
                <w:highlight w:val="none"/>
                <w:lang w:bidi="en-US"/>
              </w:rPr>
              <w:t>名称</w:t>
            </w:r>
          </w:p>
        </w:tc>
        <w:tc>
          <w:tcPr>
            <w:tcW w:w="1134" w:type="dxa"/>
            <w:noWrap w:val="0"/>
            <w:tcMar>
              <w:top w:w="0" w:type="dxa"/>
              <w:left w:w="28" w:type="dxa"/>
              <w:bottom w:w="0" w:type="dxa"/>
              <w:right w:w="28" w:type="dxa"/>
            </w:tcMar>
            <w:vAlign w:val="center"/>
          </w:tcPr>
          <w:p w14:paraId="1B643CB5">
            <w:pPr>
              <w:keepNext w:val="0"/>
              <w:keepLines w:val="0"/>
              <w:pageBreakBefore w:val="0"/>
              <w:kinsoku/>
              <w:wordWrap/>
              <w:overflowPunct/>
              <w:topLinePunct w:val="0"/>
              <w:bidi w:val="0"/>
              <w:adjustRightInd w:val="0"/>
              <w:spacing w:line="440" w:lineRule="exact"/>
              <w:jc w:val="center"/>
              <w:rPr>
                <w:rFonts w:hint="eastAsia" w:ascii="宋体" w:hAnsi="宋体" w:eastAsia="宋体" w:cs="宋体"/>
                <w:b/>
                <w:bCs/>
                <w:color w:val="auto"/>
                <w:kern w:val="0"/>
                <w:sz w:val="24"/>
                <w:szCs w:val="24"/>
                <w:highlight w:val="none"/>
                <w:lang w:bidi="en-US"/>
              </w:rPr>
            </w:pPr>
            <w:r>
              <w:rPr>
                <w:rFonts w:hint="eastAsia" w:ascii="宋体" w:hAnsi="宋体" w:eastAsia="宋体" w:cs="宋体"/>
                <w:b/>
                <w:bCs/>
                <w:color w:val="auto"/>
                <w:kern w:val="0"/>
                <w:sz w:val="24"/>
                <w:szCs w:val="24"/>
                <w:highlight w:val="none"/>
                <w:lang w:bidi="en-US"/>
              </w:rPr>
              <w:t>数量</w:t>
            </w:r>
          </w:p>
        </w:tc>
        <w:tc>
          <w:tcPr>
            <w:tcW w:w="1134" w:type="dxa"/>
            <w:noWrap w:val="0"/>
            <w:tcMar>
              <w:top w:w="0" w:type="dxa"/>
              <w:left w:w="28" w:type="dxa"/>
              <w:bottom w:w="0" w:type="dxa"/>
              <w:right w:w="28" w:type="dxa"/>
            </w:tcMar>
            <w:vAlign w:val="center"/>
          </w:tcPr>
          <w:p w14:paraId="4B9626EC">
            <w:pPr>
              <w:keepNext w:val="0"/>
              <w:keepLines w:val="0"/>
              <w:pageBreakBefore w:val="0"/>
              <w:kinsoku/>
              <w:wordWrap/>
              <w:overflowPunct/>
              <w:topLinePunct w:val="0"/>
              <w:bidi w:val="0"/>
              <w:adjustRightInd w:val="0"/>
              <w:spacing w:line="440" w:lineRule="exact"/>
              <w:jc w:val="center"/>
              <w:rPr>
                <w:rFonts w:hint="eastAsia" w:ascii="宋体" w:hAnsi="宋体" w:eastAsia="宋体" w:cs="宋体"/>
                <w:b/>
                <w:bCs/>
                <w:color w:val="auto"/>
                <w:kern w:val="0"/>
                <w:sz w:val="24"/>
                <w:szCs w:val="24"/>
                <w:highlight w:val="none"/>
                <w:lang w:val="en-US" w:eastAsia="zh-CN" w:bidi="en-US"/>
              </w:rPr>
            </w:pPr>
            <w:r>
              <w:rPr>
                <w:rFonts w:hint="eastAsia" w:ascii="宋体" w:hAnsi="宋体" w:eastAsia="宋体" w:cs="宋体"/>
                <w:b/>
                <w:bCs/>
                <w:color w:val="auto"/>
                <w:kern w:val="0"/>
                <w:sz w:val="24"/>
                <w:szCs w:val="24"/>
                <w:highlight w:val="none"/>
                <w:lang w:val="en-US" w:eastAsia="zh-CN" w:bidi="en-US"/>
              </w:rPr>
              <w:t>单位</w:t>
            </w:r>
          </w:p>
        </w:tc>
        <w:tc>
          <w:tcPr>
            <w:tcW w:w="1531" w:type="dxa"/>
            <w:noWrap w:val="0"/>
            <w:tcMar>
              <w:top w:w="0" w:type="dxa"/>
              <w:left w:w="28" w:type="dxa"/>
              <w:bottom w:w="0" w:type="dxa"/>
              <w:right w:w="28" w:type="dxa"/>
            </w:tcMar>
            <w:vAlign w:val="center"/>
          </w:tcPr>
          <w:p w14:paraId="2A7654D0">
            <w:pPr>
              <w:keepNext w:val="0"/>
              <w:keepLines w:val="0"/>
              <w:pageBreakBefore w:val="0"/>
              <w:kinsoku/>
              <w:wordWrap/>
              <w:overflowPunct/>
              <w:topLinePunct w:val="0"/>
              <w:bidi w:val="0"/>
              <w:adjustRightInd w:val="0"/>
              <w:spacing w:line="440" w:lineRule="exact"/>
              <w:jc w:val="center"/>
              <w:rPr>
                <w:rFonts w:hint="eastAsia" w:ascii="宋体" w:hAnsi="宋体" w:eastAsia="宋体" w:cs="宋体"/>
                <w:b/>
                <w:bCs/>
                <w:color w:val="auto"/>
                <w:kern w:val="0"/>
                <w:sz w:val="24"/>
                <w:szCs w:val="24"/>
                <w:highlight w:val="none"/>
                <w:lang w:val="en-US" w:eastAsia="zh-CN" w:bidi="en-US"/>
              </w:rPr>
            </w:pPr>
            <w:r>
              <w:rPr>
                <w:rFonts w:hint="eastAsia" w:ascii="宋体" w:hAnsi="宋体" w:eastAsia="宋体" w:cs="宋体"/>
                <w:b/>
                <w:bCs/>
                <w:color w:val="auto"/>
                <w:kern w:val="0"/>
                <w:sz w:val="24"/>
                <w:szCs w:val="24"/>
                <w:highlight w:val="none"/>
                <w:lang w:val="en-US" w:eastAsia="zh-CN" w:bidi="en-US"/>
              </w:rPr>
              <w:t>备注</w:t>
            </w:r>
          </w:p>
        </w:tc>
      </w:tr>
      <w:tr w14:paraId="32D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tcMar>
              <w:top w:w="0" w:type="dxa"/>
              <w:left w:w="28" w:type="dxa"/>
              <w:bottom w:w="0" w:type="dxa"/>
              <w:right w:w="28" w:type="dxa"/>
            </w:tcMar>
            <w:vAlign w:val="center"/>
          </w:tcPr>
          <w:p w14:paraId="12B9579A">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11</w:t>
            </w:r>
            <w:r>
              <w:rPr>
                <w:rFonts w:hint="eastAsia" w:ascii="宋体" w:hAnsi="宋体" w:eastAsia="宋体" w:cs="宋体"/>
                <w:color w:val="auto"/>
                <w:sz w:val="24"/>
                <w:szCs w:val="24"/>
                <w:highlight w:val="none"/>
                <w:lang w:bidi="en-US"/>
              </w:rPr>
              <w:t>#楼</w:t>
            </w:r>
          </w:p>
        </w:tc>
        <w:tc>
          <w:tcPr>
            <w:tcW w:w="1750" w:type="dxa"/>
            <w:noWrap w:val="0"/>
            <w:tcMar>
              <w:top w:w="0" w:type="dxa"/>
              <w:left w:w="28" w:type="dxa"/>
              <w:bottom w:w="0" w:type="dxa"/>
              <w:right w:w="28" w:type="dxa"/>
            </w:tcMar>
            <w:vAlign w:val="center"/>
          </w:tcPr>
          <w:p w14:paraId="7B5CF7F9">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DT1客</w:t>
            </w:r>
            <w:r>
              <w:rPr>
                <w:rFonts w:hint="eastAsia" w:ascii="宋体" w:hAnsi="宋体" w:eastAsia="宋体" w:cs="宋体"/>
                <w:color w:val="auto"/>
                <w:sz w:val="24"/>
                <w:szCs w:val="24"/>
                <w:highlight w:val="none"/>
                <w:lang w:bidi="en-US"/>
              </w:rPr>
              <w:t>梯</w:t>
            </w:r>
          </w:p>
        </w:tc>
        <w:tc>
          <w:tcPr>
            <w:tcW w:w="2309" w:type="dxa"/>
            <w:noWrap w:val="0"/>
            <w:tcMar>
              <w:top w:w="0" w:type="dxa"/>
              <w:left w:w="28" w:type="dxa"/>
              <w:bottom w:w="0" w:type="dxa"/>
              <w:right w:w="28" w:type="dxa"/>
            </w:tcMar>
            <w:vAlign w:val="center"/>
          </w:tcPr>
          <w:p w14:paraId="0AC855F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客梯</w:t>
            </w:r>
          </w:p>
        </w:tc>
        <w:tc>
          <w:tcPr>
            <w:tcW w:w="1134" w:type="dxa"/>
            <w:noWrap w:val="0"/>
            <w:tcMar>
              <w:top w:w="0" w:type="dxa"/>
              <w:left w:w="28" w:type="dxa"/>
              <w:bottom w:w="0" w:type="dxa"/>
              <w:right w:w="28" w:type="dxa"/>
            </w:tcMar>
            <w:vAlign w:val="center"/>
          </w:tcPr>
          <w:p w14:paraId="53D6B7C3">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4BFE831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69F19444">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有机房</w:t>
            </w:r>
          </w:p>
        </w:tc>
      </w:tr>
      <w:tr w14:paraId="2E78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tcMar>
              <w:top w:w="0" w:type="dxa"/>
              <w:left w:w="28" w:type="dxa"/>
              <w:bottom w:w="0" w:type="dxa"/>
              <w:right w:w="28" w:type="dxa"/>
            </w:tcMar>
            <w:vAlign w:val="center"/>
          </w:tcPr>
          <w:p w14:paraId="6142F2E3">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12</w:t>
            </w:r>
            <w:r>
              <w:rPr>
                <w:rFonts w:hint="eastAsia" w:ascii="宋体" w:hAnsi="宋体" w:eastAsia="宋体" w:cs="宋体"/>
                <w:color w:val="auto"/>
                <w:sz w:val="24"/>
                <w:szCs w:val="24"/>
                <w:highlight w:val="none"/>
                <w:lang w:bidi="en-US"/>
              </w:rPr>
              <w:t>#楼</w:t>
            </w:r>
          </w:p>
        </w:tc>
        <w:tc>
          <w:tcPr>
            <w:tcW w:w="1750" w:type="dxa"/>
            <w:noWrap w:val="0"/>
            <w:tcMar>
              <w:top w:w="0" w:type="dxa"/>
              <w:left w:w="28" w:type="dxa"/>
              <w:bottom w:w="0" w:type="dxa"/>
              <w:right w:w="28" w:type="dxa"/>
            </w:tcMar>
            <w:vAlign w:val="center"/>
          </w:tcPr>
          <w:p w14:paraId="1D8A445F">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w:t>
            </w:r>
            <w:r>
              <w:rPr>
                <w:rFonts w:hint="eastAsia" w:ascii="宋体" w:hAnsi="宋体" w:cs="宋体"/>
                <w:color w:val="auto"/>
                <w:sz w:val="24"/>
                <w:szCs w:val="24"/>
                <w:highlight w:val="none"/>
                <w:lang w:val="en-US" w:eastAsia="zh-CN" w:bidi="en-US"/>
              </w:rPr>
              <w:t>2</w:t>
            </w:r>
            <w:r>
              <w:rPr>
                <w:rFonts w:hint="eastAsia" w:ascii="宋体" w:hAnsi="宋体" w:eastAsia="宋体" w:cs="宋体"/>
                <w:color w:val="auto"/>
                <w:sz w:val="24"/>
                <w:szCs w:val="24"/>
                <w:highlight w:val="none"/>
                <w:lang w:val="en-US" w:eastAsia="zh-CN" w:bidi="en-US"/>
              </w:rPr>
              <w:t>客</w:t>
            </w:r>
            <w:r>
              <w:rPr>
                <w:rFonts w:hint="eastAsia" w:ascii="宋体" w:hAnsi="宋体" w:eastAsia="宋体" w:cs="宋体"/>
                <w:color w:val="auto"/>
                <w:sz w:val="24"/>
                <w:szCs w:val="24"/>
                <w:highlight w:val="none"/>
                <w:lang w:bidi="en-US"/>
              </w:rPr>
              <w:t>梯</w:t>
            </w:r>
          </w:p>
        </w:tc>
        <w:tc>
          <w:tcPr>
            <w:tcW w:w="2309" w:type="dxa"/>
            <w:noWrap w:val="0"/>
            <w:tcMar>
              <w:top w:w="0" w:type="dxa"/>
              <w:left w:w="28" w:type="dxa"/>
              <w:bottom w:w="0" w:type="dxa"/>
              <w:right w:w="28" w:type="dxa"/>
            </w:tcMar>
            <w:vAlign w:val="center"/>
          </w:tcPr>
          <w:p w14:paraId="25ADAE9E">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客梯</w:t>
            </w:r>
          </w:p>
        </w:tc>
        <w:tc>
          <w:tcPr>
            <w:tcW w:w="1134" w:type="dxa"/>
            <w:noWrap w:val="0"/>
            <w:tcMar>
              <w:top w:w="0" w:type="dxa"/>
              <w:left w:w="28" w:type="dxa"/>
              <w:bottom w:w="0" w:type="dxa"/>
              <w:right w:w="28" w:type="dxa"/>
            </w:tcMar>
            <w:vAlign w:val="center"/>
          </w:tcPr>
          <w:p w14:paraId="205C0BA8">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6B667414">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7BE71B21">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有机房</w:t>
            </w:r>
          </w:p>
        </w:tc>
      </w:tr>
      <w:tr w14:paraId="6E76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tcMar>
              <w:top w:w="0" w:type="dxa"/>
              <w:left w:w="28" w:type="dxa"/>
              <w:bottom w:w="0" w:type="dxa"/>
              <w:right w:w="28" w:type="dxa"/>
            </w:tcMar>
            <w:vAlign w:val="center"/>
          </w:tcPr>
          <w:p w14:paraId="2AF6A431">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13</w:t>
            </w:r>
            <w:r>
              <w:rPr>
                <w:rFonts w:hint="eastAsia" w:ascii="宋体" w:hAnsi="宋体" w:eastAsia="宋体" w:cs="宋体"/>
                <w:color w:val="auto"/>
                <w:sz w:val="24"/>
                <w:szCs w:val="24"/>
                <w:highlight w:val="none"/>
                <w:lang w:bidi="en-US"/>
              </w:rPr>
              <w:t>#楼</w:t>
            </w:r>
          </w:p>
        </w:tc>
        <w:tc>
          <w:tcPr>
            <w:tcW w:w="1750" w:type="dxa"/>
            <w:noWrap w:val="0"/>
            <w:tcMar>
              <w:top w:w="0" w:type="dxa"/>
              <w:left w:w="28" w:type="dxa"/>
              <w:bottom w:w="0" w:type="dxa"/>
              <w:right w:w="28" w:type="dxa"/>
            </w:tcMar>
            <w:vAlign w:val="center"/>
          </w:tcPr>
          <w:p w14:paraId="5590802D">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w:t>
            </w:r>
            <w:r>
              <w:rPr>
                <w:rFonts w:hint="eastAsia" w:ascii="宋体" w:hAnsi="宋体" w:cs="宋体"/>
                <w:color w:val="auto"/>
                <w:sz w:val="24"/>
                <w:szCs w:val="24"/>
                <w:highlight w:val="none"/>
                <w:lang w:val="en-US" w:eastAsia="zh-CN" w:bidi="en-US"/>
              </w:rPr>
              <w:t>2</w:t>
            </w:r>
            <w:r>
              <w:rPr>
                <w:rFonts w:hint="eastAsia" w:ascii="宋体" w:hAnsi="宋体" w:eastAsia="宋体" w:cs="宋体"/>
                <w:color w:val="auto"/>
                <w:sz w:val="24"/>
                <w:szCs w:val="24"/>
                <w:highlight w:val="none"/>
                <w:lang w:val="en-US" w:eastAsia="zh-CN" w:bidi="en-US"/>
              </w:rPr>
              <w:t>客</w:t>
            </w:r>
            <w:r>
              <w:rPr>
                <w:rFonts w:hint="eastAsia" w:ascii="宋体" w:hAnsi="宋体" w:eastAsia="宋体" w:cs="宋体"/>
                <w:color w:val="auto"/>
                <w:sz w:val="24"/>
                <w:szCs w:val="24"/>
                <w:highlight w:val="none"/>
                <w:lang w:bidi="en-US"/>
              </w:rPr>
              <w:t>梯</w:t>
            </w:r>
          </w:p>
        </w:tc>
        <w:tc>
          <w:tcPr>
            <w:tcW w:w="2309" w:type="dxa"/>
            <w:noWrap w:val="0"/>
            <w:tcMar>
              <w:top w:w="0" w:type="dxa"/>
              <w:left w:w="28" w:type="dxa"/>
              <w:bottom w:w="0" w:type="dxa"/>
              <w:right w:w="28" w:type="dxa"/>
            </w:tcMar>
            <w:vAlign w:val="center"/>
          </w:tcPr>
          <w:p w14:paraId="10AFDEAF">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客梯</w:t>
            </w:r>
          </w:p>
        </w:tc>
        <w:tc>
          <w:tcPr>
            <w:tcW w:w="1134" w:type="dxa"/>
            <w:noWrap w:val="0"/>
            <w:tcMar>
              <w:top w:w="0" w:type="dxa"/>
              <w:left w:w="28" w:type="dxa"/>
              <w:bottom w:w="0" w:type="dxa"/>
              <w:right w:w="28" w:type="dxa"/>
            </w:tcMar>
            <w:vAlign w:val="center"/>
          </w:tcPr>
          <w:p w14:paraId="6BF5A1E0">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65753E78">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457E059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有机房</w:t>
            </w:r>
          </w:p>
        </w:tc>
      </w:tr>
      <w:tr w14:paraId="0C45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tcMar>
              <w:top w:w="0" w:type="dxa"/>
              <w:left w:w="28" w:type="dxa"/>
              <w:bottom w:w="0" w:type="dxa"/>
              <w:right w:w="28" w:type="dxa"/>
            </w:tcMar>
            <w:vAlign w:val="center"/>
          </w:tcPr>
          <w:p w14:paraId="5D2BDEAB">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15</w:t>
            </w:r>
            <w:r>
              <w:rPr>
                <w:rFonts w:hint="eastAsia" w:ascii="宋体" w:hAnsi="宋体" w:eastAsia="宋体" w:cs="宋体"/>
                <w:color w:val="auto"/>
                <w:sz w:val="24"/>
                <w:szCs w:val="24"/>
                <w:highlight w:val="none"/>
                <w:lang w:bidi="en-US"/>
              </w:rPr>
              <w:t>#楼</w:t>
            </w:r>
          </w:p>
        </w:tc>
        <w:tc>
          <w:tcPr>
            <w:tcW w:w="1750" w:type="dxa"/>
            <w:noWrap w:val="0"/>
            <w:tcMar>
              <w:top w:w="0" w:type="dxa"/>
              <w:left w:w="28" w:type="dxa"/>
              <w:bottom w:w="0" w:type="dxa"/>
              <w:right w:w="28" w:type="dxa"/>
            </w:tcMar>
            <w:vAlign w:val="center"/>
          </w:tcPr>
          <w:p w14:paraId="22A60F75">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DT3消防兼货</w:t>
            </w:r>
            <w:r>
              <w:rPr>
                <w:rFonts w:hint="eastAsia" w:ascii="宋体" w:hAnsi="宋体" w:eastAsia="宋体" w:cs="宋体"/>
                <w:color w:val="auto"/>
                <w:sz w:val="24"/>
                <w:szCs w:val="24"/>
                <w:highlight w:val="none"/>
                <w:lang w:bidi="en-US"/>
              </w:rPr>
              <w:t>梯</w:t>
            </w:r>
          </w:p>
        </w:tc>
        <w:tc>
          <w:tcPr>
            <w:tcW w:w="2309" w:type="dxa"/>
            <w:noWrap w:val="0"/>
            <w:tcMar>
              <w:top w:w="0" w:type="dxa"/>
              <w:left w:w="28" w:type="dxa"/>
              <w:bottom w:w="0" w:type="dxa"/>
              <w:right w:w="28" w:type="dxa"/>
            </w:tcMar>
            <w:vAlign w:val="center"/>
          </w:tcPr>
          <w:p w14:paraId="61F14E66">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带消防返回功能客梯兼载货电</w:t>
            </w:r>
            <w:r>
              <w:rPr>
                <w:rFonts w:hint="eastAsia" w:ascii="宋体" w:hAnsi="宋体" w:eastAsia="宋体" w:cs="宋体"/>
                <w:color w:val="auto"/>
                <w:sz w:val="24"/>
                <w:szCs w:val="24"/>
                <w:highlight w:val="none"/>
                <w:lang w:bidi="en-US"/>
              </w:rPr>
              <w:t>梯</w:t>
            </w:r>
          </w:p>
        </w:tc>
        <w:tc>
          <w:tcPr>
            <w:tcW w:w="1134" w:type="dxa"/>
            <w:noWrap w:val="0"/>
            <w:tcMar>
              <w:top w:w="0" w:type="dxa"/>
              <w:left w:w="28" w:type="dxa"/>
              <w:bottom w:w="0" w:type="dxa"/>
              <w:right w:w="28" w:type="dxa"/>
            </w:tcMar>
            <w:vAlign w:val="center"/>
          </w:tcPr>
          <w:p w14:paraId="6D9ABF88">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7106B2A1">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2250CD43">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有机房</w:t>
            </w:r>
          </w:p>
        </w:tc>
      </w:tr>
      <w:tr w14:paraId="4673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tcMar>
              <w:top w:w="0" w:type="dxa"/>
              <w:left w:w="28" w:type="dxa"/>
              <w:bottom w:w="0" w:type="dxa"/>
              <w:right w:w="28" w:type="dxa"/>
            </w:tcMar>
            <w:vAlign w:val="center"/>
          </w:tcPr>
          <w:p w14:paraId="7F9B351C">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p>
        </w:tc>
        <w:tc>
          <w:tcPr>
            <w:tcW w:w="1750" w:type="dxa"/>
            <w:noWrap w:val="0"/>
            <w:tcMar>
              <w:top w:w="0" w:type="dxa"/>
              <w:left w:w="28" w:type="dxa"/>
              <w:bottom w:w="0" w:type="dxa"/>
              <w:right w:w="28" w:type="dxa"/>
            </w:tcMar>
            <w:vAlign w:val="center"/>
          </w:tcPr>
          <w:p w14:paraId="4161BD63">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DT4客</w:t>
            </w:r>
            <w:r>
              <w:rPr>
                <w:rFonts w:hint="eastAsia" w:ascii="宋体" w:hAnsi="宋体" w:eastAsia="宋体" w:cs="宋体"/>
                <w:color w:val="auto"/>
                <w:sz w:val="24"/>
                <w:szCs w:val="24"/>
                <w:highlight w:val="none"/>
                <w:lang w:bidi="en-US"/>
              </w:rPr>
              <w:t>梯</w:t>
            </w:r>
          </w:p>
        </w:tc>
        <w:tc>
          <w:tcPr>
            <w:tcW w:w="2309" w:type="dxa"/>
            <w:noWrap w:val="0"/>
            <w:tcMar>
              <w:top w:w="0" w:type="dxa"/>
              <w:left w:w="28" w:type="dxa"/>
              <w:bottom w:w="0" w:type="dxa"/>
              <w:right w:w="28" w:type="dxa"/>
            </w:tcMar>
            <w:vAlign w:val="center"/>
          </w:tcPr>
          <w:p w14:paraId="03CF5FB8">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客梯</w:t>
            </w:r>
          </w:p>
        </w:tc>
        <w:tc>
          <w:tcPr>
            <w:tcW w:w="1134" w:type="dxa"/>
            <w:noWrap w:val="0"/>
            <w:tcMar>
              <w:top w:w="0" w:type="dxa"/>
              <w:left w:w="28" w:type="dxa"/>
              <w:bottom w:w="0" w:type="dxa"/>
              <w:right w:w="28" w:type="dxa"/>
            </w:tcMar>
            <w:vAlign w:val="center"/>
          </w:tcPr>
          <w:p w14:paraId="0A5581A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579F0B9C">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2142022F">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无机房</w:t>
            </w:r>
          </w:p>
        </w:tc>
      </w:tr>
      <w:tr w14:paraId="4AC5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tcMar>
              <w:top w:w="0" w:type="dxa"/>
              <w:left w:w="28" w:type="dxa"/>
              <w:bottom w:w="0" w:type="dxa"/>
              <w:right w:w="28" w:type="dxa"/>
            </w:tcMar>
            <w:vAlign w:val="center"/>
          </w:tcPr>
          <w:p w14:paraId="48888793">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p>
        </w:tc>
        <w:tc>
          <w:tcPr>
            <w:tcW w:w="1750" w:type="dxa"/>
            <w:noWrap w:val="0"/>
            <w:tcMar>
              <w:top w:w="0" w:type="dxa"/>
              <w:left w:w="28" w:type="dxa"/>
              <w:bottom w:w="0" w:type="dxa"/>
              <w:right w:w="28" w:type="dxa"/>
            </w:tcMar>
            <w:vAlign w:val="center"/>
          </w:tcPr>
          <w:p w14:paraId="3B9F9086">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DT5客</w:t>
            </w:r>
            <w:r>
              <w:rPr>
                <w:rFonts w:hint="eastAsia" w:ascii="宋体" w:hAnsi="宋体" w:eastAsia="宋体" w:cs="宋体"/>
                <w:color w:val="auto"/>
                <w:sz w:val="24"/>
                <w:szCs w:val="24"/>
                <w:highlight w:val="none"/>
                <w:lang w:bidi="en-US"/>
              </w:rPr>
              <w:t>梯</w:t>
            </w:r>
          </w:p>
        </w:tc>
        <w:tc>
          <w:tcPr>
            <w:tcW w:w="2309" w:type="dxa"/>
            <w:noWrap w:val="0"/>
            <w:tcMar>
              <w:top w:w="0" w:type="dxa"/>
              <w:left w:w="28" w:type="dxa"/>
              <w:bottom w:w="0" w:type="dxa"/>
              <w:right w:w="28" w:type="dxa"/>
            </w:tcMar>
            <w:vAlign w:val="center"/>
          </w:tcPr>
          <w:p w14:paraId="196CD082">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客梯</w:t>
            </w:r>
          </w:p>
        </w:tc>
        <w:tc>
          <w:tcPr>
            <w:tcW w:w="1134" w:type="dxa"/>
            <w:noWrap w:val="0"/>
            <w:tcMar>
              <w:top w:w="0" w:type="dxa"/>
              <w:left w:w="28" w:type="dxa"/>
              <w:bottom w:w="0" w:type="dxa"/>
              <w:right w:w="28" w:type="dxa"/>
            </w:tcMar>
            <w:vAlign w:val="center"/>
          </w:tcPr>
          <w:p w14:paraId="0AF75EC2">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72444016">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31136BD8">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有机房</w:t>
            </w:r>
          </w:p>
        </w:tc>
      </w:tr>
      <w:tr w14:paraId="2475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tcMar>
              <w:top w:w="0" w:type="dxa"/>
              <w:left w:w="28" w:type="dxa"/>
              <w:bottom w:w="0" w:type="dxa"/>
              <w:right w:w="28" w:type="dxa"/>
            </w:tcMar>
            <w:vAlign w:val="center"/>
          </w:tcPr>
          <w:p w14:paraId="003C5F21">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p>
        </w:tc>
        <w:tc>
          <w:tcPr>
            <w:tcW w:w="1750" w:type="dxa"/>
            <w:noWrap w:val="0"/>
            <w:tcMar>
              <w:top w:w="0" w:type="dxa"/>
              <w:left w:w="28" w:type="dxa"/>
              <w:bottom w:w="0" w:type="dxa"/>
              <w:right w:w="28" w:type="dxa"/>
            </w:tcMar>
            <w:vAlign w:val="center"/>
          </w:tcPr>
          <w:p w14:paraId="43967025">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DT6客梯</w:t>
            </w:r>
          </w:p>
        </w:tc>
        <w:tc>
          <w:tcPr>
            <w:tcW w:w="2309" w:type="dxa"/>
            <w:noWrap w:val="0"/>
            <w:tcMar>
              <w:top w:w="0" w:type="dxa"/>
              <w:left w:w="28" w:type="dxa"/>
              <w:bottom w:w="0" w:type="dxa"/>
              <w:right w:w="28" w:type="dxa"/>
            </w:tcMar>
            <w:vAlign w:val="center"/>
          </w:tcPr>
          <w:p w14:paraId="3CEF73C6">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客梯</w:t>
            </w:r>
          </w:p>
        </w:tc>
        <w:tc>
          <w:tcPr>
            <w:tcW w:w="1134" w:type="dxa"/>
            <w:noWrap w:val="0"/>
            <w:tcMar>
              <w:top w:w="0" w:type="dxa"/>
              <w:left w:w="28" w:type="dxa"/>
              <w:bottom w:w="0" w:type="dxa"/>
              <w:right w:w="28" w:type="dxa"/>
            </w:tcMar>
            <w:vAlign w:val="center"/>
          </w:tcPr>
          <w:p w14:paraId="78541A92">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2</w:t>
            </w:r>
          </w:p>
        </w:tc>
        <w:tc>
          <w:tcPr>
            <w:tcW w:w="1134" w:type="dxa"/>
            <w:noWrap w:val="0"/>
            <w:tcMar>
              <w:top w:w="0" w:type="dxa"/>
              <w:left w:w="28" w:type="dxa"/>
              <w:bottom w:w="0" w:type="dxa"/>
              <w:right w:w="28" w:type="dxa"/>
            </w:tcMar>
            <w:vAlign w:val="center"/>
          </w:tcPr>
          <w:p w14:paraId="1B1F63C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2624800D">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有机房</w:t>
            </w:r>
          </w:p>
        </w:tc>
      </w:tr>
      <w:tr w14:paraId="3C7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tcMar>
              <w:top w:w="0" w:type="dxa"/>
              <w:left w:w="28" w:type="dxa"/>
              <w:bottom w:w="0" w:type="dxa"/>
              <w:right w:w="28" w:type="dxa"/>
            </w:tcMar>
            <w:vAlign w:val="center"/>
          </w:tcPr>
          <w:p w14:paraId="33F5BEC5">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p>
        </w:tc>
        <w:tc>
          <w:tcPr>
            <w:tcW w:w="1750" w:type="dxa"/>
            <w:noWrap w:val="0"/>
            <w:tcMar>
              <w:top w:w="0" w:type="dxa"/>
              <w:left w:w="28" w:type="dxa"/>
              <w:bottom w:w="0" w:type="dxa"/>
              <w:right w:w="28" w:type="dxa"/>
            </w:tcMar>
            <w:vAlign w:val="center"/>
          </w:tcPr>
          <w:p w14:paraId="20280EE3">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DT7无障碍客梯</w:t>
            </w:r>
          </w:p>
        </w:tc>
        <w:tc>
          <w:tcPr>
            <w:tcW w:w="2309" w:type="dxa"/>
            <w:noWrap w:val="0"/>
            <w:tcMar>
              <w:top w:w="0" w:type="dxa"/>
              <w:left w:w="28" w:type="dxa"/>
              <w:bottom w:w="0" w:type="dxa"/>
              <w:right w:w="28" w:type="dxa"/>
            </w:tcMar>
            <w:vAlign w:val="center"/>
          </w:tcPr>
          <w:p w14:paraId="5D00686A">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无障碍客梯</w:t>
            </w:r>
          </w:p>
        </w:tc>
        <w:tc>
          <w:tcPr>
            <w:tcW w:w="1134" w:type="dxa"/>
            <w:noWrap w:val="0"/>
            <w:tcMar>
              <w:top w:w="0" w:type="dxa"/>
              <w:left w:w="28" w:type="dxa"/>
              <w:bottom w:w="0" w:type="dxa"/>
              <w:right w:w="28" w:type="dxa"/>
            </w:tcMar>
            <w:vAlign w:val="center"/>
          </w:tcPr>
          <w:p w14:paraId="7337E3D4">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1</w:t>
            </w:r>
          </w:p>
        </w:tc>
        <w:tc>
          <w:tcPr>
            <w:tcW w:w="1134" w:type="dxa"/>
            <w:noWrap w:val="0"/>
            <w:tcMar>
              <w:top w:w="0" w:type="dxa"/>
              <w:left w:w="28" w:type="dxa"/>
              <w:bottom w:w="0" w:type="dxa"/>
              <w:right w:w="28" w:type="dxa"/>
            </w:tcMar>
            <w:vAlign w:val="center"/>
          </w:tcPr>
          <w:p w14:paraId="5864C4EC">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7AA49C2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有机房</w:t>
            </w:r>
          </w:p>
        </w:tc>
      </w:tr>
      <w:tr w14:paraId="1908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tcMar>
              <w:top w:w="0" w:type="dxa"/>
              <w:left w:w="28" w:type="dxa"/>
              <w:bottom w:w="0" w:type="dxa"/>
              <w:right w:w="28" w:type="dxa"/>
            </w:tcMar>
            <w:vAlign w:val="center"/>
          </w:tcPr>
          <w:p w14:paraId="04FEF296">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p>
        </w:tc>
        <w:tc>
          <w:tcPr>
            <w:tcW w:w="4059" w:type="dxa"/>
            <w:gridSpan w:val="2"/>
            <w:noWrap w:val="0"/>
            <w:tcMar>
              <w:top w:w="0" w:type="dxa"/>
              <w:left w:w="28" w:type="dxa"/>
              <w:bottom w:w="0" w:type="dxa"/>
              <w:right w:w="28" w:type="dxa"/>
            </w:tcMar>
            <w:vAlign w:val="center"/>
          </w:tcPr>
          <w:p w14:paraId="3E723C36">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合计</w:t>
            </w:r>
          </w:p>
        </w:tc>
        <w:tc>
          <w:tcPr>
            <w:tcW w:w="1134" w:type="dxa"/>
            <w:noWrap w:val="0"/>
            <w:tcMar>
              <w:top w:w="0" w:type="dxa"/>
              <w:left w:w="28" w:type="dxa"/>
              <w:bottom w:w="0" w:type="dxa"/>
              <w:right w:w="28" w:type="dxa"/>
            </w:tcMar>
            <w:vAlign w:val="center"/>
          </w:tcPr>
          <w:p w14:paraId="669A5DFF">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9</w:t>
            </w:r>
          </w:p>
        </w:tc>
        <w:tc>
          <w:tcPr>
            <w:tcW w:w="1134" w:type="dxa"/>
            <w:noWrap w:val="0"/>
            <w:tcMar>
              <w:top w:w="0" w:type="dxa"/>
              <w:left w:w="28" w:type="dxa"/>
              <w:bottom w:w="0" w:type="dxa"/>
              <w:right w:w="28" w:type="dxa"/>
            </w:tcMar>
            <w:vAlign w:val="center"/>
          </w:tcPr>
          <w:p w14:paraId="21DA36A2">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台</w:t>
            </w:r>
          </w:p>
        </w:tc>
        <w:tc>
          <w:tcPr>
            <w:tcW w:w="1531" w:type="dxa"/>
            <w:noWrap w:val="0"/>
            <w:tcMar>
              <w:top w:w="0" w:type="dxa"/>
              <w:left w:w="28" w:type="dxa"/>
              <w:bottom w:w="0" w:type="dxa"/>
              <w:right w:w="28" w:type="dxa"/>
            </w:tcMar>
            <w:vAlign w:val="center"/>
          </w:tcPr>
          <w:p w14:paraId="5D1A31D0">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lang w:val="en-US" w:eastAsia="zh-CN" w:bidi="ar"/>
              </w:rPr>
            </w:pPr>
          </w:p>
        </w:tc>
      </w:tr>
    </w:tbl>
    <w:p w14:paraId="1259B97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default" w:ascii="宋体" w:hAnsi="宋体" w:cs="宋体"/>
          <w:b/>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b/>
          <w:color w:val="auto"/>
          <w:sz w:val="24"/>
          <w:szCs w:val="24"/>
          <w:highlight w:val="none"/>
          <w:lang w:val="en-US" w:eastAsia="zh-CN"/>
        </w:rPr>
        <w:t>注：以上所有电梯需同一品牌。</w:t>
      </w:r>
    </w:p>
    <w:p w14:paraId="6E230EE2">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（二）技术标准化和规范</w:t>
      </w:r>
    </w:p>
    <w:p w14:paraId="558FEC5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1.电梯制造及验收标准</w:t>
      </w:r>
    </w:p>
    <w:p w14:paraId="5D37709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除本章节另有规定的技术要求外，本次电梯产品的设计、制造、测试、安装、验收不低于中华人民共和国下述相关的国家标准：</w:t>
      </w:r>
    </w:p>
    <w:p w14:paraId="5AB8116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1.1《电梯技术条件》GB/T10058-2009</w:t>
      </w:r>
    </w:p>
    <w:p w14:paraId="547F568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1.2《电梯实验方法》GB/T10059-2009</w:t>
      </w:r>
    </w:p>
    <w:p w14:paraId="453346E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1.3《电梯安装验收规范》GB/T10060-2011</w:t>
      </w:r>
    </w:p>
    <w:p w14:paraId="17D9F4B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1.4《电梯制造与安装安全规范》GB7588-2003</w:t>
      </w:r>
    </w:p>
    <w:p w14:paraId="44BB2C8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1.5《电梯工程施工质量验收规范》GB50310-2002</w:t>
      </w:r>
    </w:p>
    <w:p w14:paraId="1DA61E1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1.6《质量保证体系》ISO9001:2008标准国际质量体系认证</w:t>
      </w:r>
    </w:p>
    <w:p w14:paraId="0ED1716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1.7《环保国际体系》ISO14001:2004环保国际体系认证</w:t>
      </w:r>
    </w:p>
    <w:p w14:paraId="72D115F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1.8《生产标准体系》国家质量监督检验检疫总局颁发的生产许可证，保证电梯的整机质量，执行“GB10060电梯安装验收规范”</w:t>
      </w:r>
    </w:p>
    <w:p w14:paraId="38CC3B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1.9《电梯主要参数及轿厢、井道、机房的形式及尺寸》GB/T7025.1-2008、GB/T7025.2-2008、GB/T7025.3-1997</w:t>
      </w:r>
    </w:p>
    <w:p w14:paraId="00DC57D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1.10《电梯、自动扶梯、自动人行道术语》GB/T7024</w:t>
      </w:r>
    </w:p>
    <w:p w14:paraId="4D13175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1.11《低压成套开关设备的控制设备》GB/T7251</w:t>
      </w:r>
    </w:p>
    <w:p w14:paraId="1F4B7AF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1.12《建筑物的电气装置电击防护》GB/T14821.1</w:t>
      </w:r>
    </w:p>
    <w:p w14:paraId="655CE72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1.13电梯厅门防火要求按照GB/T27903标准实施</w:t>
      </w:r>
    </w:p>
    <w:p w14:paraId="519BA9B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1.14特种设备安全检查条例</w:t>
      </w:r>
    </w:p>
    <w:p w14:paraId="76BA995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1.15浙江省消防部门的条例及相关的中国国家消防规范</w:t>
      </w:r>
    </w:p>
    <w:p w14:paraId="06EC741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1.16电力供应部门的供电规章条例</w:t>
      </w:r>
    </w:p>
    <w:p w14:paraId="59C8F55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1.17其他有关的中国规定</w:t>
      </w:r>
    </w:p>
    <w:p w14:paraId="6DC6BD7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1.18由采购人认可的其他国家的其他权威标准</w:t>
      </w:r>
    </w:p>
    <w:p w14:paraId="2A5D75C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1.19国家有新规定的，按照最新规定执行</w:t>
      </w:r>
    </w:p>
    <w:p w14:paraId="554DA33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2.电梯设施标准</w:t>
      </w:r>
    </w:p>
    <w:p w14:paraId="39B7BAC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2.1电梯的安全设施符合GB/T10058-2009《电梯技术条件》的规定，及GB7588-2020《电梯制造与安装安全规范》的规定。</w:t>
      </w:r>
    </w:p>
    <w:p w14:paraId="5E25472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2.2限速器、安全钳、缓冲器符合GB/T10058-2009《电梯技术条件》的规定。</w:t>
      </w:r>
    </w:p>
    <w:p w14:paraId="77AED6B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2.3电气安全要求:电梯电气安全要求符合GB/T10058-2009《电梯技术条件》的规定。</w:t>
      </w:r>
    </w:p>
    <w:p w14:paraId="411B404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2.4电梯可靠性要求:可靠性达到GB/T10058-2009《电梯技术条件》的要求。</w:t>
      </w:r>
    </w:p>
    <w:p w14:paraId="405EE64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2.5国家有新规定的，按照最新规定执行。</w:t>
      </w:r>
    </w:p>
    <w:p w14:paraId="271DA1D8">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（三）招标范围</w:t>
      </w:r>
    </w:p>
    <w:p w14:paraId="5E580316">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电梯设备的供应、安装、调试、检测、验收、售后服务等。</w:t>
      </w:r>
    </w:p>
    <w:p w14:paraId="7FDD6402">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中标人的工作范围需包含但不局限于以下内容：</w:t>
      </w:r>
    </w:p>
    <w:p w14:paraId="5C557E31">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1.提供图纸设计资料，包括土建需要预留、预埋的部件及尺寸，和轿厢平面图；经采购人确认后方可供货、施工。</w:t>
      </w:r>
    </w:p>
    <w:p w14:paraId="540F6ABB">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2.电梯井道所有的安装工作，包括电梯安装、随行电缆、五方通话的主机及分机、五方通话线路预设、无偿配合消防信号接入点、控制反馈等信号等一切工作以及调试电缆；</w:t>
      </w:r>
    </w:p>
    <w:p w14:paraId="3BB48442">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3.设备的制造与供货；</w:t>
      </w:r>
    </w:p>
    <w:p w14:paraId="0F5E3AA5">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4.设备及部件的包装、保护、运输及仓储和现场内运输；</w:t>
      </w:r>
    </w:p>
    <w:p w14:paraId="10183D36">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5.设备的安装及部件的就位和固定；</w:t>
      </w:r>
    </w:p>
    <w:p w14:paraId="067DA597">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6.设备调试；</w:t>
      </w:r>
    </w:p>
    <w:p w14:paraId="080E91B1">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7.实施过程中与其他施工人员的协调和配合；</w:t>
      </w:r>
    </w:p>
    <w:p w14:paraId="4E6ED003">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8.验收（包括负责通过当地</w:t>
      </w:r>
      <w:r>
        <w:rPr>
          <w:rFonts w:hint="eastAsia" w:ascii="宋体" w:hAnsi="宋体" w:eastAsia="宋体" w:cs="宋体"/>
          <w:color w:val="auto"/>
          <w:sz w:val="24"/>
          <w:szCs w:val="24"/>
          <w:highlight w:val="none"/>
        </w:rPr>
        <w:t>质量技术监督部门</w:t>
      </w:r>
      <w:r>
        <w:rPr>
          <w:rFonts w:hint="eastAsia" w:ascii="宋体" w:hAnsi="宋体" w:eastAsia="宋体" w:cs="宋体"/>
          <w:color w:val="auto"/>
          <w:sz w:val="24"/>
          <w:szCs w:val="24"/>
          <w:highlight w:val="none"/>
          <w:lang w:val="en-US" w:eastAsia="zh-CN"/>
        </w:rPr>
        <w:t>验收</w:t>
      </w:r>
      <w:r>
        <w:rPr>
          <w:rFonts w:hint="eastAsia" w:ascii="宋体" w:hAnsi="宋体" w:eastAsia="宋体" w:cs="宋体"/>
          <w:b w:val="0"/>
          <w:bCs w:val="0"/>
          <w:color w:val="auto"/>
          <w:sz w:val="24"/>
          <w:szCs w:val="24"/>
          <w:highlight w:val="none"/>
          <w:lang w:val="en-US" w:eastAsia="zh-CN"/>
        </w:rPr>
        <w:t>直至拿到验收合格报告和电梯《安全检验合格》标志）；</w:t>
      </w:r>
    </w:p>
    <w:p w14:paraId="5D16206B">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9.售后服务；</w:t>
      </w:r>
    </w:p>
    <w:p w14:paraId="415EBC2C">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10.投标人应承担招标范围内所有工作的一切费用和风险。</w:t>
      </w:r>
    </w:p>
    <w:p w14:paraId="6356931B">
      <w:pPr>
        <w:pStyle w:val="39"/>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（四）基本要求</w:t>
      </w:r>
    </w:p>
    <w:p w14:paraId="2EB36658">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设备（材料）要求</w:t>
      </w:r>
    </w:p>
    <w:p w14:paraId="0FB5C83E">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1.1投标人所投设备必须是</w:t>
      </w:r>
      <w:r>
        <w:rPr>
          <w:rFonts w:hint="eastAsia" w:ascii="宋体" w:hAnsi="宋体" w:eastAsia="宋体" w:cs="宋体"/>
          <w:color w:val="auto"/>
          <w:sz w:val="24"/>
          <w:szCs w:val="24"/>
          <w:highlight w:val="none"/>
        </w:rPr>
        <w:t>厂商全新的</w:t>
      </w:r>
      <w:r>
        <w:rPr>
          <w:rFonts w:hint="eastAsia" w:ascii="宋体" w:hAnsi="宋体" w:eastAsia="宋体" w:cs="宋体"/>
          <w:b w:val="0"/>
          <w:bCs w:val="0"/>
          <w:color w:val="auto"/>
          <w:sz w:val="24"/>
          <w:szCs w:val="24"/>
          <w:highlight w:val="none"/>
          <w:lang w:val="en-US" w:eastAsia="zh-CN"/>
        </w:rPr>
        <w:t>、性能最优的，型号、性能及指标符合国家及招标文件提出的有关技术、质量、安全标准</w:t>
      </w:r>
      <w:r>
        <w:rPr>
          <w:rFonts w:hint="eastAsia" w:ascii="宋体" w:hAnsi="宋体" w:eastAsia="宋体" w:cs="宋体"/>
          <w:b w:val="0"/>
          <w:bCs w:val="0"/>
          <w:color w:val="auto"/>
          <w:sz w:val="24"/>
          <w:szCs w:val="24"/>
          <w:highlight w:val="none"/>
        </w:rPr>
        <w:t>。</w:t>
      </w:r>
    </w:p>
    <w:p w14:paraId="58D9CC2D">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所有设备在开箱检验时必须完好，无破损，配置与装箱单相符。数量、质量及性能不低于招标文件的要求。</w:t>
      </w:r>
    </w:p>
    <w:p w14:paraId="6A7147CA">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设备外观清洁，标记编号以及盘面显示等字体清晰，明确。铭牌、使用指示、警告指示应以中文或英文及易懂的通用符号来表示；应准确无误地表明设备之型号、规格、制造厂及生产或出厂日期。</w:t>
      </w:r>
    </w:p>
    <w:p w14:paraId="71FE416C">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对于影响设备正常工作的必要组成部分，无论在技术规范中指出与否，投标人都应提供并在投标文件中明确列出。</w:t>
      </w:r>
    </w:p>
    <w:p w14:paraId="7B3D4F5C">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1.5所供的</w:t>
      </w:r>
      <w:r>
        <w:rPr>
          <w:rFonts w:hint="eastAsia" w:ascii="宋体" w:hAnsi="宋体" w:eastAsia="宋体" w:cs="宋体"/>
          <w:b w:val="0"/>
          <w:bCs w:val="0"/>
          <w:color w:val="auto"/>
          <w:sz w:val="24"/>
          <w:szCs w:val="24"/>
          <w:highlight w:val="none"/>
        </w:rPr>
        <w:t>所有货物提供出厂合格证等质量证明文件，若没有合格证的可提供型式试验报告、各部件的质量保证承诺书（加盖电梯制造单位公章），国外生产的必须有合法的进货渠道证明</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所有资料随电梯到货，开箱验收时检查。</w:t>
      </w:r>
    </w:p>
    <w:p w14:paraId="543C2EC6">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随带资料（原件）齐全，并在</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rPr>
        <w:t>竣工后统一移交给</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人。</w:t>
      </w:r>
    </w:p>
    <w:p w14:paraId="57F68A9E">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2.制造监制和出厂检验</w:t>
      </w:r>
    </w:p>
    <w:p w14:paraId="547BCBF9">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在设备制造期间，</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人有权在适当的时间到制造厂进行制造监制，在制造监制期间，制造</w:t>
      </w:r>
      <w:r>
        <w:rPr>
          <w:rFonts w:hint="eastAsia" w:ascii="宋体" w:hAnsi="宋体" w:eastAsia="宋体" w:cs="宋体"/>
          <w:b w:val="0"/>
          <w:bCs w:val="0"/>
          <w:color w:val="auto"/>
          <w:sz w:val="24"/>
          <w:szCs w:val="24"/>
          <w:highlight w:val="none"/>
          <w:lang w:val="en-US" w:eastAsia="zh-CN"/>
        </w:rPr>
        <w:t>商</w:t>
      </w:r>
      <w:r>
        <w:rPr>
          <w:rFonts w:hint="eastAsia" w:ascii="宋体" w:hAnsi="宋体" w:eastAsia="宋体" w:cs="宋体"/>
          <w:b w:val="0"/>
          <w:bCs w:val="0"/>
          <w:color w:val="auto"/>
          <w:sz w:val="24"/>
          <w:szCs w:val="24"/>
          <w:highlight w:val="none"/>
        </w:rPr>
        <w:t>有责任提供有关设备各种数据，设备结构图和部件图的详细中文资料。但</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人监制并不解除制造</w:t>
      </w:r>
      <w:r>
        <w:rPr>
          <w:rFonts w:hint="eastAsia" w:ascii="宋体" w:hAnsi="宋体" w:eastAsia="宋体" w:cs="宋体"/>
          <w:b w:val="0"/>
          <w:bCs w:val="0"/>
          <w:color w:val="auto"/>
          <w:sz w:val="24"/>
          <w:szCs w:val="24"/>
          <w:highlight w:val="none"/>
          <w:lang w:val="en-US" w:eastAsia="zh-CN"/>
        </w:rPr>
        <w:t>商</w:t>
      </w:r>
      <w:r>
        <w:rPr>
          <w:rFonts w:hint="eastAsia" w:ascii="宋体" w:hAnsi="宋体" w:eastAsia="宋体" w:cs="宋体"/>
          <w:b w:val="0"/>
          <w:bCs w:val="0"/>
          <w:color w:val="auto"/>
          <w:sz w:val="24"/>
          <w:szCs w:val="24"/>
          <w:highlight w:val="none"/>
        </w:rPr>
        <w:t>对所有产品在制造质量上应负的全部责任。</w:t>
      </w:r>
    </w:p>
    <w:p w14:paraId="4FA54DDE">
      <w:pPr>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主要部件和电气部件及总体工程的检验都应在工厂内完成。中标人须提供由</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人工程师认可的一整套检验标准和计划。所有检验应严格地按照认可的方式进行。投标人在投标文件中应把</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人工厂检验费用计入产品总价，该费用将包含于投标总价中。在检验结束后，中标人须提供必要的技术数据和图纸，并提交一份测试报告给</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，但</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人的工厂检验并不解除制造</w:t>
      </w:r>
      <w:r>
        <w:rPr>
          <w:rFonts w:hint="eastAsia" w:ascii="宋体" w:hAnsi="宋体" w:eastAsia="宋体" w:cs="宋体"/>
          <w:b w:val="0"/>
          <w:bCs w:val="0"/>
          <w:color w:val="auto"/>
          <w:sz w:val="24"/>
          <w:szCs w:val="24"/>
          <w:highlight w:val="none"/>
          <w:lang w:val="en-US" w:eastAsia="zh-CN"/>
        </w:rPr>
        <w:t>商</w:t>
      </w:r>
      <w:r>
        <w:rPr>
          <w:rFonts w:hint="eastAsia" w:ascii="宋体" w:hAnsi="宋体" w:eastAsia="宋体" w:cs="宋体"/>
          <w:b w:val="0"/>
          <w:bCs w:val="0"/>
          <w:color w:val="auto"/>
          <w:sz w:val="24"/>
          <w:szCs w:val="24"/>
          <w:highlight w:val="none"/>
        </w:rPr>
        <w:t>对所有产品在制造质量上应负的全部责任。</w:t>
      </w:r>
    </w:p>
    <w:p w14:paraId="2CFEA70E">
      <w:pPr>
        <w:keepNext w:val="0"/>
        <w:keepLines w:val="0"/>
        <w:pageBreakBefore w:val="0"/>
        <w:kinsoku/>
        <w:wordWrap/>
        <w:overflowPunct/>
        <w:topLinePunct w:val="0"/>
        <w:bidi w:val="0"/>
        <w:adjustRightInd w:val="0"/>
        <w:spacing w:line="440" w:lineRule="exact"/>
        <w:ind w:firstLine="502"/>
        <w:textAlignment w:val="auto"/>
        <w:rPr>
          <w:rFonts w:hint="eastAsia" w:ascii="宋体" w:hAnsi="宋体" w:eastAsia="宋体" w:cs="宋体"/>
          <w:b/>
          <w:color w:val="auto"/>
          <w:spacing w:val="5"/>
          <w:sz w:val="24"/>
          <w:szCs w:val="24"/>
          <w:highlight w:val="none"/>
        </w:rPr>
      </w:pPr>
      <w:r>
        <w:rPr>
          <w:rFonts w:hint="eastAsia" w:ascii="宋体" w:hAnsi="宋体" w:eastAsia="宋体" w:cs="宋体"/>
          <w:b/>
          <w:color w:val="auto"/>
          <w:spacing w:val="5"/>
          <w:sz w:val="24"/>
          <w:szCs w:val="24"/>
          <w:highlight w:val="none"/>
        </w:rPr>
        <w:t>3.数量调整</w:t>
      </w:r>
    </w:p>
    <w:p w14:paraId="1690061E">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3.1</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保留在签约时调整部分方案及定购设备数量和服务的权力，投标人应对方案中设备和服务明细报价，施工设计变更后发生的数量增减，按投标单价不变的前提下进行调整，双方不得拒绝。</w:t>
      </w:r>
    </w:p>
    <w:p w14:paraId="589F5A0B">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3.2</w:t>
      </w:r>
      <w:r>
        <w:rPr>
          <w:rFonts w:hint="eastAsia" w:ascii="宋体" w:hAnsi="宋体" w:eastAsia="宋体" w:cs="宋体"/>
          <w:bCs/>
          <w:color w:val="auto"/>
          <w:spacing w:val="5"/>
          <w:sz w:val="24"/>
          <w:szCs w:val="24"/>
          <w:highlight w:val="none"/>
        </w:rPr>
        <w:t>如遇本次招标没有涉及的设备或服务时，由中标人提出申请，</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确认后实施。</w:t>
      </w:r>
    </w:p>
    <w:p w14:paraId="466448EF">
      <w:pPr>
        <w:keepNext w:val="0"/>
        <w:keepLines w:val="0"/>
        <w:pageBreakBefore w:val="0"/>
        <w:kinsoku/>
        <w:wordWrap/>
        <w:overflowPunct/>
        <w:topLinePunct w:val="0"/>
        <w:bidi w:val="0"/>
        <w:adjustRightInd w:val="0"/>
        <w:spacing w:line="440" w:lineRule="exact"/>
        <w:ind w:firstLine="502"/>
        <w:textAlignment w:val="auto"/>
        <w:rPr>
          <w:rFonts w:hint="eastAsia" w:ascii="宋体" w:hAnsi="宋体" w:eastAsia="宋体" w:cs="宋体"/>
          <w:b/>
          <w:color w:val="auto"/>
          <w:spacing w:val="5"/>
          <w:sz w:val="24"/>
          <w:szCs w:val="24"/>
          <w:highlight w:val="none"/>
        </w:rPr>
      </w:pPr>
      <w:r>
        <w:rPr>
          <w:rFonts w:hint="eastAsia" w:ascii="宋体" w:hAnsi="宋体" w:eastAsia="宋体" w:cs="宋体"/>
          <w:b/>
          <w:color w:val="auto"/>
          <w:spacing w:val="5"/>
          <w:sz w:val="24"/>
          <w:szCs w:val="24"/>
          <w:highlight w:val="none"/>
        </w:rPr>
        <w:t>4.运输、保管、保险</w:t>
      </w:r>
    </w:p>
    <w:p w14:paraId="45E9C97D">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4.1</w:t>
      </w:r>
      <w:r>
        <w:rPr>
          <w:rFonts w:hint="eastAsia" w:ascii="宋体" w:hAnsi="宋体" w:eastAsia="宋体" w:cs="宋体"/>
          <w:bCs/>
          <w:color w:val="auto"/>
          <w:spacing w:val="5"/>
          <w:sz w:val="24"/>
          <w:szCs w:val="24"/>
          <w:highlight w:val="none"/>
        </w:rPr>
        <w:t>中标人负责设备材料货到现场或</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指定的地点过程中的全部运输，包括装卸车、货物现场的搬运。</w:t>
      </w:r>
    </w:p>
    <w:p w14:paraId="12602E55">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4.2</w:t>
      </w:r>
      <w:r>
        <w:rPr>
          <w:rFonts w:hint="eastAsia" w:ascii="宋体" w:hAnsi="宋体" w:eastAsia="宋体" w:cs="宋体"/>
          <w:bCs/>
          <w:color w:val="auto"/>
          <w:spacing w:val="5"/>
          <w:sz w:val="24"/>
          <w:szCs w:val="24"/>
          <w:highlight w:val="none"/>
        </w:rPr>
        <w:t>货物在项目综合验收合格前的保管由中标人负责。</w:t>
      </w:r>
    </w:p>
    <w:p w14:paraId="43A2D559">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4.3</w:t>
      </w:r>
      <w:r>
        <w:rPr>
          <w:rFonts w:hint="eastAsia" w:ascii="宋体" w:hAnsi="宋体" w:eastAsia="宋体" w:cs="宋体"/>
          <w:bCs/>
          <w:color w:val="auto"/>
          <w:spacing w:val="5"/>
          <w:sz w:val="24"/>
          <w:szCs w:val="24"/>
          <w:highlight w:val="none"/>
        </w:rPr>
        <w:t>货物在项目综合验收合格前的保险由中标人负责，中标人负责其派出的现场服务人员人身意外保险。</w:t>
      </w:r>
    </w:p>
    <w:p w14:paraId="2A40F501">
      <w:pPr>
        <w:keepNext w:val="0"/>
        <w:keepLines w:val="0"/>
        <w:pageBreakBefore w:val="0"/>
        <w:kinsoku/>
        <w:wordWrap/>
        <w:overflowPunct/>
        <w:topLinePunct w:val="0"/>
        <w:bidi w:val="0"/>
        <w:adjustRightInd w:val="0"/>
        <w:spacing w:line="440" w:lineRule="exact"/>
        <w:ind w:firstLine="502"/>
        <w:textAlignment w:val="auto"/>
        <w:rPr>
          <w:rFonts w:hint="eastAsia" w:ascii="宋体" w:hAnsi="宋体" w:eastAsia="宋体" w:cs="宋体"/>
          <w:b/>
          <w:color w:val="auto"/>
          <w:spacing w:val="5"/>
          <w:sz w:val="24"/>
          <w:szCs w:val="24"/>
          <w:highlight w:val="none"/>
        </w:rPr>
      </w:pPr>
      <w:r>
        <w:rPr>
          <w:rFonts w:hint="eastAsia" w:ascii="宋体" w:hAnsi="宋体" w:eastAsia="宋体" w:cs="宋体"/>
          <w:b/>
          <w:color w:val="auto"/>
          <w:spacing w:val="5"/>
          <w:sz w:val="24"/>
          <w:szCs w:val="24"/>
          <w:highlight w:val="none"/>
        </w:rPr>
        <w:t>5.安装、调试及验收</w:t>
      </w:r>
    </w:p>
    <w:p w14:paraId="0664FAD3">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rPr>
        <w:t>中标人应派经</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认可的有经验和能力、具有相应资质的技术人员，负责设备安装工作，在设备安装期间应充分了解设备安装进度要求，保证施工质量，解决施工中出现的技术问题。</w:t>
      </w:r>
    </w:p>
    <w:p w14:paraId="1851FDAB">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5.1</w:t>
      </w:r>
      <w:r>
        <w:rPr>
          <w:rFonts w:hint="eastAsia" w:ascii="宋体" w:hAnsi="宋体" w:eastAsia="宋体" w:cs="宋体"/>
          <w:bCs/>
          <w:color w:val="auto"/>
          <w:spacing w:val="5"/>
          <w:sz w:val="24"/>
          <w:szCs w:val="24"/>
          <w:highlight w:val="none"/>
        </w:rPr>
        <w:t>中标人负责设备的安装、调试、验收。</w:t>
      </w:r>
    </w:p>
    <w:p w14:paraId="4A7D9B1F">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5.2</w:t>
      </w:r>
      <w:r>
        <w:rPr>
          <w:rFonts w:hint="eastAsia" w:ascii="宋体" w:hAnsi="宋体" w:eastAsia="宋体" w:cs="宋体"/>
          <w:bCs/>
          <w:color w:val="auto"/>
          <w:spacing w:val="5"/>
          <w:sz w:val="24"/>
          <w:szCs w:val="24"/>
          <w:highlight w:val="none"/>
        </w:rPr>
        <w:t>中标人现场服务人员要服从</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的进度安排。</w:t>
      </w:r>
    </w:p>
    <w:p w14:paraId="4FFA7F94">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5.3</w:t>
      </w:r>
      <w:r>
        <w:rPr>
          <w:rFonts w:hint="eastAsia" w:ascii="宋体" w:hAnsi="宋体" w:eastAsia="宋体" w:cs="宋体"/>
          <w:bCs/>
          <w:color w:val="auto"/>
          <w:spacing w:val="5"/>
          <w:sz w:val="24"/>
          <w:szCs w:val="24"/>
          <w:highlight w:val="none"/>
        </w:rPr>
        <w:t>调试所需专用工具设施物料由中标人自备、自费运到现场，完工后自费搬走。</w:t>
      </w:r>
    </w:p>
    <w:p w14:paraId="0144E628">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5.4</w:t>
      </w:r>
      <w:r>
        <w:rPr>
          <w:rFonts w:hint="eastAsia" w:ascii="宋体" w:hAnsi="宋体" w:eastAsia="宋体" w:cs="宋体"/>
          <w:bCs/>
          <w:color w:val="auto"/>
          <w:spacing w:val="5"/>
          <w:sz w:val="24"/>
          <w:szCs w:val="24"/>
          <w:highlight w:val="none"/>
        </w:rPr>
        <w:t>调试：按国家相关施工验收规范进行，分阶段进行调试。</w:t>
      </w:r>
    </w:p>
    <w:p w14:paraId="4BD5E88F">
      <w:pPr>
        <w:keepNext w:val="0"/>
        <w:keepLines w:val="0"/>
        <w:pageBreakBefore w:val="0"/>
        <w:widowControl w:val="0"/>
        <w:kinsoku/>
        <w:wordWrap/>
        <w:overflowPunct/>
        <w:topLinePunct w:val="0"/>
        <w:autoSpaceDE/>
        <w:autoSpaceDN/>
        <w:bidi w:val="0"/>
        <w:adjustRightInd w:val="0"/>
        <w:snapToGrid/>
        <w:spacing w:line="440" w:lineRule="exact"/>
        <w:ind w:firstLine="500"/>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5.5</w:t>
      </w:r>
      <w:r>
        <w:rPr>
          <w:rFonts w:hint="eastAsia" w:ascii="宋体" w:hAnsi="宋体" w:eastAsia="宋体" w:cs="宋体"/>
          <w:bCs/>
          <w:color w:val="auto"/>
          <w:spacing w:val="5"/>
          <w:sz w:val="24"/>
          <w:szCs w:val="24"/>
          <w:highlight w:val="none"/>
        </w:rPr>
        <w:t>设备的拆箱、通电、调试等项工作由中标人负责，但必须在</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指定人员的参与下进行。在实际实施前必须先经</w:t>
      </w:r>
      <w:r>
        <w:rPr>
          <w:rFonts w:hint="eastAsia" w:ascii="宋体" w:hAnsi="宋体" w:eastAsia="宋体" w:cs="宋体"/>
          <w:bCs/>
          <w:color w:val="auto"/>
          <w:spacing w:val="5"/>
          <w:sz w:val="24"/>
          <w:szCs w:val="24"/>
          <w:highlight w:val="none"/>
          <w:lang w:eastAsia="zh-CN"/>
        </w:rPr>
        <w:t>采购人</w:t>
      </w:r>
      <w:r>
        <w:rPr>
          <w:rFonts w:hint="eastAsia" w:ascii="宋体" w:hAnsi="宋体" w:eastAsia="宋体" w:cs="宋体"/>
          <w:bCs/>
          <w:color w:val="auto"/>
          <w:spacing w:val="5"/>
          <w:sz w:val="24"/>
          <w:szCs w:val="24"/>
          <w:highlight w:val="none"/>
        </w:rPr>
        <w:t>同意方可进行。调试的原始记录须经各方签字后作为验收的文件之一。</w:t>
      </w:r>
    </w:p>
    <w:p w14:paraId="04E2D3EB">
      <w:pPr>
        <w:keepNext w:val="0"/>
        <w:keepLines w:val="0"/>
        <w:pageBreakBefore w:val="0"/>
        <w:widowControl w:val="0"/>
        <w:kinsoku/>
        <w:wordWrap/>
        <w:overflowPunct/>
        <w:topLinePunct w:val="0"/>
        <w:autoSpaceDE/>
        <w:autoSpaceDN/>
        <w:bidi w:val="0"/>
        <w:adjustRightInd w:val="0"/>
        <w:snapToGrid/>
        <w:spacing w:line="440" w:lineRule="exact"/>
        <w:ind w:firstLine="502"/>
        <w:textAlignment w:val="auto"/>
        <w:rPr>
          <w:rFonts w:hint="eastAsia" w:ascii="宋体" w:hAnsi="宋体" w:eastAsia="宋体" w:cs="宋体"/>
          <w:b/>
          <w:color w:val="auto"/>
          <w:spacing w:val="5"/>
          <w:sz w:val="24"/>
          <w:szCs w:val="24"/>
          <w:highlight w:val="none"/>
        </w:rPr>
      </w:pPr>
      <w:r>
        <w:rPr>
          <w:rFonts w:hint="eastAsia" w:ascii="宋体" w:hAnsi="宋体" w:eastAsia="宋体" w:cs="宋体"/>
          <w:b w:val="0"/>
          <w:bCs/>
          <w:color w:val="auto"/>
          <w:spacing w:val="5"/>
          <w:sz w:val="24"/>
          <w:szCs w:val="24"/>
          <w:highlight w:val="none"/>
        </w:rPr>
        <w:t>电梯设备安装完成后，进行调试、验收(包括负责通过有关部门组织的综合验收)。验收由</w:t>
      </w:r>
      <w:r>
        <w:rPr>
          <w:rFonts w:hint="eastAsia" w:ascii="宋体" w:hAnsi="宋体" w:eastAsia="宋体" w:cs="宋体"/>
          <w:b w:val="0"/>
          <w:bCs/>
          <w:color w:val="auto"/>
          <w:spacing w:val="5"/>
          <w:sz w:val="24"/>
          <w:szCs w:val="24"/>
          <w:highlight w:val="none"/>
          <w:lang w:eastAsia="zh-CN"/>
        </w:rPr>
        <w:t>采购人</w:t>
      </w:r>
      <w:r>
        <w:rPr>
          <w:rFonts w:hint="eastAsia" w:ascii="宋体" w:hAnsi="宋体" w:eastAsia="宋体" w:cs="宋体"/>
          <w:b w:val="0"/>
          <w:bCs/>
          <w:color w:val="auto"/>
          <w:spacing w:val="5"/>
          <w:sz w:val="24"/>
          <w:szCs w:val="24"/>
          <w:highlight w:val="none"/>
        </w:rPr>
        <w:t>与中标人及相关人员依国家有关标准、合同、设计图纸及有关附件要求进行，直至拿到电梯使用许可证。</w:t>
      </w:r>
    </w:p>
    <w:p w14:paraId="3432978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6.资料</w:t>
      </w:r>
    </w:p>
    <w:p w14:paraId="6961712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在试运行前二周，中标人需提交包括控制、操作和维护手册一式六份，以便于采购人和相关人员能预先对将要运行的设备有所了解。至少应包括下列基本内容：</w:t>
      </w:r>
    </w:p>
    <w:p w14:paraId="4B5352D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（1）所有设备规格和详细操作说明。</w:t>
      </w:r>
    </w:p>
    <w:p w14:paraId="0FE6739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（2）主要部件常见故障说明，说明书应包括备件清单、操作和维修方法。</w:t>
      </w:r>
    </w:p>
    <w:p w14:paraId="7F788BD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（3）例行维修保养项目和期限的建议。</w:t>
      </w:r>
    </w:p>
    <w:p w14:paraId="0B44030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（4）紧急安全措施的建议。</w:t>
      </w:r>
    </w:p>
    <w:p w14:paraId="7604E20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（5）紧急维修中心电话号码、地址，维修人员的电话号码。</w:t>
      </w:r>
    </w:p>
    <w:p w14:paraId="67B27A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（6）中标人应于验收后向采购人提供验收报告、技术文档的归纳、整理、提交，并提供完整的软、硬件技术资料。</w:t>
      </w:r>
    </w:p>
    <w:p w14:paraId="04F0E76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质量保证</w:t>
      </w:r>
    </w:p>
    <w:p w14:paraId="607D2942">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1.保证所供</w:t>
      </w:r>
      <w:r>
        <w:rPr>
          <w:rFonts w:hint="eastAsia" w:ascii="宋体" w:hAnsi="宋体" w:eastAsia="宋体" w:cs="宋体"/>
          <w:bCs/>
          <w:color w:val="auto"/>
          <w:spacing w:val="5"/>
          <w:sz w:val="24"/>
          <w:szCs w:val="24"/>
          <w:highlight w:val="none"/>
        </w:rPr>
        <w:t>货物</w:t>
      </w:r>
      <w:r>
        <w:rPr>
          <w:rFonts w:hint="eastAsia" w:ascii="宋体" w:hAnsi="宋体" w:eastAsia="宋体" w:cs="宋体"/>
          <w:color w:val="auto"/>
          <w:sz w:val="24"/>
          <w:szCs w:val="24"/>
          <w:highlight w:val="none"/>
        </w:rPr>
        <w:t>是全新的、未使用过的，并完全符合合同规定的质量、规格和性能的要求。投标方应保证其货物在正确安装、正常使用和保养条件下，在其使用寿命期内应具有满意的性能。在货物最终交付验收后至规定的质量保证期内，投标方应对由于设计、工艺或材料的缺陷而产生的故障负责。在质量保证期内，如果货物的质量或规格与投标文件</w:t>
      </w:r>
      <w:r>
        <w:rPr>
          <w:rFonts w:hint="eastAsia" w:ascii="宋体" w:hAnsi="宋体" w:eastAsia="宋体" w:cs="宋体"/>
          <w:bCs/>
          <w:color w:val="auto"/>
          <w:spacing w:val="5"/>
          <w:sz w:val="24"/>
          <w:szCs w:val="24"/>
          <w:highlight w:val="none"/>
        </w:rPr>
        <w:t>不符</w:t>
      </w:r>
      <w:r>
        <w:rPr>
          <w:rFonts w:hint="eastAsia" w:ascii="宋体" w:hAnsi="宋体" w:eastAsia="宋体" w:cs="宋体"/>
          <w:color w:val="auto"/>
          <w:sz w:val="24"/>
          <w:szCs w:val="24"/>
          <w:highlight w:val="none"/>
        </w:rPr>
        <w:t>，或证实货物是有缺陷的，包括潜在的缺陷或使用不符合要求的材料等，采购人可以以书面形式向投标方提出补救措施或索赔。投标方在约定的时间内未能弥补缺陷，采购人可采取必要的补救措施，但其风险和费用将由中标人承担，采购人根据招投标</w:t>
      </w:r>
      <w:r>
        <w:rPr>
          <w:rFonts w:hint="eastAsia" w:ascii="宋体" w:hAnsi="宋体" w:eastAsia="宋体" w:cs="宋体"/>
          <w:bCs/>
          <w:color w:val="auto"/>
          <w:spacing w:val="5"/>
          <w:sz w:val="24"/>
          <w:szCs w:val="24"/>
          <w:highlight w:val="none"/>
        </w:rPr>
        <w:t>文件</w:t>
      </w:r>
      <w:r>
        <w:rPr>
          <w:rFonts w:hint="eastAsia" w:ascii="宋体" w:hAnsi="宋体" w:eastAsia="宋体" w:cs="宋体"/>
          <w:color w:val="auto"/>
          <w:sz w:val="24"/>
          <w:szCs w:val="24"/>
          <w:highlight w:val="none"/>
        </w:rPr>
        <w:t>的规定对投标方行使的其他权利不受影响。</w:t>
      </w:r>
    </w:p>
    <w:p w14:paraId="53486BE3">
      <w:pPr>
        <w:keepNext w:val="0"/>
        <w:keepLines w:val="0"/>
        <w:pageBreakBefore w:val="0"/>
        <w:kinsoku/>
        <w:wordWrap/>
        <w:overflowPunct/>
        <w:topLinePunct w:val="0"/>
        <w:bidi w:val="0"/>
        <w:adjustRightInd w:val="0"/>
        <w:spacing w:line="440" w:lineRule="exact"/>
        <w:ind w:firstLine="5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对于投标方</w:t>
      </w:r>
      <w:r>
        <w:rPr>
          <w:rFonts w:hint="eastAsia" w:ascii="宋体" w:hAnsi="宋体" w:eastAsia="宋体" w:cs="宋体"/>
          <w:bCs/>
          <w:color w:val="auto"/>
          <w:spacing w:val="5"/>
          <w:sz w:val="24"/>
          <w:szCs w:val="24"/>
          <w:highlight w:val="none"/>
        </w:rPr>
        <w:t>提供</w:t>
      </w:r>
      <w:r>
        <w:rPr>
          <w:rFonts w:hint="eastAsia" w:ascii="宋体" w:hAnsi="宋体" w:eastAsia="宋体" w:cs="宋体"/>
          <w:color w:val="auto"/>
          <w:sz w:val="24"/>
          <w:szCs w:val="24"/>
          <w:highlight w:val="none"/>
        </w:rPr>
        <w:t>的国外进口配件，要求是正规渠道进口完税货物，供货前提供报关</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证明材料。</w:t>
      </w:r>
    </w:p>
    <w:p w14:paraId="07B20EA1">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6576FAF5">
      <w:pPr>
        <w:pStyle w:val="6"/>
        <w:rPr>
          <w:rFonts w:hint="eastAsia" w:ascii="宋体" w:hAnsi="宋体" w:eastAsia="宋体" w:cs="宋体"/>
          <w:color w:val="auto"/>
          <w:sz w:val="24"/>
          <w:szCs w:val="24"/>
          <w:highlight w:val="none"/>
          <w:lang w:val="en-US" w:eastAsia="zh-CN"/>
        </w:rPr>
        <w:sectPr>
          <w:headerReference r:id="rId5" w:type="default"/>
          <w:footerReference r:id="rId6" w:type="default"/>
          <w:pgSz w:w="11907" w:h="16840"/>
          <w:pgMar w:top="1814" w:right="1474" w:bottom="1814" w:left="1474" w:header="851" w:footer="851" w:gutter="0"/>
          <w:pgNumType w:fmt="decimal"/>
          <w:cols w:space="720" w:num="1"/>
        </w:sectPr>
      </w:pPr>
    </w:p>
    <w:p w14:paraId="18672A3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（五）电梯的技术规格及参数要求</w:t>
      </w:r>
    </w:p>
    <w:p w14:paraId="083F493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1.电梯技术规格表</w:t>
      </w:r>
    </w:p>
    <w:tbl>
      <w:tblPr>
        <w:tblStyle w:val="31"/>
        <w:tblW w:w="14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14"/>
        <w:gridCol w:w="2000"/>
        <w:gridCol w:w="945"/>
        <w:gridCol w:w="932"/>
        <w:gridCol w:w="1576"/>
        <w:gridCol w:w="1151"/>
        <w:gridCol w:w="1187"/>
        <w:gridCol w:w="1391"/>
        <w:gridCol w:w="1186"/>
        <w:gridCol w:w="1636"/>
      </w:tblGrid>
      <w:tr w14:paraId="55CC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5" w:type="dxa"/>
            <w:vAlign w:val="center"/>
          </w:tcPr>
          <w:p w14:paraId="28C68A7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楼号</w:t>
            </w:r>
          </w:p>
        </w:tc>
        <w:tc>
          <w:tcPr>
            <w:tcW w:w="1414" w:type="dxa"/>
            <w:vAlign w:val="center"/>
          </w:tcPr>
          <w:p w14:paraId="5D8C3C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编号</w:t>
            </w:r>
          </w:p>
        </w:tc>
        <w:tc>
          <w:tcPr>
            <w:tcW w:w="2000" w:type="dxa"/>
            <w:vAlign w:val="center"/>
          </w:tcPr>
          <w:p w14:paraId="3E1DA7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使用性质</w:t>
            </w:r>
          </w:p>
        </w:tc>
        <w:tc>
          <w:tcPr>
            <w:tcW w:w="945" w:type="dxa"/>
            <w:vAlign w:val="center"/>
          </w:tcPr>
          <w:p w14:paraId="7ABA9A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载</w:t>
            </w:r>
            <w:r>
              <w:rPr>
                <w:rFonts w:hint="eastAsia" w:ascii="宋体" w:hAnsi="宋体" w:eastAsia="宋体" w:cs="宋体"/>
                <w:color w:val="auto"/>
                <w:sz w:val="24"/>
                <w:szCs w:val="24"/>
                <w:highlight w:val="none"/>
                <w:lang w:val="en-US" w:eastAsia="zh-CN"/>
              </w:rPr>
              <w:t>重量</w:t>
            </w:r>
          </w:p>
          <w:p w14:paraId="6492339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（kg）</w:t>
            </w:r>
          </w:p>
        </w:tc>
        <w:tc>
          <w:tcPr>
            <w:tcW w:w="932" w:type="dxa"/>
            <w:vAlign w:val="center"/>
          </w:tcPr>
          <w:p w14:paraId="37B2AF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速度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m/s</w:t>
            </w:r>
            <w:r>
              <w:rPr>
                <w:rFonts w:hint="eastAsia" w:ascii="宋体" w:hAnsi="宋体" w:eastAsia="宋体" w:cs="宋体"/>
                <w:color w:val="auto"/>
                <w:sz w:val="24"/>
                <w:szCs w:val="24"/>
                <w:highlight w:val="none"/>
                <w:lang w:eastAsia="zh-CN"/>
              </w:rPr>
              <w:t>）</w:t>
            </w:r>
          </w:p>
        </w:tc>
        <w:tc>
          <w:tcPr>
            <w:tcW w:w="1576" w:type="dxa"/>
            <w:vAlign w:val="center"/>
          </w:tcPr>
          <w:p w14:paraId="30AE7C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停层（地下/地上）</w:t>
            </w:r>
          </w:p>
        </w:tc>
        <w:tc>
          <w:tcPr>
            <w:tcW w:w="1151" w:type="dxa"/>
            <w:vAlign w:val="center"/>
          </w:tcPr>
          <w:p w14:paraId="016E85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单通门/双通门</w:t>
            </w:r>
          </w:p>
        </w:tc>
        <w:tc>
          <w:tcPr>
            <w:tcW w:w="1187" w:type="dxa"/>
            <w:vAlign w:val="center"/>
          </w:tcPr>
          <w:p w14:paraId="57F6DF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提升</w:t>
            </w:r>
            <w:r>
              <w:rPr>
                <w:rFonts w:hint="eastAsia" w:ascii="宋体" w:hAnsi="宋体" w:eastAsia="宋体" w:cs="宋体"/>
                <w:color w:val="auto"/>
                <w:sz w:val="24"/>
                <w:szCs w:val="24"/>
                <w:highlight w:val="none"/>
                <w:lang w:val="en-US" w:eastAsia="zh-CN"/>
              </w:rPr>
              <w:t>高度</w:t>
            </w:r>
          </w:p>
          <w:p w14:paraId="634B84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w:t>
            </w:r>
          </w:p>
        </w:tc>
        <w:tc>
          <w:tcPr>
            <w:tcW w:w="1391" w:type="dxa"/>
            <w:vAlign w:val="center"/>
          </w:tcPr>
          <w:p w14:paraId="73917D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井道尺寸</w:t>
            </w:r>
          </w:p>
          <w:p w14:paraId="5EFCC5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(宽*深)</w:t>
            </w:r>
          </w:p>
          <w:p w14:paraId="0347CC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mm</w:t>
            </w:r>
          </w:p>
        </w:tc>
        <w:tc>
          <w:tcPr>
            <w:tcW w:w="1186" w:type="dxa"/>
            <w:vAlign w:val="center"/>
          </w:tcPr>
          <w:p w14:paraId="56638BA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底坑深度</w:t>
            </w:r>
          </w:p>
          <w:p w14:paraId="5535C8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w:t>
            </w:r>
          </w:p>
        </w:tc>
        <w:tc>
          <w:tcPr>
            <w:tcW w:w="1636" w:type="dxa"/>
            <w:vAlign w:val="center"/>
          </w:tcPr>
          <w:p w14:paraId="31A705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顶层高度(顶冲结构层高)</w:t>
            </w:r>
          </w:p>
          <w:p w14:paraId="467012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w:t>
            </w:r>
          </w:p>
        </w:tc>
      </w:tr>
      <w:tr w14:paraId="72B9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14:paraId="1F5BA0BF">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11</w:t>
            </w:r>
            <w:r>
              <w:rPr>
                <w:rFonts w:hint="eastAsia" w:ascii="宋体" w:hAnsi="宋体" w:eastAsia="宋体" w:cs="宋体"/>
                <w:color w:val="auto"/>
                <w:sz w:val="24"/>
                <w:szCs w:val="24"/>
                <w:highlight w:val="none"/>
                <w:lang w:bidi="en-US"/>
              </w:rPr>
              <w:t>#楼</w:t>
            </w:r>
          </w:p>
        </w:tc>
        <w:tc>
          <w:tcPr>
            <w:tcW w:w="1414" w:type="dxa"/>
            <w:vAlign w:val="center"/>
          </w:tcPr>
          <w:p w14:paraId="5D4F20CE">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DT1客</w:t>
            </w:r>
            <w:r>
              <w:rPr>
                <w:rFonts w:hint="eastAsia" w:ascii="宋体" w:hAnsi="宋体" w:eastAsia="宋体" w:cs="宋体"/>
                <w:color w:val="auto"/>
                <w:sz w:val="24"/>
                <w:szCs w:val="24"/>
                <w:highlight w:val="none"/>
                <w:lang w:bidi="en-US"/>
              </w:rPr>
              <w:t>梯</w:t>
            </w:r>
          </w:p>
        </w:tc>
        <w:tc>
          <w:tcPr>
            <w:tcW w:w="2000" w:type="dxa"/>
            <w:vAlign w:val="center"/>
          </w:tcPr>
          <w:p w14:paraId="2DEA2405">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客梯</w:t>
            </w:r>
          </w:p>
        </w:tc>
        <w:tc>
          <w:tcPr>
            <w:tcW w:w="945" w:type="dxa"/>
            <w:vAlign w:val="center"/>
          </w:tcPr>
          <w:p w14:paraId="5D42FB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1600</w:t>
            </w:r>
          </w:p>
        </w:tc>
        <w:tc>
          <w:tcPr>
            <w:tcW w:w="932" w:type="dxa"/>
            <w:vAlign w:val="center"/>
          </w:tcPr>
          <w:p w14:paraId="364E343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bidi="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75</w:t>
            </w:r>
          </w:p>
        </w:tc>
        <w:tc>
          <w:tcPr>
            <w:tcW w:w="1576" w:type="dxa"/>
            <w:vAlign w:val="center"/>
          </w:tcPr>
          <w:p w14:paraId="64C22B70">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6</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w:t>
            </w:r>
            <w:r>
              <w:rPr>
                <w:rFonts w:hint="eastAsia" w:ascii="宋体" w:hAnsi="宋体" w:eastAsia="宋体" w:cs="宋体"/>
                <w:color w:val="auto"/>
                <w:sz w:val="24"/>
                <w:szCs w:val="24"/>
                <w:highlight w:val="none"/>
                <w:lang w:val="en-US" w:eastAsia="zh-CN" w:bidi="en-US"/>
              </w:rPr>
              <w:t>5</w:t>
            </w:r>
            <w:r>
              <w:rPr>
                <w:rFonts w:hint="eastAsia" w:ascii="宋体" w:hAnsi="宋体" w:cs="宋体"/>
                <w:color w:val="auto"/>
                <w:sz w:val="24"/>
                <w:szCs w:val="24"/>
                <w:highlight w:val="none"/>
                <w:lang w:val="en-US" w:eastAsia="zh-CN" w:bidi="en-US"/>
              </w:rPr>
              <w:t>F</w:t>
            </w:r>
            <w:r>
              <w:rPr>
                <w:rFonts w:hint="eastAsia" w:ascii="宋体" w:hAnsi="宋体" w:eastAsia="宋体" w:cs="宋体"/>
                <w:color w:val="auto"/>
                <w:sz w:val="24"/>
                <w:szCs w:val="24"/>
                <w:highlight w:val="none"/>
                <w:lang w:bidi="en-US"/>
              </w:rPr>
              <w:t>)</w:t>
            </w:r>
          </w:p>
        </w:tc>
        <w:tc>
          <w:tcPr>
            <w:tcW w:w="1151" w:type="dxa"/>
            <w:vAlign w:val="center"/>
          </w:tcPr>
          <w:p w14:paraId="214B3C75">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2A6266A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22.75</w:t>
            </w:r>
          </w:p>
        </w:tc>
        <w:tc>
          <w:tcPr>
            <w:tcW w:w="1391" w:type="dxa"/>
            <w:vAlign w:val="center"/>
          </w:tcPr>
          <w:p w14:paraId="3B10FC0F">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00</w:t>
            </w:r>
          </w:p>
        </w:tc>
        <w:tc>
          <w:tcPr>
            <w:tcW w:w="1186" w:type="dxa"/>
            <w:vAlign w:val="center"/>
          </w:tcPr>
          <w:p w14:paraId="5B95DCAA">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2.20</w:t>
            </w:r>
          </w:p>
        </w:tc>
        <w:tc>
          <w:tcPr>
            <w:tcW w:w="1636" w:type="dxa"/>
            <w:vAlign w:val="center"/>
          </w:tcPr>
          <w:p w14:paraId="085705F8">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4.70</w:t>
            </w:r>
          </w:p>
        </w:tc>
      </w:tr>
      <w:tr w14:paraId="77BD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14:paraId="4CEFD569">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12</w:t>
            </w:r>
            <w:r>
              <w:rPr>
                <w:rFonts w:hint="eastAsia" w:ascii="宋体" w:hAnsi="宋体" w:eastAsia="宋体" w:cs="宋体"/>
                <w:color w:val="auto"/>
                <w:sz w:val="24"/>
                <w:szCs w:val="24"/>
                <w:highlight w:val="none"/>
                <w:lang w:bidi="en-US"/>
              </w:rPr>
              <w:t>#楼</w:t>
            </w:r>
          </w:p>
        </w:tc>
        <w:tc>
          <w:tcPr>
            <w:tcW w:w="1414" w:type="dxa"/>
            <w:vAlign w:val="center"/>
          </w:tcPr>
          <w:p w14:paraId="5F418EED">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w:t>
            </w:r>
            <w:r>
              <w:rPr>
                <w:rFonts w:hint="eastAsia" w:ascii="宋体" w:hAnsi="宋体" w:cs="宋体"/>
                <w:color w:val="auto"/>
                <w:sz w:val="24"/>
                <w:szCs w:val="24"/>
                <w:highlight w:val="none"/>
                <w:lang w:val="en-US" w:eastAsia="zh-CN" w:bidi="en-US"/>
              </w:rPr>
              <w:t>2</w:t>
            </w:r>
            <w:r>
              <w:rPr>
                <w:rFonts w:hint="eastAsia" w:ascii="宋体" w:hAnsi="宋体" w:eastAsia="宋体" w:cs="宋体"/>
                <w:color w:val="auto"/>
                <w:sz w:val="24"/>
                <w:szCs w:val="24"/>
                <w:highlight w:val="none"/>
                <w:lang w:val="en-US" w:eastAsia="zh-CN" w:bidi="en-US"/>
              </w:rPr>
              <w:t>客</w:t>
            </w:r>
            <w:r>
              <w:rPr>
                <w:rFonts w:hint="eastAsia" w:ascii="宋体" w:hAnsi="宋体" w:eastAsia="宋体" w:cs="宋体"/>
                <w:color w:val="auto"/>
                <w:sz w:val="24"/>
                <w:szCs w:val="24"/>
                <w:highlight w:val="none"/>
                <w:lang w:bidi="en-US"/>
              </w:rPr>
              <w:t>梯</w:t>
            </w:r>
          </w:p>
        </w:tc>
        <w:tc>
          <w:tcPr>
            <w:tcW w:w="2000" w:type="dxa"/>
            <w:vAlign w:val="center"/>
          </w:tcPr>
          <w:p w14:paraId="22936A90">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客梯</w:t>
            </w:r>
          </w:p>
        </w:tc>
        <w:tc>
          <w:tcPr>
            <w:tcW w:w="945" w:type="dxa"/>
            <w:vAlign w:val="center"/>
          </w:tcPr>
          <w:p w14:paraId="65664C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1600</w:t>
            </w:r>
          </w:p>
        </w:tc>
        <w:tc>
          <w:tcPr>
            <w:tcW w:w="932" w:type="dxa"/>
            <w:vAlign w:val="center"/>
          </w:tcPr>
          <w:p w14:paraId="45880BD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bidi="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75</w:t>
            </w:r>
          </w:p>
        </w:tc>
        <w:tc>
          <w:tcPr>
            <w:tcW w:w="1576" w:type="dxa"/>
            <w:vAlign w:val="center"/>
          </w:tcPr>
          <w:p w14:paraId="1E469529">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cs="宋体"/>
                <w:color w:val="auto"/>
                <w:sz w:val="24"/>
                <w:szCs w:val="24"/>
                <w:highlight w:val="none"/>
                <w:lang w:val="en-US" w:eastAsia="zh-CN" w:bidi="en-US"/>
              </w:rPr>
              <w:t>5</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F~4F</w:t>
            </w:r>
            <w:r>
              <w:rPr>
                <w:rFonts w:hint="eastAsia" w:ascii="宋体" w:hAnsi="宋体" w:eastAsia="宋体" w:cs="宋体"/>
                <w:color w:val="auto"/>
                <w:sz w:val="24"/>
                <w:szCs w:val="24"/>
                <w:highlight w:val="none"/>
                <w:lang w:bidi="en-US"/>
              </w:rPr>
              <w:t>)</w:t>
            </w:r>
          </w:p>
        </w:tc>
        <w:tc>
          <w:tcPr>
            <w:tcW w:w="1151" w:type="dxa"/>
            <w:vAlign w:val="center"/>
          </w:tcPr>
          <w:p w14:paraId="41C5AA43">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5FC74FC9">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18.55</w:t>
            </w:r>
          </w:p>
        </w:tc>
        <w:tc>
          <w:tcPr>
            <w:tcW w:w="1391" w:type="dxa"/>
            <w:vAlign w:val="center"/>
          </w:tcPr>
          <w:p w14:paraId="16378269">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00</w:t>
            </w:r>
          </w:p>
        </w:tc>
        <w:tc>
          <w:tcPr>
            <w:tcW w:w="1186" w:type="dxa"/>
            <w:vAlign w:val="center"/>
          </w:tcPr>
          <w:p w14:paraId="6C061743">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2.20</w:t>
            </w:r>
          </w:p>
        </w:tc>
        <w:tc>
          <w:tcPr>
            <w:tcW w:w="1636" w:type="dxa"/>
            <w:vAlign w:val="center"/>
          </w:tcPr>
          <w:p w14:paraId="1A2CA0F3">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4.70</w:t>
            </w:r>
          </w:p>
        </w:tc>
      </w:tr>
      <w:tr w14:paraId="748B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14:paraId="1866D1D6">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13</w:t>
            </w:r>
            <w:r>
              <w:rPr>
                <w:rFonts w:hint="eastAsia" w:ascii="宋体" w:hAnsi="宋体" w:eastAsia="宋体" w:cs="宋体"/>
                <w:color w:val="auto"/>
                <w:sz w:val="24"/>
                <w:szCs w:val="24"/>
                <w:highlight w:val="none"/>
                <w:lang w:bidi="en-US"/>
              </w:rPr>
              <w:t>#楼</w:t>
            </w:r>
          </w:p>
        </w:tc>
        <w:tc>
          <w:tcPr>
            <w:tcW w:w="1414" w:type="dxa"/>
            <w:vAlign w:val="center"/>
          </w:tcPr>
          <w:p w14:paraId="0E31CFBA">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w:t>
            </w:r>
            <w:r>
              <w:rPr>
                <w:rFonts w:hint="eastAsia" w:ascii="宋体" w:hAnsi="宋体" w:cs="宋体"/>
                <w:color w:val="auto"/>
                <w:sz w:val="24"/>
                <w:szCs w:val="24"/>
                <w:highlight w:val="none"/>
                <w:lang w:val="en-US" w:eastAsia="zh-CN" w:bidi="en-US"/>
              </w:rPr>
              <w:t>2</w:t>
            </w:r>
            <w:r>
              <w:rPr>
                <w:rFonts w:hint="eastAsia" w:ascii="宋体" w:hAnsi="宋体" w:eastAsia="宋体" w:cs="宋体"/>
                <w:color w:val="auto"/>
                <w:sz w:val="24"/>
                <w:szCs w:val="24"/>
                <w:highlight w:val="none"/>
                <w:lang w:val="en-US" w:eastAsia="zh-CN" w:bidi="en-US"/>
              </w:rPr>
              <w:t>客</w:t>
            </w:r>
            <w:r>
              <w:rPr>
                <w:rFonts w:hint="eastAsia" w:ascii="宋体" w:hAnsi="宋体" w:eastAsia="宋体" w:cs="宋体"/>
                <w:color w:val="auto"/>
                <w:sz w:val="24"/>
                <w:szCs w:val="24"/>
                <w:highlight w:val="none"/>
                <w:lang w:bidi="en-US"/>
              </w:rPr>
              <w:t>梯</w:t>
            </w:r>
          </w:p>
        </w:tc>
        <w:tc>
          <w:tcPr>
            <w:tcW w:w="2000" w:type="dxa"/>
            <w:vAlign w:val="center"/>
          </w:tcPr>
          <w:p w14:paraId="1CFA9621">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客梯</w:t>
            </w:r>
          </w:p>
        </w:tc>
        <w:tc>
          <w:tcPr>
            <w:tcW w:w="945" w:type="dxa"/>
            <w:vAlign w:val="center"/>
          </w:tcPr>
          <w:p w14:paraId="48F43A5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1600</w:t>
            </w:r>
          </w:p>
        </w:tc>
        <w:tc>
          <w:tcPr>
            <w:tcW w:w="932" w:type="dxa"/>
            <w:vAlign w:val="center"/>
          </w:tcPr>
          <w:p w14:paraId="09CFE13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bidi="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75</w:t>
            </w:r>
          </w:p>
        </w:tc>
        <w:tc>
          <w:tcPr>
            <w:tcW w:w="1576" w:type="dxa"/>
            <w:vAlign w:val="center"/>
          </w:tcPr>
          <w:p w14:paraId="1F84D9FD">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cs="宋体"/>
                <w:color w:val="auto"/>
                <w:sz w:val="24"/>
                <w:szCs w:val="24"/>
                <w:highlight w:val="none"/>
                <w:lang w:val="en-US" w:eastAsia="zh-CN" w:bidi="en-US"/>
              </w:rPr>
              <w:t>5</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F~4F</w:t>
            </w:r>
            <w:r>
              <w:rPr>
                <w:rFonts w:hint="eastAsia" w:ascii="宋体" w:hAnsi="宋体" w:eastAsia="宋体" w:cs="宋体"/>
                <w:color w:val="auto"/>
                <w:sz w:val="24"/>
                <w:szCs w:val="24"/>
                <w:highlight w:val="none"/>
                <w:lang w:bidi="en-US"/>
              </w:rPr>
              <w:t>)</w:t>
            </w:r>
          </w:p>
        </w:tc>
        <w:tc>
          <w:tcPr>
            <w:tcW w:w="1151" w:type="dxa"/>
            <w:vAlign w:val="center"/>
          </w:tcPr>
          <w:p w14:paraId="0C1199A1">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4DE80E7F">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18.55</w:t>
            </w:r>
          </w:p>
        </w:tc>
        <w:tc>
          <w:tcPr>
            <w:tcW w:w="1391" w:type="dxa"/>
            <w:vAlign w:val="center"/>
          </w:tcPr>
          <w:p w14:paraId="3D19312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00</w:t>
            </w:r>
          </w:p>
        </w:tc>
        <w:tc>
          <w:tcPr>
            <w:tcW w:w="1186" w:type="dxa"/>
            <w:vAlign w:val="center"/>
          </w:tcPr>
          <w:p w14:paraId="4734340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2.20</w:t>
            </w:r>
          </w:p>
        </w:tc>
        <w:tc>
          <w:tcPr>
            <w:tcW w:w="1636" w:type="dxa"/>
            <w:vAlign w:val="center"/>
          </w:tcPr>
          <w:p w14:paraId="56CBB94A">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4.70</w:t>
            </w:r>
          </w:p>
        </w:tc>
      </w:tr>
      <w:tr w14:paraId="7F4E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Merge w:val="restart"/>
            <w:vAlign w:val="center"/>
          </w:tcPr>
          <w:p w14:paraId="2277B2DF">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15</w:t>
            </w:r>
            <w:r>
              <w:rPr>
                <w:rFonts w:hint="eastAsia" w:ascii="宋体" w:hAnsi="宋体" w:eastAsia="宋体" w:cs="宋体"/>
                <w:color w:val="auto"/>
                <w:sz w:val="24"/>
                <w:szCs w:val="24"/>
                <w:highlight w:val="none"/>
                <w:lang w:bidi="en-US"/>
              </w:rPr>
              <w:t>#楼</w:t>
            </w:r>
          </w:p>
        </w:tc>
        <w:tc>
          <w:tcPr>
            <w:tcW w:w="1414" w:type="dxa"/>
            <w:vAlign w:val="center"/>
          </w:tcPr>
          <w:p w14:paraId="6FCF5F01">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DT3消防兼货</w:t>
            </w:r>
            <w:r>
              <w:rPr>
                <w:rFonts w:hint="eastAsia" w:ascii="宋体" w:hAnsi="宋体" w:eastAsia="宋体" w:cs="宋体"/>
                <w:color w:val="auto"/>
                <w:sz w:val="24"/>
                <w:szCs w:val="24"/>
                <w:highlight w:val="none"/>
                <w:lang w:bidi="en-US"/>
              </w:rPr>
              <w:t>梯</w:t>
            </w:r>
          </w:p>
        </w:tc>
        <w:tc>
          <w:tcPr>
            <w:tcW w:w="2000" w:type="dxa"/>
            <w:vAlign w:val="center"/>
          </w:tcPr>
          <w:p w14:paraId="7A4209EF">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带消防返回功能客梯兼载货电</w:t>
            </w:r>
            <w:r>
              <w:rPr>
                <w:rFonts w:hint="eastAsia" w:ascii="宋体" w:hAnsi="宋体" w:eastAsia="宋体" w:cs="宋体"/>
                <w:color w:val="auto"/>
                <w:sz w:val="24"/>
                <w:szCs w:val="24"/>
                <w:highlight w:val="none"/>
                <w:lang w:bidi="en-US"/>
              </w:rPr>
              <w:t>梯</w:t>
            </w:r>
          </w:p>
        </w:tc>
        <w:tc>
          <w:tcPr>
            <w:tcW w:w="945" w:type="dxa"/>
            <w:vAlign w:val="center"/>
          </w:tcPr>
          <w:p w14:paraId="089927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w:t>
            </w:r>
          </w:p>
        </w:tc>
        <w:tc>
          <w:tcPr>
            <w:tcW w:w="932" w:type="dxa"/>
            <w:vAlign w:val="center"/>
          </w:tcPr>
          <w:p w14:paraId="4911453A">
            <w:pPr>
              <w:keepNext w:val="0"/>
              <w:keepLines w:val="0"/>
              <w:widowControl/>
              <w:suppressLineNumbers w:val="0"/>
              <w:jc w:val="center"/>
              <w:textAlignment w:val="center"/>
              <w:rPr>
                <w:rFonts w:hint="eastAsia" w:ascii="宋体" w:hAnsi="宋体" w:eastAsia="宋体" w:cs="宋体"/>
                <w:color w:val="auto"/>
                <w:sz w:val="24"/>
                <w:szCs w:val="24"/>
                <w:highlight w:val="none"/>
                <w:lang w:bidi="en-US"/>
              </w:rPr>
            </w:pPr>
            <w:r>
              <w:rPr>
                <w:rFonts w:hint="eastAsia" w:ascii="宋体" w:hAnsi="宋体" w:eastAsia="宋体" w:cs="宋体"/>
                <w:i w:val="0"/>
                <w:iCs w:val="0"/>
                <w:color w:val="auto"/>
                <w:kern w:val="0"/>
                <w:sz w:val="24"/>
                <w:szCs w:val="24"/>
                <w:u w:val="none"/>
                <w:lang w:val="en-US" w:eastAsia="zh-CN" w:bidi="ar"/>
              </w:rPr>
              <w:t>1.75</w:t>
            </w:r>
          </w:p>
        </w:tc>
        <w:tc>
          <w:tcPr>
            <w:tcW w:w="1576" w:type="dxa"/>
            <w:vAlign w:val="center"/>
          </w:tcPr>
          <w:p w14:paraId="6E87B6F5">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12</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F~11F</w:t>
            </w:r>
            <w:r>
              <w:rPr>
                <w:rFonts w:hint="eastAsia" w:ascii="宋体" w:hAnsi="宋体" w:eastAsia="宋体" w:cs="宋体"/>
                <w:color w:val="auto"/>
                <w:sz w:val="24"/>
                <w:szCs w:val="24"/>
                <w:highlight w:val="none"/>
                <w:lang w:bidi="en-US"/>
              </w:rPr>
              <w:t>)</w:t>
            </w:r>
          </w:p>
        </w:tc>
        <w:tc>
          <w:tcPr>
            <w:tcW w:w="1151" w:type="dxa"/>
            <w:vAlign w:val="center"/>
          </w:tcPr>
          <w:p w14:paraId="4FD4B7A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5E48A24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47.65</w:t>
            </w:r>
          </w:p>
        </w:tc>
        <w:tc>
          <w:tcPr>
            <w:tcW w:w="1391" w:type="dxa"/>
            <w:vAlign w:val="center"/>
          </w:tcPr>
          <w:p w14:paraId="2D28D5C3">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p>
        </w:tc>
        <w:tc>
          <w:tcPr>
            <w:tcW w:w="1186" w:type="dxa"/>
            <w:vAlign w:val="center"/>
          </w:tcPr>
          <w:p w14:paraId="6F36D88E">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c>
          <w:tcPr>
            <w:tcW w:w="1636" w:type="dxa"/>
            <w:vAlign w:val="center"/>
          </w:tcPr>
          <w:p w14:paraId="361969AE">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4.70</w:t>
            </w:r>
          </w:p>
        </w:tc>
      </w:tr>
      <w:tr w14:paraId="3FF0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Merge w:val="continue"/>
            <w:vAlign w:val="center"/>
          </w:tcPr>
          <w:p w14:paraId="0D7C9641">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p>
        </w:tc>
        <w:tc>
          <w:tcPr>
            <w:tcW w:w="1414" w:type="dxa"/>
            <w:vAlign w:val="center"/>
          </w:tcPr>
          <w:p w14:paraId="0BE57785">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DT4客</w:t>
            </w:r>
            <w:r>
              <w:rPr>
                <w:rFonts w:hint="eastAsia" w:ascii="宋体" w:hAnsi="宋体" w:eastAsia="宋体" w:cs="宋体"/>
                <w:color w:val="auto"/>
                <w:sz w:val="24"/>
                <w:szCs w:val="24"/>
                <w:highlight w:val="none"/>
                <w:lang w:bidi="en-US"/>
              </w:rPr>
              <w:t>梯</w:t>
            </w:r>
          </w:p>
        </w:tc>
        <w:tc>
          <w:tcPr>
            <w:tcW w:w="2000" w:type="dxa"/>
            <w:vAlign w:val="center"/>
          </w:tcPr>
          <w:p w14:paraId="2CF77ED6">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客梯</w:t>
            </w:r>
          </w:p>
        </w:tc>
        <w:tc>
          <w:tcPr>
            <w:tcW w:w="945" w:type="dxa"/>
            <w:vAlign w:val="center"/>
          </w:tcPr>
          <w:p w14:paraId="02574A2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1350</w:t>
            </w:r>
          </w:p>
        </w:tc>
        <w:tc>
          <w:tcPr>
            <w:tcW w:w="932" w:type="dxa"/>
            <w:vAlign w:val="center"/>
          </w:tcPr>
          <w:p w14:paraId="68DAEE1A">
            <w:pPr>
              <w:keepNext w:val="0"/>
              <w:keepLines w:val="0"/>
              <w:widowControl/>
              <w:suppressLineNumbers w:val="0"/>
              <w:jc w:val="center"/>
              <w:textAlignment w:val="center"/>
              <w:rPr>
                <w:rFonts w:hint="eastAsia" w:ascii="宋体" w:hAnsi="宋体" w:eastAsia="宋体" w:cs="宋体"/>
                <w:color w:val="auto"/>
                <w:sz w:val="24"/>
                <w:szCs w:val="24"/>
                <w:highlight w:val="none"/>
                <w:lang w:bidi="en-US"/>
              </w:rPr>
            </w:pPr>
            <w:r>
              <w:rPr>
                <w:rFonts w:hint="eastAsia" w:ascii="宋体" w:hAnsi="宋体" w:eastAsia="宋体" w:cs="宋体"/>
                <w:i w:val="0"/>
                <w:iCs w:val="0"/>
                <w:color w:val="auto"/>
                <w:kern w:val="0"/>
                <w:sz w:val="24"/>
                <w:szCs w:val="24"/>
                <w:u w:val="none"/>
                <w:lang w:val="en-US" w:eastAsia="zh-CN" w:bidi="ar"/>
              </w:rPr>
              <w:t>1.75</w:t>
            </w:r>
          </w:p>
        </w:tc>
        <w:tc>
          <w:tcPr>
            <w:tcW w:w="1576" w:type="dxa"/>
            <w:vAlign w:val="center"/>
          </w:tcPr>
          <w:p w14:paraId="4C1E5A26">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4</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F~4F</w:t>
            </w:r>
            <w:r>
              <w:rPr>
                <w:rFonts w:hint="eastAsia" w:ascii="宋体" w:hAnsi="宋体" w:eastAsia="宋体" w:cs="宋体"/>
                <w:color w:val="auto"/>
                <w:sz w:val="24"/>
                <w:szCs w:val="24"/>
                <w:highlight w:val="none"/>
                <w:lang w:bidi="en-US"/>
              </w:rPr>
              <w:t>)</w:t>
            </w:r>
          </w:p>
        </w:tc>
        <w:tc>
          <w:tcPr>
            <w:tcW w:w="1151" w:type="dxa"/>
            <w:vAlign w:val="center"/>
          </w:tcPr>
          <w:p w14:paraId="04ABB415">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3C2631B3">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391" w:type="dxa"/>
            <w:vAlign w:val="center"/>
          </w:tcPr>
          <w:p w14:paraId="60BE9FBC">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305</w:t>
            </w:r>
            <w:r>
              <w:rPr>
                <w:rFonts w:hint="eastAsia" w:ascii="宋体" w:hAnsi="宋体" w:eastAsia="宋体" w:cs="宋体"/>
                <w:color w:val="auto"/>
                <w:kern w:val="0"/>
                <w:sz w:val="24"/>
                <w:szCs w:val="24"/>
                <w:highlight w:val="none"/>
              </w:rPr>
              <w:t>0</w:t>
            </w:r>
          </w:p>
        </w:tc>
        <w:tc>
          <w:tcPr>
            <w:tcW w:w="1186" w:type="dxa"/>
            <w:vAlign w:val="center"/>
          </w:tcPr>
          <w:p w14:paraId="6B13FBC0">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c>
          <w:tcPr>
            <w:tcW w:w="1636" w:type="dxa"/>
            <w:vAlign w:val="center"/>
          </w:tcPr>
          <w:p w14:paraId="0A3EA041">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7.50</w:t>
            </w:r>
          </w:p>
        </w:tc>
      </w:tr>
      <w:tr w14:paraId="0E21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Merge w:val="continue"/>
            <w:vAlign w:val="center"/>
          </w:tcPr>
          <w:p w14:paraId="0CECB49B">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p>
        </w:tc>
        <w:tc>
          <w:tcPr>
            <w:tcW w:w="1414" w:type="dxa"/>
            <w:vAlign w:val="center"/>
          </w:tcPr>
          <w:p w14:paraId="78ABFE61">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DT5客</w:t>
            </w:r>
            <w:r>
              <w:rPr>
                <w:rFonts w:hint="eastAsia" w:ascii="宋体" w:hAnsi="宋体" w:eastAsia="宋体" w:cs="宋体"/>
                <w:color w:val="auto"/>
                <w:sz w:val="24"/>
                <w:szCs w:val="24"/>
                <w:highlight w:val="none"/>
                <w:lang w:bidi="en-US"/>
              </w:rPr>
              <w:t>梯</w:t>
            </w:r>
          </w:p>
        </w:tc>
        <w:tc>
          <w:tcPr>
            <w:tcW w:w="2000" w:type="dxa"/>
            <w:vAlign w:val="center"/>
          </w:tcPr>
          <w:p w14:paraId="6639B057">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客梯</w:t>
            </w:r>
          </w:p>
        </w:tc>
        <w:tc>
          <w:tcPr>
            <w:tcW w:w="945" w:type="dxa"/>
            <w:vAlign w:val="center"/>
          </w:tcPr>
          <w:p w14:paraId="50EADAB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1350</w:t>
            </w:r>
          </w:p>
        </w:tc>
        <w:tc>
          <w:tcPr>
            <w:tcW w:w="932" w:type="dxa"/>
            <w:vAlign w:val="center"/>
          </w:tcPr>
          <w:p w14:paraId="14156760">
            <w:pPr>
              <w:keepNext w:val="0"/>
              <w:keepLines w:val="0"/>
              <w:widowControl/>
              <w:suppressLineNumbers w:val="0"/>
              <w:jc w:val="center"/>
              <w:textAlignment w:val="center"/>
              <w:rPr>
                <w:rFonts w:hint="eastAsia" w:ascii="宋体" w:hAnsi="宋体" w:eastAsia="宋体" w:cs="宋体"/>
                <w:color w:val="auto"/>
                <w:sz w:val="24"/>
                <w:szCs w:val="24"/>
                <w:highlight w:val="none"/>
                <w:lang w:bidi="en-US"/>
              </w:rPr>
            </w:pPr>
            <w:r>
              <w:rPr>
                <w:rFonts w:hint="eastAsia" w:ascii="宋体" w:hAnsi="宋体" w:eastAsia="宋体" w:cs="宋体"/>
                <w:i w:val="0"/>
                <w:iCs w:val="0"/>
                <w:color w:val="auto"/>
                <w:kern w:val="0"/>
                <w:sz w:val="24"/>
                <w:szCs w:val="24"/>
                <w:u w:val="none"/>
                <w:lang w:val="en-US" w:eastAsia="zh-CN" w:bidi="ar"/>
              </w:rPr>
              <w:t>1.75</w:t>
            </w:r>
          </w:p>
        </w:tc>
        <w:tc>
          <w:tcPr>
            <w:tcW w:w="1576" w:type="dxa"/>
            <w:vAlign w:val="center"/>
          </w:tcPr>
          <w:p w14:paraId="25B942C5">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4</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F~3F</w:t>
            </w:r>
            <w:r>
              <w:rPr>
                <w:rFonts w:hint="eastAsia" w:ascii="宋体" w:hAnsi="宋体" w:eastAsia="宋体" w:cs="宋体"/>
                <w:color w:val="auto"/>
                <w:sz w:val="24"/>
                <w:szCs w:val="24"/>
                <w:highlight w:val="none"/>
                <w:lang w:bidi="en-US"/>
              </w:rPr>
              <w:t>)</w:t>
            </w:r>
          </w:p>
        </w:tc>
        <w:tc>
          <w:tcPr>
            <w:tcW w:w="1151" w:type="dxa"/>
            <w:vAlign w:val="center"/>
          </w:tcPr>
          <w:p w14:paraId="39A26F5F">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通门</w:t>
            </w:r>
          </w:p>
        </w:tc>
        <w:tc>
          <w:tcPr>
            <w:tcW w:w="1187" w:type="dxa"/>
            <w:vAlign w:val="center"/>
          </w:tcPr>
          <w:p w14:paraId="152BDBCC">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15.55</w:t>
            </w:r>
          </w:p>
        </w:tc>
        <w:tc>
          <w:tcPr>
            <w:tcW w:w="1391" w:type="dxa"/>
            <w:vAlign w:val="center"/>
          </w:tcPr>
          <w:p w14:paraId="2131B9E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00</w:t>
            </w:r>
          </w:p>
        </w:tc>
        <w:tc>
          <w:tcPr>
            <w:tcW w:w="1186" w:type="dxa"/>
            <w:vAlign w:val="center"/>
          </w:tcPr>
          <w:p w14:paraId="45210D6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c>
          <w:tcPr>
            <w:tcW w:w="1636" w:type="dxa"/>
            <w:vAlign w:val="center"/>
          </w:tcPr>
          <w:p w14:paraId="13B38C4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4.90</w:t>
            </w:r>
          </w:p>
        </w:tc>
      </w:tr>
      <w:tr w14:paraId="6435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Merge w:val="continue"/>
            <w:vAlign w:val="center"/>
          </w:tcPr>
          <w:p w14:paraId="3F41888D">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p>
        </w:tc>
        <w:tc>
          <w:tcPr>
            <w:tcW w:w="1414" w:type="dxa"/>
            <w:vAlign w:val="center"/>
          </w:tcPr>
          <w:p w14:paraId="6B55C439">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DT6客梯</w:t>
            </w:r>
          </w:p>
        </w:tc>
        <w:tc>
          <w:tcPr>
            <w:tcW w:w="2000" w:type="dxa"/>
            <w:vAlign w:val="center"/>
          </w:tcPr>
          <w:p w14:paraId="21E664D7">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客梯</w:t>
            </w:r>
          </w:p>
        </w:tc>
        <w:tc>
          <w:tcPr>
            <w:tcW w:w="945" w:type="dxa"/>
            <w:vAlign w:val="center"/>
          </w:tcPr>
          <w:p w14:paraId="0E95C1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1350</w:t>
            </w:r>
          </w:p>
        </w:tc>
        <w:tc>
          <w:tcPr>
            <w:tcW w:w="932" w:type="dxa"/>
            <w:vAlign w:val="center"/>
          </w:tcPr>
          <w:p w14:paraId="0F112C84">
            <w:pPr>
              <w:keepNext w:val="0"/>
              <w:keepLines w:val="0"/>
              <w:widowControl/>
              <w:suppressLineNumbers w:val="0"/>
              <w:jc w:val="center"/>
              <w:textAlignment w:val="center"/>
              <w:rPr>
                <w:rFonts w:hint="eastAsia" w:ascii="宋体" w:hAnsi="宋体" w:eastAsia="宋体" w:cs="宋体"/>
                <w:color w:val="auto"/>
                <w:sz w:val="24"/>
                <w:szCs w:val="24"/>
                <w:highlight w:val="none"/>
                <w:lang w:bidi="en-US"/>
              </w:rPr>
            </w:pPr>
            <w:r>
              <w:rPr>
                <w:rFonts w:hint="eastAsia" w:ascii="宋体" w:hAnsi="宋体" w:eastAsia="宋体" w:cs="宋体"/>
                <w:i w:val="0"/>
                <w:iCs w:val="0"/>
                <w:color w:val="auto"/>
                <w:kern w:val="0"/>
                <w:sz w:val="24"/>
                <w:szCs w:val="24"/>
                <w:u w:val="none"/>
                <w:lang w:val="en-US" w:eastAsia="zh-CN" w:bidi="ar"/>
              </w:rPr>
              <w:t>1.75</w:t>
            </w:r>
          </w:p>
        </w:tc>
        <w:tc>
          <w:tcPr>
            <w:tcW w:w="1576" w:type="dxa"/>
            <w:vAlign w:val="center"/>
          </w:tcPr>
          <w:p w14:paraId="630E6220">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12</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F~11F</w:t>
            </w:r>
            <w:r>
              <w:rPr>
                <w:rFonts w:hint="eastAsia" w:ascii="宋体" w:hAnsi="宋体" w:eastAsia="宋体" w:cs="宋体"/>
                <w:color w:val="auto"/>
                <w:sz w:val="24"/>
                <w:szCs w:val="24"/>
                <w:highlight w:val="none"/>
                <w:lang w:bidi="en-US"/>
              </w:rPr>
              <w:t>)</w:t>
            </w:r>
          </w:p>
        </w:tc>
        <w:tc>
          <w:tcPr>
            <w:tcW w:w="1151" w:type="dxa"/>
            <w:vAlign w:val="center"/>
          </w:tcPr>
          <w:p w14:paraId="46D92A1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3F2CF45A">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47.65</w:t>
            </w:r>
          </w:p>
        </w:tc>
        <w:tc>
          <w:tcPr>
            <w:tcW w:w="1391" w:type="dxa"/>
            <w:vAlign w:val="center"/>
          </w:tcPr>
          <w:p w14:paraId="5EA25BA8">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w:t>
            </w:r>
          </w:p>
        </w:tc>
        <w:tc>
          <w:tcPr>
            <w:tcW w:w="1186" w:type="dxa"/>
            <w:vAlign w:val="center"/>
          </w:tcPr>
          <w:p w14:paraId="274DB01A">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c>
          <w:tcPr>
            <w:tcW w:w="1636" w:type="dxa"/>
            <w:vAlign w:val="center"/>
          </w:tcPr>
          <w:p w14:paraId="020C1E6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4.20</w:t>
            </w:r>
          </w:p>
        </w:tc>
      </w:tr>
      <w:tr w14:paraId="2A6B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Merge w:val="continue"/>
            <w:vAlign w:val="center"/>
          </w:tcPr>
          <w:p w14:paraId="6A03D5EC">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0"/>
                <w:sz w:val="24"/>
                <w:szCs w:val="24"/>
                <w:highlight w:val="none"/>
              </w:rPr>
            </w:pPr>
          </w:p>
        </w:tc>
        <w:tc>
          <w:tcPr>
            <w:tcW w:w="1414" w:type="dxa"/>
            <w:vAlign w:val="center"/>
          </w:tcPr>
          <w:p w14:paraId="4736B089">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kern w:val="2"/>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DT7无障碍客梯</w:t>
            </w:r>
          </w:p>
        </w:tc>
        <w:tc>
          <w:tcPr>
            <w:tcW w:w="2000" w:type="dxa"/>
            <w:vAlign w:val="center"/>
          </w:tcPr>
          <w:p w14:paraId="0E23738B">
            <w:pPr>
              <w:keepNext w:val="0"/>
              <w:keepLines w:val="0"/>
              <w:pageBreakBefore w:val="0"/>
              <w:widowControl/>
              <w:kinsoku/>
              <w:wordWrap/>
              <w:overflowPunct/>
              <w:topLinePunct w:val="0"/>
              <w:bidi w:val="0"/>
              <w:adjustRightInd w:val="0"/>
              <w:spacing w:line="44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bidi="en-US"/>
              </w:rPr>
              <w:t>无障碍客梯</w:t>
            </w:r>
          </w:p>
        </w:tc>
        <w:tc>
          <w:tcPr>
            <w:tcW w:w="945" w:type="dxa"/>
            <w:vAlign w:val="center"/>
          </w:tcPr>
          <w:p w14:paraId="1EE9A5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0</w:t>
            </w:r>
          </w:p>
        </w:tc>
        <w:tc>
          <w:tcPr>
            <w:tcW w:w="932" w:type="dxa"/>
            <w:vAlign w:val="center"/>
          </w:tcPr>
          <w:p w14:paraId="37ECD424">
            <w:pPr>
              <w:keepNext w:val="0"/>
              <w:keepLines w:val="0"/>
              <w:widowControl/>
              <w:suppressLineNumbers w:val="0"/>
              <w:jc w:val="center"/>
              <w:textAlignment w:val="center"/>
              <w:rPr>
                <w:rFonts w:hint="eastAsia" w:ascii="宋体" w:hAnsi="宋体" w:eastAsia="宋体" w:cs="宋体"/>
                <w:color w:val="auto"/>
                <w:sz w:val="24"/>
                <w:szCs w:val="24"/>
                <w:highlight w:val="none"/>
                <w:lang w:bidi="en-US"/>
              </w:rPr>
            </w:pPr>
            <w:r>
              <w:rPr>
                <w:rFonts w:hint="eastAsia" w:ascii="宋体" w:hAnsi="宋体" w:eastAsia="宋体" w:cs="宋体"/>
                <w:i w:val="0"/>
                <w:iCs w:val="0"/>
                <w:color w:val="auto"/>
                <w:kern w:val="0"/>
                <w:sz w:val="24"/>
                <w:szCs w:val="24"/>
                <w:u w:val="none"/>
                <w:lang w:val="en-US" w:eastAsia="zh-CN" w:bidi="ar"/>
              </w:rPr>
              <w:t>1.75</w:t>
            </w:r>
          </w:p>
        </w:tc>
        <w:tc>
          <w:tcPr>
            <w:tcW w:w="1576" w:type="dxa"/>
            <w:vAlign w:val="center"/>
          </w:tcPr>
          <w:p w14:paraId="6BDB5F28">
            <w:pPr>
              <w:keepNext w:val="0"/>
              <w:keepLines w:val="0"/>
              <w:pageBreakBefore w:val="0"/>
              <w:widowControl/>
              <w:kinsoku/>
              <w:wordWrap/>
              <w:overflowPunct/>
              <w:topLinePunct w:val="0"/>
              <w:bidi w:val="0"/>
              <w:adjustRightInd w:val="0"/>
              <w:spacing w:line="440" w:lineRule="exact"/>
              <w:jc w:val="center"/>
              <w:rPr>
                <w:rFonts w:hint="eastAsia" w:ascii="宋体" w:hAnsi="宋体" w:eastAsia="宋体" w:cs="宋体"/>
                <w:color w:val="auto"/>
                <w:sz w:val="24"/>
                <w:szCs w:val="24"/>
                <w:highlight w:val="none"/>
                <w:lang w:bidi="en-US"/>
              </w:rPr>
            </w:pPr>
            <w:r>
              <w:rPr>
                <w:rFonts w:hint="eastAsia" w:ascii="宋体" w:hAnsi="宋体" w:eastAsia="宋体" w:cs="宋体"/>
                <w:color w:val="auto"/>
                <w:sz w:val="24"/>
                <w:szCs w:val="24"/>
                <w:highlight w:val="none"/>
                <w:lang w:val="en-US" w:eastAsia="zh-CN" w:bidi="en-US"/>
              </w:rPr>
              <w:t>12</w:t>
            </w:r>
            <w:r>
              <w:rPr>
                <w:rFonts w:hint="eastAsia" w:ascii="宋体" w:hAnsi="宋体" w:eastAsia="宋体" w:cs="宋体"/>
                <w:color w:val="auto"/>
                <w:sz w:val="24"/>
                <w:szCs w:val="24"/>
                <w:highlight w:val="none"/>
                <w:lang w:bidi="en-US"/>
              </w:rPr>
              <w:t>(</w:t>
            </w:r>
            <w:r>
              <w:rPr>
                <w:rFonts w:hint="eastAsia" w:ascii="宋体" w:hAnsi="宋体" w:cs="宋体"/>
                <w:color w:val="auto"/>
                <w:sz w:val="24"/>
                <w:szCs w:val="24"/>
                <w:highlight w:val="none"/>
                <w:lang w:val="en-US" w:eastAsia="zh-CN" w:bidi="en-US"/>
              </w:rPr>
              <w:t>-</w:t>
            </w:r>
            <w:r>
              <w:rPr>
                <w:rFonts w:hint="eastAsia" w:ascii="宋体" w:hAnsi="宋体" w:eastAsia="宋体" w:cs="宋体"/>
                <w:color w:val="auto"/>
                <w:sz w:val="24"/>
                <w:szCs w:val="24"/>
                <w:highlight w:val="none"/>
                <w:lang w:bidi="en-US"/>
              </w:rPr>
              <w:t>1</w:t>
            </w:r>
            <w:r>
              <w:rPr>
                <w:rFonts w:hint="eastAsia" w:ascii="宋体" w:hAnsi="宋体" w:cs="宋体"/>
                <w:color w:val="auto"/>
                <w:sz w:val="24"/>
                <w:szCs w:val="24"/>
                <w:highlight w:val="none"/>
                <w:lang w:val="en-US" w:eastAsia="zh-CN" w:bidi="en-US"/>
              </w:rPr>
              <w:t>F~11F</w:t>
            </w:r>
            <w:r>
              <w:rPr>
                <w:rFonts w:hint="eastAsia" w:ascii="宋体" w:hAnsi="宋体" w:eastAsia="宋体" w:cs="宋体"/>
                <w:color w:val="auto"/>
                <w:sz w:val="24"/>
                <w:szCs w:val="24"/>
                <w:highlight w:val="none"/>
                <w:lang w:bidi="en-US"/>
              </w:rPr>
              <w:t>)</w:t>
            </w:r>
          </w:p>
        </w:tc>
        <w:tc>
          <w:tcPr>
            <w:tcW w:w="1151" w:type="dxa"/>
            <w:vAlign w:val="center"/>
          </w:tcPr>
          <w:p w14:paraId="0E24E22C">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单通门</w:t>
            </w:r>
          </w:p>
        </w:tc>
        <w:tc>
          <w:tcPr>
            <w:tcW w:w="1187" w:type="dxa"/>
            <w:vAlign w:val="center"/>
          </w:tcPr>
          <w:p w14:paraId="02292F1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47.65</w:t>
            </w:r>
          </w:p>
        </w:tc>
        <w:tc>
          <w:tcPr>
            <w:tcW w:w="1391" w:type="dxa"/>
            <w:vAlign w:val="center"/>
          </w:tcPr>
          <w:p w14:paraId="4BD3883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w:t>
            </w:r>
          </w:p>
        </w:tc>
        <w:tc>
          <w:tcPr>
            <w:tcW w:w="1186" w:type="dxa"/>
            <w:vAlign w:val="center"/>
          </w:tcPr>
          <w:p w14:paraId="29DD1BCA">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1.60</w:t>
            </w:r>
          </w:p>
        </w:tc>
        <w:tc>
          <w:tcPr>
            <w:tcW w:w="1636" w:type="dxa"/>
            <w:vAlign w:val="center"/>
          </w:tcPr>
          <w:p w14:paraId="3CF1EA26">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4.20</w:t>
            </w:r>
          </w:p>
        </w:tc>
      </w:tr>
    </w:tbl>
    <w:p w14:paraId="731372CB">
      <w:pPr>
        <w:pStyle w:val="5"/>
        <w:ind w:left="0" w:leftChars="0" w:firstLine="480" w:firstLineChars="200"/>
        <w:rPr>
          <w:rFonts w:hint="eastAsia" w:ascii="宋体" w:hAnsi="宋体" w:eastAsia="宋体" w:cs="宋体"/>
          <w:color w:val="auto"/>
          <w:sz w:val="24"/>
          <w:szCs w:val="24"/>
          <w:highlight w:val="none"/>
          <w:lang w:val="en-US" w:eastAsia="zh-CN"/>
        </w:rPr>
        <w:sectPr>
          <w:pgSz w:w="16840" w:h="11907" w:orient="landscape"/>
          <w:pgMar w:top="1474" w:right="1814" w:bottom="1474" w:left="1814" w:header="851" w:footer="851" w:gutter="0"/>
          <w:pgNumType w:fmt="decimal"/>
          <w:cols w:space="720" w:num="1"/>
        </w:sect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以上数据仅供参考，具体</w:t>
      </w:r>
      <w:r>
        <w:rPr>
          <w:rFonts w:hint="eastAsia" w:ascii="宋体" w:hAnsi="宋体" w:eastAsia="宋体" w:cs="宋体"/>
          <w:b w:val="0"/>
          <w:bCs/>
          <w:color w:val="auto"/>
          <w:sz w:val="24"/>
          <w:szCs w:val="24"/>
          <w:highlight w:val="none"/>
        </w:rPr>
        <w:t>详见图纸</w:t>
      </w:r>
      <w:r>
        <w:rPr>
          <w:rFonts w:hint="eastAsia" w:ascii="宋体" w:hAnsi="宋体" w:eastAsia="宋体" w:cs="宋体"/>
          <w:b w:val="0"/>
          <w:bCs/>
          <w:color w:val="auto"/>
          <w:sz w:val="24"/>
          <w:szCs w:val="24"/>
          <w:highlight w:val="none"/>
          <w:lang w:val="en-US" w:eastAsia="zh-CN"/>
        </w:rPr>
        <w:t>及投标人根据现场实际进行复核</w:t>
      </w:r>
      <w:r>
        <w:rPr>
          <w:rFonts w:hint="eastAsia" w:ascii="宋体" w:hAnsi="宋体" w:eastAsia="宋体" w:cs="宋体"/>
          <w:b w:val="0"/>
          <w:bCs/>
          <w:color w:val="auto"/>
          <w:sz w:val="24"/>
          <w:szCs w:val="24"/>
          <w:highlight w:val="none"/>
        </w:rPr>
        <w:t>。</w:t>
      </w:r>
    </w:p>
    <w:p w14:paraId="0D310422">
      <w:pPr>
        <w:keepNext w:val="0"/>
        <w:keepLines w:val="0"/>
        <w:pageBreakBefore w:val="0"/>
        <w:numPr>
          <w:ilvl w:val="0"/>
          <w:numId w:val="0"/>
        </w:numPr>
        <w:kinsoku/>
        <w:wordWrap/>
        <w:overflowPunct/>
        <w:topLinePunct w:val="0"/>
        <w:bidi w:val="0"/>
        <w:adjustRightInd w:val="0"/>
        <w:spacing w:line="440" w:lineRule="exact"/>
        <w:ind w:firstLine="482" w:firstLineChars="200"/>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2.</w:t>
      </w:r>
      <w:r>
        <w:rPr>
          <w:rFonts w:hint="eastAsia" w:ascii="宋体" w:hAnsi="宋体" w:eastAsia="宋体" w:cs="宋体"/>
          <w:b/>
          <w:color w:val="auto"/>
          <w:sz w:val="24"/>
          <w:szCs w:val="24"/>
          <w:highlight w:val="none"/>
          <w:lang w:val="en-US" w:eastAsia="zh-CN"/>
        </w:rPr>
        <w:t>技术指标要求</w:t>
      </w:r>
    </w:p>
    <w:tbl>
      <w:tblPr>
        <w:tblStyle w:val="32"/>
        <w:tblW w:w="9143"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6893"/>
      </w:tblGrid>
      <w:tr w14:paraId="4B98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50" w:type="dxa"/>
            <w:vMerge w:val="restart"/>
            <w:noWrap/>
            <w:vAlign w:val="center"/>
          </w:tcPr>
          <w:p w14:paraId="2740C2F0">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轿厢装潢</w:t>
            </w:r>
          </w:p>
        </w:tc>
        <w:tc>
          <w:tcPr>
            <w:tcW w:w="6893" w:type="dxa"/>
            <w:noWrap/>
            <w:vAlign w:val="center"/>
          </w:tcPr>
          <w:p w14:paraId="796217AB">
            <w:pPr>
              <w:keepNext w:val="0"/>
              <w:keepLines w:val="0"/>
              <w:pageBreakBefore w:val="0"/>
              <w:widowControl w:val="0"/>
              <w:kinsoku/>
              <w:wordWrap/>
              <w:overflowPunct/>
              <w:topLinePunct w:val="0"/>
              <w:bidi w:val="0"/>
              <w:adjustRightInd w:val="0"/>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轿厢两侧壁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SUS304发纹不锈钢（不接受复合材料）</w:t>
            </w:r>
          </w:p>
        </w:tc>
      </w:tr>
      <w:tr w14:paraId="49F7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50" w:type="dxa"/>
            <w:vMerge w:val="continue"/>
            <w:noWrap/>
            <w:vAlign w:val="center"/>
          </w:tcPr>
          <w:p w14:paraId="5CE252E1">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08BFD09C">
            <w:pPr>
              <w:keepNext w:val="0"/>
              <w:keepLines w:val="0"/>
              <w:pageBreakBefore w:val="0"/>
              <w:widowControl w:val="0"/>
              <w:kinsoku/>
              <w:wordWrap/>
              <w:overflowPunct/>
              <w:topLinePunct w:val="0"/>
              <w:bidi w:val="0"/>
              <w:adjustRightInd w:val="0"/>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轿厢后壁：SUS304发纹不锈钢（不接受复合材料）</w:t>
            </w:r>
            <w:r>
              <w:rPr>
                <w:rFonts w:hint="eastAsia" w:ascii="宋体" w:hAnsi="宋体" w:eastAsia="宋体" w:cs="宋体"/>
                <w:b w:val="0"/>
                <w:bCs w:val="0"/>
                <w:color w:val="auto"/>
                <w:sz w:val="24"/>
                <w:szCs w:val="24"/>
                <w:highlight w:val="none"/>
              </w:rPr>
              <w:t>（无障碍梯后壁中间采用镜面不锈钢）</w:t>
            </w:r>
          </w:p>
        </w:tc>
      </w:tr>
      <w:tr w14:paraId="5404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3C993D4D">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3CE01316">
            <w:pPr>
              <w:keepNext w:val="0"/>
              <w:keepLines w:val="0"/>
              <w:pageBreakBefore w:val="0"/>
              <w:widowControl w:val="0"/>
              <w:kinsoku/>
              <w:wordWrap/>
              <w:overflowPunct/>
              <w:topLinePunct w:val="0"/>
              <w:bidi w:val="0"/>
              <w:adjustRightInd w:val="0"/>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轿门材质：SUS304发纹不锈钢（不接受复合材料）</w:t>
            </w:r>
          </w:p>
        </w:tc>
      </w:tr>
      <w:tr w14:paraId="3E7E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1259E60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5498B737">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光幕保护：红外线光幕保护</w:t>
            </w:r>
          </w:p>
        </w:tc>
      </w:tr>
      <w:tr w14:paraId="4AEB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06B87353">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2BDF4F92">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地板型号：塑胶或石材地板（可供</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选择,价格不变）</w:t>
            </w:r>
          </w:p>
        </w:tc>
      </w:tr>
      <w:tr w14:paraId="2DD4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Merge w:val="continue"/>
            <w:noWrap/>
            <w:vAlign w:val="center"/>
          </w:tcPr>
          <w:p w14:paraId="3F74B16C">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4C0DA8CF">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轿顶</w:t>
            </w:r>
            <w:r>
              <w:rPr>
                <w:rFonts w:hint="eastAsia" w:ascii="宋体" w:hAnsi="宋体" w:eastAsia="宋体" w:cs="宋体"/>
                <w:color w:val="auto"/>
                <w:sz w:val="24"/>
                <w:szCs w:val="24"/>
                <w:highlight w:val="none"/>
                <w:lang w:eastAsia="zh-CN"/>
              </w:rPr>
              <w:t>：轿厢顶含LED照明、空调（</w:t>
            </w:r>
            <w:r>
              <w:rPr>
                <w:rFonts w:hint="eastAsia" w:ascii="宋体" w:hAnsi="宋体" w:cs="宋体"/>
                <w:color w:val="auto"/>
                <w:sz w:val="24"/>
                <w:szCs w:val="24"/>
                <w:highlight w:val="none"/>
                <w:lang w:val="en-US" w:eastAsia="zh-CN"/>
              </w:rPr>
              <w:t>15#楼所有电梯</w:t>
            </w:r>
            <w:r>
              <w:rPr>
                <w:rFonts w:hint="eastAsia" w:ascii="宋体" w:hAnsi="宋体" w:eastAsia="宋体" w:cs="宋体"/>
                <w:color w:val="auto"/>
                <w:sz w:val="24"/>
                <w:szCs w:val="24"/>
                <w:highlight w:val="none"/>
                <w:lang w:val="en-US" w:eastAsia="zh-CN"/>
              </w:rPr>
              <w:t>）需配备</w:t>
            </w:r>
            <w:r>
              <w:rPr>
                <w:rFonts w:hint="eastAsia" w:ascii="宋体" w:hAnsi="宋体" w:eastAsia="宋体" w:cs="宋体"/>
                <w:color w:val="auto"/>
                <w:sz w:val="24"/>
                <w:szCs w:val="24"/>
                <w:highlight w:val="none"/>
                <w:lang w:eastAsia="zh-CN"/>
              </w:rPr>
              <w:t>）；</w:t>
            </w:r>
          </w:p>
          <w:p w14:paraId="07B42182">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由中标人提供5种以上</w:t>
            </w:r>
            <w:r>
              <w:rPr>
                <w:rFonts w:hint="eastAsia" w:ascii="宋体" w:hAnsi="宋体" w:eastAsia="宋体" w:cs="宋体"/>
                <w:color w:val="auto"/>
                <w:sz w:val="24"/>
                <w:szCs w:val="24"/>
                <w:highlight w:val="none"/>
                <w:lang w:val="en-US" w:eastAsia="zh-CN"/>
              </w:rPr>
              <w:t>桥顶</w:t>
            </w:r>
            <w:r>
              <w:rPr>
                <w:rFonts w:hint="eastAsia" w:ascii="宋体" w:hAnsi="宋体" w:eastAsia="宋体" w:cs="宋体"/>
                <w:color w:val="auto"/>
                <w:sz w:val="24"/>
                <w:szCs w:val="24"/>
                <w:highlight w:val="none"/>
                <w:lang w:eastAsia="zh-CN"/>
              </w:rPr>
              <w:t>式样供采购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选择（包括空调、照明、摄像头的预留孔</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，价格不变）</w:t>
            </w:r>
          </w:p>
        </w:tc>
      </w:tr>
      <w:tr w14:paraId="12D7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77C86AD5">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1F51E70D">
            <w:pPr>
              <w:keepNext w:val="0"/>
              <w:keepLines w:val="0"/>
              <w:pageBreakBefore w:val="0"/>
              <w:kinsoku/>
              <w:wordWrap/>
              <w:overflowPunct/>
              <w:topLinePunct w:val="0"/>
              <w:bidi w:val="0"/>
              <w:adjustRightInd w:val="0"/>
              <w:spacing w:line="440" w:lineRule="exact"/>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所有电梯均配置两侧扶手</w:t>
            </w:r>
            <w:r>
              <w:rPr>
                <w:rFonts w:hint="eastAsia" w:ascii="宋体" w:hAnsi="宋体" w:eastAsia="宋体" w:cs="宋体"/>
                <w:color w:val="auto"/>
                <w:sz w:val="24"/>
                <w:szCs w:val="24"/>
                <w:highlight w:val="none"/>
              </w:rPr>
              <w:t>（可供</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选择,价格不变）</w:t>
            </w:r>
          </w:p>
        </w:tc>
      </w:tr>
      <w:tr w14:paraId="5E41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0A85770E">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2C94480B">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通风设施：低噪音风机通风</w:t>
            </w:r>
          </w:p>
        </w:tc>
      </w:tr>
      <w:tr w14:paraId="7258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0CEA9EE1">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25F78D49">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通讯设施：隐藏式对讲装置</w:t>
            </w:r>
          </w:p>
        </w:tc>
      </w:tr>
      <w:tr w14:paraId="57AB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786DD40B">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3245325A">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检修设施：位于轿厢操纵箱下方</w:t>
            </w:r>
          </w:p>
        </w:tc>
      </w:tr>
      <w:tr w14:paraId="17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50" w:type="dxa"/>
            <w:vMerge w:val="restart"/>
            <w:noWrap/>
            <w:vAlign w:val="center"/>
          </w:tcPr>
          <w:p w14:paraId="29C6763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显示装置</w:t>
            </w:r>
          </w:p>
        </w:tc>
        <w:tc>
          <w:tcPr>
            <w:tcW w:w="6893" w:type="dxa"/>
            <w:noWrap/>
            <w:vAlign w:val="center"/>
          </w:tcPr>
          <w:p w14:paraId="2DF30E5A">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轿厢内操纵装置：操作盘：一体式操纵箱，发纹不锈钢面板，圆形微动按钮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待机时微发光）</w:t>
            </w:r>
            <w:r>
              <w:rPr>
                <w:rFonts w:hint="eastAsia" w:ascii="宋体" w:hAnsi="宋体" w:eastAsia="宋体" w:cs="宋体"/>
                <w:color w:val="auto"/>
                <w:sz w:val="24"/>
                <w:szCs w:val="24"/>
                <w:highlight w:val="none"/>
              </w:rPr>
              <w:t>，备有单色液晶楼层显示和方向显示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并安装梯控</w:t>
            </w:r>
            <w:r>
              <w:rPr>
                <w:rFonts w:hint="eastAsia" w:ascii="宋体" w:hAnsi="宋体" w:eastAsia="宋体" w:cs="宋体"/>
                <w:color w:val="auto"/>
                <w:sz w:val="24"/>
                <w:szCs w:val="24"/>
                <w:highlight w:val="none"/>
                <w:lang w:eastAsia="zh-CN"/>
              </w:rPr>
              <w:t>。</w:t>
            </w:r>
          </w:p>
        </w:tc>
      </w:tr>
      <w:tr w14:paraId="0A36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50" w:type="dxa"/>
            <w:vMerge w:val="continue"/>
            <w:noWrap/>
            <w:vAlign w:val="center"/>
          </w:tcPr>
          <w:p w14:paraId="0F134184">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59AE8CDC">
            <w:pPr>
              <w:keepNext w:val="0"/>
              <w:keepLines w:val="0"/>
              <w:pageBreakBefore w:val="0"/>
              <w:kinsoku/>
              <w:wordWrap/>
              <w:overflowPunct/>
              <w:topLinePunct w:val="0"/>
              <w:bidi w:val="0"/>
              <w:adjustRightInd w:val="0"/>
              <w:spacing w:line="440" w:lineRule="exact"/>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厅外操纵召唤装置：标准型客梯召唤器，发纹不锈钢面板，微动按钮，单色液晶楼层和方向指示器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15#楼DT6、DT7电梯均配置到站灯。</w:t>
            </w:r>
          </w:p>
        </w:tc>
      </w:tr>
      <w:tr w14:paraId="7765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50" w:type="dxa"/>
            <w:vMerge w:val="continue"/>
            <w:noWrap/>
            <w:vAlign w:val="center"/>
          </w:tcPr>
          <w:p w14:paraId="09536DBA">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14E4C4D9">
            <w:pPr>
              <w:keepNext w:val="0"/>
              <w:keepLines w:val="0"/>
              <w:pageBreakBefore w:val="0"/>
              <w:kinsoku/>
              <w:wordWrap/>
              <w:overflowPunct/>
              <w:topLinePunct w:val="0"/>
              <w:bidi w:val="0"/>
              <w:adjustRightInd w:val="0"/>
              <w:spacing w:line="440" w:lineRule="exact"/>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控制面板</w:t>
            </w:r>
          </w:p>
        </w:tc>
      </w:tr>
      <w:tr w14:paraId="74F2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restart"/>
            <w:noWrap/>
            <w:vAlign w:val="center"/>
          </w:tcPr>
          <w:p w14:paraId="5CE4259F">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厅门及门套</w:t>
            </w:r>
          </w:p>
        </w:tc>
        <w:tc>
          <w:tcPr>
            <w:tcW w:w="6893" w:type="dxa"/>
            <w:noWrap/>
            <w:vAlign w:val="center"/>
          </w:tcPr>
          <w:p w14:paraId="78BC438D">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厅门材质：层层为SUS304发纹不锈钢（不接受复合材料）</w:t>
            </w:r>
          </w:p>
        </w:tc>
      </w:tr>
      <w:tr w14:paraId="1010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1740E2D7">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7E27830E">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厅门类型：所有层为中分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不接受复合材料</w:t>
            </w:r>
            <w:r>
              <w:rPr>
                <w:rFonts w:hint="eastAsia" w:ascii="宋体" w:hAnsi="宋体" w:eastAsia="宋体" w:cs="宋体"/>
                <w:b w:val="0"/>
                <w:bCs w:val="0"/>
                <w:color w:val="auto"/>
                <w:sz w:val="24"/>
                <w:szCs w:val="24"/>
                <w:highlight w:val="none"/>
                <w:lang w:eastAsia="zh-CN"/>
              </w:rPr>
              <w:t>）</w:t>
            </w:r>
          </w:p>
        </w:tc>
      </w:tr>
      <w:tr w14:paraId="6615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2EED4E01">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p>
        </w:tc>
        <w:tc>
          <w:tcPr>
            <w:tcW w:w="6893" w:type="dxa"/>
            <w:noWrap/>
            <w:vAlign w:val="center"/>
          </w:tcPr>
          <w:p w14:paraId="556E3834">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小门套材质：层层为 SUS304发纹不锈钢（不接受复合材料）</w:t>
            </w:r>
          </w:p>
        </w:tc>
      </w:tr>
      <w:tr w14:paraId="1AEE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50" w:type="dxa"/>
            <w:vMerge w:val="restart"/>
            <w:noWrap/>
            <w:vAlign w:val="center"/>
          </w:tcPr>
          <w:p w14:paraId="2E8BE972">
            <w:pPr>
              <w:keepNext w:val="0"/>
              <w:keepLines w:val="0"/>
              <w:pageBreakBefore w:val="0"/>
              <w:kinsoku/>
              <w:wordWrap/>
              <w:overflowPunct/>
              <w:topLinePunct w:val="0"/>
              <w:bidi w:val="0"/>
              <w:adjustRightInd w:val="0"/>
              <w:spacing w:line="440" w:lineRule="exact"/>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电力提供</w:t>
            </w:r>
          </w:p>
        </w:tc>
        <w:tc>
          <w:tcPr>
            <w:tcW w:w="6893" w:type="dxa"/>
            <w:noWrap/>
            <w:vAlign w:val="center"/>
          </w:tcPr>
          <w:p w14:paraId="327311DF">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动力电源：电压：380V±10%频率：50Hz 相数：3相5线制</w:t>
            </w:r>
            <w:r>
              <w:rPr>
                <w:rFonts w:hint="eastAsia" w:ascii="宋体" w:hAnsi="宋体" w:cs="宋体"/>
                <w:color w:val="auto"/>
                <w:sz w:val="24"/>
                <w:szCs w:val="24"/>
                <w:highlight w:val="none"/>
                <w:lang w:eastAsia="zh-CN"/>
              </w:rPr>
              <w:t>。</w:t>
            </w:r>
          </w:p>
        </w:tc>
      </w:tr>
      <w:tr w14:paraId="1B3F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vMerge w:val="continue"/>
            <w:noWrap/>
            <w:vAlign w:val="center"/>
          </w:tcPr>
          <w:p w14:paraId="6CD3A48C">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p>
        </w:tc>
        <w:tc>
          <w:tcPr>
            <w:tcW w:w="6893" w:type="dxa"/>
            <w:noWrap/>
            <w:vAlign w:val="center"/>
          </w:tcPr>
          <w:p w14:paraId="7DA7BBB2">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照明电源：电压：220V 频率：50Hz 相数：单相</w:t>
            </w:r>
          </w:p>
        </w:tc>
      </w:tr>
      <w:tr w14:paraId="3C8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noWrap/>
            <w:vAlign w:val="center"/>
          </w:tcPr>
          <w:p w14:paraId="6F0306BC">
            <w:pPr>
              <w:keepNext w:val="0"/>
              <w:keepLines w:val="0"/>
              <w:pageBreakBefore w:val="0"/>
              <w:kinsoku/>
              <w:wordWrap/>
              <w:overflowPunct/>
              <w:topLinePunct w:val="0"/>
              <w:bidi w:val="0"/>
              <w:adjustRightInd w:val="0"/>
              <w:spacing w:line="44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驱动方式</w:t>
            </w:r>
          </w:p>
        </w:tc>
        <w:tc>
          <w:tcPr>
            <w:tcW w:w="6893" w:type="dxa"/>
            <w:noWrap/>
            <w:vAlign w:val="center"/>
          </w:tcPr>
          <w:p w14:paraId="2306567C">
            <w:pPr>
              <w:keepNext w:val="0"/>
              <w:keepLines w:val="0"/>
              <w:pageBreakBefore w:val="0"/>
              <w:kinsoku/>
              <w:wordWrap/>
              <w:overflowPunct/>
              <w:topLinePunct w:val="0"/>
              <w:bidi w:val="0"/>
              <w:adjustRightInd w:val="0"/>
              <w:spacing w:line="44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微机控制交流变频调压调速</w:t>
            </w:r>
          </w:p>
        </w:tc>
      </w:tr>
      <w:tr w14:paraId="707E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50" w:type="dxa"/>
            <w:noWrap/>
            <w:vAlign w:val="center"/>
          </w:tcPr>
          <w:p w14:paraId="1E82EC44">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电梯的水平振动、垂直振动加速度</w:t>
            </w:r>
          </w:p>
        </w:tc>
        <w:tc>
          <w:tcPr>
            <w:tcW w:w="6893" w:type="dxa"/>
            <w:noWrap/>
            <w:vAlign w:val="center"/>
          </w:tcPr>
          <w:p w14:paraId="6C7FDE99">
            <w:pPr>
              <w:keepNext w:val="0"/>
              <w:keepLines w:val="0"/>
              <w:pageBreakBefore w:val="0"/>
              <w:kinsoku/>
              <w:wordWrap/>
              <w:overflowPunct/>
              <w:topLinePunct w:val="0"/>
              <w:bidi w:val="0"/>
              <w:adjustRightInd w:val="0"/>
              <w:snapToGrid w:val="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电梯轿厢运行时水平方向和垂直方向的振动加速度分别不应大于15cm/s</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和25cm/s</w:t>
            </w:r>
            <w:r>
              <w:rPr>
                <w:rFonts w:hint="eastAsia" w:ascii="宋体" w:hAnsi="宋体" w:eastAsia="宋体" w:cs="宋体"/>
                <w:color w:val="auto"/>
                <w:sz w:val="24"/>
                <w:szCs w:val="24"/>
                <w:highlight w:val="none"/>
                <w:vertAlign w:val="superscript"/>
              </w:rPr>
              <w:t>2</w:t>
            </w:r>
          </w:p>
        </w:tc>
      </w:tr>
      <w:tr w14:paraId="7B27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noWrap/>
            <w:vAlign w:val="center"/>
          </w:tcPr>
          <w:p w14:paraId="592CB3BB">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起动加速度和制动减速度</w:t>
            </w:r>
          </w:p>
        </w:tc>
        <w:tc>
          <w:tcPr>
            <w:tcW w:w="6893" w:type="dxa"/>
            <w:noWrap/>
            <w:vAlign w:val="center"/>
          </w:tcPr>
          <w:p w14:paraId="40B4DF7C">
            <w:pPr>
              <w:keepNext w:val="0"/>
              <w:keepLines w:val="0"/>
              <w:pageBreakBefore w:val="0"/>
              <w:kinsoku/>
              <w:wordWrap/>
              <w:overflowPunct/>
              <w:topLinePunct w:val="0"/>
              <w:bidi w:val="0"/>
              <w:adjustRightInd w:val="0"/>
              <w:snapToGrid w:val="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电梯的起动加速度和制动减速度最大值均不得大于1.5m/s</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 xml:space="preserve">   </w:t>
            </w:r>
          </w:p>
        </w:tc>
      </w:tr>
      <w:tr w14:paraId="70B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noWrap/>
            <w:vAlign w:val="center"/>
          </w:tcPr>
          <w:p w14:paraId="10BD5940">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噪音指数</w:t>
            </w:r>
          </w:p>
        </w:tc>
        <w:tc>
          <w:tcPr>
            <w:tcW w:w="6893" w:type="dxa"/>
            <w:noWrap/>
            <w:vAlign w:val="center"/>
          </w:tcPr>
          <w:p w14:paraId="22BB3211">
            <w:pPr>
              <w:keepNext w:val="0"/>
              <w:keepLines w:val="0"/>
              <w:pageBreakBefore w:val="0"/>
              <w:kinsoku/>
              <w:wordWrap/>
              <w:overflowPunct/>
              <w:topLinePunct w:val="0"/>
              <w:bidi w:val="0"/>
              <w:adjustRightInd w:val="0"/>
              <w:snapToGrid w:val="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轿内≤55dB（A）、开关门≤65dB（A）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机房≤75dB  </w:t>
            </w:r>
          </w:p>
        </w:tc>
      </w:tr>
      <w:tr w14:paraId="74AB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noWrap/>
            <w:vAlign w:val="center"/>
          </w:tcPr>
          <w:p w14:paraId="24A7E9A0">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平层精度</w:t>
            </w:r>
          </w:p>
        </w:tc>
        <w:tc>
          <w:tcPr>
            <w:tcW w:w="6893" w:type="dxa"/>
            <w:noWrap/>
            <w:vAlign w:val="center"/>
          </w:tcPr>
          <w:p w14:paraId="301B2CE0">
            <w:pPr>
              <w:keepNext w:val="0"/>
              <w:keepLines w:val="0"/>
              <w:pageBreakBefore w:val="0"/>
              <w:kinsoku/>
              <w:wordWrap/>
              <w:overflowPunct/>
              <w:topLinePunct w:val="0"/>
              <w:bidi w:val="0"/>
              <w:adjustRightInd w:val="0"/>
              <w:snapToGrid w:val="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在±5mm范围之内  </w:t>
            </w:r>
          </w:p>
        </w:tc>
      </w:tr>
      <w:tr w14:paraId="40AF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50" w:type="dxa"/>
            <w:noWrap/>
            <w:vAlign w:val="center"/>
          </w:tcPr>
          <w:p w14:paraId="0FFECA2E">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平衡系数</w:t>
            </w:r>
          </w:p>
        </w:tc>
        <w:tc>
          <w:tcPr>
            <w:tcW w:w="6893" w:type="dxa"/>
            <w:noWrap/>
            <w:vAlign w:val="center"/>
          </w:tcPr>
          <w:p w14:paraId="13C54E87">
            <w:pPr>
              <w:keepNext w:val="0"/>
              <w:keepLines w:val="0"/>
              <w:pageBreakBefore w:val="0"/>
              <w:kinsoku/>
              <w:wordWrap/>
              <w:overflowPunct/>
              <w:topLinePunct w:val="0"/>
              <w:bidi w:val="0"/>
              <w:adjustRightInd w:val="0"/>
              <w:snapToGrid w:val="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在0.4～0.5之间  </w:t>
            </w:r>
          </w:p>
        </w:tc>
      </w:tr>
      <w:tr w14:paraId="1B97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noWrap/>
            <w:vAlign w:val="center"/>
          </w:tcPr>
          <w:p w14:paraId="148AE627">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运行故障</w:t>
            </w:r>
          </w:p>
        </w:tc>
        <w:tc>
          <w:tcPr>
            <w:tcW w:w="6893" w:type="dxa"/>
            <w:noWrap/>
            <w:vAlign w:val="center"/>
          </w:tcPr>
          <w:p w14:paraId="5F29FC4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电梯每起制动运行60000次中不应超过3次。（提供相关证明材料）</w:t>
            </w:r>
          </w:p>
        </w:tc>
      </w:tr>
      <w:tr w14:paraId="022F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noWrap/>
            <w:vAlign w:val="center"/>
          </w:tcPr>
          <w:p w14:paraId="05DBF76B">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控制柜失效（故障）</w:t>
            </w:r>
          </w:p>
        </w:tc>
        <w:tc>
          <w:tcPr>
            <w:tcW w:w="6893" w:type="dxa"/>
            <w:noWrap/>
            <w:vAlign w:val="center"/>
          </w:tcPr>
          <w:p w14:paraId="2BB49E7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电梯每起制动运行60000次中不应超过2次。（提供相关证明材料）</w:t>
            </w:r>
          </w:p>
        </w:tc>
      </w:tr>
      <w:tr w14:paraId="70F2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noWrap/>
            <w:vAlign w:val="center"/>
          </w:tcPr>
          <w:p w14:paraId="0AB2C837">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可靠性要求</w:t>
            </w:r>
          </w:p>
        </w:tc>
        <w:tc>
          <w:tcPr>
            <w:tcW w:w="6893" w:type="dxa"/>
            <w:noWrap/>
            <w:vAlign w:val="center"/>
          </w:tcPr>
          <w:p w14:paraId="6B0F615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要求连续工作每天24小时，全年365天。</w:t>
            </w:r>
          </w:p>
          <w:p w14:paraId="591A64D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正常使用寿命期要求实际运行10万小时以上。</w:t>
            </w:r>
          </w:p>
          <w:p w14:paraId="23539F9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设备故障率应≤3次/运转6万次，如超过一次，保修期免费延长一年。（提供相关证明文件）</w:t>
            </w:r>
          </w:p>
        </w:tc>
      </w:tr>
    </w:tbl>
    <w:p w14:paraId="7C58A95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3.电梯功能（包括但不仅限于下列功能）</w:t>
      </w:r>
    </w:p>
    <w:tbl>
      <w:tblPr>
        <w:tblStyle w:val="32"/>
        <w:tblW w:w="9161"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247"/>
        <w:gridCol w:w="945"/>
        <w:gridCol w:w="4020"/>
      </w:tblGrid>
      <w:tr w14:paraId="5FD0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49" w:type="dxa"/>
          </w:tcPr>
          <w:p w14:paraId="55ADBB61">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247" w:type="dxa"/>
          </w:tcPr>
          <w:p w14:paraId="07EE4A6A">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w:t>
            </w:r>
          </w:p>
        </w:tc>
        <w:tc>
          <w:tcPr>
            <w:tcW w:w="945" w:type="dxa"/>
          </w:tcPr>
          <w:p w14:paraId="384D7573">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020" w:type="dxa"/>
          </w:tcPr>
          <w:p w14:paraId="568EEFF7">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w:t>
            </w:r>
          </w:p>
        </w:tc>
      </w:tr>
      <w:tr w14:paraId="10F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57F7572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3247" w:type="dxa"/>
            <w:vAlign w:val="center"/>
          </w:tcPr>
          <w:p w14:paraId="2F70E568">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自动运行</w:t>
            </w:r>
          </w:p>
        </w:tc>
        <w:tc>
          <w:tcPr>
            <w:tcW w:w="945" w:type="dxa"/>
            <w:vAlign w:val="center"/>
          </w:tcPr>
          <w:p w14:paraId="47270D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4020" w:type="dxa"/>
            <w:vAlign w:val="center"/>
          </w:tcPr>
          <w:p w14:paraId="2028E476">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警铃</w:t>
            </w:r>
          </w:p>
        </w:tc>
      </w:tr>
      <w:tr w14:paraId="7A53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6CA7E42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3247" w:type="dxa"/>
            <w:vAlign w:val="center"/>
          </w:tcPr>
          <w:p w14:paraId="3048CFA6">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全集选控制</w:t>
            </w:r>
          </w:p>
        </w:tc>
        <w:tc>
          <w:tcPr>
            <w:tcW w:w="945" w:type="dxa"/>
            <w:vAlign w:val="center"/>
          </w:tcPr>
          <w:p w14:paraId="5593F6D9">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4020" w:type="dxa"/>
            <w:vAlign w:val="center"/>
          </w:tcPr>
          <w:p w14:paraId="32090A09">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故障自动靠站</w:t>
            </w:r>
          </w:p>
        </w:tc>
      </w:tr>
      <w:tr w14:paraId="4645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05F8602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3247" w:type="dxa"/>
            <w:vAlign w:val="center"/>
          </w:tcPr>
          <w:p w14:paraId="56E21995">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上电自动开门</w:t>
            </w:r>
          </w:p>
        </w:tc>
        <w:tc>
          <w:tcPr>
            <w:tcW w:w="945" w:type="dxa"/>
            <w:vAlign w:val="center"/>
          </w:tcPr>
          <w:p w14:paraId="272BD5E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4020" w:type="dxa"/>
            <w:vAlign w:val="center"/>
          </w:tcPr>
          <w:p w14:paraId="05306777">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火灾紧急返回</w:t>
            </w:r>
          </w:p>
        </w:tc>
      </w:tr>
      <w:tr w14:paraId="5820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1BEF4B3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3247" w:type="dxa"/>
            <w:vAlign w:val="center"/>
          </w:tcPr>
          <w:p w14:paraId="130DE4EA">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自动延时关门</w:t>
            </w:r>
          </w:p>
        </w:tc>
        <w:tc>
          <w:tcPr>
            <w:tcW w:w="945" w:type="dxa"/>
            <w:vAlign w:val="center"/>
          </w:tcPr>
          <w:p w14:paraId="2353AE3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4020" w:type="dxa"/>
            <w:vAlign w:val="center"/>
          </w:tcPr>
          <w:p w14:paraId="0F80B71B">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消防运行</w:t>
            </w:r>
          </w:p>
        </w:tc>
      </w:tr>
      <w:tr w14:paraId="744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20D119D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3247" w:type="dxa"/>
            <w:vAlign w:val="center"/>
          </w:tcPr>
          <w:p w14:paraId="0DEA6F21">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重复开关门</w:t>
            </w:r>
          </w:p>
        </w:tc>
        <w:tc>
          <w:tcPr>
            <w:tcW w:w="945" w:type="dxa"/>
            <w:vAlign w:val="center"/>
          </w:tcPr>
          <w:p w14:paraId="5B2A028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4020" w:type="dxa"/>
            <w:vAlign w:val="center"/>
          </w:tcPr>
          <w:p w14:paraId="519FD462">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锁梯服务控制</w:t>
            </w:r>
          </w:p>
        </w:tc>
      </w:tr>
      <w:tr w14:paraId="3430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027DC47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3247" w:type="dxa"/>
            <w:vAlign w:val="center"/>
          </w:tcPr>
          <w:p w14:paraId="6365C6BB">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本层外召开门</w:t>
            </w:r>
          </w:p>
        </w:tc>
        <w:tc>
          <w:tcPr>
            <w:tcW w:w="945" w:type="dxa"/>
            <w:vAlign w:val="center"/>
          </w:tcPr>
          <w:p w14:paraId="587B899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4020" w:type="dxa"/>
            <w:vAlign w:val="center"/>
          </w:tcPr>
          <w:p w14:paraId="6BDFA3F1">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测试运行</w:t>
            </w:r>
          </w:p>
        </w:tc>
      </w:tr>
      <w:tr w14:paraId="6C56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5A0DE0C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w:t>
            </w:r>
          </w:p>
        </w:tc>
        <w:tc>
          <w:tcPr>
            <w:tcW w:w="3247" w:type="dxa"/>
            <w:vAlign w:val="center"/>
          </w:tcPr>
          <w:p w14:paraId="70D747EF">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停站开门</w:t>
            </w:r>
          </w:p>
        </w:tc>
        <w:tc>
          <w:tcPr>
            <w:tcW w:w="945" w:type="dxa"/>
            <w:vAlign w:val="center"/>
          </w:tcPr>
          <w:p w14:paraId="68705E8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4020" w:type="dxa"/>
            <w:vAlign w:val="center"/>
          </w:tcPr>
          <w:p w14:paraId="6513917D">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误操作消除</w:t>
            </w:r>
          </w:p>
        </w:tc>
      </w:tr>
      <w:tr w14:paraId="252D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0E579DE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3247" w:type="dxa"/>
            <w:vAlign w:val="center"/>
          </w:tcPr>
          <w:p w14:paraId="37C8CCEF">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强迫关门</w:t>
            </w:r>
          </w:p>
        </w:tc>
        <w:tc>
          <w:tcPr>
            <w:tcW w:w="945" w:type="dxa"/>
            <w:vAlign w:val="center"/>
          </w:tcPr>
          <w:p w14:paraId="43809BE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4020" w:type="dxa"/>
            <w:vAlign w:val="center"/>
          </w:tcPr>
          <w:p w14:paraId="785134BD">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反向运行指令自动清除</w:t>
            </w:r>
          </w:p>
        </w:tc>
      </w:tr>
      <w:tr w14:paraId="7717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1C02D34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3247" w:type="dxa"/>
            <w:vAlign w:val="center"/>
          </w:tcPr>
          <w:p w14:paraId="5320162C">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换站停靠</w:t>
            </w:r>
          </w:p>
        </w:tc>
        <w:tc>
          <w:tcPr>
            <w:tcW w:w="945" w:type="dxa"/>
            <w:vAlign w:val="center"/>
          </w:tcPr>
          <w:p w14:paraId="5654DA5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4020" w:type="dxa"/>
            <w:vAlign w:val="center"/>
          </w:tcPr>
          <w:p w14:paraId="57EEF0D5">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误指令取消功能</w:t>
            </w:r>
          </w:p>
        </w:tc>
      </w:tr>
      <w:tr w14:paraId="12BC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6FAF750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3247" w:type="dxa"/>
            <w:vAlign w:val="center"/>
          </w:tcPr>
          <w:p w14:paraId="5C1141C0">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光幕保护</w:t>
            </w:r>
          </w:p>
        </w:tc>
        <w:tc>
          <w:tcPr>
            <w:tcW w:w="945" w:type="dxa"/>
            <w:vAlign w:val="center"/>
          </w:tcPr>
          <w:p w14:paraId="4920FE00">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4020" w:type="dxa"/>
            <w:vAlign w:val="center"/>
          </w:tcPr>
          <w:p w14:paraId="1144CF39">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运行限制</w:t>
            </w:r>
          </w:p>
        </w:tc>
      </w:tr>
      <w:tr w14:paraId="7EF7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7C3A727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w:t>
            </w:r>
          </w:p>
        </w:tc>
        <w:tc>
          <w:tcPr>
            <w:tcW w:w="3247" w:type="dxa"/>
            <w:vAlign w:val="center"/>
          </w:tcPr>
          <w:p w14:paraId="3FB5C27C">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超载报警</w:t>
            </w:r>
          </w:p>
        </w:tc>
        <w:tc>
          <w:tcPr>
            <w:tcW w:w="945" w:type="dxa"/>
            <w:vAlign w:val="center"/>
          </w:tcPr>
          <w:p w14:paraId="078E597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4020" w:type="dxa"/>
            <w:vAlign w:val="center"/>
          </w:tcPr>
          <w:p w14:paraId="785A7ACF">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机房选层</w:t>
            </w:r>
          </w:p>
        </w:tc>
      </w:tr>
      <w:tr w14:paraId="6A1A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6A9B0A6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3247" w:type="dxa"/>
            <w:vAlign w:val="center"/>
          </w:tcPr>
          <w:p w14:paraId="19F3CE5F">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满载直驶</w:t>
            </w:r>
          </w:p>
        </w:tc>
        <w:tc>
          <w:tcPr>
            <w:tcW w:w="945" w:type="dxa"/>
            <w:vAlign w:val="center"/>
          </w:tcPr>
          <w:p w14:paraId="218F1165">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4020" w:type="dxa"/>
            <w:vAlign w:val="center"/>
          </w:tcPr>
          <w:p w14:paraId="2D821430">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机房开关门</w:t>
            </w:r>
          </w:p>
        </w:tc>
      </w:tr>
      <w:tr w14:paraId="49A5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3DD0D87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13</w:t>
            </w:r>
          </w:p>
        </w:tc>
        <w:tc>
          <w:tcPr>
            <w:tcW w:w="3247" w:type="dxa"/>
            <w:vAlign w:val="center"/>
          </w:tcPr>
          <w:p w14:paraId="711400FD">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轿内服务指示</w:t>
            </w:r>
          </w:p>
        </w:tc>
        <w:tc>
          <w:tcPr>
            <w:tcW w:w="945" w:type="dxa"/>
            <w:vAlign w:val="center"/>
          </w:tcPr>
          <w:p w14:paraId="7A362E6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4020" w:type="dxa"/>
            <w:vAlign w:val="center"/>
          </w:tcPr>
          <w:p w14:paraId="39AD61CA">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不停层设置</w:t>
            </w:r>
          </w:p>
        </w:tc>
      </w:tr>
      <w:tr w14:paraId="54A7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069502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14</w:t>
            </w:r>
          </w:p>
        </w:tc>
        <w:tc>
          <w:tcPr>
            <w:tcW w:w="3247" w:type="dxa"/>
            <w:vAlign w:val="center"/>
          </w:tcPr>
          <w:p w14:paraId="40212DD4">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电梯楼层位置校正</w:t>
            </w:r>
          </w:p>
        </w:tc>
        <w:tc>
          <w:tcPr>
            <w:tcW w:w="945" w:type="dxa"/>
            <w:vAlign w:val="center"/>
          </w:tcPr>
          <w:p w14:paraId="627FA94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4020" w:type="dxa"/>
            <w:vAlign w:val="center"/>
          </w:tcPr>
          <w:p w14:paraId="5BB9E3E0">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五方通话</w:t>
            </w:r>
          </w:p>
        </w:tc>
      </w:tr>
      <w:tr w14:paraId="46D8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 w:type="dxa"/>
            <w:vAlign w:val="center"/>
          </w:tcPr>
          <w:p w14:paraId="27986D4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15</w:t>
            </w:r>
          </w:p>
        </w:tc>
        <w:tc>
          <w:tcPr>
            <w:tcW w:w="3247" w:type="dxa"/>
            <w:vAlign w:val="center"/>
          </w:tcPr>
          <w:p w14:paraId="7A2B3DF3">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桥厢紧急照明灯</w:t>
            </w:r>
          </w:p>
        </w:tc>
        <w:tc>
          <w:tcPr>
            <w:tcW w:w="945" w:type="dxa"/>
            <w:vAlign w:val="center"/>
          </w:tcPr>
          <w:p w14:paraId="74D02AC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4020" w:type="dxa"/>
            <w:vAlign w:val="center"/>
          </w:tcPr>
          <w:p w14:paraId="01D90EC1">
            <w:pPr>
              <w:keepNext w:val="0"/>
              <w:keepLines w:val="0"/>
              <w:pageBreakBefore w:val="0"/>
              <w:kinsoku/>
              <w:wordWrap/>
              <w:overflowPunct/>
              <w:topLinePunct w:val="0"/>
              <w:bidi w:val="0"/>
              <w:adjustRightInd w:val="0"/>
              <w:snapToGrid w:val="0"/>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自动停止轿厢照明、通风装置、空调</w:t>
            </w:r>
          </w:p>
        </w:tc>
      </w:tr>
      <w:tr w14:paraId="4F7E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9" w:type="dxa"/>
            <w:vAlign w:val="center"/>
          </w:tcPr>
          <w:p w14:paraId="06698AA7">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8212" w:type="dxa"/>
            <w:gridSpan w:val="3"/>
            <w:vAlign w:val="center"/>
          </w:tcPr>
          <w:p w14:paraId="3EFF2880">
            <w:pPr>
              <w:keepNext w:val="0"/>
              <w:keepLines w:val="0"/>
              <w:pageBreakBefore w:val="0"/>
              <w:kinsoku/>
              <w:wordWrap/>
              <w:overflowPunct/>
              <w:topLinePunct w:val="0"/>
              <w:bidi w:val="0"/>
              <w:adjustRightInd w:val="0"/>
              <w:snapToGrid w:val="0"/>
              <w:spacing w:line="44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无障碍电梯配置（设置满足无障碍电梯要求的轿厢操作盘、设置盲文按钮、中文语音报站、正对厅门侧设置半身镜、设置三侧不锈钢扶手）</w:t>
            </w:r>
          </w:p>
        </w:tc>
      </w:tr>
    </w:tbl>
    <w:p w14:paraId="35AF2EE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4.安全设置</w:t>
      </w:r>
    </w:p>
    <w:p w14:paraId="04856B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投标人提供的电梯应包括（但不仅限于）下列设备或功能。其应符合有关最新国家标准中的规定。</w:t>
      </w:r>
    </w:p>
    <w:p w14:paraId="75D742B1">
      <w:pPr>
        <w:keepNext w:val="0"/>
        <w:keepLines w:val="0"/>
        <w:pageBreakBefore w:val="0"/>
        <w:widowControl w:val="0"/>
        <w:kinsoku/>
        <w:wordWrap/>
        <w:overflowPunct/>
        <w:topLinePunct w:val="0"/>
        <w:autoSpaceDE/>
        <w:autoSpaceDN/>
        <w:bidi w:val="0"/>
        <w:adjustRightInd w:val="0"/>
        <w:spacing w:line="440" w:lineRule="exact"/>
        <w:ind w:firstLine="480" w:firstLineChars="200"/>
        <w:jc w:val="both"/>
        <w:textAlignment w:val="auto"/>
        <w:rPr>
          <w:rFonts w:hint="eastAsia" w:ascii="宋体" w:hAnsi="宋体" w:eastAsia="宋体" w:cs="宋体"/>
          <w:b/>
          <w:color w:val="auto"/>
          <w:spacing w:val="5"/>
          <w:sz w:val="24"/>
          <w:szCs w:val="24"/>
          <w:highlight w:val="none"/>
          <w:lang w:val="en-US" w:eastAsia="zh-CN"/>
        </w:rPr>
      </w:pPr>
      <w:r>
        <w:rPr>
          <w:rFonts w:hint="eastAsia" w:ascii="宋体" w:hAnsi="宋体" w:eastAsia="宋体" w:cs="宋体"/>
          <w:color w:val="auto"/>
          <w:sz w:val="24"/>
          <w:szCs w:val="24"/>
          <w:highlight w:val="none"/>
        </w:rPr>
        <w:t>（1）断相和错相保护；（2）上、下终点开关和上、下极限开关；（3）缓冲器；（4）限速器；（5）安全钳；（6）紧急停止按钮；（7）层门安全设施；（8）轿门安全设施</w:t>
      </w:r>
      <w:r>
        <w:rPr>
          <w:rFonts w:hint="eastAsia" w:ascii="宋体" w:hAnsi="宋体" w:eastAsia="宋体" w:cs="宋体"/>
          <w:color w:val="auto"/>
          <w:sz w:val="24"/>
          <w:szCs w:val="24"/>
          <w:highlight w:val="none"/>
          <w:lang w:eastAsia="zh-CN"/>
        </w:rPr>
        <w:t>。</w:t>
      </w:r>
    </w:p>
    <w:p w14:paraId="478025A1">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三、其他</w:t>
      </w:r>
    </w:p>
    <w:p w14:paraId="2EBB5935">
      <w:pPr>
        <w:keepNext w:val="0"/>
        <w:keepLines w:val="0"/>
        <w:pageBreakBefore w:val="0"/>
        <w:widowControl w:val="0"/>
        <w:kinsoku/>
        <w:wordWrap/>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1.项目</w:t>
      </w:r>
      <w:r>
        <w:rPr>
          <w:rFonts w:hint="eastAsia" w:ascii="宋体" w:hAnsi="宋体" w:eastAsia="宋体" w:cs="宋体"/>
          <w:b w:val="0"/>
          <w:bCs/>
          <w:color w:val="auto"/>
          <w:sz w:val="24"/>
          <w:szCs w:val="24"/>
          <w:highlight w:val="none"/>
          <w:lang w:val="en-US" w:eastAsia="zh-CN"/>
        </w:rPr>
        <w:t>具体实施以施工图为准</w:t>
      </w:r>
      <w:r>
        <w:rPr>
          <w:rFonts w:hint="eastAsia" w:ascii="宋体" w:hAnsi="宋体" w:eastAsia="宋体" w:cs="宋体"/>
          <w:b w:val="0"/>
          <w:bCs/>
          <w:color w:val="auto"/>
          <w:sz w:val="24"/>
          <w:szCs w:val="24"/>
          <w:highlight w:val="none"/>
        </w:rPr>
        <w:t>，详细设计待采购单位确定中标人后，与中标人结合进行二次设计，相关的建筑、结构、电气设计图纸须由中标人核实无误后方可进行土建施工，相关费用由中标人承担。</w:t>
      </w:r>
    </w:p>
    <w:p w14:paraId="53AF0054">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2.本项目为交钥匙项目，应将包括内容包含但不仅限于电梯(含运行监视系统)的设计、</w:t>
      </w:r>
      <w:r>
        <w:rPr>
          <w:rFonts w:hint="eastAsia" w:ascii="宋体" w:hAnsi="宋体" w:eastAsia="宋体" w:cs="宋体"/>
          <w:bCs/>
          <w:color w:val="auto"/>
          <w:sz w:val="24"/>
          <w:szCs w:val="24"/>
          <w:highlight w:val="none"/>
          <w:lang w:val="en-US" w:eastAsia="zh-CN"/>
        </w:rPr>
        <w:t>设备的价款</w:t>
      </w:r>
      <w:r>
        <w:rPr>
          <w:rFonts w:hint="eastAsia" w:ascii="宋体" w:hAnsi="宋体" w:eastAsia="宋体" w:cs="宋体"/>
          <w:bCs/>
          <w:color w:val="auto"/>
          <w:sz w:val="24"/>
          <w:szCs w:val="24"/>
          <w:highlight w:val="none"/>
        </w:rPr>
        <w:t>、安装调试费和其它费用（装卸费、仓储保管费、预埋件、二次结构拆改、脚手架、水平/垂直运输、井道照明、主机搁梁、设备就位、安装、调试、验收、培训、委托监检、成品保护、权威部门验收、培训、交付使用、售后服务、以及向采购人提供全过程形成的图纸、记录、档案资料、施工水电费、总包服务费、</w:t>
      </w:r>
      <w:r>
        <w:rPr>
          <w:rFonts w:hint="eastAsia" w:ascii="宋体" w:hAnsi="宋体" w:cs="宋体"/>
          <w:bCs/>
          <w:color w:val="auto"/>
          <w:sz w:val="24"/>
          <w:szCs w:val="24"/>
          <w:highlight w:val="none"/>
          <w:lang w:val="en-US" w:eastAsia="zh-CN"/>
        </w:rPr>
        <w:t>安装电梯所需的材料及相关费用、</w:t>
      </w:r>
      <w:r>
        <w:rPr>
          <w:rFonts w:hint="eastAsia" w:ascii="宋体" w:hAnsi="宋体" w:eastAsia="宋体" w:cs="宋体"/>
          <w:bCs/>
          <w:color w:val="auto"/>
          <w:sz w:val="24"/>
          <w:szCs w:val="24"/>
          <w:highlight w:val="none"/>
        </w:rPr>
        <w:t>招标代理费）等一切费用考虑在内，中标后不再另行计费。</w:t>
      </w:r>
      <w:r>
        <w:rPr>
          <w:rFonts w:hint="eastAsia" w:ascii="宋体" w:hAnsi="宋体" w:eastAsia="宋体" w:cs="宋体"/>
          <w:bCs/>
          <w:color w:val="auto"/>
          <w:sz w:val="24"/>
          <w:szCs w:val="24"/>
          <w:highlight w:val="none"/>
        </w:rPr>
        <w:tab/>
      </w:r>
    </w:p>
    <w:p w14:paraId="1B343852">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3.投标人在中标后，</w:t>
      </w:r>
      <w:r>
        <w:rPr>
          <w:rFonts w:hint="eastAsia" w:ascii="宋体" w:hAnsi="宋体" w:eastAsia="宋体" w:cs="宋体"/>
          <w:color w:val="auto"/>
          <w:sz w:val="24"/>
          <w:szCs w:val="24"/>
          <w:highlight w:val="none"/>
        </w:rPr>
        <w:t>中标人现场服务人员要服从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人的进度安排。</w:t>
      </w:r>
      <w:r>
        <w:rPr>
          <w:rFonts w:hint="eastAsia" w:ascii="宋体" w:hAnsi="宋体" w:eastAsia="宋体" w:cs="宋体"/>
          <w:b/>
          <w:bCs/>
          <w:color w:val="auto"/>
          <w:sz w:val="24"/>
          <w:szCs w:val="24"/>
          <w:highlight w:val="none"/>
        </w:rPr>
        <w:t>中标人向土建单位支付进场施工总承包服务费（</w:t>
      </w:r>
      <w:r>
        <w:rPr>
          <w:rFonts w:hint="eastAsia" w:ascii="宋体" w:hAnsi="宋体" w:eastAsia="宋体" w:cs="宋体"/>
          <w:b/>
          <w:bCs/>
          <w:color w:val="auto"/>
          <w:sz w:val="24"/>
          <w:szCs w:val="24"/>
          <w:highlight w:val="none"/>
          <w:lang w:val="en-US" w:eastAsia="zh-CN"/>
        </w:rPr>
        <w:t>费率</w:t>
      </w:r>
      <w:r>
        <w:rPr>
          <w:rFonts w:hint="eastAsia" w:ascii="宋体" w:hAnsi="宋体" w:eastAsia="宋体" w:cs="宋体"/>
          <w:b/>
          <w:bCs/>
          <w:color w:val="auto"/>
          <w:sz w:val="24"/>
          <w:szCs w:val="24"/>
          <w:highlight w:val="none"/>
        </w:rPr>
        <w:t>由投标人</w:t>
      </w:r>
      <w:r>
        <w:rPr>
          <w:rFonts w:hint="eastAsia" w:ascii="宋体" w:hAnsi="宋体" w:eastAsia="宋体" w:cs="宋体"/>
          <w:b/>
          <w:bCs/>
          <w:color w:val="auto"/>
          <w:sz w:val="24"/>
          <w:szCs w:val="24"/>
          <w:highlight w:val="none"/>
          <w:lang w:val="en-US" w:eastAsia="zh-CN"/>
        </w:rPr>
        <w:t>自行考虑，</w:t>
      </w:r>
      <w:r>
        <w:rPr>
          <w:rFonts w:hint="eastAsia" w:ascii="宋体" w:hAnsi="宋体" w:eastAsia="宋体" w:cs="宋体"/>
          <w:b/>
          <w:bCs/>
          <w:color w:val="auto"/>
          <w:sz w:val="24"/>
          <w:szCs w:val="24"/>
          <w:highlight w:val="none"/>
        </w:rPr>
        <w:t>列入报价）</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安装过程中所产生的一切费用由投标人自行承担，因此投标时自行考虑相关费用。</w:t>
      </w:r>
    </w:p>
    <w:p w14:paraId="670F6DC9">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的报价不仅应包括招标文件提供的技术条款和图纸上所标明的，还应包括任何未明确标出的和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w:t>
      </w:r>
    </w:p>
    <w:p w14:paraId="02B2811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5.允许投标人在满足招标文件提出的技术要求的前提下，在投标价格不增加且能扩大使用功能的前提下，可提出合理化建议，做出其优越性、先进性等详细说明。</w:t>
      </w:r>
    </w:p>
    <w:p w14:paraId="657D134B">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6.本招标文件只是对一些原则性问题作出要求，并不是详尽的要求，供应商有责任对设计符合技术规范、标准负责。</w:t>
      </w:r>
    </w:p>
    <w:p w14:paraId="370E762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项目实施过程中，中标人有责任与监理单位、土建单位保持联系和合作。在安装期间，中标人应遵守有关部门的管理，并遵照相关的规定。</w:t>
      </w:r>
    </w:p>
    <w:p w14:paraId="3B89216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中标人应与所有相关的部门相联系，获得相关认可，以便设备能及时投入服务。并提交相关文件图纸资料等。</w:t>
      </w:r>
    </w:p>
    <w:p w14:paraId="66C09635">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中标人有责任防止所有电梯在未经正式认可便使用，而应根据招标人需要，得到招标人认可后再投入运行。</w:t>
      </w:r>
    </w:p>
    <w:p w14:paraId="4ABB238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中标人应参加监理单位或</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要求参加的现场会议，并接受总承包及监理单位的统一管理，遵守建设工地安全生产和文明施工的相关规定，确保符合总包方的管理目标要求。</w:t>
      </w:r>
    </w:p>
    <w:p w14:paraId="41FA1B11">
      <w:pPr>
        <w:pStyle w:val="2"/>
        <w:ind w:firstLine="480" w:firstLineChars="200"/>
        <w:jc w:val="both"/>
        <w:rPr>
          <w:rFonts w:hint="eastAsia"/>
          <w:color w:val="auto"/>
        </w:rPr>
      </w:pPr>
      <w:r>
        <w:rPr>
          <w:rFonts w:hint="eastAsia" w:ascii="宋体" w:hAnsi="宋体" w:eastAsia="宋体" w:cs="宋体"/>
          <w:b w:val="0"/>
          <w:color w:val="auto"/>
          <w:kern w:val="2"/>
          <w:sz w:val="24"/>
          <w:szCs w:val="24"/>
          <w:highlight w:val="none"/>
          <w:lang w:val="en-US" w:eastAsia="zh-CN" w:bidi="ar-SA"/>
        </w:rPr>
        <w:t>11、中标人须和施工总承包单位签订安全生产协议。</w:t>
      </w:r>
    </w:p>
    <w:p w14:paraId="1F303F87">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
          <w:color w:val="auto"/>
          <w:spacing w:val="5"/>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pacing w:val="5"/>
          <w:sz w:val="24"/>
          <w:szCs w:val="24"/>
          <w:highlight w:val="none"/>
          <w:lang w:val="en-US" w:eastAsia="zh-CN"/>
        </w:rPr>
        <w:t>商务条款</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7475"/>
      </w:tblGrid>
      <w:tr w14:paraId="444C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5" w:hRule="atLeast"/>
        </w:trPr>
        <w:tc>
          <w:tcPr>
            <w:tcW w:w="1700" w:type="dxa"/>
            <w:vAlign w:val="center"/>
          </w:tcPr>
          <w:p w14:paraId="6B1EF66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color w:val="auto"/>
                <w:sz w:val="24"/>
                <w:szCs w:val="24"/>
                <w:highlight w:val="none"/>
              </w:rPr>
              <w:t>交货安装时间及地点</w:t>
            </w:r>
          </w:p>
        </w:tc>
        <w:tc>
          <w:tcPr>
            <w:tcW w:w="7475" w:type="dxa"/>
          </w:tcPr>
          <w:p w14:paraId="6945CA5D">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合同签订、接到</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供货通知后</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天内送至施工现场（根据工程进展供货、安装、调试，具体日期以采购人发出的交货通知单为准）。</w:t>
            </w:r>
          </w:p>
          <w:p w14:paraId="431343BF">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地点：采购人指定地点。</w:t>
            </w:r>
          </w:p>
        </w:tc>
      </w:tr>
      <w:tr w14:paraId="7009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2FB9E5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付款方式</w:t>
            </w:r>
          </w:p>
        </w:tc>
        <w:tc>
          <w:tcPr>
            <w:tcW w:w="7475" w:type="dxa"/>
            <w:vAlign w:val="top"/>
          </w:tcPr>
          <w:p w14:paraId="2AF25880">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（一）设备款（除安装款外）：</w:t>
            </w:r>
          </w:p>
          <w:p w14:paraId="42D09C01">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接到采购人通知排产后7个工作日内支付设备款的30%</w:t>
            </w:r>
            <w:r>
              <w:rPr>
                <w:rFonts w:hint="eastAsia" w:ascii="宋体" w:hAnsi="宋体" w:eastAsia="宋体" w:cs="宋体"/>
                <w:color w:val="auto"/>
                <w:sz w:val="24"/>
                <w:szCs w:val="24"/>
                <w:highlight w:val="none"/>
              </w:rPr>
              <w:t>；</w:t>
            </w:r>
          </w:p>
          <w:p w14:paraId="1CD6FB58">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.设备全部到货经验收合格后7个工作日内支付至设备款的80%</w:t>
            </w:r>
            <w:r>
              <w:rPr>
                <w:rFonts w:hint="eastAsia" w:ascii="宋体" w:hAnsi="宋体" w:eastAsia="宋体" w:cs="宋体"/>
                <w:color w:val="auto"/>
                <w:sz w:val="24"/>
                <w:szCs w:val="24"/>
                <w:highlight w:val="none"/>
                <w:lang w:eastAsia="zh-CN"/>
              </w:rPr>
              <w:t>；</w:t>
            </w:r>
          </w:p>
          <w:p w14:paraId="40549C6A">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设备全部安装调试完毕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通过当地特种设备监督管理部门验收合格</w:t>
            </w:r>
            <w:r>
              <w:rPr>
                <w:rFonts w:hint="eastAsia" w:ascii="宋体" w:hAnsi="宋体" w:eastAsia="宋体" w:cs="宋体"/>
                <w:color w:val="auto"/>
                <w:sz w:val="24"/>
                <w:szCs w:val="24"/>
                <w:highlight w:val="none"/>
                <w:lang w:val="en-US" w:eastAsia="zh-CN"/>
              </w:rPr>
              <w:t>后7个工作日内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供应商在付款前汇设备款的5%到采购方指定账户作为维修基金；</w:t>
            </w:r>
          </w:p>
          <w:p w14:paraId="246BDD2B">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4.维修基金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质保期满后</w:t>
            </w:r>
            <w:r>
              <w:rPr>
                <w:rFonts w:hint="eastAsia" w:ascii="宋体" w:hAnsi="宋体" w:eastAsia="宋体" w:cs="宋体"/>
                <w:color w:val="auto"/>
                <w:kern w:val="0"/>
                <w:sz w:val="24"/>
                <w:szCs w:val="24"/>
                <w:highlight w:val="none"/>
              </w:rPr>
              <w:t>无质量问题</w:t>
            </w:r>
            <w:r>
              <w:rPr>
                <w:rFonts w:hint="eastAsia" w:ascii="宋体" w:hAnsi="宋体" w:eastAsia="宋体" w:cs="宋体"/>
                <w:color w:val="auto"/>
                <w:sz w:val="24"/>
                <w:szCs w:val="24"/>
                <w:highlight w:val="none"/>
                <w:lang w:val="en-US" w:eastAsia="zh-CN"/>
              </w:rPr>
              <w:t>7个工作日内退还（不计息）</w:t>
            </w:r>
            <w:r>
              <w:rPr>
                <w:rFonts w:hint="eastAsia" w:ascii="宋体" w:hAnsi="宋体" w:eastAsia="宋体" w:cs="宋体"/>
                <w:color w:val="auto"/>
                <w:sz w:val="24"/>
                <w:szCs w:val="24"/>
                <w:highlight w:val="none"/>
              </w:rPr>
              <w:t>。</w:t>
            </w:r>
          </w:p>
          <w:p w14:paraId="1A0A8B00">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（二）安装款</w:t>
            </w:r>
            <w:r>
              <w:rPr>
                <w:rFonts w:hint="eastAsia" w:ascii="宋体" w:hAnsi="宋体" w:eastAsia="宋体" w:cs="宋体"/>
                <w:color w:val="auto"/>
                <w:sz w:val="24"/>
                <w:szCs w:val="24"/>
                <w:highlight w:val="none"/>
                <w:lang w:eastAsia="zh-CN"/>
              </w:rPr>
              <w:t>：</w:t>
            </w:r>
          </w:p>
          <w:p w14:paraId="7FD25C72">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设备到现场，安装队进场安装后7个工作日支付安装款的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1BCBF07C">
            <w:pPr>
              <w:keepNext w:val="0"/>
              <w:keepLines w:val="0"/>
              <w:pageBreakBefore w:val="0"/>
              <w:widowControl/>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设备全部安装调试完毕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通过当地特种设备监督管理部门验收合格后7个工作日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安装款的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供应商在付款前汇安装款的5%到采购方指定账户作为维修基金；</w:t>
            </w:r>
          </w:p>
          <w:p w14:paraId="08083EA2">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3.维修基金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质保期满后无质量问题7个工作日内退还（不计息）。</w:t>
            </w:r>
          </w:p>
        </w:tc>
      </w:tr>
      <w:tr w14:paraId="2B5D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21F20C97">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发票要求</w:t>
            </w:r>
          </w:p>
        </w:tc>
        <w:tc>
          <w:tcPr>
            <w:tcW w:w="7475" w:type="dxa"/>
            <w:vAlign w:val="top"/>
          </w:tcPr>
          <w:p w14:paraId="339F385A">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应在采购人支付费用前，依据相应的金额，向采购人提供足额且符合税法规定的发票。采购人在收到</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提供的发票后在合同约定的时间支付相应款项，否则采购人有权延迟支付相应费用而不被视为违约，亦无须承担任何违约责任。</w:t>
            </w:r>
          </w:p>
          <w:p w14:paraId="394102FD">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2.本项目合同签署的</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名称与发票开具单位及收款单位一致，</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不得以其他理由在合同执行过程中要求调整发票开具单位或收款单位（依法变更单位名称除外），否则视为</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违约并自行承担相关责任，且须承担由此对采购人造成的一切损失。</w:t>
            </w:r>
          </w:p>
        </w:tc>
      </w:tr>
      <w:tr w14:paraId="0282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70AB1709">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履约保证金</w:t>
            </w:r>
          </w:p>
        </w:tc>
        <w:tc>
          <w:tcPr>
            <w:tcW w:w="7475" w:type="dxa"/>
            <w:vAlign w:val="top"/>
          </w:tcPr>
          <w:p w14:paraId="22D38A43">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中标通知书发出10个工作日内中标人向采购人递交中标金额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%的履约保证金，全部安装调试完成验收合格后退还，履约保证金不计息。</w:t>
            </w:r>
          </w:p>
          <w:p w14:paraId="6D90B6D4">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履约保证金支付方式：保函、网上银行、电汇、汇票或转帐形式。（保函有效期必须在本项目约定完工日期之日起30个工作日后），保函包括银行保函、保险机构保证保险保单。</w:t>
            </w:r>
          </w:p>
        </w:tc>
      </w:tr>
      <w:tr w14:paraId="3039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5C1D026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7475" w:type="dxa"/>
          </w:tcPr>
          <w:p w14:paraId="205BB4DE">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b/>
                <w:color w:val="auto"/>
                <w:sz w:val="24"/>
                <w:szCs w:val="24"/>
                <w:highlight w:val="none"/>
                <w:vertAlign w:val="baseline"/>
                <w:lang w:eastAsia="zh-CN"/>
              </w:rPr>
            </w:pPr>
            <w:r>
              <w:rPr>
                <w:rFonts w:hint="eastAsia" w:ascii="宋体" w:hAnsi="宋体" w:eastAsia="宋体" w:cs="宋体"/>
                <w:color w:val="auto"/>
                <w:sz w:val="24"/>
                <w:szCs w:val="24"/>
                <w:highlight w:val="none"/>
                <w:lang w:val="en-US" w:eastAsia="zh-CN"/>
              </w:rPr>
              <w:t>电梯整机质保期</w:t>
            </w:r>
            <w:r>
              <w:rPr>
                <w:rFonts w:hint="eastAsia" w:ascii="宋体" w:hAnsi="宋体" w:eastAsia="宋体" w:cs="宋体"/>
                <w:color w:val="auto"/>
                <w:sz w:val="24"/>
                <w:szCs w:val="24"/>
                <w:highlight w:val="none"/>
              </w:rPr>
              <w:t>为现场安装完毕，经</w:t>
            </w:r>
            <w:r>
              <w:rPr>
                <w:rFonts w:hint="eastAsia" w:ascii="宋体" w:hAnsi="宋体" w:eastAsia="宋体" w:cs="宋体"/>
                <w:color w:val="auto"/>
                <w:sz w:val="24"/>
                <w:szCs w:val="24"/>
                <w:highlight w:val="none"/>
                <w:lang w:val="en-US" w:eastAsia="zh-CN"/>
              </w:rPr>
              <w:t>当地</w:t>
            </w:r>
            <w:r>
              <w:rPr>
                <w:rFonts w:hint="eastAsia" w:ascii="宋体" w:hAnsi="宋体" w:eastAsia="宋体" w:cs="宋体"/>
                <w:color w:val="auto"/>
                <w:sz w:val="24"/>
                <w:szCs w:val="24"/>
                <w:highlight w:val="none"/>
              </w:rPr>
              <w:t>质量技术监督部门验收合格并交付使用之后最少</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年（投标人可以根据自身的实际情况提供更长的更有竞争力的</w:t>
            </w:r>
            <w:r>
              <w:rPr>
                <w:rFonts w:hint="eastAsia" w:ascii="宋体" w:hAnsi="宋体" w:eastAsia="宋体" w:cs="宋体"/>
                <w:color w:val="auto"/>
                <w:sz w:val="24"/>
                <w:szCs w:val="24"/>
                <w:highlight w:val="none"/>
                <w:lang w:val="en-US" w:eastAsia="zh-CN"/>
              </w:rPr>
              <w:t>质保期</w:t>
            </w:r>
            <w:r>
              <w:rPr>
                <w:rFonts w:hint="eastAsia" w:ascii="宋体" w:hAnsi="宋体" w:eastAsia="宋体" w:cs="宋体"/>
                <w:color w:val="auto"/>
                <w:sz w:val="24"/>
                <w:szCs w:val="24"/>
                <w:highlight w:val="none"/>
              </w:rPr>
              <w:t>，当投标人的承诺时间超过二年时，按投标人承诺时间）</w:t>
            </w:r>
            <w:r>
              <w:rPr>
                <w:rFonts w:hint="eastAsia" w:ascii="宋体" w:hAnsi="宋体" w:eastAsia="宋体" w:cs="宋体"/>
                <w:color w:val="auto"/>
                <w:sz w:val="24"/>
                <w:szCs w:val="24"/>
                <w:highlight w:val="none"/>
                <w:lang w:eastAsia="zh-CN"/>
              </w:rPr>
              <w:t>。</w:t>
            </w:r>
          </w:p>
        </w:tc>
      </w:tr>
      <w:tr w14:paraId="4809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5DE4E703">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售后服务保障要求</w:t>
            </w:r>
          </w:p>
        </w:tc>
        <w:tc>
          <w:tcPr>
            <w:tcW w:w="7475" w:type="dxa"/>
          </w:tcPr>
          <w:p w14:paraId="07F585C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Cs/>
                <w:color w:val="auto"/>
                <w:spacing w:val="5"/>
                <w:sz w:val="24"/>
                <w:szCs w:val="24"/>
                <w:highlight w:val="none"/>
                <w:lang w:val="en-US" w:eastAsia="zh-CN"/>
              </w:rPr>
            </w:pPr>
            <w:r>
              <w:rPr>
                <w:rFonts w:hint="eastAsia" w:ascii="宋体" w:hAnsi="宋体" w:eastAsia="宋体" w:cs="宋体"/>
                <w:bCs/>
                <w:color w:val="auto"/>
                <w:spacing w:val="5"/>
                <w:sz w:val="24"/>
                <w:szCs w:val="24"/>
                <w:highlight w:val="none"/>
                <w:lang w:val="en-US" w:eastAsia="zh-CN"/>
              </w:rPr>
              <w:t>1.提供24小时*365天</w:t>
            </w:r>
            <w:r>
              <w:rPr>
                <w:rFonts w:hint="eastAsia" w:ascii="宋体" w:hAnsi="宋体" w:eastAsia="宋体" w:cs="宋体"/>
                <w:bCs/>
                <w:color w:val="auto"/>
                <w:spacing w:val="5"/>
                <w:sz w:val="24"/>
                <w:szCs w:val="24"/>
                <w:highlight w:val="none"/>
              </w:rPr>
              <w:t>服务</w:t>
            </w:r>
            <w:r>
              <w:rPr>
                <w:rFonts w:hint="eastAsia" w:ascii="宋体" w:hAnsi="宋体" w:eastAsia="宋体" w:cs="宋体"/>
                <w:bCs/>
                <w:color w:val="auto"/>
                <w:spacing w:val="5"/>
                <w:sz w:val="24"/>
                <w:szCs w:val="24"/>
                <w:highlight w:val="none"/>
                <w:lang w:val="en-US" w:eastAsia="zh-CN"/>
              </w:rPr>
              <w:t>热线</w:t>
            </w:r>
            <w:r>
              <w:rPr>
                <w:rFonts w:hint="eastAsia" w:ascii="宋体" w:hAnsi="宋体" w:eastAsia="宋体" w:cs="宋体"/>
                <w:bCs/>
                <w:color w:val="auto"/>
                <w:spacing w:val="5"/>
                <w:sz w:val="24"/>
                <w:szCs w:val="24"/>
                <w:highlight w:val="none"/>
                <w:lang w:eastAsia="zh-CN"/>
              </w:rPr>
              <w:t>。</w:t>
            </w:r>
            <w:r>
              <w:rPr>
                <w:rFonts w:hint="eastAsia" w:ascii="宋体" w:hAnsi="宋体" w:eastAsia="宋体" w:cs="宋体"/>
                <w:b w:val="0"/>
                <w:bCs/>
                <w:color w:val="auto"/>
                <w:spacing w:val="5"/>
                <w:sz w:val="24"/>
                <w:szCs w:val="24"/>
                <w:highlight w:val="none"/>
              </w:rPr>
              <w:t>接到故障指令，到场时间不超过30分钟，如超过，每次</w:t>
            </w:r>
            <w:r>
              <w:rPr>
                <w:rFonts w:hint="eastAsia" w:ascii="宋体" w:hAnsi="宋体" w:eastAsia="宋体" w:cs="宋体"/>
                <w:b w:val="0"/>
                <w:bCs/>
                <w:color w:val="auto"/>
                <w:spacing w:val="5"/>
                <w:sz w:val="24"/>
                <w:szCs w:val="24"/>
                <w:highlight w:val="none"/>
                <w:lang w:val="en-US" w:eastAsia="zh-CN"/>
              </w:rPr>
              <w:t>扣除履约保证金</w:t>
            </w:r>
            <w:r>
              <w:rPr>
                <w:rFonts w:hint="eastAsia" w:ascii="宋体" w:hAnsi="宋体" w:eastAsia="宋体" w:cs="宋体"/>
                <w:b w:val="0"/>
                <w:bCs/>
                <w:color w:val="auto"/>
                <w:spacing w:val="5"/>
                <w:sz w:val="24"/>
                <w:szCs w:val="24"/>
                <w:highlight w:val="none"/>
              </w:rPr>
              <w:t>1000元</w:t>
            </w:r>
            <w:r>
              <w:rPr>
                <w:rFonts w:hint="eastAsia" w:ascii="宋体" w:hAnsi="宋体" w:eastAsia="宋体" w:cs="宋体"/>
                <w:b w:val="0"/>
                <w:bCs/>
                <w:color w:val="auto"/>
                <w:spacing w:val="5"/>
                <w:sz w:val="24"/>
                <w:szCs w:val="24"/>
                <w:highlight w:val="none"/>
                <w:lang w:eastAsia="zh-CN"/>
              </w:rPr>
              <w:t>；</w:t>
            </w:r>
            <w:r>
              <w:rPr>
                <w:rFonts w:hint="eastAsia" w:ascii="宋体" w:hAnsi="宋体" w:eastAsia="宋体" w:cs="宋体"/>
                <w:b w:val="0"/>
                <w:bCs/>
                <w:color w:val="auto"/>
                <w:spacing w:val="5"/>
                <w:sz w:val="24"/>
                <w:szCs w:val="24"/>
                <w:highlight w:val="none"/>
              </w:rPr>
              <w:t>一般故障修复时间不超过2小时，如超过，每小时</w:t>
            </w:r>
            <w:r>
              <w:rPr>
                <w:rFonts w:hint="eastAsia" w:ascii="宋体" w:hAnsi="宋体" w:eastAsia="宋体" w:cs="宋体"/>
                <w:b w:val="0"/>
                <w:bCs/>
                <w:color w:val="auto"/>
                <w:spacing w:val="5"/>
                <w:sz w:val="24"/>
                <w:szCs w:val="24"/>
                <w:highlight w:val="none"/>
                <w:lang w:val="en-US" w:eastAsia="zh-CN"/>
              </w:rPr>
              <w:t>扣除履约保证金</w:t>
            </w:r>
            <w:r>
              <w:rPr>
                <w:rFonts w:hint="eastAsia" w:ascii="宋体" w:hAnsi="宋体" w:eastAsia="宋体" w:cs="宋体"/>
                <w:b w:val="0"/>
                <w:bCs/>
                <w:color w:val="auto"/>
                <w:spacing w:val="5"/>
                <w:sz w:val="24"/>
                <w:szCs w:val="24"/>
                <w:highlight w:val="none"/>
              </w:rPr>
              <w:t>500元，按小时累计</w:t>
            </w:r>
            <w:r>
              <w:rPr>
                <w:rFonts w:hint="eastAsia" w:ascii="宋体" w:hAnsi="宋体" w:eastAsia="宋体" w:cs="宋体"/>
                <w:b w:val="0"/>
                <w:bCs/>
                <w:color w:val="auto"/>
                <w:spacing w:val="5"/>
                <w:sz w:val="24"/>
                <w:szCs w:val="24"/>
                <w:highlight w:val="none"/>
                <w:lang w:eastAsia="zh-CN"/>
              </w:rPr>
              <w:t>；</w:t>
            </w:r>
            <w:r>
              <w:rPr>
                <w:rFonts w:hint="eastAsia" w:ascii="宋体" w:hAnsi="宋体" w:eastAsia="宋体" w:cs="宋体"/>
                <w:b w:val="0"/>
                <w:bCs/>
                <w:color w:val="auto"/>
                <w:spacing w:val="5"/>
                <w:sz w:val="24"/>
                <w:szCs w:val="24"/>
                <w:highlight w:val="none"/>
              </w:rPr>
              <w:t>重大故障修复时间不超过12小时</w:t>
            </w:r>
            <w:r>
              <w:rPr>
                <w:rFonts w:hint="eastAsia" w:ascii="宋体" w:hAnsi="宋体" w:eastAsia="宋体" w:cs="宋体"/>
                <w:b w:val="0"/>
                <w:bCs/>
                <w:color w:val="auto"/>
                <w:spacing w:val="5"/>
                <w:sz w:val="24"/>
                <w:szCs w:val="24"/>
                <w:highlight w:val="none"/>
                <w:lang w:eastAsia="zh-CN"/>
              </w:rPr>
              <w:t>，如超过，每小时</w:t>
            </w:r>
            <w:r>
              <w:rPr>
                <w:rFonts w:hint="eastAsia" w:ascii="宋体" w:hAnsi="宋体" w:eastAsia="宋体" w:cs="宋体"/>
                <w:b w:val="0"/>
                <w:bCs/>
                <w:color w:val="auto"/>
                <w:spacing w:val="5"/>
                <w:sz w:val="24"/>
                <w:szCs w:val="24"/>
                <w:highlight w:val="none"/>
                <w:lang w:val="en-US" w:eastAsia="zh-CN"/>
              </w:rPr>
              <w:t>扣除履约保证金</w:t>
            </w:r>
            <w:r>
              <w:rPr>
                <w:rFonts w:hint="eastAsia" w:ascii="宋体" w:hAnsi="宋体" w:eastAsia="宋体" w:cs="宋体"/>
                <w:b w:val="0"/>
                <w:bCs/>
                <w:color w:val="auto"/>
                <w:spacing w:val="5"/>
                <w:sz w:val="24"/>
                <w:szCs w:val="24"/>
                <w:highlight w:val="none"/>
                <w:lang w:eastAsia="zh-CN"/>
              </w:rPr>
              <w:t>500元，按小时累计</w:t>
            </w:r>
            <w:r>
              <w:rPr>
                <w:rFonts w:hint="eastAsia" w:ascii="宋体" w:hAnsi="宋体" w:eastAsia="宋体" w:cs="宋体"/>
                <w:b w:val="0"/>
                <w:bCs/>
                <w:color w:val="auto"/>
                <w:spacing w:val="5"/>
                <w:sz w:val="24"/>
                <w:szCs w:val="24"/>
                <w:highlight w:val="none"/>
              </w:rPr>
              <w:t>。</w:t>
            </w:r>
          </w:p>
          <w:p w14:paraId="45CE575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2.</w:t>
            </w:r>
            <w:r>
              <w:rPr>
                <w:rFonts w:hint="eastAsia" w:ascii="宋体" w:hAnsi="宋体" w:eastAsia="宋体" w:cs="宋体"/>
                <w:bCs/>
                <w:color w:val="auto"/>
                <w:spacing w:val="5"/>
                <w:sz w:val="24"/>
                <w:szCs w:val="24"/>
                <w:highlight w:val="none"/>
              </w:rPr>
              <w:t>日常保养：及时派出专业人员对设备进行检查、调整、润滑，保证设备正常运转。</w:t>
            </w:r>
          </w:p>
          <w:p w14:paraId="0ADE19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3.</w:t>
            </w:r>
            <w:r>
              <w:rPr>
                <w:rFonts w:hint="eastAsia" w:ascii="宋体" w:hAnsi="宋体" w:eastAsia="宋体" w:cs="宋体"/>
                <w:bCs/>
                <w:color w:val="auto"/>
                <w:spacing w:val="5"/>
                <w:sz w:val="24"/>
                <w:szCs w:val="24"/>
                <w:highlight w:val="none"/>
              </w:rPr>
              <w:t>定期检查：在质保期内，每月二次进行检查保养。及时排除故障，进行必要的修理；质保期内</w:t>
            </w:r>
            <w:r>
              <w:rPr>
                <w:rFonts w:hint="eastAsia" w:ascii="宋体" w:hAnsi="宋体" w:eastAsia="宋体" w:cs="宋体"/>
                <w:bCs/>
                <w:color w:val="auto"/>
                <w:spacing w:val="5"/>
                <w:sz w:val="24"/>
                <w:szCs w:val="24"/>
                <w:highlight w:val="none"/>
                <w:lang w:val="en-US" w:eastAsia="zh-CN"/>
              </w:rPr>
              <w:t>及时</w:t>
            </w:r>
            <w:r>
              <w:rPr>
                <w:rFonts w:hint="eastAsia" w:ascii="宋体" w:hAnsi="宋体" w:eastAsia="宋体" w:cs="宋体"/>
                <w:bCs/>
                <w:color w:val="auto"/>
                <w:spacing w:val="5"/>
                <w:sz w:val="24"/>
                <w:szCs w:val="24"/>
                <w:highlight w:val="none"/>
              </w:rPr>
              <w:t>更换非人为损坏的机件，提供24小时应急故障处理服务；提供年检前的服务和协助报检工作。</w:t>
            </w:r>
          </w:p>
          <w:p w14:paraId="22A75A4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4.</w:t>
            </w:r>
            <w:r>
              <w:rPr>
                <w:rFonts w:hint="eastAsia" w:ascii="宋体" w:hAnsi="宋体" w:eastAsia="宋体" w:cs="宋体"/>
                <w:bCs/>
                <w:color w:val="auto"/>
                <w:spacing w:val="5"/>
                <w:sz w:val="24"/>
                <w:szCs w:val="24"/>
                <w:highlight w:val="none"/>
              </w:rPr>
              <w:t>及时将顾客的需要转达给相应的服务部门，以便迅速作出反应。服务员工将在接到通知后迅速到达故障现场并进行紧急处理。</w:t>
            </w:r>
          </w:p>
          <w:p w14:paraId="26CDE71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Cs/>
                <w:color w:val="auto"/>
                <w:spacing w:val="5"/>
                <w:sz w:val="24"/>
                <w:szCs w:val="24"/>
                <w:highlight w:val="none"/>
                <w:lang w:val="en-US" w:eastAsia="zh-CN"/>
              </w:rPr>
            </w:pPr>
            <w:r>
              <w:rPr>
                <w:rFonts w:hint="eastAsia" w:ascii="宋体" w:hAnsi="宋体" w:eastAsia="宋体" w:cs="宋体"/>
                <w:bCs/>
                <w:color w:val="auto"/>
                <w:spacing w:val="5"/>
                <w:sz w:val="24"/>
                <w:szCs w:val="24"/>
                <w:highlight w:val="none"/>
                <w:lang w:val="en-US" w:eastAsia="zh-CN"/>
              </w:rPr>
              <w:t>5.电梯故障修好后，中标单位需提供一式两份报告给采购人，包括故障原因，解决措施，完成修理所费时间及恢复正常运行日期。</w:t>
            </w:r>
          </w:p>
          <w:p w14:paraId="26260346">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Cs/>
                <w:color w:val="auto"/>
                <w:spacing w:val="5"/>
                <w:sz w:val="24"/>
                <w:szCs w:val="24"/>
                <w:highlight w:val="none"/>
                <w:lang w:val="en-US" w:eastAsia="zh-CN"/>
              </w:rPr>
            </w:pPr>
            <w:r>
              <w:rPr>
                <w:rFonts w:hint="eastAsia" w:ascii="宋体" w:hAnsi="宋体" w:eastAsia="宋体" w:cs="宋体"/>
                <w:bCs/>
                <w:color w:val="auto"/>
                <w:spacing w:val="5"/>
                <w:sz w:val="24"/>
                <w:szCs w:val="24"/>
                <w:highlight w:val="none"/>
                <w:lang w:val="en-US" w:eastAsia="zh-CN"/>
              </w:rPr>
              <w:t>6.在质保期结束时，须由专业工程师对电梯进行测试，任何故障须由中标单位自费解决并取得采购人的同意。</w:t>
            </w:r>
          </w:p>
        </w:tc>
      </w:tr>
      <w:tr w14:paraId="4720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45E13FCB">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技术培训</w:t>
            </w:r>
          </w:p>
        </w:tc>
        <w:tc>
          <w:tcPr>
            <w:tcW w:w="7475" w:type="dxa"/>
          </w:tcPr>
          <w:p w14:paraId="66914CE3">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1.</w:t>
            </w:r>
            <w:r>
              <w:rPr>
                <w:rFonts w:hint="eastAsia" w:ascii="宋体" w:hAnsi="宋体" w:eastAsia="宋体" w:cs="宋体"/>
                <w:bCs/>
                <w:color w:val="auto"/>
                <w:spacing w:val="5"/>
                <w:sz w:val="24"/>
                <w:szCs w:val="24"/>
                <w:highlight w:val="none"/>
              </w:rPr>
              <w:t>供货方须对采购人的技术人员</w:t>
            </w:r>
            <w:r>
              <w:rPr>
                <w:rFonts w:hint="eastAsia" w:ascii="宋体" w:hAnsi="宋体" w:eastAsia="宋体" w:cs="宋体"/>
                <w:bCs/>
                <w:color w:val="auto"/>
                <w:spacing w:val="5"/>
                <w:sz w:val="24"/>
                <w:szCs w:val="24"/>
                <w:highlight w:val="none"/>
                <w:lang w:val="en-US" w:eastAsia="zh-CN"/>
              </w:rPr>
              <w:t>进行</w:t>
            </w:r>
            <w:r>
              <w:rPr>
                <w:rFonts w:hint="eastAsia" w:ascii="宋体" w:hAnsi="宋体" w:eastAsia="宋体" w:cs="宋体"/>
                <w:bCs/>
                <w:color w:val="auto"/>
                <w:spacing w:val="5"/>
                <w:sz w:val="24"/>
                <w:szCs w:val="24"/>
                <w:highlight w:val="none"/>
              </w:rPr>
              <w:t>维修培训。供货方须在投标文件中提供详细的培训计划，包括培训内容、培训时间等。</w:t>
            </w:r>
          </w:p>
          <w:p w14:paraId="4EA9348B">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Cs/>
                <w:color w:val="auto"/>
                <w:spacing w:val="-6"/>
                <w:sz w:val="24"/>
                <w:szCs w:val="24"/>
                <w:highlight w:val="none"/>
              </w:rPr>
            </w:pPr>
            <w:r>
              <w:rPr>
                <w:rFonts w:hint="eastAsia" w:ascii="宋体" w:hAnsi="宋体" w:eastAsia="宋体" w:cs="宋体"/>
                <w:bCs/>
                <w:color w:val="auto"/>
                <w:spacing w:val="-6"/>
                <w:sz w:val="24"/>
                <w:szCs w:val="24"/>
                <w:highlight w:val="none"/>
                <w:lang w:val="en-US" w:eastAsia="zh-CN"/>
              </w:rPr>
              <w:t>2.</w:t>
            </w:r>
            <w:r>
              <w:rPr>
                <w:rFonts w:hint="eastAsia" w:ascii="宋体" w:hAnsi="宋体" w:eastAsia="宋体" w:cs="宋体"/>
                <w:bCs/>
                <w:color w:val="auto"/>
                <w:spacing w:val="-6"/>
                <w:sz w:val="24"/>
                <w:szCs w:val="24"/>
                <w:highlight w:val="none"/>
              </w:rPr>
              <w:t>供货方提供的负责培训的人员应具备同类</w:t>
            </w:r>
            <w:r>
              <w:rPr>
                <w:rFonts w:hint="eastAsia" w:ascii="宋体" w:hAnsi="宋体" w:eastAsia="宋体" w:cs="宋体"/>
                <w:bCs/>
                <w:color w:val="auto"/>
                <w:spacing w:val="-6"/>
                <w:sz w:val="24"/>
                <w:szCs w:val="24"/>
                <w:highlight w:val="none"/>
                <w:lang w:val="en-US" w:eastAsia="zh-CN"/>
              </w:rPr>
              <w:t>项目</w:t>
            </w:r>
            <w:r>
              <w:rPr>
                <w:rFonts w:hint="eastAsia" w:ascii="宋体" w:hAnsi="宋体" w:eastAsia="宋体" w:cs="宋体"/>
                <w:bCs/>
                <w:color w:val="auto"/>
                <w:spacing w:val="-6"/>
                <w:sz w:val="24"/>
                <w:szCs w:val="24"/>
                <w:highlight w:val="none"/>
              </w:rPr>
              <w:t>五年以上的工程经验。</w:t>
            </w:r>
          </w:p>
          <w:p w14:paraId="037DBB86">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Cs/>
                <w:color w:val="auto"/>
                <w:spacing w:val="5"/>
                <w:sz w:val="24"/>
                <w:szCs w:val="24"/>
                <w:highlight w:val="none"/>
              </w:rPr>
            </w:pPr>
            <w:r>
              <w:rPr>
                <w:rFonts w:hint="eastAsia" w:ascii="宋体" w:hAnsi="宋体" w:eastAsia="宋体" w:cs="宋体"/>
                <w:bCs/>
                <w:color w:val="auto"/>
                <w:spacing w:val="5"/>
                <w:sz w:val="24"/>
                <w:szCs w:val="24"/>
                <w:highlight w:val="none"/>
                <w:lang w:val="en-US" w:eastAsia="zh-CN"/>
              </w:rPr>
              <w:t>3.</w:t>
            </w:r>
            <w:r>
              <w:rPr>
                <w:rFonts w:hint="eastAsia" w:ascii="宋体" w:hAnsi="宋体" w:eastAsia="宋体" w:cs="宋体"/>
                <w:bCs/>
                <w:color w:val="auto"/>
                <w:spacing w:val="5"/>
                <w:sz w:val="24"/>
                <w:szCs w:val="24"/>
                <w:highlight w:val="none"/>
              </w:rPr>
              <w:t>技术培训费用应包含在投标总价中</w:t>
            </w:r>
            <w:r>
              <w:rPr>
                <w:rFonts w:hint="eastAsia" w:ascii="宋体" w:hAnsi="宋体" w:eastAsia="宋体" w:cs="宋体"/>
                <w:bCs/>
                <w:color w:val="auto"/>
                <w:spacing w:val="5"/>
                <w:sz w:val="24"/>
                <w:szCs w:val="24"/>
                <w:highlight w:val="none"/>
                <w:lang w:eastAsia="zh-CN"/>
              </w:rPr>
              <w:t>。</w:t>
            </w:r>
            <w:r>
              <w:rPr>
                <w:rFonts w:hint="eastAsia" w:ascii="宋体" w:hAnsi="宋体" w:eastAsia="宋体" w:cs="宋体"/>
                <w:bCs/>
                <w:color w:val="auto"/>
                <w:spacing w:val="5"/>
                <w:sz w:val="24"/>
                <w:szCs w:val="24"/>
                <w:highlight w:val="none"/>
              </w:rPr>
              <w:t>技术培训至少应包括下列内容：1）设备系统的原理、构成和功能的描述；2）常见故障的处理或排除；3）各设备系统（部件）的检查、调整和维护。</w:t>
            </w:r>
          </w:p>
        </w:tc>
      </w:tr>
      <w:tr w14:paraId="541D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670487B5">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验收</w:t>
            </w:r>
          </w:p>
        </w:tc>
        <w:tc>
          <w:tcPr>
            <w:tcW w:w="7475" w:type="dxa"/>
          </w:tcPr>
          <w:p w14:paraId="248294D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负责进行验收。</w:t>
            </w:r>
          </w:p>
          <w:p w14:paraId="6B590C9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交货并安装调试完毕后进行检查验收，如果发现成果有质量、技术等问题，</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负责根据合同及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的要求采取补足或更换等处理措施，并承担由此发生的一切损失和费用。验收合格后，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在验收单上签字并加盖单位公章。</w:t>
            </w:r>
          </w:p>
          <w:p w14:paraId="6DDFCE4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3.验收条件及标准：</w:t>
            </w:r>
          </w:p>
          <w:p w14:paraId="582C997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3.1结果符合我国国家有关技术规范要求和技术标准及合同要求。</w:t>
            </w:r>
          </w:p>
          <w:p w14:paraId="4F968A7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3.2在进行测试和验收运行过程中发生的故障已被消除并得到甲方的认可。</w:t>
            </w:r>
          </w:p>
          <w:p w14:paraId="64617C9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3.3所有合同中规定的货物、材料和技术文件都已提交。</w:t>
            </w:r>
          </w:p>
          <w:p w14:paraId="0AB0EAA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承担所有要求的检测项目费用、支付专家费用等。</w:t>
            </w:r>
          </w:p>
          <w:p w14:paraId="7F666E0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5.如第一次验收未合格，</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找出原因进行更正，并应在第一次验收结束后7个工作日内进行再次验收，</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承担由此而产生的全部费用。如第二次验收仍不能符合合格条件，</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可拒绝接受全部货物并有权解除合同，</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负责赔偿一切损失。</w:t>
            </w:r>
          </w:p>
        </w:tc>
      </w:tr>
      <w:tr w14:paraId="3254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5001A3E9">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备品备件及耗材等要求</w:t>
            </w:r>
          </w:p>
        </w:tc>
        <w:tc>
          <w:tcPr>
            <w:tcW w:w="7475" w:type="dxa"/>
          </w:tcPr>
          <w:p w14:paraId="7D7459A6">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投标人对各种型号的设备须</w:t>
            </w:r>
            <w:r>
              <w:rPr>
                <w:rFonts w:hint="eastAsia" w:ascii="宋体" w:hAnsi="宋体" w:eastAsia="宋体" w:cs="宋体"/>
                <w:color w:val="auto"/>
                <w:sz w:val="24"/>
                <w:szCs w:val="24"/>
                <w:highlight w:val="none"/>
                <w:lang w:val="en-US" w:eastAsia="zh-CN"/>
              </w:rPr>
              <w:t>准备</w:t>
            </w:r>
            <w:r>
              <w:rPr>
                <w:rFonts w:hint="eastAsia" w:ascii="宋体" w:hAnsi="宋体" w:eastAsia="宋体" w:cs="宋体"/>
                <w:color w:val="auto"/>
                <w:sz w:val="24"/>
                <w:szCs w:val="24"/>
                <w:highlight w:val="none"/>
              </w:rPr>
              <w:t>足够的备件、附件和易损件并保证是原厂生产的产品，以满足设备正常运行的需要。</w:t>
            </w:r>
          </w:p>
        </w:tc>
      </w:tr>
      <w:tr w14:paraId="3175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6E2CDB2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7475" w:type="dxa"/>
          </w:tcPr>
          <w:p w14:paraId="0F597FC1">
            <w:pPr>
              <w:keepNext w:val="0"/>
              <w:keepLines w:val="0"/>
              <w:pageBreakBefore w:val="0"/>
              <w:widowControl w:val="0"/>
              <w:kinsoku/>
              <w:wordWrap/>
              <w:overflowPunct/>
              <w:topLinePunct w:val="0"/>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应保护采购人在使用该货物或其任何一部分不受第三方提出侵犯其专利权、商标权和工业设计权的起诉。如果任何第三方提出侵权指控，中标单位必须与第三方交涉并承担可能发生的一切费用。</w:t>
            </w:r>
          </w:p>
        </w:tc>
      </w:tr>
      <w:tr w14:paraId="6800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14:paraId="19EC8CEB">
            <w:pPr>
              <w:tabs>
                <w:tab w:val="left" w:pos="3780"/>
              </w:tabs>
              <w:spacing w:line="44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安全责任</w:t>
            </w:r>
          </w:p>
        </w:tc>
        <w:tc>
          <w:tcPr>
            <w:tcW w:w="7475" w:type="dxa"/>
            <w:vAlign w:val="top"/>
          </w:tcPr>
          <w:p w14:paraId="6F70307E">
            <w:pPr>
              <w:tabs>
                <w:tab w:val="left" w:pos="3780"/>
              </w:tabs>
              <w:spacing w:line="44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中标人在项目实施期间应严格遵守国家安全生产规范，杜绝安全事故的发生。如发生安全生产事故由中标人承担一切责任，与采购人无关。</w:t>
            </w:r>
          </w:p>
        </w:tc>
      </w:tr>
    </w:tbl>
    <w:p w14:paraId="2921C253">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36E447BC">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1100A237">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12905C78">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2FF8D4B1">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5C4A3027">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730FFF7C">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1022D5EA">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488447FF">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62BA4085">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1EB81E27">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60434FE3">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7C48ED5C">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1E81C409">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6096865D">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248943DC">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43B4CE66">
      <w:pPr>
        <w:pStyle w:val="2"/>
        <w:numPr>
          <w:ilvl w:val="0"/>
          <w:numId w:val="0"/>
        </w:numPr>
        <w:ind w:leftChars="0"/>
        <w:jc w:val="center"/>
        <w:rPr>
          <w:rFonts w:hint="eastAsia" w:ascii="宋体" w:hAnsi="宋体" w:eastAsia="宋体" w:cs="宋体"/>
          <w:color w:val="auto"/>
          <w:sz w:val="36"/>
          <w:szCs w:val="36"/>
          <w:highlight w:val="none"/>
          <w:lang w:val="en-US" w:eastAsia="zh-CN"/>
        </w:rPr>
      </w:pPr>
    </w:p>
    <w:p w14:paraId="447171EF">
      <w:pPr>
        <w:pStyle w:val="2"/>
        <w:numPr>
          <w:ilvl w:val="0"/>
          <w:numId w:val="0"/>
        </w:numPr>
        <w:ind w:leftChars="0"/>
        <w:jc w:val="center"/>
        <w:rPr>
          <w:rFonts w:hint="eastAsia" w:ascii="宋体" w:hAnsi="宋体"/>
          <w:color w:val="auto"/>
          <w:highlight w:val="none"/>
        </w:rPr>
      </w:pPr>
      <w:r>
        <w:rPr>
          <w:rFonts w:hint="eastAsia" w:ascii="宋体" w:hAnsi="宋体" w:eastAsia="宋体" w:cs="宋体"/>
          <w:color w:val="auto"/>
          <w:sz w:val="36"/>
          <w:szCs w:val="36"/>
          <w:highlight w:val="none"/>
          <w:lang w:val="en-US" w:eastAsia="zh-CN"/>
        </w:rPr>
        <w:t xml:space="preserve">第四部分 </w:t>
      </w:r>
      <w:r>
        <w:rPr>
          <w:rFonts w:hint="eastAsia" w:ascii="宋体" w:hAnsi="宋体" w:eastAsia="宋体" w:cs="宋体"/>
          <w:color w:val="auto"/>
          <w:sz w:val="36"/>
          <w:szCs w:val="36"/>
          <w:highlight w:val="none"/>
        </w:rPr>
        <w:t>评标办法</w:t>
      </w:r>
    </w:p>
    <w:p w14:paraId="21E85B1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1、评标方法：</w:t>
      </w:r>
    </w:p>
    <w:p w14:paraId="27ED25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w:t>
      </w:r>
      <w:r>
        <w:rPr>
          <w:rFonts w:hint="eastAsia" w:ascii="宋体" w:hAnsi="宋体" w:eastAsia="宋体" w:cs="宋体"/>
          <w:b w:val="0"/>
          <w:i w:val="0"/>
          <w:iCs w:val="0"/>
          <w:color w:val="auto"/>
          <w:kern w:val="0"/>
          <w:sz w:val="24"/>
          <w:szCs w:val="24"/>
          <w:highlight w:val="none"/>
          <w:u w:val="none"/>
          <w:lang w:val="en-US" w:eastAsia="zh-CN" w:bidi="ar"/>
        </w:rPr>
        <w:t>为一名，</w:t>
      </w:r>
      <w:r>
        <w:rPr>
          <w:rFonts w:hint="eastAsia" w:ascii="宋体" w:hAnsi="宋体" w:eastAsia="宋体" w:cs="宋体"/>
          <w:b w:val="0"/>
          <w:i w:val="0"/>
          <w:iCs w:val="0"/>
          <w:color w:val="auto"/>
          <w:kern w:val="0"/>
          <w:sz w:val="24"/>
          <w:szCs w:val="24"/>
          <w:highlight w:val="none"/>
          <w:u w:val="none"/>
          <w:lang w:val="zh-CN" w:eastAsia="zh-CN" w:bidi="ar"/>
        </w:rPr>
        <w:t>中标候选人并列的，采用随机抽取的方式确定。</w:t>
      </w:r>
    </w:p>
    <w:p w14:paraId="56C6A370">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2.评分标准：共100分，其中商务技术分</w:t>
      </w:r>
      <w:r>
        <w:rPr>
          <w:rFonts w:hint="eastAsia" w:ascii="宋体" w:hAnsi="宋体" w:cs="宋体"/>
          <w:b w:val="0"/>
          <w:i w:val="0"/>
          <w:iCs w:val="0"/>
          <w:color w:val="auto"/>
          <w:kern w:val="0"/>
          <w:sz w:val="24"/>
          <w:szCs w:val="24"/>
          <w:highlight w:val="none"/>
          <w:u w:val="none"/>
          <w:lang w:val="en-US" w:eastAsia="zh-CN" w:bidi="ar"/>
        </w:rPr>
        <w:t>7</w:t>
      </w:r>
      <w:r>
        <w:rPr>
          <w:rFonts w:hint="eastAsia" w:ascii="宋体" w:hAnsi="宋体" w:eastAsia="宋体" w:cs="宋体"/>
          <w:b w:val="0"/>
          <w:i w:val="0"/>
          <w:iCs w:val="0"/>
          <w:color w:val="auto"/>
          <w:kern w:val="0"/>
          <w:sz w:val="24"/>
          <w:szCs w:val="24"/>
          <w:highlight w:val="none"/>
          <w:u w:val="none"/>
          <w:lang w:val="zh-CN" w:eastAsia="zh-CN" w:bidi="ar"/>
        </w:rPr>
        <w:t>0分，价格分</w:t>
      </w:r>
      <w:r>
        <w:rPr>
          <w:rFonts w:hint="eastAsia" w:ascii="宋体" w:hAnsi="宋体" w:cs="宋体"/>
          <w:b w:val="0"/>
          <w:i w:val="0"/>
          <w:iCs w:val="0"/>
          <w:color w:val="auto"/>
          <w:kern w:val="0"/>
          <w:sz w:val="24"/>
          <w:szCs w:val="24"/>
          <w:highlight w:val="none"/>
          <w:u w:val="none"/>
          <w:lang w:val="en-US" w:eastAsia="zh-CN" w:bidi="ar"/>
        </w:rPr>
        <w:t>3</w:t>
      </w:r>
      <w:r>
        <w:rPr>
          <w:rFonts w:hint="eastAsia" w:ascii="宋体" w:hAnsi="宋体" w:eastAsia="宋体" w:cs="宋体"/>
          <w:b w:val="0"/>
          <w:i w:val="0"/>
          <w:iCs w:val="0"/>
          <w:color w:val="auto"/>
          <w:kern w:val="0"/>
          <w:sz w:val="24"/>
          <w:szCs w:val="24"/>
          <w:highlight w:val="none"/>
          <w:u w:val="none"/>
          <w:lang w:val="zh-CN" w:eastAsia="zh-CN" w:bidi="ar"/>
        </w:rPr>
        <w:t>0分。评分依下述所列为评标打分依据，分值如下（计算分值时，按其算术平均值保留小数2位）。</w:t>
      </w:r>
    </w:p>
    <w:p w14:paraId="446383BD">
      <w:pPr>
        <w:spacing w:line="440" w:lineRule="exact"/>
        <w:rPr>
          <w:rFonts w:hint="eastAsia" w:ascii="宋体" w:hAnsi="宋体" w:eastAsia="宋体" w:cs="宋体"/>
          <w:b/>
          <w:bCs/>
          <w:iCs/>
          <w:color w:val="auto"/>
          <w:sz w:val="24"/>
          <w:highlight w:val="none"/>
        </w:rPr>
      </w:pPr>
      <w:r>
        <w:rPr>
          <w:rFonts w:hint="eastAsia" w:ascii="宋体" w:hAnsi="宋体"/>
          <w:b/>
          <w:color w:val="auto"/>
          <w:highlight w:val="none"/>
          <w:lang w:val="en-US" w:eastAsia="zh-CN"/>
        </w:rPr>
        <w:t>2.1商务技术分（70分）</w:t>
      </w:r>
      <w:bookmarkEnd w:id="30"/>
      <w:bookmarkStart w:id="31" w:name="_Toc6326"/>
      <w:bookmarkStart w:id="32" w:name="_Toc23578"/>
      <w:bookmarkStart w:id="33" w:name="_Toc1479"/>
    </w:p>
    <w:tbl>
      <w:tblPr>
        <w:tblStyle w:val="3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64"/>
        <w:gridCol w:w="6278"/>
        <w:gridCol w:w="1005"/>
      </w:tblGrid>
      <w:tr w14:paraId="1C0F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7" w:type="dxa"/>
            <w:noWrap w:val="0"/>
            <w:vAlign w:val="center"/>
          </w:tcPr>
          <w:p w14:paraId="34A96A4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64" w:type="dxa"/>
            <w:noWrap w:val="0"/>
            <w:vAlign w:val="center"/>
          </w:tcPr>
          <w:p w14:paraId="0FD4376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278" w:type="dxa"/>
            <w:noWrap w:val="0"/>
            <w:vAlign w:val="center"/>
          </w:tcPr>
          <w:p w14:paraId="513386A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评分细则及要求</w:t>
            </w:r>
          </w:p>
        </w:tc>
        <w:tc>
          <w:tcPr>
            <w:tcW w:w="1005" w:type="dxa"/>
            <w:noWrap w:val="0"/>
            <w:vAlign w:val="center"/>
          </w:tcPr>
          <w:p w14:paraId="7B583AD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3C4A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264EF1E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64" w:type="dxa"/>
            <w:noWrap w:val="0"/>
            <w:vAlign w:val="center"/>
          </w:tcPr>
          <w:p w14:paraId="082D248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认证证书</w:t>
            </w:r>
          </w:p>
        </w:tc>
        <w:tc>
          <w:tcPr>
            <w:tcW w:w="6278" w:type="dxa"/>
            <w:noWrap w:val="0"/>
            <w:vAlign w:val="center"/>
          </w:tcPr>
          <w:p w14:paraId="61D4C912">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所投产品制造商具有有效期内的质量管理体系认证证书、环境管理体系认证证书、职业健康与安全管理体系认证证书，每个得1分，最多得3分。</w:t>
            </w:r>
          </w:p>
          <w:p w14:paraId="4362588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8"/>
                <w:sz w:val="24"/>
                <w:szCs w:val="24"/>
                <w:highlight w:val="none"/>
                <w:lang w:val="en-US" w:eastAsia="zh-CN"/>
              </w:rPr>
              <w:t>提供有效的证书扫描件及国家市场监督管理总局全国认证认可信息公共服务平台(http://cx.cnca.cn/)的查询结果截图并加盖CA签章。</w:t>
            </w:r>
          </w:p>
        </w:tc>
        <w:tc>
          <w:tcPr>
            <w:tcW w:w="1005" w:type="dxa"/>
            <w:noWrap w:val="0"/>
            <w:vAlign w:val="center"/>
          </w:tcPr>
          <w:p w14:paraId="5FF3FBA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0-3</w:t>
            </w:r>
          </w:p>
        </w:tc>
      </w:tr>
      <w:tr w14:paraId="2717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57E5754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64" w:type="dxa"/>
            <w:noWrap w:val="0"/>
            <w:vAlign w:val="center"/>
          </w:tcPr>
          <w:p w14:paraId="3DDA3E7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产品情况</w:t>
            </w:r>
          </w:p>
        </w:tc>
        <w:tc>
          <w:tcPr>
            <w:tcW w:w="6278" w:type="dxa"/>
            <w:noWrap w:val="0"/>
            <w:vAlign w:val="center"/>
          </w:tcPr>
          <w:p w14:paraId="48E61921">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根据投标产品质量、消费者认可度等情况进行评分（打分范围：3</w:t>
            </w:r>
            <w:r>
              <w:rPr>
                <w:rFonts w:hint="eastAsia" w:ascii="宋体" w:hAnsi="宋体" w:eastAsia="宋体" w:cs="宋体"/>
                <w:b w:val="0"/>
                <w:bCs/>
                <w:color w:val="auto"/>
                <w:kern w:val="2"/>
                <w:sz w:val="24"/>
                <w:szCs w:val="24"/>
                <w:highlight w:val="none"/>
                <w:lang w:val="en-US" w:eastAsia="zh-CN" w:bidi="ar-SA"/>
              </w:rPr>
              <w:t>，2.8，2.6，...，0</w:t>
            </w:r>
            <w:r>
              <w:rPr>
                <w:rFonts w:hint="eastAsia" w:ascii="宋体" w:hAnsi="宋体" w:eastAsia="宋体" w:cs="宋体"/>
                <w:color w:val="auto"/>
                <w:kern w:val="2"/>
                <w:sz w:val="24"/>
                <w:szCs w:val="24"/>
                <w:highlight w:val="none"/>
                <w:lang w:val="en-US" w:eastAsia="zh-CN" w:bidi="ar-SA"/>
              </w:rPr>
              <w:t>）。提供相关佐证材料。</w:t>
            </w:r>
          </w:p>
        </w:tc>
        <w:tc>
          <w:tcPr>
            <w:tcW w:w="1005" w:type="dxa"/>
            <w:noWrap w:val="0"/>
            <w:vAlign w:val="center"/>
          </w:tcPr>
          <w:p w14:paraId="0E68CEB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0-3</w:t>
            </w:r>
          </w:p>
        </w:tc>
      </w:tr>
      <w:tr w14:paraId="5275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213ABFD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64" w:type="dxa"/>
            <w:noWrap w:val="0"/>
            <w:vAlign w:val="center"/>
          </w:tcPr>
          <w:p w14:paraId="413CC7C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同类业绩</w:t>
            </w:r>
          </w:p>
        </w:tc>
        <w:tc>
          <w:tcPr>
            <w:tcW w:w="6278" w:type="dxa"/>
            <w:noWrap w:val="0"/>
            <w:vAlign w:val="center"/>
          </w:tcPr>
          <w:p w14:paraId="256A906C">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所投品牌自2022年1月1日以来已完成的相关类似业绩（该业绩的电梯品牌必须与投标产品品牌相同），每个得0.5分，最高得2分。</w:t>
            </w:r>
          </w:p>
          <w:p w14:paraId="32283CEE">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提供合同原件扫描件并加盖CA签章。</w:t>
            </w:r>
          </w:p>
        </w:tc>
        <w:tc>
          <w:tcPr>
            <w:tcW w:w="1005" w:type="dxa"/>
            <w:noWrap w:val="0"/>
            <w:vAlign w:val="center"/>
          </w:tcPr>
          <w:p w14:paraId="43B82A7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w:t>
            </w:r>
          </w:p>
        </w:tc>
      </w:tr>
      <w:tr w14:paraId="3F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7" w:type="dxa"/>
            <w:noWrap w:val="0"/>
            <w:vAlign w:val="center"/>
          </w:tcPr>
          <w:p w14:paraId="22992A1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64" w:type="dxa"/>
            <w:noWrap w:val="0"/>
            <w:vAlign w:val="center"/>
          </w:tcPr>
          <w:p w14:paraId="3252B411">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技术参数响应</w:t>
            </w:r>
          </w:p>
        </w:tc>
        <w:tc>
          <w:tcPr>
            <w:tcW w:w="6278" w:type="dxa"/>
            <w:noWrap w:val="0"/>
            <w:vAlign w:val="center"/>
          </w:tcPr>
          <w:p w14:paraId="553757BE">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根据投标单位提供投标产品的基本功能、技术指标参数，完全满足招标文件要求的得4分，每有一项负偏离的扣1分，扣完为止。</w:t>
            </w:r>
            <w:r>
              <w:rPr>
                <w:rFonts w:hint="eastAsia" w:ascii="宋体" w:hAnsi="宋体" w:eastAsia="宋体" w:cs="宋体"/>
                <w:b w:val="0"/>
                <w:bCs w:val="0"/>
                <w:color w:val="auto"/>
                <w:kern w:val="0"/>
                <w:sz w:val="24"/>
                <w:szCs w:val="24"/>
                <w:highlight w:val="none"/>
                <w:lang w:val="en-US" w:eastAsia="zh-CN" w:bidi="ar"/>
              </w:rPr>
              <w:t>要求提供相关材料但未提供作</w:t>
            </w:r>
            <w:r>
              <w:rPr>
                <w:rFonts w:hint="eastAsia" w:ascii="宋体" w:hAnsi="宋体" w:eastAsia="宋体" w:cs="宋体"/>
                <w:b w:val="0"/>
                <w:bCs w:val="0"/>
                <w:color w:val="auto"/>
                <w:sz w:val="24"/>
                <w:szCs w:val="24"/>
                <w:highlight w:val="none"/>
              </w:rPr>
              <w:t>负偏离处理</w:t>
            </w:r>
            <w:r>
              <w:rPr>
                <w:rFonts w:hint="eastAsia" w:ascii="宋体" w:hAnsi="宋体" w:eastAsia="宋体" w:cs="宋体"/>
                <w:b w:val="0"/>
                <w:bCs w:val="0"/>
                <w:color w:val="auto"/>
                <w:kern w:val="0"/>
                <w:sz w:val="24"/>
                <w:szCs w:val="24"/>
                <w:highlight w:val="none"/>
                <w:lang w:bidi="ar"/>
              </w:rPr>
              <w:t>。</w:t>
            </w:r>
          </w:p>
        </w:tc>
        <w:tc>
          <w:tcPr>
            <w:tcW w:w="1005" w:type="dxa"/>
            <w:noWrap w:val="0"/>
            <w:vAlign w:val="center"/>
          </w:tcPr>
          <w:p w14:paraId="00CF595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w:t>
            </w:r>
          </w:p>
        </w:tc>
      </w:tr>
      <w:tr w14:paraId="45BF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0"/>
            <w:vAlign w:val="center"/>
          </w:tcPr>
          <w:p w14:paraId="48FE40D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64" w:type="dxa"/>
            <w:vMerge w:val="restart"/>
            <w:noWrap w:val="0"/>
            <w:vAlign w:val="center"/>
          </w:tcPr>
          <w:p w14:paraId="07F26AD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主要部件情况</w:t>
            </w:r>
          </w:p>
        </w:tc>
        <w:tc>
          <w:tcPr>
            <w:tcW w:w="6278" w:type="dxa"/>
            <w:noWrap w:val="0"/>
            <w:vAlign w:val="center"/>
          </w:tcPr>
          <w:p w14:paraId="5818C605">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门机的先进性</w:t>
            </w:r>
            <w:r>
              <w:rPr>
                <w:rFonts w:hint="eastAsia" w:ascii="宋体" w:hAnsi="宋体" w:eastAsia="宋体" w:cs="宋体"/>
                <w:i w:val="0"/>
                <w:iCs w:val="0"/>
                <w:caps w:val="0"/>
                <w:color w:val="auto"/>
                <w:spacing w:val="0"/>
                <w:sz w:val="24"/>
                <w:szCs w:val="24"/>
                <w:highlight w:val="none"/>
                <w:lang w:eastAsia="zh-CN"/>
              </w:rPr>
              <w:t>：</w:t>
            </w:r>
          </w:p>
          <w:p w14:paraId="75A10F2B">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1.所投电梯门机为原厂原品牌的得1分；DT6、DT7电梯门机为原厂原品牌国且进口的加4分。本项最高得5分。</w:t>
            </w:r>
          </w:p>
          <w:p w14:paraId="2ADC6B56">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2.根据门机控制系统、门锁装置、电机主要部件的先进性、可靠性、使用寿命等指标进行评分（打分范围：3</w:t>
            </w:r>
            <w:r>
              <w:rPr>
                <w:rFonts w:hint="eastAsia" w:ascii="宋体" w:hAnsi="宋体" w:eastAsia="宋体" w:cs="宋体"/>
                <w:b w:val="0"/>
                <w:bCs/>
                <w:color w:val="auto"/>
                <w:kern w:val="2"/>
                <w:sz w:val="24"/>
                <w:szCs w:val="24"/>
                <w:highlight w:val="none"/>
                <w:lang w:val="en-US" w:eastAsia="zh-CN" w:bidi="ar-SA"/>
              </w:rPr>
              <w:t>，2.8，2.6，...，0</w:t>
            </w:r>
            <w:r>
              <w:rPr>
                <w:rFonts w:hint="eastAsia" w:ascii="宋体" w:hAnsi="宋体" w:eastAsia="宋体" w:cs="宋体"/>
                <w:color w:val="auto"/>
                <w:kern w:val="2"/>
                <w:sz w:val="24"/>
                <w:szCs w:val="24"/>
                <w:highlight w:val="none"/>
                <w:lang w:val="en-US" w:eastAsia="zh-CN" w:bidi="ar-SA"/>
              </w:rPr>
              <w:t>）。</w:t>
            </w:r>
          </w:p>
          <w:p w14:paraId="3E68FA10">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注：投标文件中提供检测报告或型式试验报告等相关证明材料，若为</w:t>
            </w:r>
            <w:r>
              <w:rPr>
                <w:rFonts w:hint="eastAsia" w:ascii="宋体" w:hAnsi="宋体" w:eastAsia="宋体" w:cs="宋体"/>
                <w:color w:val="auto"/>
                <w:sz w:val="24"/>
                <w:szCs w:val="24"/>
                <w:highlight w:val="none"/>
                <w:lang w:val="en-US" w:eastAsia="zh-CN"/>
              </w:rPr>
              <w:t>进口件要求提供</w:t>
            </w:r>
            <w:r>
              <w:rPr>
                <w:rFonts w:hint="eastAsia" w:ascii="宋体" w:hAnsi="宋体" w:eastAsia="宋体" w:cs="宋体"/>
                <w:color w:val="auto"/>
                <w:kern w:val="2"/>
                <w:sz w:val="24"/>
                <w:szCs w:val="24"/>
                <w:highlight w:val="none"/>
                <w:lang w:val="en-US" w:eastAsia="zh-CN" w:bidi="ar-SA"/>
              </w:rPr>
              <w:t>到货时提交该部件的报关证明、原品牌国原产地证明文件的承诺并后附2023年后同类项目的报关证明、原品牌国原产地证明文件，否则不得分。</w:t>
            </w:r>
          </w:p>
        </w:tc>
        <w:tc>
          <w:tcPr>
            <w:tcW w:w="1005" w:type="dxa"/>
            <w:noWrap w:val="0"/>
            <w:vAlign w:val="center"/>
          </w:tcPr>
          <w:p w14:paraId="591AFD0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0-8</w:t>
            </w:r>
          </w:p>
        </w:tc>
      </w:tr>
      <w:tr w14:paraId="285B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noWrap w:val="0"/>
            <w:vAlign w:val="center"/>
          </w:tcPr>
          <w:p w14:paraId="6D8A583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64" w:type="dxa"/>
            <w:vMerge w:val="continue"/>
            <w:noWrap w:val="0"/>
            <w:vAlign w:val="center"/>
          </w:tcPr>
          <w:p w14:paraId="0B56CD3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78" w:type="dxa"/>
            <w:noWrap w:val="0"/>
            <w:vAlign w:val="center"/>
          </w:tcPr>
          <w:p w14:paraId="616D180A">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控制柜的先进性</w:t>
            </w:r>
            <w:r>
              <w:rPr>
                <w:rFonts w:hint="eastAsia" w:ascii="宋体" w:hAnsi="宋体" w:eastAsia="宋体" w:cs="宋体"/>
                <w:i w:val="0"/>
                <w:iCs w:val="0"/>
                <w:caps w:val="0"/>
                <w:color w:val="auto"/>
                <w:spacing w:val="0"/>
                <w:sz w:val="24"/>
                <w:szCs w:val="24"/>
                <w:highlight w:val="none"/>
                <w:lang w:eastAsia="zh-CN"/>
              </w:rPr>
              <w:t>：</w:t>
            </w:r>
          </w:p>
          <w:p w14:paraId="5A643BC2">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1.所投电梯</w:t>
            </w:r>
            <w:r>
              <w:rPr>
                <w:rFonts w:hint="eastAsia" w:ascii="宋体" w:hAnsi="宋体" w:eastAsia="宋体" w:cs="宋体"/>
                <w:i w:val="0"/>
                <w:iCs w:val="0"/>
                <w:caps w:val="0"/>
                <w:color w:val="auto"/>
                <w:spacing w:val="0"/>
                <w:sz w:val="24"/>
                <w:szCs w:val="24"/>
                <w:highlight w:val="none"/>
              </w:rPr>
              <w:t>控制柜</w:t>
            </w:r>
            <w:r>
              <w:rPr>
                <w:rFonts w:hint="eastAsia" w:ascii="宋体" w:hAnsi="宋体" w:eastAsia="宋体" w:cs="宋体"/>
                <w:i w:val="0"/>
                <w:iCs w:val="0"/>
                <w:caps w:val="0"/>
                <w:color w:val="auto"/>
                <w:spacing w:val="0"/>
                <w:sz w:val="24"/>
                <w:szCs w:val="24"/>
                <w:highlight w:val="none"/>
                <w:lang w:val="en-US" w:eastAsia="zh-CN"/>
              </w:rPr>
              <w:t>整柜</w:t>
            </w:r>
            <w:r>
              <w:rPr>
                <w:rFonts w:hint="eastAsia" w:ascii="宋体" w:hAnsi="宋体" w:eastAsia="宋体" w:cs="宋体"/>
                <w:color w:val="auto"/>
                <w:kern w:val="2"/>
                <w:sz w:val="24"/>
                <w:szCs w:val="24"/>
                <w:highlight w:val="none"/>
                <w:lang w:val="en-US" w:eastAsia="zh-CN" w:bidi="ar-SA"/>
              </w:rPr>
              <w:t>为原厂原品牌的得1分；DT6、DT7电梯</w:t>
            </w:r>
            <w:r>
              <w:rPr>
                <w:rFonts w:hint="eastAsia" w:ascii="宋体" w:hAnsi="宋体" w:eastAsia="宋体" w:cs="宋体"/>
                <w:i w:val="0"/>
                <w:iCs w:val="0"/>
                <w:caps w:val="0"/>
                <w:color w:val="auto"/>
                <w:spacing w:val="0"/>
                <w:sz w:val="24"/>
                <w:szCs w:val="24"/>
                <w:highlight w:val="none"/>
              </w:rPr>
              <w:t>控制柜</w:t>
            </w:r>
            <w:r>
              <w:rPr>
                <w:rFonts w:hint="eastAsia" w:ascii="宋体" w:hAnsi="宋体" w:eastAsia="宋体" w:cs="宋体"/>
                <w:i w:val="0"/>
                <w:iCs w:val="0"/>
                <w:caps w:val="0"/>
                <w:color w:val="auto"/>
                <w:spacing w:val="0"/>
                <w:sz w:val="24"/>
                <w:szCs w:val="24"/>
                <w:highlight w:val="none"/>
                <w:lang w:val="en-US" w:eastAsia="zh-CN"/>
              </w:rPr>
              <w:t>整柜</w:t>
            </w:r>
            <w:r>
              <w:rPr>
                <w:rFonts w:hint="eastAsia" w:ascii="宋体" w:hAnsi="宋体" w:eastAsia="宋体" w:cs="宋体"/>
                <w:color w:val="auto"/>
                <w:kern w:val="2"/>
                <w:sz w:val="24"/>
                <w:szCs w:val="24"/>
                <w:highlight w:val="none"/>
                <w:lang w:val="en-US" w:eastAsia="zh-CN" w:bidi="ar-SA"/>
              </w:rPr>
              <w:t>为原厂原品牌国且进口的加4分。本项最高得5分。</w:t>
            </w:r>
          </w:p>
          <w:p w14:paraId="1B812D51">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2.根据控制柜整机的调速方式、对电机控制方式、故障率高低等进行评分（打分范围：3</w:t>
            </w:r>
            <w:r>
              <w:rPr>
                <w:rFonts w:hint="eastAsia" w:ascii="宋体" w:hAnsi="宋体" w:eastAsia="宋体" w:cs="宋体"/>
                <w:b w:val="0"/>
                <w:bCs/>
                <w:color w:val="auto"/>
                <w:kern w:val="2"/>
                <w:sz w:val="24"/>
                <w:szCs w:val="24"/>
                <w:highlight w:val="none"/>
                <w:lang w:val="en-US" w:eastAsia="zh-CN" w:bidi="ar-SA"/>
              </w:rPr>
              <w:t>，2.8，2.6，...，0</w:t>
            </w:r>
            <w:r>
              <w:rPr>
                <w:rFonts w:hint="eastAsia" w:ascii="宋体" w:hAnsi="宋体" w:eastAsia="宋体" w:cs="宋体"/>
                <w:color w:val="auto"/>
                <w:kern w:val="2"/>
                <w:sz w:val="24"/>
                <w:szCs w:val="24"/>
                <w:highlight w:val="none"/>
                <w:lang w:val="en-US" w:eastAsia="zh-CN" w:bidi="ar-SA"/>
              </w:rPr>
              <w:t>）。</w:t>
            </w:r>
          </w:p>
          <w:p w14:paraId="220FBFB8">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注：投标文件中提供检测报告或型式试验报告等相关证明材料，若为</w:t>
            </w:r>
            <w:r>
              <w:rPr>
                <w:rFonts w:hint="eastAsia" w:ascii="宋体" w:hAnsi="宋体" w:eastAsia="宋体" w:cs="宋体"/>
                <w:color w:val="auto"/>
                <w:sz w:val="24"/>
                <w:szCs w:val="24"/>
                <w:highlight w:val="none"/>
                <w:lang w:val="en-US" w:eastAsia="zh-CN"/>
              </w:rPr>
              <w:t>进口件要求提供</w:t>
            </w:r>
            <w:r>
              <w:rPr>
                <w:rFonts w:hint="eastAsia" w:ascii="宋体" w:hAnsi="宋体" w:eastAsia="宋体" w:cs="宋体"/>
                <w:color w:val="auto"/>
                <w:kern w:val="2"/>
                <w:sz w:val="24"/>
                <w:szCs w:val="24"/>
                <w:highlight w:val="none"/>
                <w:lang w:val="en-US" w:eastAsia="zh-CN" w:bidi="ar-SA"/>
              </w:rPr>
              <w:t>到货时提交该部件的报关证明、原品牌国原产地证明文件的承诺并后附2023年后同类项目的报关证明、原品牌国原产地证明文件，否则不得分。</w:t>
            </w:r>
          </w:p>
        </w:tc>
        <w:tc>
          <w:tcPr>
            <w:tcW w:w="1005" w:type="dxa"/>
            <w:noWrap w:val="0"/>
            <w:vAlign w:val="center"/>
          </w:tcPr>
          <w:p w14:paraId="5A0039D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0-8</w:t>
            </w:r>
          </w:p>
        </w:tc>
      </w:tr>
      <w:tr w14:paraId="32DF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17" w:type="dxa"/>
            <w:vMerge w:val="continue"/>
            <w:noWrap w:val="0"/>
            <w:vAlign w:val="center"/>
          </w:tcPr>
          <w:p w14:paraId="6338168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64" w:type="dxa"/>
            <w:vMerge w:val="continue"/>
            <w:noWrap w:val="0"/>
            <w:vAlign w:val="center"/>
          </w:tcPr>
          <w:p w14:paraId="5B6676E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278" w:type="dxa"/>
            <w:noWrap w:val="0"/>
            <w:vAlign w:val="center"/>
          </w:tcPr>
          <w:p w14:paraId="58E49DB7">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曳引机的先进性</w:t>
            </w:r>
            <w:r>
              <w:rPr>
                <w:rFonts w:hint="eastAsia" w:ascii="宋体" w:hAnsi="宋体" w:eastAsia="宋体" w:cs="宋体"/>
                <w:i w:val="0"/>
                <w:iCs w:val="0"/>
                <w:caps w:val="0"/>
                <w:color w:val="auto"/>
                <w:spacing w:val="0"/>
                <w:sz w:val="24"/>
                <w:szCs w:val="24"/>
                <w:highlight w:val="none"/>
                <w:lang w:eastAsia="zh-CN"/>
              </w:rPr>
              <w:t>：</w:t>
            </w:r>
          </w:p>
          <w:p w14:paraId="45E73150">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1.所投电梯</w:t>
            </w:r>
            <w:r>
              <w:rPr>
                <w:rFonts w:hint="eastAsia" w:ascii="宋体" w:hAnsi="宋体" w:eastAsia="宋体" w:cs="宋体"/>
                <w:i w:val="0"/>
                <w:iCs w:val="0"/>
                <w:caps w:val="0"/>
                <w:color w:val="auto"/>
                <w:spacing w:val="0"/>
                <w:sz w:val="24"/>
                <w:szCs w:val="24"/>
                <w:highlight w:val="none"/>
              </w:rPr>
              <w:t>曳引机</w:t>
            </w:r>
            <w:r>
              <w:rPr>
                <w:rFonts w:hint="eastAsia" w:ascii="宋体" w:hAnsi="宋体" w:eastAsia="宋体" w:cs="宋体"/>
                <w:color w:val="auto"/>
                <w:kern w:val="2"/>
                <w:sz w:val="24"/>
                <w:szCs w:val="24"/>
                <w:highlight w:val="none"/>
                <w:lang w:val="en-US" w:eastAsia="zh-CN" w:bidi="ar-SA"/>
              </w:rPr>
              <w:t>为原厂原品牌的得1分；DT6、DT7电梯</w:t>
            </w:r>
            <w:r>
              <w:rPr>
                <w:rFonts w:hint="eastAsia" w:ascii="宋体" w:hAnsi="宋体" w:eastAsia="宋体" w:cs="宋体"/>
                <w:i w:val="0"/>
                <w:iCs w:val="0"/>
                <w:caps w:val="0"/>
                <w:color w:val="auto"/>
                <w:spacing w:val="0"/>
                <w:sz w:val="24"/>
                <w:szCs w:val="24"/>
                <w:highlight w:val="none"/>
              </w:rPr>
              <w:t>曳引机</w:t>
            </w:r>
            <w:r>
              <w:rPr>
                <w:rFonts w:hint="eastAsia" w:ascii="宋体" w:hAnsi="宋体" w:eastAsia="宋体" w:cs="宋体"/>
                <w:color w:val="auto"/>
                <w:kern w:val="2"/>
                <w:sz w:val="24"/>
                <w:szCs w:val="24"/>
                <w:highlight w:val="none"/>
                <w:lang w:val="en-US" w:eastAsia="zh-CN" w:bidi="ar-SA"/>
              </w:rPr>
              <w:t>为原厂原品牌国且进口的加4分。本项最高得5分。</w:t>
            </w:r>
          </w:p>
          <w:p w14:paraId="0993CF11">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2.根据曳引机的整机性能、曳引绳及绕绳方式的先进性、制动器的先进性、主机防护等级及绝缘等级等情况进行评分（打分范围：3</w:t>
            </w:r>
            <w:r>
              <w:rPr>
                <w:rFonts w:hint="eastAsia" w:ascii="宋体" w:hAnsi="宋体" w:eastAsia="宋体" w:cs="宋体"/>
                <w:b w:val="0"/>
                <w:bCs/>
                <w:color w:val="auto"/>
                <w:kern w:val="2"/>
                <w:sz w:val="24"/>
                <w:szCs w:val="24"/>
                <w:highlight w:val="none"/>
                <w:lang w:val="en-US" w:eastAsia="zh-CN" w:bidi="ar-SA"/>
              </w:rPr>
              <w:t>，2.8，2.6，...，0</w:t>
            </w:r>
            <w:r>
              <w:rPr>
                <w:rFonts w:hint="eastAsia" w:ascii="宋体" w:hAnsi="宋体" w:eastAsia="宋体" w:cs="宋体"/>
                <w:color w:val="auto"/>
                <w:kern w:val="2"/>
                <w:sz w:val="24"/>
                <w:szCs w:val="24"/>
                <w:highlight w:val="none"/>
                <w:lang w:val="en-US" w:eastAsia="zh-CN" w:bidi="ar-SA"/>
              </w:rPr>
              <w:t>）。</w:t>
            </w:r>
          </w:p>
          <w:p w14:paraId="70CFF531">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注：投标文件中提供检测报告或型式试验报告等相关证明材料，若为</w:t>
            </w:r>
            <w:r>
              <w:rPr>
                <w:rFonts w:hint="eastAsia" w:ascii="宋体" w:hAnsi="宋体" w:eastAsia="宋体" w:cs="宋体"/>
                <w:color w:val="auto"/>
                <w:sz w:val="24"/>
                <w:szCs w:val="24"/>
                <w:highlight w:val="none"/>
                <w:lang w:val="en-US" w:eastAsia="zh-CN"/>
              </w:rPr>
              <w:t>进口件要求提供</w:t>
            </w:r>
            <w:r>
              <w:rPr>
                <w:rFonts w:hint="eastAsia" w:ascii="宋体" w:hAnsi="宋体" w:eastAsia="宋体" w:cs="宋体"/>
                <w:color w:val="auto"/>
                <w:kern w:val="2"/>
                <w:sz w:val="24"/>
                <w:szCs w:val="24"/>
                <w:highlight w:val="none"/>
                <w:lang w:val="en-US" w:eastAsia="zh-CN" w:bidi="ar-SA"/>
              </w:rPr>
              <w:t>到货时提交该部件的报关证明、原品牌国原产地证明文件的承诺并后附2023年后同类项目的报关证明、原品牌国原产地证明文件，否则不得分。</w:t>
            </w:r>
          </w:p>
        </w:tc>
        <w:tc>
          <w:tcPr>
            <w:tcW w:w="1005" w:type="dxa"/>
            <w:noWrap w:val="0"/>
            <w:vAlign w:val="center"/>
          </w:tcPr>
          <w:p w14:paraId="6D91747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0-8</w:t>
            </w:r>
          </w:p>
        </w:tc>
      </w:tr>
      <w:tr w14:paraId="1EC4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3392CC4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64" w:type="dxa"/>
            <w:noWrap w:val="0"/>
            <w:vAlign w:val="center"/>
          </w:tcPr>
          <w:p w14:paraId="40DE5D6F">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产品配置</w:t>
            </w:r>
          </w:p>
        </w:tc>
        <w:tc>
          <w:tcPr>
            <w:tcW w:w="6278" w:type="dxa"/>
            <w:noWrap w:val="0"/>
            <w:vAlign w:val="center"/>
          </w:tcPr>
          <w:p w14:paraId="72A19655">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曳引机制动器的动作寿命在200万次的基础上，每增加200万次加1分，本项最高得4分。</w:t>
            </w:r>
          </w:p>
          <w:p w14:paraId="2B3BFF06">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提供型式试验报告或国家认可的检测机构出具的检测报告扫描件，不提供不得分。</w:t>
            </w:r>
          </w:p>
        </w:tc>
        <w:tc>
          <w:tcPr>
            <w:tcW w:w="1005" w:type="dxa"/>
            <w:noWrap w:val="0"/>
            <w:vAlign w:val="center"/>
          </w:tcPr>
          <w:p w14:paraId="451F3A5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w:t>
            </w:r>
          </w:p>
        </w:tc>
      </w:tr>
      <w:tr w14:paraId="5478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7" w:type="dxa"/>
            <w:noWrap w:val="0"/>
            <w:vAlign w:val="center"/>
          </w:tcPr>
          <w:p w14:paraId="6DEA42A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1364" w:type="dxa"/>
            <w:noWrap w:val="0"/>
            <w:vAlign w:val="center"/>
          </w:tcPr>
          <w:p w14:paraId="4208FAB8">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安全部件</w:t>
            </w:r>
          </w:p>
        </w:tc>
        <w:tc>
          <w:tcPr>
            <w:tcW w:w="6278" w:type="dxa"/>
            <w:noWrap w:val="0"/>
            <w:vAlign w:val="center"/>
          </w:tcPr>
          <w:p w14:paraId="23022125">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所投电梯的安全部件：限速器、安全钳</w:t>
            </w:r>
            <w:r>
              <w:rPr>
                <w:rFonts w:hint="eastAsia" w:ascii="宋体" w:hAnsi="宋体" w:eastAsia="宋体" w:cs="宋体"/>
                <w:b w:val="0"/>
                <w:bCs/>
                <w:color w:val="auto"/>
                <w:sz w:val="24"/>
                <w:szCs w:val="24"/>
                <w:highlight w:val="none"/>
                <w:lang w:val="en-US" w:eastAsia="zh-CN"/>
              </w:rPr>
              <w:t>，以上每一项部件采用原厂原品牌的得2分，本项最高得4分。</w:t>
            </w:r>
          </w:p>
          <w:p w14:paraId="503D4EEA">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提供型式试验报告扫描件，不提供不得分。</w:t>
            </w:r>
          </w:p>
        </w:tc>
        <w:tc>
          <w:tcPr>
            <w:tcW w:w="1005" w:type="dxa"/>
            <w:noWrap w:val="0"/>
            <w:vAlign w:val="center"/>
          </w:tcPr>
          <w:p w14:paraId="60AFEC1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w:t>
            </w:r>
          </w:p>
        </w:tc>
      </w:tr>
      <w:tr w14:paraId="4204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63FFBD8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1364" w:type="dxa"/>
            <w:noWrap w:val="0"/>
            <w:vAlign w:val="center"/>
          </w:tcPr>
          <w:p w14:paraId="1E026514">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轿厢布置和装潢</w:t>
            </w:r>
          </w:p>
        </w:tc>
        <w:tc>
          <w:tcPr>
            <w:tcW w:w="6278" w:type="dxa"/>
            <w:noWrap w:val="0"/>
            <w:vAlign w:val="center"/>
          </w:tcPr>
          <w:p w14:paraId="446BC43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轿厢布置和装潢（轿厢的材质、厚度，吊顶、轿底、照明、操作盘的选型等），根据其装潢材质、风格、样式、功能配置等进行评分。提供装潢效果图及说明（打分范围：4</w:t>
            </w:r>
            <w:r>
              <w:rPr>
                <w:rFonts w:hint="eastAsia" w:ascii="宋体" w:hAnsi="宋体" w:eastAsia="宋体" w:cs="宋体"/>
                <w:b w:val="0"/>
                <w:bCs/>
                <w:color w:val="auto"/>
                <w:kern w:val="2"/>
                <w:sz w:val="24"/>
                <w:szCs w:val="24"/>
                <w:highlight w:val="none"/>
                <w:lang w:val="en-US" w:eastAsia="zh-CN" w:bidi="ar-SA"/>
              </w:rPr>
              <w:t>，3.8，3.6，...，0</w:t>
            </w:r>
            <w:r>
              <w:rPr>
                <w:rFonts w:hint="eastAsia" w:ascii="宋体" w:hAnsi="宋体" w:eastAsia="宋体" w:cs="宋体"/>
                <w:color w:val="auto"/>
                <w:kern w:val="2"/>
                <w:sz w:val="24"/>
                <w:szCs w:val="24"/>
                <w:highlight w:val="none"/>
                <w:lang w:val="en-US" w:eastAsia="zh-CN" w:bidi="ar-SA"/>
              </w:rPr>
              <w:t>）。</w:t>
            </w:r>
          </w:p>
        </w:tc>
        <w:tc>
          <w:tcPr>
            <w:tcW w:w="1005" w:type="dxa"/>
            <w:noWrap w:val="0"/>
            <w:vAlign w:val="center"/>
          </w:tcPr>
          <w:p w14:paraId="7A36C6A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w:t>
            </w:r>
          </w:p>
        </w:tc>
      </w:tr>
      <w:tr w14:paraId="198F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0"/>
            <w:vAlign w:val="center"/>
          </w:tcPr>
          <w:p w14:paraId="4CA1F535">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1364" w:type="dxa"/>
            <w:vMerge w:val="restart"/>
            <w:noWrap w:val="0"/>
            <w:vAlign w:val="center"/>
          </w:tcPr>
          <w:p w14:paraId="358DEECD">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实施方案</w:t>
            </w:r>
          </w:p>
        </w:tc>
        <w:tc>
          <w:tcPr>
            <w:tcW w:w="6278" w:type="dxa"/>
            <w:noWrap w:val="0"/>
            <w:vAlign w:val="center"/>
          </w:tcPr>
          <w:p w14:paraId="7E46099A">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交的项目实施方案进行综合评分，方案包含①进度计划、施工工序；②施工、安装重点难点保障措施方案；③质量保证措施方案；④进度保证措施方案；⑤安全生产和文明施工保证措施；⑥人力资源安排。以上每项最高得0.5分（打分范围：0.5</w:t>
            </w:r>
            <w:r>
              <w:rPr>
                <w:rFonts w:hint="eastAsia" w:ascii="宋体" w:hAnsi="宋体" w:eastAsia="宋体" w:cs="宋体"/>
                <w:b w:val="0"/>
                <w:bCs/>
                <w:color w:val="auto"/>
                <w:kern w:val="2"/>
                <w:sz w:val="24"/>
                <w:szCs w:val="24"/>
                <w:highlight w:val="none"/>
                <w:lang w:val="en-US" w:eastAsia="zh-CN" w:bidi="ar-SA"/>
              </w:rPr>
              <w:t>，0.4，0.3，...，0）</w:t>
            </w:r>
            <w:r>
              <w:rPr>
                <w:rFonts w:hint="eastAsia" w:ascii="宋体" w:hAnsi="宋体" w:eastAsia="宋体" w:cs="宋体"/>
                <w:color w:val="auto"/>
                <w:kern w:val="2"/>
                <w:sz w:val="24"/>
                <w:szCs w:val="24"/>
                <w:highlight w:val="none"/>
                <w:lang w:val="en-US" w:eastAsia="zh-CN" w:bidi="ar-SA"/>
              </w:rPr>
              <w:t>，本项最高得3分。</w:t>
            </w:r>
          </w:p>
        </w:tc>
        <w:tc>
          <w:tcPr>
            <w:tcW w:w="1005" w:type="dxa"/>
            <w:noWrap w:val="0"/>
            <w:vAlign w:val="center"/>
          </w:tcPr>
          <w:p w14:paraId="3F750F3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0-3</w:t>
            </w:r>
          </w:p>
        </w:tc>
      </w:tr>
      <w:tr w14:paraId="7638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noWrap w:val="0"/>
            <w:vAlign w:val="center"/>
          </w:tcPr>
          <w:p w14:paraId="00F1805C">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64" w:type="dxa"/>
            <w:vMerge w:val="continue"/>
            <w:noWrap w:val="0"/>
            <w:vAlign w:val="center"/>
          </w:tcPr>
          <w:p w14:paraId="0A88BB53">
            <w:pPr>
              <w:ind w:firstLine="0" w:firstLineChars="0"/>
              <w:jc w:val="center"/>
              <w:rPr>
                <w:rFonts w:hint="eastAsia" w:ascii="宋体" w:hAnsi="宋体" w:eastAsia="宋体" w:cs="宋体"/>
                <w:color w:val="auto"/>
                <w:sz w:val="24"/>
                <w:szCs w:val="24"/>
                <w:highlight w:val="none"/>
              </w:rPr>
            </w:pPr>
          </w:p>
        </w:tc>
        <w:tc>
          <w:tcPr>
            <w:tcW w:w="6278" w:type="dxa"/>
            <w:noWrap w:val="0"/>
            <w:vAlign w:val="center"/>
          </w:tcPr>
          <w:p w14:paraId="6BA7F913">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根据投标人提供的电梯移交方案综合评分，包括①设备检测；②验收调试方案；③与采购人的对接方案。以上每项最高得1分（打分范围：1</w:t>
            </w:r>
            <w:r>
              <w:rPr>
                <w:rFonts w:hint="eastAsia" w:ascii="宋体" w:hAnsi="宋体" w:eastAsia="宋体" w:cs="宋体"/>
                <w:b w:val="0"/>
                <w:bCs/>
                <w:color w:val="auto"/>
                <w:kern w:val="2"/>
                <w:sz w:val="24"/>
                <w:szCs w:val="24"/>
                <w:highlight w:val="none"/>
                <w:lang w:val="en-US" w:eastAsia="zh-CN" w:bidi="ar-SA"/>
              </w:rPr>
              <w:t>，0.8，0.6，...，0）</w:t>
            </w:r>
            <w:r>
              <w:rPr>
                <w:rFonts w:hint="eastAsia" w:ascii="宋体" w:hAnsi="宋体" w:eastAsia="宋体" w:cs="宋体"/>
                <w:color w:val="auto"/>
                <w:kern w:val="2"/>
                <w:sz w:val="24"/>
                <w:szCs w:val="24"/>
                <w:highlight w:val="none"/>
                <w:lang w:val="en-US" w:eastAsia="zh-CN" w:bidi="ar-SA"/>
              </w:rPr>
              <w:t>，本项最高得3分。</w:t>
            </w:r>
          </w:p>
        </w:tc>
        <w:tc>
          <w:tcPr>
            <w:tcW w:w="1005" w:type="dxa"/>
            <w:noWrap w:val="0"/>
            <w:vAlign w:val="center"/>
          </w:tcPr>
          <w:p w14:paraId="398951E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0-3</w:t>
            </w:r>
          </w:p>
        </w:tc>
      </w:tr>
      <w:tr w14:paraId="7BDB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6D724BE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364" w:type="dxa"/>
            <w:noWrap w:val="0"/>
            <w:vAlign w:val="center"/>
          </w:tcPr>
          <w:p w14:paraId="15B725F0">
            <w:pPr>
              <w:ind w:firstLine="0" w:firstLineChars="0"/>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rPr>
              <w:t>培训方案</w:t>
            </w:r>
          </w:p>
        </w:tc>
        <w:tc>
          <w:tcPr>
            <w:tcW w:w="6278" w:type="dxa"/>
            <w:noWrap w:val="0"/>
            <w:vAlign w:val="center"/>
          </w:tcPr>
          <w:p w14:paraId="7E6A6B3C">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根据投标人针对本项目对采购人的培训方案，包括①培训计划安排；②人员安排；③培训内容；④培训时间。以上每项最高得0.5分（打分范围：0.5</w:t>
            </w:r>
            <w:r>
              <w:rPr>
                <w:rFonts w:hint="eastAsia" w:ascii="宋体" w:hAnsi="宋体" w:eastAsia="宋体" w:cs="宋体"/>
                <w:b w:val="0"/>
                <w:bCs/>
                <w:color w:val="auto"/>
                <w:kern w:val="2"/>
                <w:sz w:val="24"/>
                <w:szCs w:val="24"/>
                <w:highlight w:val="none"/>
                <w:lang w:val="en-US" w:eastAsia="zh-CN" w:bidi="ar-SA"/>
              </w:rPr>
              <w:t>，0.4，0.3，...，0）</w:t>
            </w:r>
            <w:r>
              <w:rPr>
                <w:rFonts w:hint="eastAsia" w:ascii="宋体" w:hAnsi="宋体" w:eastAsia="宋体" w:cs="宋体"/>
                <w:color w:val="auto"/>
                <w:kern w:val="2"/>
                <w:sz w:val="24"/>
                <w:szCs w:val="24"/>
                <w:highlight w:val="none"/>
                <w:lang w:val="en-US" w:eastAsia="zh-CN" w:bidi="ar-SA"/>
              </w:rPr>
              <w:t>，本项最高得2分。</w:t>
            </w:r>
          </w:p>
        </w:tc>
        <w:tc>
          <w:tcPr>
            <w:tcW w:w="1005" w:type="dxa"/>
            <w:noWrap w:val="0"/>
            <w:vAlign w:val="center"/>
          </w:tcPr>
          <w:p w14:paraId="76FA405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w:t>
            </w:r>
          </w:p>
        </w:tc>
      </w:tr>
      <w:tr w14:paraId="7114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0"/>
            <w:vAlign w:val="center"/>
          </w:tcPr>
          <w:p w14:paraId="0472BD3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364" w:type="dxa"/>
            <w:noWrap w:val="0"/>
            <w:vAlign w:val="center"/>
          </w:tcPr>
          <w:p w14:paraId="724C3FBF">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质保期</w:t>
            </w:r>
          </w:p>
        </w:tc>
        <w:tc>
          <w:tcPr>
            <w:tcW w:w="6278" w:type="dxa"/>
            <w:noWrap w:val="0"/>
            <w:vAlign w:val="center"/>
          </w:tcPr>
          <w:p w14:paraId="46FCBDE0">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1.电梯整机</w:t>
            </w:r>
            <w:r>
              <w:rPr>
                <w:rFonts w:hint="eastAsia" w:ascii="宋体" w:hAnsi="宋体" w:eastAsia="宋体" w:cs="宋体"/>
                <w:color w:val="auto"/>
                <w:kern w:val="2"/>
                <w:sz w:val="24"/>
                <w:szCs w:val="24"/>
                <w:highlight w:val="none"/>
                <w:lang w:val="en-US" w:eastAsia="zh-CN" w:bidi="ar-SA"/>
              </w:rPr>
              <w:t>质保期在满足招标文件（2年）的基础上每增加一年得1.5分，最高得3分。提供承诺函。</w:t>
            </w:r>
          </w:p>
          <w:p w14:paraId="372DB55C">
            <w:pPr>
              <w:keepNext w:val="0"/>
              <w:keepLines w:val="0"/>
              <w:pageBreakBefore w:val="0"/>
              <w:numPr>
                <w:ilvl w:val="0"/>
                <w:numId w:val="0"/>
              </w:numPr>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2.电梯核心部件（门机、控制柜、曳引机、限速器、安全钳）质保期在5年及以上得1分，10年及以上得2分。提供承诺函。</w:t>
            </w:r>
          </w:p>
        </w:tc>
        <w:tc>
          <w:tcPr>
            <w:tcW w:w="1005" w:type="dxa"/>
            <w:noWrap w:val="0"/>
            <w:vAlign w:val="center"/>
          </w:tcPr>
          <w:p w14:paraId="67D2E5C4">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w:t>
            </w:r>
          </w:p>
        </w:tc>
      </w:tr>
      <w:tr w14:paraId="5210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0"/>
            <w:vAlign w:val="center"/>
          </w:tcPr>
          <w:p w14:paraId="11F80BF3">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1364" w:type="dxa"/>
            <w:vMerge w:val="restart"/>
            <w:noWrap w:val="0"/>
            <w:vAlign w:val="center"/>
          </w:tcPr>
          <w:p w14:paraId="351748C0">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售后服务</w:t>
            </w:r>
          </w:p>
        </w:tc>
        <w:tc>
          <w:tcPr>
            <w:tcW w:w="6278" w:type="dxa"/>
            <w:noWrap w:val="0"/>
            <w:vAlign w:val="center"/>
          </w:tcPr>
          <w:p w14:paraId="38DA4BF7">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根据投标人提供的售后维保方案综合评分，包括①维修服务网点相关信息；②维保队伍安排；③响应时间、一般故障/重大故障修复时间；④</w:t>
            </w:r>
            <w:r>
              <w:rPr>
                <w:rFonts w:hint="eastAsia" w:ascii="宋体" w:hAnsi="宋体" w:eastAsia="宋体" w:cs="宋体"/>
                <w:bCs/>
                <w:color w:val="auto"/>
                <w:spacing w:val="5"/>
                <w:sz w:val="24"/>
                <w:szCs w:val="24"/>
                <w:highlight w:val="none"/>
              </w:rPr>
              <w:t>日常保养</w:t>
            </w:r>
            <w:r>
              <w:rPr>
                <w:rFonts w:hint="eastAsia" w:ascii="宋体" w:hAnsi="宋体" w:eastAsia="宋体" w:cs="宋体"/>
                <w:bCs/>
                <w:color w:val="auto"/>
                <w:spacing w:val="5"/>
                <w:sz w:val="24"/>
                <w:szCs w:val="24"/>
                <w:highlight w:val="none"/>
                <w:lang w:val="en-US" w:eastAsia="zh-CN"/>
              </w:rPr>
              <w:t>及定期检查；</w:t>
            </w:r>
            <w:r>
              <w:rPr>
                <w:rFonts w:hint="eastAsia" w:ascii="宋体" w:hAnsi="宋体" w:eastAsia="宋体" w:cs="宋体"/>
                <w:color w:val="auto"/>
                <w:kern w:val="2"/>
                <w:sz w:val="24"/>
                <w:szCs w:val="24"/>
                <w:highlight w:val="none"/>
                <w:lang w:val="en-US" w:eastAsia="zh-CN" w:bidi="ar-SA"/>
              </w:rPr>
              <w:t>⑤回访方案。以上每项最高得1分（打分范围：1</w:t>
            </w:r>
            <w:r>
              <w:rPr>
                <w:rFonts w:hint="eastAsia" w:ascii="宋体" w:hAnsi="宋体" w:eastAsia="宋体" w:cs="宋体"/>
                <w:b w:val="0"/>
                <w:bCs/>
                <w:color w:val="auto"/>
                <w:kern w:val="2"/>
                <w:sz w:val="24"/>
                <w:szCs w:val="24"/>
                <w:highlight w:val="none"/>
                <w:lang w:val="en-US" w:eastAsia="zh-CN" w:bidi="ar-SA"/>
              </w:rPr>
              <w:t>，0.8，0.6，...，0）</w:t>
            </w:r>
            <w:r>
              <w:rPr>
                <w:rFonts w:hint="eastAsia" w:ascii="宋体" w:hAnsi="宋体" w:eastAsia="宋体" w:cs="宋体"/>
                <w:color w:val="auto"/>
                <w:kern w:val="2"/>
                <w:sz w:val="24"/>
                <w:szCs w:val="24"/>
                <w:highlight w:val="none"/>
                <w:lang w:val="en-US" w:eastAsia="zh-CN" w:bidi="ar-SA"/>
              </w:rPr>
              <w:t>，本项最高得5分。</w:t>
            </w:r>
          </w:p>
        </w:tc>
        <w:tc>
          <w:tcPr>
            <w:tcW w:w="1005" w:type="dxa"/>
            <w:noWrap w:val="0"/>
            <w:vAlign w:val="center"/>
          </w:tcPr>
          <w:p w14:paraId="50893F92">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w:t>
            </w:r>
          </w:p>
        </w:tc>
      </w:tr>
      <w:tr w14:paraId="29F8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17" w:type="dxa"/>
            <w:vMerge w:val="continue"/>
            <w:noWrap w:val="0"/>
            <w:vAlign w:val="center"/>
          </w:tcPr>
          <w:p w14:paraId="1A65E13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64" w:type="dxa"/>
            <w:vMerge w:val="continue"/>
            <w:noWrap w:val="0"/>
            <w:vAlign w:val="center"/>
          </w:tcPr>
          <w:p w14:paraId="69953674">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6278" w:type="dxa"/>
            <w:noWrap w:val="0"/>
            <w:vAlign w:val="center"/>
          </w:tcPr>
          <w:p w14:paraId="5FA9AEEA">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产品相关配件、附件、备品备件及耗材的准备和保障措施（打分范围：2</w:t>
            </w:r>
            <w:r>
              <w:rPr>
                <w:rFonts w:hint="eastAsia" w:ascii="宋体" w:hAnsi="宋体" w:eastAsia="宋体" w:cs="宋体"/>
                <w:b w:val="0"/>
                <w:bCs/>
                <w:color w:val="auto"/>
                <w:kern w:val="2"/>
                <w:sz w:val="24"/>
                <w:szCs w:val="24"/>
                <w:highlight w:val="none"/>
                <w:lang w:val="en-US" w:eastAsia="zh-CN" w:bidi="ar-SA"/>
              </w:rPr>
              <w:t>，1.8，1.6，...，0</w:t>
            </w:r>
            <w:r>
              <w:rPr>
                <w:rFonts w:hint="eastAsia" w:ascii="宋体" w:hAnsi="宋体" w:eastAsia="宋体" w:cs="宋体"/>
                <w:color w:val="auto"/>
                <w:kern w:val="2"/>
                <w:sz w:val="24"/>
                <w:szCs w:val="24"/>
                <w:highlight w:val="none"/>
                <w:lang w:val="en-US" w:eastAsia="zh-CN" w:bidi="ar-SA"/>
              </w:rPr>
              <w:t>）。</w:t>
            </w:r>
          </w:p>
        </w:tc>
        <w:tc>
          <w:tcPr>
            <w:tcW w:w="1005" w:type="dxa"/>
            <w:noWrap w:val="0"/>
            <w:vAlign w:val="center"/>
          </w:tcPr>
          <w:p w14:paraId="74284B87">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w:t>
            </w:r>
          </w:p>
        </w:tc>
      </w:tr>
      <w:tr w14:paraId="7A29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7" w:type="dxa"/>
            <w:vMerge w:val="continue"/>
            <w:noWrap w:val="0"/>
            <w:vAlign w:val="center"/>
          </w:tcPr>
          <w:p w14:paraId="02D354F9">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64" w:type="dxa"/>
            <w:vMerge w:val="continue"/>
            <w:noWrap w:val="0"/>
            <w:vAlign w:val="center"/>
          </w:tcPr>
          <w:p w14:paraId="4BBD5DA6">
            <w:pPr>
              <w:keepNext w:val="0"/>
              <w:keepLines w:val="0"/>
              <w:pageBreakBefore w:val="0"/>
              <w:kinsoku/>
              <w:wordWrap w:val="0"/>
              <w:overflowPunct/>
              <w:topLinePunct w:val="0"/>
              <w:bidi w:val="0"/>
              <w:spacing w:line="5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6278" w:type="dxa"/>
            <w:noWrap w:val="0"/>
            <w:vAlign w:val="center"/>
          </w:tcPr>
          <w:p w14:paraId="7CAADEF6">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使用成本因素，提供质保期满后5年内所有电梯维修保养费用，列明小包费用和大包费用（不计算总报价）。根据所列大小包费用进行评分（打分范围：2</w:t>
            </w:r>
            <w:r>
              <w:rPr>
                <w:rFonts w:hint="eastAsia" w:ascii="宋体" w:hAnsi="宋体" w:eastAsia="宋体" w:cs="宋体"/>
                <w:b w:val="0"/>
                <w:bCs/>
                <w:color w:val="auto"/>
                <w:kern w:val="2"/>
                <w:sz w:val="24"/>
                <w:szCs w:val="24"/>
                <w:highlight w:val="none"/>
                <w:lang w:val="en-US" w:eastAsia="zh-CN" w:bidi="ar-SA"/>
              </w:rPr>
              <w:t>，1.8，1.6，...0</w:t>
            </w:r>
            <w:r>
              <w:rPr>
                <w:rFonts w:hint="eastAsia" w:ascii="宋体" w:hAnsi="宋体" w:eastAsia="宋体" w:cs="宋体"/>
                <w:color w:val="auto"/>
                <w:kern w:val="2"/>
                <w:sz w:val="24"/>
                <w:szCs w:val="24"/>
                <w:highlight w:val="none"/>
                <w:lang w:val="en-US" w:eastAsia="zh-CN" w:bidi="ar-SA"/>
              </w:rPr>
              <w:t>）。</w:t>
            </w:r>
          </w:p>
        </w:tc>
        <w:tc>
          <w:tcPr>
            <w:tcW w:w="1005" w:type="dxa"/>
            <w:noWrap w:val="0"/>
            <w:vAlign w:val="center"/>
          </w:tcPr>
          <w:p w14:paraId="43A16788">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w:t>
            </w:r>
          </w:p>
        </w:tc>
      </w:tr>
    </w:tbl>
    <w:p w14:paraId="04B1B38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iCs/>
          <w:color w:val="auto"/>
          <w:sz w:val="24"/>
          <w:highlight w:val="none"/>
        </w:rPr>
      </w:pPr>
      <w:r>
        <w:rPr>
          <w:rFonts w:hint="eastAsia" w:asciiTheme="minorEastAsia" w:hAnsiTheme="minorEastAsia" w:eastAsiaTheme="minorEastAsia" w:cstheme="minorEastAsia"/>
          <w:b/>
          <w:bCs/>
          <w:color w:val="auto"/>
          <w:sz w:val="24"/>
          <w:szCs w:val="24"/>
          <w:highlight w:val="none"/>
          <w:shd w:val="clear" w:color="auto" w:fill="FFFFFF"/>
          <w:lang w:val="en-US" w:eastAsia="zh-CN"/>
        </w:rPr>
        <w:t>注：商务技术分低于42分的（商务技术分的60%），视为采购人不能接受的附加条件。</w:t>
      </w:r>
    </w:p>
    <w:p w14:paraId="6AC31E44">
      <w:pPr>
        <w:spacing w:line="440" w:lineRule="exact"/>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2.2价格分（</w:t>
      </w:r>
      <w:r>
        <w:rPr>
          <w:rFonts w:hint="eastAsia" w:ascii="宋体" w:hAnsi="宋体" w:cs="宋体"/>
          <w:b/>
          <w:bCs/>
          <w:iCs/>
          <w:color w:val="auto"/>
          <w:sz w:val="24"/>
          <w:highlight w:val="none"/>
          <w:lang w:val="en-US" w:eastAsia="zh-CN"/>
        </w:rPr>
        <w:t>3</w:t>
      </w:r>
      <w:r>
        <w:rPr>
          <w:rFonts w:hint="eastAsia" w:ascii="宋体" w:hAnsi="宋体" w:eastAsia="宋体" w:cs="宋体"/>
          <w:b/>
          <w:bCs/>
          <w:iCs/>
          <w:color w:val="auto"/>
          <w:sz w:val="24"/>
          <w:highlight w:val="none"/>
        </w:rPr>
        <w:t>0分）</w:t>
      </w:r>
    </w:p>
    <w:p w14:paraId="7F76F5BA">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2.2.1评标基准价：即满足招标文件要求且投标价格最低的投标报价为评标基准价，其价格分为满分。</w:t>
      </w:r>
    </w:p>
    <w:p w14:paraId="31211E53">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2.2.2其他投标人的价格分统一按照下列公式计算：</w:t>
      </w:r>
    </w:p>
    <w:p w14:paraId="77CB0291">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投标报价得分=(评标基准价／投标报价)×价格权值×100</w:t>
      </w:r>
    </w:p>
    <w:p w14:paraId="467D021A">
      <w:pPr>
        <w:spacing w:line="440" w:lineRule="exact"/>
        <w:ind w:firstLine="472" w:firstLineChars="196"/>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CBE81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color w:val="auto"/>
          <w:sz w:val="36"/>
          <w:szCs w:val="36"/>
          <w:highlight w:val="none"/>
        </w:rPr>
      </w:pPr>
      <w:r>
        <w:rPr>
          <w:rFonts w:hint="eastAsia" w:ascii="宋体" w:hAnsi="宋体" w:eastAsia="宋体" w:cs="宋体"/>
          <w:b w:val="0"/>
          <w:bCs/>
          <w:color w:val="auto"/>
          <w:sz w:val="24"/>
          <w:szCs w:val="24"/>
          <w:highlight w:val="none"/>
          <w:lang w:val="en-US" w:eastAsia="zh-CN"/>
        </w:rPr>
        <w:t>本项目设风险控制价，风险控制价为预算价的80%（即</w:t>
      </w:r>
      <w:r>
        <w:rPr>
          <w:rFonts w:hint="eastAsia" w:ascii="宋体" w:hAnsi="宋体" w:cs="宋体"/>
          <w:b w:val="0"/>
          <w:bCs/>
          <w:color w:val="auto"/>
          <w:sz w:val="24"/>
          <w:szCs w:val="24"/>
          <w:highlight w:val="none"/>
          <w:lang w:val="en-US" w:eastAsia="zh-CN"/>
        </w:rPr>
        <w:t>2568000</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Cs/>
          <w:iCs/>
          <w:color w:val="auto"/>
          <w:sz w:val="24"/>
          <w:highlight w:val="none"/>
        </w:rPr>
        <w:t>，若中标人低于该风险控制价中标的，中标人必须额外补交中标价净值与风险控制价之差额，中标人不提交的视为放弃中标。</w:t>
      </w:r>
      <w:r>
        <w:rPr>
          <w:rFonts w:hint="eastAsia" w:ascii="宋体" w:hAnsi="宋体" w:eastAsia="宋体" w:cs="宋体"/>
          <w:bCs/>
          <w:iCs/>
          <w:color w:val="auto"/>
          <w:sz w:val="24"/>
          <w:highlight w:val="none"/>
          <w:lang w:val="en-US" w:eastAsia="zh-CN"/>
        </w:rPr>
        <w:t>差额</w:t>
      </w:r>
      <w:r>
        <w:rPr>
          <w:rFonts w:hint="eastAsia" w:ascii="宋体" w:hAnsi="宋体" w:eastAsia="宋体" w:cs="宋体"/>
          <w:bCs/>
          <w:iCs/>
          <w:color w:val="auto"/>
          <w:sz w:val="24"/>
          <w:highlight w:val="none"/>
        </w:rPr>
        <w:t>保证金</w:t>
      </w:r>
      <w:r>
        <w:rPr>
          <w:rFonts w:hint="eastAsia" w:ascii="宋体" w:hAnsi="宋体" w:eastAsia="宋体" w:cs="宋体"/>
          <w:bCs/>
          <w:iCs/>
          <w:color w:val="auto"/>
          <w:sz w:val="24"/>
          <w:highlight w:val="none"/>
          <w:lang w:val="en-US" w:eastAsia="zh-CN"/>
        </w:rPr>
        <w:t>在质保期满后30天</w:t>
      </w:r>
      <w:r>
        <w:rPr>
          <w:rFonts w:hint="eastAsia" w:ascii="宋体" w:hAnsi="宋体" w:eastAsia="宋体" w:cs="宋体"/>
          <w:bCs/>
          <w:iCs/>
          <w:color w:val="auto"/>
          <w:sz w:val="24"/>
          <w:highlight w:val="none"/>
        </w:rPr>
        <w:t>内无息退还。（</w:t>
      </w:r>
      <w:r>
        <w:rPr>
          <w:rFonts w:hint="eastAsia" w:ascii="宋体" w:hAnsi="宋体" w:eastAsia="宋体" w:cs="宋体"/>
          <w:bCs/>
          <w:iCs/>
          <w:color w:val="auto"/>
          <w:sz w:val="24"/>
          <w:highlight w:val="none"/>
          <w:lang w:val="en-US" w:eastAsia="zh-CN"/>
        </w:rPr>
        <w:t>差额</w:t>
      </w:r>
      <w:r>
        <w:rPr>
          <w:rFonts w:hint="eastAsia" w:ascii="宋体" w:hAnsi="宋体" w:eastAsia="宋体" w:cs="宋体"/>
          <w:bCs/>
          <w:iCs/>
          <w:color w:val="auto"/>
          <w:sz w:val="24"/>
          <w:highlight w:val="none"/>
        </w:rPr>
        <w:t>保证金应在中标通知书发出后10个工作日内交至采购单位，以现金、电汇、转账方式交纳。)</w:t>
      </w:r>
    </w:p>
    <w:p w14:paraId="7EF89CA6">
      <w:pPr>
        <w:jc w:val="center"/>
        <w:rPr>
          <w:rFonts w:hint="eastAsia" w:ascii="仿宋" w:hAnsi="仿宋" w:eastAsia="仿宋" w:cs="仿宋"/>
          <w:b/>
          <w:color w:val="auto"/>
          <w:sz w:val="36"/>
          <w:szCs w:val="36"/>
          <w:highlight w:val="none"/>
        </w:rPr>
      </w:pPr>
    </w:p>
    <w:p w14:paraId="3082BD68">
      <w:pPr>
        <w:pStyle w:val="2"/>
        <w:rPr>
          <w:rFonts w:hint="eastAsia"/>
          <w:color w:val="auto"/>
        </w:rPr>
      </w:pPr>
    </w:p>
    <w:p w14:paraId="4BB98CC1">
      <w:pPr>
        <w:rPr>
          <w:rFonts w:hint="eastAsia"/>
          <w:color w:val="auto"/>
        </w:rPr>
      </w:pPr>
    </w:p>
    <w:p w14:paraId="43B70273">
      <w:pPr>
        <w:pStyle w:val="2"/>
        <w:rPr>
          <w:rFonts w:hint="eastAsia"/>
          <w:color w:val="auto"/>
        </w:rPr>
      </w:pPr>
    </w:p>
    <w:p w14:paraId="756D7CD2">
      <w:pPr>
        <w:rPr>
          <w:rFonts w:hint="eastAsia"/>
          <w:color w:val="auto"/>
        </w:rPr>
      </w:pPr>
    </w:p>
    <w:p w14:paraId="470FC601">
      <w:pPr>
        <w:spacing w:line="480" w:lineRule="auto"/>
        <w:jc w:val="both"/>
        <w:rPr>
          <w:rFonts w:hint="eastAsia" w:ascii="仿宋" w:hAnsi="仿宋" w:eastAsia="仿宋" w:cs="仿宋"/>
          <w:b/>
          <w:color w:val="auto"/>
          <w:sz w:val="36"/>
          <w:szCs w:val="36"/>
          <w:highlight w:val="none"/>
        </w:rPr>
      </w:pPr>
    </w:p>
    <w:p w14:paraId="035B2A97">
      <w:pPr>
        <w:pStyle w:val="2"/>
        <w:rPr>
          <w:rFonts w:hint="eastAsia" w:ascii="仿宋" w:hAnsi="仿宋" w:eastAsia="仿宋" w:cs="仿宋"/>
          <w:b/>
          <w:color w:val="auto"/>
          <w:sz w:val="36"/>
          <w:szCs w:val="36"/>
          <w:highlight w:val="none"/>
        </w:rPr>
      </w:pPr>
    </w:p>
    <w:p w14:paraId="4FDB9D97">
      <w:pPr>
        <w:rPr>
          <w:rFonts w:hint="eastAsia" w:ascii="仿宋" w:hAnsi="仿宋" w:eastAsia="仿宋" w:cs="仿宋"/>
          <w:b/>
          <w:color w:val="auto"/>
          <w:sz w:val="36"/>
          <w:szCs w:val="36"/>
          <w:highlight w:val="none"/>
        </w:rPr>
      </w:pPr>
    </w:p>
    <w:p w14:paraId="2916A343">
      <w:pPr>
        <w:pStyle w:val="2"/>
        <w:rPr>
          <w:rFonts w:hint="eastAsia" w:ascii="仿宋" w:hAnsi="仿宋" w:eastAsia="仿宋" w:cs="仿宋"/>
          <w:b/>
          <w:color w:val="auto"/>
          <w:sz w:val="36"/>
          <w:szCs w:val="36"/>
          <w:highlight w:val="none"/>
        </w:rPr>
      </w:pPr>
    </w:p>
    <w:p w14:paraId="7A1C5316">
      <w:pPr>
        <w:rPr>
          <w:rFonts w:hint="eastAsia" w:ascii="仿宋" w:hAnsi="仿宋" w:eastAsia="仿宋" w:cs="仿宋"/>
          <w:b/>
          <w:color w:val="auto"/>
          <w:sz w:val="36"/>
          <w:szCs w:val="36"/>
          <w:highlight w:val="none"/>
        </w:rPr>
      </w:pPr>
    </w:p>
    <w:p w14:paraId="402D2D60">
      <w:pPr>
        <w:pStyle w:val="2"/>
        <w:rPr>
          <w:rFonts w:hint="eastAsia"/>
          <w:color w:val="auto"/>
        </w:rPr>
      </w:pPr>
    </w:p>
    <w:p w14:paraId="74F3749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采购合同参考范本</w:t>
      </w:r>
    </w:p>
    <w:p w14:paraId="36B2380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1B13FA7F">
      <w:pPr>
        <w:pStyle w:val="127"/>
        <w:ind w:left="0" w:leftChars="0" w:firstLine="0" w:firstLineChars="0"/>
        <w:rPr>
          <w:rFonts w:hint="eastAsia" w:ascii="宋体" w:hAnsi="宋体" w:eastAsia="宋体" w:cs="宋体"/>
          <w:color w:val="auto"/>
          <w:szCs w:val="24"/>
          <w:highlight w:val="none"/>
        </w:rPr>
      </w:pPr>
    </w:p>
    <w:p w14:paraId="29F0EB45">
      <w:pPr>
        <w:pStyle w:val="127"/>
        <w:jc w:val="center"/>
        <w:rPr>
          <w:rFonts w:hint="eastAsia" w:ascii="宋体" w:hAnsi="宋体" w:eastAsia="宋体" w:cs="宋体"/>
          <w:color w:val="auto"/>
          <w:szCs w:val="24"/>
          <w:highlight w:val="none"/>
        </w:rPr>
      </w:pPr>
    </w:p>
    <w:p w14:paraId="1F436307">
      <w:pPr>
        <w:pStyle w:val="127"/>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w:t>
      </w:r>
      <w:r>
        <w:rPr>
          <w:rFonts w:hint="eastAsia" w:ascii="宋体" w:hAnsi="宋体" w:eastAsia="宋体" w:cs="宋体"/>
          <w:b/>
          <w:color w:val="auto"/>
          <w:szCs w:val="24"/>
          <w:highlight w:val="none"/>
          <w:lang w:val="en-US" w:eastAsia="zh-CN"/>
        </w:rPr>
        <w:t xml:space="preserve"> </w:t>
      </w:r>
      <w:r>
        <w:rPr>
          <w:rFonts w:hint="eastAsia" w:ascii="宋体" w:hAnsi="宋体" w:eastAsia="宋体" w:cs="宋体"/>
          <w:b/>
          <w:color w:val="auto"/>
          <w:szCs w:val="24"/>
          <w:highlight w:val="none"/>
        </w:rPr>
        <w:t>合同书</w:t>
      </w:r>
    </w:p>
    <w:p w14:paraId="76DDF43B">
      <w:pPr>
        <w:pStyle w:val="127"/>
        <w:rPr>
          <w:rFonts w:hint="eastAsia" w:ascii="宋体" w:hAnsi="宋体" w:eastAsia="宋体" w:cs="宋体"/>
          <w:color w:val="auto"/>
          <w:szCs w:val="24"/>
          <w:highlight w:val="none"/>
        </w:rPr>
      </w:pPr>
    </w:p>
    <w:p w14:paraId="4BF67DA0">
      <w:pPr>
        <w:pStyle w:val="127"/>
        <w:rPr>
          <w:rFonts w:hint="eastAsia" w:ascii="宋体" w:hAnsi="宋体" w:eastAsia="宋体" w:cs="宋体"/>
          <w:color w:val="auto"/>
          <w:szCs w:val="24"/>
          <w:highlight w:val="none"/>
        </w:rPr>
      </w:pPr>
    </w:p>
    <w:p w14:paraId="0F4E8A1E">
      <w:pPr>
        <w:spacing w:before="120" w:line="22" w:lineRule="atLeast"/>
        <w:rPr>
          <w:rFonts w:hint="eastAsia" w:ascii="宋体" w:hAnsi="宋体" w:eastAsia="宋体" w:cs="宋体"/>
          <w:color w:val="auto"/>
          <w:sz w:val="24"/>
          <w:highlight w:val="none"/>
        </w:rPr>
      </w:pPr>
    </w:p>
    <w:p w14:paraId="487E164E">
      <w:pPr>
        <w:spacing w:before="120" w:line="22" w:lineRule="atLeast"/>
        <w:ind w:left="96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E670204">
      <w:pPr>
        <w:pStyle w:val="128"/>
        <w:spacing w:before="120" w:line="22" w:lineRule="atLeast"/>
        <w:rPr>
          <w:rFonts w:hint="eastAsia" w:ascii="宋体" w:hAnsi="宋体" w:eastAsia="宋体" w:cs="宋体"/>
          <w:color w:val="auto"/>
          <w:szCs w:val="24"/>
          <w:highlight w:val="none"/>
        </w:rPr>
      </w:pPr>
    </w:p>
    <w:p w14:paraId="216A595E">
      <w:pPr>
        <w:pStyle w:val="128"/>
        <w:spacing w:before="120" w:line="22" w:lineRule="atLeast"/>
        <w:rPr>
          <w:rFonts w:hint="eastAsia" w:ascii="宋体" w:hAnsi="宋体" w:eastAsia="宋体" w:cs="宋体"/>
          <w:color w:val="auto"/>
          <w:szCs w:val="24"/>
          <w:highlight w:val="none"/>
        </w:rPr>
      </w:pPr>
    </w:p>
    <w:p w14:paraId="7B3973AE">
      <w:pPr>
        <w:rPr>
          <w:rFonts w:hint="eastAsia" w:ascii="宋体" w:hAnsi="宋体" w:eastAsia="宋体" w:cs="宋体"/>
          <w:color w:val="auto"/>
          <w:sz w:val="24"/>
          <w:highlight w:val="none"/>
        </w:rPr>
      </w:pPr>
    </w:p>
    <w:p w14:paraId="3ADAC9B5">
      <w:pP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14:paraId="02385AF8">
      <w:pPr>
        <w:spacing w:before="120" w:line="22" w:lineRule="atLeast"/>
        <w:rPr>
          <w:rFonts w:hint="eastAsia" w:ascii="宋体" w:hAnsi="宋体" w:eastAsia="宋体" w:cs="宋体"/>
          <w:color w:val="auto"/>
          <w:sz w:val="24"/>
          <w:highlight w:val="none"/>
        </w:rPr>
      </w:pPr>
    </w:p>
    <w:p w14:paraId="7D460F15">
      <w:pP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p>
    <w:p w14:paraId="6DB52CCF">
      <w:pPr>
        <w:spacing w:before="120" w:line="22" w:lineRule="atLeast"/>
        <w:rPr>
          <w:rFonts w:hint="eastAsia" w:ascii="宋体" w:hAnsi="宋体" w:eastAsia="宋体" w:cs="宋体"/>
          <w:color w:val="auto"/>
          <w:sz w:val="24"/>
          <w:highlight w:val="none"/>
        </w:rPr>
      </w:pPr>
    </w:p>
    <w:p w14:paraId="5C5A0607">
      <w:pP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p>
    <w:p w14:paraId="38DCB31E">
      <w:pPr>
        <w:spacing w:before="120" w:line="22" w:lineRule="atLeast"/>
        <w:rPr>
          <w:rFonts w:hint="eastAsia" w:ascii="宋体" w:hAnsi="宋体" w:eastAsia="宋体" w:cs="宋体"/>
          <w:color w:val="auto"/>
          <w:sz w:val="24"/>
          <w:highlight w:val="none"/>
        </w:rPr>
      </w:pPr>
    </w:p>
    <w:p w14:paraId="3029ECCC">
      <w:pP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8B96346">
      <w:pPr>
        <w:widowControl/>
        <w:jc w:val="left"/>
        <w:rPr>
          <w:rFonts w:hint="eastAsia" w:ascii="宋体" w:hAnsi="宋体" w:eastAsia="宋体" w:cs="宋体"/>
          <w:color w:val="auto"/>
          <w:kern w:val="0"/>
          <w:sz w:val="24"/>
          <w:highlight w:val="none"/>
        </w:rPr>
        <w:sectPr>
          <w:pgSz w:w="11907" w:h="16840"/>
          <w:pgMar w:top="1814" w:right="1474" w:bottom="1814" w:left="1474" w:header="851" w:footer="851" w:gutter="0"/>
          <w:pgNumType w:fmt="decimal"/>
          <w:cols w:space="720" w:num="1"/>
        </w:sectPr>
      </w:pPr>
    </w:p>
    <w:p w14:paraId="636D6AC4">
      <w:pPr>
        <w:pageBreakBefore w:val="0"/>
        <w:kinsoku/>
        <w:wordWrap/>
        <w:overflowPunct/>
        <w:topLinePunct w:val="0"/>
        <w:bidi w:val="0"/>
        <w:snapToGri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年月日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为该项目中标或者成交供应商，按照采购文件等确定的事项签订本合同。</w:t>
      </w:r>
    </w:p>
    <w:p w14:paraId="4ACDA208">
      <w:pPr>
        <w:pageBreakBefore w:val="0"/>
        <w:kinsoku/>
        <w:wordWrap/>
        <w:overflowPunct/>
        <w:topLinePunct w:val="0"/>
        <w:bidi w:val="0"/>
        <w:snapToGri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根据《中华人民共和国民法典》等相关法律法规之规定，按照平等、自愿、公平、诚实信用</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zh-CN"/>
        </w:rPr>
        <w:t>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389CBD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color w:val="auto"/>
          <w:sz w:val="24"/>
          <w:highlight w:val="none"/>
        </w:rPr>
      </w:pPr>
      <w:bookmarkStart w:id="34" w:name="_Toc19273"/>
      <w:bookmarkStart w:id="35" w:name="_Toc28855"/>
      <w:bookmarkStart w:id="36" w:name="_Toc20421"/>
      <w:bookmarkStart w:id="37" w:name="_Toc15367"/>
      <w:bookmarkStart w:id="38" w:name="_Toc22967"/>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合同组成部分</w:t>
      </w:r>
      <w:bookmarkEnd w:id="34"/>
      <w:bookmarkEnd w:id="35"/>
      <w:bookmarkEnd w:id="36"/>
      <w:bookmarkEnd w:id="37"/>
      <w:bookmarkEnd w:id="38"/>
    </w:p>
    <w:p w14:paraId="10A3EEA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152FE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1.本合同及其补充合同、变更协议；</w:t>
      </w:r>
    </w:p>
    <w:p w14:paraId="2EFE71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中标或者成交通知书；</w:t>
      </w:r>
    </w:p>
    <w:p w14:paraId="44B2532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投标或者响应文件（含澄清或者说明文件）；</w:t>
      </w:r>
    </w:p>
    <w:p w14:paraId="4CFE6B3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采购文件（含澄清或者修改文件）；</w:t>
      </w:r>
    </w:p>
    <w:p w14:paraId="2F0EDF2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其他相关采购文件。</w:t>
      </w:r>
    </w:p>
    <w:p w14:paraId="69931BF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二、采购清单及合同价格</w:t>
      </w:r>
    </w:p>
    <w:tbl>
      <w:tblPr>
        <w:tblStyle w:val="3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78"/>
        <w:gridCol w:w="1467"/>
        <w:gridCol w:w="1485"/>
        <w:gridCol w:w="1365"/>
        <w:gridCol w:w="1263"/>
      </w:tblGrid>
      <w:tr w14:paraId="5C6A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24" w:type="dxa"/>
            <w:noWrap w:val="0"/>
            <w:vAlign w:val="center"/>
          </w:tcPr>
          <w:p w14:paraId="49CAEB4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1978" w:type="dxa"/>
            <w:noWrap w:val="0"/>
            <w:vAlign w:val="center"/>
          </w:tcPr>
          <w:p w14:paraId="4DF63771">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货物名称</w:t>
            </w:r>
          </w:p>
        </w:tc>
        <w:tc>
          <w:tcPr>
            <w:tcW w:w="1467" w:type="dxa"/>
            <w:noWrap w:val="0"/>
            <w:vAlign w:val="center"/>
          </w:tcPr>
          <w:p w14:paraId="1B18584F">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产地/品牌</w:t>
            </w:r>
          </w:p>
        </w:tc>
        <w:tc>
          <w:tcPr>
            <w:tcW w:w="1485" w:type="dxa"/>
            <w:noWrap w:val="0"/>
            <w:vAlign w:val="center"/>
          </w:tcPr>
          <w:p w14:paraId="26768C53">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365" w:type="dxa"/>
            <w:noWrap w:val="0"/>
            <w:vAlign w:val="center"/>
          </w:tcPr>
          <w:p w14:paraId="7823703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结算</w:t>
            </w:r>
            <w:r>
              <w:rPr>
                <w:rFonts w:hint="eastAsia" w:ascii="宋体" w:hAnsi="宋体" w:eastAsia="宋体" w:cs="宋体"/>
                <w:color w:val="auto"/>
                <w:sz w:val="24"/>
                <w:szCs w:val="24"/>
                <w:highlight w:val="none"/>
                <w:shd w:val="clear" w:color="auto" w:fill="auto"/>
              </w:rPr>
              <w:t>单价</w:t>
            </w:r>
          </w:p>
        </w:tc>
        <w:tc>
          <w:tcPr>
            <w:tcW w:w="1263" w:type="dxa"/>
            <w:noWrap w:val="0"/>
            <w:vAlign w:val="center"/>
          </w:tcPr>
          <w:p w14:paraId="2F116329">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备注</w:t>
            </w:r>
          </w:p>
        </w:tc>
      </w:tr>
      <w:tr w14:paraId="5F59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3488BE8F">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978" w:type="dxa"/>
            <w:noWrap w:val="0"/>
            <w:vAlign w:val="center"/>
          </w:tcPr>
          <w:p w14:paraId="527BF878">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c>
          <w:tcPr>
            <w:tcW w:w="1467" w:type="dxa"/>
            <w:noWrap w:val="0"/>
            <w:vAlign w:val="center"/>
          </w:tcPr>
          <w:p w14:paraId="484713DA">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auto"/>
                <w:sz w:val="24"/>
                <w:szCs w:val="24"/>
                <w:highlight w:val="none"/>
                <w:shd w:val="clear" w:color="auto" w:fill="auto"/>
              </w:rPr>
            </w:pPr>
          </w:p>
        </w:tc>
        <w:tc>
          <w:tcPr>
            <w:tcW w:w="1485" w:type="dxa"/>
            <w:noWrap w:val="0"/>
            <w:vAlign w:val="center"/>
          </w:tcPr>
          <w:p w14:paraId="6AB70872">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auto"/>
                <w:sz w:val="24"/>
                <w:szCs w:val="24"/>
                <w:highlight w:val="none"/>
                <w:shd w:val="clear" w:color="auto" w:fill="auto"/>
              </w:rPr>
            </w:pPr>
          </w:p>
        </w:tc>
        <w:tc>
          <w:tcPr>
            <w:tcW w:w="1365" w:type="dxa"/>
            <w:noWrap w:val="0"/>
            <w:vAlign w:val="center"/>
          </w:tcPr>
          <w:p w14:paraId="677959A7">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c>
          <w:tcPr>
            <w:tcW w:w="1263" w:type="dxa"/>
            <w:tcBorders>
              <w:bottom w:val="single" w:color="auto" w:sz="4" w:space="0"/>
            </w:tcBorders>
            <w:noWrap w:val="0"/>
            <w:vAlign w:val="center"/>
          </w:tcPr>
          <w:p w14:paraId="5CB27BB8">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r>
      <w:tr w14:paraId="560B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0F4F84D1">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978" w:type="dxa"/>
            <w:noWrap w:val="0"/>
            <w:vAlign w:val="center"/>
          </w:tcPr>
          <w:p w14:paraId="37870186">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c>
          <w:tcPr>
            <w:tcW w:w="1467" w:type="dxa"/>
            <w:noWrap w:val="0"/>
            <w:vAlign w:val="center"/>
          </w:tcPr>
          <w:p w14:paraId="783ADBA9">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auto"/>
                <w:sz w:val="24"/>
                <w:szCs w:val="24"/>
                <w:highlight w:val="none"/>
                <w:shd w:val="clear" w:color="auto" w:fill="auto"/>
              </w:rPr>
            </w:pPr>
          </w:p>
        </w:tc>
        <w:tc>
          <w:tcPr>
            <w:tcW w:w="1485" w:type="dxa"/>
            <w:noWrap w:val="0"/>
            <w:vAlign w:val="center"/>
          </w:tcPr>
          <w:p w14:paraId="4A58B46D">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auto"/>
                <w:sz w:val="24"/>
                <w:szCs w:val="24"/>
                <w:highlight w:val="none"/>
                <w:shd w:val="clear" w:color="auto" w:fill="auto"/>
              </w:rPr>
            </w:pPr>
          </w:p>
        </w:tc>
        <w:tc>
          <w:tcPr>
            <w:tcW w:w="1365" w:type="dxa"/>
            <w:noWrap w:val="0"/>
            <w:vAlign w:val="center"/>
          </w:tcPr>
          <w:p w14:paraId="76CDC8FB">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c>
          <w:tcPr>
            <w:tcW w:w="1263" w:type="dxa"/>
            <w:noWrap w:val="0"/>
            <w:vAlign w:val="center"/>
          </w:tcPr>
          <w:p w14:paraId="032F5967">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r>
      <w:tr w14:paraId="2447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224" w:type="dxa"/>
            <w:noWrap w:val="0"/>
            <w:vAlign w:val="center"/>
          </w:tcPr>
          <w:p w14:paraId="545A8F86">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c>
          <w:tcPr>
            <w:tcW w:w="1978" w:type="dxa"/>
            <w:noWrap w:val="0"/>
            <w:vAlign w:val="center"/>
          </w:tcPr>
          <w:p w14:paraId="18576E07">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c>
          <w:tcPr>
            <w:tcW w:w="1467" w:type="dxa"/>
            <w:noWrap w:val="0"/>
            <w:vAlign w:val="center"/>
          </w:tcPr>
          <w:p w14:paraId="4C3F6F59">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auto"/>
                <w:sz w:val="24"/>
                <w:szCs w:val="24"/>
                <w:highlight w:val="none"/>
                <w:shd w:val="clear" w:color="auto" w:fill="auto"/>
              </w:rPr>
            </w:pPr>
          </w:p>
        </w:tc>
        <w:tc>
          <w:tcPr>
            <w:tcW w:w="1485" w:type="dxa"/>
            <w:noWrap w:val="0"/>
            <w:vAlign w:val="center"/>
          </w:tcPr>
          <w:p w14:paraId="4128CC0A">
            <w:pPr>
              <w:keepNext w:val="0"/>
              <w:keepLines w:val="0"/>
              <w:pageBreakBefore w:val="0"/>
              <w:widowControl w:val="0"/>
              <w:tabs>
                <w:tab w:val="left" w:pos="180"/>
              </w:tabs>
              <w:kinsoku/>
              <w:wordWrap/>
              <w:overflowPunct/>
              <w:topLinePunct w:val="0"/>
              <w:autoSpaceDE/>
              <w:autoSpaceDN/>
              <w:bidi w:val="0"/>
              <w:spacing w:line="360" w:lineRule="auto"/>
              <w:ind w:firstLine="0" w:firstLineChars="0"/>
              <w:textAlignment w:val="auto"/>
              <w:outlineLvl w:val="9"/>
              <w:rPr>
                <w:rFonts w:hint="eastAsia" w:ascii="宋体" w:hAnsi="宋体" w:eastAsia="宋体" w:cs="宋体"/>
                <w:color w:val="auto"/>
                <w:sz w:val="24"/>
                <w:szCs w:val="24"/>
                <w:highlight w:val="none"/>
                <w:shd w:val="clear" w:color="auto" w:fill="auto"/>
              </w:rPr>
            </w:pPr>
          </w:p>
        </w:tc>
        <w:tc>
          <w:tcPr>
            <w:tcW w:w="1365" w:type="dxa"/>
            <w:noWrap w:val="0"/>
            <w:vAlign w:val="center"/>
          </w:tcPr>
          <w:p w14:paraId="7058702C">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c>
          <w:tcPr>
            <w:tcW w:w="1263" w:type="dxa"/>
            <w:noWrap w:val="0"/>
            <w:vAlign w:val="center"/>
          </w:tcPr>
          <w:p w14:paraId="337DC244">
            <w:pPr>
              <w:keepNext w:val="0"/>
              <w:keepLines w:val="0"/>
              <w:pageBreakBefore w:val="0"/>
              <w:widowControl w:val="0"/>
              <w:tabs>
                <w:tab w:val="left" w:pos="180"/>
              </w:tabs>
              <w:kinsoku/>
              <w:wordWrap/>
              <w:overflowPunct/>
              <w:topLinePunct w:val="0"/>
              <w:autoSpaceDE/>
              <w:autoSpaceDN/>
              <w:bidi w:val="0"/>
              <w:spacing w:line="360" w:lineRule="auto"/>
              <w:ind w:firstLine="0" w:firstLineChars="0"/>
              <w:jc w:val="center"/>
              <w:textAlignment w:val="auto"/>
              <w:outlineLvl w:val="9"/>
              <w:rPr>
                <w:rFonts w:hint="eastAsia" w:ascii="宋体" w:hAnsi="宋体" w:eastAsia="宋体" w:cs="宋体"/>
                <w:color w:val="auto"/>
                <w:sz w:val="24"/>
                <w:szCs w:val="24"/>
                <w:highlight w:val="none"/>
                <w:shd w:val="clear" w:color="auto" w:fill="auto"/>
              </w:rPr>
            </w:pPr>
          </w:p>
        </w:tc>
      </w:tr>
    </w:tbl>
    <w:p w14:paraId="06FA544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bookmarkStart w:id="39" w:name="_Toc10340"/>
      <w:bookmarkStart w:id="40" w:name="_Toc22618"/>
      <w:bookmarkStart w:id="41" w:name="_Toc1814"/>
      <w:bookmarkStart w:id="42" w:name="_Toc3625"/>
      <w:bookmarkStart w:id="43" w:name="_Toc11108"/>
      <w:bookmarkStart w:id="44" w:name="_Toc8772"/>
      <w:bookmarkStart w:id="45" w:name="_Toc31421"/>
      <w:bookmarkStart w:id="46" w:name="_Toc4760"/>
      <w:r>
        <w:rPr>
          <w:rFonts w:hint="eastAsia" w:ascii="宋体" w:hAnsi="宋体" w:eastAsia="宋体" w:cs="宋体"/>
          <w:b/>
          <w:bCs/>
          <w:color w:val="auto"/>
          <w:kern w:val="0"/>
          <w:sz w:val="24"/>
          <w:highlight w:val="none"/>
          <w:lang w:val="en-US" w:eastAsia="zh-CN"/>
        </w:rPr>
        <w:t>三</w:t>
      </w:r>
      <w:r>
        <w:rPr>
          <w:rFonts w:hint="eastAsia" w:ascii="宋体" w:hAnsi="宋体" w:eastAsia="宋体" w:cs="宋体"/>
          <w:b/>
          <w:bCs/>
          <w:color w:val="auto"/>
          <w:kern w:val="0"/>
          <w:sz w:val="24"/>
          <w:highlight w:val="none"/>
        </w:rPr>
        <w:t>、技术资料</w:t>
      </w:r>
    </w:p>
    <w:p w14:paraId="2F145887">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1.乙方应按招标文件规定的时间向甲方提供使用货物的有关技术资料。</w:t>
      </w:r>
    </w:p>
    <w:p w14:paraId="45FD80E5">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bookmarkEnd w:id="39"/>
    <w:bookmarkEnd w:id="40"/>
    <w:bookmarkEnd w:id="41"/>
    <w:p w14:paraId="503366FE">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四、质量保证</w:t>
      </w:r>
    </w:p>
    <w:p w14:paraId="5188DEB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保证所供货物是全新的、未使用过的，并完全符合合同规定的质量、规格和性能的要求。乙方保证其货物在正确安装、正常使用和保养条件下，在其使用寿命期内应具有满意的性能。在货物最终交付验收后至规定的质量保证期内，乙方对由于设计、工艺或材料的缺陷而产生的故障负责。在质量保证期内，如果货物的质量或规格与投标文件不符，或证实货物是有缺陷的，包括潜在的缺陷或使用不符合要求的材料等，甲方可以以书面形式向乙方提出补救措施或索赔。乙方在约定的时间内未能弥补缺陷，甲方可采取必要的补救措施，但其风险和费用将由乙方承担，甲方根据招投标文件的规定对投标方行使的其他权利不受影响。</w:t>
      </w:r>
    </w:p>
    <w:p w14:paraId="495B53EC">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2.对于乙方提供的国外进口配件，要求是正规渠道进口完税货物，供货前提供报关证明材料。</w:t>
      </w:r>
    </w:p>
    <w:p w14:paraId="757DD48C">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五、货物包装、发运及运输</w:t>
      </w:r>
    </w:p>
    <w:p w14:paraId="744FF7E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1.乙方应在货物发运前对其进行满足运输距离、防潮、防震、防锈和防破损装卸等要求包装，以保证货物安全运达甲方指定地点。</w:t>
      </w:r>
    </w:p>
    <w:p w14:paraId="7341DB1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2.乙方在货物发运手续办理完毕后24小时内或货到甲方48小时前通知甲方，以准备接货。</w:t>
      </w:r>
    </w:p>
    <w:p w14:paraId="3CD7457B">
      <w:pPr>
        <w:pStyle w:val="129"/>
        <w:keepNext w:val="0"/>
        <w:keepLines w:val="0"/>
        <w:pageBreakBefore w:val="0"/>
        <w:kinsoku/>
        <w:wordWrap/>
        <w:overflowPunct/>
        <w:topLinePunct w:val="0"/>
        <w:autoSpaceDE/>
        <w:autoSpaceDN/>
        <w:bidi w:val="0"/>
        <w:spacing w:line="360" w:lineRule="auto"/>
        <w:ind w:left="-154" w:leftChars="-64"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highlight w:val="none"/>
          <w:lang w:val="en-US" w:eastAsia="zh-CN"/>
        </w:rPr>
        <w:t>3.货物在交付甲方前发生的风险均由乙方负责。</w:t>
      </w:r>
    </w:p>
    <w:p w14:paraId="540AE449">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sz w:val="24"/>
          <w:szCs w:val="24"/>
          <w:highlight w:val="none"/>
        </w:rPr>
        <w:t>交货安装时间及地点</w:t>
      </w:r>
    </w:p>
    <w:p w14:paraId="18C8FD0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1.合同签订、接到甲方供货通知后  天内送至施工现场（根据工程进展供货、安装、调试，具体日期以甲方发出的交货通知单为准）。</w:t>
      </w:r>
    </w:p>
    <w:p w14:paraId="4F406AE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2.地点：甲方指定地点。</w:t>
      </w:r>
    </w:p>
    <w:p w14:paraId="3D662D8F">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sz w:val="24"/>
          <w:szCs w:val="24"/>
          <w:highlight w:val="none"/>
          <w:lang w:val="en-US" w:eastAsia="zh-CN"/>
        </w:rPr>
        <w:t>验收</w:t>
      </w:r>
    </w:p>
    <w:p w14:paraId="221B04E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1.由甲方负责进行验收。</w:t>
      </w:r>
    </w:p>
    <w:p w14:paraId="2667CA3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甲方在乙方交货并安装调试完毕后进行检查验收，如果发现成果有质量、技术等问题，乙方负责根据合同及甲方的要求采取补足或更换等处理措施，并承担由此发生的一切损失和费用。验收合格后，甲方在验收单上签字并加盖单位公章。</w:t>
      </w:r>
    </w:p>
    <w:p w14:paraId="3D7C85C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3.验收条件及标准：</w:t>
      </w:r>
    </w:p>
    <w:p w14:paraId="15F3B60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3.1结果符合我国国家有关技术规范要求和技术标准及合同要求。</w:t>
      </w:r>
    </w:p>
    <w:p w14:paraId="1DC9E97E">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3.2在进行测试和验收运行过程中发生的故障已被消除并得到甲方的认可。</w:t>
      </w:r>
    </w:p>
    <w:p w14:paraId="05CDA83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3.3所有合同中规定的货物、材料和技术文件都已提交。</w:t>
      </w:r>
    </w:p>
    <w:p w14:paraId="71E32AF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4.乙方承担所有要求的检测项目费用、支付专家费用等。</w:t>
      </w:r>
    </w:p>
    <w:p w14:paraId="1F41308D">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5.如第一次验收未合格，乙方找出原因进行更正，并应在第一次验收结束后7个工作日内进行再次验收，乙方承担由此而产生的全部费用。如第二次验收仍不能符合合格条件，甲方可拒绝接受全部货物并有权解除合同，乙方负责赔偿一切损失。</w:t>
      </w:r>
    </w:p>
    <w:p w14:paraId="5369AB10">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八、质保期</w:t>
      </w:r>
    </w:p>
    <w:p w14:paraId="1C5F7F8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电梯整机质保期为现场安装完毕，经当地质量技术监督部门验收合格并交付使用之后</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lang w:val="en-US" w:eastAsia="zh-CN"/>
        </w:rPr>
        <w:t>年。</w:t>
      </w:r>
    </w:p>
    <w:p w14:paraId="0D7799F3">
      <w:pPr>
        <w:pStyle w:val="129"/>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0"/>
          <w:sz w:val="24"/>
          <w:highlight w:val="none"/>
          <w:lang w:val="en-US" w:eastAsia="zh-CN"/>
        </w:rPr>
        <w:t>九、售后服务要求</w:t>
      </w:r>
    </w:p>
    <w:p w14:paraId="78078218">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提供24小时*365天服务热线。接到故障指令，到场时间不超过30分钟，如超过，每次扣除履约保证金1000元；一般故障修复时间不超过2小时，如超过，每小时扣除履约保证金500元，按小时累计；重大故障修复时间不超过12小时，如超过，每小时扣除履约保证金500元，按小时累计。</w:t>
      </w:r>
    </w:p>
    <w:p w14:paraId="4BC56E9F">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2.日常保养：及时派出专业人员对设备进行检查、调整、润滑，保证设备正常运转。</w:t>
      </w:r>
    </w:p>
    <w:p w14:paraId="2E3D5E8C">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3.定期检查：在质保期内，每月二次进行检查保养。及时排除故障，进行必要的修理；质保期内及时更换非人为损坏的机件，提供24小时应急故障处理服务；提供年检前的服务和协助报检工作。</w:t>
      </w:r>
    </w:p>
    <w:p w14:paraId="7D5E02B0">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4.及时将顾客的需要转达给相应的服务部门，以便迅速作出反应。服务员工将在接到通知后迅速到达故障现场并进行紧急处理。</w:t>
      </w:r>
    </w:p>
    <w:p w14:paraId="4E551550">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5.电梯故障修好后，中标单位需提供一式两份报告给采购人，包括故障原因，解决措施，完成修理所费时间及恢复正常运行日期。</w:t>
      </w:r>
    </w:p>
    <w:p w14:paraId="2080B803">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6.在质保期结束时，须由专业工程师对电梯进行测试，任何故障须由中标单位自费解决并取得采购人的同意。</w:t>
      </w:r>
    </w:p>
    <w:p w14:paraId="3B0B0538">
      <w:pPr>
        <w:pStyle w:val="129"/>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szCs w:val="22"/>
          <w:highlight w:val="none"/>
          <w:lang w:val="en-US" w:eastAsia="zh-CN" w:bidi="ar-SA"/>
        </w:rPr>
        <w:t>十、</w:t>
      </w:r>
      <w:r>
        <w:rPr>
          <w:rFonts w:hint="eastAsia" w:ascii="宋体" w:hAnsi="宋体" w:eastAsia="宋体" w:cs="宋体"/>
          <w:b/>
          <w:bCs/>
          <w:color w:val="auto"/>
          <w:kern w:val="0"/>
          <w:sz w:val="24"/>
          <w:highlight w:val="none"/>
          <w:lang w:val="en-US" w:eastAsia="zh-CN"/>
        </w:rPr>
        <w:t>付款方式</w:t>
      </w:r>
    </w:p>
    <w:p w14:paraId="6A8CABD9">
      <w:pPr>
        <w:keepNext w:val="0"/>
        <w:keepLines w:val="0"/>
        <w:pageBreakBefore w:val="0"/>
        <w:widowControl/>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（一）设备款（除安装款外）：</w:t>
      </w:r>
    </w:p>
    <w:p w14:paraId="59FF47C7">
      <w:pPr>
        <w:keepNext w:val="0"/>
        <w:keepLines w:val="0"/>
        <w:pageBreakBefore w:val="0"/>
        <w:widowControl/>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接到甲方通知排产后7个工作日内支付设备款的30%</w:t>
      </w:r>
      <w:r>
        <w:rPr>
          <w:rFonts w:hint="eastAsia" w:ascii="宋体" w:hAnsi="宋体" w:eastAsia="宋体" w:cs="宋体"/>
          <w:color w:val="auto"/>
          <w:sz w:val="24"/>
          <w:szCs w:val="24"/>
          <w:highlight w:val="none"/>
        </w:rPr>
        <w:t>；</w:t>
      </w:r>
    </w:p>
    <w:p w14:paraId="624AE0A0">
      <w:pPr>
        <w:keepNext w:val="0"/>
        <w:keepLines w:val="0"/>
        <w:pageBreakBefore w:val="0"/>
        <w:widowControl/>
        <w:kinsoku/>
        <w:wordWrap/>
        <w:overflowPunct/>
        <w:topLinePunct w:val="0"/>
        <w:bidi w:val="0"/>
        <w:adjustRightIn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.设备全部到货经验收合格后7个工作日内支付至设备款的80%</w:t>
      </w:r>
      <w:r>
        <w:rPr>
          <w:rFonts w:hint="eastAsia" w:ascii="宋体" w:hAnsi="宋体" w:eastAsia="宋体" w:cs="宋体"/>
          <w:color w:val="auto"/>
          <w:sz w:val="24"/>
          <w:szCs w:val="24"/>
          <w:highlight w:val="none"/>
          <w:lang w:eastAsia="zh-CN"/>
        </w:rPr>
        <w:t>；</w:t>
      </w:r>
    </w:p>
    <w:p w14:paraId="42E3812D">
      <w:pPr>
        <w:keepNext w:val="0"/>
        <w:keepLines w:val="0"/>
        <w:pageBreakBefore w:val="0"/>
        <w:widowControl/>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设备全部安装调试完毕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通过当地特种设备监督管理部门验收合格</w:t>
      </w:r>
      <w:r>
        <w:rPr>
          <w:rFonts w:hint="eastAsia" w:ascii="宋体" w:hAnsi="宋体" w:eastAsia="宋体" w:cs="宋体"/>
          <w:color w:val="auto"/>
          <w:sz w:val="24"/>
          <w:szCs w:val="24"/>
          <w:highlight w:val="none"/>
          <w:lang w:val="en-US" w:eastAsia="zh-CN"/>
        </w:rPr>
        <w:t>后7个工作日内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乙方在付款前汇设备款的5%到甲方指定账户作为维修基金；</w:t>
      </w:r>
    </w:p>
    <w:p w14:paraId="777564F3">
      <w:pPr>
        <w:keepNext w:val="0"/>
        <w:keepLines w:val="0"/>
        <w:pageBreakBefore w:val="0"/>
        <w:widowControl/>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4.维修基金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质保期满后</w:t>
      </w:r>
      <w:r>
        <w:rPr>
          <w:rFonts w:hint="eastAsia" w:ascii="宋体" w:hAnsi="宋体" w:eastAsia="宋体" w:cs="宋体"/>
          <w:color w:val="auto"/>
          <w:kern w:val="0"/>
          <w:sz w:val="24"/>
          <w:szCs w:val="24"/>
          <w:highlight w:val="none"/>
        </w:rPr>
        <w:t>无质量问题</w:t>
      </w:r>
      <w:r>
        <w:rPr>
          <w:rFonts w:hint="eastAsia" w:ascii="宋体" w:hAnsi="宋体" w:eastAsia="宋体" w:cs="宋体"/>
          <w:color w:val="auto"/>
          <w:sz w:val="24"/>
          <w:szCs w:val="24"/>
          <w:highlight w:val="none"/>
          <w:lang w:val="en-US" w:eastAsia="zh-CN"/>
        </w:rPr>
        <w:t>7个工作日内退还（不计息）</w:t>
      </w:r>
      <w:r>
        <w:rPr>
          <w:rFonts w:hint="eastAsia" w:ascii="宋体" w:hAnsi="宋体" w:eastAsia="宋体" w:cs="宋体"/>
          <w:color w:val="auto"/>
          <w:sz w:val="24"/>
          <w:szCs w:val="24"/>
          <w:highlight w:val="none"/>
        </w:rPr>
        <w:t>。</w:t>
      </w:r>
    </w:p>
    <w:p w14:paraId="2B40152B">
      <w:pPr>
        <w:keepNext w:val="0"/>
        <w:keepLines w:val="0"/>
        <w:pageBreakBefore w:val="0"/>
        <w:widowControl/>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（二）安装款</w:t>
      </w:r>
      <w:r>
        <w:rPr>
          <w:rFonts w:hint="eastAsia" w:ascii="宋体" w:hAnsi="宋体" w:eastAsia="宋体" w:cs="宋体"/>
          <w:color w:val="auto"/>
          <w:sz w:val="24"/>
          <w:szCs w:val="24"/>
          <w:highlight w:val="none"/>
          <w:lang w:eastAsia="zh-CN"/>
        </w:rPr>
        <w:t>：</w:t>
      </w:r>
    </w:p>
    <w:p w14:paraId="68D992A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设备到现场，安装队进场安装后7个工作日支付安装款的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4A142286">
      <w:pPr>
        <w:keepNext w:val="0"/>
        <w:keepLines w:val="0"/>
        <w:pageBreakBefore w:val="0"/>
        <w:widowControl/>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设备全部安装调试完毕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通过当地特种设备监督管理部门验收合格后7个工作日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安装款的</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乙方在付款前汇安装款的5%到甲方指定账户作为维修基金；</w:t>
      </w:r>
    </w:p>
    <w:p w14:paraId="582A116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color w:val="auto"/>
          <w:sz w:val="24"/>
          <w:szCs w:val="24"/>
          <w:highlight w:val="none"/>
          <w:lang w:val="en-US" w:eastAsia="zh-CN"/>
        </w:rPr>
        <w:t>3.维修基金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质保期满后无质量问题7个工作日内退还（不计息）</w:t>
      </w:r>
      <w:r>
        <w:rPr>
          <w:rFonts w:hint="eastAsia" w:ascii="宋体" w:hAnsi="宋体" w:eastAsia="宋体" w:cs="宋体"/>
          <w:b w:val="0"/>
          <w:bCs w:val="0"/>
          <w:color w:val="auto"/>
          <w:kern w:val="0"/>
          <w:sz w:val="24"/>
          <w:highlight w:val="none"/>
          <w:lang w:val="en-US" w:eastAsia="zh-CN"/>
        </w:rPr>
        <w:t>。</w:t>
      </w:r>
    </w:p>
    <w:p w14:paraId="7594F96A">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十一、履约保证金</w:t>
      </w:r>
    </w:p>
    <w:p w14:paraId="2C0B4E8E">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中标通知书发出10个工作日内中标人向采购人递交中标金额1%的履约保证金，全部安装调试完成验收合格后退还，履约保证金不计息。</w:t>
      </w:r>
    </w:p>
    <w:p w14:paraId="6D90AEB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履约保证金支付方式：保函、网上银行、电汇、汇票或转帐形式。（保函有效期必须在本项目约定完工日期之日起30个工作日后），保函包括银行保函、保险机构保证保险保单。</w:t>
      </w:r>
    </w:p>
    <w:p w14:paraId="09DFD1F6">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十二、总包服务费</w:t>
      </w:r>
    </w:p>
    <w:p w14:paraId="644FEF0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由乙方支付总包单位总承包服务费。</w:t>
      </w:r>
    </w:p>
    <w:p w14:paraId="4CEE0C4B">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十三、备品备件及耗材等要求</w:t>
      </w:r>
    </w:p>
    <w:p w14:paraId="1D07025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rPr>
        <w:t>投标人对各种型号的设备须</w:t>
      </w:r>
      <w:r>
        <w:rPr>
          <w:rFonts w:hint="eastAsia" w:ascii="宋体" w:hAnsi="宋体" w:eastAsia="宋体" w:cs="宋体"/>
          <w:color w:val="auto"/>
          <w:sz w:val="24"/>
          <w:szCs w:val="24"/>
          <w:highlight w:val="none"/>
          <w:lang w:val="en-US" w:eastAsia="zh-CN"/>
        </w:rPr>
        <w:t>准备</w:t>
      </w:r>
      <w:r>
        <w:rPr>
          <w:rFonts w:hint="eastAsia" w:ascii="宋体" w:hAnsi="宋体" w:eastAsia="宋体" w:cs="宋体"/>
          <w:color w:val="auto"/>
          <w:sz w:val="24"/>
          <w:szCs w:val="24"/>
          <w:highlight w:val="none"/>
        </w:rPr>
        <w:t>足够的备件、附件和易损件并保证是原厂生产的产品，以满足设备正常运行的需要。</w:t>
      </w:r>
    </w:p>
    <w:p w14:paraId="1720CF18">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十四、技术培训</w:t>
      </w:r>
    </w:p>
    <w:p w14:paraId="5FA9348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1.供货方须对采购人的技术人员进行维修培训。供货方须在投标文件中提供详细的培训计划，包括培训内容、培训时间等。</w:t>
      </w:r>
    </w:p>
    <w:p w14:paraId="2A6607A5">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2.供货方提供的负责培训的人员应具备同类项目五年以上的工程经验。</w:t>
      </w:r>
    </w:p>
    <w:p w14:paraId="037DDD54">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3.技术培训费用应包含在投标总价中。技术培训至少应包括下列内容：1）设备系统的原理、构成和功能的描述；2）常见故障的处理或排除；3）各设备系统（部件）的检查、调整和维护。</w:t>
      </w:r>
    </w:p>
    <w:p w14:paraId="21072512">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十五、其他</w:t>
      </w:r>
    </w:p>
    <w:p w14:paraId="66AACAF0">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应保护采购人在使用该货物或其任何一部分不受第三方提出侵犯其专利权、商标权和工业设计权的起诉。如果任何第三方提出侵权指控，中标单位必须与第三方交涉并承担可能发生的一切费用。</w:t>
      </w:r>
    </w:p>
    <w:p w14:paraId="14DB7F30">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十六、</w:t>
      </w:r>
      <w:r>
        <w:rPr>
          <w:rFonts w:hint="eastAsia" w:ascii="宋体" w:hAnsi="宋体" w:eastAsia="宋体" w:cs="宋体"/>
          <w:b/>
          <w:bCs/>
          <w:color w:val="auto"/>
          <w:kern w:val="0"/>
          <w:sz w:val="24"/>
          <w:highlight w:val="none"/>
        </w:rPr>
        <w:t>知识产权</w:t>
      </w:r>
    </w:p>
    <w:p w14:paraId="5079D467">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0"/>
          <w:sz w:val="24"/>
          <w:highlight w:val="none"/>
        </w:rPr>
        <w:t>乙方应保证所提供的货物或其任何一部分均不会侵犯任何第三方的知识产权。</w:t>
      </w:r>
    </w:p>
    <w:p w14:paraId="2D7AC559">
      <w:pPr>
        <w:pStyle w:val="129"/>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十七</w:t>
      </w:r>
      <w:r>
        <w:rPr>
          <w:rFonts w:hint="eastAsia" w:ascii="宋体" w:hAnsi="宋体" w:eastAsia="宋体" w:cs="宋体"/>
          <w:b/>
          <w:color w:val="auto"/>
          <w:sz w:val="24"/>
          <w:szCs w:val="24"/>
          <w:highlight w:val="none"/>
        </w:rPr>
        <w:t>、转包或分包</w:t>
      </w:r>
    </w:p>
    <w:p w14:paraId="7B7EB794">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kern w:val="0"/>
          <w:sz w:val="24"/>
          <w:highlight w:val="none"/>
        </w:rPr>
        <w:t>本合同范围的</w:t>
      </w:r>
      <w:r>
        <w:rPr>
          <w:rFonts w:hint="eastAsia" w:ascii="宋体" w:hAnsi="宋体" w:eastAsia="宋体" w:cs="宋体"/>
          <w:b w:val="0"/>
          <w:bCs w:val="0"/>
          <w:color w:val="auto"/>
          <w:kern w:val="0"/>
          <w:sz w:val="24"/>
          <w:highlight w:val="none"/>
          <w:lang w:val="en-US" w:eastAsia="zh-CN"/>
        </w:rPr>
        <w:t>货物</w:t>
      </w:r>
      <w:r>
        <w:rPr>
          <w:rFonts w:hint="eastAsia" w:ascii="宋体" w:hAnsi="宋体" w:eastAsia="宋体" w:cs="宋体"/>
          <w:b w:val="0"/>
          <w:bCs w:val="0"/>
          <w:color w:val="auto"/>
          <w:kern w:val="0"/>
          <w:sz w:val="24"/>
          <w:highlight w:val="none"/>
        </w:rPr>
        <w:t>，应由乙方直接供应，不得转让他人供应</w:t>
      </w:r>
      <w:r>
        <w:rPr>
          <w:rFonts w:hint="eastAsia" w:ascii="宋体" w:hAnsi="宋体" w:eastAsia="宋体" w:cs="宋体"/>
          <w:color w:val="auto"/>
          <w:sz w:val="24"/>
          <w:szCs w:val="24"/>
          <w:highlight w:val="none"/>
        </w:rPr>
        <w:t>；</w:t>
      </w:r>
    </w:p>
    <w:p w14:paraId="0ACD2A3F">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kern w:val="0"/>
          <w:sz w:val="24"/>
          <w:highlight w:val="none"/>
          <w:lang w:val="en-US" w:eastAsia="zh-CN"/>
        </w:rPr>
        <w:t>除非得到甲方的书面同意，乙方不得将本合同范围的货物全部或部分分包给他人供应</w:t>
      </w:r>
      <w:r>
        <w:rPr>
          <w:rFonts w:hint="eastAsia" w:ascii="宋体" w:hAnsi="宋体" w:eastAsia="宋体" w:cs="宋体"/>
          <w:color w:val="auto"/>
          <w:sz w:val="24"/>
          <w:szCs w:val="24"/>
          <w:highlight w:val="none"/>
        </w:rPr>
        <w:t>；</w:t>
      </w:r>
    </w:p>
    <w:p w14:paraId="30240A7F">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kern w:val="0"/>
          <w:sz w:val="24"/>
          <w:highlight w:val="none"/>
          <w:lang w:val="en-US" w:eastAsia="zh-CN"/>
        </w:rPr>
        <w:t>如有转让和未经甲方同意的分包行为，甲方有权解除合同，并追究乙方的违约责任</w:t>
      </w:r>
      <w:r>
        <w:rPr>
          <w:rFonts w:hint="eastAsia" w:ascii="宋体" w:hAnsi="宋体" w:eastAsia="宋体" w:cs="宋体"/>
          <w:color w:val="auto"/>
          <w:sz w:val="24"/>
          <w:szCs w:val="24"/>
          <w:highlight w:val="none"/>
        </w:rPr>
        <w:t>。</w:t>
      </w:r>
      <w:bookmarkEnd w:id="42"/>
      <w:bookmarkEnd w:id="43"/>
      <w:bookmarkEnd w:id="44"/>
      <w:bookmarkEnd w:id="45"/>
      <w:bookmarkEnd w:id="46"/>
      <w:bookmarkStart w:id="47" w:name="_Toc8586"/>
      <w:bookmarkStart w:id="48" w:name="_Toc2375"/>
      <w:bookmarkStart w:id="49" w:name="_Toc3079"/>
      <w:bookmarkStart w:id="50" w:name="_Toc5698"/>
      <w:bookmarkStart w:id="51" w:name="_Toc24662"/>
    </w:p>
    <w:p w14:paraId="7BEF398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十八、</w:t>
      </w:r>
      <w:r>
        <w:rPr>
          <w:rFonts w:hint="eastAsia" w:ascii="宋体" w:hAnsi="宋体" w:eastAsia="宋体" w:cs="宋体"/>
          <w:b/>
          <w:color w:val="auto"/>
          <w:sz w:val="24"/>
          <w:szCs w:val="24"/>
          <w:highlight w:val="none"/>
        </w:rPr>
        <w:t>违约责任</w:t>
      </w:r>
    </w:p>
    <w:bookmarkEnd w:id="47"/>
    <w:bookmarkEnd w:id="48"/>
    <w:bookmarkEnd w:id="49"/>
    <w:bookmarkEnd w:id="50"/>
    <w:bookmarkEnd w:id="51"/>
    <w:p w14:paraId="6C5E5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bookmarkStart w:id="52" w:name="_Toc18683"/>
      <w:bookmarkStart w:id="53" w:name="_Toc32454"/>
      <w:bookmarkStart w:id="54" w:name="_Toc9497"/>
      <w:bookmarkStart w:id="55" w:name="_Toc30329"/>
      <w:bookmarkStart w:id="56" w:name="_Toc26807"/>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00210C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0.01</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E24D8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7B21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E794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p w14:paraId="4DAD9C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违约责另有约定的，从其约定。</w:t>
      </w:r>
    </w:p>
    <w:bookmarkEnd w:id="52"/>
    <w:bookmarkEnd w:id="53"/>
    <w:bookmarkEnd w:id="54"/>
    <w:bookmarkEnd w:id="55"/>
    <w:bookmarkEnd w:id="56"/>
    <w:p w14:paraId="07FD0AA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color w:val="auto"/>
          <w:sz w:val="24"/>
          <w:highlight w:val="none"/>
          <w:lang w:val="en-US" w:eastAsia="zh-CN"/>
        </w:rPr>
      </w:pPr>
      <w:bookmarkStart w:id="57" w:name="_Toc16021"/>
      <w:bookmarkStart w:id="58" w:name="_Toc15583"/>
      <w:bookmarkStart w:id="59" w:name="_Toc28375"/>
      <w:r>
        <w:rPr>
          <w:rFonts w:hint="eastAsia" w:ascii="宋体" w:hAnsi="宋体" w:eastAsia="宋体" w:cs="宋体"/>
          <w:b/>
          <w:color w:val="auto"/>
          <w:sz w:val="24"/>
          <w:highlight w:val="none"/>
          <w:lang w:val="en-US" w:eastAsia="zh-CN"/>
        </w:rPr>
        <w:t>十九、</w:t>
      </w:r>
      <w:r>
        <w:rPr>
          <w:rFonts w:hint="eastAsia" w:ascii="宋体" w:hAnsi="宋体" w:eastAsia="宋体" w:cs="宋体"/>
          <w:b/>
          <w:color w:val="auto"/>
          <w:sz w:val="24"/>
          <w:szCs w:val="24"/>
          <w:highlight w:val="none"/>
        </w:rPr>
        <w:t>不可抗力事件处理</w:t>
      </w:r>
    </w:p>
    <w:p w14:paraId="208FEE76">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在合同有效期内，任何一方因不可抗力事件导致不能履行合同，则合同履行期可延长，其延长期与不可抗力影响期相同。</w:t>
      </w:r>
    </w:p>
    <w:p w14:paraId="1D8242A2">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不可抗力事件发生后，应立即通知对方，并寄送有关权威机构出具的证明。</w:t>
      </w:r>
    </w:p>
    <w:p w14:paraId="13E70C2E">
      <w:pPr>
        <w:keepNext w:val="0"/>
        <w:keepLines w:val="0"/>
        <w:pageBreakBefore w:val="0"/>
        <w:widowControl w:val="0"/>
        <w:kinsoku/>
        <w:wordWrap/>
        <w:overflowPunct/>
        <w:topLinePunct w:val="0"/>
        <w:autoSpaceDE/>
        <w:autoSpaceDN/>
        <w:bidi w:val="0"/>
        <w:adjustRightInd w:val="0"/>
        <w:snapToGrid/>
        <w:spacing w:line="360" w:lineRule="auto"/>
        <w:ind w:right="0" w:rightChars="0" w:firstLine="472" w:firstLineChars="200"/>
        <w:textAlignment w:val="auto"/>
        <w:outlineLvl w:val="0"/>
        <w:rPr>
          <w:rFonts w:hint="eastAsia" w:ascii="宋体" w:hAnsi="宋体" w:eastAsia="宋体" w:cs="宋体"/>
          <w:b/>
          <w:color w:val="auto"/>
          <w:sz w:val="24"/>
          <w:highlight w:val="none"/>
          <w:lang w:val="en-US" w:eastAsia="zh-CN"/>
        </w:rPr>
      </w:pP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不可抗力事件延续120天以上，双方应通过友好协商，确定是否继续履行合同。</w:t>
      </w:r>
    </w:p>
    <w:p w14:paraId="05401A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二十、</w:t>
      </w:r>
      <w:r>
        <w:rPr>
          <w:rFonts w:hint="eastAsia" w:ascii="宋体" w:hAnsi="宋体" w:eastAsia="宋体" w:cs="宋体"/>
          <w:b/>
          <w:bCs/>
          <w:color w:val="auto"/>
          <w:kern w:val="0"/>
          <w:sz w:val="24"/>
          <w:highlight w:val="none"/>
        </w:rPr>
        <w:t>税费</w:t>
      </w:r>
    </w:p>
    <w:p w14:paraId="30E1DFA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宋体" w:hAnsi="宋体" w:eastAsia="宋体" w:cs="宋体"/>
          <w:b/>
          <w:color w:val="auto"/>
          <w:sz w:val="24"/>
          <w:highlight w:val="none"/>
          <w:lang w:val="en-US" w:eastAsia="zh-CN"/>
        </w:rPr>
      </w:pPr>
      <w:r>
        <w:rPr>
          <w:rFonts w:hint="eastAsia" w:ascii="宋体" w:hAnsi="宋体" w:eastAsia="宋体" w:cs="宋体"/>
          <w:color w:val="auto"/>
          <w:kern w:val="0"/>
          <w:sz w:val="24"/>
          <w:highlight w:val="none"/>
        </w:rPr>
        <w:t>本合同执行中相关的一切税费均由乙方负担。</w:t>
      </w:r>
    </w:p>
    <w:p w14:paraId="7D7F110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二十一、</w:t>
      </w:r>
      <w:bookmarkEnd w:id="57"/>
      <w:bookmarkEnd w:id="58"/>
      <w:bookmarkEnd w:id="59"/>
      <w:bookmarkStart w:id="60" w:name="_Toc11173"/>
      <w:bookmarkStart w:id="61" w:name="_Toc15322"/>
      <w:bookmarkStart w:id="62" w:name="_Toc7245"/>
      <w:r>
        <w:rPr>
          <w:rFonts w:hint="eastAsia" w:ascii="宋体" w:hAnsi="宋体" w:eastAsia="宋体" w:cs="宋体"/>
          <w:b/>
          <w:color w:val="auto"/>
          <w:sz w:val="24"/>
          <w:highlight w:val="none"/>
          <w:lang w:val="en-US" w:eastAsia="zh-CN"/>
        </w:rPr>
        <w:t>合同争议的解决</w:t>
      </w:r>
    </w:p>
    <w:p w14:paraId="7EA4C5AC">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条款规定的方式解决：</w:t>
      </w:r>
    </w:p>
    <w:p w14:paraId="1B698405">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将争议提交</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仲裁委员会依申请仲裁时其现行有效的仲裁规则裁决；</w:t>
      </w:r>
    </w:p>
    <w:p w14:paraId="4E1FAD19">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人民法院起诉。</w:t>
      </w:r>
    </w:p>
    <w:p w14:paraId="3CF435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二十二、</w:t>
      </w:r>
      <w:r>
        <w:rPr>
          <w:rFonts w:hint="eastAsia" w:ascii="宋体" w:hAnsi="宋体" w:eastAsia="宋体" w:cs="宋体"/>
          <w:b/>
          <w:color w:val="auto"/>
          <w:sz w:val="24"/>
          <w:szCs w:val="24"/>
          <w:highlight w:val="none"/>
        </w:rPr>
        <w:t>合同生效及其它</w:t>
      </w:r>
    </w:p>
    <w:p w14:paraId="63044722">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合同经双方法定代表人或授权代表签字并加盖单位公章后生效。</w:t>
      </w:r>
    </w:p>
    <w:p w14:paraId="3958F42D">
      <w:pPr>
        <w:pStyle w:val="129"/>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本合同未尽事宜，遵照《</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》有关条文执行。</w:t>
      </w:r>
    </w:p>
    <w:p w14:paraId="728E92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本合同正本一式肆份，具有同等法律效力，甲乙双方各执贰份。</w:t>
      </w:r>
    </w:p>
    <w:bookmarkEnd w:id="60"/>
    <w:bookmarkEnd w:id="61"/>
    <w:bookmarkEnd w:id="62"/>
    <w:p w14:paraId="0F500BB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二十三、未尽事宜</w:t>
      </w:r>
    </w:p>
    <w:p w14:paraId="5E5DEA7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本合同若有未尽事宜，双方同意通过友好协商并签署书面文件确定。</w:t>
      </w:r>
    </w:p>
    <w:p w14:paraId="7CE61ED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color w:val="auto"/>
          <w:sz w:val="24"/>
          <w:highlight w:val="none"/>
          <w:lang w:val="en-US" w:eastAsia="zh-CN"/>
        </w:rPr>
      </w:pPr>
    </w:p>
    <w:p w14:paraId="5C2FC6B5">
      <w:pPr>
        <w:keepNext w:val="0"/>
        <w:keepLines w:val="0"/>
        <w:pageBreakBefore w:val="0"/>
        <w:widowControl w:val="0"/>
        <w:kinsoku/>
        <w:wordWrap/>
        <w:overflowPunct/>
        <w:topLinePunct w:val="0"/>
        <w:autoSpaceDE w:val="0"/>
        <w:autoSpaceDN w:val="0"/>
        <w:bidi w:val="0"/>
        <w:adjustRightInd w:val="0"/>
        <w:snapToGrid/>
        <w:spacing w:before="313" w:beforeLines="100" w:line="480" w:lineRule="auto"/>
        <w:ind w:left="0" w:leftChars="0" w:right="0" w:rightChars="0" w:firstLine="240" w:firstLineChars="100"/>
        <w:textAlignment w:val="auto"/>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 xml:space="preserve">甲方：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val="zh-CN"/>
        </w:rPr>
        <w:t>乙方：</w:t>
      </w:r>
    </w:p>
    <w:p w14:paraId="452B2046">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054F338">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898383C">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163B04ED">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552467F">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电话:                                    电话: </w:t>
      </w:r>
    </w:p>
    <w:p w14:paraId="2CC506D3">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9878E60">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0EE1633">
      <w:pPr>
        <w:spacing w:line="360" w:lineRule="auto"/>
        <w:ind w:firstLine="240" w:firstLineChars="100"/>
        <w:jc w:val="both"/>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9D1B1EE">
      <w:pPr>
        <w:pStyle w:val="39"/>
        <w:rPr>
          <w:color w:val="auto"/>
          <w:highlight w:val="none"/>
        </w:rPr>
      </w:pPr>
    </w:p>
    <w:p w14:paraId="01437C4A">
      <w:pPr>
        <w:widowControl/>
        <w:adjustRightInd/>
        <w:jc w:val="both"/>
        <w:rPr>
          <w:rFonts w:hint="eastAsia" w:ascii="仿宋" w:hAnsi="仿宋" w:eastAsia="仿宋" w:cs="仿宋"/>
          <w:b/>
          <w:color w:val="auto"/>
          <w:sz w:val="36"/>
          <w:szCs w:val="20"/>
          <w:highlight w:val="none"/>
        </w:rPr>
      </w:pPr>
    </w:p>
    <w:p w14:paraId="14445A58">
      <w:pPr>
        <w:widowControl/>
        <w:adjustRightInd/>
        <w:jc w:val="center"/>
        <w:rPr>
          <w:rFonts w:hint="eastAsia" w:ascii="仿宋" w:hAnsi="仿宋" w:eastAsia="仿宋" w:cs="仿宋"/>
          <w:b/>
          <w:color w:val="auto"/>
          <w:sz w:val="36"/>
          <w:szCs w:val="20"/>
          <w:highlight w:val="none"/>
        </w:rPr>
      </w:pPr>
    </w:p>
    <w:p w14:paraId="5CC29DE4">
      <w:pPr>
        <w:widowControl/>
        <w:adjustRightInd/>
        <w:jc w:val="center"/>
        <w:rPr>
          <w:rFonts w:hint="eastAsia" w:ascii="仿宋" w:hAnsi="仿宋" w:eastAsia="仿宋" w:cs="仿宋"/>
          <w:b/>
          <w:color w:val="auto"/>
          <w:sz w:val="36"/>
          <w:szCs w:val="20"/>
          <w:highlight w:val="none"/>
        </w:rPr>
      </w:pPr>
    </w:p>
    <w:p w14:paraId="45103A8A">
      <w:pPr>
        <w:widowControl/>
        <w:adjustRightInd/>
        <w:jc w:val="center"/>
        <w:rPr>
          <w:rFonts w:hint="eastAsia" w:ascii="仿宋" w:hAnsi="仿宋" w:eastAsia="仿宋" w:cs="仿宋"/>
          <w:b/>
          <w:color w:val="auto"/>
          <w:sz w:val="36"/>
          <w:szCs w:val="20"/>
          <w:highlight w:val="none"/>
        </w:rPr>
      </w:pPr>
    </w:p>
    <w:p w14:paraId="439874A7">
      <w:pPr>
        <w:widowControl/>
        <w:adjustRightInd/>
        <w:jc w:val="center"/>
        <w:rPr>
          <w:rFonts w:hint="eastAsia" w:ascii="仿宋" w:hAnsi="仿宋" w:eastAsia="仿宋" w:cs="仿宋"/>
          <w:b/>
          <w:color w:val="auto"/>
          <w:sz w:val="36"/>
          <w:szCs w:val="20"/>
          <w:highlight w:val="none"/>
        </w:rPr>
      </w:pPr>
    </w:p>
    <w:p w14:paraId="424E2B59">
      <w:pPr>
        <w:widowControl/>
        <w:adjustRightInd/>
        <w:jc w:val="center"/>
        <w:rPr>
          <w:rFonts w:hint="eastAsia" w:ascii="仿宋" w:hAnsi="仿宋" w:eastAsia="仿宋" w:cs="仿宋"/>
          <w:b/>
          <w:color w:val="auto"/>
          <w:sz w:val="36"/>
          <w:szCs w:val="20"/>
          <w:highlight w:val="none"/>
        </w:rPr>
      </w:pPr>
    </w:p>
    <w:p w14:paraId="6F9387B4">
      <w:pPr>
        <w:widowControl/>
        <w:adjustRightInd/>
        <w:jc w:val="center"/>
        <w:rPr>
          <w:rFonts w:hint="eastAsia" w:ascii="仿宋" w:hAnsi="仿宋" w:eastAsia="仿宋" w:cs="仿宋"/>
          <w:b/>
          <w:color w:val="auto"/>
          <w:sz w:val="36"/>
          <w:szCs w:val="20"/>
          <w:highlight w:val="none"/>
        </w:rPr>
      </w:pPr>
    </w:p>
    <w:p w14:paraId="7FC44D6E">
      <w:pPr>
        <w:widowControl/>
        <w:adjustRightInd/>
        <w:jc w:val="center"/>
        <w:rPr>
          <w:rFonts w:hint="eastAsia" w:ascii="仿宋" w:hAnsi="仿宋" w:eastAsia="仿宋" w:cs="仿宋"/>
          <w:b/>
          <w:color w:val="auto"/>
          <w:sz w:val="36"/>
          <w:szCs w:val="20"/>
          <w:highlight w:val="none"/>
        </w:rPr>
      </w:pPr>
    </w:p>
    <w:p w14:paraId="21F48B58">
      <w:pPr>
        <w:widowControl/>
        <w:adjustRightInd/>
        <w:jc w:val="center"/>
        <w:rPr>
          <w:rFonts w:hint="eastAsia" w:ascii="仿宋" w:hAnsi="仿宋" w:eastAsia="仿宋" w:cs="仿宋"/>
          <w:b/>
          <w:color w:val="auto"/>
          <w:sz w:val="36"/>
          <w:szCs w:val="20"/>
          <w:highlight w:val="none"/>
        </w:rPr>
      </w:pPr>
    </w:p>
    <w:p w14:paraId="0BD111A9">
      <w:pPr>
        <w:widowControl/>
        <w:adjustRightInd/>
        <w:jc w:val="center"/>
        <w:rPr>
          <w:rFonts w:hint="eastAsia" w:ascii="仿宋" w:hAnsi="仿宋" w:eastAsia="仿宋" w:cs="仿宋"/>
          <w:b/>
          <w:color w:val="auto"/>
          <w:sz w:val="36"/>
          <w:szCs w:val="20"/>
          <w:highlight w:val="none"/>
        </w:rPr>
      </w:pPr>
    </w:p>
    <w:p w14:paraId="2DC540D4">
      <w:pPr>
        <w:widowControl/>
        <w:adjustRightInd/>
        <w:jc w:val="center"/>
        <w:rPr>
          <w:rFonts w:hint="eastAsia" w:ascii="仿宋" w:hAnsi="仿宋" w:eastAsia="仿宋" w:cs="仿宋"/>
          <w:b/>
          <w:color w:val="auto"/>
          <w:sz w:val="36"/>
          <w:szCs w:val="20"/>
          <w:highlight w:val="none"/>
        </w:rPr>
      </w:pPr>
    </w:p>
    <w:p w14:paraId="778B36D8">
      <w:pPr>
        <w:widowControl/>
        <w:adjustRightInd/>
        <w:jc w:val="center"/>
        <w:rPr>
          <w:rFonts w:hint="eastAsia" w:ascii="仿宋" w:hAnsi="仿宋" w:eastAsia="仿宋" w:cs="仿宋"/>
          <w:b/>
          <w:color w:val="auto"/>
          <w:sz w:val="36"/>
          <w:szCs w:val="20"/>
          <w:highlight w:val="none"/>
        </w:rPr>
      </w:pPr>
    </w:p>
    <w:p w14:paraId="6533EA04">
      <w:pPr>
        <w:widowControl/>
        <w:adjustRightInd/>
        <w:jc w:val="center"/>
        <w:rPr>
          <w:rFonts w:hint="eastAsia" w:ascii="仿宋" w:hAnsi="仿宋" w:eastAsia="仿宋" w:cs="仿宋"/>
          <w:b/>
          <w:color w:val="auto"/>
          <w:sz w:val="36"/>
          <w:szCs w:val="20"/>
          <w:highlight w:val="none"/>
        </w:rPr>
      </w:pPr>
    </w:p>
    <w:p w14:paraId="4CD294D8">
      <w:pPr>
        <w:widowControl/>
        <w:adjustRightInd/>
        <w:jc w:val="center"/>
        <w:rPr>
          <w:rFonts w:hint="eastAsia" w:ascii="仿宋" w:hAnsi="仿宋" w:eastAsia="仿宋" w:cs="仿宋"/>
          <w:b/>
          <w:color w:val="auto"/>
          <w:sz w:val="36"/>
          <w:szCs w:val="20"/>
          <w:highlight w:val="none"/>
        </w:rPr>
      </w:pPr>
    </w:p>
    <w:p w14:paraId="3A59CED7">
      <w:pPr>
        <w:widowControl/>
        <w:adjustRightInd/>
        <w:jc w:val="center"/>
        <w:rPr>
          <w:rFonts w:hint="eastAsia" w:ascii="仿宋" w:hAnsi="仿宋" w:eastAsia="仿宋" w:cs="仿宋"/>
          <w:b/>
          <w:color w:val="auto"/>
          <w:sz w:val="36"/>
          <w:szCs w:val="20"/>
          <w:highlight w:val="none"/>
        </w:rPr>
      </w:pPr>
    </w:p>
    <w:p w14:paraId="4D57DD98">
      <w:pPr>
        <w:widowControl/>
        <w:adjustRightInd/>
        <w:jc w:val="center"/>
        <w:rPr>
          <w:rFonts w:hint="eastAsia" w:ascii="仿宋" w:hAnsi="仿宋" w:eastAsia="仿宋" w:cs="仿宋"/>
          <w:b/>
          <w:color w:val="auto"/>
          <w:sz w:val="36"/>
          <w:szCs w:val="20"/>
          <w:highlight w:val="none"/>
        </w:rPr>
      </w:pPr>
    </w:p>
    <w:p w14:paraId="20204AA6">
      <w:pPr>
        <w:pStyle w:val="2"/>
        <w:rPr>
          <w:rFonts w:hint="eastAsia" w:ascii="仿宋" w:hAnsi="仿宋" w:eastAsia="仿宋" w:cs="仿宋"/>
          <w:b/>
          <w:color w:val="auto"/>
          <w:sz w:val="36"/>
          <w:szCs w:val="20"/>
          <w:highlight w:val="none"/>
        </w:rPr>
      </w:pPr>
    </w:p>
    <w:p w14:paraId="3B27A573">
      <w:pPr>
        <w:rPr>
          <w:rFonts w:hint="eastAsia" w:ascii="仿宋" w:hAnsi="仿宋" w:eastAsia="仿宋" w:cs="仿宋"/>
          <w:b/>
          <w:color w:val="auto"/>
          <w:sz w:val="36"/>
          <w:szCs w:val="20"/>
          <w:highlight w:val="none"/>
        </w:rPr>
      </w:pPr>
    </w:p>
    <w:p w14:paraId="2E4DD642">
      <w:pPr>
        <w:pStyle w:val="2"/>
        <w:rPr>
          <w:rFonts w:hint="eastAsia"/>
          <w:color w:val="auto"/>
        </w:rPr>
      </w:pPr>
    </w:p>
    <w:p w14:paraId="7FE9EB0A">
      <w:pPr>
        <w:widowControl/>
        <w:adjustRightInd/>
        <w:jc w:val="center"/>
        <w:rPr>
          <w:rFonts w:hint="eastAsia" w:ascii="仿宋" w:hAnsi="仿宋" w:eastAsia="仿宋" w:cs="仿宋"/>
          <w:b/>
          <w:color w:val="auto"/>
          <w:sz w:val="36"/>
          <w:szCs w:val="20"/>
          <w:highlight w:val="none"/>
        </w:rPr>
      </w:pPr>
    </w:p>
    <w:p w14:paraId="56D19821">
      <w:pPr>
        <w:widowControl/>
        <w:adjustRightInd/>
        <w:jc w:val="center"/>
        <w:rPr>
          <w:rFonts w:hint="eastAsia" w:ascii="仿宋" w:hAnsi="仿宋" w:eastAsia="仿宋" w:cs="仿宋"/>
          <w:b/>
          <w:color w:val="auto"/>
          <w:sz w:val="36"/>
          <w:szCs w:val="20"/>
          <w:highlight w:val="none"/>
        </w:rPr>
      </w:pPr>
    </w:p>
    <w:p w14:paraId="708AF493">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44D16105">
      <w:pPr>
        <w:spacing w:line="360" w:lineRule="auto"/>
        <w:jc w:val="center"/>
        <w:outlineLvl w:val="0"/>
        <w:rPr>
          <w:rFonts w:hint="eastAsia" w:ascii="仿宋" w:hAnsi="仿宋" w:eastAsia="仿宋" w:cs="仿宋"/>
          <w:b/>
          <w:color w:val="auto"/>
          <w:kern w:val="0"/>
          <w:sz w:val="36"/>
          <w:szCs w:val="36"/>
          <w:highlight w:val="none"/>
        </w:rPr>
      </w:pPr>
    </w:p>
    <w:p w14:paraId="18560FF4">
      <w:pPr>
        <w:spacing w:line="336" w:lineRule="auto"/>
        <w:jc w:val="center"/>
        <w:outlineLvl w:val="0"/>
        <w:rPr>
          <w:rFonts w:hint="eastAsia" w:ascii="仿宋" w:hAnsi="仿宋" w:eastAsia="仿宋" w:cs="仿宋"/>
          <w:b/>
          <w:color w:val="auto"/>
          <w:kern w:val="0"/>
          <w:sz w:val="36"/>
          <w:szCs w:val="36"/>
          <w:highlight w:val="none"/>
        </w:rPr>
      </w:pPr>
    </w:p>
    <w:p w14:paraId="4F3675B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915EEDA">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1A78FB4">
      <w:pPr>
        <w:spacing w:line="336" w:lineRule="auto"/>
        <w:jc w:val="center"/>
        <w:outlineLvl w:val="0"/>
        <w:rPr>
          <w:rFonts w:ascii="仿宋" w:hAnsi="仿宋" w:eastAsia="仿宋" w:cs="仿宋"/>
          <w:b/>
          <w:color w:val="auto"/>
          <w:kern w:val="0"/>
          <w:sz w:val="36"/>
          <w:szCs w:val="36"/>
          <w:highlight w:val="none"/>
        </w:rPr>
      </w:pPr>
    </w:p>
    <w:p w14:paraId="58CA19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w:t>
      </w:r>
      <w:r>
        <w:rPr>
          <w:rFonts w:hint="eastAsia" w:ascii="宋体" w:hAnsi="Times New Roman" w:eastAsia="宋体" w:cs="宋体"/>
          <w:color w:val="auto"/>
          <w:kern w:val="0"/>
          <w:sz w:val="24"/>
          <w:szCs w:val="24"/>
          <w:highlight w:val="none"/>
          <w:lang w:eastAsia="zh-CN"/>
        </w:rPr>
        <w:t>营业执照扫描件</w:t>
      </w:r>
      <w:r>
        <w:rPr>
          <w:rFonts w:hint="eastAsia" w:ascii="宋体" w:hAnsi="Times New Roman" w:eastAsia="宋体" w:cs="宋体"/>
          <w:color w:val="auto"/>
          <w:kern w:val="0"/>
          <w:sz w:val="24"/>
          <w:szCs w:val="24"/>
          <w:highlight w:val="none"/>
        </w:rPr>
        <w:t>……………………………………………………………（页码）</w:t>
      </w:r>
    </w:p>
    <w:p w14:paraId="6D9684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rPr>
        <w:t>（</w:t>
      </w:r>
      <w:r>
        <w:rPr>
          <w:rFonts w:hint="eastAsia" w:ascii="宋体" w:cs="宋体"/>
          <w:color w:val="auto"/>
          <w:kern w:val="0"/>
          <w:sz w:val="24"/>
          <w:szCs w:val="24"/>
          <w:highlight w:val="none"/>
          <w:lang w:val="en-US" w:eastAsia="zh-CN"/>
        </w:rPr>
        <w:t>2</w:t>
      </w:r>
      <w:r>
        <w:rPr>
          <w:rFonts w:hint="eastAsia" w:ascii="宋体" w:cs="宋体"/>
          <w:color w:val="auto"/>
          <w:kern w:val="0"/>
          <w:sz w:val="24"/>
          <w:szCs w:val="24"/>
          <w:highlight w:val="none"/>
          <w:lang w:val="zh-CN"/>
        </w:rPr>
        <w:t>）符合参加采购活动应当具备的一般条件的承诺函</w:t>
      </w:r>
      <w:r>
        <w:rPr>
          <w:rFonts w:hint="eastAsia" w:ascii="宋体" w:hAnsi="Times New Roman" w:eastAsia="宋体" w:cs="宋体"/>
          <w:color w:val="auto"/>
          <w:kern w:val="0"/>
          <w:sz w:val="24"/>
          <w:szCs w:val="24"/>
          <w:highlight w:val="none"/>
        </w:rPr>
        <w:t>………………………（页码）</w:t>
      </w:r>
    </w:p>
    <w:p w14:paraId="4B7D91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rPr>
      </w:pP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lang w:val="en-US" w:eastAsia="zh-CN"/>
        </w:rPr>
        <w:t>3）</w:t>
      </w:r>
      <w:r>
        <w:rPr>
          <w:rFonts w:hint="eastAsia" w:ascii="宋体" w:hAnsi="宋体" w:cs="宋体"/>
          <w:color w:val="auto"/>
          <w:sz w:val="24"/>
          <w:szCs w:val="24"/>
          <w:highlight w:val="none"/>
        </w:rPr>
        <w:t>特定资格要求需提供的证明材料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Times New Roman" w:eastAsia="宋体" w:cs="宋体"/>
          <w:color w:val="auto"/>
          <w:kern w:val="0"/>
          <w:sz w:val="24"/>
          <w:szCs w:val="24"/>
          <w:highlight w:val="none"/>
        </w:rPr>
        <w:t>………………………………（页码）</w:t>
      </w:r>
    </w:p>
    <w:p w14:paraId="1535910A">
      <w:pPr>
        <w:snapToGrid w:val="0"/>
        <w:spacing w:line="360" w:lineRule="auto"/>
        <w:ind w:right="480"/>
        <w:jc w:val="center"/>
        <w:rPr>
          <w:rFonts w:hint="eastAsia" w:ascii="仿宋" w:hAnsi="仿宋" w:eastAsia="仿宋" w:cs="仿宋"/>
          <w:b/>
          <w:color w:val="auto"/>
          <w:kern w:val="0"/>
          <w:sz w:val="32"/>
          <w:szCs w:val="32"/>
          <w:highlight w:val="none"/>
        </w:rPr>
      </w:pPr>
    </w:p>
    <w:p w14:paraId="4082D5ED">
      <w:pPr>
        <w:snapToGrid w:val="0"/>
        <w:spacing w:line="360" w:lineRule="auto"/>
        <w:ind w:right="480"/>
        <w:jc w:val="center"/>
        <w:rPr>
          <w:rFonts w:hint="eastAsia" w:ascii="仿宋" w:hAnsi="仿宋" w:eastAsia="仿宋" w:cs="仿宋"/>
          <w:b/>
          <w:color w:val="auto"/>
          <w:kern w:val="0"/>
          <w:sz w:val="32"/>
          <w:szCs w:val="32"/>
          <w:highlight w:val="none"/>
        </w:rPr>
      </w:pPr>
    </w:p>
    <w:p w14:paraId="36853FB5">
      <w:pPr>
        <w:snapToGrid w:val="0"/>
        <w:spacing w:line="360" w:lineRule="auto"/>
        <w:ind w:right="480"/>
        <w:jc w:val="center"/>
        <w:rPr>
          <w:rFonts w:hint="eastAsia" w:ascii="仿宋" w:hAnsi="仿宋" w:eastAsia="仿宋" w:cs="仿宋"/>
          <w:b/>
          <w:color w:val="auto"/>
          <w:kern w:val="0"/>
          <w:sz w:val="32"/>
          <w:szCs w:val="32"/>
          <w:highlight w:val="none"/>
        </w:rPr>
      </w:pPr>
    </w:p>
    <w:p w14:paraId="56C9B6DE">
      <w:pPr>
        <w:snapToGrid w:val="0"/>
        <w:spacing w:line="360" w:lineRule="auto"/>
        <w:ind w:right="480"/>
        <w:jc w:val="center"/>
        <w:rPr>
          <w:rFonts w:hint="eastAsia" w:ascii="仿宋" w:hAnsi="仿宋" w:eastAsia="仿宋" w:cs="仿宋"/>
          <w:b/>
          <w:color w:val="auto"/>
          <w:kern w:val="0"/>
          <w:sz w:val="32"/>
          <w:szCs w:val="32"/>
          <w:highlight w:val="none"/>
        </w:rPr>
      </w:pPr>
    </w:p>
    <w:p w14:paraId="13A09131">
      <w:pPr>
        <w:snapToGrid w:val="0"/>
        <w:spacing w:line="360" w:lineRule="auto"/>
        <w:ind w:right="480"/>
        <w:jc w:val="center"/>
        <w:rPr>
          <w:rFonts w:hint="eastAsia" w:ascii="仿宋" w:hAnsi="仿宋" w:eastAsia="仿宋" w:cs="仿宋"/>
          <w:b/>
          <w:color w:val="auto"/>
          <w:kern w:val="0"/>
          <w:sz w:val="32"/>
          <w:szCs w:val="32"/>
          <w:highlight w:val="none"/>
        </w:rPr>
      </w:pPr>
    </w:p>
    <w:p w14:paraId="51311257">
      <w:pPr>
        <w:snapToGrid w:val="0"/>
        <w:spacing w:line="360" w:lineRule="auto"/>
        <w:ind w:right="480"/>
        <w:jc w:val="center"/>
        <w:rPr>
          <w:rFonts w:hint="eastAsia" w:ascii="仿宋" w:hAnsi="仿宋" w:eastAsia="仿宋" w:cs="仿宋"/>
          <w:b/>
          <w:color w:val="auto"/>
          <w:kern w:val="0"/>
          <w:sz w:val="32"/>
          <w:szCs w:val="32"/>
          <w:highlight w:val="none"/>
        </w:rPr>
      </w:pPr>
    </w:p>
    <w:p w14:paraId="70EEE1E6">
      <w:pPr>
        <w:snapToGrid w:val="0"/>
        <w:spacing w:line="360" w:lineRule="auto"/>
        <w:ind w:right="480"/>
        <w:jc w:val="center"/>
        <w:rPr>
          <w:rFonts w:hint="eastAsia" w:ascii="仿宋" w:hAnsi="仿宋" w:eastAsia="仿宋" w:cs="仿宋"/>
          <w:b/>
          <w:color w:val="auto"/>
          <w:kern w:val="0"/>
          <w:sz w:val="32"/>
          <w:szCs w:val="32"/>
          <w:highlight w:val="none"/>
        </w:rPr>
      </w:pPr>
    </w:p>
    <w:p w14:paraId="5FD3F6DC">
      <w:pPr>
        <w:snapToGrid w:val="0"/>
        <w:spacing w:line="360" w:lineRule="auto"/>
        <w:ind w:right="480"/>
        <w:jc w:val="center"/>
        <w:rPr>
          <w:rFonts w:hint="eastAsia" w:ascii="仿宋" w:hAnsi="仿宋" w:eastAsia="仿宋" w:cs="仿宋"/>
          <w:b/>
          <w:color w:val="auto"/>
          <w:kern w:val="0"/>
          <w:sz w:val="32"/>
          <w:szCs w:val="32"/>
          <w:highlight w:val="none"/>
        </w:rPr>
      </w:pPr>
    </w:p>
    <w:p w14:paraId="2BDC70D4">
      <w:pPr>
        <w:pStyle w:val="6"/>
        <w:rPr>
          <w:rFonts w:hint="eastAsia"/>
          <w:color w:val="auto"/>
          <w:highlight w:val="none"/>
        </w:rPr>
      </w:pPr>
    </w:p>
    <w:p w14:paraId="596F3579">
      <w:pPr>
        <w:pStyle w:val="5"/>
        <w:rPr>
          <w:rFonts w:hint="eastAsia"/>
          <w:color w:val="auto"/>
        </w:rPr>
      </w:pPr>
    </w:p>
    <w:p w14:paraId="0827287E">
      <w:pPr>
        <w:snapToGrid w:val="0"/>
        <w:spacing w:line="360" w:lineRule="auto"/>
        <w:ind w:right="480"/>
        <w:jc w:val="center"/>
        <w:rPr>
          <w:rFonts w:hint="eastAsia" w:ascii="仿宋" w:hAnsi="仿宋" w:eastAsia="仿宋" w:cs="仿宋"/>
          <w:b/>
          <w:color w:val="auto"/>
          <w:kern w:val="0"/>
          <w:sz w:val="32"/>
          <w:szCs w:val="32"/>
          <w:highlight w:val="none"/>
        </w:rPr>
      </w:pPr>
    </w:p>
    <w:p w14:paraId="0D2E31E3">
      <w:pPr>
        <w:snapToGrid w:val="0"/>
        <w:spacing w:line="360" w:lineRule="auto"/>
        <w:ind w:right="480"/>
        <w:jc w:val="both"/>
        <w:rPr>
          <w:rFonts w:hint="eastAsia" w:ascii="宋体" w:hAnsi="宋体" w:eastAsia="宋体" w:cs="宋体"/>
          <w:b/>
          <w:color w:val="auto"/>
          <w:kern w:val="0"/>
          <w:sz w:val="32"/>
          <w:szCs w:val="32"/>
          <w:highlight w:val="none"/>
        </w:rPr>
      </w:pPr>
    </w:p>
    <w:p w14:paraId="5508F073">
      <w:pPr>
        <w:snapToGrid w:val="0"/>
        <w:spacing w:line="360" w:lineRule="auto"/>
        <w:ind w:right="480"/>
        <w:jc w:val="both"/>
        <w:rPr>
          <w:rFonts w:hint="eastAsia" w:ascii="宋体" w:hAnsi="宋体" w:eastAsia="宋体" w:cs="宋体"/>
          <w:b/>
          <w:color w:val="auto"/>
          <w:kern w:val="0"/>
          <w:sz w:val="32"/>
          <w:szCs w:val="32"/>
          <w:highlight w:val="none"/>
        </w:rPr>
      </w:pPr>
    </w:p>
    <w:p w14:paraId="44C645B3">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营业执照扫描件</w:t>
      </w:r>
    </w:p>
    <w:p w14:paraId="3C738C72">
      <w:pPr>
        <w:keepNext w:val="0"/>
        <w:keepLines w:val="0"/>
        <w:pageBreakBefore w:val="0"/>
        <w:widowControl w:val="0"/>
        <w:kinsoku/>
        <w:wordWrap/>
        <w:overflowPunct/>
        <w:topLinePunct w:val="0"/>
        <w:autoSpaceDE/>
        <w:autoSpaceDN/>
        <w:bidi w:val="0"/>
        <w:adjustRightInd w:val="0"/>
        <w:snapToGrid w:val="0"/>
        <w:spacing w:before="625" w:beforeLines="200"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5C01D220">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2D004A9C">
      <w:pPr>
        <w:keepNext w:val="0"/>
        <w:keepLines w:val="0"/>
        <w:pageBreakBefore w:val="0"/>
        <w:widowControl w:val="0"/>
        <w:kinsoku/>
        <w:wordWrap/>
        <w:overflowPunct/>
        <w:topLinePunct w:val="0"/>
        <w:autoSpaceDE/>
        <w:autoSpaceDN/>
        <w:bidi w:val="0"/>
        <w:adjustRightInd w:val="0"/>
        <w:snapToGrid w:val="0"/>
        <w:spacing w:line="480" w:lineRule="exact"/>
        <w:ind w:right="482"/>
        <w:jc w:val="center"/>
        <w:textAlignment w:val="auto"/>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符合参加采购活动应当具备的一般条件的承诺函</w:t>
      </w:r>
    </w:p>
    <w:p w14:paraId="20CF563F">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val="en-US" w:eastAsia="zh-CN"/>
        </w:rPr>
        <w:t>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采购代理机构）</w:t>
      </w:r>
      <w:r>
        <w:rPr>
          <w:rFonts w:hint="eastAsia" w:ascii="宋体" w:hAnsi="宋体" w:eastAsia="宋体" w:cs="宋体"/>
          <w:color w:val="auto"/>
          <w:sz w:val="24"/>
          <w:szCs w:val="24"/>
          <w:highlight w:val="none"/>
          <w:u w:val="single"/>
        </w:rPr>
        <w:t>：</w:t>
      </w:r>
    </w:p>
    <w:p w14:paraId="29D4CA35">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Style w:val="69"/>
          <w:rFonts w:hint="eastAsia" w:ascii="宋体" w:hAnsi="宋体" w:eastAsia="宋体" w:cs="宋体"/>
          <w:color w:val="auto"/>
          <w:kern w:val="0"/>
          <w:sz w:val="24"/>
          <w:szCs w:val="24"/>
          <w:highlight w:val="none"/>
          <w:u w:val="single" w:color="000000"/>
        </w:rPr>
        <w:t xml:space="preserve">（          项目名称     项目编号   </w:t>
      </w:r>
      <w:r>
        <w:rPr>
          <w:rStyle w:val="69"/>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采购活动，郑重承诺：</w:t>
      </w:r>
    </w:p>
    <w:p w14:paraId="392BF34F">
      <w:pPr>
        <w:keepNext w:val="0"/>
        <w:keepLines w:val="0"/>
        <w:pageBreakBefore w:val="0"/>
        <w:widowControl w:val="0"/>
        <w:kinsoku/>
        <w:wordWrap/>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val="en-US" w:eastAsia="zh-CN"/>
        </w:rPr>
        <w:t>以下</w:t>
      </w:r>
      <w:r>
        <w:rPr>
          <w:rFonts w:hint="eastAsia" w:ascii="宋体" w:hAnsi="宋体" w:eastAsia="宋体" w:cs="宋体"/>
          <w:color w:val="auto"/>
          <w:sz w:val="24"/>
          <w:highlight w:val="none"/>
        </w:rPr>
        <w:t>条件：</w:t>
      </w:r>
    </w:p>
    <w:p w14:paraId="7816890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.具有独立承担民事责任的能力；</w:t>
      </w:r>
    </w:p>
    <w:p w14:paraId="3468CC5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w:t>
      </w:r>
    </w:p>
    <w:p w14:paraId="78AC066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3.具有履行合同所必需的设备和专业技术，售后保障等能力；</w:t>
      </w:r>
    </w:p>
    <w:p w14:paraId="510CC8B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F2D610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5.参加采购活动前三年内，没有重大违法记录，严重失信行为和行贿记录；</w:t>
      </w:r>
    </w:p>
    <w:p w14:paraId="7DD88BE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22F3A13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rPr>
        <w:t>重大税收违法</w:t>
      </w:r>
      <w:r>
        <w:rPr>
          <w:rFonts w:hint="eastAsia" w:ascii="宋体" w:hAnsi="宋体" w:cs="宋体"/>
          <w:color w:val="auto"/>
          <w:sz w:val="24"/>
          <w:highlight w:val="none"/>
          <w:lang w:val="en-US" w:eastAsia="zh-CN"/>
        </w:rPr>
        <w:t>失信主体</w:t>
      </w:r>
      <w:r>
        <w:rPr>
          <w:rFonts w:hint="eastAsia" w:ascii="宋体" w:hAnsi="宋体" w:eastAsia="宋体" w:cs="宋体"/>
          <w:color w:val="auto"/>
          <w:sz w:val="24"/>
          <w:highlight w:val="none"/>
        </w:rPr>
        <w:t>、政府采购严重违法失信行为记录名单。</w:t>
      </w:r>
    </w:p>
    <w:p w14:paraId="4FE484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1552D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2C52A4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B872644">
      <w:pPr>
        <w:snapToGrid w:val="0"/>
        <w:spacing w:line="360" w:lineRule="auto"/>
        <w:ind w:firstLine="5520" w:firstLineChars="2300"/>
        <w:rPr>
          <w:rFonts w:hint="eastAsia" w:ascii="宋体" w:hAnsi="宋体" w:eastAsia="宋体" w:cs="宋体"/>
          <w:color w:val="auto"/>
          <w:kern w:val="0"/>
          <w:sz w:val="24"/>
          <w:highlight w:val="none"/>
          <w:lang w:val="zh-CN"/>
        </w:rPr>
      </w:pPr>
    </w:p>
    <w:p w14:paraId="6D3A8769">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SA"/>
        </w:rPr>
        <w:t xml:space="preserve">                                投标人(电子签名)</w:t>
      </w:r>
      <w:r>
        <w:rPr>
          <w:rFonts w:hint="eastAsia" w:ascii="宋体" w:hAnsi="宋体" w:eastAsia="宋体" w:cs="宋体"/>
          <w:color w:val="auto"/>
          <w:spacing w:val="6"/>
          <w:sz w:val="24"/>
          <w:szCs w:val="24"/>
          <w:highlight w:val="none"/>
        </w:rPr>
        <w:t>：</w:t>
      </w:r>
    </w:p>
    <w:p w14:paraId="25823F5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B7A011">
      <w:pPr>
        <w:widowControl/>
        <w:spacing w:line="360" w:lineRule="auto"/>
        <w:jc w:val="both"/>
        <w:rPr>
          <w:rFonts w:hint="eastAsia" w:ascii="宋体" w:hAnsi="宋体" w:eastAsia="宋体" w:cs="宋体"/>
          <w:b/>
          <w:color w:val="auto"/>
          <w:kern w:val="0"/>
          <w:sz w:val="32"/>
          <w:szCs w:val="32"/>
          <w:highlight w:val="none"/>
          <w:lang w:eastAsia="zh-CN"/>
        </w:rPr>
      </w:pPr>
    </w:p>
    <w:p w14:paraId="6DC63281">
      <w:pPr>
        <w:widowControl/>
        <w:spacing w:line="360" w:lineRule="auto"/>
        <w:ind w:left="150"/>
        <w:jc w:val="center"/>
        <w:rPr>
          <w:rFonts w:hint="eastAsia" w:ascii="宋体" w:hAnsi="宋体" w:cs="宋体"/>
          <w:b/>
          <w:color w:val="auto"/>
          <w:kern w:val="0"/>
          <w:sz w:val="32"/>
          <w:szCs w:val="32"/>
          <w:highlight w:val="none"/>
          <w:lang w:val="en-US" w:eastAsia="zh-CN"/>
        </w:rPr>
      </w:pPr>
    </w:p>
    <w:p w14:paraId="25C1F69C">
      <w:pPr>
        <w:widowControl/>
        <w:spacing w:line="360" w:lineRule="auto"/>
        <w:ind w:left="150"/>
        <w:jc w:val="center"/>
        <w:rPr>
          <w:rFonts w:hint="eastAsia" w:ascii="宋体" w:hAnsi="宋体" w:cs="宋体"/>
          <w:b/>
          <w:color w:val="auto"/>
          <w:kern w:val="0"/>
          <w:sz w:val="32"/>
          <w:szCs w:val="32"/>
          <w:highlight w:val="none"/>
          <w:lang w:val="en-US" w:eastAsia="zh-CN"/>
        </w:rPr>
      </w:pPr>
    </w:p>
    <w:p w14:paraId="353B31B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、本项目的特定资格要求</w:t>
      </w:r>
    </w:p>
    <w:p w14:paraId="501E459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（根据</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公告本项目的特定资格要求提供相应的材料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如果本项目没有设置特定资格条件，则不需要提供）</w:t>
      </w:r>
    </w:p>
    <w:p w14:paraId="10EE03FB">
      <w:pPr>
        <w:spacing w:line="360" w:lineRule="auto"/>
        <w:jc w:val="center"/>
        <w:rPr>
          <w:rFonts w:hint="eastAsia" w:ascii="宋体" w:hAnsi="宋体" w:eastAsia="宋体" w:cs="宋体"/>
          <w:b/>
          <w:bCs/>
          <w:color w:val="auto"/>
          <w:sz w:val="24"/>
          <w:highlight w:val="none"/>
          <w:lang w:val="zh-CN"/>
        </w:rPr>
      </w:pPr>
    </w:p>
    <w:p w14:paraId="71598A34">
      <w:pPr>
        <w:pStyle w:val="6"/>
        <w:rPr>
          <w:rFonts w:hint="eastAsia" w:ascii="宋体" w:hAnsi="宋体" w:eastAsia="宋体" w:cs="宋体"/>
          <w:color w:val="auto"/>
          <w:kern w:val="0"/>
          <w:sz w:val="24"/>
          <w:highlight w:val="none"/>
          <w:lang w:val="zh-CN"/>
        </w:rPr>
      </w:pPr>
    </w:p>
    <w:p w14:paraId="76124982">
      <w:pPr>
        <w:pStyle w:val="5"/>
        <w:rPr>
          <w:rFonts w:hint="eastAsia" w:ascii="宋体" w:hAnsi="宋体" w:eastAsia="宋体" w:cs="宋体"/>
          <w:color w:val="auto"/>
          <w:kern w:val="0"/>
          <w:sz w:val="24"/>
          <w:highlight w:val="none"/>
          <w:lang w:val="zh-CN"/>
        </w:rPr>
      </w:pPr>
    </w:p>
    <w:p w14:paraId="73DE2799">
      <w:pPr>
        <w:pStyle w:val="24"/>
        <w:rPr>
          <w:rFonts w:hint="eastAsia" w:ascii="宋体" w:hAnsi="宋体" w:eastAsia="宋体" w:cs="宋体"/>
          <w:color w:val="auto"/>
          <w:kern w:val="0"/>
          <w:sz w:val="24"/>
          <w:highlight w:val="none"/>
          <w:lang w:val="zh-CN"/>
        </w:rPr>
      </w:pPr>
    </w:p>
    <w:p w14:paraId="6B912969">
      <w:pPr>
        <w:rPr>
          <w:rFonts w:hint="eastAsia" w:ascii="宋体" w:hAnsi="宋体" w:eastAsia="宋体" w:cs="宋体"/>
          <w:color w:val="auto"/>
          <w:kern w:val="0"/>
          <w:sz w:val="24"/>
          <w:highlight w:val="none"/>
          <w:lang w:val="zh-CN"/>
        </w:rPr>
      </w:pPr>
    </w:p>
    <w:p w14:paraId="3D0F0705">
      <w:pPr>
        <w:rPr>
          <w:rFonts w:hint="eastAsia" w:ascii="宋体" w:hAnsi="宋体" w:eastAsia="宋体" w:cs="宋体"/>
          <w:color w:val="auto"/>
          <w:kern w:val="0"/>
          <w:sz w:val="24"/>
          <w:highlight w:val="none"/>
          <w:lang w:val="zh-CN"/>
        </w:rPr>
      </w:pPr>
    </w:p>
    <w:p w14:paraId="4BAC9D38">
      <w:pPr>
        <w:pStyle w:val="6"/>
        <w:rPr>
          <w:rFonts w:hint="eastAsia" w:ascii="宋体" w:hAnsi="宋体" w:eastAsia="宋体" w:cs="宋体"/>
          <w:color w:val="auto"/>
          <w:kern w:val="0"/>
          <w:sz w:val="24"/>
          <w:highlight w:val="none"/>
          <w:lang w:val="zh-CN"/>
        </w:rPr>
      </w:pPr>
    </w:p>
    <w:p w14:paraId="3BD701E6">
      <w:pPr>
        <w:pStyle w:val="5"/>
        <w:rPr>
          <w:rFonts w:hint="eastAsia" w:ascii="宋体" w:hAnsi="宋体" w:eastAsia="宋体" w:cs="宋体"/>
          <w:color w:val="auto"/>
          <w:kern w:val="0"/>
          <w:sz w:val="24"/>
          <w:highlight w:val="none"/>
          <w:lang w:val="zh-CN"/>
        </w:rPr>
      </w:pPr>
    </w:p>
    <w:p w14:paraId="658AE695">
      <w:pPr>
        <w:pStyle w:val="24"/>
        <w:rPr>
          <w:rFonts w:hint="eastAsia" w:ascii="宋体" w:hAnsi="宋体" w:eastAsia="宋体" w:cs="宋体"/>
          <w:color w:val="auto"/>
          <w:kern w:val="0"/>
          <w:sz w:val="24"/>
          <w:highlight w:val="none"/>
          <w:lang w:val="zh-CN"/>
        </w:rPr>
      </w:pPr>
    </w:p>
    <w:p w14:paraId="40AC11E4">
      <w:pPr>
        <w:rPr>
          <w:rFonts w:hint="eastAsia" w:ascii="宋体" w:hAnsi="宋体" w:eastAsia="宋体" w:cs="宋体"/>
          <w:color w:val="auto"/>
          <w:kern w:val="0"/>
          <w:sz w:val="24"/>
          <w:highlight w:val="none"/>
          <w:lang w:val="zh-CN"/>
        </w:rPr>
      </w:pPr>
    </w:p>
    <w:p w14:paraId="1307F36D">
      <w:pPr>
        <w:pStyle w:val="2"/>
        <w:rPr>
          <w:rFonts w:hint="eastAsia" w:ascii="宋体" w:hAnsi="宋体" w:eastAsia="宋体" w:cs="宋体"/>
          <w:color w:val="auto"/>
          <w:kern w:val="0"/>
          <w:sz w:val="24"/>
          <w:highlight w:val="none"/>
          <w:lang w:val="zh-CN"/>
        </w:rPr>
      </w:pPr>
    </w:p>
    <w:p w14:paraId="0A24662F">
      <w:pPr>
        <w:rPr>
          <w:rFonts w:hint="eastAsia" w:ascii="宋体" w:hAnsi="宋体" w:eastAsia="宋体" w:cs="宋体"/>
          <w:color w:val="auto"/>
          <w:kern w:val="0"/>
          <w:sz w:val="24"/>
          <w:highlight w:val="none"/>
          <w:lang w:val="zh-CN"/>
        </w:rPr>
      </w:pPr>
    </w:p>
    <w:p w14:paraId="4E4CA6E8">
      <w:pPr>
        <w:pStyle w:val="2"/>
        <w:rPr>
          <w:rFonts w:hint="eastAsia" w:ascii="宋体" w:hAnsi="宋体" w:eastAsia="宋体" w:cs="宋体"/>
          <w:color w:val="auto"/>
          <w:kern w:val="0"/>
          <w:sz w:val="24"/>
          <w:highlight w:val="none"/>
          <w:lang w:val="zh-CN"/>
        </w:rPr>
      </w:pPr>
    </w:p>
    <w:p w14:paraId="6473F3DF">
      <w:pPr>
        <w:rPr>
          <w:rFonts w:hint="eastAsia" w:ascii="宋体" w:hAnsi="宋体" w:eastAsia="宋体" w:cs="宋体"/>
          <w:color w:val="auto"/>
          <w:kern w:val="0"/>
          <w:sz w:val="24"/>
          <w:highlight w:val="none"/>
          <w:lang w:val="zh-CN"/>
        </w:rPr>
      </w:pPr>
    </w:p>
    <w:p w14:paraId="0F5340CB">
      <w:pPr>
        <w:pStyle w:val="2"/>
        <w:rPr>
          <w:rFonts w:hint="eastAsia" w:ascii="宋体" w:hAnsi="宋体" w:eastAsia="宋体" w:cs="宋体"/>
          <w:color w:val="auto"/>
          <w:kern w:val="0"/>
          <w:sz w:val="24"/>
          <w:highlight w:val="none"/>
          <w:lang w:val="zh-CN"/>
        </w:rPr>
      </w:pPr>
    </w:p>
    <w:p w14:paraId="58468EAE">
      <w:pPr>
        <w:rPr>
          <w:rFonts w:hint="eastAsia" w:ascii="宋体" w:hAnsi="宋体" w:eastAsia="宋体" w:cs="宋体"/>
          <w:color w:val="auto"/>
          <w:kern w:val="0"/>
          <w:sz w:val="24"/>
          <w:highlight w:val="none"/>
          <w:lang w:val="zh-CN"/>
        </w:rPr>
      </w:pPr>
    </w:p>
    <w:p w14:paraId="62DD5FA3">
      <w:pPr>
        <w:pStyle w:val="2"/>
        <w:rPr>
          <w:rFonts w:hint="eastAsia" w:ascii="宋体" w:hAnsi="宋体" w:eastAsia="宋体" w:cs="宋体"/>
          <w:color w:val="auto"/>
          <w:kern w:val="0"/>
          <w:sz w:val="24"/>
          <w:highlight w:val="none"/>
          <w:lang w:val="zh-CN"/>
        </w:rPr>
      </w:pPr>
    </w:p>
    <w:p w14:paraId="3AD03C4E">
      <w:pPr>
        <w:rPr>
          <w:rFonts w:hint="eastAsia" w:ascii="宋体" w:hAnsi="宋体" w:eastAsia="宋体" w:cs="宋体"/>
          <w:color w:val="auto"/>
          <w:kern w:val="0"/>
          <w:sz w:val="24"/>
          <w:highlight w:val="none"/>
          <w:lang w:val="zh-CN"/>
        </w:rPr>
      </w:pPr>
    </w:p>
    <w:p w14:paraId="54F26F4C">
      <w:pPr>
        <w:pStyle w:val="2"/>
        <w:rPr>
          <w:rFonts w:hint="eastAsia" w:ascii="宋体" w:hAnsi="宋体" w:eastAsia="宋体" w:cs="宋体"/>
          <w:color w:val="auto"/>
          <w:kern w:val="0"/>
          <w:sz w:val="24"/>
          <w:highlight w:val="none"/>
          <w:lang w:val="zh-CN"/>
        </w:rPr>
      </w:pPr>
    </w:p>
    <w:p w14:paraId="1CB91039">
      <w:pPr>
        <w:rPr>
          <w:rFonts w:hint="eastAsia" w:ascii="宋体" w:hAnsi="宋体" w:eastAsia="宋体" w:cs="宋体"/>
          <w:color w:val="auto"/>
          <w:kern w:val="0"/>
          <w:sz w:val="24"/>
          <w:highlight w:val="none"/>
          <w:lang w:val="zh-CN"/>
        </w:rPr>
      </w:pPr>
    </w:p>
    <w:p w14:paraId="251AB658">
      <w:pPr>
        <w:pStyle w:val="2"/>
        <w:rPr>
          <w:rFonts w:hint="eastAsia" w:ascii="宋体" w:hAnsi="宋体" w:eastAsia="宋体" w:cs="宋体"/>
          <w:color w:val="auto"/>
          <w:kern w:val="0"/>
          <w:sz w:val="24"/>
          <w:highlight w:val="none"/>
          <w:lang w:val="zh-CN"/>
        </w:rPr>
      </w:pPr>
    </w:p>
    <w:p w14:paraId="66517816">
      <w:pPr>
        <w:rPr>
          <w:rFonts w:hint="eastAsia" w:ascii="宋体" w:hAnsi="宋体" w:eastAsia="宋体" w:cs="宋体"/>
          <w:color w:val="auto"/>
          <w:kern w:val="0"/>
          <w:sz w:val="24"/>
          <w:highlight w:val="none"/>
          <w:lang w:val="zh-CN"/>
        </w:rPr>
      </w:pPr>
    </w:p>
    <w:p w14:paraId="25E68570">
      <w:pPr>
        <w:pStyle w:val="2"/>
        <w:rPr>
          <w:rFonts w:hint="eastAsia" w:ascii="宋体" w:hAnsi="宋体" w:eastAsia="宋体" w:cs="宋体"/>
          <w:color w:val="auto"/>
          <w:kern w:val="0"/>
          <w:sz w:val="24"/>
          <w:highlight w:val="none"/>
          <w:lang w:val="zh-CN"/>
        </w:rPr>
      </w:pPr>
    </w:p>
    <w:p w14:paraId="425E2663">
      <w:pPr>
        <w:rPr>
          <w:rFonts w:hint="eastAsia" w:ascii="宋体" w:hAnsi="宋体" w:eastAsia="宋体" w:cs="宋体"/>
          <w:color w:val="auto"/>
          <w:kern w:val="0"/>
          <w:sz w:val="24"/>
          <w:highlight w:val="none"/>
          <w:lang w:val="zh-CN"/>
        </w:rPr>
      </w:pPr>
    </w:p>
    <w:p w14:paraId="10DC6921">
      <w:pPr>
        <w:pStyle w:val="2"/>
        <w:rPr>
          <w:rFonts w:hint="eastAsia" w:ascii="宋体" w:hAnsi="宋体" w:eastAsia="宋体" w:cs="宋体"/>
          <w:color w:val="auto"/>
          <w:kern w:val="0"/>
          <w:sz w:val="24"/>
          <w:highlight w:val="none"/>
          <w:lang w:val="zh-CN"/>
        </w:rPr>
      </w:pPr>
    </w:p>
    <w:bookmarkEnd w:id="31"/>
    <w:bookmarkEnd w:id="32"/>
    <w:bookmarkEnd w:id="33"/>
    <w:p w14:paraId="5D529FD8">
      <w:pPr>
        <w:jc w:val="both"/>
        <w:rPr>
          <w:rFonts w:hint="eastAsia" w:ascii="宋体" w:hAnsi="宋体" w:eastAsia="宋体" w:cs="宋体"/>
          <w:b/>
          <w:color w:val="auto"/>
          <w:kern w:val="0"/>
          <w:sz w:val="36"/>
          <w:szCs w:val="36"/>
          <w:highlight w:val="none"/>
        </w:rPr>
      </w:pPr>
    </w:p>
    <w:p w14:paraId="31AF4867">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D20681A">
      <w:pPr>
        <w:pStyle w:val="40"/>
        <w:ind w:left="0" w:leftChars="0" w:firstLine="0" w:firstLineChars="0"/>
        <w:rPr>
          <w:rFonts w:hint="eastAsia" w:ascii="宋体" w:hAnsi="宋体" w:eastAsia="宋体" w:cs="宋体"/>
          <w:color w:val="auto"/>
          <w:highlight w:val="none"/>
          <w:lang w:val="zh-CN"/>
        </w:rPr>
      </w:pPr>
    </w:p>
    <w:p w14:paraId="49CEA923">
      <w:pPr>
        <w:spacing w:line="336"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16345748">
      <w:pPr>
        <w:pStyle w:val="40"/>
        <w:rPr>
          <w:rFonts w:hint="eastAsia" w:ascii="宋体" w:hAnsi="宋体" w:eastAsia="宋体" w:cs="宋体"/>
          <w:color w:val="auto"/>
          <w:highlight w:val="none"/>
          <w:lang w:val="zh-CN"/>
        </w:rPr>
      </w:pPr>
    </w:p>
    <w:p w14:paraId="35228FE7">
      <w:pPr>
        <w:pStyle w:val="40"/>
        <w:rPr>
          <w:rFonts w:hint="eastAsia" w:ascii="宋体" w:hAnsi="宋体" w:eastAsia="宋体" w:cs="宋体"/>
          <w:color w:val="auto"/>
          <w:highlight w:val="none"/>
          <w:lang w:val="zh-CN"/>
        </w:rPr>
      </w:pPr>
    </w:p>
    <w:p w14:paraId="0B89865E">
      <w:pPr>
        <w:pStyle w:val="84"/>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投标函</w:t>
      </w:r>
      <w:r>
        <w:rPr>
          <w:rFonts w:hint="eastAsia" w:ascii="宋体" w:hAnsi="宋体" w:eastAsia="宋体" w:cs="宋体"/>
          <w:color w:val="auto"/>
          <w:highlight w:val="none"/>
        </w:rPr>
        <w:t>…………………………………………………………………………（页码）</w:t>
      </w:r>
    </w:p>
    <w:p w14:paraId="672F1B8A">
      <w:pPr>
        <w:pStyle w:val="84"/>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法定代表人身份证明书</w:t>
      </w:r>
      <w:r>
        <w:rPr>
          <w:rFonts w:hint="eastAsia" w:ascii="宋体" w:hAnsi="宋体" w:eastAsia="宋体" w:cs="宋体"/>
          <w:color w:val="auto"/>
          <w:highlight w:val="none"/>
        </w:rPr>
        <w:t>………………………………………………………（页码）</w:t>
      </w:r>
    </w:p>
    <w:p w14:paraId="46C279A9">
      <w:pPr>
        <w:pStyle w:val="84"/>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法定代表人授权委托书</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授权代表社保证明（</w:t>
      </w:r>
      <w:r>
        <w:rPr>
          <w:rFonts w:hint="eastAsia" w:ascii="宋体" w:hAnsi="宋体" w:eastAsia="宋体" w:cs="宋体"/>
          <w:color w:val="auto"/>
          <w:sz w:val="24"/>
          <w:highlight w:val="none"/>
          <w:lang w:val="en-US" w:eastAsia="zh-CN"/>
        </w:rPr>
        <w:t>若委托</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rPr>
        <w:t>…………………（页码）</w:t>
      </w:r>
    </w:p>
    <w:p w14:paraId="092E8ADB">
      <w:pPr>
        <w:pStyle w:val="84"/>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法定代表人及其授权代表身份证复印件（正反面）</w:t>
      </w:r>
      <w:r>
        <w:rPr>
          <w:rFonts w:hint="eastAsia" w:ascii="宋体" w:hAnsi="宋体" w:eastAsia="宋体" w:cs="宋体"/>
          <w:color w:val="auto"/>
          <w:highlight w:val="none"/>
        </w:rPr>
        <w:t>………………………（页码）</w:t>
      </w:r>
    </w:p>
    <w:p w14:paraId="029ACBF1">
      <w:pPr>
        <w:pStyle w:val="84"/>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评分索引表</w:t>
      </w:r>
      <w:r>
        <w:rPr>
          <w:rFonts w:hint="eastAsia" w:ascii="宋体" w:hAnsi="宋体" w:eastAsia="宋体" w:cs="宋体"/>
          <w:color w:val="auto"/>
          <w:highlight w:val="none"/>
        </w:rPr>
        <w:t>……………………………………………………………………（页码）</w:t>
      </w:r>
    </w:p>
    <w:p w14:paraId="3CB42E41">
      <w:pPr>
        <w:pStyle w:val="84"/>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w:t>
      </w:r>
      <w:r>
        <w:rPr>
          <w:rFonts w:hint="eastAsia" w:ascii="宋体" w:hAnsi="宋体" w:cs="宋体"/>
          <w:color w:val="auto"/>
          <w:highlight w:val="none"/>
          <w:lang w:val="en-US" w:eastAsia="zh-CN"/>
        </w:rPr>
        <w:t>偏离</w:t>
      </w:r>
      <w:r>
        <w:rPr>
          <w:rFonts w:hint="eastAsia" w:ascii="宋体" w:hAnsi="宋体" w:eastAsia="宋体" w:cs="宋体"/>
          <w:color w:val="auto"/>
          <w:highlight w:val="none"/>
          <w:lang w:val="en-US" w:eastAsia="zh-CN"/>
        </w:rPr>
        <w:t>表</w:t>
      </w:r>
      <w:r>
        <w:rPr>
          <w:rFonts w:hint="eastAsia" w:ascii="宋体" w:hAnsi="宋体" w:eastAsia="宋体" w:cs="宋体"/>
          <w:color w:val="auto"/>
          <w:highlight w:val="none"/>
        </w:rPr>
        <w:t>……………………………………………………………………（页码）</w:t>
      </w:r>
    </w:p>
    <w:p w14:paraId="24BCA222">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highlight w:val="none"/>
        </w:rPr>
      </w:pP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7</w:t>
      </w: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技术</w:t>
      </w:r>
      <w:r>
        <w:rPr>
          <w:rFonts w:hint="eastAsia" w:ascii="宋体" w:hAnsi="宋体" w:cs="宋体"/>
          <w:color w:val="auto"/>
          <w:highlight w:val="none"/>
          <w:lang w:val="en-US" w:eastAsia="zh-CN"/>
        </w:rPr>
        <w:t>偏离</w:t>
      </w:r>
      <w:r>
        <w:rPr>
          <w:rFonts w:hint="eastAsia" w:ascii="宋体" w:hAnsi="宋体" w:cs="宋体"/>
          <w:color w:val="auto"/>
          <w:kern w:val="2"/>
          <w:sz w:val="24"/>
          <w:highlight w:val="none"/>
          <w:lang w:val="en-US" w:eastAsia="zh-CN" w:bidi="ar-SA"/>
        </w:rPr>
        <w:t>表</w:t>
      </w:r>
      <w:r>
        <w:rPr>
          <w:rFonts w:hint="eastAsia" w:ascii="宋体" w:hAnsi="宋体" w:eastAsia="宋体" w:cs="宋体"/>
          <w:color w:val="auto"/>
          <w:highlight w:val="none"/>
        </w:rPr>
        <w:t>……………………………………………………………………（页码）</w:t>
      </w:r>
    </w:p>
    <w:p w14:paraId="7B3D18F6">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8</w:t>
      </w: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同类业绩证明</w:t>
      </w:r>
      <w:r>
        <w:rPr>
          <w:rFonts w:hint="eastAsia" w:ascii="宋体" w:hAnsi="宋体" w:eastAsia="宋体" w:cs="宋体"/>
          <w:color w:val="auto"/>
          <w:highlight w:val="none"/>
        </w:rPr>
        <w:t>…………………………………………………………………（页码）</w:t>
      </w:r>
    </w:p>
    <w:p w14:paraId="26F91486">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）供应商廉洁自律承诺书</w:t>
      </w:r>
      <w:r>
        <w:rPr>
          <w:rFonts w:hint="eastAsia" w:ascii="宋体" w:hAnsi="宋体" w:eastAsia="宋体" w:cs="宋体"/>
          <w:color w:val="auto"/>
          <w:highlight w:val="none"/>
        </w:rPr>
        <w:t>………………………………………………………（页码）</w:t>
      </w:r>
    </w:p>
    <w:p w14:paraId="42C462F7">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 认证证书………………………………………………………………………</w:t>
      </w:r>
      <w:r>
        <w:rPr>
          <w:rFonts w:hint="eastAsia" w:ascii="宋体" w:hAnsi="宋体" w:eastAsia="宋体" w:cs="宋体"/>
          <w:color w:val="auto"/>
          <w:highlight w:val="none"/>
        </w:rPr>
        <w:t>（页码）</w:t>
      </w:r>
    </w:p>
    <w:p w14:paraId="28365ABC">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情况………………………………………………………………</w:t>
      </w:r>
      <w:r>
        <w:rPr>
          <w:rFonts w:hint="eastAsia" w:ascii="宋体" w:hAnsi="宋体" w:eastAsia="宋体" w:cs="宋体"/>
          <w:color w:val="auto"/>
          <w:highlight w:val="none"/>
        </w:rPr>
        <w:t>………（页码）</w:t>
      </w:r>
    </w:p>
    <w:p w14:paraId="5544840D">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主要部件情况……</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40AD0408">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 xml:space="preserve">(13) </w:t>
      </w:r>
      <w:r>
        <w:rPr>
          <w:rFonts w:hint="eastAsia" w:ascii="宋体" w:hAnsi="宋体" w:cs="宋体"/>
          <w:b w:val="0"/>
          <w:color w:val="auto"/>
          <w:kern w:val="2"/>
          <w:sz w:val="24"/>
          <w:szCs w:val="24"/>
          <w:highlight w:val="none"/>
          <w:lang w:val="en-US" w:eastAsia="zh-CN" w:bidi="ar-SA"/>
        </w:rPr>
        <w:t>产品</w:t>
      </w:r>
      <w:r>
        <w:rPr>
          <w:rFonts w:hint="eastAsia" w:ascii="宋体" w:hAnsi="宋体" w:cs="宋体"/>
          <w:color w:val="auto"/>
          <w:sz w:val="24"/>
          <w:highlight w:val="none"/>
          <w:lang w:val="en-US" w:eastAsia="zh-CN"/>
        </w:rPr>
        <w:t>配置</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57C00F9F">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kern w:val="2"/>
          <w:sz w:val="24"/>
          <w:highlight w:val="none"/>
          <w:lang w:val="en-US" w:eastAsia="zh-CN" w:bidi="ar-SA"/>
        </w:rPr>
        <w:t xml:space="preserve"> </w:t>
      </w:r>
      <w:r>
        <w:rPr>
          <w:rFonts w:hint="eastAsia" w:ascii="宋体" w:hAnsi="宋体" w:cs="宋体"/>
          <w:b w:val="0"/>
          <w:color w:val="auto"/>
          <w:kern w:val="2"/>
          <w:sz w:val="24"/>
          <w:szCs w:val="24"/>
          <w:highlight w:val="none"/>
          <w:lang w:val="en-US" w:eastAsia="zh-CN" w:bidi="ar-SA"/>
        </w:rPr>
        <w:t>安全部件</w:t>
      </w: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50A1A5A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 xml:space="preserve">(15) </w:t>
      </w:r>
      <w:r>
        <w:rPr>
          <w:rFonts w:hint="eastAsia" w:ascii="宋体" w:hAnsi="宋体" w:cs="宋体"/>
          <w:b w:val="0"/>
          <w:color w:val="auto"/>
          <w:kern w:val="2"/>
          <w:sz w:val="24"/>
          <w:szCs w:val="24"/>
          <w:highlight w:val="none"/>
          <w:lang w:val="en-US" w:eastAsia="zh-CN" w:bidi="ar-SA"/>
        </w:rPr>
        <w:t>轿厢布置和装潢</w:t>
      </w: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4A7A4022">
      <w:pPr>
        <w:keepNext w:val="0"/>
        <w:keepLines w:val="0"/>
        <w:pageBreakBefore w:val="0"/>
        <w:widowControl w:val="0"/>
        <w:kinsoku/>
        <w:wordWrap/>
        <w:overflowPunct/>
        <w:topLinePunct w:val="0"/>
        <w:autoSpaceDE/>
        <w:autoSpaceDN/>
        <w:bidi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 xml:space="preserve">(16) </w:t>
      </w:r>
      <w:r>
        <w:rPr>
          <w:rFonts w:hint="eastAsia" w:ascii="宋体" w:hAnsi="宋体" w:cs="宋体"/>
          <w:b w:val="0"/>
          <w:color w:val="auto"/>
          <w:kern w:val="2"/>
          <w:sz w:val="24"/>
          <w:szCs w:val="24"/>
          <w:highlight w:val="none"/>
          <w:lang w:val="en-US" w:eastAsia="zh-CN" w:bidi="ar-SA"/>
        </w:rPr>
        <w:t>实施方案</w:t>
      </w: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4A72E5B0">
      <w:pPr>
        <w:keepNext w:val="0"/>
        <w:keepLines w:val="0"/>
        <w:pageBreakBefore w:val="0"/>
        <w:widowControl w:val="0"/>
        <w:kinsoku/>
        <w:wordWrap/>
        <w:overflowPunct/>
        <w:topLinePunct w:val="0"/>
        <w:autoSpaceDE/>
        <w:autoSpaceDN/>
        <w:bidi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 xml:space="preserve">(17) </w:t>
      </w:r>
      <w:r>
        <w:rPr>
          <w:rFonts w:hint="eastAsia" w:ascii="宋体" w:hAnsi="宋体" w:cs="宋体"/>
          <w:b w:val="0"/>
          <w:color w:val="auto"/>
          <w:kern w:val="2"/>
          <w:sz w:val="24"/>
          <w:szCs w:val="24"/>
          <w:highlight w:val="none"/>
          <w:lang w:val="en-US" w:eastAsia="zh-CN" w:bidi="ar-SA"/>
        </w:rPr>
        <w:t>培训方案</w:t>
      </w: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4D003C18">
      <w:pPr>
        <w:keepNext w:val="0"/>
        <w:keepLines w:val="0"/>
        <w:pageBreakBefore w:val="0"/>
        <w:widowControl w:val="0"/>
        <w:kinsoku/>
        <w:wordWrap/>
        <w:overflowPunct/>
        <w:topLinePunct w:val="0"/>
        <w:autoSpaceDE/>
        <w:autoSpaceDN/>
        <w:bidi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 xml:space="preserve">(18) </w:t>
      </w:r>
      <w:r>
        <w:rPr>
          <w:rFonts w:hint="eastAsia" w:ascii="宋体" w:hAnsi="宋体" w:eastAsia="宋体" w:cs="宋体"/>
          <w:b w:val="0"/>
          <w:color w:val="auto"/>
          <w:kern w:val="2"/>
          <w:sz w:val="24"/>
          <w:szCs w:val="24"/>
          <w:highlight w:val="none"/>
          <w:lang w:val="en-US" w:eastAsia="zh-CN" w:bidi="ar-SA"/>
        </w:rPr>
        <w:t>质保期</w:t>
      </w: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213447E2">
      <w:pPr>
        <w:keepNext w:val="0"/>
        <w:keepLines w:val="0"/>
        <w:pageBreakBefore w:val="0"/>
        <w:widowControl w:val="0"/>
        <w:kinsoku/>
        <w:wordWrap/>
        <w:overflowPunct/>
        <w:topLinePunct w:val="0"/>
        <w:autoSpaceDE/>
        <w:autoSpaceDN/>
        <w:bidi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 xml:space="preserve">(19) </w:t>
      </w:r>
      <w:r>
        <w:rPr>
          <w:rFonts w:hint="eastAsia" w:ascii="宋体" w:hAnsi="宋体" w:cs="宋体"/>
          <w:b w:val="0"/>
          <w:color w:val="auto"/>
          <w:kern w:val="2"/>
          <w:sz w:val="24"/>
          <w:szCs w:val="24"/>
          <w:highlight w:val="none"/>
          <w:lang w:val="en-US" w:eastAsia="zh-CN" w:bidi="ar-SA"/>
        </w:rPr>
        <w:t>售后服务</w:t>
      </w:r>
      <w:r>
        <w:rPr>
          <w:rFonts w:hint="eastAsia" w:ascii="宋体" w:hAnsi="宋体" w:eastAsia="宋体" w:cs="宋体"/>
          <w:color w:val="auto"/>
          <w:kern w:val="2"/>
          <w:sz w:val="24"/>
          <w:highlight w:val="none"/>
          <w:lang w:val="en-US" w:eastAsia="zh-CN" w:bidi="ar-SA"/>
        </w:rPr>
        <w:t>………………………………………………</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49C59CBB">
      <w:pPr>
        <w:pStyle w:val="84"/>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（20）投标人认为需要说明的其他文件和说明（若有）…………………………（页码）</w:t>
      </w:r>
    </w:p>
    <w:p w14:paraId="3EA0401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1A1F9506">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3F49BA0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709FB358">
      <w:pPr>
        <w:keepNext w:val="0"/>
        <w:keepLines w:val="0"/>
        <w:pageBreakBefore w:val="0"/>
        <w:kinsoku/>
        <w:wordWrap/>
        <w:overflowPunct/>
        <w:topLinePunct w:val="0"/>
        <w:autoSpaceDE/>
        <w:autoSpaceDN/>
        <w:bidi w:val="0"/>
        <w:adjustRightInd/>
        <w:snapToGrid w:val="0"/>
        <w:spacing w:line="440" w:lineRule="exact"/>
        <w:textAlignment w:val="auto"/>
        <w:outlineLvl w:val="0"/>
        <w:rPr>
          <w:rFonts w:hint="eastAsia" w:ascii="宋体" w:hAnsi="宋体" w:eastAsia="宋体" w:cs="宋体"/>
          <w:b/>
          <w:color w:val="auto"/>
          <w:kern w:val="0"/>
          <w:sz w:val="32"/>
          <w:szCs w:val="32"/>
          <w:highlight w:val="none"/>
        </w:rPr>
      </w:pPr>
    </w:p>
    <w:p w14:paraId="36DB33E0">
      <w:pPr>
        <w:keepNext w:val="0"/>
        <w:keepLines w:val="0"/>
        <w:pageBreakBefore w:val="0"/>
        <w:kinsoku/>
        <w:wordWrap/>
        <w:overflowPunct/>
        <w:topLinePunct w:val="0"/>
        <w:autoSpaceDE/>
        <w:autoSpaceDN/>
        <w:bidi w:val="0"/>
        <w:adjustRightInd/>
        <w:snapToGrid w:val="0"/>
        <w:spacing w:line="440" w:lineRule="exact"/>
        <w:ind w:firstLine="3855" w:firstLineChars="120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7541093">
      <w:pPr>
        <w:pStyle w:val="81"/>
        <w:keepNext w:val="0"/>
        <w:keepLines w:val="0"/>
        <w:pageBreakBefore w:val="0"/>
        <w:widowControl/>
        <w:kinsoku/>
        <w:wordWrap/>
        <w:overflowPunct/>
        <w:topLinePunct w:val="0"/>
        <w:autoSpaceDE/>
        <w:autoSpaceDN/>
        <w:bidi w:val="0"/>
        <w:adjustRightInd/>
        <w:snapToGrid w:val="0"/>
        <w:spacing w:afterLines="0" w:line="440" w:lineRule="exact"/>
        <w:ind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名称）</w:t>
      </w:r>
    </w:p>
    <w:p w14:paraId="4DB8C53D">
      <w:pPr>
        <w:pStyle w:val="81"/>
        <w:keepNext w:val="0"/>
        <w:keepLines w:val="0"/>
        <w:pageBreakBefore w:val="0"/>
        <w:kinsoku/>
        <w:wordWrap/>
        <w:overflowPunct/>
        <w:topLinePunct w:val="0"/>
        <w:autoSpaceDE/>
        <w:autoSpaceDN/>
        <w:bidi w:val="0"/>
        <w:adjustRightInd/>
        <w:snapToGrid w:val="0"/>
        <w:spacing w:afterLines="0" w:line="44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根据贵方（</w:t>
      </w:r>
      <w:r>
        <w:rPr>
          <w:rFonts w:hint="eastAsia" w:ascii="宋体" w:hAnsi="宋体" w:eastAsia="宋体" w:cs="宋体"/>
          <w:b/>
          <w:color w:val="auto"/>
          <w:szCs w:val="24"/>
          <w:highlight w:val="none"/>
          <w:u w:val="single"/>
        </w:rPr>
        <w:t>填写项目名称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文件的要求，正式授权</w:t>
      </w:r>
      <w:r>
        <w:rPr>
          <w:rFonts w:hint="eastAsia" w:ascii="宋体" w:hAnsi="宋体" w:eastAsia="宋体" w:cs="宋体"/>
          <w:b/>
          <w:color w:val="auto"/>
          <w:szCs w:val="24"/>
          <w:highlight w:val="none"/>
          <w:u w:val="single"/>
        </w:rPr>
        <w:t>（全权代表姓名 、单位  、职务   ）</w:t>
      </w:r>
      <w:r>
        <w:rPr>
          <w:rFonts w:hint="eastAsia" w:ascii="宋体" w:hAnsi="宋体" w:eastAsia="宋体" w:cs="宋体"/>
          <w:color w:val="auto"/>
          <w:szCs w:val="24"/>
          <w:highlight w:val="none"/>
        </w:rPr>
        <w:t>代表投标人</w:t>
      </w:r>
      <w:r>
        <w:rPr>
          <w:rFonts w:hint="eastAsia" w:ascii="宋体" w:hAnsi="宋体" w:eastAsia="宋体" w:cs="宋体"/>
          <w:color w:val="auto"/>
          <w:szCs w:val="24"/>
          <w:highlight w:val="none"/>
          <w:u w:val="single"/>
        </w:rPr>
        <w:t>（</w:t>
      </w:r>
      <w:r>
        <w:rPr>
          <w:rFonts w:hint="eastAsia" w:ascii="宋体" w:hAnsi="宋体" w:eastAsia="宋体" w:cs="宋体"/>
          <w:b/>
          <w:color w:val="auto"/>
          <w:szCs w:val="24"/>
          <w:highlight w:val="none"/>
          <w:u w:val="single"/>
        </w:rPr>
        <w:t xml:space="preserve">填写单位 、地址 </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提交投标文件。</w:t>
      </w:r>
    </w:p>
    <w:p w14:paraId="22ACFDE6">
      <w:pPr>
        <w:pStyle w:val="81"/>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我方已完全明白</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文件的所有条款要求，兹声明同意如下：</w:t>
      </w:r>
    </w:p>
    <w:p w14:paraId="754CE16F">
      <w:pPr>
        <w:pStyle w:val="7"/>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我方同意在投标人</w:t>
      </w:r>
      <w:r>
        <w:rPr>
          <w:rFonts w:hint="eastAsia" w:ascii="宋体" w:hAnsi="宋体" w:eastAsia="宋体" w:cs="宋体"/>
          <w:color w:val="auto"/>
          <w:kern w:val="44"/>
          <w:szCs w:val="24"/>
          <w:highlight w:val="none"/>
        </w:rPr>
        <w:t>须知</w:t>
      </w:r>
      <w:r>
        <w:rPr>
          <w:rFonts w:hint="eastAsia" w:ascii="宋体" w:hAnsi="宋体" w:eastAsia="宋体" w:cs="宋体"/>
          <w:color w:val="auto"/>
          <w:szCs w:val="24"/>
          <w:highlight w:val="none"/>
        </w:rPr>
        <w:t>规定的开标日期起遵守本投标文件中的承诺且在投标有效期满之前均具有约束力。</w:t>
      </w:r>
    </w:p>
    <w:p w14:paraId="1F150B61">
      <w:pPr>
        <w:pStyle w:val="81"/>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中规定的参加采购活动的供应商应当具备的条件。</w:t>
      </w:r>
    </w:p>
    <w:p w14:paraId="4AB9ECCF">
      <w:pPr>
        <w:pStyle w:val="7"/>
        <w:keepNext w:val="0"/>
        <w:keepLines w:val="0"/>
        <w:pageBreakBefore w:val="0"/>
        <w:numPr>
          <w:ilvl w:val="0"/>
          <w:numId w:val="0"/>
        </w:numPr>
        <w:kinsoku/>
        <w:wordWrap/>
        <w:overflowPunct/>
        <w:topLinePunct w:val="0"/>
        <w:autoSpaceDE/>
        <w:autoSpaceDN/>
        <w:bidi w:val="0"/>
        <w:adjustRightInd/>
        <w:spacing w:line="500" w:lineRule="exact"/>
        <w:ind w:left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36D75A52">
      <w:pPr>
        <w:pStyle w:val="81"/>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4.我方理解贵方将不受你们所收到的最低报价的约束。</w:t>
      </w:r>
    </w:p>
    <w:p w14:paraId="16910E3C">
      <w:pPr>
        <w:pStyle w:val="7"/>
        <w:keepNext w:val="0"/>
        <w:keepLines w:val="0"/>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5.本投标自开标之日（投标截止之日）起90天内有效。</w:t>
      </w:r>
    </w:p>
    <w:p w14:paraId="623B0A87">
      <w:pPr>
        <w:pStyle w:val="81"/>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eastAsia="宋体" w:cs="宋体"/>
          <w:color w:val="auto"/>
          <w:sz w:val="24"/>
          <w:highlight w:val="none"/>
        </w:rPr>
        <w:t>如在此有效期内，</w:t>
      </w:r>
      <w:r>
        <w:rPr>
          <w:rFonts w:hint="eastAsia" w:ascii="宋体" w:hAnsi="宋体" w:eastAsia="宋体" w:cs="宋体"/>
          <w:color w:val="auto"/>
          <w:sz w:val="24"/>
          <w:szCs w:val="24"/>
          <w:highlight w:val="none"/>
        </w:rPr>
        <w:t>我方出现下列行为之一者，同意无条件接受采购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及上级部门的处罚。</w:t>
      </w:r>
    </w:p>
    <w:p w14:paraId="03DFC5DB">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a)提供虚假材料谋取中标、成交的；</w:t>
      </w:r>
    </w:p>
    <w:p w14:paraId="4BF387DF">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b)采取不正当手段诋毁、排挤其他供应商的；</w:t>
      </w:r>
    </w:p>
    <w:p w14:paraId="0FC39929">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c)与采购人、其它供应商或者采购代理机构恶意串通的；</w:t>
      </w:r>
    </w:p>
    <w:p w14:paraId="11BA228D">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d)向采购人、采购代理机构行贿或者提供其他不正当利益的；</w:t>
      </w:r>
    </w:p>
    <w:p w14:paraId="50F6DCC1">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e)在招标采购过程中与采购人进行协商谈判的；</w:t>
      </w:r>
    </w:p>
    <w:p w14:paraId="0D0DEA29">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f)拒绝有关部门监督检查或提供虚假情况的。</w:t>
      </w:r>
    </w:p>
    <w:p w14:paraId="5248D9EE">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供应商有前款第a)至e)项情形之一的，中标、成交无效。</w:t>
      </w:r>
    </w:p>
    <w:p w14:paraId="6B669B6C">
      <w:pPr>
        <w:pStyle w:val="81"/>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　　　　　　　　　　　　　　　邮政编码：</w:t>
      </w:r>
    </w:p>
    <w:p w14:paraId="0D633D4F">
      <w:pPr>
        <w:pStyle w:val="81"/>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                              传真：</w:t>
      </w:r>
    </w:p>
    <w:p w14:paraId="2F60C16C">
      <w:pPr>
        <w:pStyle w:val="81"/>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开户银行：                          帐号：</w:t>
      </w:r>
    </w:p>
    <w:p w14:paraId="3D0F6EDC">
      <w:pPr>
        <w:pStyle w:val="81"/>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法定代表人或授权委托人</w:t>
      </w:r>
      <w:r>
        <w:rPr>
          <w:rFonts w:hint="eastAsia" w:ascii="宋体" w:hAnsi="宋体" w:eastAsia="宋体" w:cs="宋体"/>
          <w:color w:val="auto"/>
          <w:spacing w:val="20"/>
          <w:szCs w:val="24"/>
          <w:highlight w:val="none"/>
        </w:rPr>
        <w:t>签</w:t>
      </w:r>
      <w:r>
        <w:rPr>
          <w:rFonts w:hint="eastAsia" w:ascii="宋体" w:hAnsi="宋体" w:eastAsia="宋体" w:cs="宋体"/>
          <w:color w:val="auto"/>
          <w:spacing w:val="20"/>
          <w:szCs w:val="24"/>
          <w:highlight w:val="none"/>
          <w:lang w:val="en-US" w:eastAsia="zh-CN"/>
        </w:rPr>
        <w:t>字</w:t>
      </w:r>
      <w:r>
        <w:rPr>
          <w:rFonts w:hint="eastAsia" w:ascii="宋体" w:hAnsi="宋体" w:eastAsia="宋体" w:cs="宋体"/>
          <w:color w:val="auto"/>
          <w:spacing w:val="20"/>
          <w:szCs w:val="24"/>
          <w:highlight w:val="none"/>
        </w:rPr>
        <w:t>：</w:t>
      </w:r>
    </w:p>
    <w:p w14:paraId="1FB53B80">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投标人(电子签名)：　　　　　　　　　日期：  </w:t>
      </w:r>
    </w:p>
    <w:p w14:paraId="6BA46E2D">
      <w:pPr>
        <w:pStyle w:val="5"/>
        <w:keepNext w:val="0"/>
        <w:keepLines w:val="0"/>
        <w:pageBreakBefore w:val="0"/>
        <w:kinsoku/>
        <w:wordWrap/>
        <w:overflowPunct/>
        <w:topLinePunct w:val="0"/>
        <w:autoSpaceDE/>
        <w:autoSpaceDN/>
        <w:bidi w:val="0"/>
        <w:adjustRightInd/>
        <w:spacing w:after="0" w:line="500" w:lineRule="exact"/>
        <w:ind w:firstLine="480" w:firstLineChars="2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Cs w:val="24"/>
          <w:highlight w:val="none"/>
        </w:rPr>
        <w:t xml:space="preserve">  </w:t>
      </w:r>
    </w:p>
    <w:p w14:paraId="29E59C8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二、法定代表人身份证明书</w:t>
      </w:r>
    </w:p>
    <w:p w14:paraId="4D04F43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794FACD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33A9116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4A593932">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p>
    <w:p w14:paraId="58D1B60A">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AC8EA6A">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56DDD5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cs="宋体"/>
          <w:color w:val="auto"/>
          <w:sz w:val="24"/>
          <w:highlight w:val="none"/>
          <w:u w:val="single"/>
          <w:lang w:val="en-US" w:eastAsia="zh-CN"/>
        </w:rPr>
        <w:t>投标人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018529E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12CAE7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3A96A4DC">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投标人(电子签名)</w:t>
      </w:r>
      <w:r>
        <w:rPr>
          <w:rFonts w:hint="eastAsia" w:ascii="宋体" w:hAnsi="宋体" w:eastAsia="宋体" w:cs="宋体"/>
          <w:color w:val="auto"/>
          <w:sz w:val="24"/>
          <w:highlight w:val="none"/>
          <w:lang w:val="en-US" w:eastAsia="zh-CN"/>
        </w:rPr>
        <w:t xml:space="preserve">            </w:t>
      </w:r>
    </w:p>
    <w:p w14:paraId="2869362F">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6A777C8">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6280A24B">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2A1CD5C5">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6D013F3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636317A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2A87922D">
      <w:pPr>
        <w:pStyle w:val="110"/>
        <w:rPr>
          <w:rFonts w:hint="eastAsia" w:ascii="宋体" w:hAnsi="宋体" w:eastAsia="宋体" w:cs="宋体"/>
          <w:color w:val="auto"/>
          <w:highlight w:val="none"/>
          <w:lang w:val="en-US" w:eastAsia="zh-CN"/>
        </w:rPr>
      </w:pPr>
    </w:p>
    <w:p w14:paraId="1BF631BF">
      <w:pPr>
        <w:pStyle w:val="110"/>
        <w:rPr>
          <w:rFonts w:hint="eastAsia" w:ascii="宋体" w:hAnsi="宋体" w:eastAsia="宋体" w:cs="宋体"/>
          <w:color w:val="auto"/>
          <w:highlight w:val="none"/>
          <w:lang w:val="en-US" w:eastAsia="zh-CN"/>
        </w:rPr>
      </w:pPr>
    </w:p>
    <w:p w14:paraId="42387087">
      <w:pPr>
        <w:pStyle w:val="110"/>
        <w:rPr>
          <w:rFonts w:hint="eastAsia" w:ascii="宋体" w:hAnsi="宋体" w:eastAsia="宋体" w:cs="宋体"/>
          <w:color w:val="auto"/>
          <w:highlight w:val="none"/>
          <w:lang w:val="en-US" w:eastAsia="zh-CN"/>
        </w:rPr>
      </w:pPr>
    </w:p>
    <w:p w14:paraId="76178113">
      <w:pPr>
        <w:pStyle w:val="110"/>
        <w:rPr>
          <w:rFonts w:hint="eastAsia" w:ascii="宋体" w:hAnsi="宋体" w:eastAsia="宋体" w:cs="宋体"/>
          <w:color w:val="auto"/>
          <w:highlight w:val="none"/>
          <w:lang w:val="en-US" w:eastAsia="zh-CN"/>
        </w:rPr>
      </w:pPr>
    </w:p>
    <w:p w14:paraId="25981BDA">
      <w:pPr>
        <w:pStyle w:val="110"/>
        <w:rPr>
          <w:rFonts w:hint="eastAsia" w:ascii="宋体" w:hAnsi="宋体" w:eastAsia="宋体" w:cs="宋体"/>
          <w:color w:val="auto"/>
          <w:highlight w:val="none"/>
          <w:lang w:val="en-US" w:eastAsia="zh-CN"/>
        </w:rPr>
      </w:pPr>
    </w:p>
    <w:p w14:paraId="0A12A89A">
      <w:pPr>
        <w:pStyle w:val="110"/>
        <w:rPr>
          <w:rFonts w:hint="eastAsia" w:ascii="宋体" w:hAnsi="宋体" w:eastAsia="宋体" w:cs="宋体"/>
          <w:color w:val="auto"/>
          <w:highlight w:val="none"/>
          <w:lang w:val="en-US" w:eastAsia="zh-CN"/>
        </w:rPr>
      </w:pPr>
    </w:p>
    <w:p w14:paraId="787074CD">
      <w:pPr>
        <w:pStyle w:val="110"/>
        <w:rPr>
          <w:rFonts w:hint="eastAsia" w:ascii="宋体" w:hAnsi="宋体" w:eastAsia="宋体" w:cs="宋体"/>
          <w:color w:val="auto"/>
          <w:highlight w:val="none"/>
          <w:lang w:val="en-US" w:eastAsia="zh-CN"/>
        </w:rPr>
      </w:pPr>
    </w:p>
    <w:p w14:paraId="7BF9C799">
      <w:pPr>
        <w:pStyle w:val="110"/>
        <w:rPr>
          <w:rFonts w:hint="eastAsia" w:ascii="宋体" w:hAnsi="宋体" w:eastAsia="宋体" w:cs="宋体"/>
          <w:color w:val="auto"/>
          <w:highlight w:val="none"/>
          <w:lang w:val="en-US" w:eastAsia="zh-CN"/>
        </w:rPr>
      </w:pPr>
    </w:p>
    <w:p w14:paraId="67841EAA">
      <w:pPr>
        <w:pStyle w:val="110"/>
        <w:rPr>
          <w:rFonts w:hint="eastAsia" w:ascii="宋体" w:hAnsi="宋体" w:eastAsia="宋体" w:cs="宋体"/>
          <w:color w:val="auto"/>
          <w:highlight w:val="none"/>
          <w:lang w:val="en-US" w:eastAsia="zh-CN"/>
        </w:rPr>
      </w:pPr>
    </w:p>
    <w:p w14:paraId="02E80C18">
      <w:pPr>
        <w:pStyle w:val="110"/>
        <w:rPr>
          <w:rFonts w:hint="eastAsia" w:ascii="宋体" w:hAnsi="宋体" w:eastAsia="宋体" w:cs="宋体"/>
          <w:color w:val="auto"/>
          <w:highlight w:val="none"/>
          <w:lang w:val="en-US" w:eastAsia="zh-CN"/>
        </w:rPr>
      </w:pPr>
    </w:p>
    <w:p w14:paraId="4A6619D7">
      <w:pPr>
        <w:pStyle w:val="110"/>
        <w:rPr>
          <w:rFonts w:hint="eastAsia" w:ascii="宋体" w:hAnsi="宋体" w:eastAsia="宋体" w:cs="宋体"/>
          <w:color w:val="auto"/>
          <w:highlight w:val="none"/>
          <w:lang w:val="en-US" w:eastAsia="zh-CN"/>
        </w:rPr>
      </w:pPr>
    </w:p>
    <w:p w14:paraId="2348C2C2">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宋体" w:hAnsi="宋体" w:eastAsia="宋体" w:cs="宋体"/>
          <w:b/>
          <w:color w:val="auto"/>
          <w:kern w:val="0"/>
          <w:sz w:val="32"/>
          <w:szCs w:val="32"/>
          <w:highlight w:val="none"/>
          <w:lang w:val="en-US" w:eastAsia="zh-CN"/>
        </w:rPr>
      </w:pPr>
    </w:p>
    <w:p w14:paraId="129CC26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三、法定代表人授权委托书及授权代表社保证明（若委托）</w:t>
      </w:r>
    </w:p>
    <w:p w14:paraId="55D94197">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活动。授权代表在开标、评标、合同谈判过程中所签署的一切文件和处理与之有关的一切事务，我均予以承认。</w:t>
      </w:r>
    </w:p>
    <w:p w14:paraId="4C964E6A">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06329D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23A54AD6">
      <w:pPr>
        <w:snapToGrid w:val="0"/>
        <w:spacing w:line="600" w:lineRule="exact"/>
        <w:jc w:val="left"/>
        <w:rPr>
          <w:rFonts w:hint="eastAsia" w:ascii="宋体" w:hAnsi="宋体" w:eastAsia="宋体" w:cs="宋体"/>
          <w:color w:val="auto"/>
          <w:sz w:val="24"/>
          <w:highlight w:val="none"/>
        </w:rPr>
      </w:pPr>
    </w:p>
    <w:p w14:paraId="3CD9C99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6CF106E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41EA6A4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1F3A158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6F90646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highlight w:val="none"/>
        </w:rPr>
        <w:t>）：</w:t>
      </w:r>
    </w:p>
    <w:p w14:paraId="4F90C507">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34C8490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01D40833">
      <w:pPr>
        <w:spacing w:line="360" w:lineRule="exact"/>
        <w:rPr>
          <w:rFonts w:hint="eastAsia" w:ascii="宋体" w:hAnsi="宋体" w:eastAsia="宋体" w:cs="宋体"/>
          <w:color w:val="auto"/>
          <w:sz w:val="24"/>
          <w:highlight w:val="none"/>
        </w:rPr>
      </w:pPr>
    </w:p>
    <w:p w14:paraId="149AAC95">
      <w:pPr>
        <w:spacing w:line="360" w:lineRule="exact"/>
        <w:rPr>
          <w:rFonts w:hint="eastAsia" w:ascii="宋体" w:hAnsi="宋体" w:eastAsia="宋体" w:cs="宋体"/>
          <w:color w:val="auto"/>
          <w:sz w:val="24"/>
          <w:highlight w:val="none"/>
        </w:rPr>
      </w:pPr>
    </w:p>
    <w:p w14:paraId="41413C0D">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7A08F21E">
      <w:pPr>
        <w:snapToGrid w:val="0"/>
        <w:spacing w:line="360" w:lineRule="auto"/>
        <w:ind w:right="480"/>
        <w:jc w:val="both"/>
        <w:rPr>
          <w:rFonts w:hint="eastAsia" w:ascii="宋体" w:hAnsi="宋体" w:eastAsia="宋体" w:cs="宋体"/>
          <w:b/>
          <w:color w:val="auto"/>
          <w:kern w:val="0"/>
          <w:sz w:val="32"/>
          <w:szCs w:val="32"/>
          <w:highlight w:val="none"/>
          <w:lang w:val="en-US" w:eastAsia="zh-CN"/>
        </w:rPr>
      </w:pPr>
    </w:p>
    <w:p w14:paraId="4815E2D5">
      <w:pPr>
        <w:pStyle w:val="6"/>
        <w:rPr>
          <w:rFonts w:hint="eastAsia"/>
          <w:color w:val="auto"/>
          <w:lang w:val="en-US" w:eastAsia="zh-CN"/>
        </w:rPr>
      </w:pPr>
    </w:p>
    <w:p w14:paraId="1B4AAFA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提供由社保机构出具的该授权代表的社保证明（1.如该授权代表为离退休返聘人员的，需提供退休证明及单位聘用证明;2.如由第三方代理社保事项的，则需提供加盖供应商公章的委托代理协议扫描件）</w:t>
      </w:r>
      <w:r>
        <w:rPr>
          <w:rFonts w:hint="eastAsia" w:ascii="宋体" w:hAnsi="宋体" w:cs="宋体"/>
          <w:b/>
          <w:bCs w:val="0"/>
          <w:color w:val="auto"/>
          <w:kern w:val="0"/>
          <w:sz w:val="24"/>
          <w:szCs w:val="24"/>
          <w:highlight w:val="none"/>
          <w:lang w:val="en-US" w:eastAsia="zh-CN"/>
        </w:rPr>
        <w:t>及法定代表人及其授权代表身份证复印件（正反面）</w:t>
      </w:r>
    </w:p>
    <w:p w14:paraId="20D382D7">
      <w:pPr>
        <w:jc w:val="both"/>
        <w:rPr>
          <w:rFonts w:hint="eastAsia" w:ascii="宋体" w:hAnsi="宋体" w:eastAsia="宋体" w:cs="宋体"/>
          <w:b/>
          <w:color w:val="auto"/>
          <w:kern w:val="0"/>
          <w:sz w:val="32"/>
          <w:szCs w:val="32"/>
          <w:highlight w:val="none"/>
        </w:rPr>
      </w:pPr>
    </w:p>
    <w:p w14:paraId="6A501268">
      <w:pPr>
        <w:jc w:val="center"/>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lang w:val="en-US" w:eastAsia="zh-CN"/>
        </w:rPr>
        <w:t>四、法定代表人及其授权代表身份证复印件（正反面）</w:t>
      </w:r>
    </w:p>
    <w:p w14:paraId="67BD2233">
      <w:pPr>
        <w:rPr>
          <w:rFonts w:hint="eastAsia" w:ascii="宋体" w:hAnsi="宋体" w:eastAsia="宋体" w:cs="宋体"/>
          <w:color w:val="auto"/>
          <w:highlight w:val="none"/>
          <w:lang w:val="en-US" w:eastAsia="zh-CN"/>
        </w:rPr>
      </w:pPr>
    </w:p>
    <w:p w14:paraId="45DB10CA">
      <w:pPr>
        <w:pStyle w:val="39"/>
        <w:rPr>
          <w:rFonts w:hint="eastAsia"/>
          <w:color w:val="auto"/>
          <w:lang w:val="en-US" w:eastAsia="zh-CN"/>
        </w:rPr>
      </w:pPr>
    </w:p>
    <w:p w14:paraId="2A2B0F71">
      <w:pPr>
        <w:pStyle w:val="40"/>
        <w:rPr>
          <w:rFonts w:hint="eastAsia"/>
          <w:color w:val="auto"/>
          <w:lang w:val="en-US" w:eastAsia="zh-CN"/>
        </w:rPr>
      </w:pPr>
    </w:p>
    <w:p w14:paraId="62DE03DC">
      <w:pPr>
        <w:rPr>
          <w:rFonts w:hint="eastAsia"/>
          <w:color w:val="auto"/>
          <w:lang w:val="en-US" w:eastAsia="zh-CN"/>
        </w:rPr>
      </w:pPr>
    </w:p>
    <w:p w14:paraId="4A2F04E0">
      <w:pPr>
        <w:pStyle w:val="2"/>
        <w:rPr>
          <w:rFonts w:hint="eastAsia"/>
          <w:color w:val="auto"/>
          <w:lang w:val="en-US" w:eastAsia="zh-CN"/>
        </w:rPr>
      </w:pPr>
    </w:p>
    <w:p w14:paraId="3E94B3F4">
      <w:pPr>
        <w:rPr>
          <w:rFonts w:hint="eastAsia"/>
          <w:color w:val="auto"/>
          <w:lang w:val="en-US" w:eastAsia="zh-CN"/>
        </w:rPr>
      </w:pPr>
    </w:p>
    <w:p w14:paraId="230623E7">
      <w:pPr>
        <w:pStyle w:val="2"/>
        <w:rPr>
          <w:rFonts w:hint="eastAsia"/>
          <w:color w:val="auto"/>
          <w:lang w:val="en-US" w:eastAsia="zh-CN"/>
        </w:rPr>
      </w:pPr>
    </w:p>
    <w:p w14:paraId="68196811">
      <w:pPr>
        <w:rPr>
          <w:rFonts w:hint="eastAsia"/>
          <w:color w:val="auto"/>
          <w:lang w:val="en-US" w:eastAsia="zh-CN"/>
        </w:rPr>
      </w:pPr>
    </w:p>
    <w:p w14:paraId="2AD6B70B">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t>五</w:t>
      </w:r>
      <w:r>
        <w:rPr>
          <w:rFonts w:hint="eastAsia" w:ascii="宋体" w:hAnsi="宋体" w:eastAsia="宋体" w:cs="宋体"/>
          <w:b/>
          <w:bCs w:val="0"/>
          <w:color w:val="auto"/>
          <w:kern w:val="0"/>
          <w:sz w:val="32"/>
          <w:szCs w:val="32"/>
          <w:highlight w:val="none"/>
          <w:lang w:val="en-US" w:eastAsia="zh-CN"/>
        </w:rPr>
        <w:t>、评分索引表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09AA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3D2DB42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50" w:type="dxa"/>
            <w:noWrap w:val="0"/>
            <w:vAlign w:val="center"/>
          </w:tcPr>
          <w:p w14:paraId="45AE7FE8">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476" w:type="dxa"/>
            <w:noWrap w:val="0"/>
            <w:vAlign w:val="center"/>
          </w:tcPr>
          <w:p w14:paraId="47D403D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3D362FB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7ED6579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79E6C74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0C21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2913972">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274F7295">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5212EF7">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0086A427">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6ACCA173">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43509C4">
            <w:pPr>
              <w:adjustRightInd/>
              <w:spacing w:line="380" w:lineRule="exact"/>
              <w:jc w:val="center"/>
              <w:outlineLvl w:val="9"/>
              <w:rPr>
                <w:rFonts w:hint="eastAsia" w:ascii="宋体" w:hAnsi="宋体" w:eastAsia="宋体" w:cs="宋体"/>
                <w:color w:val="auto"/>
                <w:sz w:val="24"/>
                <w:szCs w:val="24"/>
                <w:highlight w:val="none"/>
              </w:rPr>
            </w:pPr>
          </w:p>
        </w:tc>
      </w:tr>
      <w:tr w14:paraId="34DB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7AD78A8C">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3117E4C2">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16FE97A1">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44CFAD86">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34FF3B12">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08B467C5">
            <w:pPr>
              <w:adjustRightInd/>
              <w:spacing w:line="380" w:lineRule="exact"/>
              <w:jc w:val="center"/>
              <w:outlineLvl w:val="9"/>
              <w:rPr>
                <w:rFonts w:hint="eastAsia" w:ascii="宋体" w:hAnsi="宋体" w:eastAsia="宋体" w:cs="宋体"/>
                <w:color w:val="auto"/>
                <w:sz w:val="24"/>
                <w:szCs w:val="24"/>
                <w:highlight w:val="none"/>
              </w:rPr>
            </w:pPr>
          </w:p>
        </w:tc>
      </w:tr>
      <w:tr w14:paraId="2554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9800159">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497DA71A">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8E392C4">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29DE32C5">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33F7454C">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5E6479B">
            <w:pPr>
              <w:adjustRightInd/>
              <w:spacing w:line="380" w:lineRule="exact"/>
              <w:jc w:val="center"/>
              <w:outlineLvl w:val="9"/>
              <w:rPr>
                <w:rFonts w:hint="eastAsia" w:ascii="宋体" w:hAnsi="宋体" w:eastAsia="宋体" w:cs="宋体"/>
                <w:color w:val="auto"/>
                <w:sz w:val="24"/>
                <w:szCs w:val="24"/>
                <w:highlight w:val="none"/>
              </w:rPr>
            </w:pPr>
          </w:p>
        </w:tc>
      </w:tr>
      <w:tr w14:paraId="5508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6CC1C926">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0F3EBC96">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64E9BDCB">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56BB060F">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7613BE7E">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6DAC0369">
            <w:pPr>
              <w:adjustRightInd/>
              <w:spacing w:line="380" w:lineRule="exact"/>
              <w:jc w:val="center"/>
              <w:outlineLvl w:val="9"/>
              <w:rPr>
                <w:rFonts w:hint="eastAsia" w:ascii="宋体" w:hAnsi="宋体" w:eastAsia="宋体" w:cs="宋体"/>
                <w:color w:val="auto"/>
                <w:sz w:val="24"/>
                <w:szCs w:val="24"/>
                <w:highlight w:val="none"/>
              </w:rPr>
            </w:pPr>
          </w:p>
        </w:tc>
      </w:tr>
      <w:tr w14:paraId="5F99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DE8847B">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40B94C24">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1D34F108">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54997FBB">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6FC3B546">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166846A7">
            <w:pPr>
              <w:adjustRightInd/>
              <w:spacing w:line="380" w:lineRule="exact"/>
              <w:jc w:val="center"/>
              <w:outlineLvl w:val="9"/>
              <w:rPr>
                <w:rFonts w:hint="eastAsia" w:ascii="宋体" w:hAnsi="宋体" w:eastAsia="宋体" w:cs="宋体"/>
                <w:color w:val="auto"/>
                <w:sz w:val="24"/>
                <w:szCs w:val="24"/>
                <w:highlight w:val="none"/>
              </w:rPr>
            </w:pPr>
          </w:p>
        </w:tc>
      </w:tr>
    </w:tbl>
    <w:p w14:paraId="60B30BC0">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对应第四部分评标方法及标准（报价除外）</w:t>
      </w:r>
    </w:p>
    <w:p w14:paraId="1E56DCF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eastAsia="zh-CN"/>
        </w:rPr>
      </w:pPr>
    </w:p>
    <w:p w14:paraId="0070F70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eastAsia="zh-CN"/>
        </w:rPr>
      </w:pPr>
    </w:p>
    <w:p w14:paraId="3471B4F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4BC0014A">
      <w:pPr>
        <w:jc w:val="center"/>
        <w:rPr>
          <w:rFonts w:hint="eastAsia" w:ascii="宋体" w:hAnsi="宋体" w:eastAsia="宋体" w:cs="宋体"/>
          <w:b/>
          <w:color w:val="auto"/>
          <w:kern w:val="0"/>
          <w:sz w:val="32"/>
          <w:szCs w:val="32"/>
          <w:highlight w:val="none"/>
          <w:lang w:val="en-US" w:eastAsia="zh-CN"/>
        </w:rPr>
      </w:pPr>
    </w:p>
    <w:p w14:paraId="28451081">
      <w:pPr>
        <w:jc w:val="center"/>
        <w:rPr>
          <w:rFonts w:hint="eastAsia" w:ascii="宋体" w:hAnsi="宋体" w:eastAsia="宋体" w:cs="宋体"/>
          <w:b/>
          <w:color w:val="auto"/>
          <w:kern w:val="0"/>
          <w:sz w:val="32"/>
          <w:szCs w:val="32"/>
          <w:highlight w:val="none"/>
          <w:lang w:val="en-US" w:eastAsia="zh-CN"/>
        </w:rPr>
      </w:pPr>
    </w:p>
    <w:p w14:paraId="24E303C3">
      <w:pPr>
        <w:jc w:val="center"/>
        <w:rPr>
          <w:rFonts w:hint="eastAsia" w:ascii="宋体" w:hAnsi="宋体" w:eastAsia="宋体" w:cs="宋体"/>
          <w:b/>
          <w:color w:val="auto"/>
          <w:kern w:val="0"/>
          <w:sz w:val="32"/>
          <w:szCs w:val="32"/>
          <w:highlight w:val="none"/>
          <w:lang w:val="en-US" w:eastAsia="zh-CN"/>
        </w:rPr>
      </w:pPr>
    </w:p>
    <w:p w14:paraId="285A72B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w:t>
      </w:r>
      <w:r>
        <w:rPr>
          <w:rFonts w:hint="eastAsia" w:ascii="宋体" w:hAnsi="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rPr>
        <w:t>表</w:t>
      </w:r>
    </w:p>
    <w:p w14:paraId="60BC87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（由投标人根据采购需求及招标文件要求编制）</w:t>
      </w:r>
    </w:p>
    <w:tbl>
      <w:tblPr>
        <w:tblStyle w:val="3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90"/>
        <w:gridCol w:w="2754"/>
        <w:gridCol w:w="2835"/>
        <w:gridCol w:w="1260"/>
      </w:tblGrid>
      <w:tr w14:paraId="51E5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2" w:type="dxa"/>
            <w:vAlign w:val="center"/>
          </w:tcPr>
          <w:p w14:paraId="4A4E87D5">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90" w:type="dxa"/>
            <w:vAlign w:val="center"/>
          </w:tcPr>
          <w:p w14:paraId="680DDC0D">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754" w:type="dxa"/>
            <w:vAlign w:val="center"/>
          </w:tcPr>
          <w:p w14:paraId="63C90140">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04266FD4">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6439A4E0">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30C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5BF157B5">
            <w:pPr>
              <w:adjustRightInd/>
              <w:spacing w:line="380" w:lineRule="exact"/>
              <w:jc w:val="center"/>
              <w:outlineLvl w:val="9"/>
              <w:rPr>
                <w:rFonts w:hint="eastAsia" w:ascii="宋体" w:hAnsi="宋体" w:eastAsia="宋体" w:cs="宋体"/>
                <w:color w:val="auto"/>
                <w:sz w:val="24"/>
                <w:szCs w:val="24"/>
                <w:highlight w:val="none"/>
              </w:rPr>
            </w:pPr>
          </w:p>
        </w:tc>
        <w:tc>
          <w:tcPr>
            <w:tcW w:w="1590" w:type="dxa"/>
            <w:vAlign w:val="center"/>
          </w:tcPr>
          <w:p w14:paraId="559E5D3A">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6112F95B">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840FD85">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0B74863">
            <w:pPr>
              <w:adjustRightInd/>
              <w:spacing w:line="380" w:lineRule="exact"/>
              <w:jc w:val="center"/>
              <w:outlineLvl w:val="9"/>
              <w:rPr>
                <w:rFonts w:hint="eastAsia" w:ascii="宋体" w:hAnsi="宋体" w:eastAsia="宋体" w:cs="宋体"/>
                <w:color w:val="auto"/>
                <w:sz w:val="24"/>
                <w:szCs w:val="24"/>
                <w:highlight w:val="none"/>
              </w:rPr>
            </w:pPr>
          </w:p>
        </w:tc>
      </w:tr>
      <w:tr w14:paraId="5E61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2478027">
            <w:pPr>
              <w:adjustRightInd/>
              <w:spacing w:line="380" w:lineRule="exact"/>
              <w:jc w:val="center"/>
              <w:outlineLvl w:val="9"/>
              <w:rPr>
                <w:rFonts w:hint="eastAsia" w:ascii="宋体" w:hAnsi="宋体" w:eastAsia="宋体" w:cs="宋体"/>
                <w:color w:val="auto"/>
                <w:sz w:val="24"/>
                <w:szCs w:val="24"/>
                <w:highlight w:val="none"/>
              </w:rPr>
            </w:pPr>
          </w:p>
        </w:tc>
        <w:tc>
          <w:tcPr>
            <w:tcW w:w="1590" w:type="dxa"/>
            <w:vAlign w:val="center"/>
          </w:tcPr>
          <w:p w14:paraId="569F5A85">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563EEACD">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6A689B9D">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9022CBA">
            <w:pPr>
              <w:adjustRightInd/>
              <w:spacing w:line="380" w:lineRule="exact"/>
              <w:jc w:val="center"/>
              <w:outlineLvl w:val="9"/>
              <w:rPr>
                <w:rFonts w:hint="eastAsia" w:ascii="宋体" w:hAnsi="宋体" w:eastAsia="宋体" w:cs="宋体"/>
                <w:color w:val="auto"/>
                <w:sz w:val="24"/>
                <w:szCs w:val="24"/>
                <w:highlight w:val="none"/>
              </w:rPr>
            </w:pPr>
          </w:p>
        </w:tc>
      </w:tr>
      <w:tr w14:paraId="20BF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3EA7C17">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vAlign w:val="center"/>
          </w:tcPr>
          <w:p w14:paraId="41C120E9">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3B6F6C7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53D0DD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33E463A">
            <w:pPr>
              <w:adjustRightInd/>
              <w:spacing w:line="380" w:lineRule="exact"/>
              <w:jc w:val="center"/>
              <w:outlineLvl w:val="9"/>
              <w:rPr>
                <w:rFonts w:hint="eastAsia" w:ascii="宋体" w:hAnsi="宋体" w:eastAsia="宋体" w:cs="宋体"/>
                <w:color w:val="auto"/>
                <w:sz w:val="24"/>
                <w:szCs w:val="24"/>
                <w:highlight w:val="none"/>
              </w:rPr>
            </w:pPr>
          </w:p>
        </w:tc>
      </w:tr>
      <w:tr w14:paraId="16C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090E3F2F">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p>
        </w:tc>
        <w:tc>
          <w:tcPr>
            <w:tcW w:w="1590" w:type="dxa"/>
            <w:vAlign w:val="center"/>
          </w:tcPr>
          <w:p w14:paraId="2B6D5E7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2D3D13F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5F73099D">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F1633A4">
            <w:pPr>
              <w:adjustRightInd/>
              <w:spacing w:line="380" w:lineRule="exact"/>
              <w:jc w:val="center"/>
              <w:outlineLvl w:val="9"/>
              <w:rPr>
                <w:rFonts w:hint="eastAsia" w:ascii="宋体" w:hAnsi="宋体" w:eastAsia="宋体" w:cs="宋体"/>
                <w:color w:val="auto"/>
                <w:sz w:val="24"/>
                <w:szCs w:val="24"/>
                <w:highlight w:val="none"/>
              </w:rPr>
            </w:pPr>
          </w:p>
        </w:tc>
      </w:tr>
      <w:tr w14:paraId="4FF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61594D36">
            <w:pPr>
              <w:adjustRightInd/>
              <w:spacing w:line="380" w:lineRule="exact"/>
              <w:jc w:val="center"/>
              <w:outlineLvl w:val="9"/>
              <w:rPr>
                <w:rFonts w:hint="eastAsia" w:ascii="宋体" w:hAnsi="宋体" w:eastAsia="宋体" w:cs="宋体"/>
                <w:color w:val="auto"/>
                <w:kern w:val="2"/>
                <w:sz w:val="24"/>
                <w:szCs w:val="24"/>
                <w:highlight w:val="none"/>
                <w:lang w:val="en-US" w:eastAsia="zh-CN" w:bidi="ar-SA"/>
              </w:rPr>
            </w:pPr>
          </w:p>
        </w:tc>
        <w:tc>
          <w:tcPr>
            <w:tcW w:w="1590" w:type="dxa"/>
            <w:vAlign w:val="center"/>
          </w:tcPr>
          <w:p w14:paraId="47F870C6">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3070AD22">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744D49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870E84F">
            <w:pPr>
              <w:adjustRightInd/>
              <w:spacing w:line="380" w:lineRule="exact"/>
              <w:jc w:val="center"/>
              <w:outlineLvl w:val="9"/>
              <w:rPr>
                <w:rFonts w:hint="eastAsia" w:ascii="宋体" w:hAnsi="宋体" w:eastAsia="宋体" w:cs="宋体"/>
                <w:color w:val="auto"/>
                <w:sz w:val="24"/>
                <w:szCs w:val="24"/>
                <w:highlight w:val="none"/>
              </w:rPr>
            </w:pPr>
          </w:p>
        </w:tc>
      </w:tr>
      <w:tr w14:paraId="74F5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77D953E8">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vAlign w:val="center"/>
          </w:tcPr>
          <w:p w14:paraId="0CDA207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754" w:type="dxa"/>
          </w:tcPr>
          <w:p w14:paraId="1413602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75CA9B7">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35F44A3B">
            <w:pPr>
              <w:adjustRightInd/>
              <w:spacing w:line="380" w:lineRule="exact"/>
              <w:jc w:val="center"/>
              <w:outlineLvl w:val="9"/>
              <w:rPr>
                <w:rFonts w:hint="eastAsia" w:ascii="宋体" w:hAnsi="宋体" w:eastAsia="宋体" w:cs="宋体"/>
                <w:color w:val="auto"/>
                <w:sz w:val="24"/>
                <w:szCs w:val="24"/>
                <w:highlight w:val="none"/>
              </w:rPr>
            </w:pPr>
          </w:p>
        </w:tc>
      </w:tr>
      <w:tr w14:paraId="7749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36E4CEC3">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vAlign w:val="center"/>
          </w:tcPr>
          <w:p w14:paraId="2BA7F42D">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2754" w:type="dxa"/>
          </w:tcPr>
          <w:p w14:paraId="291942E0">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DB5CCBC">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2F7FC137">
            <w:pPr>
              <w:adjustRightInd/>
              <w:spacing w:line="380" w:lineRule="exact"/>
              <w:jc w:val="center"/>
              <w:outlineLvl w:val="9"/>
              <w:rPr>
                <w:rFonts w:hint="eastAsia" w:ascii="宋体" w:hAnsi="宋体" w:eastAsia="宋体" w:cs="宋体"/>
                <w:color w:val="auto"/>
                <w:sz w:val="24"/>
                <w:szCs w:val="24"/>
                <w:highlight w:val="none"/>
              </w:rPr>
            </w:pPr>
          </w:p>
        </w:tc>
      </w:tr>
      <w:tr w14:paraId="33AE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1CEBDB45">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shd w:val="clear" w:color="auto" w:fill="auto"/>
            <w:vAlign w:val="center"/>
          </w:tcPr>
          <w:p w14:paraId="4A744A6C">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44673EA1">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8FB6CC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6BE0F23">
            <w:pPr>
              <w:adjustRightInd/>
              <w:spacing w:line="380" w:lineRule="exact"/>
              <w:jc w:val="center"/>
              <w:outlineLvl w:val="9"/>
              <w:rPr>
                <w:rFonts w:hint="eastAsia" w:ascii="宋体" w:hAnsi="宋体" w:eastAsia="宋体" w:cs="宋体"/>
                <w:color w:val="auto"/>
                <w:sz w:val="24"/>
                <w:szCs w:val="24"/>
                <w:highlight w:val="none"/>
              </w:rPr>
            </w:pPr>
          </w:p>
        </w:tc>
      </w:tr>
      <w:tr w14:paraId="3E27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2C0ACB5C">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shd w:val="clear" w:color="auto" w:fill="auto"/>
            <w:vAlign w:val="center"/>
          </w:tcPr>
          <w:p w14:paraId="331811FE">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7EC1EDD8">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EC69FA0">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EB5F16B">
            <w:pPr>
              <w:adjustRightInd/>
              <w:spacing w:line="380" w:lineRule="exact"/>
              <w:jc w:val="center"/>
              <w:outlineLvl w:val="9"/>
              <w:rPr>
                <w:rFonts w:hint="eastAsia" w:ascii="宋体" w:hAnsi="宋体" w:eastAsia="宋体" w:cs="宋体"/>
                <w:color w:val="auto"/>
                <w:sz w:val="24"/>
                <w:szCs w:val="24"/>
                <w:highlight w:val="none"/>
              </w:rPr>
            </w:pPr>
          </w:p>
        </w:tc>
      </w:tr>
      <w:tr w14:paraId="440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4F828389">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shd w:val="clear" w:color="auto" w:fill="auto"/>
            <w:vAlign w:val="center"/>
          </w:tcPr>
          <w:p w14:paraId="14DAD408">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3D825E7A">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406F18F">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6BEDE993">
            <w:pPr>
              <w:adjustRightInd/>
              <w:spacing w:line="380" w:lineRule="exact"/>
              <w:jc w:val="center"/>
              <w:outlineLvl w:val="9"/>
              <w:rPr>
                <w:rFonts w:hint="eastAsia" w:ascii="宋体" w:hAnsi="宋体" w:eastAsia="宋体" w:cs="宋体"/>
                <w:color w:val="auto"/>
                <w:sz w:val="24"/>
                <w:szCs w:val="24"/>
                <w:highlight w:val="none"/>
              </w:rPr>
            </w:pPr>
          </w:p>
        </w:tc>
      </w:tr>
      <w:tr w14:paraId="1F3C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63A6F46B">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shd w:val="clear" w:color="auto" w:fill="auto"/>
            <w:vAlign w:val="center"/>
          </w:tcPr>
          <w:p w14:paraId="0F04E55F">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5F342AB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4F4C8CCB">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724AB982">
            <w:pPr>
              <w:adjustRightInd/>
              <w:spacing w:line="380" w:lineRule="exact"/>
              <w:jc w:val="center"/>
              <w:outlineLvl w:val="9"/>
              <w:rPr>
                <w:rFonts w:hint="eastAsia" w:ascii="宋体" w:hAnsi="宋体" w:eastAsia="宋体" w:cs="宋体"/>
                <w:color w:val="auto"/>
                <w:sz w:val="24"/>
                <w:szCs w:val="24"/>
                <w:highlight w:val="none"/>
              </w:rPr>
            </w:pPr>
          </w:p>
        </w:tc>
      </w:tr>
      <w:tr w14:paraId="1354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446E2104">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shd w:val="clear" w:color="auto" w:fill="auto"/>
            <w:vAlign w:val="center"/>
          </w:tcPr>
          <w:p w14:paraId="13C3F972">
            <w:pPr>
              <w:keepNext w:val="0"/>
              <w:keepLines w:val="0"/>
              <w:pageBreakBefore w:val="0"/>
              <w:widowControl w:val="0"/>
              <w:kinsoku/>
              <w:wordWrap/>
              <w:overflowPunct/>
              <w:topLinePunct w:val="0"/>
              <w:bidi w:val="0"/>
              <w:adjustRightInd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2754" w:type="dxa"/>
          </w:tcPr>
          <w:p w14:paraId="063A91D3">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23574BA">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56699ADC">
            <w:pPr>
              <w:adjustRightInd/>
              <w:spacing w:line="380" w:lineRule="exact"/>
              <w:jc w:val="center"/>
              <w:outlineLvl w:val="9"/>
              <w:rPr>
                <w:rFonts w:hint="eastAsia" w:ascii="宋体" w:hAnsi="宋体" w:eastAsia="宋体" w:cs="宋体"/>
                <w:color w:val="auto"/>
                <w:sz w:val="24"/>
                <w:szCs w:val="24"/>
                <w:highlight w:val="none"/>
              </w:rPr>
            </w:pPr>
          </w:p>
        </w:tc>
      </w:tr>
      <w:tr w14:paraId="55B4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Align w:val="center"/>
          </w:tcPr>
          <w:p w14:paraId="14AF89D9">
            <w:pPr>
              <w:adjustRightInd/>
              <w:spacing w:line="380" w:lineRule="exact"/>
              <w:jc w:val="center"/>
              <w:outlineLvl w:val="9"/>
              <w:rPr>
                <w:rFonts w:hint="eastAsia" w:ascii="宋体" w:hAnsi="宋体" w:eastAsia="宋体" w:cs="宋体"/>
                <w:color w:val="auto"/>
                <w:sz w:val="24"/>
                <w:szCs w:val="24"/>
                <w:highlight w:val="none"/>
                <w:lang w:val="en-US" w:eastAsia="zh-CN"/>
              </w:rPr>
            </w:pPr>
          </w:p>
        </w:tc>
        <w:tc>
          <w:tcPr>
            <w:tcW w:w="1590" w:type="dxa"/>
            <w:shd w:val="clear" w:color="auto" w:fill="auto"/>
            <w:vAlign w:val="center"/>
          </w:tcPr>
          <w:p w14:paraId="53E587C8">
            <w:pPr>
              <w:tabs>
                <w:tab w:val="left" w:pos="3780"/>
              </w:tabs>
              <w:spacing w:line="440" w:lineRule="exact"/>
              <w:ind w:firstLine="0" w:firstLineChars="0"/>
              <w:jc w:val="center"/>
              <w:rPr>
                <w:rFonts w:hint="eastAsia" w:ascii="宋体" w:hAnsi="宋体" w:eastAsia="宋体" w:cs="宋体"/>
                <w:color w:val="auto"/>
                <w:kern w:val="2"/>
                <w:sz w:val="24"/>
                <w:szCs w:val="24"/>
                <w:highlight w:val="none"/>
                <w:lang w:val="en-US" w:eastAsia="zh-CN" w:bidi="ar-SA"/>
              </w:rPr>
            </w:pPr>
          </w:p>
        </w:tc>
        <w:tc>
          <w:tcPr>
            <w:tcW w:w="2754" w:type="dxa"/>
          </w:tcPr>
          <w:p w14:paraId="39B35AAE">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2FFD8924">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43CECC35">
            <w:pPr>
              <w:adjustRightInd/>
              <w:spacing w:line="380" w:lineRule="exact"/>
              <w:jc w:val="center"/>
              <w:outlineLvl w:val="9"/>
              <w:rPr>
                <w:rFonts w:hint="eastAsia" w:ascii="宋体" w:hAnsi="宋体" w:eastAsia="宋体" w:cs="宋体"/>
                <w:color w:val="auto"/>
                <w:sz w:val="24"/>
                <w:szCs w:val="24"/>
                <w:highlight w:val="none"/>
              </w:rPr>
            </w:pPr>
          </w:p>
        </w:tc>
      </w:tr>
    </w:tbl>
    <w:p w14:paraId="4A638768">
      <w:pPr>
        <w:keepNext w:val="0"/>
        <w:keepLines w:val="0"/>
        <w:pageBreakBefore w:val="0"/>
        <w:kinsoku/>
        <w:wordWrap/>
        <w:overflowPunct/>
        <w:topLinePunct w:val="0"/>
        <w:autoSpaceDE/>
        <w:autoSpaceDN/>
        <w:bidi w:val="0"/>
        <w:spacing w:line="360" w:lineRule="auto"/>
        <w:ind w:left="0" w:leftChars="0" w:right="-24" w:rightChars="-10" w:firstLine="0" w:firstLineChars="0"/>
        <w:jc w:val="left"/>
        <w:textAlignment w:val="auto"/>
        <w:outlineLvl w:val="9"/>
        <w:rPr>
          <w:rFonts w:hint="eastAsia" w:ascii="宋体" w:hAnsi="宋体" w:eastAsia="宋体" w:cs="宋体"/>
          <w:color w:val="auto"/>
          <w:sz w:val="24"/>
          <w:szCs w:val="24"/>
          <w:highlight w:val="none"/>
        </w:rPr>
      </w:pPr>
    </w:p>
    <w:p w14:paraId="0A35B573">
      <w:pPr>
        <w:keepNext w:val="0"/>
        <w:keepLines w:val="0"/>
        <w:pageBreakBefore w:val="0"/>
        <w:kinsoku/>
        <w:wordWrap/>
        <w:overflowPunct/>
        <w:topLinePunct w:val="0"/>
        <w:autoSpaceDE/>
        <w:autoSpaceDN/>
        <w:bidi w:val="0"/>
        <w:spacing w:line="360" w:lineRule="auto"/>
        <w:ind w:left="0" w:leftChars="0" w:right="-24" w:rightChars="-1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注：投标人应根据</w:t>
      </w:r>
      <w:r>
        <w:rPr>
          <w:rFonts w:hint="eastAsia" w:ascii="宋体" w:hAnsi="宋体" w:eastAsia="宋体" w:cs="宋体"/>
          <w:b/>
          <w:bCs/>
          <w:color w:val="auto"/>
          <w:sz w:val="24"/>
          <w:szCs w:val="24"/>
          <w:highlight w:val="none"/>
          <w:lang w:val="en-US" w:eastAsia="zh-CN"/>
        </w:rPr>
        <w:t>相关要求</w:t>
      </w:r>
      <w:r>
        <w:rPr>
          <w:rFonts w:hint="eastAsia" w:ascii="宋体" w:hAnsi="宋体" w:eastAsia="宋体" w:cs="宋体"/>
          <w:b/>
          <w:bCs/>
          <w:color w:val="auto"/>
          <w:sz w:val="24"/>
          <w:szCs w:val="24"/>
          <w:highlight w:val="none"/>
        </w:rPr>
        <w:t>、对照</w:t>
      </w:r>
      <w:r>
        <w:rPr>
          <w:rFonts w:hint="eastAsia" w:ascii="宋体" w:hAnsi="宋体" w:eastAsia="宋体" w:cs="宋体"/>
          <w:b/>
          <w:bCs/>
          <w:color w:val="auto"/>
          <w:sz w:val="24"/>
          <w:szCs w:val="24"/>
          <w:highlight w:val="none"/>
          <w:lang w:val="en-US" w:eastAsia="zh-CN"/>
        </w:rPr>
        <w:t>招标文件</w:t>
      </w:r>
      <w:r>
        <w:rPr>
          <w:rFonts w:hint="eastAsia" w:ascii="宋体" w:hAnsi="宋体" w:cs="宋体"/>
          <w:b/>
          <w:bCs/>
          <w:color w:val="auto"/>
          <w:sz w:val="24"/>
          <w:szCs w:val="24"/>
          <w:highlight w:val="none"/>
          <w:lang w:val="en-US" w:eastAsia="zh-CN"/>
        </w:rPr>
        <w:t>中的商务条款</w:t>
      </w:r>
      <w:r>
        <w:rPr>
          <w:rFonts w:hint="eastAsia" w:ascii="宋体" w:hAnsi="宋体" w:eastAsia="宋体" w:cs="宋体"/>
          <w:b/>
          <w:bCs/>
          <w:color w:val="auto"/>
          <w:sz w:val="24"/>
          <w:szCs w:val="24"/>
          <w:highlight w:val="none"/>
        </w:rPr>
        <w:t>要求</w:t>
      </w:r>
      <w:r>
        <w:rPr>
          <w:rFonts w:hint="eastAsia" w:ascii="宋体" w:hAnsi="宋体" w:cs="宋体"/>
          <w:b/>
          <w:bCs/>
          <w:color w:val="auto"/>
          <w:sz w:val="24"/>
          <w:szCs w:val="24"/>
          <w:highlight w:val="none"/>
          <w:lang w:val="en-US" w:eastAsia="zh-CN"/>
        </w:rPr>
        <w:t>逐条响应，</w:t>
      </w:r>
      <w:r>
        <w:rPr>
          <w:rFonts w:hint="eastAsia" w:ascii="宋体" w:hAnsi="宋体" w:eastAsia="宋体" w:cs="宋体"/>
          <w:b/>
          <w:bCs/>
          <w:color w:val="auto"/>
          <w:sz w:val="24"/>
          <w:szCs w:val="24"/>
          <w:highlight w:val="none"/>
        </w:rPr>
        <w:t>在“偏离情况”栏注明“正偏离”、“负偏离”或“无偏离”。以上内容为实质性条款，</w:t>
      </w:r>
      <w:r>
        <w:rPr>
          <w:rFonts w:hint="eastAsia" w:ascii="宋体" w:hAnsi="宋体" w:eastAsia="宋体" w:cs="宋体"/>
          <w:b/>
          <w:bCs/>
          <w:color w:val="auto"/>
          <w:sz w:val="24"/>
          <w:szCs w:val="24"/>
          <w:highlight w:val="none"/>
          <w:lang w:val="en-US" w:eastAsia="zh-CN"/>
        </w:rPr>
        <w:t>若</w:t>
      </w:r>
      <w:r>
        <w:rPr>
          <w:rFonts w:hint="eastAsia" w:ascii="宋体" w:hAnsi="宋体" w:eastAsia="宋体" w:cs="宋体"/>
          <w:b/>
          <w:bCs/>
          <w:color w:val="auto"/>
          <w:sz w:val="24"/>
          <w:szCs w:val="24"/>
          <w:highlight w:val="none"/>
        </w:rPr>
        <w:t>“负偏离”作无效</w:t>
      </w:r>
      <w:r>
        <w:rPr>
          <w:rFonts w:hint="eastAsia" w:ascii="宋体" w:hAnsi="宋体" w:eastAsia="宋体" w:cs="宋体"/>
          <w:b/>
          <w:bCs/>
          <w:color w:val="auto"/>
          <w:sz w:val="24"/>
          <w:szCs w:val="24"/>
          <w:highlight w:val="none"/>
          <w:lang w:val="en-US" w:eastAsia="zh-CN"/>
        </w:rPr>
        <w:t>标</w:t>
      </w:r>
      <w:r>
        <w:rPr>
          <w:rFonts w:hint="eastAsia" w:ascii="宋体" w:hAnsi="宋体" w:eastAsia="宋体" w:cs="宋体"/>
          <w:b/>
          <w:bCs/>
          <w:color w:val="auto"/>
          <w:sz w:val="24"/>
          <w:szCs w:val="24"/>
          <w:highlight w:val="none"/>
        </w:rPr>
        <w:t>处理。</w:t>
      </w:r>
    </w:p>
    <w:p w14:paraId="0FF6C748">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p>
    <w:p w14:paraId="58C15A7E">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kern w:val="0"/>
          <w:sz w:val="24"/>
          <w:szCs w:val="24"/>
          <w:highlight w:val="none"/>
          <w:lang w:val="zh-CN"/>
        </w:rPr>
        <w:t xml:space="preserve">）：                                                                                                                                                                                                               </w:t>
      </w:r>
    </w:p>
    <w:p w14:paraId="0ABD1C7D">
      <w:pPr>
        <w:spacing w:line="360" w:lineRule="auto"/>
        <w:jc w:val="center"/>
        <w:rPr>
          <w:rFonts w:hint="eastAsia"/>
          <w:color w:val="auto"/>
          <w:lang w:val="en-US"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w:t>
      </w:r>
    </w:p>
    <w:p w14:paraId="68BEBD5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val="en-US" w:eastAsia="zh-CN"/>
        </w:rPr>
      </w:pPr>
    </w:p>
    <w:p w14:paraId="52AC109D">
      <w:pPr>
        <w:jc w:val="center"/>
        <w:rPr>
          <w:rFonts w:hint="eastAsia" w:ascii="宋体" w:hAnsi="宋体" w:cs="宋体"/>
          <w:b/>
          <w:color w:val="auto"/>
          <w:kern w:val="0"/>
          <w:sz w:val="32"/>
          <w:szCs w:val="32"/>
          <w:highlight w:val="none"/>
          <w:lang w:val="en-US" w:eastAsia="zh-CN"/>
        </w:rPr>
      </w:pPr>
    </w:p>
    <w:p w14:paraId="1F11AC76">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en-US" w:eastAsia="zh-CN"/>
        </w:rPr>
        <w:t>、技术</w:t>
      </w:r>
      <w:r>
        <w:rPr>
          <w:rFonts w:hint="eastAsia" w:ascii="宋体" w:hAnsi="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lang w:val="en-US" w:eastAsia="zh-CN"/>
        </w:rPr>
        <w:t>表</w:t>
      </w:r>
    </w:p>
    <w:p w14:paraId="103473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p w14:paraId="1F5545A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（由投标人根据采购需求及招标文件要求编制）</w:t>
      </w:r>
    </w:p>
    <w:tbl>
      <w:tblPr>
        <w:tblStyle w:val="32"/>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2728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9B5BB9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vAlign w:val="center"/>
          </w:tcPr>
          <w:p w14:paraId="17E246E4">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2835" w:type="dxa"/>
            <w:vAlign w:val="center"/>
          </w:tcPr>
          <w:p w14:paraId="52D23E44">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en-US" w:eastAsia="zh-CN"/>
              </w:rPr>
              <w:t>要求</w:t>
            </w:r>
          </w:p>
        </w:tc>
        <w:tc>
          <w:tcPr>
            <w:tcW w:w="2835" w:type="dxa"/>
            <w:vAlign w:val="center"/>
          </w:tcPr>
          <w:p w14:paraId="079DCCBD">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响应</w:t>
            </w:r>
          </w:p>
        </w:tc>
        <w:tc>
          <w:tcPr>
            <w:tcW w:w="1260" w:type="dxa"/>
            <w:vAlign w:val="center"/>
          </w:tcPr>
          <w:p w14:paraId="0DD076B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7DFB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9563413">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tcPr>
          <w:p w14:paraId="482F3D01">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0C627EFF">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3D486C9">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14E62C6C">
            <w:pPr>
              <w:adjustRightInd/>
              <w:spacing w:line="380" w:lineRule="exact"/>
              <w:jc w:val="center"/>
              <w:outlineLvl w:val="9"/>
              <w:rPr>
                <w:rFonts w:hint="eastAsia" w:ascii="宋体" w:hAnsi="宋体" w:eastAsia="宋体" w:cs="宋体"/>
                <w:color w:val="auto"/>
                <w:sz w:val="24"/>
                <w:szCs w:val="24"/>
                <w:highlight w:val="none"/>
              </w:rPr>
            </w:pPr>
          </w:p>
        </w:tc>
      </w:tr>
      <w:tr w14:paraId="5E55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6469E1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17" w:type="dxa"/>
          </w:tcPr>
          <w:p w14:paraId="310A28FC">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7B0A92D5">
            <w:pPr>
              <w:adjustRightInd/>
              <w:spacing w:line="380" w:lineRule="exact"/>
              <w:jc w:val="center"/>
              <w:outlineLvl w:val="9"/>
              <w:rPr>
                <w:rFonts w:hint="eastAsia" w:ascii="宋体" w:hAnsi="宋体" w:eastAsia="宋体" w:cs="宋体"/>
                <w:color w:val="auto"/>
                <w:sz w:val="24"/>
                <w:szCs w:val="24"/>
                <w:highlight w:val="none"/>
              </w:rPr>
            </w:pPr>
          </w:p>
        </w:tc>
        <w:tc>
          <w:tcPr>
            <w:tcW w:w="2835" w:type="dxa"/>
          </w:tcPr>
          <w:p w14:paraId="15E36A03">
            <w:pPr>
              <w:adjustRightInd/>
              <w:spacing w:line="380" w:lineRule="exact"/>
              <w:jc w:val="center"/>
              <w:outlineLvl w:val="9"/>
              <w:rPr>
                <w:rFonts w:hint="eastAsia" w:ascii="宋体" w:hAnsi="宋体" w:eastAsia="宋体" w:cs="宋体"/>
                <w:color w:val="auto"/>
                <w:sz w:val="24"/>
                <w:szCs w:val="24"/>
                <w:highlight w:val="none"/>
              </w:rPr>
            </w:pPr>
          </w:p>
        </w:tc>
        <w:tc>
          <w:tcPr>
            <w:tcW w:w="1260" w:type="dxa"/>
          </w:tcPr>
          <w:p w14:paraId="0809EF62">
            <w:pPr>
              <w:adjustRightInd/>
              <w:spacing w:line="380" w:lineRule="exact"/>
              <w:jc w:val="center"/>
              <w:outlineLvl w:val="9"/>
              <w:rPr>
                <w:rFonts w:hint="eastAsia" w:ascii="宋体" w:hAnsi="宋体" w:eastAsia="宋体" w:cs="宋体"/>
                <w:color w:val="auto"/>
                <w:sz w:val="24"/>
                <w:szCs w:val="24"/>
                <w:highlight w:val="none"/>
              </w:rPr>
            </w:pPr>
          </w:p>
        </w:tc>
      </w:tr>
    </w:tbl>
    <w:p w14:paraId="2F84421B">
      <w:pPr>
        <w:spacing w:line="360" w:lineRule="auto"/>
        <w:ind w:right="420"/>
        <w:rPr>
          <w:rFonts w:hint="eastAsia" w:ascii="宋体" w:hAnsi="宋体" w:eastAsia="宋体" w:cs="宋体"/>
          <w:b/>
          <w:bCs/>
          <w:color w:val="auto"/>
          <w:sz w:val="24"/>
          <w:szCs w:val="24"/>
          <w:highlight w:val="none"/>
        </w:rPr>
      </w:pPr>
    </w:p>
    <w:p w14:paraId="1B6BD425">
      <w:pPr>
        <w:autoSpaceDE w:val="0"/>
        <w:autoSpaceDN w:val="0"/>
        <w:spacing w:line="360" w:lineRule="auto"/>
        <w:ind w:left="2" w:leftChars="1" w:right="1120" w:firstLine="4560" w:firstLineChars="19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lang w:eastAsia="zh-CN"/>
        </w:rPr>
        <w:t>电子签章</w:t>
      </w:r>
      <w:r>
        <w:rPr>
          <w:rFonts w:hint="eastAsia" w:ascii="宋体" w:hAnsi="宋体" w:eastAsia="宋体" w:cs="宋体"/>
          <w:color w:val="auto"/>
          <w:kern w:val="0"/>
          <w:sz w:val="24"/>
          <w:szCs w:val="24"/>
          <w:highlight w:val="none"/>
          <w:lang w:val="zh-CN"/>
        </w:rPr>
        <w:t xml:space="preserve">）：                                                                                                                                                                                                               </w:t>
      </w:r>
    </w:p>
    <w:p w14:paraId="5B1E643F">
      <w:pPr>
        <w:ind w:firstLine="4560" w:firstLineChars="1900"/>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486E5BCF">
      <w:pPr>
        <w:widowControl/>
        <w:adjustRightInd/>
        <w:jc w:val="center"/>
        <w:rPr>
          <w:rFonts w:hint="eastAsia" w:ascii="宋体" w:hAnsi="宋体" w:eastAsia="宋体" w:cs="宋体"/>
          <w:b/>
          <w:bCs/>
          <w:color w:val="auto"/>
          <w:sz w:val="24"/>
          <w:szCs w:val="24"/>
          <w:highlight w:val="none"/>
          <w:lang w:val="en-US" w:eastAsia="zh-CN"/>
        </w:rPr>
      </w:pPr>
    </w:p>
    <w:p w14:paraId="28B4F8CD">
      <w:pPr>
        <w:keepNext w:val="0"/>
        <w:keepLines w:val="0"/>
        <w:pageBreakBefore w:val="0"/>
        <w:kinsoku/>
        <w:wordWrap/>
        <w:overflowPunct/>
        <w:topLinePunct w:val="0"/>
        <w:autoSpaceDE/>
        <w:autoSpaceDN/>
        <w:bidi w:val="0"/>
        <w:spacing w:line="360" w:lineRule="auto"/>
        <w:ind w:left="0" w:leftChars="0" w:right="-24" w:rightChars="-1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投标人应根据</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、对照</w:t>
      </w:r>
      <w:r>
        <w:rPr>
          <w:rFonts w:hint="eastAsia" w:ascii="宋体" w:hAnsi="宋体" w:eastAsia="宋体" w:cs="宋体"/>
          <w:color w:val="auto"/>
          <w:kern w:val="2"/>
          <w:sz w:val="24"/>
          <w:szCs w:val="24"/>
          <w:highlight w:val="none"/>
          <w:lang w:val="en-US" w:eastAsia="zh-CN" w:bidi="ar-SA"/>
        </w:rPr>
        <w:t>招标文件</w:t>
      </w:r>
      <w:r>
        <w:rPr>
          <w:rFonts w:hint="eastAsia" w:ascii="宋体" w:hAnsi="宋体" w:eastAsia="宋体" w:cs="宋体"/>
          <w:color w:val="auto"/>
          <w:sz w:val="24"/>
          <w:szCs w:val="24"/>
          <w:highlight w:val="none"/>
        </w:rPr>
        <w:t>要求在“偏离情况”栏注明“正偏离”、“负偏离”或“无偏离”。</w:t>
      </w:r>
    </w:p>
    <w:p w14:paraId="38E17C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24" w:rightChars="-1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结合采购需求及评分标准将相关证明材料附后。</w:t>
      </w:r>
    </w:p>
    <w:p w14:paraId="17E4D3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2EC46D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115DBB2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3B71E8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6248A3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0EE9B8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667F33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2C4007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3D4066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5661DA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0F6AA07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cs="宋体"/>
          <w:b/>
          <w:color w:val="auto"/>
          <w:kern w:val="0"/>
          <w:sz w:val="32"/>
          <w:szCs w:val="32"/>
          <w:highlight w:val="none"/>
          <w:lang w:val="en-US" w:eastAsia="zh-CN"/>
        </w:rPr>
      </w:pPr>
    </w:p>
    <w:p w14:paraId="3B1062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cs="宋体"/>
          <w:b/>
          <w:color w:val="auto"/>
          <w:kern w:val="0"/>
          <w:sz w:val="32"/>
          <w:szCs w:val="32"/>
          <w:highlight w:val="none"/>
          <w:lang w:val="en-US" w:eastAsia="zh-CN"/>
        </w:rPr>
      </w:pPr>
    </w:p>
    <w:p w14:paraId="03197E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en-US" w:eastAsia="zh-CN"/>
        </w:rPr>
        <w:t>、同类</w:t>
      </w:r>
      <w:r>
        <w:rPr>
          <w:rFonts w:hint="eastAsia" w:ascii="宋体" w:hAnsi="宋体" w:eastAsia="宋体" w:cs="宋体"/>
          <w:b/>
          <w:color w:val="auto"/>
          <w:kern w:val="0"/>
          <w:sz w:val="32"/>
          <w:szCs w:val="32"/>
          <w:highlight w:val="none"/>
          <w:lang w:val="zh-CN" w:eastAsia="zh-CN"/>
        </w:rPr>
        <w:t>业绩证明</w:t>
      </w:r>
    </w:p>
    <w:tbl>
      <w:tblPr>
        <w:tblStyle w:val="31"/>
        <w:tblW w:w="8634" w:type="dxa"/>
        <w:tblInd w:w="108" w:type="dxa"/>
        <w:tblLayout w:type="fixed"/>
        <w:tblCellMar>
          <w:top w:w="0" w:type="dxa"/>
          <w:left w:w="108" w:type="dxa"/>
          <w:bottom w:w="0" w:type="dxa"/>
          <w:right w:w="108" w:type="dxa"/>
        </w:tblCellMar>
      </w:tblPr>
      <w:tblGrid>
        <w:gridCol w:w="1438"/>
        <w:gridCol w:w="834"/>
        <w:gridCol w:w="1400"/>
        <w:gridCol w:w="1183"/>
        <w:gridCol w:w="1965"/>
        <w:gridCol w:w="757"/>
        <w:gridCol w:w="1057"/>
      </w:tblGrid>
      <w:tr w14:paraId="6EE543C6">
        <w:tblPrEx>
          <w:tblCellMar>
            <w:top w:w="0" w:type="dxa"/>
            <w:left w:w="108" w:type="dxa"/>
            <w:bottom w:w="0" w:type="dxa"/>
            <w:right w:w="108" w:type="dxa"/>
          </w:tblCellMar>
        </w:tblPrEx>
        <w:trPr>
          <w:trHeight w:val="692" w:hRule="atLeast"/>
        </w:trPr>
        <w:tc>
          <w:tcPr>
            <w:tcW w:w="1438" w:type="dxa"/>
            <w:vMerge w:val="restart"/>
            <w:tcBorders>
              <w:top w:val="single" w:color="auto" w:sz="6" w:space="0"/>
              <w:left w:val="single" w:color="auto" w:sz="6" w:space="0"/>
              <w:right w:val="single" w:color="auto" w:sz="6" w:space="0"/>
            </w:tcBorders>
            <w:vAlign w:val="center"/>
          </w:tcPr>
          <w:p w14:paraId="6ACEDDA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34" w:type="dxa"/>
            <w:vMerge w:val="restart"/>
            <w:tcBorders>
              <w:top w:val="single" w:color="auto" w:sz="6" w:space="0"/>
              <w:left w:val="single" w:color="auto" w:sz="6" w:space="0"/>
              <w:right w:val="single" w:color="auto" w:sz="6" w:space="0"/>
            </w:tcBorders>
            <w:vAlign w:val="center"/>
          </w:tcPr>
          <w:p w14:paraId="69B20942">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3588C76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1400" w:type="dxa"/>
            <w:vMerge w:val="restart"/>
            <w:tcBorders>
              <w:top w:val="single" w:color="auto" w:sz="6" w:space="0"/>
              <w:left w:val="single" w:color="auto" w:sz="6" w:space="0"/>
              <w:right w:val="single" w:color="auto" w:sz="6" w:space="0"/>
            </w:tcBorders>
            <w:vAlign w:val="center"/>
          </w:tcPr>
          <w:p w14:paraId="016F18F1">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简要描述</w:t>
            </w:r>
          </w:p>
        </w:tc>
        <w:tc>
          <w:tcPr>
            <w:tcW w:w="1183" w:type="dxa"/>
            <w:vMerge w:val="restart"/>
            <w:tcBorders>
              <w:top w:val="single" w:color="auto" w:sz="6" w:space="0"/>
              <w:left w:val="single" w:color="auto" w:sz="6" w:space="0"/>
              <w:right w:val="single" w:color="auto" w:sz="6" w:space="0"/>
            </w:tcBorders>
            <w:vAlign w:val="center"/>
          </w:tcPr>
          <w:p w14:paraId="3474B76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092E8216">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35119969">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965" w:type="dxa"/>
            <w:vMerge w:val="restart"/>
            <w:tcBorders>
              <w:top w:val="single" w:color="auto" w:sz="6" w:space="0"/>
              <w:left w:val="single" w:color="auto" w:sz="6" w:space="0"/>
              <w:right w:val="single" w:color="auto" w:sz="6" w:space="0"/>
            </w:tcBorders>
            <w:vAlign w:val="center"/>
          </w:tcPr>
          <w:p w14:paraId="7F3CD09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项目地址与采购单位联系电话</w:t>
            </w:r>
          </w:p>
        </w:tc>
        <w:tc>
          <w:tcPr>
            <w:tcW w:w="757" w:type="dxa"/>
            <w:tcBorders>
              <w:top w:val="single" w:color="auto" w:sz="6" w:space="0"/>
              <w:left w:val="single" w:color="auto" w:sz="6" w:space="0"/>
              <w:bottom w:val="single" w:color="auto" w:sz="6" w:space="0"/>
              <w:right w:val="single" w:color="auto" w:sz="6" w:space="0"/>
            </w:tcBorders>
            <w:vAlign w:val="center"/>
          </w:tcPr>
          <w:p w14:paraId="62E118B3">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页码</w:t>
            </w:r>
          </w:p>
        </w:tc>
        <w:tc>
          <w:tcPr>
            <w:tcW w:w="1057" w:type="dxa"/>
            <w:vMerge w:val="restart"/>
            <w:tcBorders>
              <w:top w:val="single" w:color="auto" w:sz="6" w:space="0"/>
              <w:left w:val="single" w:color="auto" w:sz="6" w:space="0"/>
              <w:right w:val="single" w:color="auto" w:sz="6" w:space="0"/>
            </w:tcBorders>
            <w:vAlign w:val="center"/>
          </w:tcPr>
          <w:p w14:paraId="20B7A0CB">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00628C66">
        <w:tblPrEx>
          <w:tblCellMar>
            <w:top w:w="0" w:type="dxa"/>
            <w:left w:w="108" w:type="dxa"/>
            <w:bottom w:w="0" w:type="dxa"/>
            <w:right w:w="108" w:type="dxa"/>
          </w:tblCellMar>
        </w:tblPrEx>
        <w:trPr>
          <w:trHeight w:val="692" w:hRule="atLeast"/>
        </w:trPr>
        <w:tc>
          <w:tcPr>
            <w:tcW w:w="1438" w:type="dxa"/>
            <w:vMerge w:val="continue"/>
            <w:tcBorders>
              <w:left w:val="single" w:color="auto" w:sz="6" w:space="0"/>
              <w:bottom w:val="single" w:color="auto" w:sz="6" w:space="0"/>
              <w:right w:val="single" w:color="auto" w:sz="6" w:space="0"/>
            </w:tcBorders>
            <w:vAlign w:val="center"/>
          </w:tcPr>
          <w:p w14:paraId="4DF80F9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834" w:type="dxa"/>
            <w:vMerge w:val="continue"/>
            <w:tcBorders>
              <w:left w:val="single" w:color="auto" w:sz="6" w:space="0"/>
              <w:bottom w:val="single" w:color="auto" w:sz="6" w:space="0"/>
              <w:right w:val="single" w:color="auto" w:sz="6" w:space="0"/>
            </w:tcBorders>
            <w:vAlign w:val="center"/>
          </w:tcPr>
          <w:p w14:paraId="19C8A35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400" w:type="dxa"/>
            <w:vMerge w:val="continue"/>
            <w:tcBorders>
              <w:left w:val="single" w:color="auto" w:sz="6" w:space="0"/>
              <w:bottom w:val="single" w:color="auto" w:sz="6" w:space="0"/>
              <w:right w:val="single" w:color="auto" w:sz="6" w:space="0"/>
            </w:tcBorders>
            <w:vAlign w:val="center"/>
          </w:tcPr>
          <w:p w14:paraId="68E4710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183" w:type="dxa"/>
            <w:vMerge w:val="continue"/>
            <w:tcBorders>
              <w:left w:val="single" w:color="auto" w:sz="6" w:space="0"/>
              <w:bottom w:val="single" w:color="auto" w:sz="6" w:space="0"/>
              <w:right w:val="single" w:color="auto" w:sz="6" w:space="0"/>
            </w:tcBorders>
            <w:vAlign w:val="center"/>
          </w:tcPr>
          <w:p w14:paraId="450156C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965" w:type="dxa"/>
            <w:vMerge w:val="continue"/>
            <w:tcBorders>
              <w:left w:val="single" w:color="auto" w:sz="6" w:space="0"/>
              <w:bottom w:val="single" w:color="auto" w:sz="6" w:space="0"/>
              <w:right w:val="single" w:color="auto" w:sz="6" w:space="0"/>
            </w:tcBorders>
            <w:vAlign w:val="center"/>
          </w:tcPr>
          <w:p w14:paraId="605D43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757" w:type="dxa"/>
            <w:tcBorders>
              <w:top w:val="single" w:color="auto" w:sz="6" w:space="0"/>
              <w:left w:val="single" w:color="auto" w:sz="6" w:space="0"/>
              <w:bottom w:val="single" w:color="auto" w:sz="6" w:space="0"/>
              <w:right w:val="single" w:color="auto" w:sz="6" w:space="0"/>
            </w:tcBorders>
            <w:vAlign w:val="center"/>
          </w:tcPr>
          <w:p w14:paraId="43BBFC2E">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w:t>
            </w:r>
          </w:p>
        </w:tc>
        <w:tc>
          <w:tcPr>
            <w:tcW w:w="1057" w:type="dxa"/>
            <w:vMerge w:val="continue"/>
            <w:tcBorders>
              <w:left w:val="single" w:color="auto" w:sz="6" w:space="0"/>
              <w:bottom w:val="single" w:color="auto" w:sz="6" w:space="0"/>
              <w:right w:val="single" w:color="auto" w:sz="6" w:space="0"/>
            </w:tcBorders>
            <w:vAlign w:val="center"/>
          </w:tcPr>
          <w:p w14:paraId="7A9E59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highlight w:val="none"/>
                <w:lang w:val="en-US" w:eastAsia="zh-CN"/>
              </w:rPr>
            </w:pPr>
          </w:p>
        </w:tc>
      </w:tr>
      <w:tr w14:paraId="12189EBD">
        <w:tblPrEx>
          <w:tblCellMar>
            <w:top w:w="0" w:type="dxa"/>
            <w:left w:w="108" w:type="dxa"/>
            <w:bottom w:w="0" w:type="dxa"/>
            <w:right w:w="108" w:type="dxa"/>
          </w:tblCellMar>
        </w:tblPrEx>
        <w:trPr>
          <w:trHeight w:val="659" w:hRule="atLeast"/>
        </w:trPr>
        <w:tc>
          <w:tcPr>
            <w:tcW w:w="1438" w:type="dxa"/>
            <w:tcBorders>
              <w:top w:val="single" w:color="auto" w:sz="6" w:space="0"/>
              <w:left w:val="single" w:color="auto" w:sz="6" w:space="0"/>
              <w:bottom w:val="single" w:color="auto" w:sz="6" w:space="0"/>
              <w:right w:val="single" w:color="auto" w:sz="6" w:space="0"/>
            </w:tcBorders>
          </w:tcPr>
          <w:p w14:paraId="15D55AE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22A83F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1717ACE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13FC7E1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66E6BFA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279B66E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490F2C7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42B72974">
        <w:tblPrEx>
          <w:tblCellMar>
            <w:top w:w="0" w:type="dxa"/>
            <w:left w:w="108" w:type="dxa"/>
            <w:bottom w:w="0" w:type="dxa"/>
            <w:right w:w="108" w:type="dxa"/>
          </w:tblCellMar>
        </w:tblPrEx>
        <w:trPr>
          <w:trHeight w:val="697" w:hRule="atLeast"/>
        </w:trPr>
        <w:tc>
          <w:tcPr>
            <w:tcW w:w="1438" w:type="dxa"/>
            <w:tcBorders>
              <w:top w:val="single" w:color="auto" w:sz="6" w:space="0"/>
              <w:left w:val="single" w:color="auto" w:sz="6" w:space="0"/>
              <w:bottom w:val="single" w:color="auto" w:sz="6" w:space="0"/>
              <w:right w:val="single" w:color="auto" w:sz="6" w:space="0"/>
            </w:tcBorders>
          </w:tcPr>
          <w:p w14:paraId="729C326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4B6BA1F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03D0C25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7563713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00110BB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6A7818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75E3E2B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73846EED">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7CB33B3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2DE087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7089A92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054D49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36E1987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4A9EDA4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32D35F3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5B0A18D7">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7231C9E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29DD24E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4806694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01B332F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0D2CA6A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465B576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21686FF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6B57418D">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47EBD70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62037B6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46B2A15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10E2E06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71F9269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6F7BD73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4E0734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476924E2">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382AF27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549B25D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2D221E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195885F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2930E3B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75CBCBE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7D9A5CE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bl>
    <w:p w14:paraId="74444B52">
      <w:pPr>
        <w:autoSpaceDE w:val="0"/>
        <w:autoSpaceDN w:val="0"/>
        <w:spacing w:line="360" w:lineRule="auto"/>
        <w:rPr>
          <w:rFonts w:hint="eastAsia" w:ascii="宋体" w:hAnsi="宋体" w:eastAsia="宋体" w:cs="宋体"/>
          <w:b/>
          <w:color w:val="auto"/>
          <w:sz w:val="24"/>
          <w:highlight w:val="none"/>
        </w:rPr>
      </w:pPr>
    </w:p>
    <w:p w14:paraId="4068974F">
      <w:pPr>
        <w:pStyle w:val="2"/>
        <w:rPr>
          <w:rFonts w:hint="eastAsia" w:ascii="宋体" w:hAnsi="宋体" w:eastAsia="宋体" w:cs="宋体"/>
          <w:color w:val="auto"/>
          <w:highlight w:val="none"/>
        </w:rPr>
      </w:pPr>
    </w:p>
    <w:p w14:paraId="11BF4B44">
      <w:pPr>
        <w:autoSpaceDE w:val="0"/>
        <w:autoSpaceDN w:val="0"/>
        <w:spacing w:line="360" w:lineRule="auto"/>
        <w:jc w:val="right"/>
        <w:rPr>
          <w:rFonts w:hint="eastAsia" w:ascii="宋体" w:hAnsi="宋体" w:eastAsia="宋体" w:cs="宋体"/>
          <w:color w:val="auto"/>
          <w:sz w:val="24"/>
          <w:highlight w:val="none"/>
        </w:rPr>
      </w:pPr>
    </w:p>
    <w:p w14:paraId="51831320">
      <w:pPr>
        <w:spacing w:line="336"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 xml:space="preserve">                          </w:t>
      </w:r>
    </w:p>
    <w:p w14:paraId="037F6C11">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  年   月   日</w:t>
      </w:r>
    </w:p>
    <w:p w14:paraId="43FDB069">
      <w:pPr>
        <w:pStyle w:val="10"/>
        <w:rPr>
          <w:rFonts w:hint="eastAsia" w:ascii="宋体" w:hAnsi="宋体" w:eastAsia="宋体" w:cs="宋体"/>
          <w:b/>
          <w:bCs/>
          <w:color w:val="auto"/>
          <w:sz w:val="32"/>
          <w:szCs w:val="32"/>
          <w:highlight w:val="none"/>
          <w:lang w:val="en-US" w:eastAsia="zh-CN"/>
        </w:rPr>
      </w:pPr>
    </w:p>
    <w:p w14:paraId="3E8E8613">
      <w:pPr>
        <w:pStyle w:val="14"/>
        <w:rPr>
          <w:rFonts w:hint="eastAsia" w:ascii="宋体" w:hAnsi="宋体" w:eastAsia="宋体" w:cs="宋体"/>
          <w:b/>
          <w:bCs/>
          <w:color w:val="auto"/>
          <w:sz w:val="32"/>
          <w:szCs w:val="32"/>
          <w:highlight w:val="none"/>
          <w:lang w:val="en-US" w:eastAsia="zh-CN"/>
        </w:rPr>
      </w:pPr>
    </w:p>
    <w:p w14:paraId="172C9764">
      <w:pPr>
        <w:rPr>
          <w:rFonts w:hint="eastAsia" w:ascii="宋体" w:hAnsi="宋体" w:eastAsia="宋体" w:cs="宋体"/>
          <w:color w:val="auto"/>
          <w:highlight w:val="none"/>
          <w:lang w:val="en-US" w:eastAsia="zh-CN"/>
        </w:rPr>
      </w:pPr>
    </w:p>
    <w:p w14:paraId="569FE885">
      <w:pPr>
        <w:widowControl/>
        <w:adjustRightInd/>
        <w:jc w:val="center"/>
        <w:rPr>
          <w:rFonts w:hint="eastAsia" w:ascii="宋体" w:hAnsi="宋体" w:eastAsia="宋体" w:cs="宋体"/>
          <w:b/>
          <w:color w:val="auto"/>
          <w:kern w:val="0"/>
          <w:sz w:val="32"/>
          <w:szCs w:val="32"/>
          <w:highlight w:val="none"/>
          <w:lang w:val="en-US" w:eastAsia="zh-CN"/>
        </w:rPr>
      </w:pPr>
    </w:p>
    <w:p w14:paraId="31AA0CBB">
      <w:pPr>
        <w:widowControl/>
        <w:adjustRightInd/>
        <w:jc w:val="center"/>
        <w:rPr>
          <w:rFonts w:hint="eastAsia" w:ascii="宋体" w:hAnsi="宋体" w:eastAsia="宋体" w:cs="宋体"/>
          <w:b/>
          <w:color w:val="auto"/>
          <w:kern w:val="0"/>
          <w:sz w:val="32"/>
          <w:szCs w:val="32"/>
          <w:highlight w:val="none"/>
          <w:lang w:val="en-US" w:eastAsia="zh-CN"/>
        </w:rPr>
      </w:pPr>
    </w:p>
    <w:p w14:paraId="57B75FC8">
      <w:pPr>
        <w:widowControl/>
        <w:adjustRightInd/>
        <w:jc w:val="center"/>
        <w:rPr>
          <w:rFonts w:hint="eastAsia" w:ascii="宋体" w:hAnsi="宋体" w:eastAsia="宋体" w:cs="宋体"/>
          <w:b/>
          <w:color w:val="auto"/>
          <w:kern w:val="0"/>
          <w:sz w:val="32"/>
          <w:szCs w:val="32"/>
          <w:highlight w:val="none"/>
          <w:lang w:val="en-US" w:eastAsia="zh-CN"/>
        </w:rPr>
      </w:pPr>
    </w:p>
    <w:p w14:paraId="07C08038">
      <w:pPr>
        <w:widowControl/>
        <w:adjustRightInd/>
        <w:jc w:val="both"/>
        <w:rPr>
          <w:rFonts w:hint="eastAsia" w:ascii="宋体" w:hAnsi="宋体" w:eastAsia="宋体" w:cs="宋体"/>
          <w:b/>
          <w:color w:val="auto"/>
          <w:kern w:val="0"/>
          <w:sz w:val="32"/>
          <w:szCs w:val="32"/>
          <w:highlight w:val="none"/>
          <w:lang w:val="en-US" w:eastAsia="zh-CN"/>
        </w:rPr>
      </w:pPr>
    </w:p>
    <w:p w14:paraId="3C910B38">
      <w:pPr>
        <w:widowControl/>
        <w:adjustRightInd/>
        <w:jc w:val="center"/>
        <w:rPr>
          <w:rFonts w:hint="eastAsia" w:ascii="宋体" w:hAnsi="宋体" w:cs="宋体"/>
          <w:b/>
          <w:color w:val="auto"/>
          <w:kern w:val="0"/>
          <w:sz w:val="32"/>
          <w:szCs w:val="32"/>
          <w:highlight w:val="none"/>
          <w:lang w:val="en-US" w:eastAsia="zh-CN"/>
        </w:rPr>
      </w:pPr>
    </w:p>
    <w:p w14:paraId="123F59AB">
      <w:pPr>
        <w:widowControl/>
        <w:adjustRightInd/>
        <w:jc w:val="center"/>
        <w:rPr>
          <w:rFonts w:hint="eastAsia" w:ascii="宋体" w:hAnsi="宋体" w:cs="宋体"/>
          <w:b/>
          <w:color w:val="auto"/>
          <w:kern w:val="0"/>
          <w:sz w:val="32"/>
          <w:szCs w:val="32"/>
          <w:highlight w:val="none"/>
          <w:lang w:val="en-US" w:eastAsia="zh-CN"/>
        </w:rPr>
      </w:pPr>
    </w:p>
    <w:p w14:paraId="013BC208">
      <w:pPr>
        <w:widowControl/>
        <w:adjustRightInd/>
        <w:jc w:val="center"/>
        <w:rPr>
          <w:rFonts w:hint="eastAsia" w:ascii="宋体" w:hAnsi="宋体" w:cs="宋体"/>
          <w:b/>
          <w:color w:val="auto"/>
          <w:kern w:val="0"/>
          <w:sz w:val="32"/>
          <w:szCs w:val="32"/>
          <w:highlight w:val="none"/>
          <w:lang w:val="en-US" w:eastAsia="zh-CN"/>
        </w:rPr>
      </w:pPr>
    </w:p>
    <w:p w14:paraId="1EFCFC35">
      <w:pPr>
        <w:widowControl/>
        <w:adjustRightInd/>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14:paraId="2520DD13">
      <w:pPr>
        <w:snapToGrid w:val="0"/>
        <w:spacing w:line="360" w:lineRule="auto"/>
        <w:rPr>
          <w:rFonts w:hint="eastAsia" w:ascii="宋体" w:hAnsi="宋体" w:eastAsia="宋体" w:cs="宋体"/>
          <w:color w:val="auto"/>
          <w:sz w:val="24"/>
          <w:highlight w:val="none"/>
        </w:rPr>
      </w:pPr>
    </w:p>
    <w:p w14:paraId="776C227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C54B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B7152C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9C1954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B68DC7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D5836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AC31250">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A75A3D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D7F56EA">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DD016B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74BC61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755F2B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893671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B1A45E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C8A15CC">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54BA1D6">
      <w:pPr>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96CDB68">
      <w:pPr>
        <w:spacing w:line="360" w:lineRule="auto"/>
        <w:jc w:val="center"/>
        <w:rPr>
          <w:rFonts w:hint="eastAsia" w:ascii="宋体" w:hAnsi="宋体" w:eastAsia="宋体" w:cs="宋体"/>
          <w:b/>
          <w:bCs/>
          <w:color w:val="auto"/>
          <w:sz w:val="24"/>
          <w:highlight w:val="none"/>
        </w:rPr>
      </w:pPr>
    </w:p>
    <w:p w14:paraId="38AB95F2">
      <w:pPr>
        <w:spacing w:line="360" w:lineRule="auto"/>
        <w:jc w:val="center"/>
        <w:rPr>
          <w:rFonts w:hint="eastAsia" w:ascii="宋体" w:hAnsi="宋体" w:eastAsia="宋体" w:cs="宋体"/>
          <w:b/>
          <w:bCs/>
          <w:color w:val="auto"/>
          <w:sz w:val="24"/>
          <w:highlight w:val="none"/>
        </w:rPr>
      </w:pPr>
    </w:p>
    <w:p w14:paraId="3539532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0D8489">
      <w:pPr>
        <w:spacing w:line="360" w:lineRule="auto"/>
        <w:jc w:val="center"/>
        <w:rPr>
          <w:rFonts w:hint="eastAsia" w:ascii="宋体" w:hAnsi="宋体" w:eastAsia="宋体" w:cs="宋体"/>
          <w:b/>
          <w:bCs/>
          <w:color w:val="auto"/>
          <w:sz w:val="24"/>
          <w:highlight w:val="none"/>
        </w:rPr>
      </w:pPr>
    </w:p>
    <w:p w14:paraId="73FDFD39">
      <w:pPr>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eastAsia="zh-CN"/>
        </w:rPr>
        <w:br w:type="page"/>
      </w:r>
    </w:p>
    <w:p w14:paraId="1CD51C92">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lang w:val="en-US" w:eastAsia="zh-CN"/>
        </w:rPr>
        <w:t>、认证证书</w:t>
      </w:r>
    </w:p>
    <w:p w14:paraId="655B57E6">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669B8914">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7DD06688">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2DFDF083">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3C983692">
      <w:pPr>
        <w:keepNext w:val="0"/>
        <w:keepLines w:val="0"/>
        <w:pageBreakBefore w:val="0"/>
        <w:widowControl w:val="0"/>
        <w:kinsoku/>
        <w:wordWrap/>
        <w:overflowPunct/>
        <w:topLinePunct w:val="0"/>
        <w:autoSpaceDE/>
        <w:autoSpaceDN/>
        <w:bidi w:val="0"/>
        <w:adjustRightInd/>
        <w:snapToGrid/>
        <w:spacing w:before="313" w:beforeLines="100"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产品</w:t>
      </w:r>
      <w:r>
        <w:rPr>
          <w:rFonts w:hint="eastAsia" w:ascii="宋体" w:hAnsi="宋体" w:eastAsia="宋体" w:cs="宋体"/>
          <w:b/>
          <w:bCs/>
          <w:color w:val="auto"/>
          <w:sz w:val="32"/>
          <w:szCs w:val="32"/>
          <w:highlight w:val="none"/>
          <w:lang w:val="en-US" w:eastAsia="zh-CN"/>
        </w:rPr>
        <w:t>情况</w:t>
      </w:r>
    </w:p>
    <w:p w14:paraId="148D080F">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32229EAA">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4CFF6D01">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5C9FC28A">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00C283">
      <w:pPr>
        <w:pStyle w:val="6"/>
        <w:keepNext w:val="0"/>
        <w:keepLines w:val="0"/>
        <w:pageBreakBefore w:val="0"/>
        <w:widowControl w:val="0"/>
        <w:kinsoku/>
        <w:wordWrap/>
        <w:overflowPunct/>
        <w:topLinePunct w:val="0"/>
        <w:bidi w:val="0"/>
        <w:snapToGrid/>
        <w:spacing w:after="0" w:line="480" w:lineRule="exact"/>
        <w:textAlignment w:val="auto"/>
        <w:rPr>
          <w:rFonts w:hint="eastAsia" w:ascii="宋体" w:hAnsi="宋体" w:eastAsia="宋体" w:cs="宋体"/>
          <w:color w:val="auto"/>
        </w:rPr>
      </w:pPr>
    </w:p>
    <w:p w14:paraId="5696B66E">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二、主要部件情况</w:t>
      </w:r>
    </w:p>
    <w:p w14:paraId="35062D56">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55C51574">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787F57A9">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475AC568">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66C2B371">
      <w:pPr>
        <w:keepNext w:val="0"/>
        <w:keepLines w:val="0"/>
        <w:pageBreakBefore w:val="0"/>
        <w:widowControl w:val="0"/>
        <w:kinsoku/>
        <w:wordWrap/>
        <w:overflowPunct/>
        <w:topLinePunct w:val="0"/>
        <w:autoSpaceDE/>
        <w:autoSpaceDN/>
        <w:bidi w:val="0"/>
        <w:adjustRightInd/>
        <w:snapToGrid/>
        <w:spacing w:before="313" w:beforeLines="100" w:line="48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、产品配置</w:t>
      </w:r>
    </w:p>
    <w:p w14:paraId="043AD43D">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5970279">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17F5943D">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41A19C04">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3C6FBDDD">
      <w:pPr>
        <w:keepNext w:val="0"/>
        <w:keepLines w:val="0"/>
        <w:pageBreakBefore w:val="0"/>
        <w:widowControl w:val="0"/>
        <w:kinsoku/>
        <w:wordWrap/>
        <w:overflowPunct/>
        <w:topLinePunct w:val="0"/>
        <w:autoSpaceDE/>
        <w:autoSpaceDN/>
        <w:bidi w:val="0"/>
        <w:adjustRightInd/>
        <w:snapToGrid/>
        <w:spacing w:before="313" w:beforeLines="100" w:line="480" w:lineRule="exact"/>
        <w:ind w:firstLine="964" w:firstLineChars="3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en-US" w:eastAsia="zh-CN"/>
        </w:rPr>
        <w:t>、安全部件</w:t>
      </w:r>
    </w:p>
    <w:p w14:paraId="040BDF22">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3DEEBBEE">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256A0919">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767369C7">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323AD41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en-US" w:eastAsia="zh-CN"/>
        </w:rPr>
        <w:t>、轿厢布置和装潢</w:t>
      </w:r>
    </w:p>
    <w:p w14:paraId="64B5F952">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528C9B4B">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75F45184">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498BB7AB">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5F8AC92F">
      <w:pPr>
        <w:keepNext w:val="0"/>
        <w:keepLines w:val="0"/>
        <w:pageBreakBefore w:val="0"/>
        <w:widowControl/>
        <w:suppressLineNumbers w:val="0"/>
        <w:kinsoku/>
        <w:wordWrap/>
        <w:overflowPunct/>
        <w:topLinePunct w:val="0"/>
        <w:autoSpaceDE/>
        <w:autoSpaceDN/>
        <w:bidi w:val="0"/>
        <w:adjustRightInd w:val="0"/>
        <w:snapToGrid/>
        <w:spacing w:before="313" w:beforeLines="100" w:beforeAutospacing="0" w:after="0" w:afterAutospacing="0" w:line="400" w:lineRule="exact"/>
        <w:ind w:left="0" w:right="0"/>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en-US" w:eastAsia="zh-CN"/>
        </w:rPr>
        <w:t>、实施方案</w:t>
      </w:r>
    </w:p>
    <w:p w14:paraId="40B6E61D">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46AB04A5">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42A11437">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12D852C8">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2DA6763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400" w:lineRule="exact"/>
        <w:ind w:left="0" w:right="0"/>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十七、培训方案</w:t>
      </w:r>
    </w:p>
    <w:p w14:paraId="6505A830">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3D90E98">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3FBD047C">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415D17C3">
      <w:pPr>
        <w:spacing w:line="336"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7E52DF0E">
      <w:pPr>
        <w:keepNext w:val="0"/>
        <w:keepLines w:val="0"/>
        <w:pageBreakBefore w:val="0"/>
        <w:widowControl/>
        <w:suppressLineNumbers w:val="0"/>
        <w:kinsoku/>
        <w:wordWrap/>
        <w:overflowPunct/>
        <w:topLinePunct w:val="0"/>
        <w:autoSpaceDE/>
        <w:autoSpaceDN/>
        <w:bidi w:val="0"/>
        <w:adjustRightInd w:val="0"/>
        <w:snapToGrid/>
        <w:spacing w:before="157" w:beforeLines="50" w:beforeAutospacing="0" w:after="0" w:afterAutospacing="0" w:line="400" w:lineRule="exact"/>
        <w:ind w:left="0" w:right="0"/>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十八、质保期</w:t>
      </w:r>
    </w:p>
    <w:p w14:paraId="6CE8D80E">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4493212F">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29091F29">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00E4E26E">
      <w:pPr>
        <w:spacing w:line="336"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33D31FAD">
      <w:pPr>
        <w:keepNext w:val="0"/>
        <w:keepLines w:val="0"/>
        <w:pageBreakBefore w:val="0"/>
        <w:widowControl/>
        <w:suppressLineNumbers w:val="0"/>
        <w:kinsoku/>
        <w:wordWrap/>
        <w:overflowPunct/>
        <w:topLinePunct w:val="0"/>
        <w:autoSpaceDE/>
        <w:autoSpaceDN/>
        <w:bidi w:val="0"/>
        <w:adjustRightInd w:val="0"/>
        <w:snapToGrid/>
        <w:spacing w:before="157" w:beforeLines="50" w:beforeAutospacing="0" w:after="0" w:afterAutospacing="0" w:line="400" w:lineRule="exact"/>
        <w:ind w:left="0" w:right="0"/>
        <w:jc w:val="center"/>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十九、售后服务</w:t>
      </w:r>
    </w:p>
    <w:p w14:paraId="44B83CE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F1F51B2">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3EB40FF5">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6B360BD8">
      <w:pPr>
        <w:spacing w:line="336"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color w:val="auto"/>
          <w:sz w:val="24"/>
          <w:highlight w:val="none"/>
        </w:rPr>
        <w:t xml:space="preserve">     日期：  年   月   日</w:t>
      </w:r>
    </w:p>
    <w:p w14:paraId="41D01390">
      <w:pPr>
        <w:pStyle w:val="40"/>
        <w:ind w:left="0" w:leftChars="0" w:firstLine="0" w:firstLineChars="0"/>
        <w:rPr>
          <w:rFonts w:hint="eastAsia"/>
          <w:color w:val="auto"/>
          <w:lang w:eastAsia="zh-CN"/>
        </w:rPr>
      </w:pPr>
    </w:p>
    <w:p w14:paraId="7EF681E0">
      <w:pPr>
        <w:spacing w:line="360" w:lineRule="auto"/>
        <w:ind w:firstLine="964" w:firstLineChars="300"/>
        <w:jc w:val="both"/>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lang w:val="en-US" w:eastAsia="zh-CN"/>
        </w:rPr>
        <w:t>二十</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投标人认为</w:t>
      </w:r>
      <w:r>
        <w:rPr>
          <w:rFonts w:hint="eastAsia" w:ascii="宋体" w:hAnsi="宋体" w:eastAsia="宋体" w:cs="宋体"/>
          <w:b/>
          <w:bCs/>
          <w:color w:val="auto"/>
          <w:sz w:val="32"/>
          <w:szCs w:val="32"/>
          <w:highlight w:val="none"/>
        </w:rPr>
        <w:t>需要说明的其他文件和说明（若有）</w:t>
      </w:r>
    </w:p>
    <w:p w14:paraId="44AF25B7">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2F816D11">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981C16">
      <w:pPr>
        <w:jc w:val="center"/>
        <w:rPr>
          <w:rFonts w:hint="eastAsia" w:ascii="宋体" w:hAnsi="宋体" w:eastAsia="宋体" w:cs="宋体"/>
          <w:b/>
          <w:color w:val="auto"/>
          <w:kern w:val="0"/>
          <w:sz w:val="36"/>
          <w:szCs w:val="36"/>
          <w:highlight w:val="none"/>
        </w:rPr>
      </w:pPr>
    </w:p>
    <w:p w14:paraId="5696D5B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73A006B">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49613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p>
    <w:p w14:paraId="06D1AC6D">
      <w:pPr>
        <w:pStyle w:val="39"/>
        <w:rPr>
          <w:rFonts w:hint="eastAsia" w:ascii="宋体" w:hAnsi="宋体" w:eastAsia="宋体" w:cs="宋体"/>
          <w:color w:val="auto"/>
          <w:highlight w:val="none"/>
        </w:rPr>
      </w:pPr>
    </w:p>
    <w:p w14:paraId="537211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highlight w:val="none"/>
        </w:rPr>
        <w:t>开标一览表………………………………………………………………（页码）</w:t>
      </w:r>
    </w:p>
    <w:p w14:paraId="0712B0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报价明细表………………………………………………………………（页码）</w:t>
      </w:r>
    </w:p>
    <w:p w14:paraId="6DA0C3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highlight w:val="none"/>
        </w:rPr>
        <w:t>投标人针对报价需要说明的其他文件和说明</w:t>
      </w:r>
      <w:r>
        <w:rPr>
          <w:rFonts w:hint="eastAsia" w:ascii="宋体" w:hAnsi="宋体" w:eastAsia="宋体" w:cs="宋体"/>
          <w:color w:val="auto"/>
          <w:kern w:val="0"/>
          <w:sz w:val="24"/>
          <w:szCs w:val="24"/>
          <w:highlight w:val="none"/>
        </w:rPr>
        <w:t>…………………………（页码）</w:t>
      </w:r>
    </w:p>
    <w:p w14:paraId="493360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p>
    <w:p w14:paraId="2641A8A3">
      <w:pPr>
        <w:spacing w:line="360" w:lineRule="auto"/>
        <w:rPr>
          <w:rFonts w:hint="eastAsia" w:ascii="宋体" w:hAnsi="宋体" w:eastAsia="宋体" w:cs="宋体"/>
          <w:b/>
          <w:color w:val="auto"/>
          <w:spacing w:val="6"/>
          <w:sz w:val="28"/>
          <w:szCs w:val="28"/>
          <w:highlight w:val="none"/>
        </w:rPr>
      </w:pPr>
    </w:p>
    <w:p w14:paraId="1738DBEA">
      <w:pPr>
        <w:spacing w:line="360" w:lineRule="auto"/>
        <w:ind w:firstLine="482"/>
        <w:rPr>
          <w:rFonts w:hint="eastAsia" w:ascii="宋体" w:hAnsi="宋体" w:eastAsia="宋体" w:cs="宋体"/>
          <w:color w:val="auto"/>
          <w:highlight w:val="none"/>
        </w:rPr>
      </w:pPr>
    </w:p>
    <w:p w14:paraId="72781A8F">
      <w:pPr>
        <w:pStyle w:val="5"/>
        <w:spacing w:line="360" w:lineRule="auto"/>
        <w:ind w:firstLine="240"/>
        <w:rPr>
          <w:rFonts w:hint="eastAsia" w:ascii="宋体" w:hAnsi="宋体" w:eastAsia="宋体" w:cs="宋体"/>
          <w:color w:val="auto"/>
          <w:highlight w:val="none"/>
        </w:rPr>
      </w:pPr>
    </w:p>
    <w:p w14:paraId="11F43A7E">
      <w:pPr>
        <w:pStyle w:val="5"/>
        <w:spacing w:line="360" w:lineRule="auto"/>
        <w:ind w:left="0" w:leftChars="0" w:firstLine="0" w:firstLineChars="0"/>
        <w:rPr>
          <w:rFonts w:hint="eastAsia" w:ascii="宋体" w:hAnsi="宋体" w:eastAsia="宋体" w:cs="宋体"/>
          <w:color w:val="auto"/>
          <w:highlight w:val="none"/>
        </w:rPr>
      </w:pPr>
    </w:p>
    <w:p w14:paraId="32771E71">
      <w:pPr>
        <w:pStyle w:val="5"/>
        <w:spacing w:line="360" w:lineRule="auto"/>
        <w:ind w:firstLine="240"/>
        <w:rPr>
          <w:rFonts w:hint="eastAsia" w:ascii="宋体" w:hAnsi="宋体" w:eastAsia="宋体" w:cs="宋体"/>
          <w:color w:val="auto"/>
          <w:highlight w:val="none"/>
        </w:rPr>
      </w:pPr>
    </w:p>
    <w:p w14:paraId="62A949F3">
      <w:pPr>
        <w:pStyle w:val="5"/>
        <w:spacing w:line="360" w:lineRule="auto"/>
        <w:ind w:firstLine="240"/>
        <w:rPr>
          <w:rFonts w:hint="eastAsia" w:ascii="宋体" w:hAnsi="宋体" w:eastAsia="宋体" w:cs="宋体"/>
          <w:color w:val="auto"/>
          <w:highlight w:val="none"/>
        </w:rPr>
      </w:pPr>
    </w:p>
    <w:p w14:paraId="5695BA28">
      <w:pPr>
        <w:pStyle w:val="5"/>
        <w:spacing w:line="360" w:lineRule="auto"/>
        <w:ind w:firstLine="240"/>
        <w:rPr>
          <w:rFonts w:hint="eastAsia" w:ascii="宋体" w:hAnsi="宋体" w:eastAsia="宋体" w:cs="宋体"/>
          <w:color w:val="auto"/>
          <w:highlight w:val="none"/>
        </w:rPr>
      </w:pPr>
    </w:p>
    <w:p w14:paraId="27097B64">
      <w:pPr>
        <w:pStyle w:val="26"/>
        <w:spacing w:line="390" w:lineRule="exact"/>
        <w:ind w:firstLine="480" w:firstLineChars="200"/>
        <w:rPr>
          <w:rFonts w:hint="eastAsia" w:ascii="宋体" w:hAnsi="宋体" w:eastAsia="宋体" w:cs="宋体"/>
          <w:color w:val="auto"/>
          <w:szCs w:val="21"/>
          <w:highlight w:val="none"/>
        </w:rPr>
      </w:pPr>
    </w:p>
    <w:p w14:paraId="41B34899">
      <w:pPr>
        <w:spacing w:line="360" w:lineRule="auto"/>
        <w:rPr>
          <w:rFonts w:hint="eastAsia" w:ascii="宋体" w:hAnsi="宋体" w:eastAsia="宋体" w:cs="宋体"/>
          <w:b/>
          <w:color w:val="auto"/>
          <w:spacing w:val="6"/>
          <w:szCs w:val="21"/>
          <w:highlight w:val="none"/>
        </w:rPr>
      </w:pPr>
    </w:p>
    <w:p w14:paraId="42334B81">
      <w:pPr>
        <w:spacing w:line="360" w:lineRule="auto"/>
        <w:rPr>
          <w:rFonts w:hint="eastAsia" w:ascii="宋体" w:hAnsi="宋体" w:eastAsia="宋体" w:cs="宋体"/>
          <w:b/>
          <w:color w:val="auto"/>
          <w:spacing w:val="6"/>
          <w:szCs w:val="21"/>
          <w:highlight w:val="none"/>
        </w:rPr>
      </w:pPr>
    </w:p>
    <w:p w14:paraId="02216D91">
      <w:pPr>
        <w:snapToGrid w:val="0"/>
        <w:spacing w:before="50" w:line="360" w:lineRule="auto"/>
        <w:jc w:val="center"/>
        <w:rPr>
          <w:rFonts w:hint="eastAsia" w:ascii="宋体" w:hAnsi="宋体" w:eastAsia="宋体" w:cs="宋体"/>
          <w:color w:val="auto"/>
          <w:szCs w:val="21"/>
          <w:highlight w:val="none"/>
        </w:rPr>
      </w:pPr>
    </w:p>
    <w:p w14:paraId="0CB11D26">
      <w:pPr>
        <w:snapToGrid w:val="0"/>
        <w:spacing w:before="50" w:line="360" w:lineRule="auto"/>
        <w:jc w:val="center"/>
        <w:rPr>
          <w:rFonts w:hint="eastAsia" w:ascii="宋体" w:hAnsi="宋体" w:eastAsia="宋体" w:cs="宋体"/>
          <w:color w:val="auto"/>
          <w:szCs w:val="21"/>
          <w:highlight w:val="none"/>
        </w:rPr>
      </w:pPr>
    </w:p>
    <w:p w14:paraId="047D0C17">
      <w:pPr>
        <w:pStyle w:val="5"/>
        <w:ind w:firstLine="21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br w:type="page"/>
      </w:r>
    </w:p>
    <w:p w14:paraId="61D888C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32"/>
          <w:szCs w:val="32"/>
          <w:highlight w:val="none"/>
        </w:rPr>
        <w:t>一、开标一览表</w:t>
      </w:r>
    </w:p>
    <w:p w14:paraId="7C91F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5D451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E5A6FB0">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单位：（人民币）元 </w:t>
      </w:r>
    </w:p>
    <w:tbl>
      <w:tblPr>
        <w:tblStyle w:val="31"/>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776"/>
        <w:gridCol w:w="4233"/>
      </w:tblGrid>
      <w:tr w14:paraId="0C07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07" w:type="dxa"/>
            <w:noWrap w:val="0"/>
            <w:vAlign w:val="center"/>
          </w:tcPr>
          <w:p w14:paraId="072BE61D">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776" w:type="dxa"/>
            <w:noWrap w:val="0"/>
            <w:vAlign w:val="center"/>
          </w:tcPr>
          <w:p w14:paraId="069BD226">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4233" w:type="dxa"/>
            <w:noWrap w:val="0"/>
            <w:vAlign w:val="center"/>
          </w:tcPr>
          <w:p w14:paraId="3A285BBF">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投标报价（元）</w:t>
            </w:r>
          </w:p>
        </w:tc>
      </w:tr>
      <w:tr w14:paraId="7D91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7" w:type="dxa"/>
            <w:vMerge w:val="restart"/>
            <w:noWrap w:val="0"/>
            <w:vAlign w:val="center"/>
          </w:tcPr>
          <w:p w14:paraId="4C2EAA33">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776" w:type="dxa"/>
            <w:vMerge w:val="restart"/>
            <w:noWrap w:val="0"/>
            <w:vAlign w:val="center"/>
          </w:tcPr>
          <w:p w14:paraId="70A53CF4">
            <w:pPr>
              <w:adjustRightInd/>
              <w:spacing w:line="380" w:lineRule="exact"/>
              <w:jc w:val="center"/>
              <w:outlineLvl w:val="9"/>
              <w:rPr>
                <w:rFonts w:hint="eastAsia" w:ascii="宋体" w:hAnsi="宋体" w:eastAsia="宋体" w:cs="宋体"/>
                <w:b w:val="0"/>
                <w:bCs w:val="0"/>
                <w:color w:val="auto"/>
                <w:sz w:val="24"/>
                <w:szCs w:val="24"/>
                <w:highlight w:val="none"/>
                <w:lang w:val="en-US" w:eastAsia="zh-CN"/>
              </w:rPr>
            </w:pPr>
          </w:p>
        </w:tc>
        <w:tc>
          <w:tcPr>
            <w:tcW w:w="4233" w:type="dxa"/>
            <w:noWrap w:val="0"/>
            <w:vAlign w:val="center"/>
          </w:tcPr>
          <w:p w14:paraId="7275AD90">
            <w:pPr>
              <w:adjustRightInd/>
              <w:spacing w:line="380" w:lineRule="exact"/>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设备款：</w:t>
            </w:r>
          </w:p>
        </w:tc>
      </w:tr>
      <w:tr w14:paraId="418E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7" w:type="dxa"/>
            <w:vMerge w:val="continue"/>
            <w:noWrap w:val="0"/>
            <w:vAlign w:val="center"/>
          </w:tcPr>
          <w:p w14:paraId="403A7CF9">
            <w:pPr>
              <w:adjustRightInd/>
              <w:spacing w:line="380" w:lineRule="exact"/>
              <w:jc w:val="center"/>
              <w:outlineLvl w:val="9"/>
              <w:rPr>
                <w:rFonts w:hint="eastAsia" w:ascii="宋体" w:hAnsi="宋体" w:eastAsia="宋体" w:cs="宋体"/>
                <w:color w:val="auto"/>
                <w:highlight w:val="none"/>
              </w:rPr>
            </w:pPr>
          </w:p>
        </w:tc>
        <w:tc>
          <w:tcPr>
            <w:tcW w:w="3776" w:type="dxa"/>
            <w:vMerge w:val="continue"/>
            <w:noWrap w:val="0"/>
            <w:vAlign w:val="center"/>
          </w:tcPr>
          <w:p w14:paraId="1F6DF4A8">
            <w:pPr>
              <w:adjustRightInd/>
              <w:spacing w:line="380" w:lineRule="exact"/>
              <w:jc w:val="center"/>
              <w:outlineLvl w:val="9"/>
              <w:rPr>
                <w:rFonts w:hint="eastAsia" w:ascii="宋体" w:hAnsi="宋体" w:eastAsia="宋体" w:cs="宋体"/>
                <w:color w:val="auto"/>
                <w:highlight w:val="none"/>
              </w:rPr>
            </w:pPr>
          </w:p>
        </w:tc>
        <w:tc>
          <w:tcPr>
            <w:tcW w:w="4233" w:type="dxa"/>
            <w:noWrap w:val="0"/>
            <w:vAlign w:val="center"/>
          </w:tcPr>
          <w:p w14:paraId="39C1961F">
            <w:pPr>
              <w:adjustRightInd/>
              <w:spacing w:line="380" w:lineRule="exact"/>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安装款：</w:t>
            </w:r>
          </w:p>
        </w:tc>
      </w:tr>
      <w:tr w14:paraId="1DE3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916" w:type="dxa"/>
            <w:gridSpan w:val="3"/>
            <w:noWrap w:val="0"/>
            <w:vAlign w:val="center"/>
          </w:tcPr>
          <w:p w14:paraId="20CC40AA">
            <w:pPr>
              <w:adjustRightInd/>
              <w:spacing w:line="380" w:lineRule="exact"/>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投标报价总价小写（设备款+安装款）：</w:t>
            </w:r>
          </w:p>
        </w:tc>
      </w:tr>
      <w:tr w14:paraId="1087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16" w:type="dxa"/>
            <w:gridSpan w:val="3"/>
            <w:noWrap w:val="0"/>
            <w:vAlign w:val="center"/>
          </w:tcPr>
          <w:p w14:paraId="58D8BDBD">
            <w:pPr>
              <w:adjustRightInd/>
              <w:spacing w:line="380" w:lineRule="exact"/>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投标报价总价大写（设备款+安装款）：</w:t>
            </w:r>
          </w:p>
        </w:tc>
      </w:tr>
    </w:tbl>
    <w:p w14:paraId="757744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lang w:val="en-US" w:eastAsia="zh-CN"/>
        </w:rPr>
        <w:t>投标报价是完成本招标文件所述的项目内容所需的全部费用，包括但不限于</w:t>
      </w:r>
      <w:r>
        <w:rPr>
          <w:rFonts w:hint="eastAsia" w:ascii="宋体" w:hAnsi="宋体" w:eastAsia="宋体" w:cs="宋体"/>
          <w:bCs/>
          <w:color w:val="auto"/>
          <w:sz w:val="24"/>
          <w:highlight w:val="none"/>
        </w:rPr>
        <w:t>(含运行监视系统)的设计、</w:t>
      </w:r>
      <w:r>
        <w:rPr>
          <w:rFonts w:hint="eastAsia" w:ascii="宋体" w:hAnsi="宋体" w:eastAsia="宋体" w:cs="宋体"/>
          <w:bCs/>
          <w:color w:val="auto"/>
          <w:sz w:val="24"/>
          <w:highlight w:val="none"/>
          <w:lang w:val="en-US" w:eastAsia="zh-CN"/>
        </w:rPr>
        <w:t>设备的价款</w:t>
      </w:r>
      <w:r>
        <w:rPr>
          <w:rFonts w:hint="eastAsia" w:ascii="宋体" w:hAnsi="宋体" w:eastAsia="宋体" w:cs="宋体"/>
          <w:bCs/>
          <w:color w:val="auto"/>
          <w:sz w:val="24"/>
          <w:highlight w:val="none"/>
        </w:rPr>
        <w:t>、安装调试费和其它费用（装卸费、仓储保管费、预埋件、二次结构拆改、脚手架、水平/垂直运输、井道照明、主机搁梁、设备就位、安装、调试、验收、培训、委托监检、成品保护、权威部门验收、培训、交付使用、售后服务、以及向采购人提供全过程形成的图纸、记录、档案资料、施工水电费、总包服务费、</w:t>
      </w:r>
      <w:r>
        <w:rPr>
          <w:rFonts w:hint="eastAsia" w:ascii="宋体" w:hAnsi="宋体" w:cs="宋体"/>
          <w:bCs/>
          <w:color w:val="auto"/>
          <w:sz w:val="24"/>
          <w:szCs w:val="24"/>
          <w:highlight w:val="none"/>
          <w:lang w:val="en-US" w:eastAsia="zh-CN"/>
        </w:rPr>
        <w:t>安装电梯所需的材料及相关费用、</w:t>
      </w:r>
      <w:r>
        <w:rPr>
          <w:rFonts w:hint="eastAsia" w:ascii="宋体" w:hAnsi="宋体" w:eastAsia="宋体" w:cs="宋体"/>
          <w:bCs/>
          <w:color w:val="auto"/>
          <w:sz w:val="24"/>
          <w:highlight w:val="none"/>
        </w:rPr>
        <w:t>招标代理费</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highlight w:val="none"/>
          <w:lang w:val="en-US" w:eastAsia="zh-CN"/>
        </w:rPr>
        <w:t>不可预见费等一切完成合同所需的一切本身和不可或缺的所有工作开支、政策性文件规定计合同包含的所有风险、责任等各项全部费用</w:t>
      </w:r>
      <w:r>
        <w:rPr>
          <w:rFonts w:hint="eastAsia" w:ascii="宋体" w:hAnsi="宋体" w:eastAsia="宋体" w:cs="宋体"/>
          <w:color w:val="auto"/>
          <w:sz w:val="24"/>
          <w:szCs w:val="24"/>
          <w:highlight w:val="none"/>
        </w:rPr>
        <w:t>。</w:t>
      </w:r>
    </w:p>
    <w:p w14:paraId="1C3ED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报价一经涂改，应在涂改处加盖单位公章或者由法定代表人或授权委托人签字或盖章，否则其投标作无效标处理。</w:t>
      </w:r>
    </w:p>
    <w:p w14:paraId="512719C4">
      <w:pPr>
        <w:pStyle w:val="51"/>
        <w:keepNext w:val="0"/>
        <w:keepLines w:val="0"/>
        <w:pageBreakBefore w:val="0"/>
        <w:tabs>
          <w:tab w:val="left" w:pos="390"/>
          <w:tab w:val="left" w:pos="454"/>
          <w:tab w:val="left" w:pos="900"/>
        </w:tabs>
        <w:kinsoku/>
        <w:wordWrap/>
        <w:overflowPunct/>
        <w:topLinePunct w:val="0"/>
        <w:autoSpaceDE/>
        <w:autoSpaceDN/>
        <w:bidi w:val="0"/>
        <w:spacing w:afterLines="0" w:line="360" w:lineRule="auto"/>
        <w:ind w:left="0" w:firstLine="480" w:firstLineChars="200"/>
        <w:textAlignment w:val="auto"/>
        <w:rPr>
          <w:rFonts w:hint="eastAsia" w:ascii="宋体" w:hAnsi="宋体" w:eastAsia="宋体" w:cs="宋体"/>
          <w:color w:val="auto"/>
          <w:sz w:val="24"/>
          <w:szCs w:val="24"/>
          <w:highlight w:val="none"/>
        </w:rPr>
      </w:pPr>
    </w:p>
    <w:p w14:paraId="478EA17B">
      <w:pPr>
        <w:keepNext w:val="0"/>
        <w:keepLines w:val="0"/>
        <w:pageBreakBefore w:val="0"/>
        <w:kinsoku/>
        <w:wordWrap/>
        <w:overflowPunct/>
        <w:topLinePunct w:val="0"/>
        <w:autoSpaceDE/>
        <w:autoSpaceDN/>
        <w:bidi w:val="0"/>
        <w:spacing w:line="360" w:lineRule="auto"/>
        <w:ind w:right="-24" w:rightChars="-10" w:firstLine="5040" w:firstLineChars="2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w:t>
      </w:r>
    </w:p>
    <w:p w14:paraId="79BB0B92">
      <w:pPr>
        <w:keepNext w:val="0"/>
        <w:keepLines w:val="0"/>
        <w:pageBreakBefore w:val="0"/>
        <w:kinsoku/>
        <w:wordWrap/>
        <w:overflowPunct/>
        <w:topLinePunct w:val="0"/>
        <w:autoSpaceDE/>
        <w:autoSpaceDN/>
        <w:bidi w:val="0"/>
        <w:spacing w:line="360" w:lineRule="auto"/>
        <w:ind w:right="-24" w:rightChars="-10"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lang w:val="en-US" w:eastAsia="zh-CN"/>
        </w:rPr>
        <w:t>或授权代表</w:t>
      </w:r>
      <w:r>
        <w:rPr>
          <w:rFonts w:hint="eastAsia" w:ascii="宋体" w:hAnsi="宋体" w:eastAsia="宋体" w:cs="宋体"/>
          <w:color w:val="auto"/>
          <w:sz w:val="24"/>
          <w:szCs w:val="24"/>
          <w:highlight w:val="none"/>
        </w:rPr>
        <w:t>（签字或盖章）：</w:t>
      </w:r>
    </w:p>
    <w:p w14:paraId="516DF17F">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日期：  年   月   日</w:t>
      </w:r>
    </w:p>
    <w:p w14:paraId="6964BFDC">
      <w:pPr>
        <w:pStyle w:val="11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D92ED3A">
      <w:pPr>
        <w:pStyle w:val="111"/>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b/>
          <w:color w:val="auto"/>
          <w:kern w:val="2"/>
          <w:sz w:val="32"/>
          <w:szCs w:val="32"/>
          <w:highlight w:val="none"/>
          <w:lang w:val="en-US" w:eastAsia="zh-CN" w:bidi="ar-SA"/>
        </w:rPr>
        <w:t>二、</w:t>
      </w:r>
      <w:r>
        <w:rPr>
          <w:rFonts w:hint="eastAsia" w:ascii="宋体" w:hAnsi="宋体" w:eastAsia="宋体" w:cs="宋体"/>
          <w:color w:val="auto"/>
          <w:kern w:val="2"/>
          <w:sz w:val="32"/>
          <w:szCs w:val="32"/>
          <w:highlight w:val="none"/>
        </w:rPr>
        <w:t>报价明细表</w:t>
      </w:r>
    </w:p>
    <w:p w14:paraId="63DAB42D">
      <w:pPr>
        <w:pStyle w:val="111"/>
        <w:keepNext w:val="0"/>
        <w:pageBreakBefore w:val="0"/>
        <w:numPr>
          <w:ilvl w:val="0"/>
          <w:numId w:val="0"/>
        </w:numPr>
        <w:tabs>
          <w:tab w:val="clear" w:pos="720"/>
        </w:tabs>
        <w:snapToGrid w:val="0"/>
        <w:spacing w:before="120" w:after="120"/>
        <w:ind w:firstLine="643" w:firstLineChars="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设备款</w:t>
      </w:r>
    </w:p>
    <w:tbl>
      <w:tblPr>
        <w:tblStyle w:val="31"/>
        <w:tblW w:w="91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250"/>
        <w:gridCol w:w="2018"/>
        <w:gridCol w:w="800"/>
        <w:gridCol w:w="784"/>
        <w:gridCol w:w="1200"/>
        <w:gridCol w:w="1383"/>
        <w:gridCol w:w="977"/>
      </w:tblGrid>
      <w:tr w14:paraId="791FC3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2" w:hRule="atLeast"/>
          <w:jc w:val="center"/>
        </w:trPr>
        <w:tc>
          <w:tcPr>
            <w:tcW w:w="747" w:type="dxa"/>
            <w:tcBorders>
              <w:top w:val="single" w:color="auto" w:sz="4" w:space="0"/>
              <w:right w:val="single" w:color="auto" w:sz="4" w:space="0"/>
            </w:tcBorders>
            <w:noWrap w:val="0"/>
            <w:vAlign w:val="center"/>
          </w:tcPr>
          <w:p w14:paraId="2E7B298F">
            <w:pPr>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序号</w:t>
            </w:r>
          </w:p>
        </w:tc>
        <w:tc>
          <w:tcPr>
            <w:tcW w:w="1250" w:type="dxa"/>
            <w:tcBorders>
              <w:top w:val="single" w:color="auto" w:sz="4" w:space="0"/>
              <w:left w:val="single" w:color="auto" w:sz="4" w:space="0"/>
              <w:right w:val="single" w:color="auto" w:sz="4" w:space="0"/>
            </w:tcBorders>
            <w:noWrap w:val="0"/>
            <w:vAlign w:val="center"/>
          </w:tcPr>
          <w:p w14:paraId="611D844E">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设备名称</w:t>
            </w:r>
          </w:p>
        </w:tc>
        <w:tc>
          <w:tcPr>
            <w:tcW w:w="2018" w:type="dxa"/>
            <w:tcBorders>
              <w:top w:val="single" w:color="auto" w:sz="4" w:space="0"/>
              <w:left w:val="single" w:color="auto" w:sz="4" w:space="0"/>
              <w:right w:val="single" w:color="auto" w:sz="4" w:space="0"/>
            </w:tcBorders>
            <w:noWrap w:val="0"/>
            <w:vAlign w:val="center"/>
          </w:tcPr>
          <w:p w14:paraId="7CE300D5">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规格型号、品牌、产地</w:t>
            </w:r>
          </w:p>
        </w:tc>
        <w:tc>
          <w:tcPr>
            <w:tcW w:w="800" w:type="dxa"/>
            <w:tcBorders>
              <w:top w:val="single" w:color="auto" w:sz="4" w:space="0"/>
              <w:left w:val="single" w:color="auto" w:sz="4" w:space="0"/>
              <w:right w:val="single" w:color="auto" w:sz="4" w:space="0"/>
            </w:tcBorders>
            <w:noWrap w:val="0"/>
            <w:vAlign w:val="center"/>
          </w:tcPr>
          <w:p w14:paraId="7549641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84" w:type="dxa"/>
            <w:tcBorders>
              <w:top w:val="single" w:color="auto" w:sz="4" w:space="0"/>
              <w:left w:val="single" w:color="auto" w:sz="4" w:space="0"/>
              <w:right w:val="single" w:color="auto" w:sz="4" w:space="0"/>
            </w:tcBorders>
            <w:noWrap w:val="0"/>
            <w:vAlign w:val="center"/>
          </w:tcPr>
          <w:p w14:paraId="68EAF628">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00" w:type="dxa"/>
            <w:tcBorders>
              <w:top w:val="single" w:color="auto" w:sz="4" w:space="0"/>
              <w:left w:val="single" w:color="auto" w:sz="4" w:space="0"/>
              <w:right w:val="single" w:color="auto" w:sz="4" w:space="0"/>
            </w:tcBorders>
            <w:noWrap w:val="0"/>
            <w:vAlign w:val="center"/>
          </w:tcPr>
          <w:p w14:paraId="30470C8E">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14:paraId="055D7EB3">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1383" w:type="dxa"/>
            <w:tcBorders>
              <w:top w:val="single" w:color="auto" w:sz="4" w:space="0"/>
              <w:left w:val="single" w:color="auto" w:sz="4" w:space="0"/>
            </w:tcBorders>
            <w:noWrap w:val="0"/>
            <w:vAlign w:val="center"/>
          </w:tcPr>
          <w:p w14:paraId="6419BB6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p w14:paraId="1D18516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977" w:type="dxa"/>
            <w:tcBorders>
              <w:top w:val="single" w:color="auto" w:sz="4" w:space="0"/>
              <w:left w:val="single" w:color="auto" w:sz="4" w:space="0"/>
              <w:bottom w:val="single" w:color="auto" w:sz="4" w:space="0"/>
            </w:tcBorders>
            <w:noWrap w:val="0"/>
            <w:vAlign w:val="center"/>
          </w:tcPr>
          <w:p w14:paraId="19363263">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76D737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05DE5A0C">
            <w:pPr>
              <w:spacing w:before="50" w:after="50" w:line="400" w:lineRule="exact"/>
              <w:jc w:val="center"/>
              <w:rPr>
                <w:rFonts w:hint="eastAsia" w:ascii="宋体" w:hAnsi="宋体" w:eastAsia="宋体" w:cs="宋体"/>
                <w:b w:val="0"/>
                <w:bCs/>
                <w:color w:val="auto"/>
                <w:sz w:val="24"/>
                <w:szCs w:val="24"/>
                <w:highlight w:val="none"/>
                <w:lang w:val="en-US" w:eastAsia="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9BA56B7">
            <w:pPr>
              <w:spacing w:before="50" w:after="50" w:line="400" w:lineRule="exact"/>
              <w:jc w:val="center"/>
              <w:rPr>
                <w:rFonts w:hint="eastAsia" w:ascii="宋体" w:hAnsi="宋体" w:eastAsia="宋体" w:cs="宋体"/>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06733651">
            <w:pPr>
              <w:spacing w:before="50" w:after="50" w:line="400" w:lineRule="exact"/>
              <w:jc w:val="center"/>
              <w:rPr>
                <w:rFonts w:hint="eastAsia" w:ascii="宋体" w:hAnsi="宋体" w:eastAsia="宋体" w:cs="宋体"/>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37CC0469">
            <w:pPr>
              <w:spacing w:before="50" w:after="50" w:line="400" w:lineRule="exact"/>
              <w:jc w:val="center"/>
              <w:rPr>
                <w:rFonts w:hint="eastAsia" w:ascii="宋体" w:hAnsi="宋体" w:eastAsia="宋体" w:cs="宋体"/>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0779BA6">
            <w:pPr>
              <w:spacing w:before="50" w:after="50" w:line="400" w:lineRule="exact"/>
              <w:jc w:val="center"/>
              <w:rPr>
                <w:rFonts w:hint="eastAsia" w:ascii="宋体" w:hAnsi="宋体" w:eastAsia="宋体" w:cs="宋体"/>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10EE065C">
            <w:pPr>
              <w:spacing w:before="50" w:after="50" w:line="400" w:lineRule="exact"/>
              <w:jc w:val="center"/>
              <w:rPr>
                <w:rFonts w:hint="eastAsia" w:ascii="宋体" w:hAnsi="宋体" w:eastAsia="宋体" w:cs="宋体"/>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3ED40BCD">
            <w:pPr>
              <w:spacing w:before="50" w:after="50" w:line="400" w:lineRule="exact"/>
              <w:jc w:val="center"/>
              <w:rPr>
                <w:rFonts w:hint="eastAsia" w:ascii="宋体" w:hAnsi="宋体" w:eastAsia="宋体" w:cs="宋体"/>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7530D345">
            <w:pPr>
              <w:spacing w:before="50" w:after="50" w:line="400" w:lineRule="exact"/>
              <w:jc w:val="center"/>
              <w:rPr>
                <w:rFonts w:hint="eastAsia" w:ascii="宋体" w:hAnsi="宋体" w:eastAsia="宋体" w:cs="宋体"/>
                <w:b/>
                <w:color w:val="auto"/>
                <w:sz w:val="24"/>
                <w:szCs w:val="24"/>
                <w:highlight w:val="none"/>
              </w:rPr>
            </w:pPr>
          </w:p>
        </w:tc>
      </w:tr>
      <w:tr w14:paraId="613357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75616812">
            <w:pPr>
              <w:spacing w:before="50" w:after="50" w:line="400" w:lineRule="exact"/>
              <w:jc w:val="center"/>
              <w:rPr>
                <w:rFonts w:hint="eastAsia" w:ascii="宋体" w:hAnsi="宋体" w:eastAsia="宋体" w:cs="宋体"/>
                <w:b w:val="0"/>
                <w:bCs/>
                <w:color w:val="auto"/>
                <w:sz w:val="24"/>
                <w:szCs w:val="24"/>
                <w:highlight w:val="none"/>
                <w:lang w:val="en-US" w:eastAsia="zh-CN"/>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1207B4E">
            <w:pPr>
              <w:spacing w:before="50" w:after="50" w:line="400" w:lineRule="exact"/>
              <w:jc w:val="center"/>
              <w:rPr>
                <w:rFonts w:hint="eastAsia" w:ascii="宋体" w:hAnsi="宋体" w:eastAsia="宋体" w:cs="宋体"/>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0DDE5F75">
            <w:pPr>
              <w:spacing w:before="50" w:after="50" w:line="400" w:lineRule="exact"/>
              <w:jc w:val="center"/>
              <w:rPr>
                <w:rFonts w:hint="eastAsia" w:ascii="宋体" w:hAnsi="宋体" w:eastAsia="宋体" w:cs="宋体"/>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22E6CFAF">
            <w:pPr>
              <w:spacing w:before="50" w:after="50" w:line="400" w:lineRule="exact"/>
              <w:jc w:val="center"/>
              <w:rPr>
                <w:rFonts w:hint="eastAsia" w:ascii="宋体" w:hAnsi="宋体" w:eastAsia="宋体" w:cs="宋体"/>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05ADCEA6">
            <w:pPr>
              <w:spacing w:before="50" w:after="50" w:line="400" w:lineRule="exact"/>
              <w:jc w:val="center"/>
              <w:rPr>
                <w:rFonts w:hint="eastAsia" w:ascii="宋体" w:hAnsi="宋体" w:eastAsia="宋体" w:cs="宋体"/>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70BF27FF">
            <w:pPr>
              <w:spacing w:before="50" w:after="50" w:line="400" w:lineRule="exact"/>
              <w:jc w:val="center"/>
              <w:rPr>
                <w:rFonts w:hint="eastAsia" w:ascii="宋体" w:hAnsi="宋体" w:eastAsia="宋体" w:cs="宋体"/>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1217FB59">
            <w:pPr>
              <w:spacing w:before="50" w:after="50" w:line="400" w:lineRule="exact"/>
              <w:jc w:val="center"/>
              <w:rPr>
                <w:rFonts w:hint="eastAsia" w:ascii="宋体" w:hAnsi="宋体" w:eastAsia="宋体" w:cs="宋体"/>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1B0472E8">
            <w:pPr>
              <w:spacing w:before="50" w:after="50" w:line="400" w:lineRule="exact"/>
              <w:jc w:val="center"/>
              <w:rPr>
                <w:rFonts w:hint="eastAsia" w:ascii="宋体" w:hAnsi="宋体" w:eastAsia="宋体" w:cs="宋体"/>
                <w:b/>
                <w:color w:val="auto"/>
                <w:sz w:val="24"/>
                <w:szCs w:val="24"/>
                <w:highlight w:val="none"/>
              </w:rPr>
            </w:pPr>
          </w:p>
        </w:tc>
      </w:tr>
      <w:tr w14:paraId="4F4B0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noWrap w:val="0"/>
            <w:vAlign w:val="center"/>
          </w:tcPr>
          <w:p w14:paraId="4E1F7A67">
            <w:pPr>
              <w:spacing w:before="50" w:after="50"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1C4382">
            <w:pPr>
              <w:spacing w:before="50" w:after="50" w:line="400" w:lineRule="exact"/>
              <w:jc w:val="center"/>
              <w:rPr>
                <w:rFonts w:hint="eastAsia" w:ascii="宋体" w:hAnsi="宋体" w:eastAsia="宋体" w:cs="宋体"/>
                <w:b w:val="0"/>
                <w:bCs/>
                <w:color w:val="auto"/>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14:paraId="2EBA93E1">
            <w:pPr>
              <w:spacing w:before="50" w:after="50" w:line="400" w:lineRule="exact"/>
              <w:jc w:val="center"/>
              <w:rPr>
                <w:rFonts w:hint="eastAsia" w:ascii="宋体" w:hAnsi="宋体" w:eastAsia="宋体" w:cs="宋体"/>
                <w:b w:val="0"/>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71F89DAC">
            <w:pPr>
              <w:spacing w:before="50" w:after="50" w:line="400" w:lineRule="exact"/>
              <w:jc w:val="center"/>
              <w:rPr>
                <w:rFonts w:hint="eastAsia" w:ascii="宋体" w:hAnsi="宋体" w:eastAsia="宋体" w:cs="宋体"/>
                <w:b/>
                <w:color w:val="auto"/>
                <w:sz w:val="24"/>
                <w:szCs w:val="24"/>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4E0FA251">
            <w:pPr>
              <w:spacing w:before="50" w:after="50" w:line="400" w:lineRule="exact"/>
              <w:jc w:val="center"/>
              <w:rPr>
                <w:rFonts w:hint="eastAsia" w:ascii="宋体" w:hAnsi="宋体" w:eastAsia="宋体" w:cs="宋体"/>
                <w:b/>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top"/>
          </w:tcPr>
          <w:p w14:paraId="0D078F8C">
            <w:pPr>
              <w:spacing w:before="50" w:after="50" w:line="400" w:lineRule="exact"/>
              <w:jc w:val="center"/>
              <w:rPr>
                <w:rFonts w:hint="eastAsia" w:ascii="宋体" w:hAnsi="宋体" w:eastAsia="宋体" w:cs="宋体"/>
                <w:b/>
                <w:color w:val="auto"/>
                <w:sz w:val="24"/>
                <w:szCs w:val="24"/>
                <w:highlight w:val="none"/>
              </w:rPr>
            </w:pPr>
          </w:p>
        </w:tc>
        <w:tc>
          <w:tcPr>
            <w:tcW w:w="1383" w:type="dxa"/>
            <w:tcBorders>
              <w:top w:val="single" w:color="auto" w:sz="4" w:space="0"/>
              <w:left w:val="single" w:color="auto" w:sz="4" w:space="0"/>
              <w:bottom w:val="single" w:color="auto" w:sz="4" w:space="0"/>
            </w:tcBorders>
            <w:noWrap w:val="0"/>
            <w:vAlign w:val="center"/>
          </w:tcPr>
          <w:p w14:paraId="7264365F">
            <w:pPr>
              <w:spacing w:before="50" w:after="50" w:line="400" w:lineRule="exact"/>
              <w:jc w:val="center"/>
              <w:rPr>
                <w:rFonts w:hint="eastAsia" w:ascii="宋体" w:hAnsi="宋体" w:eastAsia="宋体" w:cs="宋体"/>
                <w:b/>
                <w:color w:val="auto"/>
                <w:sz w:val="24"/>
                <w:szCs w:val="24"/>
                <w:highlight w:val="none"/>
              </w:rPr>
            </w:pPr>
          </w:p>
        </w:tc>
        <w:tc>
          <w:tcPr>
            <w:tcW w:w="977" w:type="dxa"/>
            <w:tcBorders>
              <w:top w:val="single" w:color="auto" w:sz="4" w:space="0"/>
              <w:left w:val="single" w:color="auto" w:sz="4" w:space="0"/>
              <w:bottom w:val="single" w:color="auto" w:sz="4" w:space="0"/>
            </w:tcBorders>
            <w:noWrap w:val="0"/>
            <w:vAlign w:val="center"/>
          </w:tcPr>
          <w:p w14:paraId="6CFF8638">
            <w:pPr>
              <w:spacing w:before="50" w:after="50" w:line="400" w:lineRule="exact"/>
              <w:jc w:val="center"/>
              <w:rPr>
                <w:rFonts w:hint="eastAsia" w:ascii="宋体" w:hAnsi="宋体" w:eastAsia="宋体" w:cs="宋体"/>
                <w:b/>
                <w:color w:val="auto"/>
                <w:sz w:val="24"/>
                <w:szCs w:val="24"/>
                <w:highlight w:val="none"/>
              </w:rPr>
            </w:pPr>
          </w:p>
        </w:tc>
      </w:tr>
      <w:tr w14:paraId="4FC1B5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159" w:type="dxa"/>
            <w:gridSpan w:val="8"/>
            <w:tcBorders>
              <w:top w:val="single" w:color="auto" w:sz="4" w:space="0"/>
              <w:bottom w:val="single" w:color="auto" w:sz="4" w:space="0"/>
            </w:tcBorders>
            <w:noWrap w:val="0"/>
            <w:vAlign w:val="top"/>
          </w:tcPr>
          <w:p w14:paraId="4AC1E210">
            <w:pPr>
              <w:spacing w:before="50" w:after="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设备款大写：                                小写： ￥</w:t>
            </w:r>
          </w:p>
        </w:tc>
      </w:tr>
      <w:tr w14:paraId="77437B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noWrap w:val="0"/>
            <w:vAlign w:val="center"/>
          </w:tcPr>
          <w:p w14:paraId="5B2D652A">
            <w:pPr>
              <w:spacing w:before="50" w:after="5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412" w:type="dxa"/>
            <w:gridSpan w:val="7"/>
            <w:tcBorders>
              <w:top w:val="single" w:color="auto" w:sz="4" w:space="0"/>
              <w:left w:val="single" w:color="auto" w:sz="4" w:space="0"/>
              <w:bottom w:val="single" w:color="auto" w:sz="4" w:space="0"/>
            </w:tcBorders>
            <w:noWrap w:val="0"/>
            <w:vAlign w:val="top"/>
          </w:tcPr>
          <w:p w14:paraId="7C52EE60">
            <w:pPr>
              <w:spacing w:before="50" w:after="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报价中不允许出现报价优惠等字样，合计总价应与</w:t>
            </w:r>
            <w:r>
              <w:rPr>
                <w:rFonts w:hint="eastAsia" w:ascii="宋体" w:hAnsi="宋体" w:eastAsia="宋体" w:cs="宋体"/>
                <w:color w:val="auto"/>
                <w:sz w:val="24"/>
                <w:szCs w:val="24"/>
                <w:highlight w:val="none"/>
                <w:lang w:val="en-US" w:eastAsia="zh-CN"/>
              </w:rPr>
              <w:t>开标一览表投标报价</w:t>
            </w:r>
            <w:r>
              <w:rPr>
                <w:rFonts w:hint="eastAsia" w:ascii="宋体" w:hAnsi="宋体" w:eastAsia="宋体" w:cs="宋体"/>
                <w:color w:val="auto"/>
                <w:sz w:val="24"/>
                <w:szCs w:val="24"/>
                <w:highlight w:val="none"/>
              </w:rPr>
              <w:t>相等。</w:t>
            </w:r>
          </w:p>
        </w:tc>
      </w:tr>
    </w:tbl>
    <w:p w14:paraId="76B0586B">
      <w:pPr>
        <w:spacing w:line="360" w:lineRule="auto"/>
        <w:jc w:val="center"/>
        <w:rPr>
          <w:rFonts w:hint="eastAsia" w:ascii="宋体" w:hAnsi="宋体" w:eastAsia="宋体" w:cs="宋体"/>
          <w:b/>
          <w:bCs/>
          <w:color w:val="auto"/>
          <w:sz w:val="32"/>
          <w:szCs w:val="32"/>
          <w:highlight w:val="none"/>
          <w:lang w:val="en-US" w:eastAsia="zh-CN"/>
        </w:rPr>
      </w:pPr>
    </w:p>
    <w:p w14:paraId="3F537982">
      <w:pPr>
        <w:keepNext w:val="0"/>
        <w:keepLines w:val="0"/>
        <w:pageBreakBefore w:val="0"/>
        <w:kinsoku/>
        <w:wordWrap/>
        <w:overflowPunct/>
        <w:topLinePunct w:val="0"/>
        <w:autoSpaceDE/>
        <w:autoSpaceDN/>
        <w:bidi w:val="0"/>
        <w:spacing w:line="360" w:lineRule="auto"/>
        <w:ind w:right="-24" w:rightChars="-10" w:firstLine="5040" w:firstLineChars="2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w:t>
      </w:r>
    </w:p>
    <w:p w14:paraId="6FCA7A63">
      <w:pPr>
        <w:keepNext w:val="0"/>
        <w:keepLines w:val="0"/>
        <w:pageBreakBefore w:val="0"/>
        <w:kinsoku/>
        <w:wordWrap/>
        <w:overflowPunct/>
        <w:topLinePunct w:val="0"/>
        <w:autoSpaceDE/>
        <w:autoSpaceDN/>
        <w:bidi w:val="0"/>
        <w:spacing w:line="360" w:lineRule="auto"/>
        <w:ind w:right="-24" w:rightChars="-10"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lang w:val="en-US" w:eastAsia="zh-CN"/>
        </w:rPr>
        <w:t>或授权代表</w:t>
      </w:r>
      <w:r>
        <w:rPr>
          <w:rFonts w:hint="eastAsia" w:ascii="宋体" w:hAnsi="宋体" w:eastAsia="宋体" w:cs="宋体"/>
          <w:color w:val="auto"/>
          <w:sz w:val="24"/>
          <w:szCs w:val="24"/>
          <w:highlight w:val="none"/>
        </w:rPr>
        <w:t>（签字或盖章）：</w:t>
      </w:r>
    </w:p>
    <w:p w14:paraId="1E681483">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日期：  年   月   日</w:t>
      </w:r>
    </w:p>
    <w:p w14:paraId="4E8140F3">
      <w:pPr>
        <w:pStyle w:val="11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380B0D9">
      <w:pPr>
        <w:pStyle w:val="11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28F0DA5">
      <w:pPr>
        <w:ind w:firstLine="480"/>
        <w:jc w:val="center"/>
        <w:rPr>
          <w:rFonts w:hint="eastAsia" w:ascii="宋体" w:hAnsi="宋体" w:eastAsia="宋体" w:cs="宋体"/>
          <w:color w:val="auto"/>
          <w:sz w:val="24"/>
          <w:szCs w:val="24"/>
          <w:highlight w:val="none"/>
        </w:rPr>
      </w:pPr>
      <w:r>
        <w:rPr>
          <w:rFonts w:hint="eastAsia" w:ascii="宋体" w:hAnsi="宋体" w:eastAsia="宋体" w:cs="宋体"/>
          <w:b/>
          <w:color w:val="auto"/>
          <w:kern w:val="2"/>
          <w:sz w:val="32"/>
          <w:szCs w:val="32"/>
          <w:highlight w:val="none"/>
          <w:lang w:val="en-US" w:eastAsia="zh-CN" w:bidi="ar-SA"/>
        </w:rPr>
        <w:t>（二）安装款</w:t>
      </w:r>
    </w:p>
    <w:p w14:paraId="6408EF9F">
      <w:pPr>
        <w:rPr>
          <w:rFonts w:hint="eastAsia" w:ascii="宋体" w:hAnsi="宋体" w:eastAsia="宋体" w:cs="宋体"/>
          <w:color w:val="auto"/>
          <w:sz w:val="28"/>
          <w:szCs w:val="28"/>
          <w:highlight w:val="none"/>
          <w:lang w:val="en-US" w:eastAsia="zh-CN"/>
        </w:rPr>
      </w:pPr>
    </w:p>
    <w:p w14:paraId="18C6F85F">
      <w:pPr>
        <w:rPr>
          <w:rFonts w:hint="eastAsia" w:ascii="宋体" w:hAnsi="宋体" w:eastAsia="宋体" w:cs="宋体"/>
          <w:color w:val="auto"/>
          <w:sz w:val="28"/>
          <w:szCs w:val="28"/>
          <w:highlight w:val="none"/>
          <w:lang w:val="en-US" w:eastAsia="zh-CN"/>
        </w:rPr>
      </w:pPr>
    </w:p>
    <w:p w14:paraId="48ECA422">
      <w:pPr>
        <w:ind w:left="0" w:leftChars="0" w:firstLine="0" w:firstLineChars="0"/>
        <w:jc w:val="center"/>
        <w:rPr>
          <w:rFonts w:hint="eastAsia" w:ascii="宋体" w:hAnsi="宋体" w:eastAsia="宋体" w:cs="宋体"/>
          <w:color w:val="auto"/>
          <w:kern w:val="2"/>
          <w:sz w:val="32"/>
          <w:szCs w:val="32"/>
          <w:highlight w:val="none"/>
        </w:rPr>
      </w:pPr>
      <w:r>
        <w:rPr>
          <w:rFonts w:hint="eastAsia" w:ascii="宋体" w:hAnsi="宋体" w:eastAsia="宋体" w:cs="宋体"/>
          <w:color w:val="auto"/>
          <w:sz w:val="28"/>
          <w:szCs w:val="28"/>
          <w:highlight w:val="none"/>
          <w:lang w:val="en-US" w:eastAsia="zh-CN"/>
        </w:rPr>
        <w:t>格式自拟</w:t>
      </w:r>
    </w:p>
    <w:p w14:paraId="3AFDAF85">
      <w:pPr>
        <w:pStyle w:val="11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614CED2">
      <w:pPr>
        <w:keepNext w:val="0"/>
        <w:keepLines w:val="0"/>
        <w:pageBreakBefore w:val="0"/>
        <w:kinsoku/>
        <w:wordWrap/>
        <w:overflowPunct/>
        <w:topLinePunct w:val="0"/>
        <w:autoSpaceDE/>
        <w:autoSpaceDN/>
        <w:bidi w:val="0"/>
        <w:spacing w:line="360" w:lineRule="auto"/>
        <w:ind w:right="-24" w:rightChars="-10" w:firstLine="5040" w:firstLineChars="2100"/>
        <w:textAlignment w:val="auto"/>
        <w:rPr>
          <w:rFonts w:hint="eastAsia" w:ascii="宋体" w:hAnsi="宋体" w:eastAsia="宋体" w:cs="宋体"/>
          <w:color w:val="auto"/>
          <w:sz w:val="24"/>
          <w:highlight w:val="none"/>
          <w:lang w:eastAsia="zh-CN"/>
        </w:rPr>
      </w:pPr>
    </w:p>
    <w:p w14:paraId="0EA88DBB">
      <w:pPr>
        <w:keepNext w:val="0"/>
        <w:keepLines w:val="0"/>
        <w:pageBreakBefore w:val="0"/>
        <w:kinsoku/>
        <w:wordWrap/>
        <w:overflowPunct/>
        <w:topLinePunct w:val="0"/>
        <w:autoSpaceDE/>
        <w:autoSpaceDN/>
        <w:bidi w:val="0"/>
        <w:spacing w:line="360" w:lineRule="auto"/>
        <w:ind w:right="-24" w:rightChars="-10" w:firstLine="5040" w:firstLineChars="2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投标人名称（电子签章）：</w:t>
      </w:r>
    </w:p>
    <w:p w14:paraId="46B85AD5">
      <w:pPr>
        <w:keepNext w:val="0"/>
        <w:keepLines w:val="0"/>
        <w:pageBreakBefore w:val="0"/>
        <w:kinsoku/>
        <w:wordWrap/>
        <w:overflowPunct/>
        <w:topLinePunct w:val="0"/>
        <w:autoSpaceDE/>
        <w:autoSpaceDN/>
        <w:bidi w:val="0"/>
        <w:spacing w:line="360" w:lineRule="auto"/>
        <w:ind w:right="-24" w:rightChars="-1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法定代表人</w:t>
      </w:r>
      <w:r>
        <w:rPr>
          <w:rFonts w:hint="eastAsia" w:ascii="宋体" w:hAnsi="宋体" w:eastAsia="宋体" w:cs="宋体"/>
          <w:color w:val="auto"/>
          <w:sz w:val="24"/>
          <w:highlight w:val="none"/>
          <w:lang w:val="en-US" w:eastAsia="zh-CN"/>
        </w:rPr>
        <w:t>或授权代表</w:t>
      </w:r>
      <w:r>
        <w:rPr>
          <w:rFonts w:hint="eastAsia" w:ascii="宋体" w:hAnsi="宋体" w:eastAsia="宋体" w:cs="宋体"/>
          <w:color w:val="auto"/>
          <w:sz w:val="24"/>
          <w:highlight w:val="none"/>
          <w:lang w:eastAsia="zh-CN"/>
        </w:rPr>
        <w:t>（签字或盖章）：</w:t>
      </w:r>
    </w:p>
    <w:p w14:paraId="72C92E1B">
      <w:pPr>
        <w:keepNext w:val="0"/>
        <w:keepLines w:val="0"/>
        <w:pageBreakBefore w:val="0"/>
        <w:kinsoku/>
        <w:wordWrap/>
        <w:overflowPunct/>
        <w:topLinePunct w:val="0"/>
        <w:autoSpaceDE/>
        <w:autoSpaceDN/>
        <w:bidi w:val="0"/>
        <w:spacing w:line="360" w:lineRule="auto"/>
        <w:ind w:right="-24" w:rightChars="-10"/>
        <w:textAlignment w:val="auto"/>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814" w:right="1474" w:bottom="1814" w:left="1474" w:header="851" w:footer="992" w:gutter="0"/>
          <w:pgNumType w:fmt="decimal"/>
          <w:cols w:space="720" w:num="1"/>
          <w:titlePg/>
          <w:docGrid w:linePitch="312" w:charSpace="0"/>
        </w:sect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日期：  年   月   日</w:t>
      </w:r>
    </w:p>
    <w:p w14:paraId="6B051681">
      <w:pPr>
        <w:pStyle w:val="43"/>
        <w:ind w:left="0" w:leftChars="0" w:firstLine="0" w:firstLineChars="0"/>
        <w:rPr>
          <w:rFonts w:hint="eastAsia"/>
          <w:color w:val="auto"/>
          <w:lang w:val="en-US" w:eastAsia="zh-CN"/>
        </w:rPr>
      </w:pPr>
    </w:p>
    <w:p w14:paraId="73E4BBA2">
      <w:pPr>
        <w:snapToGrid w:val="0"/>
        <w:spacing w:line="360" w:lineRule="auto"/>
        <w:jc w:val="left"/>
        <w:rPr>
          <w:rFonts w:ascii="宋体" w:hAnsi="宋体"/>
          <w:b/>
          <w:color w:val="auto"/>
          <w:spacing w:val="6"/>
          <w:sz w:val="32"/>
          <w:szCs w:val="32"/>
          <w:highlight w:val="none"/>
        </w:rPr>
      </w:pPr>
      <w:r>
        <w:rPr>
          <w:rFonts w:hint="eastAsia" w:ascii="宋体" w:hAnsi="宋体"/>
          <w:b/>
          <w:color w:val="auto"/>
          <w:spacing w:val="6"/>
          <w:sz w:val="32"/>
          <w:szCs w:val="32"/>
          <w:highlight w:val="none"/>
          <w:lang w:val="en-US" w:eastAsia="zh-CN"/>
        </w:rPr>
        <w:t>三、</w:t>
      </w:r>
      <w:r>
        <w:rPr>
          <w:rFonts w:hint="eastAsia" w:ascii="宋体" w:hAnsi="宋体"/>
          <w:b/>
          <w:color w:val="auto"/>
          <w:spacing w:val="6"/>
          <w:sz w:val="32"/>
          <w:szCs w:val="32"/>
          <w:highlight w:val="none"/>
        </w:rPr>
        <w:t>投标人针对报价需要说明的其他文件和说明（格式自拟）</w:t>
      </w:r>
    </w:p>
    <w:p w14:paraId="4B7992AA">
      <w:pPr>
        <w:spacing w:line="588" w:lineRule="exact"/>
        <w:rPr>
          <w:rFonts w:ascii="宋体"/>
          <w:color w:val="auto"/>
          <w:szCs w:val="21"/>
          <w:highlight w:val="none"/>
        </w:rPr>
      </w:pPr>
    </w:p>
    <w:p w14:paraId="331F41D7">
      <w:pPr>
        <w:rPr>
          <w:color w:val="auto"/>
          <w:highlight w:val="none"/>
        </w:rPr>
      </w:pPr>
    </w:p>
    <w:p w14:paraId="18ADCE7C">
      <w:pPr>
        <w:pStyle w:val="2"/>
        <w:rPr>
          <w:color w:val="auto"/>
          <w:highlight w:val="none"/>
        </w:rPr>
      </w:pPr>
    </w:p>
    <w:p w14:paraId="7939622E">
      <w:pPr>
        <w:rPr>
          <w:color w:val="auto"/>
          <w:highlight w:val="none"/>
        </w:rPr>
      </w:pPr>
    </w:p>
    <w:p w14:paraId="5EC5F8AA">
      <w:pPr>
        <w:pStyle w:val="2"/>
        <w:rPr>
          <w:color w:val="auto"/>
          <w:highlight w:val="none"/>
        </w:rPr>
      </w:pPr>
    </w:p>
    <w:p w14:paraId="01395614">
      <w:pPr>
        <w:rPr>
          <w:color w:val="auto"/>
          <w:highlight w:val="none"/>
        </w:rPr>
      </w:pPr>
    </w:p>
    <w:p w14:paraId="6BB705D5">
      <w:pPr>
        <w:pStyle w:val="2"/>
        <w:rPr>
          <w:color w:val="auto"/>
          <w:highlight w:val="none"/>
        </w:rPr>
      </w:pPr>
    </w:p>
    <w:p w14:paraId="5E7DC0DA">
      <w:pPr>
        <w:rPr>
          <w:color w:val="auto"/>
          <w:highlight w:val="none"/>
        </w:rPr>
      </w:pPr>
    </w:p>
    <w:p w14:paraId="3C76FB27">
      <w:pPr>
        <w:pStyle w:val="2"/>
        <w:rPr>
          <w:color w:val="auto"/>
          <w:highlight w:val="none"/>
        </w:rPr>
      </w:pPr>
    </w:p>
    <w:p w14:paraId="2BE91A68">
      <w:pPr>
        <w:rPr>
          <w:color w:val="auto"/>
          <w:highlight w:val="none"/>
        </w:rPr>
      </w:pPr>
    </w:p>
    <w:p w14:paraId="61B3160E">
      <w:pPr>
        <w:pStyle w:val="2"/>
        <w:rPr>
          <w:color w:val="auto"/>
          <w:highlight w:val="none"/>
        </w:rPr>
      </w:pPr>
    </w:p>
    <w:p w14:paraId="53630A3D">
      <w:pPr>
        <w:rPr>
          <w:color w:val="auto"/>
          <w:highlight w:val="none"/>
        </w:rPr>
      </w:pPr>
    </w:p>
    <w:p w14:paraId="7899AD75">
      <w:pPr>
        <w:pStyle w:val="2"/>
        <w:rPr>
          <w:color w:val="auto"/>
          <w:highlight w:val="none"/>
        </w:rPr>
      </w:pPr>
    </w:p>
    <w:p w14:paraId="3807522B">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ascii="黑体" w:hAnsi="黑体" w:eastAsia="黑体" w:cs="黑体"/>
          <w:color w:val="auto"/>
          <w:sz w:val="36"/>
          <w:szCs w:val="36"/>
          <w:highlight w:val="none"/>
        </w:rPr>
      </w:pPr>
    </w:p>
    <w:p w14:paraId="2FE0811D">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26DCB212">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6FD06C32">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440C5781">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77E7A1F4">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20EC0BDC">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02C31C6E">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6F59D613">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p>
    <w:p w14:paraId="2235510B">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ascii="黑体" w:hAnsi="黑体" w:eastAsia="黑体" w:cs="黑体"/>
          <w:color w:val="auto"/>
          <w:sz w:val="36"/>
          <w:szCs w:val="36"/>
          <w:highlight w:val="none"/>
        </w:rPr>
      </w:pPr>
    </w:p>
    <w:p w14:paraId="707A1449">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ascii="黑体" w:hAnsi="黑体" w:eastAsia="黑体" w:cs="黑体"/>
          <w:color w:val="auto"/>
          <w:sz w:val="36"/>
          <w:szCs w:val="36"/>
          <w:highlight w:val="none"/>
        </w:rPr>
      </w:pPr>
      <w:r>
        <w:rPr>
          <w:rFonts w:ascii="黑体" w:hAnsi="黑体" w:eastAsia="黑体" w:cs="黑体"/>
          <w:color w:val="auto"/>
          <w:sz w:val="36"/>
          <w:szCs w:val="36"/>
          <w:highlight w:val="none"/>
        </w:rPr>
        <w:t>采购活动现场确认声明书</w:t>
      </w:r>
    </w:p>
    <w:p w14:paraId="53251E8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（此声明书投标文件中不用做，</w:t>
      </w:r>
      <w:r>
        <w:rPr>
          <w:color w:val="auto"/>
          <w:highlight w:val="none"/>
        </w:rPr>
        <w:t>开标后供应商通过邮件形式将经授权代表签署的《采购活动现场确认声明书》扫描件发至代理机构经办人邮箱</w:t>
      </w:r>
      <w:r>
        <w:rPr>
          <w:color w:val="auto"/>
          <w:highlight w:val="none"/>
        </w:rPr>
        <w:fldChar w:fldCharType="begin"/>
      </w:r>
      <w:r>
        <w:rPr>
          <w:color w:val="auto"/>
          <w:highlight w:val="none"/>
        </w:rPr>
        <w:instrText xml:space="preserve"> HYPERLINK "mailto:360745117@qq.com" \h </w:instrText>
      </w:r>
      <w:r>
        <w:rPr>
          <w:color w:val="auto"/>
          <w:highlight w:val="none"/>
        </w:rPr>
        <w:fldChar w:fldCharType="separate"/>
      </w:r>
      <w:r>
        <w:rPr>
          <w:rFonts w:hint="eastAsia"/>
          <w:color w:val="auto"/>
          <w:highlight w:val="none"/>
        </w:rPr>
        <w:t>1039652341</w:t>
      </w:r>
      <w:r>
        <w:rPr>
          <w:color w:val="auto"/>
          <w:highlight w:val="none"/>
        </w:rPr>
        <w:t>@qq.com</w:t>
      </w:r>
      <w:r>
        <w:rPr>
          <w:color w:val="auto"/>
          <w:highlight w:val="none"/>
        </w:rPr>
        <w:fldChar w:fldCharType="end"/>
      </w:r>
      <w:r>
        <w:rPr>
          <w:color w:val="auto"/>
          <w:highlight w:val="none"/>
        </w:rPr>
        <w:t>，联系人：任燕，电话：0575-</w:t>
      </w:r>
      <w:r>
        <w:rPr>
          <w:rFonts w:hint="eastAsia"/>
          <w:color w:val="auto"/>
          <w:highlight w:val="none"/>
        </w:rPr>
        <w:t>83338198</w:t>
      </w:r>
      <w:r>
        <w:rPr>
          <w:color w:val="auto"/>
          <w:highlight w:val="none"/>
        </w:rPr>
        <w:t>）</w:t>
      </w:r>
    </w:p>
    <w:p w14:paraId="32383776">
      <w:pPr>
        <w:pStyle w:val="48"/>
        <w:keepNext w:val="0"/>
        <w:keepLines w:val="0"/>
        <w:pageBreakBefore w:val="0"/>
        <w:kinsoku/>
        <w:wordWrap/>
        <w:overflowPunct/>
        <w:topLinePunct w:val="0"/>
        <w:autoSpaceDE/>
        <w:autoSpaceDN/>
        <w:bidi w:val="0"/>
        <w:adjustRightInd/>
        <w:snapToGrid w:val="0"/>
        <w:spacing w:beforeLines="100" w:line="460" w:lineRule="exact"/>
        <w:textAlignment w:val="auto"/>
        <w:rPr>
          <w:rFonts w:hAnsi="宋体" w:cs="宋体"/>
          <w:b/>
          <w:color w:val="auto"/>
          <w:szCs w:val="24"/>
          <w:highlight w:val="none"/>
        </w:rPr>
      </w:pPr>
      <w:r>
        <w:rPr>
          <w:rFonts w:hAnsi="宋体" w:cs="宋体"/>
          <w:color w:val="auto"/>
          <w:kern w:val="0"/>
          <w:szCs w:val="24"/>
          <w:highlight w:val="none"/>
        </w:rPr>
        <w:t>（采</w:t>
      </w:r>
      <w:r>
        <w:rPr>
          <w:rFonts w:hint="eastAsia" w:hAnsi="宋体" w:cs="宋体"/>
          <w:color w:val="auto"/>
          <w:kern w:val="0"/>
          <w:szCs w:val="24"/>
          <w:highlight w:val="none"/>
          <w:lang w:val="en-US" w:eastAsia="zh-CN"/>
        </w:rPr>
        <w:t>购代理</w:t>
      </w:r>
      <w:r>
        <w:rPr>
          <w:rFonts w:hAnsi="宋体" w:cs="宋体"/>
          <w:color w:val="auto"/>
          <w:kern w:val="0"/>
          <w:szCs w:val="24"/>
          <w:highlight w:val="none"/>
        </w:rPr>
        <w:t>机构名称）：</w:t>
      </w:r>
    </w:p>
    <w:p w14:paraId="7BE3320D">
      <w:pPr>
        <w:keepNext w:val="0"/>
        <w:keepLines w:val="0"/>
        <w:pageBreakBefore w:val="0"/>
        <w:tabs>
          <w:tab w:val="left" w:pos="9640"/>
        </w:tabs>
        <w:kinsoku/>
        <w:wordWrap/>
        <w:overflowPunct/>
        <w:topLinePunct w:val="0"/>
        <w:autoSpaceDE/>
        <w:autoSpaceDN/>
        <w:bidi w:val="0"/>
        <w:adjustRightInd/>
        <w:spacing w:line="460" w:lineRule="exact"/>
        <w:ind w:firstLine="504"/>
        <w:jc w:val="left"/>
        <w:textAlignment w:val="auto"/>
        <w:rPr>
          <w:rFonts w:ascii="宋体" w:hAnsi="宋体" w:cs="宋体"/>
          <w:color w:val="auto"/>
          <w:spacing w:val="6"/>
          <w:highlight w:val="none"/>
        </w:rPr>
      </w:pPr>
      <w:r>
        <w:rPr>
          <w:rFonts w:hint="eastAsia" w:ascii="宋体" w:hAnsi="宋体" w:cs="宋体"/>
          <w:color w:val="auto"/>
          <w:spacing w:val="6"/>
          <w:highlight w:val="none"/>
        </w:rPr>
        <w:t xml:space="preserve"> 本人（授权代表姓名）经由（单位</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（法定代表人姓名）合法授权参加</w:t>
      </w:r>
      <w:r>
        <w:rPr>
          <w:rFonts w:hint="eastAsia" w:ascii="宋体" w:hAnsi="宋体" w:cs="宋体"/>
          <w:color w:val="auto"/>
          <w:spacing w:val="6"/>
          <w:highlight w:val="none"/>
          <w:u w:val="single"/>
          <w:lang w:val="en-US" w:eastAsia="zh-CN"/>
        </w:rPr>
        <w:t xml:space="preserve">            </w:t>
      </w:r>
      <w:r>
        <w:rPr>
          <w:rFonts w:hint="eastAsia" w:cs="宋体"/>
          <w:color w:val="auto"/>
          <w:kern w:val="0"/>
          <w:highlight w:val="none"/>
          <w:u w:val="single"/>
        </w:rPr>
        <w:t>项目</w:t>
      </w:r>
      <w:r>
        <w:rPr>
          <w:rFonts w:hint="eastAsia" w:ascii="宋体" w:hAnsi="宋体" w:cs="宋体"/>
          <w:color w:val="auto"/>
          <w:spacing w:val="6"/>
          <w:highlight w:val="none"/>
        </w:rPr>
        <w:t>（</w:t>
      </w:r>
      <w:r>
        <w:rPr>
          <w:rFonts w:hint="eastAsia" w:ascii="宋体" w:hAnsi="宋体" w:cs="宋体"/>
          <w:color w:val="auto"/>
          <w:spacing w:val="6"/>
          <w:highlight w:val="none"/>
          <w:lang w:val="en-US" w:eastAsia="zh-CN"/>
        </w:rPr>
        <w:t>项目</w:t>
      </w:r>
      <w:r>
        <w:rPr>
          <w:rFonts w:hint="eastAsia" w:ascii="宋体" w:hAnsi="宋体" w:cs="宋体"/>
          <w:color w:val="auto"/>
          <w:spacing w:val="6"/>
          <w:highlight w:val="none"/>
        </w:rPr>
        <w:t>编号：</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xml:space="preserve">）采购活动，经与本单位法人代表（负责人）联系确认，现就有关公平竞争事项郑重声明如下： </w:t>
      </w:r>
    </w:p>
    <w:p w14:paraId="70F97A0C">
      <w:pPr>
        <w:pStyle w:val="49"/>
        <w:keepNext w:val="0"/>
        <w:keepLines w:val="0"/>
        <w:pageBreakBefore w:val="0"/>
        <w:widowControl/>
        <w:numPr>
          <w:ilvl w:val="0"/>
          <w:numId w:val="9"/>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本单位与采购人之间 </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不存在利害关系 □存在下列利害关系：</w:t>
      </w:r>
    </w:p>
    <w:p w14:paraId="2C78A09E">
      <w:pPr>
        <w:pStyle w:val="49"/>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A.投资关系    B.行政隶属关系    C.业务指导关系</w:t>
      </w:r>
    </w:p>
    <w:p w14:paraId="1FEFB64E">
      <w:pPr>
        <w:pStyle w:val="49"/>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D.其他可能</w:t>
      </w:r>
      <w:r>
        <w:rPr>
          <w:rFonts w:ascii="宋体" w:hAnsi="宋体" w:cs="宋体"/>
          <w:color w:val="auto"/>
          <w:szCs w:val="24"/>
          <w:highlight w:val="none"/>
        </w:rPr>
        <w:t>影响采购公正的</w:t>
      </w:r>
      <w:r>
        <w:rPr>
          <w:rFonts w:ascii="宋体" w:hAnsi="宋体" w:cs="宋体"/>
          <w:color w:val="auto"/>
          <w:kern w:val="0"/>
          <w:szCs w:val="24"/>
          <w:highlight w:val="none"/>
        </w:rPr>
        <w:t>利害关系</w:t>
      </w:r>
      <w:r>
        <w:rPr>
          <w:rFonts w:ascii="宋体" w:hAnsi="宋体" w:cs="宋体"/>
          <w:color w:val="auto"/>
          <w:kern w:val="0"/>
          <w:szCs w:val="24"/>
          <w:highlight w:val="none"/>
          <w:u w:val="single"/>
        </w:rPr>
        <w:t>（如有，请如实说明）</w:t>
      </w:r>
      <w:r>
        <w:rPr>
          <w:rFonts w:ascii="宋体" w:hAnsi="宋体" w:cs="宋体"/>
          <w:color w:val="auto"/>
          <w:kern w:val="0"/>
          <w:szCs w:val="24"/>
          <w:highlight w:val="none"/>
        </w:rPr>
        <w:t>。</w:t>
      </w:r>
    </w:p>
    <w:p w14:paraId="12765C06">
      <w:pPr>
        <w:pStyle w:val="49"/>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spacing w:val="6"/>
          <w:szCs w:val="24"/>
          <w:highlight w:val="none"/>
        </w:rPr>
        <w:t xml:space="preserve">    二、</w:t>
      </w:r>
      <w:r>
        <w:rPr>
          <w:rFonts w:ascii="宋体" w:hAnsi="宋体" w:cs="宋体"/>
          <w:color w:val="auto"/>
          <w:kern w:val="0"/>
          <w:szCs w:val="24"/>
          <w:highlight w:val="none"/>
        </w:rPr>
        <w:t>现已清楚知道参加本项目采购活动的其他所有供应商名称，本单位□与其他所有供应商之间均不存在利害关系 □与</w:t>
      </w:r>
      <w:r>
        <w:rPr>
          <w:rFonts w:ascii="宋体" w:hAnsi="宋体" w:cs="宋体"/>
          <w:color w:val="auto"/>
          <w:kern w:val="0"/>
          <w:szCs w:val="24"/>
          <w:highlight w:val="none"/>
          <w:u w:val="single"/>
        </w:rPr>
        <w:t xml:space="preserve">                        （供应商名称) </w:t>
      </w:r>
      <w:r>
        <w:rPr>
          <w:rFonts w:ascii="宋体" w:hAnsi="宋体" w:cs="宋体"/>
          <w:color w:val="auto"/>
          <w:kern w:val="0"/>
          <w:szCs w:val="24"/>
          <w:highlight w:val="none"/>
        </w:rPr>
        <w:t>之间存在下列利害关系：</w:t>
      </w:r>
    </w:p>
    <w:p w14:paraId="341EE83B">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A.法定代表人或负责人或实际控制人是同一人</w:t>
      </w:r>
    </w:p>
    <w:p w14:paraId="44F052EE">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B.法定代表人或负责人或实际控制人是夫妻关系</w:t>
      </w:r>
    </w:p>
    <w:p w14:paraId="287787A1">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C.法定代表人或负责人或实际控制人是直系血亲关系</w:t>
      </w:r>
    </w:p>
    <w:p w14:paraId="1581EA1C">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D.法定代表人或负责人或实际控制人存在三代以内旁系血亲关系</w:t>
      </w:r>
    </w:p>
    <w:p w14:paraId="17451037">
      <w:pPr>
        <w:pStyle w:val="48"/>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Ansi="宋体" w:cs="宋体"/>
          <w:color w:val="auto"/>
          <w:kern w:val="0"/>
          <w:szCs w:val="24"/>
          <w:highlight w:val="none"/>
        </w:rPr>
      </w:pPr>
      <w:r>
        <w:rPr>
          <w:rFonts w:hAnsi="宋体" w:cs="宋体"/>
          <w:color w:val="auto"/>
          <w:kern w:val="0"/>
          <w:szCs w:val="24"/>
          <w:highlight w:val="none"/>
        </w:rPr>
        <w:t>E.法定代表人或负责人或实际控制人存在近姻亲关系</w:t>
      </w:r>
    </w:p>
    <w:p w14:paraId="5611DC95">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F.法定代表人或负责人或实际控制人存在股份控制或实际控制关系</w:t>
      </w:r>
    </w:p>
    <w:p w14:paraId="254035F0">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Ansi="宋体" w:cs="宋体"/>
          <w:color w:val="auto"/>
          <w:kern w:val="0"/>
          <w:szCs w:val="24"/>
          <w:highlight w:val="none"/>
        </w:rPr>
      </w:pPr>
      <w:r>
        <w:rPr>
          <w:rFonts w:hAnsi="宋体" w:cs="宋体"/>
          <w:color w:val="auto"/>
          <w:kern w:val="0"/>
          <w:szCs w:val="24"/>
          <w:highlight w:val="none"/>
        </w:rPr>
        <w:t xml:space="preserve">    G.存在共同直接或间接投资设立子公司、联营企业和合营企业情况</w:t>
      </w:r>
    </w:p>
    <w:p w14:paraId="2E2C4B2A">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zCs w:val="24"/>
          <w:highlight w:val="none"/>
        </w:rPr>
      </w:pPr>
      <w:r>
        <w:rPr>
          <w:rFonts w:hAnsi="宋体" w:cs="宋体"/>
          <w:color w:val="auto"/>
          <w:kern w:val="0"/>
          <w:szCs w:val="24"/>
          <w:highlight w:val="none"/>
        </w:rPr>
        <w:t xml:space="preserve">    H.存在分级代理或代销关系、同一生产制造商关系、</w:t>
      </w:r>
      <w:r>
        <w:rPr>
          <w:rFonts w:hAnsi="宋体" w:cs="宋体"/>
          <w:color w:val="auto"/>
          <w:szCs w:val="24"/>
          <w:highlight w:val="none"/>
        </w:rPr>
        <w:t>管理关系、重要业务（占主营业务收入50%以上）或重要财务往来关系（如融资）等其他实质性控制关系</w:t>
      </w:r>
    </w:p>
    <w:p w14:paraId="20612531">
      <w:pPr>
        <w:pStyle w:val="48"/>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szCs w:val="24"/>
          <w:highlight w:val="none"/>
        </w:rPr>
        <w:t xml:space="preserve">    I</w:t>
      </w:r>
      <w:r>
        <w:rPr>
          <w:rFonts w:hAnsi="宋体" w:cs="宋体"/>
          <w:color w:val="auto"/>
          <w:kern w:val="0"/>
          <w:szCs w:val="24"/>
          <w:highlight w:val="none"/>
        </w:rPr>
        <w:t>.</w:t>
      </w:r>
      <w:r>
        <w:rPr>
          <w:rFonts w:hAnsi="宋体" w:cs="宋体"/>
          <w:color w:val="auto"/>
          <w:szCs w:val="24"/>
          <w:highlight w:val="none"/>
        </w:rPr>
        <w:t>其他利害关系情况</w:t>
      </w:r>
      <w:r>
        <w:rPr>
          <w:rFonts w:hAnsi="宋体" w:cs="宋体"/>
          <w:color w:val="auto"/>
          <w:kern w:val="0"/>
          <w:szCs w:val="24"/>
          <w:highlight w:val="none"/>
        </w:rPr>
        <w:t>。</w:t>
      </w:r>
    </w:p>
    <w:p w14:paraId="40C5A347">
      <w:pPr>
        <w:pStyle w:val="49"/>
        <w:keepNext w:val="0"/>
        <w:keepLines w:val="0"/>
        <w:pageBreakBefore w:val="0"/>
        <w:widowControl/>
        <w:numPr>
          <w:ilvl w:val="0"/>
          <w:numId w:val="10"/>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我发现</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供应商之间存在或可能存在上述第二条第</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项利害关系。</w:t>
      </w:r>
    </w:p>
    <w:p w14:paraId="1D7606CF">
      <w:pPr>
        <w:pStyle w:val="48"/>
        <w:widowControl w:val="0"/>
        <w:snapToGrid w:val="0"/>
        <w:spacing w:line="500" w:lineRule="exact"/>
        <w:ind w:firstLine="480" w:firstLineChars="200"/>
        <w:jc w:val="center"/>
        <w:rPr>
          <w:rFonts w:hAnsi="宋体" w:cs="宋体"/>
          <w:color w:val="auto"/>
          <w:szCs w:val="24"/>
          <w:highlight w:val="none"/>
        </w:rPr>
      </w:pPr>
    </w:p>
    <w:p w14:paraId="480BA012">
      <w:pPr>
        <w:pStyle w:val="48"/>
        <w:widowControl w:val="0"/>
        <w:snapToGrid w:val="0"/>
        <w:spacing w:line="500" w:lineRule="exact"/>
        <w:ind w:firstLine="480" w:firstLineChars="200"/>
        <w:jc w:val="center"/>
        <w:rPr>
          <w:rFonts w:hAnsi="宋体" w:cs="宋体"/>
          <w:color w:val="auto"/>
          <w:sz w:val="24"/>
          <w:szCs w:val="24"/>
          <w:highlight w:val="none"/>
        </w:rPr>
      </w:pPr>
      <w:r>
        <w:rPr>
          <w:rFonts w:hAnsi="宋体" w:cs="宋体"/>
          <w:color w:val="auto"/>
          <w:szCs w:val="24"/>
          <w:highlight w:val="none"/>
        </w:rPr>
        <w:t xml:space="preserve"> 供应商代表签名：</w:t>
      </w:r>
      <w:r>
        <w:rPr>
          <w:rFonts w:hAnsi="宋体" w:cs="宋体"/>
          <w:color w:val="auto"/>
          <w:sz w:val="24"/>
          <w:szCs w:val="24"/>
          <w:highlight w:val="none"/>
        </w:rPr>
        <w:t xml:space="preserve">    </w:t>
      </w:r>
    </w:p>
    <w:p w14:paraId="28BF3D62">
      <w:pPr>
        <w:pStyle w:val="48"/>
        <w:widowControl w:val="0"/>
        <w:snapToGrid w:val="0"/>
        <w:spacing w:line="500" w:lineRule="exact"/>
        <w:ind w:firstLine="480" w:firstLineChars="200"/>
        <w:jc w:val="center"/>
        <w:rPr>
          <w:rFonts w:hAnsi="宋体" w:cs="宋体"/>
          <w:color w:val="auto"/>
          <w:sz w:val="24"/>
          <w:szCs w:val="24"/>
          <w:highlight w:val="none"/>
        </w:rPr>
      </w:pPr>
    </w:p>
    <w:p w14:paraId="31E818D3">
      <w:pPr>
        <w:pStyle w:val="48"/>
        <w:widowControl w:val="0"/>
        <w:snapToGrid w:val="0"/>
        <w:spacing w:line="500" w:lineRule="exact"/>
        <w:ind w:firstLine="480" w:firstLineChars="200"/>
        <w:jc w:val="center"/>
        <w:rPr>
          <w:rFonts w:hAnsi="宋体" w:cs="宋体"/>
          <w:color w:val="auto"/>
          <w:sz w:val="24"/>
          <w:szCs w:val="24"/>
          <w:highlight w:val="none"/>
        </w:rPr>
      </w:pPr>
    </w:p>
    <w:p w14:paraId="481FD000">
      <w:pPr>
        <w:adjustRightInd w:val="0"/>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36A01A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一、</w:t>
      </w:r>
      <w:r>
        <w:rPr>
          <w:rFonts w:hint="eastAsia" w:ascii="宋体" w:hAnsi="宋体" w:eastAsia="宋体" w:cs="宋体"/>
          <w:bCs/>
          <w:color w:val="auto"/>
          <w:sz w:val="24"/>
          <w:szCs w:val="24"/>
          <w:highlight w:val="none"/>
        </w:rPr>
        <w:t>质疑供应商基本信息</w:t>
      </w:r>
    </w:p>
    <w:p w14:paraId="598DD61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124D48A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4E6C8AA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联系人：联系电话：</w:t>
      </w:r>
    </w:p>
    <w:p w14:paraId="49833EB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p>
    <w:p w14:paraId="693787D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4D02B02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043EC01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28011C99">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4895233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506B481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69CB42B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5903078F">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9846E6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24B1CD7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29F63C68">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618DF07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118405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7C34C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3631643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0383BBFF">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签字(签章)：公章：</w:t>
      </w:r>
    </w:p>
    <w:p w14:paraId="64BEF149">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227865B6">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221AC484">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269CC411">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79022A34">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413CC6D3">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59FF30D">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87591B6">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Ansi="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Ansi="宋体" w:cs="宋体"/>
          <w:color w:val="auto"/>
          <w:sz w:val="24"/>
          <w:szCs w:val="24"/>
          <w:highlight w:val="none"/>
        </w:rPr>
        <w:t xml:space="preserve">    </w:t>
      </w:r>
    </w:p>
    <w:p w14:paraId="11EAAE87">
      <w:pPr>
        <w:pStyle w:val="39"/>
        <w:rPr>
          <w:rFonts w:hAnsi="宋体" w:cs="宋体"/>
          <w:color w:val="auto"/>
          <w:sz w:val="24"/>
          <w:szCs w:val="24"/>
          <w:highlight w:val="none"/>
        </w:rPr>
      </w:pPr>
    </w:p>
    <w:p w14:paraId="7EF2E477">
      <w:pPr>
        <w:pStyle w:val="40"/>
        <w:rPr>
          <w:rFonts w:hAnsi="宋体" w:cs="宋体"/>
          <w:color w:val="auto"/>
          <w:sz w:val="24"/>
          <w:szCs w:val="24"/>
          <w:highlight w:val="none"/>
        </w:rPr>
      </w:pPr>
    </w:p>
    <w:p w14:paraId="65B7D21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FFDCA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21171A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8FBA85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45317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1F7085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1A594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09C2F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48EFA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47C05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58642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6D3E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AD05E6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90338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51C69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AAC997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FD8E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99FA3E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5813128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F35B3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26F5C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7A1F4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169500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15F5F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A138E7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663A50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B6D7AA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3448C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8B0BC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2FEA2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24956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11D3F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0F7ED4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52175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41E32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BC53A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B2142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4FC9C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B0B1B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87168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B79C610">
      <w:pPr>
        <w:spacing w:line="360" w:lineRule="auto"/>
        <w:rPr>
          <w:rFonts w:hint="eastAsia" w:ascii="宋体" w:hAnsi="宋体" w:eastAsia="宋体" w:cs="宋体"/>
          <w:b/>
          <w:color w:val="auto"/>
          <w:sz w:val="24"/>
          <w:highlight w:val="none"/>
        </w:rPr>
      </w:pPr>
    </w:p>
    <w:p w14:paraId="384DA70D">
      <w:pPr>
        <w:spacing w:line="360" w:lineRule="auto"/>
        <w:rPr>
          <w:rFonts w:hint="eastAsia" w:ascii="宋体" w:hAnsi="宋体" w:eastAsia="宋体" w:cs="宋体"/>
          <w:b/>
          <w:color w:val="auto"/>
          <w:sz w:val="24"/>
          <w:highlight w:val="none"/>
        </w:rPr>
      </w:pPr>
    </w:p>
    <w:p w14:paraId="15E7418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9D7F63A">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13A7D3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F0DB6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2962D91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CCF86D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B2056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A5C7D0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FD1CA1">
      <w:pPr>
        <w:rPr>
          <w:rFonts w:hint="eastAsia" w:ascii="宋体" w:hAnsi="宋体" w:eastAsia="宋体" w:cs="宋体"/>
          <w:color w:val="auto"/>
          <w:highlight w:val="none"/>
        </w:rPr>
      </w:pPr>
    </w:p>
    <w:p w14:paraId="444D575E">
      <w:pPr>
        <w:pStyle w:val="48"/>
        <w:widowControl w:val="0"/>
        <w:snapToGrid w:val="0"/>
        <w:spacing w:line="500" w:lineRule="exact"/>
        <w:ind w:firstLine="480" w:firstLineChars="200"/>
        <w:jc w:val="center"/>
        <w:rPr>
          <w:rFonts w:hAnsi="宋体" w:cs="宋体"/>
          <w:color w:val="auto"/>
          <w:sz w:val="24"/>
          <w:szCs w:val="24"/>
          <w:highlight w:val="none"/>
        </w:rPr>
      </w:pPr>
    </w:p>
    <w:p w14:paraId="49C2638A">
      <w:pPr>
        <w:pStyle w:val="48"/>
        <w:widowControl w:val="0"/>
        <w:snapToGrid w:val="0"/>
        <w:spacing w:line="500" w:lineRule="exact"/>
        <w:ind w:firstLine="480" w:firstLineChars="200"/>
        <w:jc w:val="center"/>
        <w:rPr>
          <w:rFonts w:hAnsi="宋体" w:cs="宋体"/>
          <w:color w:val="auto"/>
          <w:sz w:val="24"/>
          <w:szCs w:val="24"/>
          <w:highlight w:val="none"/>
        </w:rPr>
      </w:pPr>
    </w:p>
    <w:sectPr>
      <w:headerReference r:id="rId11" w:type="default"/>
      <w:footerReference r:id="rId12" w:type="default"/>
      <w:pgSz w:w="11906" w:h="16838"/>
      <w:pgMar w:top="1361" w:right="1289" w:bottom="1361" w:left="157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ahoma"/>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854F">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659"/>
      <w:docPartObj>
        <w:docPartGallery w:val="autotext"/>
      </w:docPartObj>
    </w:sdtPr>
    <w:sdtContent>
      <w:p w14:paraId="7C7E9203">
        <w:pPr>
          <w:pStyle w:val="20"/>
          <w:jc w:val="center"/>
          <w:rPr>
            <w:rFonts w:hint="default"/>
            <w:lang w:val="en-US" w:eastAsia="zh-CN"/>
          </w:rPr>
        </w:pPr>
        <w:r>
          <w:fldChar w:fldCharType="begin"/>
        </w:r>
        <w:r>
          <w:instrText xml:space="preserve"> PAGE   \* MERGEFORMAT </w:instrText>
        </w:r>
        <w:r>
          <w:fldChar w:fldCharType="separate"/>
        </w:r>
        <w:r>
          <w:rPr>
            <w:lang w:val="zh-CN"/>
          </w:rPr>
          <w:t>31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9100">
    <w:pPr>
      <w:pStyle w:val="2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87AAE">
                          <w:pPr>
                            <w:pStyle w:val="20"/>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987AAE">
                    <w:pPr>
                      <w:pStyle w:val="20"/>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FFD8">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94F64">
                          <w:pPr>
                            <w:pStyle w:val="20"/>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2E94F64">
                    <w:pPr>
                      <w:pStyle w:val="20"/>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FEF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4F304">
                          <w:pPr>
                            <w:pStyle w:val="20"/>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44F304">
                    <w:pPr>
                      <w:pStyle w:val="20"/>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FEAD">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115BC">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1115BC">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DA3E">
    <w:pPr>
      <w:pStyle w:val="21"/>
      <w:ind w:firstLine="360" w:firstLineChars="200"/>
      <w:jc w:val="lef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DDC2">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AE9">
    <w:pPr>
      <w:pStyle w:val="21"/>
      <w:ind w:firstLine="450" w:firstLineChars="25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DCD9">
    <w:pPr>
      <w:pStyle w:val="2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9FD7C"/>
    <w:multiLevelType w:val="singleLevel"/>
    <w:tmpl w:val="9E79FD7C"/>
    <w:lvl w:ilvl="0" w:tentative="0">
      <w:start w:val="3"/>
      <w:numFmt w:val="chineseCounting"/>
      <w:suff w:val="space"/>
      <w:lvlText w:val="第%1部分"/>
      <w:lvlJc w:val="left"/>
      <w:rPr>
        <w:rFonts w:hint="eastAsia"/>
      </w:rPr>
    </w:lvl>
  </w:abstractNum>
  <w:abstractNum w:abstractNumId="1">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16E957A"/>
    <w:multiLevelType w:val="singleLevel"/>
    <w:tmpl w:val="D16E957A"/>
    <w:lvl w:ilvl="0" w:tentative="0">
      <w:start w:val="1"/>
      <w:numFmt w:val="decimal"/>
      <w:lvlText w:val="%1."/>
      <w:lvlJc w:val="left"/>
      <w:pPr>
        <w:tabs>
          <w:tab w:val="left" w:pos="312"/>
        </w:tabs>
      </w:pPr>
    </w:lvl>
  </w:abstractNum>
  <w:abstractNum w:abstractNumId="3">
    <w:nsid w:val="FDBDBD64"/>
    <w:multiLevelType w:val="singleLevel"/>
    <w:tmpl w:val="FDBDBD64"/>
    <w:lvl w:ilvl="0" w:tentative="0">
      <w:start w:val="1"/>
      <w:numFmt w:val="decimal"/>
      <w:pStyle w:val="15"/>
      <w:lvlText w:val="%1."/>
      <w:lvlJc w:val="left"/>
      <w:pPr>
        <w:tabs>
          <w:tab w:val="left" w:pos="1200"/>
        </w:tabs>
        <w:ind w:left="1200" w:hanging="360"/>
      </w:pPr>
    </w:lvl>
  </w:abstractNum>
  <w:abstractNum w:abstractNumId="4">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37DF4A40"/>
    <w:multiLevelType w:val="singleLevel"/>
    <w:tmpl w:val="37DF4A40"/>
    <w:lvl w:ilvl="0" w:tentative="0">
      <w:start w:val="1"/>
      <w:numFmt w:val="decimal"/>
      <w:pStyle w:val="7"/>
      <w:lvlText w:val="%1."/>
      <w:lvlJc w:val="left"/>
      <w:pPr>
        <w:tabs>
          <w:tab w:val="left" w:pos="780"/>
        </w:tabs>
        <w:ind w:left="780" w:hanging="36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3"/>
  </w:num>
  <w:num w:numId="4">
    <w:abstractNumId w:val="2"/>
  </w:num>
  <w:num w:numId="5">
    <w:abstractNumId w:val="1"/>
  </w:num>
  <w:num w:numId="6">
    <w:abstractNumId w:val="9"/>
  </w:num>
  <w:num w:numId="7">
    <w:abstractNumId w:val="0"/>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MWM1NjljYzJjZWFmZjIwZDE3ODM5ZjAwOTk3OGQifQ=="/>
  </w:docVars>
  <w:rsids>
    <w:rsidRoot w:val="00013255"/>
    <w:rsid w:val="00013255"/>
    <w:rsid w:val="000166EB"/>
    <w:rsid w:val="000177AC"/>
    <w:rsid w:val="00027CDF"/>
    <w:rsid w:val="00031F0D"/>
    <w:rsid w:val="00043144"/>
    <w:rsid w:val="0006409E"/>
    <w:rsid w:val="00086AAA"/>
    <w:rsid w:val="000943F3"/>
    <w:rsid w:val="000973F2"/>
    <w:rsid w:val="000B50C7"/>
    <w:rsid w:val="000C40D6"/>
    <w:rsid w:val="000D068E"/>
    <w:rsid w:val="000E6478"/>
    <w:rsid w:val="000E675B"/>
    <w:rsid w:val="000F4900"/>
    <w:rsid w:val="00102456"/>
    <w:rsid w:val="00102B2E"/>
    <w:rsid w:val="001030B5"/>
    <w:rsid w:val="00104201"/>
    <w:rsid w:val="00105D32"/>
    <w:rsid w:val="00110BBD"/>
    <w:rsid w:val="00115618"/>
    <w:rsid w:val="00123322"/>
    <w:rsid w:val="001317C1"/>
    <w:rsid w:val="00137B84"/>
    <w:rsid w:val="00154675"/>
    <w:rsid w:val="00162152"/>
    <w:rsid w:val="00166961"/>
    <w:rsid w:val="00172E78"/>
    <w:rsid w:val="001746B3"/>
    <w:rsid w:val="0018391E"/>
    <w:rsid w:val="00186BF0"/>
    <w:rsid w:val="001A3BFF"/>
    <w:rsid w:val="001A4F04"/>
    <w:rsid w:val="001A5B05"/>
    <w:rsid w:val="001C21D2"/>
    <w:rsid w:val="001D18AB"/>
    <w:rsid w:val="001D1961"/>
    <w:rsid w:val="001F18E2"/>
    <w:rsid w:val="001F290D"/>
    <w:rsid w:val="001F3B77"/>
    <w:rsid w:val="00203F43"/>
    <w:rsid w:val="00204F87"/>
    <w:rsid w:val="00215AA4"/>
    <w:rsid w:val="00216F62"/>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1380D"/>
    <w:rsid w:val="00320871"/>
    <w:rsid w:val="00323BD2"/>
    <w:rsid w:val="00363D1B"/>
    <w:rsid w:val="00386EBE"/>
    <w:rsid w:val="00387933"/>
    <w:rsid w:val="00387BC4"/>
    <w:rsid w:val="003A2D9E"/>
    <w:rsid w:val="003A4DB8"/>
    <w:rsid w:val="003A5417"/>
    <w:rsid w:val="003B3EF0"/>
    <w:rsid w:val="003D5573"/>
    <w:rsid w:val="003E4683"/>
    <w:rsid w:val="00446222"/>
    <w:rsid w:val="00455712"/>
    <w:rsid w:val="00461122"/>
    <w:rsid w:val="00462249"/>
    <w:rsid w:val="004B2B21"/>
    <w:rsid w:val="004B3192"/>
    <w:rsid w:val="004B7001"/>
    <w:rsid w:val="004D4BD3"/>
    <w:rsid w:val="004D65B1"/>
    <w:rsid w:val="004D6899"/>
    <w:rsid w:val="004E2A2C"/>
    <w:rsid w:val="004F7CEB"/>
    <w:rsid w:val="00500CBB"/>
    <w:rsid w:val="00502095"/>
    <w:rsid w:val="005221C7"/>
    <w:rsid w:val="00535E7A"/>
    <w:rsid w:val="0054088A"/>
    <w:rsid w:val="0054524C"/>
    <w:rsid w:val="00556BCB"/>
    <w:rsid w:val="005663A5"/>
    <w:rsid w:val="005A28DD"/>
    <w:rsid w:val="005A42FA"/>
    <w:rsid w:val="005A503E"/>
    <w:rsid w:val="005C1676"/>
    <w:rsid w:val="005C76BB"/>
    <w:rsid w:val="005D21B5"/>
    <w:rsid w:val="005D4380"/>
    <w:rsid w:val="005E1CD9"/>
    <w:rsid w:val="005E6636"/>
    <w:rsid w:val="005E7B2B"/>
    <w:rsid w:val="006046E5"/>
    <w:rsid w:val="00612384"/>
    <w:rsid w:val="0061264F"/>
    <w:rsid w:val="006217BC"/>
    <w:rsid w:val="00637476"/>
    <w:rsid w:val="00641E35"/>
    <w:rsid w:val="006474C9"/>
    <w:rsid w:val="0065211C"/>
    <w:rsid w:val="006554EE"/>
    <w:rsid w:val="0066601C"/>
    <w:rsid w:val="0066795B"/>
    <w:rsid w:val="00675481"/>
    <w:rsid w:val="006872D9"/>
    <w:rsid w:val="006D15A9"/>
    <w:rsid w:val="006D1CB4"/>
    <w:rsid w:val="006D1E21"/>
    <w:rsid w:val="006D5CC9"/>
    <w:rsid w:val="006E0C85"/>
    <w:rsid w:val="006E12E4"/>
    <w:rsid w:val="006E4A62"/>
    <w:rsid w:val="006E6927"/>
    <w:rsid w:val="006E6D7B"/>
    <w:rsid w:val="00717CE8"/>
    <w:rsid w:val="00737E1D"/>
    <w:rsid w:val="00740C9B"/>
    <w:rsid w:val="00745795"/>
    <w:rsid w:val="007526DE"/>
    <w:rsid w:val="00755EEF"/>
    <w:rsid w:val="007646C7"/>
    <w:rsid w:val="007701B1"/>
    <w:rsid w:val="007736D2"/>
    <w:rsid w:val="00797432"/>
    <w:rsid w:val="007C1215"/>
    <w:rsid w:val="007C14C1"/>
    <w:rsid w:val="007C2628"/>
    <w:rsid w:val="007C5513"/>
    <w:rsid w:val="007D637E"/>
    <w:rsid w:val="007F178D"/>
    <w:rsid w:val="00810F15"/>
    <w:rsid w:val="00837BC8"/>
    <w:rsid w:val="00857E02"/>
    <w:rsid w:val="0088405E"/>
    <w:rsid w:val="00884A94"/>
    <w:rsid w:val="008906BF"/>
    <w:rsid w:val="008B5F98"/>
    <w:rsid w:val="008C2CD3"/>
    <w:rsid w:val="008E0C60"/>
    <w:rsid w:val="008E2A0E"/>
    <w:rsid w:val="008F3559"/>
    <w:rsid w:val="00931B9D"/>
    <w:rsid w:val="00950938"/>
    <w:rsid w:val="00963027"/>
    <w:rsid w:val="0099232E"/>
    <w:rsid w:val="009A2630"/>
    <w:rsid w:val="009A3274"/>
    <w:rsid w:val="009C0F8E"/>
    <w:rsid w:val="009C7398"/>
    <w:rsid w:val="009E3E84"/>
    <w:rsid w:val="009E41E4"/>
    <w:rsid w:val="009F2B74"/>
    <w:rsid w:val="00A316B4"/>
    <w:rsid w:val="00A35E4F"/>
    <w:rsid w:val="00A56502"/>
    <w:rsid w:val="00A63A56"/>
    <w:rsid w:val="00A775BA"/>
    <w:rsid w:val="00A77A87"/>
    <w:rsid w:val="00A8310F"/>
    <w:rsid w:val="00A95595"/>
    <w:rsid w:val="00A96843"/>
    <w:rsid w:val="00AA5080"/>
    <w:rsid w:val="00AB2C34"/>
    <w:rsid w:val="00AC075E"/>
    <w:rsid w:val="00AE1E21"/>
    <w:rsid w:val="00AE2C9D"/>
    <w:rsid w:val="00AE448C"/>
    <w:rsid w:val="00AE51DC"/>
    <w:rsid w:val="00AE6FF9"/>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11B86"/>
    <w:rsid w:val="00C645C4"/>
    <w:rsid w:val="00C77375"/>
    <w:rsid w:val="00CA49EA"/>
    <w:rsid w:val="00CC51DF"/>
    <w:rsid w:val="00CD2556"/>
    <w:rsid w:val="00CD309D"/>
    <w:rsid w:val="00CE38B2"/>
    <w:rsid w:val="00CF377E"/>
    <w:rsid w:val="00CF537F"/>
    <w:rsid w:val="00D02837"/>
    <w:rsid w:val="00D25DFE"/>
    <w:rsid w:val="00D2706A"/>
    <w:rsid w:val="00D65AAF"/>
    <w:rsid w:val="00D66AF0"/>
    <w:rsid w:val="00D71948"/>
    <w:rsid w:val="00D73674"/>
    <w:rsid w:val="00D76AB3"/>
    <w:rsid w:val="00D85D7D"/>
    <w:rsid w:val="00D86022"/>
    <w:rsid w:val="00D86938"/>
    <w:rsid w:val="00D92F87"/>
    <w:rsid w:val="00D94740"/>
    <w:rsid w:val="00D9717E"/>
    <w:rsid w:val="00DC13D1"/>
    <w:rsid w:val="00DC533E"/>
    <w:rsid w:val="00DE1B95"/>
    <w:rsid w:val="00DE78F3"/>
    <w:rsid w:val="00DF0970"/>
    <w:rsid w:val="00DF7CCC"/>
    <w:rsid w:val="00E16EF2"/>
    <w:rsid w:val="00E16FC7"/>
    <w:rsid w:val="00E23BCA"/>
    <w:rsid w:val="00E25E80"/>
    <w:rsid w:val="00E26010"/>
    <w:rsid w:val="00E36E93"/>
    <w:rsid w:val="00E7316F"/>
    <w:rsid w:val="00E75FBE"/>
    <w:rsid w:val="00E76AEC"/>
    <w:rsid w:val="00E76CD3"/>
    <w:rsid w:val="00E84C3F"/>
    <w:rsid w:val="00E911C1"/>
    <w:rsid w:val="00EA000B"/>
    <w:rsid w:val="00EA40E8"/>
    <w:rsid w:val="00EB0547"/>
    <w:rsid w:val="00EB1C0E"/>
    <w:rsid w:val="00ED452B"/>
    <w:rsid w:val="00EF25F4"/>
    <w:rsid w:val="00F01B62"/>
    <w:rsid w:val="00F24582"/>
    <w:rsid w:val="00F3262D"/>
    <w:rsid w:val="00F35305"/>
    <w:rsid w:val="00F41897"/>
    <w:rsid w:val="00F41CBC"/>
    <w:rsid w:val="00F71E41"/>
    <w:rsid w:val="00F759B6"/>
    <w:rsid w:val="00F83193"/>
    <w:rsid w:val="00F84D83"/>
    <w:rsid w:val="00F9039A"/>
    <w:rsid w:val="00F92AF4"/>
    <w:rsid w:val="00F939DD"/>
    <w:rsid w:val="00FB01E8"/>
    <w:rsid w:val="00FB1A53"/>
    <w:rsid w:val="00FC0114"/>
    <w:rsid w:val="00FC02BF"/>
    <w:rsid w:val="00FC7526"/>
    <w:rsid w:val="00FE6EBA"/>
    <w:rsid w:val="00FF0ACE"/>
    <w:rsid w:val="00FF51CB"/>
    <w:rsid w:val="01011432"/>
    <w:rsid w:val="0119677B"/>
    <w:rsid w:val="011B0745"/>
    <w:rsid w:val="011C626C"/>
    <w:rsid w:val="0136557F"/>
    <w:rsid w:val="0147778C"/>
    <w:rsid w:val="014A2DD9"/>
    <w:rsid w:val="01562B56"/>
    <w:rsid w:val="015B6D94"/>
    <w:rsid w:val="015C102B"/>
    <w:rsid w:val="017D6A20"/>
    <w:rsid w:val="01814321"/>
    <w:rsid w:val="018D0F17"/>
    <w:rsid w:val="019127B6"/>
    <w:rsid w:val="01987FE8"/>
    <w:rsid w:val="019D28FF"/>
    <w:rsid w:val="019F1377"/>
    <w:rsid w:val="01B91D0C"/>
    <w:rsid w:val="01C11242"/>
    <w:rsid w:val="01C20BC1"/>
    <w:rsid w:val="01CF7782"/>
    <w:rsid w:val="01D33506"/>
    <w:rsid w:val="01E05E16"/>
    <w:rsid w:val="01E52B01"/>
    <w:rsid w:val="01E856A3"/>
    <w:rsid w:val="01EC20E2"/>
    <w:rsid w:val="01F43679"/>
    <w:rsid w:val="01F66ABD"/>
    <w:rsid w:val="020C3FF2"/>
    <w:rsid w:val="020E02AA"/>
    <w:rsid w:val="02117D9A"/>
    <w:rsid w:val="021C29C7"/>
    <w:rsid w:val="022F4BD9"/>
    <w:rsid w:val="02313F99"/>
    <w:rsid w:val="02421D02"/>
    <w:rsid w:val="0247556A"/>
    <w:rsid w:val="024B6E08"/>
    <w:rsid w:val="024E0ADE"/>
    <w:rsid w:val="02632FB4"/>
    <w:rsid w:val="02671768"/>
    <w:rsid w:val="027728BA"/>
    <w:rsid w:val="02785724"/>
    <w:rsid w:val="02786FB6"/>
    <w:rsid w:val="028B18FB"/>
    <w:rsid w:val="029426A4"/>
    <w:rsid w:val="029562D6"/>
    <w:rsid w:val="02A91D81"/>
    <w:rsid w:val="02B40E52"/>
    <w:rsid w:val="02C46BBB"/>
    <w:rsid w:val="02C92423"/>
    <w:rsid w:val="02CB0818"/>
    <w:rsid w:val="02CB3234"/>
    <w:rsid w:val="02E35293"/>
    <w:rsid w:val="02F53218"/>
    <w:rsid w:val="030671D3"/>
    <w:rsid w:val="030D234B"/>
    <w:rsid w:val="031C43BE"/>
    <w:rsid w:val="031C69F7"/>
    <w:rsid w:val="03237D85"/>
    <w:rsid w:val="032C4E8C"/>
    <w:rsid w:val="032F04D8"/>
    <w:rsid w:val="03411FB9"/>
    <w:rsid w:val="0348159A"/>
    <w:rsid w:val="034A70C0"/>
    <w:rsid w:val="03505229"/>
    <w:rsid w:val="03546191"/>
    <w:rsid w:val="035F6CF1"/>
    <w:rsid w:val="035F7A8D"/>
    <w:rsid w:val="038002F5"/>
    <w:rsid w:val="039756DF"/>
    <w:rsid w:val="03A10CAA"/>
    <w:rsid w:val="03A72764"/>
    <w:rsid w:val="03A964DC"/>
    <w:rsid w:val="03B44E81"/>
    <w:rsid w:val="03B83858"/>
    <w:rsid w:val="03B931BC"/>
    <w:rsid w:val="03C1014A"/>
    <w:rsid w:val="03D25772"/>
    <w:rsid w:val="03D67F2A"/>
    <w:rsid w:val="03DC41B1"/>
    <w:rsid w:val="03E01183"/>
    <w:rsid w:val="03F1578E"/>
    <w:rsid w:val="03F60FF6"/>
    <w:rsid w:val="03F86B1C"/>
    <w:rsid w:val="03F90AE6"/>
    <w:rsid w:val="03FB03BA"/>
    <w:rsid w:val="040053AC"/>
    <w:rsid w:val="04062505"/>
    <w:rsid w:val="04091C6F"/>
    <w:rsid w:val="04137DFA"/>
    <w:rsid w:val="04243DB5"/>
    <w:rsid w:val="0433224A"/>
    <w:rsid w:val="043371C8"/>
    <w:rsid w:val="04365896"/>
    <w:rsid w:val="043864D8"/>
    <w:rsid w:val="043F0415"/>
    <w:rsid w:val="046976DB"/>
    <w:rsid w:val="046A433F"/>
    <w:rsid w:val="046E5030"/>
    <w:rsid w:val="04706FFA"/>
    <w:rsid w:val="0486237A"/>
    <w:rsid w:val="048B5BE2"/>
    <w:rsid w:val="049B394B"/>
    <w:rsid w:val="049F51EA"/>
    <w:rsid w:val="04A42800"/>
    <w:rsid w:val="04B36EE7"/>
    <w:rsid w:val="04B3705D"/>
    <w:rsid w:val="04B70785"/>
    <w:rsid w:val="04BF763A"/>
    <w:rsid w:val="04CD61FB"/>
    <w:rsid w:val="04D23811"/>
    <w:rsid w:val="04D63E97"/>
    <w:rsid w:val="04E13A54"/>
    <w:rsid w:val="04E86B91"/>
    <w:rsid w:val="04F83365"/>
    <w:rsid w:val="04FE63B4"/>
    <w:rsid w:val="050F05C1"/>
    <w:rsid w:val="05104339"/>
    <w:rsid w:val="053402B1"/>
    <w:rsid w:val="05353DA0"/>
    <w:rsid w:val="05542478"/>
    <w:rsid w:val="05551D4C"/>
    <w:rsid w:val="05571F68"/>
    <w:rsid w:val="05583214"/>
    <w:rsid w:val="055F2BCB"/>
    <w:rsid w:val="05614B95"/>
    <w:rsid w:val="056A1C9B"/>
    <w:rsid w:val="056B1570"/>
    <w:rsid w:val="056D7096"/>
    <w:rsid w:val="05776166"/>
    <w:rsid w:val="05805B85"/>
    <w:rsid w:val="058072FC"/>
    <w:rsid w:val="05874C16"/>
    <w:rsid w:val="05882122"/>
    <w:rsid w:val="058873C0"/>
    <w:rsid w:val="05A0746B"/>
    <w:rsid w:val="05B74F2E"/>
    <w:rsid w:val="05B922DB"/>
    <w:rsid w:val="05C3315A"/>
    <w:rsid w:val="05C56ED2"/>
    <w:rsid w:val="05CF0B21"/>
    <w:rsid w:val="05D80FC6"/>
    <w:rsid w:val="05DE61E6"/>
    <w:rsid w:val="05E732EC"/>
    <w:rsid w:val="05FD666C"/>
    <w:rsid w:val="06023E58"/>
    <w:rsid w:val="06287461"/>
    <w:rsid w:val="063B53E6"/>
    <w:rsid w:val="064323A1"/>
    <w:rsid w:val="064D446A"/>
    <w:rsid w:val="064F6B3F"/>
    <w:rsid w:val="06606822"/>
    <w:rsid w:val="06624721"/>
    <w:rsid w:val="066F6E3E"/>
    <w:rsid w:val="06874187"/>
    <w:rsid w:val="068B011B"/>
    <w:rsid w:val="068C79F0"/>
    <w:rsid w:val="06935222"/>
    <w:rsid w:val="069B5B9D"/>
    <w:rsid w:val="06A60436"/>
    <w:rsid w:val="06AD62E4"/>
    <w:rsid w:val="06BA27AF"/>
    <w:rsid w:val="06D05B2E"/>
    <w:rsid w:val="06D118A6"/>
    <w:rsid w:val="06DA4BFF"/>
    <w:rsid w:val="06E51DAE"/>
    <w:rsid w:val="06E72E78"/>
    <w:rsid w:val="06F6179A"/>
    <w:rsid w:val="06FE6B3F"/>
    <w:rsid w:val="07034156"/>
    <w:rsid w:val="070677A2"/>
    <w:rsid w:val="070D7056"/>
    <w:rsid w:val="07106873"/>
    <w:rsid w:val="071D689A"/>
    <w:rsid w:val="071F0864"/>
    <w:rsid w:val="07351E35"/>
    <w:rsid w:val="073C1416"/>
    <w:rsid w:val="073D0CEA"/>
    <w:rsid w:val="075141CC"/>
    <w:rsid w:val="07611477"/>
    <w:rsid w:val="076B43DC"/>
    <w:rsid w:val="076F17EB"/>
    <w:rsid w:val="07726BE5"/>
    <w:rsid w:val="077A3A35"/>
    <w:rsid w:val="077B0190"/>
    <w:rsid w:val="077C5CB6"/>
    <w:rsid w:val="07807554"/>
    <w:rsid w:val="07844A47"/>
    <w:rsid w:val="078A03D3"/>
    <w:rsid w:val="078D1C71"/>
    <w:rsid w:val="079F3753"/>
    <w:rsid w:val="07A654C1"/>
    <w:rsid w:val="07A77725"/>
    <w:rsid w:val="07B05960"/>
    <w:rsid w:val="07B436A2"/>
    <w:rsid w:val="07B92A66"/>
    <w:rsid w:val="07BD710D"/>
    <w:rsid w:val="07BE1E2B"/>
    <w:rsid w:val="07CA07CF"/>
    <w:rsid w:val="07D618AF"/>
    <w:rsid w:val="07F67816"/>
    <w:rsid w:val="07FB729A"/>
    <w:rsid w:val="08007C85"/>
    <w:rsid w:val="08040B54"/>
    <w:rsid w:val="08095C10"/>
    <w:rsid w:val="081B06DA"/>
    <w:rsid w:val="0822060B"/>
    <w:rsid w:val="08234384"/>
    <w:rsid w:val="0844165D"/>
    <w:rsid w:val="08444A26"/>
    <w:rsid w:val="08457EB8"/>
    <w:rsid w:val="08493DEA"/>
    <w:rsid w:val="085836BA"/>
    <w:rsid w:val="08597DA5"/>
    <w:rsid w:val="08602EE2"/>
    <w:rsid w:val="08626C5A"/>
    <w:rsid w:val="086504F8"/>
    <w:rsid w:val="08652B5E"/>
    <w:rsid w:val="08652BE4"/>
    <w:rsid w:val="08762705"/>
    <w:rsid w:val="08847374"/>
    <w:rsid w:val="08986B20"/>
    <w:rsid w:val="08A46479"/>
    <w:rsid w:val="08AE022E"/>
    <w:rsid w:val="08B817A8"/>
    <w:rsid w:val="08C6543B"/>
    <w:rsid w:val="08C81884"/>
    <w:rsid w:val="08CE609D"/>
    <w:rsid w:val="08D55E08"/>
    <w:rsid w:val="08E57F67"/>
    <w:rsid w:val="08EE04EE"/>
    <w:rsid w:val="08F17FDE"/>
    <w:rsid w:val="08FA6E92"/>
    <w:rsid w:val="09074B37"/>
    <w:rsid w:val="09150170"/>
    <w:rsid w:val="09213AD4"/>
    <w:rsid w:val="09250379"/>
    <w:rsid w:val="092521FD"/>
    <w:rsid w:val="092B1742"/>
    <w:rsid w:val="093323A4"/>
    <w:rsid w:val="0935611C"/>
    <w:rsid w:val="093A3733"/>
    <w:rsid w:val="09420839"/>
    <w:rsid w:val="094E3682"/>
    <w:rsid w:val="097053A7"/>
    <w:rsid w:val="097F55EA"/>
    <w:rsid w:val="09817015"/>
    <w:rsid w:val="099B68C7"/>
    <w:rsid w:val="09B039F5"/>
    <w:rsid w:val="09C82C7A"/>
    <w:rsid w:val="09CA6A25"/>
    <w:rsid w:val="09CD0A4B"/>
    <w:rsid w:val="09CD37EC"/>
    <w:rsid w:val="09EB2C7F"/>
    <w:rsid w:val="09F81004"/>
    <w:rsid w:val="0A1421D6"/>
    <w:rsid w:val="0A1827EB"/>
    <w:rsid w:val="0A195A3E"/>
    <w:rsid w:val="0A230DAB"/>
    <w:rsid w:val="0A2334AF"/>
    <w:rsid w:val="0A2A7C4B"/>
    <w:rsid w:val="0A2C751F"/>
    <w:rsid w:val="0A391C3C"/>
    <w:rsid w:val="0A434869"/>
    <w:rsid w:val="0A474359"/>
    <w:rsid w:val="0A522CFE"/>
    <w:rsid w:val="0A54385D"/>
    <w:rsid w:val="0A6071C9"/>
    <w:rsid w:val="0A821835"/>
    <w:rsid w:val="0A8B1D36"/>
    <w:rsid w:val="0A8C7FBE"/>
    <w:rsid w:val="0A8D2E53"/>
    <w:rsid w:val="0A913826"/>
    <w:rsid w:val="0A981059"/>
    <w:rsid w:val="0A9D21CB"/>
    <w:rsid w:val="0AA277E2"/>
    <w:rsid w:val="0AC459AA"/>
    <w:rsid w:val="0ACF434F"/>
    <w:rsid w:val="0AD67BFB"/>
    <w:rsid w:val="0ADD2F10"/>
    <w:rsid w:val="0AE222D4"/>
    <w:rsid w:val="0AE41BA8"/>
    <w:rsid w:val="0AF049F1"/>
    <w:rsid w:val="0AF52007"/>
    <w:rsid w:val="0AFA13CC"/>
    <w:rsid w:val="0AFD2902"/>
    <w:rsid w:val="0B0C55A3"/>
    <w:rsid w:val="0B0D7F7C"/>
    <w:rsid w:val="0B0E30C9"/>
    <w:rsid w:val="0B21104E"/>
    <w:rsid w:val="0B2408F9"/>
    <w:rsid w:val="0B246449"/>
    <w:rsid w:val="0B4A13AC"/>
    <w:rsid w:val="0B6745CE"/>
    <w:rsid w:val="0B9C06D5"/>
    <w:rsid w:val="0B9E71AD"/>
    <w:rsid w:val="0BBE064B"/>
    <w:rsid w:val="0BC91C49"/>
    <w:rsid w:val="0BD53BE7"/>
    <w:rsid w:val="0BE16F32"/>
    <w:rsid w:val="0BE37935"/>
    <w:rsid w:val="0BE43B46"/>
    <w:rsid w:val="0BEA32BC"/>
    <w:rsid w:val="0BF64289"/>
    <w:rsid w:val="0C006EB6"/>
    <w:rsid w:val="0C07025C"/>
    <w:rsid w:val="0C18330D"/>
    <w:rsid w:val="0C1E558E"/>
    <w:rsid w:val="0C214339"/>
    <w:rsid w:val="0C28640C"/>
    <w:rsid w:val="0C395F24"/>
    <w:rsid w:val="0C3E353A"/>
    <w:rsid w:val="0C405504"/>
    <w:rsid w:val="0C417150"/>
    <w:rsid w:val="0C5B7150"/>
    <w:rsid w:val="0C685E35"/>
    <w:rsid w:val="0C760F26"/>
    <w:rsid w:val="0C7E602C"/>
    <w:rsid w:val="0C801DA5"/>
    <w:rsid w:val="0C8A5EE5"/>
    <w:rsid w:val="0C963376"/>
    <w:rsid w:val="0C985340"/>
    <w:rsid w:val="0CA23699"/>
    <w:rsid w:val="0CA535B9"/>
    <w:rsid w:val="0CAB263C"/>
    <w:rsid w:val="0CAF268A"/>
    <w:rsid w:val="0CCC4FEA"/>
    <w:rsid w:val="0CD93263"/>
    <w:rsid w:val="0CDB347F"/>
    <w:rsid w:val="0CDB6FDB"/>
    <w:rsid w:val="0CEE1AAB"/>
    <w:rsid w:val="0CEE6D0E"/>
    <w:rsid w:val="0CF85DDF"/>
    <w:rsid w:val="0CFF0B73"/>
    <w:rsid w:val="0D0320F1"/>
    <w:rsid w:val="0D077DD0"/>
    <w:rsid w:val="0D0A06AF"/>
    <w:rsid w:val="0D162709"/>
    <w:rsid w:val="0D215336"/>
    <w:rsid w:val="0D240982"/>
    <w:rsid w:val="0D28559A"/>
    <w:rsid w:val="0D2A1D10"/>
    <w:rsid w:val="0D35493D"/>
    <w:rsid w:val="0D3B3F1D"/>
    <w:rsid w:val="0D557AE1"/>
    <w:rsid w:val="0D5A43A4"/>
    <w:rsid w:val="0D646FD0"/>
    <w:rsid w:val="0D782A7C"/>
    <w:rsid w:val="0D7C39C7"/>
    <w:rsid w:val="0D984ECC"/>
    <w:rsid w:val="0D9D325A"/>
    <w:rsid w:val="0D9F44AC"/>
    <w:rsid w:val="0DAC2718"/>
    <w:rsid w:val="0DC67C8B"/>
    <w:rsid w:val="0DCC20FC"/>
    <w:rsid w:val="0DCE6B40"/>
    <w:rsid w:val="0DD20D46"/>
    <w:rsid w:val="0DD405FA"/>
    <w:rsid w:val="0DDC74AE"/>
    <w:rsid w:val="0DE40111"/>
    <w:rsid w:val="0DFB23C6"/>
    <w:rsid w:val="0E06277D"/>
    <w:rsid w:val="0E1409F6"/>
    <w:rsid w:val="0E1924B1"/>
    <w:rsid w:val="0E1A1D85"/>
    <w:rsid w:val="0E211365"/>
    <w:rsid w:val="0E257E17"/>
    <w:rsid w:val="0E325AC7"/>
    <w:rsid w:val="0E356BBF"/>
    <w:rsid w:val="0E3A41D5"/>
    <w:rsid w:val="0E3E3CC5"/>
    <w:rsid w:val="0E4137B5"/>
    <w:rsid w:val="0E5168C6"/>
    <w:rsid w:val="0E606C70"/>
    <w:rsid w:val="0E6A1E4A"/>
    <w:rsid w:val="0E7E40C2"/>
    <w:rsid w:val="0E8F4521"/>
    <w:rsid w:val="0E947DE1"/>
    <w:rsid w:val="0E9E29B6"/>
    <w:rsid w:val="0EB40990"/>
    <w:rsid w:val="0EC341CA"/>
    <w:rsid w:val="0EC817E1"/>
    <w:rsid w:val="0EDF7256"/>
    <w:rsid w:val="0EE24046"/>
    <w:rsid w:val="0EE303C9"/>
    <w:rsid w:val="0EE8653B"/>
    <w:rsid w:val="0EF0457A"/>
    <w:rsid w:val="0EFA4090"/>
    <w:rsid w:val="0F0A3BA7"/>
    <w:rsid w:val="0F1459C1"/>
    <w:rsid w:val="0F242EBB"/>
    <w:rsid w:val="0F3155D8"/>
    <w:rsid w:val="0F346F6A"/>
    <w:rsid w:val="0F481A9B"/>
    <w:rsid w:val="0F51142B"/>
    <w:rsid w:val="0F574B3B"/>
    <w:rsid w:val="0F6755A9"/>
    <w:rsid w:val="0F6A5CD8"/>
    <w:rsid w:val="0F783207"/>
    <w:rsid w:val="0F8B51DE"/>
    <w:rsid w:val="0F977B31"/>
    <w:rsid w:val="0F9E7BC2"/>
    <w:rsid w:val="0F9F69E6"/>
    <w:rsid w:val="0FA85D6A"/>
    <w:rsid w:val="0FB94B66"/>
    <w:rsid w:val="0FBA381F"/>
    <w:rsid w:val="0FC65D20"/>
    <w:rsid w:val="0FD05A2E"/>
    <w:rsid w:val="0FD06E18"/>
    <w:rsid w:val="0FDA402B"/>
    <w:rsid w:val="0FF76461"/>
    <w:rsid w:val="0FFD54BA"/>
    <w:rsid w:val="100D1BA1"/>
    <w:rsid w:val="100E79C7"/>
    <w:rsid w:val="10190546"/>
    <w:rsid w:val="101D790A"/>
    <w:rsid w:val="102B0279"/>
    <w:rsid w:val="102D4B1A"/>
    <w:rsid w:val="10321608"/>
    <w:rsid w:val="103320AC"/>
    <w:rsid w:val="10332DD5"/>
    <w:rsid w:val="1054157E"/>
    <w:rsid w:val="10581E37"/>
    <w:rsid w:val="105D02E8"/>
    <w:rsid w:val="10771710"/>
    <w:rsid w:val="107B31B9"/>
    <w:rsid w:val="107C6D27"/>
    <w:rsid w:val="107F3A01"/>
    <w:rsid w:val="10802373"/>
    <w:rsid w:val="108654B0"/>
    <w:rsid w:val="108A4FA0"/>
    <w:rsid w:val="109835A9"/>
    <w:rsid w:val="10A5002C"/>
    <w:rsid w:val="10AC449C"/>
    <w:rsid w:val="10C77FA2"/>
    <w:rsid w:val="10DB57FB"/>
    <w:rsid w:val="10F22B45"/>
    <w:rsid w:val="11033D49"/>
    <w:rsid w:val="110E5BD1"/>
    <w:rsid w:val="111B209C"/>
    <w:rsid w:val="111C620F"/>
    <w:rsid w:val="112B49AA"/>
    <w:rsid w:val="11380EA0"/>
    <w:rsid w:val="11457119"/>
    <w:rsid w:val="11457FEC"/>
    <w:rsid w:val="11630664"/>
    <w:rsid w:val="116F4196"/>
    <w:rsid w:val="11716160"/>
    <w:rsid w:val="11D02E86"/>
    <w:rsid w:val="11DD7EA8"/>
    <w:rsid w:val="11E16E34"/>
    <w:rsid w:val="11E64458"/>
    <w:rsid w:val="11E87EC2"/>
    <w:rsid w:val="11EF5AC2"/>
    <w:rsid w:val="11F264F1"/>
    <w:rsid w:val="11F56D91"/>
    <w:rsid w:val="11F6684A"/>
    <w:rsid w:val="11F8418B"/>
    <w:rsid w:val="11F94050"/>
    <w:rsid w:val="12156159"/>
    <w:rsid w:val="12174F59"/>
    <w:rsid w:val="121C60CC"/>
    <w:rsid w:val="121F5BBC"/>
    <w:rsid w:val="1225739F"/>
    <w:rsid w:val="122D02D9"/>
    <w:rsid w:val="122D269E"/>
    <w:rsid w:val="123644F1"/>
    <w:rsid w:val="12456EF9"/>
    <w:rsid w:val="1255782F"/>
    <w:rsid w:val="125E4936"/>
    <w:rsid w:val="126006AE"/>
    <w:rsid w:val="126134A6"/>
    <w:rsid w:val="126F6B43"/>
    <w:rsid w:val="127001C5"/>
    <w:rsid w:val="1283439D"/>
    <w:rsid w:val="12894E14"/>
    <w:rsid w:val="128B0826"/>
    <w:rsid w:val="12906AB9"/>
    <w:rsid w:val="12955E7E"/>
    <w:rsid w:val="12982A14"/>
    <w:rsid w:val="129A3494"/>
    <w:rsid w:val="12B74046"/>
    <w:rsid w:val="12C10DDF"/>
    <w:rsid w:val="12C66037"/>
    <w:rsid w:val="12D92E17"/>
    <w:rsid w:val="12DB164E"/>
    <w:rsid w:val="12E91569"/>
    <w:rsid w:val="12EB3CF0"/>
    <w:rsid w:val="12EC28B4"/>
    <w:rsid w:val="12ED5CBA"/>
    <w:rsid w:val="12F2507E"/>
    <w:rsid w:val="12FE7EC7"/>
    <w:rsid w:val="1305022D"/>
    <w:rsid w:val="130A061A"/>
    <w:rsid w:val="131B2827"/>
    <w:rsid w:val="131B45D5"/>
    <w:rsid w:val="13241992"/>
    <w:rsid w:val="132F0080"/>
    <w:rsid w:val="13394A5B"/>
    <w:rsid w:val="133D136E"/>
    <w:rsid w:val="1363758C"/>
    <w:rsid w:val="13661657"/>
    <w:rsid w:val="136956F4"/>
    <w:rsid w:val="136E07EA"/>
    <w:rsid w:val="137837D5"/>
    <w:rsid w:val="138A175B"/>
    <w:rsid w:val="138C263E"/>
    <w:rsid w:val="138C7281"/>
    <w:rsid w:val="138E2AC5"/>
    <w:rsid w:val="13954387"/>
    <w:rsid w:val="13A22600"/>
    <w:rsid w:val="13A36BE1"/>
    <w:rsid w:val="13AB3BAB"/>
    <w:rsid w:val="13BB4E14"/>
    <w:rsid w:val="13E744B7"/>
    <w:rsid w:val="13E9022F"/>
    <w:rsid w:val="13E96481"/>
    <w:rsid w:val="13F866C4"/>
    <w:rsid w:val="13FD2437"/>
    <w:rsid w:val="14063EDB"/>
    <w:rsid w:val="14193629"/>
    <w:rsid w:val="141E7F46"/>
    <w:rsid w:val="14213E6D"/>
    <w:rsid w:val="1424570B"/>
    <w:rsid w:val="14381B7B"/>
    <w:rsid w:val="14395E90"/>
    <w:rsid w:val="144009DA"/>
    <w:rsid w:val="144638D4"/>
    <w:rsid w:val="144E4536"/>
    <w:rsid w:val="145C4EA5"/>
    <w:rsid w:val="14603640"/>
    <w:rsid w:val="14641FAC"/>
    <w:rsid w:val="146861A2"/>
    <w:rsid w:val="148D32B1"/>
    <w:rsid w:val="14956609"/>
    <w:rsid w:val="14996A51"/>
    <w:rsid w:val="14A34882"/>
    <w:rsid w:val="14C12D51"/>
    <w:rsid w:val="14CE268F"/>
    <w:rsid w:val="14D40EDF"/>
    <w:rsid w:val="14DA6FAE"/>
    <w:rsid w:val="14E05AD6"/>
    <w:rsid w:val="14E629C1"/>
    <w:rsid w:val="14ED5D0A"/>
    <w:rsid w:val="14EF1875"/>
    <w:rsid w:val="14F63288"/>
    <w:rsid w:val="15033573"/>
    <w:rsid w:val="15051FB2"/>
    <w:rsid w:val="15054238"/>
    <w:rsid w:val="1527518D"/>
    <w:rsid w:val="152B05E3"/>
    <w:rsid w:val="152E4A94"/>
    <w:rsid w:val="15334D63"/>
    <w:rsid w:val="154A11A2"/>
    <w:rsid w:val="15527217"/>
    <w:rsid w:val="155315AB"/>
    <w:rsid w:val="155362A8"/>
    <w:rsid w:val="156201FA"/>
    <w:rsid w:val="15620294"/>
    <w:rsid w:val="156E30E2"/>
    <w:rsid w:val="156F0C08"/>
    <w:rsid w:val="15766B2C"/>
    <w:rsid w:val="15791D29"/>
    <w:rsid w:val="15797E41"/>
    <w:rsid w:val="157D1577"/>
    <w:rsid w:val="157E709D"/>
    <w:rsid w:val="1582093B"/>
    <w:rsid w:val="15875F52"/>
    <w:rsid w:val="158C17BA"/>
    <w:rsid w:val="158C3568"/>
    <w:rsid w:val="15915347"/>
    <w:rsid w:val="15A11260"/>
    <w:rsid w:val="15AA7E92"/>
    <w:rsid w:val="15AC3C0A"/>
    <w:rsid w:val="15B716F5"/>
    <w:rsid w:val="15CE1DD3"/>
    <w:rsid w:val="15D8055B"/>
    <w:rsid w:val="15EE5FD1"/>
    <w:rsid w:val="15F1786F"/>
    <w:rsid w:val="15F35395"/>
    <w:rsid w:val="15F630D7"/>
    <w:rsid w:val="15FB249C"/>
    <w:rsid w:val="16087832"/>
    <w:rsid w:val="160C3F81"/>
    <w:rsid w:val="16117F11"/>
    <w:rsid w:val="16145F48"/>
    <w:rsid w:val="161517B0"/>
    <w:rsid w:val="16161084"/>
    <w:rsid w:val="161B79A3"/>
    <w:rsid w:val="162C43CD"/>
    <w:rsid w:val="16302145"/>
    <w:rsid w:val="163065E9"/>
    <w:rsid w:val="16351E52"/>
    <w:rsid w:val="16474911"/>
    <w:rsid w:val="16481B85"/>
    <w:rsid w:val="164B53B3"/>
    <w:rsid w:val="164E4CC1"/>
    <w:rsid w:val="164E6A70"/>
    <w:rsid w:val="166242C9"/>
    <w:rsid w:val="166444E5"/>
    <w:rsid w:val="168D18C4"/>
    <w:rsid w:val="16967CC0"/>
    <w:rsid w:val="1699418F"/>
    <w:rsid w:val="169A3A63"/>
    <w:rsid w:val="16A91EF8"/>
    <w:rsid w:val="16BC7E7D"/>
    <w:rsid w:val="16BE1E47"/>
    <w:rsid w:val="16C53E67"/>
    <w:rsid w:val="16C805D0"/>
    <w:rsid w:val="16CF5E02"/>
    <w:rsid w:val="16D056D6"/>
    <w:rsid w:val="16E01DBD"/>
    <w:rsid w:val="16E2350D"/>
    <w:rsid w:val="16EF3DAF"/>
    <w:rsid w:val="17054C23"/>
    <w:rsid w:val="170B0D59"/>
    <w:rsid w:val="17237EFC"/>
    <w:rsid w:val="172C67FB"/>
    <w:rsid w:val="173A48D6"/>
    <w:rsid w:val="17432C1D"/>
    <w:rsid w:val="174A117A"/>
    <w:rsid w:val="174A7237"/>
    <w:rsid w:val="174D31CB"/>
    <w:rsid w:val="17604CAC"/>
    <w:rsid w:val="1761400C"/>
    <w:rsid w:val="176C3651"/>
    <w:rsid w:val="177A3A04"/>
    <w:rsid w:val="177B1AE6"/>
    <w:rsid w:val="177E5564"/>
    <w:rsid w:val="17872239"/>
    <w:rsid w:val="17885FB1"/>
    <w:rsid w:val="1795684C"/>
    <w:rsid w:val="179606CE"/>
    <w:rsid w:val="17966384"/>
    <w:rsid w:val="17AC1CA0"/>
    <w:rsid w:val="17B2302E"/>
    <w:rsid w:val="17DC00C1"/>
    <w:rsid w:val="17E85A1B"/>
    <w:rsid w:val="17E94CA2"/>
    <w:rsid w:val="17E9747F"/>
    <w:rsid w:val="17EF3C37"/>
    <w:rsid w:val="18027B12"/>
    <w:rsid w:val="1804388A"/>
    <w:rsid w:val="1811244B"/>
    <w:rsid w:val="18131D1F"/>
    <w:rsid w:val="1824217E"/>
    <w:rsid w:val="182C2DE0"/>
    <w:rsid w:val="182F6BE1"/>
    <w:rsid w:val="185A16FC"/>
    <w:rsid w:val="18602A8A"/>
    <w:rsid w:val="1864257A"/>
    <w:rsid w:val="18802DD1"/>
    <w:rsid w:val="18814EDA"/>
    <w:rsid w:val="18842C1C"/>
    <w:rsid w:val="189140FD"/>
    <w:rsid w:val="189C7F66"/>
    <w:rsid w:val="18A1732B"/>
    <w:rsid w:val="18A66D13"/>
    <w:rsid w:val="18AD1107"/>
    <w:rsid w:val="18C62AC4"/>
    <w:rsid w:val="18CB084B"/>
    <w:rsid w:val="18E11E1D"/>
    <w:rsid w:val="18E611E1"/>
    <w:rsid w:val="18E70460"/>
    <w:rsid w:val="18F03E0E"/>
    <w:rsid w:val="18FC6C57"/>
    <w:rsid w:val="19006747"/>
    <w:rsid w:val="19120D79"/>
    <w:rsid w:val="19223CD4"/>
    <w:rsid w:val="1935070A"/>
    <w:rsid w:val="19404D95"/>
    <w:rsid w:val="19466EF4"/>
    <w:rsid w:val="194B6C84"/>
    <w:rsid w:val="194F6D87"/>
    <w:rsid w:val="195002EB"/>
    <w:rsid w:val="195A6DE8"/>
    <w:rsid w:val="197D7D98"/>
    <w:rsid w:val="198253AE"/>
    <w:rsid w:val="19871ABB"/>
    <w:rsid w:val="1987566D"/>
    <w:rsid w:val="198A7DBF"/>
    <w:rsid w:val="198C7FDB"/>
    <w:rsid w:val="199155F1"/>
    <w:rsid w:val="19A96952"/>
    <w:rsid w:val="19B1359D"/>
    <w:rsid w:val="19B25567"/>
    <w:rsid w:val="19C5529B"/>
    <w:rsid w:val="19E368B4"/>
    <w:rsid w:val="19F8741E"/>
    <w:rsid w:val="1A0062D3"/>
    <w:rsid w:val="1A02029D"/>
    <w:rsid w:val="1A023DF9"/>
    <w:rsid w:val="1A085187"/>
    <w:rsid w:val="1A1A3838"/>
    <w:rsid w:val="1A2226ED"/>
    <w:rsid w:val="1A271AB1"/>
    <w:rsid w:val="1A2A3962"/>
    <w:rsid w:val="1A340CCE"/>
    <w:rsid w:val="1A3A3AD9"/>
    <w:rsid w:val="1A3D7527"/>
    <w:rsid w:val="1A424B3D"/>
    <w:rsid w:val="1A5D3725"/>
    <w:rsid w:val="1A6E5932"/>
    <w:rsid w:val="1A6F6194"/>
    <w:rsid w:val="1A7171D0"/>
    <w:rsid w:val="1A766595"/>
    <w:rsid w:val="1A8910F2"/>
    <w:rsid w:val="1A8E076A"/>
    <w:rsid w:val="1A9C249F"/>
    <w:rsid w:val="1AA4131B"/>
    <w:rsid w:val="1AAA1D05"/>
    <w:rsid w:val="1AAB26E2"/>
    <w:rsid w:val="1AAC0209"/>
    <w:rsid w:val="1AB1581F"/>
    <w:rsid w:val="1AB772D9"/>
    <w:rsid w:val="1ABF7BA8"/>
    <w:rsid w:val="1AC6751C"/>
    <w:rsid w:val="1ACD2659"/>
    <w:rsid w:val="1ACE017F"/>
    <w:rsid w:val="1ACF6E5D"/>
    <w:rsid w:val="1ADC0AEE"/>
    <w:rsid w:val="1AE9473C"/>
    <w:rsid w:val="1AF007D6"/>
    <w:rsid w:val="1AFA5418"/>
    <w:rsid w:val="1B0167A6"/>
    <w:rsid w:val="1B027E29"/>
    <w:rsid w:val="1B0A2335"/>
    <w:rsid w:val="1B102545"/>
    <w:rsid w:val="1B2A407F"/>
    <w:rsid w:val="1B495A57"/>
    <w:rsid w:val="1B544B28"/>
    <w:rsid w:val="1B5468D6"/>
    <w:rsid w:val="1B590390"/>
    <w:rsid w:val="1B5E1503"/>
    <w:rsid w:val="1B5F73A7"/>
    <w:rsid w:val="1B770817"/>
    <w:rsid w:val="1B8C7B6C"/>
    <w:rsid w:val="1B9118D8"/>
    <w:rsid w:val="1B972803"/>
    <w:rsid w:val="1B996E8C"/>
    <w:rsid w:val="1BAA299A"/>
    <w:rsid w:val="1BB03EA9"/>
    <w:rsid w:val="1BC25F36"/>
    <w:rsid w:val="1BC3580A"/>
    <w:rsid w:val="1BCD0437"/>
    <w:rsid w:val="1BCF41AF"/>
    <w:rsid w:val="1BD21EF1"/>
    <w:rsid w:val="1BD619E1"/>
    <w:rsid w:val="1BDE43F2"/>
    <w:rsid w:val="1BE16626"/>
    <w:rsid w:val="1BE340FE"/>
    <w:rsid w:val="1BF12377"/>
    <w:rsid w:val="1BF43C15"/>
    <w:rsid w:val="1BF53076"/>
    <w:rsid w:val="1BF63E31"/>
    <w:rsid w:val="1BFF0584"/>
    <w:rsid w:val="1C166281"/>
    <w:rsid w:val="1C2F283F"/>
    <w:rsid w:val="1C31023A"/>
    <w:rsid w:val="1C35495A"/>
    <w:rsid w:val="1C365FDC"/>
    <w:rsid w:val="1C581A86"/>
    <w:rsid w:val="1C5A43C0"/>
    <w:rsid w:val="1C5D3A88"/>
    <w:rsid w:val="1C5D5C5E"/>
    <w:rsid w:val="1C7A6810"/>
    <w:rsid w:val="1C824A3B"/>
    <w:rsid w:val="1C8950B0"/>
    <w:rsid w:val="1C8E619A"/>
    <w:rsid w:val="1C99656B"/>
    <w:rsid w:val="1C9D605B"/>
    <w:rsid w:val="1CA67A54"/>
    <w:rsid w:val="1CB00110"/>
    <w:rsid w:val="1CBB4733"/>
    <w:rsid w:val="1CC47A8B"/>
    <w:rsid w:val="1CCA0BDB"/>
    <w:rsid w:val="1CCE090A"/>
    <w:rsid w:val="1CE25E31"/>
    <w:rsid w:val="1CE75528"/>
    <w:rsid w:val="1CF10155"/>
    <w:rsid w:val="1CF57C45"/>
    <w:rsid w:val="1D184A7F"/>
    <w:rsid w:val="1D1D0F4A"/>
    <w:rsid w:val="1D267B68"/>
    <w:rsid w:val="1D2E017D"/>
    <w:rsid w:val="1D383FD6"/>
    <w:rsid w:val="1D3A18FD"/>
    <w:rsid w:val="1D3C1D18"/>
    <w:rsid w:val="1D48187F"/>
    <w:rsid w:val="1D563F4C"/>
    <w:rsid w:val="1D6C1AA3"/>
    <w:rsid w:val="1D767669"/>
    <w:rsid w:val="1D772D50"/>
    <w:rsid w:val="1D844E1C"/>
    <w:rsid w:val="1D921938"/>
    <w:rsid w:val="1D943902"/>
    <w:rsid w:val="1D9C08F7"/>
    <w:rsid w:val="1DA63635"/>
    <w:rsid w:val="1DA659B6"/>
    <w:rsid w:val="1DB00010"/>
    <w:rsid w:val="1DB160B1"/>
    <w:rsid w:val="1DC31AF1"/>
    <w:rsid w:val="1DCC309C"/>
    <w:rsid w:val="1DCD2970"/>
    <w:rsid w:val="1DD67A76"/>
    <w:rsid w:val="1DF32F59"/>
    <w:rsid w:val="1DF779ED"/>
    <w:rsid w:val="1E205195"/>
    <w:rsid w:val="1E2C7696"/>
    <w:rsid w:val="1E442D57"/>
    <w:rsid w:val="1E4569AA"/>
    <w:rsid w:val="1E57048B"/>
    <w:rsid w:val="1E6C2189"/>
    <w:rsid w:val="1E707ECB"/>
    <w:rsid w:val="1EA13609"/>
    <w:rsid w:val="1EB37DB8"/>
    <w:rsid w:val="1EC51899"/>
    <w:rsid w:val="1ECB5101"/>
    <w:rsid w:val="1ED71AE4"/>
    <w:rsid w:val="1EE401DE"/>
    <w:rsid w:val="1EEF1824"/>
    <w:rsid w:val="1F1F544D"/>
    <w:rsid w:val="1F262338"/>
    <w:rsid w:val="1F2E5690"/>
    <w:rsid w:val="1F332CA6"/>
    <w:rsid w:val="1F354376"/>
    <w:rsid w:val="1F3C5FFF"/>
    <w:rsid w:val="1F3F33F9"/>
    <w:rsid w:val="1F3F789D"/>
    <w:rsid w:val="1F444EB4"/>
    <w:rsid w:val="1F486A4C"/>
    <w:rsid w:val="1F574BE7"/>
    <w:rsid w:val="1F5F3A9B"/>
    <w:rsid w:val="1F6B41EE"/>
    <w:rsid w:val="1F775289"/>
    <w:rsid w:val="1F784B5D"/>
    <w:rsid w:val="1F7C63FB"/>
    <w:rsid w:val="1F7E03C6"/>
    <w:rsid w:val="1F861001"/>
    <w:rsid w:val="1F8D23B7"/>
    <w:rsid w:val="1F8E612F"/>
    <w:rsid w:val="1F8F25D3"/>
    <w:rsid w:val="1F950C34"/>
    <w:rsid w:val="1F9803AC"/>
    <w:rsid w:val="1F9C6A9E"/>
    <w:rsid w:val="1F9F033C"/>
    <w:rsid w:val="1FA94D17"/>
    <w:rsid w:val="1FA978E4"/>
    <w:rsid w:val="1FB7615B"/>
    <w:rsid w:val="1FB763D7"/>
    <w:rsid w:val="1FEB532F"/>
    <w:rsid w:val="1FFC578E"/>
    <w:rsid w:val="20020FF7"/>
    <w:rsid w:val="20144886"/>
    <w:rsid w:val="20191E9C"/>
    <w:rsid w:val="201D0C6B"/>
    <w:rsid w:val="20256A93"/>
    <w:rsid w:val="202764B4"/>
    <w:rsid w:val="202B4C70"/>
    <w:rsid w:val="202C6073"/>
    <w:rsid w:val="204213F3"/>
    <w:rsid w:val="204B206D"/>
    <w:rsid w:val="205D622D"/>
    <w:rsid w:val="20601879"/>
    <w:rsid w:val="20684BD2"/>
    <w:rsid w:val="207277FE"/>
    <w:rsid w:val="207452C2"/>
    <w:rsid w:val="20825C93"/>
    <w:rsid w:val="20970569"/>
    <w:rsid w:val="209B0B03"/>
    <w:rsid w:val="20A91472"/>
    <w:rsid w:val="20B1673B"/>
    <w:rsid w:val="20BE3C8C"/>
    <w:rsid w:val="20C22534"/>
    <w:rsid w:val="20C52024"/>
    <w:rsid w:val="20C53DD2"/>
    <w:rsid w:val="20DD55C0"/>
    <w:rsid w:val="20FF748D"/>
    <w:rsid w:val="210466A8"/>
    <w:rsid w:val="210B3EDB"/>
    <w:rsid w:val="210E7DC4"/>
    <w:rsid w:val="2110329F"/>
    <w:rsid w:val="211663DC"/>
    <w:rsid w:val="21224D81"/>
    <w:rsid w:val="21294361"/>
    <w:rsid w:val="212B00D9"/>
    <w:rsid w:val="21333432"/>
    <w:rsid w:val="21442F49"/>
    <w:rsid w:val="214A5CFC"/>
    <w:rsid w:val="214B4E5D"/>
    <w:rsid w:val="215018EE"/>
    <w:rsid w:val="217575A6"/>
    <w:rsid w:val="2186530F"/>
    <w:rsid w:val="21893192"/>
    <w:rsid w:val="218B47EA"/>
    <w:rsid w:val="219957D9"/>
    <w:rsid w:val="21A1039B"/>
    <w:rsid w:val="21B10818"/>
    <w:rsid w:val="21B30595"/>
    <w:rsid w:val="21B46321"/>
    <w:rsid w:val="21C920A0"/>
    <w:rsid w:val="21CA4416"/>
    <w:rsid w:val="21CB71C6"/>
    <w:rsid w:val="21D14E90"/>
    <w:rsid w:val="21EF55AB"/>
    <w:rsid w:val="21F229A5"/>
    <w:rsid w:val="21F36637"/>
    <w:rsid w:val="21FE57EE"/>
    <w:rsid w:val="220470C9"/>
    <w:rsid w:val="22101BA0"/>
    <w:rsid w:val="22105521"/>
    <w:rsid w:val="22142748"/>
    <w:rsid w:val="22205764"/>
    <w:rsid w:val="2228286B"/>
    <w:rsid w:val="223631D9"/>
    <w:rsid w:val="223C6316"/>
    <w:rsid w:val="224C6559"/>
    <w:rsid w:val="224F429B"/>
    <w:rsid w:val="22576350"/>
    <w:rsid w:val="225E44DE"/>
    <w:rsid w:val="22600256"/>
    <w:rsid w:val="226407A8"/>
    <w:rsid w:val="226C6405"/>
    <w:rsid w:val="22737F8A"/>
    <w:rsid w:val="227B1683"/>
    <w:rsid w:val="22883309"/>
    <w:rsid w:val="228C2DF9"/>
    <w:rsid w:val="228C4BA7"/>
    <w:rsid w:val="228E4DC3"/>
    <w:rsid w:val="22A05321"/>
    <w:rsid w:val="22A801EB"/>
    <w:rsid w:val="22A83150"/>
    <w:rsid w:val="22B12860"/>
    <w:rsid w:val="22B83BEE"/>
    <w:rsid w:val="22B91715"/>
    <w:rsid w:val="22CE74BA"/>
    <w:rsid w:val="22D64075"/>
    <w:rsid w:val="22E622E2"/>
    <w:rsid w:val="22F24386"/>
    <w:rsid w:val="22F5467D"/>
    <w:rsid w:val="22F95A26"/>
    <w:rsid w:val="2302130E"/>
    <w:rsid w:val="230D7650"/>
    <w:rsid w:val="23101ECA"/>
    <w:rsid w:val="23111551"/>
    <w:rsid w:val="231908F9"/>
    <w:rsid w:val="231C21FE"/>
    <w:rsid w:val="23251588"/>
    <w:rsid w:val="2329689A"/>
    <w:rsid w:val="23452FA8"/>
    <w:rsid w:val="23565B53"/>
    <w:rsid w:val="2358717F"/>
    <w:rsid w:val="23623B5A"/>
    <w:rsid w:val="236A3B25"/>
    <w:rsid w:val="23871813"/>
    <w:rsid w:val="239006C7"/>
    <w:rsid w:val="23953F30"/>
    <w:rsid w:val="239A1546"/>
    <w:rsid w:val="23A128D5"/>
    <w:rsid w:val="23A3664D"/>
    <w:rsid w:val="23AE0B4E"/>
    <w:rsid w:val="23BB4C27"/>
    <w:rsid w:val="23C93BD9"/>
    <w:rsid w:val="23CD5478"/>
    <w:rsid w:val="23D70F44"/>
    <w:rsid w:val="23DA1943"/>
    <w:rsid w:val="23E74D0B"/>
    <w:rsid w:val="23EF1892"/>
    <w:rsid w:val="23F0560A"/>
    <w:rsid w:val="23F23130"/>
    <w:rsid w:val="240268DD"/>
    <w:rsid w:val="24082954"/>
    <w:rsid w:val="240A2B9D"/>
    <w:rsid w:val="241308D1"/>
    <w:rsid w:val="242022A8"/>
    <w:rsid w:val="242332EA"/>
    <w:rsid w:val="2429118E"/>
    <w:rsid w:val="24341DDC"/>
    <w:rsid w:val="24343749"/>
    <w:rsid w:val="243472A5"/>
    <w:rsid w:val="244E3C37"/>
    <w:rsid w:val="244F0582"/>
    <w:rsid w:val="245060A9"/>
    <w:rsid w:val="245108AC"/>
    <w:rsid w:val="24763D61"/>
    <w:rsid w:val="247E2C16"/>
    <w:rsid w:val="24870CFE"/>
    <w:rsid w:val="248875F1"/>
    <w:rsid w:val="248C662C"/>
    <w:rsid w:val="249B5576"/>
    <w:rsid w:val="249B7324"/>
    <w:rsid w:val="249C4E4A"/>
    <w:rsid w:val="24AA57B9"/>
    <w:rsid w:val="24AE5A41"/>
    <w:rsid w:val="24B7598C"/>
    <w:rsid w:val="24BE4E0B"/>
    <w:rsid w:val="24CB1BF8"/>
    <w:rsid w:val="24E11586"/>
    <w:rsid w:val="24E9150F"/>
    <w:rsid w:val="24EC5DD1"/>
    <w:rsid w:val="24F31271"/>
    <w:rsid w:val="250637EA"/>
    <w:rsid w:val="250F7D12"/>
    <w:rsid w:val="251175E6"/>
    <w:rsid w:val="25323A5B"/>
    <w:rsid w:val="253D487F"/>
    <w:rsid w:val="254617D4"/>
    <w:rsid w:val="25492E96"/>
    <w:rsid w:val="254E4396"/>
    <w:rsid w:val="255A3128"/>
    <w:rsid w:val="255B09C0"/>
    <w:rsid w:val="255F47F5"/>
    <w:rsid w:val="25626093"/>
    <w:rsid w:val="256C2A6E"/>
    <w:rsid w:val="257302A1"/>
    <w:rsid w:val="25867FD4"/>
    <w:rsid w:val="25900E53"/>
    <w:rsid w:val="259049AF"/>
    <w:rsid w:val="25950217"/>
    <w:rsid w:val="25952D9C"/>
    <w:rsid w:val="25C40AFC"/>
    <w:rsid w:val="25CB3C39"/>
    <w:rsid w:val="25EC1A6E"/>
    <w:rsid w:val="25EE40D9"/>
    <w:rsid w:val="25EF306E"/>
    <w:rsid w:val="25F64996"/>
    <w:rsid w:val="25F767DC"/>
    <w:rsid w:val="25F969F8"/>
    <w:rsid w:val="25FA2770"/>
    <w:rsid w:val="25FF1B34"/>
    <w:rsid w:val="2601765A"/>
    <w:rsid w:val="260E7FC9"/>
    <w:rsid w:val="2628108B"/>
    <w:rsid w:val="263317DE"/>
    <w:rsid w:val="26386260"/>
    <w:rsid w:val="26445799"/>
    <w:rsid w:val="26526108"/>
    <w:rsid w:val="265C6F87"/>
    <w:rsid w:val="266B541C"/>
    <w:rsid w:val="268A7650"/>
    <w:rsid w:val="269B185D"/>
    <w:rsid w:val="26A55B5E"/>
    <w:rsid w:val="26B4291F"/>
    <w:rsid w:val="26B66F36"/>
    <w:rsid w:val="26C012C4"/>
    <w:rsid w:val="26D20FF7"/>
    <w:rsid w:val="26E054C2"/>
    <w:rsid w:val="26ED7BDF"/>
    <w:rsid w:val="26F947D6"/>
    <w:rsid w:val="26FA581D"/>
    <w:rsid w:val="26FD2518"/>
    <w:rsid w:val="26FD42C6"/>
    <w:rsid w:val="270216DD"/>
    <w:rsid w:val="27133AE9"/>
    <w:rsid w:val="27182EAE"/>
    <w:rsid w:val="271C05DF"/>
    <w:rsid w:val="272555CB"/>
    <w:rsid w:val="272950BB"/>
    <w:rsid w:val="27313F6F"/>
    <w:rsid w:val="273677B9"/>
    <w:rsid w:val="27391076"/>
    <w:rsid w:val="27455C6D"/>
    <w:rsid w:val="2749750B"/>
    <w:rsid w:val="27637EA1"/>
    <w:rsid w:val="276460F3"/>
    <w:rsid w:val="276E0D20"/>
    <w:rsid w:val="277F117F"/>
    <w:rsid w:val="278247CB"/>
    <w:rsid w:val="27856069"/>
    <w:rsid w:val="27910EB2"/>
    <w:rsid w:val="279A4D97"/>
    <w:rsid w:val="279F537D"/>
    <w:rsid w:val="27A43C03"/>
    <w:rsid w:val="27B12740"/>
    <w:rsid w:val="27B25959"/>
    <w:rsid w:val="27B76947"/>
    <w:rsid w:val="27C070A1"/>
    <w:rsid w:val="27D44E2A"/>
    <w:rsid w:val="27D94BD3"/>
    <w:rsid w:val="27E70AD2"/>
    <w:rsid w:val="27E86D24"/>
    <w:rsid w:val="27F46EC8"/>
    <w:rsid w:val="27FA0805"/>
    <w:rsid w:val="27FE6AD8"/>
    <w:rsid w:val="280478D6"/>
    <w:rsid w:val="280653FC"/>
    <w:rsid w:val="282D3621"/>
    <w:rsid w:val="282F380E"/>
    <w:rsid w:val="28305CE4"/>
    <w:rsid w:val="28373807"/>
    <w:rsid w:val="284101E2"/>
    <w:rsid w:val="28445F24"/>
    <w:rsid w:val="28491DB0"/>
    <w:rsid w:val="284D76B0"/>
    <w:rsid w:val="285223EF"/>
    <w:rsid w:val="286D34D7"/>
    <w:rsid w:val="28773C04"/>
    <w:rsid w:val="2879797C"/>
    <w:rsid w:val="28862099"/>
    <w:rsid w:val="288B742E"/>
    <w:rsid w:val="28963C50"/>
    <w:rsid w:val="289B4D66"/>
    <w:rsid w:val="28A363E3"/>
    <w:rsid w:val="28A569C3"/>
    <w:rsid w:val="28A854D5"/>
    <w:rsid w:val="28B26CFC"/>
    <w:rsid w:val="28B906C0"/>
    <w:rsid w:val="28C66939"/>
    <w:rsid w:val="28D15A45"/>
    <w:rsid w:val="28D63020"/>
    <w:rsid w:val="28E520A3"/>
    <w:rsid w:val="28E53263"/>
    <w:rsid w:val="28EA743E"/>
    <w:rsid w:val="28ED2118"/>
    <w:rsid w:val="28F17E5A"/>
    <w:rsid w:val="28F214DC"/>
    <w:rsid w:val="28FB65E3"/>
    <w:rsid w:val="290B259E"/>
    <w:rsid w:val="290D6316"/>
    <w:rsid w:val="2912392D"/>
    <w:rsid w:val="29235B3A"/>
    <w:rsid w:val="29325D7D"/>
    <w:rsid w:val="293715E5"/>
    <w:rsid w:val="29451F54"/>
    <w:rsid w:val="294D5A63"/>
    <w:rsid w:val="294E705B"/>
    <w:rsid w:val="294F2DD3"/>
    <w:rsid w:val="295126A7"/>
    <w:rsid w:val="295977AD"/>
    <w:rsid w:val="295D0B03"/>
    <w:rsid w:val="295D54F0"/>
    <w:rsid w:val="29673C78"/>
    <w:rsid w:val="296879F1"/>
    <w:rsid w:val="296C74E1"/>
    <w:rsid w:val="297760FA"/>
    <w:rsid w:val="297840D8"/>
    <w:rsid w:val="29817476"/>
    <w:rsid w:val="298310E1"/>
    <w:rsid w:val="298C36DF"/>
    <w:rsid w:val="29915199"/>
    <w:rsid w:val="299B516E"/>
    <w:rsid w:val="29B0436D"/>
    <w:rsid w:val="29C53533"/>
    <w:rsid w:val="29CD3D28"/>
    <w:rsid w:val="29D43131"/>
    <w:rsid w:val="29EE439A"/>
    <w:rsid w:val="29F51284"/>
    <w:rsid w:val="29F7460B"/>
    <w:rsid w:val="29F84342"/>
    <w:rsid w:val="29FD282F"/>
    <w:rsid w:val="2A224043"/>
    <w:rsid w:val="2A247DBB"/>
    <w:rsid w:val="2A2A78D0"/>
    <w:rsid w:val="2A2F1B5D"/>
    <w:rsid w:val="2A320FEF"/>
    <w:rsid w:val="2A3224D8"/>
    <w:rsid w:val="2A377AEF"/>
    <w:rsid w:val="2A385615"/>
    <w:rsid w:val="2A391625"/>
    <w:rsid w:val="2A3B73EF"/>
    <w:rsid w:val="2A3E70CF"/>
    <w:rsid w:val="2A465F84"/>
    <w:rsid w:val="2A5135E5"/>
    <w:rsid w:val="2A524929"/>
    <w:rsid w:val="2A5777E9"/>
    <w:rsid w:val="2A587A65"/>
    <w:rsid w:val="2A7A79DB"/>
    <w:rsid w:val="2A7D127A"/>
    <w:rsid w:val="2A8A07EF"/>
    <w:rsid w:val="2A9A1E2C"/>
    <w:rsid w:val="2A9C5BA4"/>
    <w:rsid w:val="2AA66A22"/>
    <w:rsid w:val="2AAF1D7B"/>
    <w:rsid w:val="2ABC7FF4"/>
    <w:rsid w:val="2AD01CF1"/>
    <w:rsid w:val="2AD4533E"/>
    <w:rsid w:val="2ADB142F"/>
    <w:rsid w:val="2ADC0696"/>
    <w:rsid w:val="2AED28A3"/>
    <w:rsid w:val="2AF25638"/>
    <w:rsid w:val="2AF95BF7"/>
    <w:rsid w:val="2B1020EE"/>
    <w:rsid w:val="2B1225BD"/>
    <w:rsid w:val="2B1304BD"/>
    <w:rsid w:val="2B193698"/>
    <w:rsid w:val="2B200583"/>
    <w:rsid w:val="2B275DB5"/>
    <w:rsid w:val="2B334FBF"/>
    <w:rsid w:val="2B3C1135"/>
    <w:rsid w:val="2B3E30FF"/>
    <w:rsid w:val="2B415C62"/>
    <w:rsid w:val="2B572F02"/>
    <w:rsid w:val="2B5841C1"/>
    <w:rsid w:val="2B5B5A5F"/>
    <w:rsid w:val="2B5E72FD"/>
    <w:rsid w:val="2B6341CE"/>
    <w:rsid w:val="2B634913"/>
    <w:rsid w:val="2B6A19C9"/>
    <w:rsid w:val="2B6D7540"/>
    <w:rsid w:val="2B764647"/>
    <w:rsid w:val="2B7E6805"/>
    <w:rsid w:val="2B886795"/>
    <w:rsid w:val="2B8D1F6B"/>
    <w:rsid w:val="2B8F395A"/>
    <w:rsid w:val="2B960845"/>
    <w:rsid w:val="2B9C26BE"/>
    <w:rsid w:val="2B9D7E25"/>
    <w:rsid w:val="2BA03FF1"/>
    <w:rsid w:val="2BA72A52"/>
    <w:rsid w:val="2BB84C5F"/>
    <w:rsid w:val="2BC41856"/>
    <w:rsid w:val="2BC41BFF"/>
    <w:rsid w:val="2BC76C50"/>
    <w:rsid w:val="2BD62420"/>
    <w:rsid w:val="2BD66E93"/>
    <w:rsid w:val="2BE75544"/>
    <w:rsid w:val="2BE76B7B"/>
    <w:rsid w:val="2BEC4909"/>
    <w:rsid w:val="2BEE0681"/>
    <w:rsid w:val="2BFA536A"/>
    <w:rsid w:val="2C0954BB"/>
    <w:rsid w:val="2C097269"/>
    <w:rsid w:val="2C147DB3"/>
    <w:rsid w:val="2C173C1F"/>
    <w:rsid w:val="2C327882"/>
    <w:rsid w:val="2C33078A"/>
    <w:rsid w:val="2C332538"/>
    <w:rsid w:val="2C390649"/>
    <w:rsid w:val="2C4B5AD3"/>
    <w:rsid w:val="2C522D19"/>
    <w:rsid w:val="2C55187F"/>
    <w:rsid w:val="2C5F50DB"/>
    <w:rsid w:val="2C626979"/>
    <w:rsid w:val="2C635C8A"/>
    <w:rsid w:val="2C7212B2"/>
    <w:rsid w:val="2C822E0B"/>
    <w:rsid w:val="2C862667"/>
    <w:rsid w:val="2C866B0B"/>
    <w:rsid w:val="2C901738"/>
    <w:rsid w:val="2C951B71"/>
    <w:rsid w:val="2C954FA0"/>
    <w:rsid w:val="2C974875"/>
    <w:rsid w:val="2CA93F28"/>
    <w:rsid w:val="2CB90C8F"/>
    <w:rsid w:val="2CC118F2"/>
    <w:rsid w:val="2CC3178E"/>
    <w:rsid w:val="2CC87124"/>
    <w:rsid w:val="2CCE400E"/>
    <w:rsid w:val="2CCF6918"/>
    <w:rsid w:val="2CD23AFF"/>
    <w:rsid w:val="2CDF446E"/>
    <w:rsid w:val="2CFF241A"/>
    <w:rsid w:val="2CFF31EB"/>
    <w:rsid w:val="2D087520"/>
    <w:rsid w:val="2D0A14EA"/>
    <w:rsid w:val="2D1B36F8"/>
    <w:rsid w:val="2D1C4D7A"/>
    <w:rsid w:val="2D1F071D"/>
    <w:rsid w:val="2D267167"/>
    <w:rsid w:val="2D287BC3"/>
    <w:rsid w:val="2D2D342B"/>
    <w:rsid w:val="2D314CC9"/>
    <w:rsid w:val="2D4349FC"/>
    <w:rsid w:val="2D4D260B"/>
    <w:rsid w:val="2D4D7629"/>
    <w:rsid w:val="2D574DFE"/>
    <w:rsid w:val="2D580BED"/>
    <w:rsid w:val="2D712C9C"/>
    <w:rsid w:val="2D7921CC"/>
    <w:rsid w:val="2D85560F"/>
    <w:rsid w:val="2D856DC3"/>
    <w:rsid w:val="2D880661"/>
    <w:rsid w:val="2D8D5C78"/>
    <w:rsid w:val="2DAA682A"/>
    <w:rsid w:val="2DB66924"/>
    <w:rsid w:val="2DBD1E0F"/>
    <w:rsid w:val="2DCD2AB1"/>
    <w:rsid w:val="2DDD275B"/>
    <w:rsid w:val="2DDE4823"/>
    <w:rsid w:val="2DDF2977"/>
    <w:rsid w:val="2DE7182C"/>
    <w:rsid w:val="2DEB3BAF"/>
    <w:rsid w:val="2DF504E4"/>
    <w:rsid w:val="2E057F04"/>
    <w:rsid w:val="2E071183"/>
    <w:rsid w:val="2E0979F4"/>
    <w:rsid w:val="2E4F19A0"/>
    <w:rsid w:val="2E555940"/>
    <w:rsid w:val="2E5A554C"/>
    <w:rsid w:val="2E690493"/>
    <w:rsid w:val="2E6C1D31"/>
    <w:rsid w:val="2E755089"/>
    <w:rsid w:val="2E7A26A0"/>
    <w:rsid w:val="2E8928E3"/>
    <w:rsid w:val="2E9C43C4"/>
    <w:rsid w:val="2EA965F7"/>
    <w:rsid w:val="2EB040E3"/>
    <w:rsid w:val="2EB5368F"/>
    <w:rsid w:val="2EE56571"/>
    <w:rsid w:val="2EFA10EB"/>
    <w:rsid w:val="2F1037A9"/>
    <w:rsid w:val="2F13711A"/>
    <w:rsid w:val="2F3226FE"/>
    <w:rsid w:val="2F436F36"/>
    <w:rsid w:val="2F4919C5"/>
    <w:rsid w:val="2F4E1D0F"/>
    <w:rsid w:val="2F5051AF"/>
    <w:rsid w:val="2F594063"/>
    <w:rsid w:val="2F7865AA"/>
    <w:rsid w:val="2F7B047E"/>
    <w:rsid w:val="2FA07EE4"/>
    <w:rsid w:val="2FAD43AF"/>
    <w:rsid w:val="2FB27C17"/>
    <w:rsid w:val="2FB41BE1"/>
    <w:rsid w:val="2FC00586"/>
    <w:rsid w:val="2FC07B82"/>
    <w:rsid w:val="2FC21522"/>
    <w:rsid w:val="2FCC2A87"/>
    <w:rsid w:val="2FDE6606"/>
    <w:rsid w:val="2FF344B8"/>
    <w:rsid w:val="2FF7387C"/>
    <w:rsid w:val="2FF95846"/>
    <w:rsid w:val="30073ABF"/>
    <w:rsid w:val="30180806"/>
    <w:rsid w:val="301F34FF"/>
    <w:rsid w:val="30217F1D"/>
    <w:rsid w:val="30274161"/>
    <w:rsid w:val="30284935"/>
    <w:rsid w:val="302E3742"/>
    <w:rsid w:val="30313232"/>
    <w:rsid w:val="303643A5"/>
    <w:rsid w:val="30422D49"/>
    <w:rsid w:val="304D454B"/>
    <w:rsid w:val="305B205D"/>
    <w:rsid w:val="305D5DD5"/>
    <w:rsid w:val="305F7D9F"/>
    <w:rsid w:val="306E1D90"/>
    <w:rsid w:val="307B44AD"/>
    <w:rsid w:val="308275EA"/>
    <w:rsid w:val="30992117"/>
    <w:rsid w:val="309A4933"/>
    <w:rsid w:val="30A0456A"/>
    <w:rsid w:val="30A23511"/>
    <w:rsid w:val="30A43AE3"/>
    <w:rsid w:val="30AB4D93"/>
    <w:rsid w:val="30AB6B41"/>
    <w:rsid w:val="30AE6631"/>
    <w:rsid w:val="30B579BF"/>
    <w:rsid w:val="30BF439A"/>
    <w:rsid w:val="30C96FC7"/>
    <w:rsid w:val="30CB1972"/>
    <w:rsid w:val="30CD2F5B"/>
    <w:rsid w:val="30CF6AA7"/>
    <w:rsid w:val="30D2231F"/>
    <w:rsid w:val="30E107B4"/>
    <w:rsid w:val="30E63D27"/>
    <w:rsid w:val="30E6401D"/>
    <w:rsid w:val="30FA1876"/>
    <w:rsid w:val="31127F83"/>
    <w:rsid w:val="311566B0"/>
    <w:rsid w:val="311E2422"/>
    <w:rsid w:val="31232B7B"/>
    <w:rsid w:val="312378AF"/>
    <w:rsid w:val="31307B16"/>
    <w:rsid w:val="314D7BF8"/>
    <w:rsid w:val="31576E12"/>
    <w:rsid w:val="315A0567"/>
    <w:rsid w:val="315A40C3"/>
    <w:rsid w:val="316A69FC"/>
    <w:rsid w:val="318B6972"/>
    <w:rsid w:val="318D6246"/>
    <w:rsid w:val="319475D5"/>
    <w:rsid w:val="3199427B"/>
    <w:rsid w:val="319C0B7F"/>
    <w:rsid w:val="31A92150"/>
    <w:rsid w:val="31AD0696"/>
    <w:rsid w:val="31AE37B4"/>
    <w:rsid w:val="31CA1248"/>
    <w:rsid w:val="31CD2AE7"/>
    <w:rsid w:val="31D039B5"/>
    <w:rsid w:val="31DD71CE"/>
    <w:rsid w:val="31E3055C"/>
    <w:rsid w:val="31E63BA8"/>
    <w:rsid w:val="31EE0600"/>
    <w:rsid w:val="31F14A27"/>
    <w:rsid w:val="31F2079F"/>
    <w:rsid w:val="32015B80"/>
    <w:rsid w:val="32024E86"/>
    <w:rsid w:val="3212499D"/>
    <w:rsid w:val="3216623C"/>
    <w:rsid w:val="322A618B"/>
    <w:rsid w:val="323112C7"/>
    <w:rsid w:val="323D1A1A"/>
    <w:rsid w:val="32456B21"/>
    <w:rsid w:val="324A7878"/>
    <w:rsid w:val="326C7315"/>
    <w:rsid w:val="3271759A"/>
    <w:rsid w:val="32737B32"/>
    <w:rsid w:val="3276317E"/>
    <w:rsid w:val="327D733C"/>
    <w:rsid w:val="32891103"/>
    <w:rsid w:val="328A09D8"/>
    <w:rsid w:val="32941E4F"/>
    <w:rsid w:val="32981347"/>
    <w:rsid w:val="329A50BF"/>
    <w:rsid w:val="32A221C5"/>
    <w:rsid w:val="32AB4810"/>
    <w:rsid w:val="32AB72CC"/>
    <w:rsid w:val="32AE46C6"/>
    <w:rsid w:val="32B36CE5"/>
    <w:rsid w:val="32B37F2E"/>
    <w:rsid w:val="32B617CD"/>
    <w:rsid w:val="32CB52DE"/>
    <w:rsid w:val="32CD730F"/>
    <w:rsid w:val="32D16607"/>
    <w:rsid w:val="32D5783D"/>
    <w:rsid w:val="32DF0D23"/>
    <w:rsid w:val="32DF2AD1"/>
    <w:rsid w:val="32E77BD8"/>
    <w:rsid w:val="32E85031"/>
    <w:rsid w:val="32F04CDF"/>
    <w:rsid w:val="33044C2E"/>
    <w:rsid w:val="33062754"/>
    <w:rsid w:val="331F55C4"/>
    <w:rsid w:val="332546A1"/>
    <w:rsid w:val="33260700"/>
    <w:rsid w:val="33294694"/>
    <w:rsid w:val="332C1A8F"/>
    <w:rsid w:val="332E5807"/>
    <w:rsid w:val="333A57B7"/>
    <w:rsid w:val="333C43C8"/>
    <w:rsid w:val="3353526D"/>
    <w:rsid w:val="335A7985"/>
    <w:rsid w:val="336934AE"/>
    <w:rsid w:val="336F02F9"/>
    <w:rsid w:val="3379080A"/>
    <w:rsid w:val="338423DD"/>
    <w:rsid w:val="338664CD"/>
    <w:rsid w:val="33AB1439"/>
    <w:rsid w:val="33B421B0"/>
    <w:rsid w:val="33BE1B91"/>
    <w:rsid w:val="33DB598F"/>
    <w:rsid w:val="33E04D53"/>
    <w:rsid w:val="33EB36F8"/>
    <w:rsid w:val="33F24A86"/>
    <w:rsid w:val="340A1DD0"/>
    <w:rsid w:val="340C3D9A"/>
    <w:rsid w:val="3411315F"/>
    <w:rsid w:val="34125F30"/>
    <w:rsid w:val="341A275B"/>
    <w:rsid w:val="341F0078"/>
    <w:rsid w:val="342310E4"/>
    <w:rsid w:val="34321327"/>
    <w:rsid w:val="343C67F2"/>
    <w:rsid w:val="343E1A7A"/>
    <w:rsid w:val="34403A44"/>
    <w:rsid w:val="344A7002"/>
    <w:rsid w:val="344D7F0F"/>
    <w:rsid w:val="345D7A29"/>
    <w:rsid w:val="34645984"/>
    <w:rsid w:val="34680092"/>
    <w:rsid w:val="346E6803"/>
    <w:rsid w:val="34737FC2"/>
    <w:rsid w:val="347D3C45"/>
    <w:rsid w:val="348410F4"/>
    <w:rsid w:val="3489363D"/>
    <w:rsid w:val="34897AF5"/>
    <w:rsid w:val="3491429F"/>
    <w:rsid w:val="349249DB"/>
    <w:rsid w:val="34963664"/>
    <w:rsid w:val="349A13A6"/>
    <w:rsid w:val="34AD7EA2"/>
    <w:rsid w:val="34B63D06"/>
    <w:rsid w:val="34B8139C"/>
    <w:rsid w:val="34DA0784"/>
    <w:rsid w:val="34F06C3B"/>
    <w:rsid w:val="34F94D16"/>
    <w:rsid w:val="34FD36E3"/>
    <w:rsid w:val="34FF745B"/>
    <w:rsid w:val="35040F15"/>
    <w:rsid w:val="35165311"/>
    <w:rsid w:val="351D5B33"/>
    <w:rsid w:val="351F246F"/>
    <w:rsid w:val="35242876"/>
    <w:rsid w:val="35305866"/>
    <w:rsid w:val="353C420B"/>
    <w:rsid w:val="353E4427"/>
    <w:rsid w:val="355F614C"/>
    <w:rsid w:val="35753BC1"/>
    <w:rsid w:val="357F234A"/>
    <w:rsid w:val="35804783"/>
    <w:rsid w:val="35831E3A"/>
    <w:rsid w:val="358B0CEF"/>
    <w:rsid w:val="3592207D"/>
    <w:rsid w:val="35931E3C"/>
    <w:rsid w:val="35A54022"/>
    <w:rsid w:val="35A973C7"/>
    <w:rsid w:val="35B4648C"/>
    <w:rsid w:val="35BB230D"/>
    <w:rsid w:val="35BE10C4"/>
    <w:rsid w:val="35BF3F67"/>
    <w:rsid w:val="35CB37E1"/>
    <w:rsid w:val="35D25868"/>
    <w:rsid w:val="35DD109D"/>
    <w:rsid w:val="35E6061B"/>
    <w:rsid w:val="35EA1EB9"/>
    <w:rsid w:val="35F85AD9"/>
    <w:rsid w:val="360C62D3"/>
    <w:rsid w:val="360F476D"/>
    <w:rsid w:val="36123620"/>
    <w:rsid w:val="36145188"/>
    <w:rsid w:val="36237179"/>
    <w:rsid w:val="36257DF1"/>
    <w:rsid w:val="362B4280"/>
    <w:rsid w:val="363A74FC"/>
    <w:rsid w:val="3647730B"/>
    <w:rsid w:val="364E72DF"/>
    <w:rsid w:val="364F61C0"/>
    <w:rsid w:val="36545584"/>
    <w:rsid w:val="365E7F82"/>
    <w:rsid w:val="3660217B"/>
    <w:rsid w:val="36644FE9"/>
    <w:rsid w:val="367E2601"/>
    <w:rsid w:val="3684230E"/>
    <w:rsid w:val="36853C27"/>
    <w:rsid w:val="36877708"/>
    <w:rsid w:val="36940077"/>
    <w:rsid w:val="36952D7E"/>
    <w:rsid w:val="36A54032"/>
    <w:rsid w:val="36AE738B"/>
    <w:rsid w:val="36B67FED"/>
    <w:rsid w:val="36B975A9"/>
    <w:rsid w:val="36C721FA"/>
    <w:rsid w:val="36C941C4"/>
    <w:rsid w:val="36D358EB"/>
    <w:rsid w:val="36DE3D70"/>
    <w:rsid w:val="36E44B5A"/>
    <w:rsid w:val="36E83689"/>
    <w:rsid w:val="36EB2184"/>
    <w:rsid w:val="36EE59D9"/>
    <w:rsid w:val="37024FE0"/>
    <w:rsid w:val="370451FC"/>
    <w:rsid w:val="370C40B1"/>
    <w:rsid w:val="37117919"/>
    <w:rsid w:val="37133692"/>
    <w:rsid w:val="37171BA5"/>
    <w:rsid w:val="371B60A2"/>
    <w:rsid w:val="37230C70"/>
    <w:rsid w:val="37270EEB"/>
    <w:rsid w:val="373B4C58"/>
    <w:rsid w:val="3756532C"/>
    <w:rsid w:val="37704640"/>
    <w:rsid w:val="377140FB"/>
    <w:rsid w:val="377C2FB4"/>
    <w:rsid w:val="37A72204"/>
    <w:rsid w:val="37CB5D1A"/>
    <w:rsid w:val="37DB688A"/>
    <w:rsid w:val="37DF17C6"/>
    <w:rsid w:val="37E64902"/>
    <w:rsid w:val="37E961A0"/>
    <w:rsid w:val="37EA083E"/>
    <w:rsid w:val="37EF1A09"/>
    <w:rsid w:val="37EF7C5B"/>
    <w:rsid w:val="37F05781"/>
    <w:rsid w:val="37F963E3"/>
    <w:rsid w:val="381F5461"/>
    <w:rsid w:val="38207E14"/>
    <w:rsid w:val="382F44FB"/>
    <w:rsid w:val="3836588A"/>
    <w:rsid w:val="38397128"/>
    <w:rsid w:val="383B2EA0"/>
    <w:rsid w:val="383E029A"/>
    <w:rsid w:val="38507FCD"/>
    <w:rsid w:val="38545D10"/>
    <w:rsid w:val="38613F89"/>
    <w:rsid w:val="386F66A6"/>
    <w:rsid w:val="387168C2"/>
    <w:rsid w:val="38741F0E"/>
    <w:rsid w:val="387463B2"/>
    <w:rsid w:val="387B329C"/>
    <w:rsid w:val="389B749B"/>
    <w:rsid w:val="389C7CE9"/>
    <w:rsid w:val="38A24CCD"/>
    <w:rsid w:val="38A638D1"/>
    <w:rsid w:val="38A65E3F"/>
    <w:rsid w:val="38AA1DD4"/>
    <w:rsid w:val="38AB0112"/>
    <w:rsid w:val="38B425CD"/>
    <w:rsid w:val="38BC7547"/>
    <w:rsid w:val="38BE13DB"/>
    <w:rsid w:val="3900052F"/>
    <w:rsid w:val="3905700A"/>
    <w:rsid w:val="39134975"/>
    <w:rsid w:val="39331DC9"/>
    <w:rsid w:val="39366FC5"/>
    <w:rsid w:val="393B2A2C"/>
    <w:rsid w:val="39400042"/>
    <w:rsid w:val="394713D0"/>
    <w:rsid w:val="39567866"/>
    <w:rsid w:val="395D6536"/>
    <w:rsid w:val="395D6E46"/>
    <w:rsid w:val="39721ED6"/>
    <w:rsid w:val="397F500E"/>
    <w:rsid w:val="3980268B"/>
    <w:rsid w:val="398A630E"/>
    <w:rsid w:val="398B3413"/>
    <w:rsid w:val="398C3287"/>
    <w:rsid w:val="398E34A3"/>
    <w:rsid w:val="39916480"/>
    <w:rsid w:val="399B34CA"/>
    <w:rsid w:val="39A6259B"/>
    <w:rsid w:val="39B822CE"/>
    <w:rsid w:val="39BA7DF4"/>
    <w:rsid w:val="39BF7EC2"/>
    <w:rsid w:val="39C3499C"/>
    <w:rsid w:val="39CB0253"/>
    <w:rsid w:val="39CD3FCC"/>
    <w:rsid w:val="39CF6C2E"/>
    <w:rsid w:val="39D36F90"/>
    <w:rsid w:val="39D728C6"/>
    <w:rsid w:val="39D866E1"/>
    <w:rsid w:val="39DE7F87"/>
    <w:rsid w:val="39F72DF7"/>
    <w:rsid w:val="3A0818E0"/>
    <w:rsid w:val="3A0977A4"/>
    <w:rsid w:val="3A0B0650"/>
    <w:rsid w:val="3A1514CF"/>
    <w:rsid w:val="3A1C6C50"/>
    <w:rsid w:val="3A290CED"/>
    <w:rsid w:val="3A2B0CF2"/>
    <w:rsid w:val="3A2D05C6"/>
    <w:rsid w:val="3A4A73CA"/>
    <w:rsid w:val="3A5A5133"/>
    <w:rsid w:val="3A6769CF"/>
    <w:rsid w:val="3A6F5083"/>
    <w:rsid w:val="3A726921"/>
    <w:rsid w:val="3A7B57D6"/>
    <w:rsid w:val="3A7D310D"/>
    <w:rsid w:val="3A8A5A19"/>
    <w:rsid w:val="3A963B49"/>
    <w:rsid w:val="3A9B7C32"/>
    <w:rsid w:val="3A9E3272"/>
    <w:rsid w:val="3ABB02C8"/>
    <w:rsid w:val="3AD4693D"/>
    <w:rsid w:val="3ADC2E01"/>
    <w:rsid w:val="3AEC66D3"/>
    <w:rsid w:val="3AEE244B"/>
    <w:rsid w:val="3AF67A8F"/>
    <w:rsid w:val="3B03104F"/>
    <w:rsid w:val="3B057795"/>
    <w:rsid w:val="3B070E17"/>
    <w:rsid w:val="3B0C0B24"/>
    <w:rsid w:val="3B0C28D2"/>
    <w:rsid w:val="3B131EB2"/>
    <w:rsid w:val="3B304812"/>
    <w:rsid w:val="3B4E4C98"/>
    <w:rsid w:val="3B547535"/>
    <w:rsid w:val="3B5953EB"/>
    <w:rsid w:val="3B5A188F"/>
    <w:rsid w:val="3B677B08"/>
    <w:rsid w:val="3B6E0E96"/>
    <w:rsid w:val="3B781D15"/>
    <w:rsid w:val="3B7A783B"/>
    <w:rsid w:val="3B8905EF"/>
    <w:rsid w:val="3B970D61"/>
    <w:rsid w:val="3BA477D3"/>
    <w:rsid w:val="3BAB20EB"/>
    <w:rsid w:val="3BB6283D"/>
    <w:rsid w:val="3BD55EF8"/>
    <w:rsid w:val="3BDD426E"/>
    <w:rsid w:val="3BDF3B42"/>
    <w:rsid w:val="3BE13D5E"/>
    <w:rsid w:val="3BE86E9B"/>
    <w:rsid w:val="3BF07AFD"/>
    <w:rsid w:val="3BF30E01"/>
    <w:rsid w:val="3BF82E56"/>
    <w:rsid w:val="3BFF5F92"/>
    <w:rsid w:val="3C0E4427"/>
    <w:rsid w:val="3C235333"/>
    <w:rsid w:val="3C291261"/>
    <w:rsid w:val="3C2C0941"/>
    <w:rsid w:val="3C342025"/>
    <w:rsid w:val="3C355E58"/>
    <w:rsid w:val="3C3C71E7"/>
    <w:rsid w:val="3C4900BA"/>
    <w:rsid w:val="3C4E5E9E"/>
    <w:rsid w:val="3C5A766D"/>
    <w:rsid w:val="3C68449E"/>
    <w:rsid w:val="3C74072E"/>
    <w:rsid w:val="3C746980"/>
    <w:rsid w:val="3C7D424D"/>
    <w:rsid w:val="3C813DBA"/>
    <w:rsid w:val="3C91560C"/>
    <w:rsid w:val="3C97266F"/>
    <w:rsid w:val="3C9C7C85"/>
    <w:rsid w:val="3C9E1C4F"/>
    <w:rsid w:val="3CA134EE"/>
    <w:rsid w:val="3CAF1767"/>
    <w:rsid w:val="3CC03974"/>
    <w:rsid w:val="3CC50F8A"/>
    <w:rsid w:val="3CC66AB0"/>
    <w:rsid w:val="3CC72F54"/>
    <w:rsid w:val="3CC87600"/>
    <w:rsid w:val="3CDB255C"/>
    <w:rsid w:val="3CE358B4"/>
    <w:rsid w:val="3CEC3D5A"/>
    <w:rsid w:val="3CF950D8"/>
    <w:rsid w:val="3CFA4EFB"/>
    <w:rsid w:val="3D197528"/>
    <w:rsid w:val="3D2F0AF9"/>
    <w:rsid w:val="3D3305EA"/>
    <w:rsid w:val="3D406863"/>
    <w:rsid w:val="3D475E43"/>
    <w:rsid w:val="3D4F4CF8"/>
    <w:rsid w:val="3D566086"/>
    <w:rsid w:val="3D5C4FEC"/>
    <w:rsid w:val="3D5E514C"/>
    <w:rsid w:val="3D610E5E"/>
    <w:rsid w:val="3D687B67"/>
    <w:rsid w:val="3D803DBC"/>
    <w:rsid w:val="3D8250CD"/>
    <w:rsid w:val="3D8C4591"/>
    <w:rsid w:val="3D923791"/>
    <w:rsid w:val="3D932E36"/>
    <w:rsid w:val="3DB31B27"/>
    <w:rsid w:val="3DB37034"/>
    <w:rsid w:val="3DB9344B"/>
    <w:rsid w:val="3DBA485E"/>
    <w:rsid w:val="3DDA6CB7"/>
    <w:rsid w:val="3DE96EFA"/>
    <w:rsid w:val="3DF02037"/>
    <w:rsid w:val="3DF80EEB"/>
    <w:rsid w:val="3DFD4754"/>
    <w:rsid w:val="3E047890"/>
    <w:rsid w:val="3E141C6C"/>
    <w:rsid w:val="3E1675C3"/>
    <w:rsid w:val="3E1A70B4"/>
    <w:rsid w:val="3E1E1319"/>
    <w:rsid w:val="3E1F0B6E"/>
    <w:rsid w:val="3E304B29"/>
    <w:rsid w:val="3E3A1504"/>
    <w:rsid w:val="3E4405D4"/>
    <w:rsid w:val="3E5720B6"/>
    <w:rsid w:val="3E587BDC"/>
    <w:rsid w:val="3E5A5A73"/>
    <w:rsid w:val="3E693B97"/>
    <w:rsid w:val="3E787586"/>
    <w:rsid w:val="3E7A2248"/>
    <w:rsid w:val="3E832EAB"/>
    <w:rsid w:val="3E94330A"/>
    <w:rsid w:val="3EAB2402"/>
    <w:rsid w:val="3EBF1A09"/>
    <w:rsid w:val="3ECF6D22"/>
    <w:rsid w:val="3ED5122D"/>
    <w:rsid w:val="3ED96F6F"/>
    <w:rsid w:val="3EDE5210"/>
    <w:rsid w:val="3EDE6D46"/>
    <w:rsid w:val="3EE16E70"/>
    <w:rsid w:val="3EE33949"/>
    <w:rsid w:val="3EE854B5"/>
    <w:rsid w:val="3F0F473E"/>
    <w:rsid w:val="3F255D10"/>
    <w:rsid w:val="3F391461"/>
    <w:rsid w:val="3F3C12AC"/>
    <w:rsid w:val="3F402B4A"/>
    <w:rsid w:val="3F444EEA"/>
    <w:rsid w:val="3F636838"/>
    <w:rsid w:val="3F8A64BB"/>
    <w:rsid w:val="3F964E60"/>
    <w:rsid w:val="3F980BD8"/>
    <w:rsid w:val="3F9A4950"/>
    <w:rsid w:val="3FA4757D"/>
    <w:rsid w:val="3FA70E1B"/>
    <w:rsid w:val="3FAF1A7E"/>
    <w:rsid w:val="3FBD419A"/>
    <w:rsid w:val="3FD31C10"/>
    <w:rsid w:val="3FD57736"/>
    <w:rsid w:val="3FDC2ADC"/>
    <w:rsid w:val="3FDD3AA0"/>
    <w:rsid w:val="3FFD4EDF"/>
    <w:rsid w:val="400C6332"/>
    <w:rsid w:val="40251D40"/>
    <w:rsid w:val="402B37FA"/>
    <w:rsid w:val="40363F4D"/>
    <w:rsid w:val="4037219F"/>
    <w:rsid w:val="403A1342"/>
    <w:rsid w:val="404043A0"/>
    <w:rsid w:val="404B5C4A"/>
    <w:rsid w:val="404E1296"/>
    <w:rsid w:val="40534611"/>
    <w:rsid w:val="405A435B"/>
    <w:rsid w:val="405C7E57"/>
    <w:rsid w:val="40672358"/>
    <w:rsid w:val="4072332D"/>
    <w:rsid w:val="40752CC7"/>
    <w:rsid w:val="40827192"/>
    <w:rsid w:val="408973D9"/>
    <w:rsid w:val="408D1DBF"/>
    <w:rsid w:val="408D6263"/>
    <w:rsid w:val="408D6705"/>
    <w:rsid w:val="408E54D0"/>
    <w:rsid w:val="40953369"/>
    <w:rsid w:val="409A0980"/>
    <w:rsid w:val="409C0254"/>
    <w:rsid w:val="40A67324"/>
    <w:rsid w:val="40AA0BC3"/>
    <w:rsid w:val="40B732E0"/>
    <w:rsid w:val="40C20896"/>
    <w:rsid w:val="40CF0629"/>
    <w:rsid w:val="40D043A1"/>
    <w:rsid w:val="40E35E83"/>
    <w:rsid w:val="40E63BC5"/>
    <w:rsid w:val="40EC6950"/>
    <w:rsid w:val="40ED2526"/>
    <w:rsid w:val="40F24F08"/>
    <w:rsid w:val="40F475A0"/>
    <w:rsid w:val="40F60D4D"/>
    <w:rsid w:val="40FB2880"/>
    <w:rsid w:val="410C52E4"/>
    <w:rsid w:val="410D73A4"/>
    <w:rsid w:val="4114428E"/>
    <w:rsid w:val="41194822"/>
    <w:rsid w:val="412065EA"/>
    <w:rsid w:val="41236F59"/>
    <w:rsid w:val="41264427"/>
    <w:rsid w:val="41265D6F"/>
    <w:rsid w:val="412A1D04"/>
    <w:rsid w:val="412D70FE"/>
    <w:rsid w:val="4131587C"/>
    <w:rsid w:val="4148218A"/>
    <w:rsid w:val="41487973"/>
    <w:rsid w:val="415723CD"/>
    <w:rsid w:val="41636FC4"/>
    <w:rsid w:val="41652D3C"/>
    <w:rsid w:val="416F5968"/>
    <w:rsid w:val="41703483"/>
    <w:rsid w:val="41831414"/>
    <w:rsid w:val="418E2B88"/>
    <w:rsid w:val="418F1B67"/>
    <w:rsid w:val="41A31ADD"/>
    <w:rsid w:val="41A35612"/>
    <w:rsid w:val="41A75102"/>
    <w:rsid w:val="41B65345"/>
    <w:rsid w:val="41BD0482"/>
    <w:rsid w:val="41C37A62"/>
    <w:rsid w:val="41C95079"/>
    <w:rsid w:val="41D67795"/>
    <w:rsid w:val="41DE664A"/>
    <w:rsid w:val="41F229CD"/>
    <w:rsid w:val="42075BA1"/>
    <w:rsid w:val="420E6F2F"/>
    <w:rsid w:val="421B33FA"/>
    <w:rsid w:val="422C1AAB"/>
    <w:rsid w:val="423367EC"/>
    <w:rsid w:val="42336996"/>
    <w:rsid w:val="42415557"/>
    <w:rsid w:val="42447A1F"/>
    <w:rsid w:val="424515BD"/>
    <w:rsid w:val="4262727B"/>
    <w:rsid w:val="426C3C56"/>
    <w:rsid w:val="427A320B"/>
    <w:rsid w:val="427A6373"/>
    <w:rsid w:val="4283791D"/>
    <w:rsid w:val="42903DE8"/>
    <w:rsid w:val="42982C9D"/>
    <w:rsid w:val="429C453B"/>
    <w:rsid w:val="42AB6E74"/>
    <w:rsid w:val="42B20202"/>
    <w:rsid w:val="42B37AD7"/>
    <w:rsid w:val="42B86E9B"/>
    <w:rsid w:val="42CD6DEA"/>
    <w:rsid w:val="42D1070F"/>
    <w:rsid w:val="42D31F27"/>
    <w:rsid w:val="42D71A17"/>
    <w:rsid w:val="42E2557F"/>
    <w:rsid w:val="42EB7271"/>
    <w:rsid w:val="42F500EF"/>
    <w:rsid w:val="430B7913"/>
    <w:rsid w:val="430D71E7"/>
    <w:rsid w:val="430D7729"/>
    <w:rsid w:val="431D5651"/>
    <w:rsid w:val="434F77FF"/>
    <w:rsid w:val="435A177E"/>
    <w:rsid w:val="43617533"/>
    <w:rsid w:val="436808C1"/>
    <w:rsid w:val="43690277"/>
    <w:rsid w:val="436A288B"/>
    <w:rsid w:val="436D27D1"/>
    <w:rsid w:val="437255D6"/>
    <w:rsid w:val="43747266"/>
    <w:rsid w:val="43811983"/>
    <w:rsid w:val="438823EF"/>
    <w:rsid w:val="43884ABF"/>
    <w:rsid w:val="439416B6"/>
    <w:rsid w:val="439671DC"/>
    <w:rsid w:val="43972F54"/>
    <w:rsid w:val="439C7DDE"/>
    <w:rsid w:val="439F61E6"/>
    <w:rsid w:val="43A15517"/>
    <w:rsid w:val="43A318F9"/>
    <w:rsid w:val="43A84854"/>
    <w:rsid w:val="43AC2E51"/>
    <w:rsid w:val="43B342D5"/>
    <w:rsid w:val="43B64920"/>
    <w:rsid w:val="43BE15D2"/>
    <w:rsid w:val="43CC52F4"/>
    <w:rsid w:val="43CF26EE"/>
    <w:rsid w:val="43E53CC0"/>
    <w:rsid w:val="43F87E97"/>
    <w:rsid w:val="440120F5"/>
    <w:rsid w:val="44016641"/>
    <w:rsid w:val="44145283"/>
    <w:rsid w:val="441F5D36"/>
    <w:rsid w:val="4427252A"/>
    <w:rsid w:val="442F206B"/>
    <w:rsid w:val="44315157"/>
    <w:rsid w:val="44330ECF"/>
    <w:rsid w:val="4439400C"/>
    <w:rsid w:val="444430DC"/>
    <w:rsid w:val="445C47EB"/>
    <w:rsid w:val="4469669F"/>
    <w:rsid w:val="446A5D56"/>
    <w:rsid w:val="44871D79"/>
    <w:rsid w:val="44983EC7"/>
    <w:rsid w:val="449905D9"/>
    <w:rsid w:val="449A6429"/>
    <w:rsid w:val="449F0313"/>
    <w:rsid w:val="44A44B31"/>
    <w:rsid w:val="44AD6ED3"/>
    <w:rsid w:val="44BA09DD"/>
    <w:rsid w:val="44BF6C07"/>
    <w:rsid w:val="44C9538F"/>
    <w:rsid w:val="44E15151"/>
    <w:rsid w:val="44E45023"/>
    <w:rsid w:val="44E86854"/>
    <w:rsid w:val="44F248E6"/>
    <w:rsid w:val="44F405A8"/>
    <w:rsid w:val="44FA3CB5"/>
    <w:rsid w:val="44FE1EE9"/>
    <w:rsid w:val="45036AF3"/>
    <w:rsid w:val="45040A06"/>
    <w:rsid w:val="450D1720"/>
    <w:rsid w:val="450F36EA"/>
    <w:rsid w:val="452E2796"/>
    <w:rsid w:val="453F5652"/>
    <w:rsid w:val="455235D7"/>
    <w:rsid w:val="45594965"/>
    <w:rsid w:val="455B692F"/>
    <w:rsid w:val="456D21BF"/>
    <w:rsid w:val="457F1EF2"/>
    <w:rsid w:val="458F2E81"/>
    <w:rsid w:val="459260C9"/>
    <w:rsid w:val="45AD4CB1"/>
    <w:rsid w:val="45AF0A29"/>
    <w:rsid w:val="45AF6A59"/>
    <w:rsid w:val="45B63B66"/>
    <w:rsid w:val="45C5024D"/>
    <w:rsid w:val="45C81AEB"/>
    <w:rsid w:val="45D43FEC"/>
    <w:rsid w:val="45DE1D77"/>
    <w:rsid w:val="45E16705"/>
    <w:rsid w:val="45EC7588"/>
    <w:rsid w:val="45ED68FD"/>
    <w:rsid w:val="45EF0E26"/>
    <w:rsid w:val="46162269"/>
    <w:rsid w:val="46162793"/>
    <w:rsid w:val="46207200"/>
    <w:rsid w:val="46226D08"/>
    <w:rsid w:val="46294113"/>
    <w:rsid w:val="462B0666"/>
    <w:rsid w:val="46342CDD"/>
    <w:rsid w:val="463D7F3C"/>
    <w:rsid w:val="464955D3"/>
    <w:rsid w:val="464F5D68"/>
    <w:rsid w:val="465670F7"/>
    <w:rsid w:val="46582E6F"/>
    <w:rsid w:val="465B470D"/>
    <w:rsid w:val="467066EF"/>
    <w:rsid w:val="46841EB6"/>
    <w:rsid w:val="468B47AB"/>
    <w:rsid w:val="468C48C7"/>
    <w:rsid w:val="469043B7"/>
    <w:rsid w:val="469B15DD"/>
    <w:rsid w:val="46A06DFD"/>
    <w:rsid w:val="46A75BA4"/>
    <w:rsid w:val="46A85B86"/>
    <w:rsid w:val="46BA1434"/>
    <w:rsid w:val="46C40504"/>
    <w:rsid w:val="46C422B2"/>
    <w:rsid w:val="46C71DA3"/>
    <w:rsid w:val="46CD560B"/>
    <w:rsid w:val="46CF76DE"/>
    <w:rsid w:val="46D52711"/>
    <w:rsid w:val="46D651B3"/>
    <w:rsid w:val="46D70238"/>
    <w:rsid w:val="46DA56D2"/>
    <w:rsid w:val="46DF0E9A"/>
    <w:rsid w:val="46E93066"/>
    <w:rsid w:val="46F30DEA"/>
    <w:rsid w:val="470321F6"/>
    <w:rsid w:val="4723347D"/>
    <w:rsid w:val="47347438"/>
    <w:rsid w:val="47434D48"/>
    <w:rsid w:val="474451A1"/>
    <w:rsid w:val="4746716B"/>
    <w:rsid w:val="474857F1"/>
    <w:rsid w:val="47503B46"/>
    <w:rsid w:val="475E2707"/>
    <w:rsid w:val="47633879"/>
    <w:rsid w:val="47685032"/>
    <w:rsid w:val="476B0980"/>
    <w:rsid w:val="477C0DDF"/>
    <w:rsid w:val="47941618"/>
    <w:rsid w:val="479B691A"/>
    <w:rsid w:val="47A006D6"/>
    <w:rsid w:val="47A2174A"/>
    <w:rsid w:val="47AD2D46"/>
    <w:rsid w:val="47AD71EA"/>
    <w:rsid w:val="47B57537"/>
    <w:rsid w:val="47B73BC5"/>
    <w:rsid w:val="47BA5463"/>
    <w:rsid w:val="47CF316E"/>
    <w:rsid w:val="47D97FDF"/>
    <w:rsid w:val="47DB3D58"/>
    <w:rsid w:val="47DE1152"/>
    <w:rsid w:val="47E20625"/>
    <w:rsid w:val="47EA0BE5"/>
    <w:rsid w:val="47F64FEA"/>
    <w:rsid w:val="47FB4ABF"/>
    <w:rsid w:val="47FE7A46"/>
    <w:rsid w:val="48026F58"/>
    <w:rsid w:val="480768FB"/>
    <w:rsid w:val="48135CD5"/>
    <w:rsid w:val="481676AF"/>
    <w:rsid w:val="482A083B"/>
    <w:rsid w:val="482F5E51"/>
    <w:rsid w:val="48314507"/>
    <w:rsid w:val="48476A5C"/>
    <w:rsid w:val="48517B76"/>
    <w:rsid w:val="48537D92"/>
    <w:rsid w:val="485B6C46"/>
    <w:rsid w:val="4860425D"/>
    <w:rsid w:val="48643D4D"/>
    <w:rsid w:val="48651873"/>
    <w:rsid w:val="48694241"/>
    <w:rsid w:val="486F6553"/>
    <w:rsid w:val="487076AB"/>
    <w:rsid w:val="48797903"/>
    <w:rsid w:val="48A00177"/>
    <w:rsid w:val="48A424F4"/>
    <w:rsid w:val="48C04CFB"/>
    <w:rsid w:val="48C52312"/>
    <w:rsid w:val="48D2515B"/>
    <w:rsid w:val="48D367DD"/>
    <w:rsid w:val="48D8725E"/>
    <w:rsid w:val="48DA75A5"/>
    <w:rsid w:val="48DF1625"/>
    <w:rsid w:val="48E72288"/>
    <w:rsid w:val="48F010BA"/>
    <w:rsid w:val="48F055E1"/>
    <w:rsid w:val="490270C2"/>
    <w:rsid w:val="49054711"/>
    <w:rsid w:val="49106BE3"/>
    <w:rsid w:val="49222AE6"/>
    <w:rsid w:val="49227764"/>
    <w:rsid w:val="492B6619"/>
    <w:rsid w:val="492E2692"/>
    <w:rsid w:val="49351245"/>
    <w:rsid w:val="493C4382"/>
    <w:rsid w:val="493E738B"/>
    <w:rsid w:val="495C67D2"/>
    <w:rsid w:val="4968786D"/>
    <w:rsid w:val="4970736E"/>
    <w:rsid w:val="497E0E3E"/>
    <w:rsid w:val="4981448B"/>
    <w:rsid w:val="4989333F"/>
    <w:rsid w:val="498D2E30"/>
    <w:rsid w:val="49920446"/>
    <w:rsid w:val="49A36F50"/>
    <w:rsid w:val="49A5202F"/>
    <w:rsid w:val="49A73042"/>
    <w:rsid w:val="49A81A17"/>
    <w:rsid w:val="49AA648C"/>
    <w:rsid w:val="49B06B1E"/>
    <w:rsid w:val="49C10D2B"/>
    <w:rsid w:val="49C600F0"/>
    <w:rsid w:val="49C65A76"/>
    <w:rsid w:val="49D56C33"/>
    <w:rsid w:val="49DB003F"/>
    <w:rsid w:val="49DE45AD"/>
    <w:rsid w:val="49E962D9"/>
    <w:rsid w:val="49EC3FFA"/>
    <w:rsid w:val="49F512D8"/>
    <w:rsid w:val="49F54148"/>
    <w:rsid w:val="49F70BF1"/>
    <w:rsid w:val="49FA6AE9"/>
    <w:rsid w:val="49FF5353"/>
    <w:rsid w:val="4A123335"/>
    <w:rsid w:val="4A162E25"/>
    <w:rsid w:val="4A190B67"/>
    <w:rsid w:val="4A1D0657"/>
    <w:rsid w:val="4A2F038B"/>
    <w:rsid w:val="4A370FED"/>
    <w:rsid w:val="4A3A68E8"/>
    <w:rsid w:val="4A481450"/>
    <w:rsid w:val="4A4D25BF"/>
    <w:rsid w:val="4A5120AF"/>
    <w:rsid w:val="4A547DF1"/>
    <w:rsid w:val="4A5D0A54"/>
    <w:rsid w:val="4A5E47CC"/>
    <w:rsid w:val="4A7F1811"/>
    <w:rsid w:val="4A802994"/>
    <w:rsid w:val="4A834233"/>
    <w:rsid w:val="4A842484"/>
    <w:rsid w:val="4A8568AA"/>
    <w:rsid w:val="4A867F75"/>
    <w:rsid w:val="4A8E50B1"/>
    <w:rsid w:val="4A8F69E9"/>
    <w:rsid w:val="4A9B157C"/>
    <w:rsid w:val="4A9D59F1"/>
    <w:rsid w:val="4AA30431"/>
    <w:rsid w:val="4AAA7A11"/>
    <w:rsid w:val="4AAF6DD6"/>
    <w:rsid w:val="4AC7411F"/>
    <w:rsid w:val="4ACE1952"/>
    <w:rsid w:val="4AD52CE0"/>
    <w:rsid w:val="4AD8457E"/>
    <w:rsid w:val="4ADB7BCB"/>
    <w:rsid w:val="4AE27640"/>
    <w:rsid w:val="4B045373"/>
    <w:rsid w:val="4B14115F"/>
    <w:rsid w:val="4B3043BA"/>
    <w:rsid w:val="4B502367"/>
    <w:rsid w:val="4B613103"/>
    <w:rsid w:val="4B667DDC"/>
    <w:rsid w:val="4B736055"/>
    <w:rsid w:val="4B7D0C82"/>
    <w:rsid w:val="4B8169C4"/>
    <w:rsid w:val="4B8450BF"/>
    <w:rsid w:val="4B984363"/>
    <w:rsid w:val="4BA44460"/>
    <w:rsid w:val="4BB01057"/>
    <w:rsid w:val="4BB072A9"/>
    <w:rsid w:val="4BB46D99"/>
    <w:rsid w:val="4BB96C17"/>
    <w:rsid w:val="4BBD4578"/>
    <w:rsid w:val="4BC32B39"/>
    <w:rsid w:val="4BD20FCE"/>
    <w:rsid w:val="4BD4520F"/>
    <w:rsid w:val="4BD905AE"/>
    <w:rsid w:val="4BD9235C"/>
    <w:rsid w:val="4BEA0B83"/>
    <w:rsid w:val="4BEB02E1"/>
    <w:rsid w:val="4C0C5A1B"/>
    <w:rsid w:val="4C0D2C73"/>
    <w:rsid w:val="4C0F3FD0"/>
    <w:rsid w:val="4C1D377B"/>
    <w:rsid w:val="4C1E06B7"/>
    <w:rsid w:val="4C4A67B0"/>
    <w:rsid w:val="4C5145E8"/>
    <w:rsid w:val="4C5365B2"/>
    <w:rsid w:val="4C545E87"/>
    <w:rsid w:val="4C5900BC"/>
    <w:rsid w:val="4C5B0FC3"/>
    <w:rsid w:val="4C7402D7"/>
    <w:rsid w:val="4C7437C7"/>
    <w:rsid w:val="4C932A4A"/>
    <w:rsid w:val="4C94169A"/>
    <w:rsid w:val="4C955995"/>
    <w:rsid w:val="4C995F8F"/>
    <w:rsid w:val="4C9D3ED0"/>
    <w:rsid w:val="4C9D782D"/>
    <w:rsid w:val="4CA30BBC"/>
    <w:rsid w:val="4CB84667"/>
    <w:rsid w:val="4CBF751C"/>
    <w:rsid w:val="4CC11A74"/>
    <w:rsid w:val="4CC1642A"/>
    <w:rsid w:val="4CC56D84"/>
    <w:rsid w:val="4CC81A74"/>
    <w:rsid w:val="4CDA2830"/>
    <w:rsid w:val="4CDD5E7C"/>
    <w:rsid w:val="4CE251D5"/>
    <w:rsid w:val="4CE5133F"/>
    <w:rsid w:val="4CE54D31"/>
    <w:rsid w:val="4CF3569F"/>
    <w:rsid w:val="4D094EC3"/>
    <w:rsid w:val="4D0C49B3"/>
    <w:rsid w:val="4D1C19ED"/>
    <w:rsid w:val="4D275349"/>
    <w:rsid w:val="4D2C6E03"/>
    <w:rsid w:val="4D371A30"/>
    <w:rsid w:val="4D3A1520"/>
    <w:rsid w:val="4D48391E"/>
    <w:rsid w:val="4D4E5624"/>
    <w:rsid w:val="4D6640C3"/>
    <w:rsid w:val="4D6644C5"/>
    <w:rsid w:val="4D6D36A4"/>
    <w:rsid w:val="4D73058E"/>
    <w:rsid w:val="4D7473AF"/>
    <w:rsid w:val="4D814A59"/>
    <w:rsid w:val="4D8C0196"/>
    <w:rsid w:val="4DC42B98"/>
    <w:rsid w:val="4DC4528E"/>
    <w:rsid w:val="4E0051A6"/>
    <w:rsid w:val="4E01203E"/>
    <w:rsid w:val="4E015B9A"/>
    <w:rsid w:val="4E031912"/>
    <w:rsid w:val="4E044BF2"/>
    <w:rsid w:val="4E0B07C7"/>
    <w:rsid w:val="4E233D62"/>
    <w:rsid w:val="4E2545EC"/>
    <w:rsid w:val="4E347D1E"/>
    <w:rsid w:val="4E3C2196"/>
    <w:rsid w:val="4E4243EA"/>
    <w:rsid w:val="4E4361B3"/>
    <w:rsid w:val="4E453CD9"/>
    <w:rsid w:val="4E473EF5"/>
    <w:rsid w:val="4E483B90"/>
    <w:rsid w:val="4E4C4E42"/>
    <w:rsid w:val="4E540A58"/>
    <w:rsid w:val="4E571C5E"/>
    <w:rsid w:val="4E5E2FEC"/>
    <w:rsid w:val="4E6C5709"/>
    <w:rsid w:val="4E8A50C6"/>
    <w:rsid w:val="4E915170"/>
    <w:rsid w:val="4E9702AC"/>
    <w:rsid w:val="4E9C3B15"/>
    <w:rsid w:val="4EA26166"/>
    <w:rsid w:val="4EA64848"/>
    <w:rsid w:val="4EA87052"/>
    <w:rsid w:val="4EAA7FE0"/>
    <w:rsid w:val="4EBD41B7"/>
    <w:rsid w:val="4EDD03B5"/>
    <w:rsid w:val="4EDE0C0F"/>
    <w:rsid w:val="4EE05E69"/>
    <w:rsid w:val="4EFF3A96"/>
    <w:rsid w:val="4F01298D"/>
    <w:rsid w:val="4F0E056F"/>
    <w:rsid w:val="4F132029"/>
    <w:rsid w:val="4F310701"/>
    <w:rsid w:val="4F346C2B"/>
    <w:rsid w:val="4F3501F1"/>
    <w:rsid w:val="4F3E53F4"/>
    <w:rsid w:val="4F4B1105"/>
    <w:rsid w:val="4F4D178A"/>
    <w:rsid w:val="4F5F154A"/>
    <w:rsid w:val="4F617740"/>
    <w:rsid w:val="4F675ED1"/>
    <w:rsid w:val="4F6F4D85"/>
    <w:rsid w:val="4F7806A0"/>
    <w:rsid w:val="4F7E56D3"/>
    <w:rsid w:val="4F7F68E8"/>
    <w:rsid w:val="4F8545A9"/>
    <w:rsid w:val="4F894099"/>
    <w:rsid w:val="4F8F5119"/>
    <w:rsid w:val="4FB629B4"/>
    <w:rsid w:val="4FB82BD0"/>
    <w:rsid w:val="4FBA06F6"/>
    <w:rsid w:val="4FC13833"/>
    <w:rsid w:val="4FD03A76"/>
    <w:rsid w:val="4FE17A31"/>
    <w:rsid w:val="50025BF9"/>
    <w:rsid w:val="50033E4B"/>
    <w:rsid w:val="500951DA"/>
    <w:rsid w:val="50280768"/>
    <w:rsid w:val="503F0BFC"/>
    <w:rsid w:val="505439EB"/>
    <w:rsid w:val="5060304C"/>
    <w:rsid w:val="508F3F0E"/>
    <w:rsid w:val="50967DFF"/>
    <w:rsid w:val="50983711"/>
    <w:rsid w:val="50992C99"/>
    <w:rsid w:val="50A81AB3"/>
    <w:rsid w:val="50B45B0C"/>
    <w:rsid w:val="50BB64D4"/>
    <w:rsid w:val="50CA6717"/>
    <w:rsid w:val="50CC6933"/>
    <w:rsid w:val="50CF3D2E"/>
    <w:rsid w:val="50D130C8"/>
    <w:rsid w:val="50EA0B67"/>
    <w:rsid w:val="50F32112"/>
    <w:rsid w:val="51124B24"/>
    <w:rsid w:val="51167BAE"/>
    <w:rsid w:val="51177ECF"/>
    <w:rsid w:val="5119144D"/>
    <w:rsid w:val="51220301"/>
    <w:rsid w:val="513D15DF"/>
    <w:rsid w:val="51486532"/>
    <w:rsid w:val="514F30C0"/>
    <w:rsid w:val="515D758B"/>
    <w:rsid w:val="516F72BF"/>
    <w:rsid w:val="517364CA"/>
    <w:rsid w:val="5176064D"/>
    <w:rsid w:val="51785FE6"/>
    <w:rsid w:val="517B5C63"/>
    <w:rsid w:val="518014CC"/>
    <w:rsid w:val="51A20121"/>
    <w:rsid w:val="51BA49DE"/>
    <w:rsid w:val="51BB44A1"/>
    <w:rsid w:val="51D610EC"/>
    <w:rsid w:val="51D81308"/>
    <w:rsid w:val="51DC0DF8"/>
    <w:rsid w:val="51E367A6"/>
    <w:rsid w:val="51EB4B97"/>
    <w:rsid w:val="51F07734"/>
    <w:rsid w:val="51F85506"/>
    <w:rsid w:val="52120A55"/>
    <w:rsid w:val="52122562"/>
    <w:rsid w:val="521237FC"/>
    <w:rsid w:val="52293911"/>
    <w:rsid w:val="522C4FFD"/>
    <w:rsid w:val="522C5257"/>
    <w:rsid w:val="522D3402"/>
    <w:rsid w:val="523D0094"/>
    <w:rsid w:val="52416EAD"/>
    <w:rsid w:val="524349D3"/>
    <w:rsid w:val="524D5555"/>
    <w:rsid w:val="52796647"/>
    <w:rsid w:val="528B2997"/>
    <w:rsid w:val="528F6754"/>
    <w:rsid w:val="529C47BF"/>
    <w:rsid w:val="529E1C09"/>
    <w:rsid w:val="52B92EE7"/>
    <w:rsid w:val="52BF6691"/>
    <w:rsid w:val="52C04276"/>
    <w:rsid w:val="52D25ACE"/>
    <w:rsid w:val="52D6583A"/>
    <w:rsid w:val="52D7336D"/>
    <w:rsid w:val="52DE64AA"/>
    <w:rsid w:val="52E235B7"/>
    <w:rsid w:val="52E31D12"/>
    <w:rsid w:val="52E361B6"/>
    <w:rsid w:val="52EE5798"/>
    <w:rsid w:val="53113369"/>
    <w:rsid w:val="531620E8"/>
    <w:rsid w:val="53177E59"/>
    <w:rsid w:val="531A7224"/>
    <w:rsid w:val="531D6306"/>
    <w:rsid w:val="53206AC2"/>
    <w:rsid w:val="53277E51"/>
    <w:rsid w:val="533E33EC"/>
    <w:rsid w:val="533E69B6"/>
    <w:rsid w:val="53476745"/>
    <w:rsid w:val="53513120"/>
    <w:rsid w:val="5355276E"/>
    <w:rsid w:val="5362532D"/>
    <w:rsid w:val="53652C6A"/>
    <w:rsid w:val="538C05FC"/>
    <w:rsid w:val="538E5F89"/>
    <w:rsid w:val="539C6DA7"/>
    <w:rsid w:val="53A03BED"/>
    <w:rsid w:val="53A07C03"/>
    <w:rsid w:val="53A72D40"/>
    <w:rsid w:val="53B611D5"/>
    <w:rsid w:val="53C41B44"/>
    <w:rsid w:val="53CC09F8"/>
    <w:rsid w:val="53D5659B"/>
    <w:rsid w:val="53D94F3D"/>
    <w:rsid w:val="53EE4E13"/>
    <w:rsid w:val="53F65A75"/>
    <w:rsid w:val="53FC12DE"/>
    <w:rsid w:val="540630C1"/>
    <w:rsid w:val="540977F1"/>
    <w:rsid w:val="541A5C08"/>
    <w:rsid w:val="54212AF2"/>
    <w:rsid w:val="5422529D"/>
    <w:rsid w:val="542441FB"/>
    <w:rsid w:val="542A76F3"/>
    <w:rsid w:val="542D76E9"/>
    <w:rsid w:val="54404808"/>
    <w:rsid w:val="544669FD"/>
    <w:rsid w:val="54694499"/>
    <w:rsid w:val="546A418F"/>
    <w:rsid w:val="548A4CE3"/>
    <w:rsid w:val="54947768"/>
    <w:rsid w:val="54972DB4"/>
    <w:rsid w:val="549B4E7B"/>
    <w:rsid w:val="549E2395"/>
    <w:rsid w:val="54A10956"/>
    <w:rsid w:val="54B15827"/>
    <w:rsid w:val="54BC0090"/>
    <w:rsid w:val="54C94F38"/>
    <w:rsid w:val="54CA2703"/>
    <w:rsid w:val="54CA318A"/>
    <w:rsid w:val="54EA7388"/>
    <w:rsid w:val="54F16968"/>
    <w:rsid w:val="54F41009"/>
    <w:rsid w:val="54F9581D"/>
    <w:rsid w:val="55006BAB"/>
    <w:rsid w:val="550A268B"/>
    <w:rsid w:val="551663CF"/>
    <w:rsid w:val="551B736A"/>
    <w:rsid w:val="5536081F"/>
    <w:rsid w:val="553D1227"/>
    <w:rsid w:val="55452810"/>
    <w:rsid w:val="554A7E27"/>
    <w:rsid w:val="554D5B69"/>
    <w:rsid w:val="554F368F"/>
    <w:rsid w:val="5556122E"/>
    <w:rsid w:val="5563501D"/>
    <w:rsid w:val="556B681E"/>
    <w:rsid w:val="557B2E9D"/>
    <w:rsid w:val="559267E1"/>
    <w:rsid w:val="559B4E20"/>
    <w:rsid w:val="559B68D4"/>
    <w:rsid w:val="55A57753"/>
    <w:rsid w:val="55B654BC"/>
    <w:rsid w:val="55C4407D"/>
    <w:rsid w:val="55C951EF"/>
    <w:rsid w:val="55D12837"/>
    <w:rsid w:val="55D87B28"/>
    <w:rsid w:val="55E5191B"/>
    <w:rsid w:val="55F01743"/>
    <w:rsid w:val="55FA7A9F"/>
    <w:rsid w:val="560721BC"/>
    <w:rsid w:val="560C77D2"/>
    <w:rsid w:val="56156687"/>
    <w:rsid w:val="561B17C3"/>
    <w:rsid w:val="56312D95"/>
    <w:rsid w:val="5653130A"/>
    <w:rsid w:val="56554CD5"/>
    <w:rsid w:val="56682C5A"/>
    <w:rsid w:val="566B44F9"/>
    <w:rsid w:val="56755377"/>
    <w:rsid w:val="569649D8"/>
    <w:rsid w:val="569C6DA8"/>
    <w:rsid w:val="56A812A9"/>
    <w:rsid w:val="56A874FB"/>
    <w:rsid w:val="56AB00D2"/>
    <w:rsid w:val="56AD68BF"/>
    <w:rsid w:val="56BF65F2"/>
    <w:rsid w:val="56D402F0"/>
    <w:rsid w:val="56F24C1A"/>
    <w:rsid w:val="56F71F0D"/>
    <w:rsid w:val="56F75D8C"/>
    <w:rsid w:val="56FA11A9"/>
    <w:rsid w:val="570851B2"/>
    <w:rsid w:val="570A5ABF"/>
    <w:rsid w:val="571406EC"/>
    <w:rsid w:val="57146014"/>
    <w:rsid w:val="57203535"/>
    <w:rsid w:val="57233025"/>
    <w:rsid w:val="572D203D"/>
    <w:rsid w:val="572F3F6E"/>
    <w:rsid w:val="57337F1D"/>
    <w:rsid w:val="573451D3"/>
    <w:rsid w:val="573B5D90"/>
    <w:rsid w:val="574B1842"/>
    <w:rsid w:val="575256B8"/>
    <w:rsid w:val="57541431"/>
    <w:rsid w:val="5765363E"/>
    <w:rsid w:val="576A47B0"/>
    <w:rsid w:val="57805D82"/>
    <w:rsid w:val="5780751F"/>
    <w:rsid w:val="578D66F1"/>
    <w:rsid w:val="57945CD1"/>
    <w:rsid w:val="57947A7F"/>
    <w:rsid w:val="579B2BBB"/>
    <w:rsid w:val="579D1EE7"/>
    <w:rsid w:val="57AE698D"/>
    <w:rsid w:val="57AF6667"/>
    <w:rsid w:val="57C32112"/>
    <w:rsid w:val="57CA34A1"/>
    <w:rsid w:val="57CF4D25"/>
    <w:rsid w:val="57E176C8"/>
    <w:rsid w:val="57E75E01"/>
    <w:rsid w:val="57EA58F1"/>
    <w:rsid w:val="57EA75B6"/>
    <w:rsid w:val="57EC78BB"/>
    <w:rsid w:val="57EE718F"/>
    <w:rsid w:val="57EF4CB5"/>
    <w:rsid w:val="580F25F1"/>
    <w:rsid w:val="5834613A"/>
    <w:rsid w:val="583555B0"/>
    <w:rsid w:val="583F6981"/>
    <w:rsid w:val="58445001"/>
    <w:rsid w:val="58474AF1"/>
    <w:rsid w:val="58587044"/>
    <w:rsid w:val="58594DCC"/>
    <w:rsid w:val="58607995"/>
    <w:rsid w:val="58704048"/>
    <w:rsid w:val="58705DF6"/>
    <w:rsid w:val="58727DC0"/>
    <w:rsid w:val="5875340D"/>
    <w:rsid w:val="587677E4"/>
    <w:rsid w:val="58781F86"/>
    <w:rsid w:val="587C29ED"/>
    <w:rsid w:val="58896EB8"/>
    <w:rsid w:val="58A03E85"/>
    <w:rsid w:val="58A145D5"/>
    <w:rsid w:val="58AE4B70"/>
    <w:rsid w:val="58B45C07"/>
    <w:rsid w:val="58B5476B"/>
    <w:rsid w:val="58D345D7"/>
    <w:rsid w:val="58D95E28"/>
    <w:rsid w:val="58EF7663"/>
    <w:rsid w:val="58F63754"/>
    <w:rsid w:val="58FA1B64"/>
    <w:rsid w:val="5906675A"/>
    <w:rsid w:val="59097FF9"/>
    <w:rsid w:val="590D4ADB"/>
    <w:rsid w:val="59126EAD"/>
    <w:rsid w:val="59246BE1"/>
    <w:rsid w:val="59262959"/>
    <w:rsid w:val="592D31E7"/>
    <w:rsid w:val="592F7A5F"/>
    <w:rsid w:val="593257A1"/>
    <w:rsid w:val="5934151A"/>
    <w:rsid w:val="594F3C5E"/>
    <w:rsid w:val="5955323E"/>
    <w:rsid w:val="595D5A21"/>
    <w:rsid w:val="5966544B"/>
    <w:rsid w:val="596A2439"/>
    <w:rsid w:val="596A6CE9"/>
    <w:rsid w:val="596D0051"/>
    <w:rsid w:val="59706067"/>
    <w:rsid w:val="59706A3E"/>
    <w:rsid w:val="598D4786"/>
    <w:rsid w:val="598F49A2"/>
    <w:rsid w:val="59A0095D"/>
    <w:rsid w:val="59A450EF"/>
    <w:rsid w:val="59A47466"/>
    <w:rsid w:val="59A541C5"/>
    <w:rsid w:val="59A97BCE"/>
    <w:rsid w:val="59AC10B0"/>
    <w:rsid w:val="59BE0DE3"/>
    <w:rsid w:val="59BE4D82"/>
    <w:rsid w:val="59BE5FF6"/>
    <w:rsid w:val="59CD7278"/>
    <w:rsid w:val="59CF1242"/>
    <w:rsid w:val="59D16321"/>
    <w:rsid w:val="59D77FD1"/>
    <w:rsid w:val="59D800F7"/>
    <w:rsid w:val="59DA33D2"/>
    <w:rsid w:val="59ED3476"/>
    <w:rsid w:val="59EE152F"/>
    <w:rsid w:val="59FE68ED"/>
    <w:rsid w:val="5A006C9B"/>
    <w:rsid w:val="5A04713E"/>
    <w:rsid w:val="5A201A9E"/>
    <w:rsid w:val="5A2C1221"/>
    <w:rsid w:val="5A2F24DA"/>
    <w:rsid w:val="5A3B0686"/>
    <w:rsid w:val="5A455061"/>
    <w:rsid w:val="5A517EA9"/>
    <w:rsid w:val="5A5359CF"/>
    <w:rsid w:val="5A567682"/>
    <w:rsid w:val="5A581238"/>
    <w:rsid w:val="5A582FE6"/>
    <w:rsid w:val="5A6220B6"/>
    <w:rsid w:val="5A785436"/>
    <w:rsid w:val="5A8B33BB"/>
    <w:rsid w:val="5AA050D8"/>
    <w:rsid w:val="5AA12BDF"/>
    <w:rsid w:val="5AA61FA3"/>
    <w:rsid w:val="5AAD586E"/>
    <w:rsid w:val="5AB83F09"/>
    <w:rsid w:val="5ABC17C7"/>
    <w:rsid w:val="5AC77E60"/>
    <w:rsid w:val="5ACB37B8"/>
    <w:rsid w:val="5AD00DCE"/>
    <w:rsid w:val="5AD86008"/>
    <w:rsid w:val="5ADC4F12"/>
    <w:rsid w:val="5AF30F60"/>
    <w:rsid w:val="5AF96577"/>
    <w:rsid w:val="5B13515F"/>
    <w:rsid w:val="5B136F0D"/>
    <w:rsid w:val="5B152C85"/>
    <w:rsid w:val="5B2552A4"/>
    <w:rsid w:val="5B305D11"/>
    <w:rsid w:val="5B3A6B8F"/>
    <w:rsid w:val="5B5C222A"/>
    <w:rsid w:val="5B667984"/>
    <w:rsid w:val="5B6A2FD1"/>
    <w:rsid w:val="5B6A7475"/>
    <w:rsid w:val="5B734DF4"/>
    <w:rsid w:val="5B75500B"/>
    <w:rsid w:val="5B7A6F8C"/>
    <w:rsid w:val="5B7E6A7C"/>
    <w:rsid w:val="5B9444F1"/>
    <w:rsid w:val="5B9E711E"/>
    <w:rsid w:val="5BA5225B"/>
    <w:rsid w:val="5BA56B4D"/>
    <w:rsid w:val="5BB47AC3"/>
    <w:rsid w:val="5BBB1A7E"/>
    <w:rsid w:val="5BC216F7"/>
    <w:rsid w:val="5BC528FD"/>
    <w:rsid w:val="5BC546AB"/>
    <w:rsid w:val="5BDA4A94"/>
    <w:rsid w:val="5BE03293"/>
    <w:rsid w:val="5BEB6D33"/>
    <w:rsid w:val="5BEC7E8A"/>
    <w:rsid w:val="5BF64864"/>
    <w:rsid w:val="5BFC7A7E"/>
    <w:rsid w:val="5C1469DE"/>
    <w:rsid w:val="5C425CFC"/>
    <w:rsid w:val="5C4557EC"/>
    <w:rsid w:val="5C4656FE"/>
    <w:rsid w:val="5C5468E9"/>
    <w:rsid w:val="5C657C3C"/>
    <w:rsid w:val="5C8F6A67"/>
    <w:rsid w:val="5CA42512"/>
    <w:rsid w:val="5CAA564F"/>
    <w:rsid w:val="5CB87D6C"/>
    <w:rsid w:val="5CBB785C"/>
    <w:rsid w:val="5CD252D1"/>
    <w:rsid w:val="5CD526CC"/>
    <w:rsid w:val="5CFF599B"/>
    <w:rsid w:val="5D02738C"/>
    <w:rsid w:val="5D0573C0"/>
    <w:rsid w:val="5D105DFA"/>
    <w:rsid w:val="5D156F6C"/>
    <w:rsid w:val="5D1F603D"/>
    <w:rsid w:val="5D355860"/>
    <w:rsid w:val="5D5C2DED"/>
    <w:rsid w:val="5D5E4DB7"/>
    <w:rsid w:val="5D63113F"/>
    <w:rsid w:val="5D667D88"/>
    <w:rsid w:val="5D746389"/>
    <w:rsid w:val="5D79399F"/>
    <w:rsid w:val="5D922E97"/>
    <w:rsid w:val="5D9500AD"/>
    <w:rsid w:val="5DA327CA"/>
    <w:rsid w:val="5DA33C1E"/>
    <w:rsid w:val="5DA54794"/>
    <w:rsid w:val="5DAB3C67"/>
    <w:rsid w:val="5DAB78D0"/>
    <w:rsid w:val="5DAD599C"/>
    <w:rsid w:val="5DB1138B"/>
    <w:rsid w:val="5DB524FD"/>
    <w:rsid w:val="5DBB1B81"/>
    <w:rsid w:val="5DE40E97"/>
    <w:rsid w:val="5DE84681"/>
    <w:rsid w:val="5DEA664B"/>
    <w:rsid w:val="5DED7EE9"/>
    <w:rsid w:val="5DEE7F91"/>
    <w:rsid w:val="5DEF5A0F"/>
    <w:rsid w:val="5DF63241"/>
    <w:rsid w:val="5DF748C4"/>
    <w:rsid w:val="5E01357E"/>
    <w:rsid w:val="5E0D2339"/>
    <w:rsid w:val="5E111E29"/>
    <w:rsid w:val="5E1379F2"/>
    <w:rsid w:val="5E192A8C"/>
    <w:rsid w:val="5E2558D5"/>
    <w:rsid w:val="5E2926FE"/>
    <w:rsid w:val="5E345B18"/>
    <w:rsid w:val="5E371164"/>
    <w:rsid w:val="5E3B2062"/>
    <w:rsid w:val="5E3E0745"/>
    <w:rsid w:val="5E740740"/>
    <w:rsid w:val="5E746B35"/>
    <w:rsid w:val="5E7718F3"/>
    <w:rsid w:val="5E785A05"/>
    <w:rsid w:val="5E846949"/>
    <w:rsid w:val="5E912F6A"/>
    <w:rsid w:val="5E940365"/>
    <w:rsid w:val="5E954808"/>
    <w:rsid w:val="5EAC1CF8"/>
    <w:rsid w:val="5EAF2AE6"/>
    <w:rsid w:val="5EB6652D"/>
    <w:rsid w:val="5EBA426F"/>
    <w:rsid w:val="5ECE3876"/>
    <w:rsid w:val="5ED657BB"/>
    <w:rsid w:val="5EF12A43"/>
    <w:rsid w:val="5EFF1C82"/>
    <w:rsid w:val="5F0279C4"/>
    <w:rsid w:val="5F0A25F1"/>
    <w:rsid w:val="5F3C2ED6"/>
    <w:rsid w:val="5F471F9C"/>
    <w:rsid w:val="5F506981"/>
    <w:rsid w:val="5F546472"/>
    <w:rsid w:val="5F561AAA"/>
    <w:rsid w:val="5F571ABE"/>
    <w:rsid w:val="5F5A7800"/>
    <w:rsid w:val="5F6B7317"/>
    <w:rsid w:val="5F74365E"/>
    <w:rsid w:val="5F775CBC"/>
    <w:rsid w:val="5F7A0949"/>
    <w:rsid w:val="5F805BF7"/>
    <w:rsid w:val="5F83500A"/>
    <w:rsid w:val="5F8403D9"/>
    <w:rsid w:val="5F8B1768"/>
    <w:rsid w:val="5F8F61EB"/>
    <w:rsid w:val="5F904CD0"/>
    <w:rsid w:val="5FAB1E0A"/>
    <w:rsid w:val="5FAF7B5C"/>
    <w:rsid w:val="5FBE3B3A"/>
    <w:rsid w:val="5FC03B07"/>
    <w:rsid w:val="5FC307D6"/>
    <w:rsid w:val="5FC5111D"/>
    <w:rsid w:val="5FCD3B2E"/>
    <w:rsid w:val="5FD2383A"/>
    <w:rsid w:val="5FD276B3"/>
    <w:rsid w:val="5FDD794C"/>
    <w:rsid w:val="5FDE3F8D"/>
    <w:rsid w:val="5FE61094"/>
    <w:rsid w:val="5FFC4413"/>
    <w:rsid w:val="5FFF3EA6"/>
    <w:rsid w:val="600E7C8D"/>
    <w:rsid w:val="601654D5"/>
    <w:rsid w:val="602816AC"/>
    <w:rsid w:val="602C4CF9"/>
    <w:rsid w:val="60365B77"/>
    <w:rsid w:val="60395667"/>
    <w:rsid w:val="6054424F"/>
    <w:rsid w:val="6058433C"/>
    <w:rsid w:val="605B55DE"/>
    <w:rsid w:val="60652839"/>
    <w:rsid w:val="60675D31"/>
    <w:rsid w:val="60730B79"/>
    <w:rsid w:val="607641C6"/>
    <w:rsid w:val="607D5554"/>
    <w:rsid w:val="6081192B"/>
    <w:rsid w:val="608120FB"/>
    <w:rsid w:val="60844B35"/>
    <w:rsid w:val="608C39E9"/>
    <w:rsid w:val="608C51B9"/>
    <w:rsid w:val="6098238E"/>
    <w:rsid w:val="609D30C7"/>
    <w:rsid w:val="60A868FD"/>
    <w:rsid w:val="60AC15B7"/>
    <w:rsid w:val="60AC7BE7"/>
    <w:rsid w:val="60B44CEE"/>
    <w:rsid w:val="60BA0C74"/>
    <w:rsid w:val="60BB3113"/>
    <w:rsid w:val="60C93D3C"/>
    <w:rsid w:val="60D21603"/>
    <w:rsid w:val="60E455D3"/>
    <w:rsid w:val="60FA6BA5"/>
    <w:rsid w:val="612C1577"/>
    <w:rsid w:val="613025C6"/>
    <w:rsid w:val="614B6D92"/>
    <w:rsid w:val="61502C69"/>
    <w:rsid w:val="615074AC"/>
    <w:rsid w:val="6155027F"/>
    <w:rsid w:val="615C160D"/>
    <w:rsid w:val="61706E67"/>
    <w:rsid w:val="6171498D"/>
    <w:rsid w:val="61761FA3"/>
    <w:rsid w:val="61810725"/>
    <w:rsid w:val="6183303E"/>
    <w:rsid w:val="61873490"/>
    <w:rsid w:val="619568CD"/>
    <w:rsid w:val="619E7E05"/>
    <w:rsid w:val="619F1626"/>
    <w:rsid w:val="61A11716"/>
    <w:rsid w:val="61A62889"/>
    <w:rsid w:val="61A9201F"/>
    <w:rsid w:val="61BD7BD2"/>
    <w:rsid w:val="61BF394A"/>
    <w:rsid w:val="61C6117D"/>
    <w:rsid w:val="61CD42B9"/>
    <w:rsid w:val="61D07906"/>
    <w:rsid w:val="61D27B22"/>
    <w:rsid w:val="61D60DE9"/>
    <w:rsid w:val="61F061FA"/>
    <w:rsid w:val="61F47A98"/>
    <w:rsid w:val="61F60B14"/>
    <w:rsid w:val="61FA4982"/>
    <w:rsid w:val="61FC4B9F"/>
    <w:rsid w:val="62015D11"/>
    <w:rsid w:val="620A72BB"/>
    <w:rsid w:val="620D6DAC"/>
    <w:rsid w:val="62195750"/>
    <w:rsid w:val="622814F0"/>
    <w:rsid w:val="622A34BA"/>
    <w:rsid w:val="622D44F9"/>
    <w:rsid w:val="62411F2B"/>
    <w:rsid w:val="62514EEA"/>
    <w:rsid w:val="625A02AF"/>
    <w:rsid w:val="625D09DE"/>
    <w:rsid w:val="62892E07"/>
    <w:rsid w:val="62894211"/>
    <w:rsid w:val="628F156F"/>
    <w:rsid w:val="6291178B"/>
    <w:rsid w:val="62A212A2"/>
    <w:rsid w:val="62AC0373"/>
    <w:rsid w:val="62B47227"/>
    <w:rsid w:val="62BB2364"/>
    <w:rsid w:val="62BE4EA7"/>
    <w:rsid w:val="62C204A2"/>
    <w:rsid w:val="62D022B3"/>
    <w:rsid w:val="62D358FF"/>
    <w:rsid w:val="62D41677"/>
    <w:rsid w:val="62D476F6"/>
    <w:rsid w:val="62DD677E"/>
    <w:rsid w:val="62E33669"/>
    <w:rsid w:val="62E73159"/>
    <w:rsid w:val="62FC09CC"/>
    <w:rsid w:val="630663F6"/>
    <w:rsid w:val="630D63C6"/>
    <w:rsid w:val="63180259"/>
    <w:rsid w:val="632E0D88"/>
    <w:rsid w:val="633F2F95"/>
    <w:rsid w:val="637636F5"/>
    <w:rsid w:val="637D3ABD"/>
    <w:rsid w:val="63807109"/>
    <w:rsid w:val="63871D3B"/>
    <w:rsid w:val="639A466F"/>
    <w:rsid w:val="639D4F81"/>
    <w:rsid w:val="639D5F0D"/>
    <w:rsid w:val="63A1064A"/>
    <w:rsid w:val="63A908B6"/>
    <w:rsid w:val="63B82D47"/>
    <w:rsid w:val="63B864AB"/>
    <w:rsid w:val="63BC564E"/>
    <w:rsid w:val="63C32B18"/>
    <w:rsid w:val="63D336DD"/>
    <w:rsid w:val="63D731CD"/>
    <w:rsid w:val="63E47698"/>
    <w:rsid w:val="63EC5BAB"/>
    <w:rsid w:val="63F907C6"/>
    <w:rsid w:val="640B68C9"/>
    <w:rsid w:val="642503DD"/>
    <w:rsid w:val="64340532"/>
    <w:rsid w:val="64395C36"/>
    <w:rsid w:val="64410F8F"/>
    <w:rsid w:val="64504D2E"/>
    <w:rsid w:val="64552344"/>
    <w:rsid w:val="64630F05"/>
    <w:rsid w:val="64634A61"/>
    <w:rsid w:val="646507D9"/>
    <w:rsid w:val="64713622"/>
    <w:rsid w:val="6472739A"/>
    <w:rsid w:val="64760C38"/>
    <w:rsid w:val="648844C8"/>
    <w:rsid w:val="648A46E4"/>
    <w:rsid w:val="648B3FB8"/>
    <w:rsid w:val="648F6CB2"/>
    <w:rsid w:val="649C7F73"/>
    <w:rsid w:val="649E018F"/>
    <w:rsid w:val="64B654D9"/>
    <w:rsid w:val="64B74DAD"/>
    <w:rsid w:val="64B928D3"/>
    <w:rsid w:val="64DC3C48"/>
    <w:rsid w:val="64F80A4B"/>
    <w:rsid w:val="65081117"/>
    <w:rsid w:val="650A312E"/>
    <w:rsid w:val="65113196"/>
    <w:rsid w:val="65165F77"/>
    <w:rsid w:val="651B533C"/>
    <w:rsid w:val="651D5558"/>
    <w:rsid w:val="653C7DE7"/>
    <w:rsid w:val="6544290D"/>
    <w:rsid w:val="655226E8"/>
    <w:rsid w:val="65670581"/>
    <w:rsid w:val="65705687"/>
    <w:rsid w:val="65745E36"/>
    <w:rsid w:val="65755D6F"/>
    <w:rsid w:val="657809E0"/>
    <w:rsid w:val="658C3983"/>
    <w:rsid w:val="659155FE"/>
    <w:rsid w:val="659333F2"/>
    <w:rsid w:val="65A341BF"/>
    <w:rsid w:val="65A6554D"/>
    <w:rsid w:val="65B03CD6"/>
    <w:rsid w:val="65B05698"/>
    <w:rsid w:val="65B2072A"/>
    <w:rsid w:val="65B37C6A"/>
    <w:rsid w:val="65C77271"/>
    <w:rsid w:val="65D559DD"/>
    <w:rsid w:val="65D8322D"/>
    <w:rsid w:val="65E17B5A"/>
    <w:rsid w:val="65FC5AF0"/>
    <w:rsid w:val="660A1739"/>
    <w:rsid w:val="661108C1"/>
    <w:rsid w:val="66157FDD"/>
    <w:rsid w:val="661C1C7B"/>
    <w:rsid w:val="662621EA"/>
    <w:rsid w:val="66285F62"/>
    <w:rsid w:val="662B27CE"/>
    <w:rsid w:val="662D17CA"/>
    <w:rsid w:val="662D7608"/>
    <w:rsid w:val="664D59C9"/>
    <w:rsid w:val="6660394E"/>
    <w:rsid w:val="666F3B91"/>
    <w:rsid w:val="668C4743"/>
    <w:rsid w:val="669E7FD2"/>
    <w:rsid w:val="66A17AC3"/>
    <w:rsid w:val="66A31A8D"/>
    <w:rsid w:val="66A827DC"/>
    <w:rsid w:val="66AA2E1B"/>
    <w:rsid w:val="66AF32CB"/>
    <w:rsid w:val="66AF6362"/>
    <w:rsid w:val="66D32372"/>
    <w:rsid w:val="66D9725C"/>
    <w:rsid w:val="670C14BC"/>
    <w:rsid w:val="671E5E61"/>
    <w:rsid w:val="67220C03"/>
    <w:rsid w:val="672901E4"/>
    <w:rsid w:val="672E75A8"/>
    <w:rsid w:val="673152EA"/>
    <w:rsid w:val="6732696D"/>
    <w:rsid w:val="673D77EB"/>
    <w:rsid w:val="673F17B5"/>
    <w:rsid w:val="67437A3D"/>
    <w:rsid w:val="674548F2"/>
    <w:rsid w:val="674E19F8"/>
    <w:rsid w:val="675B5EC3"/>
    <w:rsid w:val="676314F1"/>
    <w:rsid w:val="676B40F0"/>
    <w:rsid w:val="67742476"/>
    <w:rsid w:val="6784366C"/>
    <w:rsid w:val="678A1093"/>
    <w:rsid w:val="67B70DFE"/>
    <w:rsid w:val="67D30150"/>
    <w:rsid w:val="67D53EC8"/>
    <w:rsid w:val="67EC1211"/>
    <w:rsid w:val="67ED0AFA"/>
    <w:rsid w:val="67F105D6"/>
    <w:rsid w:val="67F325A0"/>
    <w:rsid w:val="67FC1454"/>
    <w:rsid w:val="680B78E9"/>
    <w:rsid w:val="681662CF"/>
    <w:rsid w:val="68182006"/>
    <w:rsid w:val="681E06EC"/>
    <w:rsid w:val="682C160E"/>
    <w:rsid w:val="6834699D"/>
    <w:rsid w:val="683F2481"/>
    <w:rsid w:val="6841155D"/>
    <w:rsid w:val="684150B9"/>
    <w:rsid w:val="68420E31"/>
    <w:rsid w:val="68546615"/>
    <w:rsid w:val="685F19E3"/>
    <w:rsid w:val="6873723D"/>
    <w:rsid w:val="68863414"/>
    <w:rsid w:val="68967484"/>
    <w:rsid w:val="68AA0EB0"/>
    <w:rsid w:val="68B00491"/>
    <w:rsid w:val="68BC3EF8"/>
    <w:rsid w:val="68CF0917"/>
    <w:rsid w:val="68D777CC"/>
    <w:rsid w:val="68DB5223"/>
    <w:rsid w:val="68E0445E"/>
    <w:rsid w:val="68E36170"/>
    <w:rsid w:val="68E51EE8"/>
    <w:rsid w:val="68F55EA4"/>
    <w:rsid w:val="69004F74"/>
    <w:rsid w:val="690600B1"/>
    <w:rsid w:val="690D7691"/>
    <w:rsid w:val="6922167D"/>
    <w:rsid w:val="6922313D"/>
    <w:rsid w:val="692350BF"/>
    <w:rsid w:val="69272501"/>
    <w:rsid w:val="692D4CEA"/>
    <w:rsid w:val="6937562E"/>
    <w:rsid w:val="693E3CEF"/>
    <w:rsid w:val="693F5EA4"/>
    <w:rsid w:val="69500C19"/>
    <w:rsid w:val="695157D0"/>
    <w:rsid w:val="695D23C7"/>
    <w:rsid w:val="6962178B"/>
    <w:rsid w:val="69634AB3"/>
    <w:rsid w:val="69674FF3"/>
    <w:rsid w:val="69676DA1"/>
    <w:rsid w:val="696E6CF7"/>
    <w:rsid w:val="6984688D"/>
    <w:rsid w:val="699C4207"/>
    <w:rsid w:val="699E02E9"/>
    <w:rsid w:val="699F29DF"/>
    <w:rsid w:val="69C20C02"/>
    <w:rsid w:val="69C75A92"/>
    <w:rsid w:val="69CF3481"/>
    <w:rsid w:val="69DE32D4"/>
    <w:rsid w:val="69E93C5A"/>
    <w:rsid w:val="69F820EF"/>
    <w:rsid w:val="69FF31EF"/>
    <w:rsid w:val="6A0665BA"/>
    <w:rsid w:val="6A0E1913"/>
    <w:rsid w:val="6A1B0D99"/>
    <w:rsid w:val="6A1C3809"/>
    <w:rsid w:val="6A201D13"/>
    <w:rsid w:val="6A222CC8"/>
    <w:rsid w:val="6A372C18"/>
    <w:rsid w:val="6A3A2708"/>
    <w:rsid w:val="6A3B3D8A"/>
    <w:rsid w:val="6A3D3FA6"/>
    <w:rsid w:val="6A3F7D1E"/>
    <w:rsid w:val="6A403ED9"/>
    <w:rsid w:val="6A531ADF"/>
    <w:rsid w:val="6A5C0D00"/>
    <w:rsid w:val="6A641533"/>
    <w:rsid w:val="6A6766E4"/>
    <w:rsid w:val="6A6B28C1"/>
    <w:rsid w:val="6A7A2B04"/>
    <w:rsid w:val="6A835E5D"/>
    <w:rsid w:val="6A837C0B"/>
    <w:rsid w:val="6A9D7623"/>
    <w:rsid w:val="6AA10091"/>
    <w:rsid w:val="6AA162E3"/>
    <w:rsid w:val="6AA302AD"/>
    <w:rsid w:val="6AA61B4B"/>
    <w:rsid w:val="6AB8592C"/>
    <w:rsid w:val="6ABC136F"/>
    <w:rsid w:val="6AD761A9"/>
    <w:rsid w:val="6AD94673"/>
    <w:rsid w:val="6AE40EF1"/>
    <w:rsid w:val="6AFE54E3"/>
    <w:rsid w:val="6B036F9E"/>
    <w:rsid w:val="6B0625EA"/>
    <w:rsid w:val="6B074014"/>
    <w:rsid w:val="6B092BFE"/>
    <w:rsid w:val="6B0D3978"/>
    <w:rsid w:val="6B0F5943"/>
    <w:rsid w:val="6B160A7F"/>
    <w:rsid w:val="6B217424"/>
    <w:rsid w:val="6B293346"/>
    <w:rsid w:val="6B2C2051"/>
    <w:rsid w:val="6B4A697B"/>
    <w:rsid w:val="6B533D5A"/>
    <w:rsid w:val="6B546E00"/>
    <w:rsid w:val="6B5D7A41"/>
    <w:rsid w:val="6B6C68F1"/>
    <w:rsid w:val="6B96571C"/>
    <w:rsid w:val="6BA442DD"/>
    <w:rsid w:val="6BA73DCD"/>
    <w:rsid w:val="6BA8544F"/>
    <w:rsid w:val="6BAA566B"/>
    <w:rsid w:val="6BB42046"/>
    <w:rsid w:val="6BC424DC"/>
    <w:rsid w:val="6BD5641E"/>
    <w:rsid w:val="6BE04BE9"/>
    <w:rsid w:val="6BE23524"/>
    <w:rsid w:val="6BE37E48"/>
    <w:rsid w:val="6BF95CAB"/>
    <w:rsid w:val="6C00528B"/>
    <w:rsid w:val="6C0E1756"/>
    <w:rsid w:val="6C1D1C28"/>
    <w:rsid w:val="6C284CD4"/>
    <w:rsid w:val="6C3311BD"/>
    <w:rsid w:val="6C3F5DB4"/>
    <w:rsid w:val="6C53185F"/>
    <w:rsid w:val="6C66231C"/>
    <w:rsid w:val="6C7812C6"/>
    <w:rsid w:val="6C835763"/>
    <w:rsid w:val="6C841A18"/>
    <w:rsid w:val="6CAF118B"/>
    <w:rsid w:val="6CB00A5F"/>
    <w:rsid w:val="6CB2105A"/>
    <w:rsid w:val="6CDF1345"/>
    <w:rsid w:val="6CE85CBF"/>
    <w:rsid w:val="6CF21078"/>
    <w:rsid w:val="6CF7043C"/>
    <w:rsid w:val="6D1F5E22"/>
    <w:rsid w:val="6D2D3E5E"/>
    <w:rsid w:val="6D323B6A"/>
    <w:rsid w:val="6D325918"/>
    <w:rsid w:val="6D390A55"/>
    <w:rsid w:val="6D3C22F3"/>
    <w:rsid w:val="6D3E42BD"/>
    <w:rsid w:val="6D463172"/>
    <w:rsid w:val="6D605FE2"/>
    <w:rsid w:val="6D655CEE"/>
    <w:rsid w:val="6D7918CC"/>
    <w:rsid w:val="6D793547"/>
    <w:rsid w:val="6D7F57D3"/>
    <w:rsid w:val="6D8C327A"/>
    <w:rsid w:val="6D8E655C"/>
    <w:rsid w:val="6D8F2D6B"/>
    <w:rsid w:val="6D8F4B19"/>
    <w:rsid w:val="6D9852BB"/>
    <w:rsid w:val="6D995997"/>
    <w:rsid w:val="6DA9794A"/>
    <w:rsid w:val="6DAF6F69"/>
    <w:rsid w:val="6DB30807"/>
    <w:rsid w:val="6DB77F46"/>
    <w:rsid w:val="6DBE25DF"/>
    <w:rsid w:val="6DC718F1"/>
    <w:rsid w:val="6DCF4F15"/>
    <w:rsid w:val="6DD32C57"/>
    <w:rsid w:val="6DE5298B"/>
    <w:rsid w:val="6DF06593"/>
    <w:rsid w:val="6E063FA6"/>
    <w:rsid w:val="6E2039C3"/>
    <w:rsid w:val="6E222B10"/>
    <w:rsid w:val="6E272FA3"/>
    <w:rsid w:val="6E2B2A93"/>
    <w:rsid w:val="6E3260E0"/>
    <w:rsid w:val="6E361D10"/>
    <w:rsid w:val="6E3F02ED"/>
    <w:rsid w:val="6E4F0700"/>
    <w:rsid w:val="6E533D98"/>
    <w:rsid w:val="6E535B46"/>
    <w:rsid w:val="6E697118"/>
    <w:rsid w:val="6E6C09B6"/>
    <w:rsid w:val="6E7066F8"/>
    <w:rsid w:val="6E7A30D3"/>
    <w:rsid w:val="6E82642B"/>
    <w:rsid w:val="6E8E6B7E"/>
    <w:rsid w:val="6E9028F6"/>
    <w:rsid w:val="6E985C4F"/>
    <w:rsid w:val="6EA10B98"/>
    <w:rsid w:val="6EC16AE4"/>
    <w:rsid w:val="6EE65108"/>
    <w:rsid w:val="6EEB5D7F"/>
    <w:rsid w:val="6EF47329"/>
    <w:rsid w:val="6F03756C"/>
    <w:rsid w:val="6F0A523B"/>
    <w:rsid w:val="6F1C23DC"/>
    <w:rsid w:val="6F1E0E23"/>
    <w:rsid w:val="6F2319BD"/>
    <w:rsid w:val="6F27744D"/>
    <w:rsid w:val="6F2F6E1D"/>
    <w:rsid w:val="6F4162E7"/>
    <w:rsid w:val="6F422360"/>
    <w:rsid w:val="6F5079E2"/>
    <w:rsid w:val="6F533DC0"/>
    <w:rsid w:val="6F587E99"/>
    <w:rsid w:val="6F5E2C53"/>
    <w:rsid w:val="6F651FD5"/>
    <w:rsid w:val="6F6A46D4"/>
    <w:rsid w:val="6F6D70DC"/>
    <w:rsid w:val="6F977CB5"/>
    <w:rsid w:val="6F9E54E7"/>
    <w:rsid w:val="6FA127D3"/>
    <w:rsid w:val="6FA75E74"/>
    <w:rsid w:val="6FB13768"/>
    <w:rsid w:val="6FB24AEE"/>
    <w:rsid w:val="6FB645DF"/>
    <w:rsid w:val="6FBB39A3"/>
    <w:rsid w:val="6FCE7B7A"/>
    <w:rsid w:val="6FD56AEC"/>
    <w:rsid w:val="6FD66A2F"/>
    <w:rsid w:val="6FE264A0"/>
    <w:rsid w:val="6FF0654E"/>
    <w:rsid w:val="6FF5479D"/>
    <w:rsid w:val="70030FCD"/>
    <w:rsid w:val="70167FBF"/>
    <w:rsid w:val="7019691C"/>
    <w:rsid w:val="701B07F5"/>
    <w:rsid w:val="7020414E"/>
    <w:rsid w:val="702C48A1"/>
    <w:rsid w:val="703210FB"/>
    <w:rsid w:val="703B6CD7"/>
    <w:rsid w:val="70455963"/>
    <w:rsid w:val="704736EF"/>
    <w:rsid w:val="70763D6E"/>
    <w:rsid w:val="70795447"/>
    <w:rsid w:val="70862203"/>
    <w:rsid w:val="708C17E3"/>
    <w:rsid w:val="70904E30"/>
    <w:rsid w:val="7091206C"/>
    <w:rsid w:val="70A1528F"/>
    <w:rsid w:val="70A42689"/>
    <w:rsid w:val="70A95EF1"/>
    <w:rsid w:val="70B802C1"/>
    <w:rsid w:val="70BC3E77"/>
    <w:rsid w:val="70BD374B"/>
    <w:rsid w:val="70C132B4"/>
    <w:rsid w:val="70CB40BA"/>
    <w:rsid w:val="70DC1E23"/>
    <w:rsid w:val="70DF1913"/>
    <w:rsid w:val="70E319B5"/>
    <w:rsid w:val="70EB5E97"/>
    <w:rsid w:val="70EE1B56"/>
    <w:rsid w:val="70F25AEA"/>
    <w:rsid w:val="71031AA6"/>
    <w:rsid w:val="7104581E"/>
    <w:rsid w:val="71066EA0"/>
    <w:rsid w:val="71163687"/>
    <w:rsid w:val="71467832"/>
    <w:rsid w:val="7148086A"/>
    <w:rsid w:val="714E0847"/>
    <w:rsid w:val="714F4911"/>
    <w:rsid w:val="71500A63"/>
    <w:rsid w:val="7164006A"/>
    <w:rsid w:val="71641ECA"/>
    <w:rsid w:val="71704C61"/>
    <w:rsid w:val="717F5A62"/>
    <w:rsid w:val="718801FD"/>
    <w:rsid w:val="718E4F43"/>
    <w:rsid w:val="71900E5F"/>
    <w:rsid w:val="71946BA2"/>
    <w:rsid w:val="71A5106C"/>
    <w:rsid w:val="71BE777B"/>
    <w:rsid w:val="71C034F3"/>
    <w:rsid w:val="71C254BD"/>
    <w:rsid w:val="71CA4371"/>
    <w:rsid w:val="71E03B95"/>
    <w:rsid w:val="71F03F54"/>
    <w:rsid w:val="71F11605"/>
    <w:rsid w:val="720B74BE"/>
    <w:rsid w:val="721F5091"/>
    <w:rsid w:val="72253C9E"/>
    <w:rsid w:val="722E4789"/>
    <w:rsid w:val="7235622E"/>
    <w:rsid w:val="723932A5"/>
    <w:rsid w:val="72435ED2"/>
    <w:rsid w:val="724C7C71"/>
    <w:rsid w:val="724D7270"/>
    <w:rsid w:val="72516841"/>
    <w:rsid w:val="7252731D"/>
    <w:rsid w:val="72542C05"/>
    <w:rsid w:val="725B1FB2"/>
    <w:rsid w:val="725B2386"/>
    <w:rsid w:val="728A577A"/>
    <w:rsid w:val="728B1D53"/>
    <w:rsid w:val="72952BD1"/>
    <w:rsid w:val="72B666A4"/>
    <w:rsid w:val="72BE649F"/>
    <w:rsid w:val="72BF7C4E"/>
    <w:rsid w:val="72C61256"/>
    <w:rsid w:val="72CE7E91"/>
    <w:rsid w:val="72D8486C"/>
    <w:rsid w:val="72DA4A88"/>
    <w:rsid w:val="72DF6B7C"/>
    <w:rsid w:val="72ED2B30"/>
    <w:rsid w:val="72F07E08"/>
    <w:rsid w:val="72FD155C"/>
    <w:rsid w:val="730679BB"/>
    <w:rsid w:val="731C29AB"/>
    <w:rsid w:val="731F249B"/>
    <w:rsid w:val="732F23C3"/>
    <w:rsid w:val="7346551F"/>
    <w:rsid w:val="735C724B"/>
    <w:rsid w:val="735E7467"/>
    <w:rsid w:val="737126BD"/>
    <w:rsid w:val="7372081D"/>
    <w:rsid w:val="7373618B"/>
    <w:rsid w:val="7375030D"/>
    <w:rsid w:val="737C1903"/>
    <w:rsid w:val="73841655"/>
    <w:rsid w:val="73880E07"/>
    <w:rsid w:val="738B7B30"/>
    <w:rsid w:val="738F6DB9"/>
    <w:rsid w:val="73903399"/>
    <w:rsid w:val="739A5FC5"/>
    <w:rsid w:val="73A429A0"/>
    <w:rsid w:val="73A624F6"/>
    <w:rsid w:val="73AB1F81"/>
    <w:rsid w:val="73BF33DA"/>
    <w:rsid w:val="73BF77DA"/>
    <w:rsid w:val="73CA68AB"/>
    <w:rsid w:val="73DD4830"/>
    <w:rsid w:val="73DE5EB2"/>
    <w:rsid w:val="73EB05CF"/>
    <w:rsid w:val="740B71DF"/>
    <w:rsid w:val="741B0EB4"/>
    <w:rsid w:val="7420296E"/>
    <w:rsid w:val="74275AAB"/>
    <w:rsid w:val="74310324"/>
    <w:rsid w:val="7434641A"/>
    <w:rsid w:val="744321B9"/>
    <w:rsid w:val="744A2CB4"/>
    <w:rsid w:val="744B6DE7"/>
    <w:rsid w:val="7459523B"/>
    <w:rsid w:val="746C7962"/>
    <w:rsid w:val="746E5488"/>
    <w:rsid w:val="74746816"/>
    <w:rsid w:val="7476433D"/>
    <w:rsid w:val="747B5DF7"/>
    <w:rsid w:val="747E54A6"/>
    <w:rsid w:val="748218F8"/>
    <w:rsid w:val="74862638"/>
    <w:rsid w:val="748922C2"/>
    <w:rsid w:val="74A54C22"/>
    <w:rsid w:val="74A60C5C"/>
    <w:rsid w:val="74B02D5E"/>
    <w:rsid w:val="74B974C6"/>
    <w:rsid w:val="74C95253"/>
    <w:rsid w:val="74CE7B18"/>
    <w:rsid w:val="74D15A17"/>
    <w:rsid w:val="74D472B5"/>
    <w:rsid w:val="74D55507"/>
    <w:rsid w:val="74E9656F"/>
    <w:rsid w:val="74EC45FF"/>
    <w:rsid w:val="74F57957"/>
    <w:rsid w:val="74F811F5"/>
    <w:rsid w:val="74FA6600"/>
    <w:rsid w:val="75016C0B"/>
    <w:rsid w:val="75044386"/>
    <w:rsid w:val="75071439"/>
    <w:rsid w:val="75163159"/>
    <w:rsid w:val="7517700E"/>
    <w:rsid w:val="751A1798"/>
    <w:rsid w:val="75271ADB"/>
    <w:rsid w:val="75371D1E"/>
    <w:rsid w:val="753B165A"/>
    <w:rsid w:val="75480117"/>
    <w:rsid w:val="755F7EF4"/>
    <w:rsid w:val="75614FED"/>
    <w:rsid w:val="75683D18"/>
    <w:rsid w:val="756C5396"/>
    <w:rsid w:val="756D3991"/>
    <w:rsid w:val="756D573F"/>
    <w:rsid w:val="75703482"/>
    <w:rsid w:val="75824101"/>
    <w:rsid w:val="75866801"/>
    <w:rsid w:val="75956A44"/>
    <w:rsid w:val="75A40753"/>
    <w:rsid w:val="75A86778"/>
    <w:rsid w:val="75D5432A"/>
    <w:rsid w:val="75E023B5"/>
    <w:rsid w:val="75E63744"/>
    <w:rsid w:val="75EF3088"/>
    <w:rsid w:val="75F0011F"/>
    <w:rsid w:val="75F86A3A"/>
    <w:rsid w:val="76104C5D"/>
    <w:rsid w:val="76197675"/>
    <w:rsid w:val="762D1373"/>
    <w:rsid w:val="76361FD5"/>
    <w:rsid w:val="76391AC6"/>
    <w:rsid w:val="76424E1E"/>
    <w:rsid w:val="7645046A"/>
    <w:rsid w:val="76470FFA"/>
    <w:rsid w:val="76530DD9"/>
    <w:rsid w:val="76544B51"/>
    <w:rsid w:val="76612DCA"/>
    <w:rsid w:val="7662180E"/>
    <w:rsid w:val="767040BF"/>
    <w:rsid w:val="7683414A"/>
    <w:rsid w:val="769B008A"/>
    <w:rsid w:val="76AF3B36"/>
    <w:rsid w:val="76B4739E"/>
    <w:rsid w:val="76C75323"/>
    <w:rsid w:val="76CF6212"/>
    <w:rsid w:val="76D812DE"/>
    <w:rsid w:val="76E41A31"/>
    <w:rsid w:val="76EC2FDC"/>
    <w:rsid w:val="76EC6B38"/>
    <w:rsid w:val="770B16B4"/>
    <w:rsid w:val="77152EE5"/>
    <w:rsid w:val="77291B3A"/>
    <w:rsid w:val="772B58B2"/>
    <w:rsid w:val="775C0B8E"/>
    <w:rsid w:val="7763329E"/>
    <w:rsid w:val="77690189"/>
    <w:rsid w:val="778B6351"/>
    <w:rsid w:val="778C3E77"/>
    <w:rsid w:val="77974CF6"/>
    <w:rsid w:val="779D6084"/>
    <w:rsid w:val="779D7E32"/>
    <w:rsid w:val="77B21B30"/>
    <w:rsid w:val="77B533CE"/>
    <w:rsid w:val="77C16217"/>
    <w:rsid w:val="77C33D3D"/>
    <w:rsid w:val="77C81353"/>
    <w:rsid w:val="77E12415"/>
    <w:rsid w:val="77E720B2"/>
    <w:rsid w:val="77FC6F6B"/>
    <w:rsid w:val="78014865"/>
    <w:rsid w:val="78106856"/>
    <w:rsid w:val="78163B2D"/>
    <w:rsid w:val="781D57D3"/>
    <w:rsid w:val="781E7D5E"/>
    <w:rsid w:val="78283BA0"/>
    <w:rsid w:val="782A3DBC"/>
    <w:rsid w:val="782B3690"/>
    <w:rsid w:val="7847671C"/>
    <w:rsid w:val="78570929"/>
    <w:rsid w:val="78680440"/>
    <w:rsid w:val="786A41B8"/>
    <w:rsid w:val="787E5EB6"/>
    <w:rsid w:val="789B4399"/>
    <w:rsid w:val="78A85E34"/>
    <w:rsid w:val="78C00A75"/>
    <w:rsid w:val="78C230D4"/>
    <w:rsid w:val="78C758FF"/>
    <w:rsid w:val="78CC7ABD"/>
    <w:rsid w:val="78E51400"/>
    <w:rsid w:val="78FF0AC7"/>
    <w:rsid w:val="7919798C"/>
    <w:rsid w:val="791F1447"/>
    <w:rsid w:val="79224A93"/>
    <w:rsid w:val="79306EEF"/>
    <w:rsid w:val="794964C4"/>
    <w:rsid w:val="794A183F"/>
    <w:rsid w:val="795C61F7"/>
    <w:rsid w:val="795D0B6D"/>
    <w:rsid w:val="79815539"/>
    <w:rsid w:val="798412AA"/>
    <w:rsid w:val="798870BE"/>
    <w:rsid w:val="798F7942"/>
    <w:rsid w:val="799B65F3"/>
    <w:rsid w:val="799C2A97"/>
    <w:rsid w:val="79A74F98"/>
    <w:rsid w:val="79B25D48"/>
    <w:rsid w:val="79B778D1"/>
    <w:rsid w:val="79B87C08"/>
    <w:rsid w:val="79B95592"/>
    <w:rsid w:val="79BC6C95"/>
    <w:rsid w:val="79BD47BC"/>
    <w:rsid w:val="79C1605A"/>
    <w:rsid w:val="79C36487"/>
    <w:rsid w:val="79C922CD"/>
    <w:rsid w:val="79FA5A10"/>
    <w:rsid w:val="7A1C1515"/>
    <w:rsid w:val="7A260224"/>
    <w:rsid w:val="7A291E51"/>
    <w:rsid w:val="7A2E1215"/>
    <w:rsid w:val="7A392094"/>
    <w:rsid w:val="7A480529"/>
    <w:rsid w:val="7A631C90"/>
    <w:rsid w:val="7A676AD2"/>
    <w:rsid w:val="7A6F5AB6"/>
    <w:rsid w:val="7A715CD2"/>
    <w:rsid w:val="7A765096"/>
    <w:rsid w:val="7A772BBC"/>
    <w:rsid w:val="7A8323E5"/>
    <w:rsid w:val="7A8F6158"/>
    <w:rsid w:val="7A9674E6"/>
    <w:rsid w:val="7AAC4F5C"/>
    <w:rsid w:val="7AB12572"/>
    <w:rsid w:val="7ABE2599"/>
    <w:rsid w:val="7AC11AFE"/>
    <w:rsid w:val="7AC34570"/>
    <w:rsid w:val="7AC35E02"/>
    <w:rsid w:val="7ACA53E2"/>
    <w:rsid w:val="7AD9593B"/>
    <w:rsid w:val="7ADE15F5"/>
    <w:rsid w:val="7AE528BD"/>
    <w:rsid w:val="7B095F0A"/>
    <w:rsid w:val="7B1F22A5"/>
    <w:rsid w:val="7B2B0707"/>
    <w:rsid w:val="7B310FBD"/>
    <w:rsid w:val="7B312553"/>
    <w:rsid w:val="7B3206AC"/>
    <w:rsid w:val="7B354F51"/>
    <w:rsid w:val="7B366F41"/>
    <w:rsid w:val="7B4512D9"/>
    <w:rsid w:val="7B5B0730"/>
    <w:rsid w:val="7B5D6256"/>
    <w:rsid w:val="7B5F7657"/>
    <w:rsid w:val="7B66335D"/>
    <w:rsid w:val="7B7D4202"/>
    <w:rsid w:val="7B987C76"/>
    <w:rsid w:val="7BAB6FC2"/>
    <w:rsid w:val="7BB51BEE"/>
    <w:rsid w:val="7BB5399C"/>
    <w:rsid w:val="7BCF4C49"/>
    <w:rsid w:val="7BDD2EF3"/>
    <w:rsid w:val="7BE1477E"/>
    <w:rsid w:val="7BE44282"/>
    <w:rsid w:val="7BEA0B95"/>
    <w:rsid w:val="7BF00E78"/>
    <w:rsid w:val="7BF0290E"/>
    <w:rsid w:val="7BF2699E"/>
    <w:rsid w:val="7BFA1CF7"/>
    <w:rsid w:val="7BFC781D"/>
    <w:rsid w:val="7C116148"/>
    <w:rsid w:val="7C125D37"/>
    <w:rsid w:val="7C176405"/>
    <w:rsid w:val="7C1E3C37"/>
    <w:rsid w:val="7C442F72"/>
    <w:rsid w:val="7C4C610C"/>
    <w:rsid w:val="7C5D7990"/>
    <w:rsid w:val="7C6364E6"/>
    <w:rsid w:val="7C8F0691"/>
    <w:rsid w:val="7C9B5288"/>
    <w:rsid w:val="7CA51FCB"/>
    <w:rsid w:val="7CA665FA"/>
    <w:rsid w:val="7CA81753"/>
    <w:rsid w:val="7CB974BC"/>
    <w:rsid w:val="7CC06A9D"/>
    <w:rsid w:val="7CD36C81"/>
    <w:rsid w:val="7CD73DE6"/>
    <w:rsid w:val="7CE65DD7"/>
    <w:rsid w:val="7CF57E0E"/>
    <w:rsid w:val="7CF60710"/>
    <w:rsid w:val="7CFB7AD5"/>
    <w:rsid w:val="7CFD1A9F"/>
    <w:rsid w:val="7D0E5A5A"/>
    <w:rsid w:val="7D1E1F4E"/>
    <w:rsid w:val="7D23702C"/>
    <w:rsid w:val="7D276244"/>
    <w:rsid w:val="7D536175"/>
    <w:rsid w:val="7D537911"/>
    <w:rsid w:val="7D697134"/>
    <w:rsid w:val="7D6A6A08"/>
    <w:rsid w:val="7D871368"/>
    <w:rsid w:val="7D9278DA"/>
    <w:rsid w:val="7D9341B1"/>
    <w:rsid w:val="7D9B26AB"/>
    <w:rsid w:val="7DB67EA0"/>
    <w:rsid w:val="7DB73A5A"/>
    <w:rsid w:val="7DBB1012"/>
    <w:rsid w:val="7DBF71D6"/>
    <w:rsid w:val="7DD6409E"/>
    <w:rsid w:val="7DD86068"/>
    <w:rsid w:val="7DE40569"/>
    <w:rsid w:val="7DFD162B"/>
    <w:rsid w:val="7DFF53A3"/>
    <w:rsid w:val="7E0429B9"/>
    <w:rsid w:val="7E0B01EB"/>
    <w:rsid w:val="7E1207C4"/>
    <w:rsid w:val="7E216DFF"/>
    <w:rsid w:val="7E2B43EA"/>
    <w:rsid w:val="7E337682"/>
    <w:rsid w:val="7E370FE0"/>
    <w:rsid w:val="7E3810BF"/>
    <w:rsid w:val="7E3F7E95"/>
    <w:rsid w:val="7E5F5E41"/>
    <w:rsid w:val="7E6654E6"/>
    <w:rsid w:val="7E97382D"/>
    <w:rsid w:val="7E98735F"/>
    <w:rsid w:val="7E9975A5"/>
    <w:rsid w:val="7EB536D1"/>
    <w:rsid w:val="7EB865F7"/>
    <w:rsid w:val="7EBA751C"/>
    <w:rsid w:val="7EBB576E"/>
    <w:rsid w:val="7EBE0DBA"/>
    <w:rsid w:val="7ECA3C03"/>
    <w:rsid w:val="7ED14F91"/>
    <w:rsid w:val="7ED72141"/>
    <w:rsid w:val="7EE051D4"/>
    <w:rsid w:val="7EF05DF7"/>
    <w:rsid w:val="7EF700DD"/>
    <w:rsid w:val="7EF737B0"/>
    <w:rsid w:val="7EF742CC"/>
    <w:rsid w:val="7F007624"/>
    <w:rsid w:val="7F016C0F"/>
    <w:rsid w:val="7F016EF9"/>
    <w:rsid w:val="7F063DDD"/>
    <w:rsid w:val="7F08472B"/>
    <w:rsid w:val="7F17671C"/>
    <w:rsid w:val="7F2826D7"/>
    <w:rsid w:val="7F2E1006"/>
    <w:rsid w:val="7F3217A8"/>
    <w:rsid w:val="7F392B36"/>
    <w:rsid w:val="7F3948E4"/>
    <w:rsid w:val="7F4E6660"/>
    <w:rsid w:val="7F4F2AE3"/>
    <w:rsid w:val="7F6E0A32"/>
    <w:rsid w:val="7F78494A"/>
    <w:rsid w:val="7F866A55"/>
    <w:rsid w:val="7F8D0BC5"/>
    <w:rsid w:val="7F9628DE"/>
    <w:rsid w:val="7F9D0021"/>
    <w:rsid w:val="7FA36202"/>
    <w:rsid w:val="7FB126CD"/>
    <w:rsid w:val="7FB14DC3"/>
    <w:rsid w:val="7FB921BD"/>
    <w:rsid w:val="7FC503B1"/>
    <w:rsid w:val="7FC71EF0"/>
    <w:rsid w:val="7FE01204"/>
    <w:rsid w:val="7FE6204D"/>
    <w:rsid w:val="7FE9455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4"/>
    <w:qFormat/>
    <w:uiPriority w:val="9"/>
    <w:pPr>
      <w:spacing w:line="360" w:lineRule="auto"/>
      <w:jc w:val="center"/>
      <w:outlineLvl w:val="0"/>
    </w:pPr>
    <w:rPr>
      <w:rFonts w:eastAsia="隶书"/>
      <w:b/>
      <w:sz w:val="36"/>
      <w:szCs w:val="36"/>
    </w:rPr>
  </w:style>
  <w:style w:type="paragraph" w:styleId="3">
    <w:name w:val="heading 2"/>
    <w:basedOn w:val="1"/>
    <w:next w:val="1"/>
    <w:link w:val="45"/>
    <w:qFormat/>
    <w:uiPriority w:val="9"/>
    <w:pPr>
      <w:keepNext/>
      <w:keepLines/>
      <w:outlineLvl w:val="1"/>
    </w:pPr>
    <w:rPr>
      <w:rFonts w:ascii="Arial" w:hAnsi="Arial" w:eastAsia="黑体" w:cs="Arial"/>
      <w:b/>
      <w:sz w:val="32"/>
      <w:szCs w:val="32"/>
    </w:rPr>
  </w:style>
  <w:style w:type="paragraph" w:styleId="4">
    <w:name w:val="heading 3"/>
    <w:basedOn w:val="1"/>
    <w:next w:val="5"/>
    <w:link w:val="53"/>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Body Text First Indent"/>
    <w:basedOn w:val="6"/>
    <w:next w:val="1"/>
    <w:link w:val="47"/>
    <w:unhideWhenUsed/>
    <w:qFormat/>
    <w:uiPriority w:val="0"/>
    <w:pPr>
      <w:ind w:firstLine="420" w:firstLineChars="100"/>
    </w:pPr>
  </w:style>
  <w:style w:type="paragraph" w:styleId="6">
    <w:name w:val="Body Text"/>
    <w:basedOn w:val="1"/>
    <w:next w:val="5"/>
    <w:link w:val="46"/>
    <w:unhideWhenUsed/>
    <w:qFormat/>
    <w:uiPriority w:val="0"/>
    <w:pPr>
      <w:spacing w:after="120"/>
    </w:pPr>
  </w:style>
  <w:style w:type="paragraph" w:styleId="7">
    <w:name w:val="List Number 2"/>
    <w:basedOn w:val="1"/>
    <w:semiHidden/>
    <w:unhideWhenUsed/>
    <w:qFormat/>
    <w:uiPriority w:val="99"/>
    <w:pPr>
      <w:numPr>
        <w:ilvl w:val="0"/>
        <w:numId w:val="1"/>
      </w:numPr>
    </w:pPr>
  </w:style>
  <w:style w:type="paragraph" w:styleId="8">
    <w:name w:val="table of authorities"/>
    <w:basedOn w:val="1"/>
    <w:next w:val="1"/>
    <w:qFormat/>
    <w:uiPriority w:val="0"/>
    <w:pPr>
      <w:ind w:left="420" w:leftChars="200"/>
    </w:pPr>
  </w:style>
  <w:style w:type="paragraph" w:styleId="9">
    <w:name w:val="List Number"/>
    <w:basedOn w:val="1"/>
    <w:unhideWhenUsed/>
    <w:qFormat/>
    <w:uiPriority w:val="0"/>
    <w:pPr>
      <w:numPr>
        <w:ilvl w:val="0"/>
        <w:numId w:val="2"/>
      </w:numPr>
      <w:contextualSpacing/>
    </w:pPr>
  </w:style>
  <w:style w:type="paragraph" w:styleId="10">
    <w:name w:val="Normal Indent"/>
    <w:basedOn w:val="1"/>
    <w:next w:val="1"/>
    <w:link w:val="72"/>
    <w:qFormat/>
    <w:uiPriority w:val="0"/>
    <w:pPr>
      <w:ind w:firstLine="420"/>
    </w:pPr>
  </w:style>
  <w:style w:type="paragraph" w:styleId="11">
    <w:name w:val="caption"/>
    <w:basedOn w:val="1"/>
    <w:next w:val="1"/>
    <w:qFormat/>
    <w:uiPriority w:val="0"/>
    <w:pPr>
      <w:spacing w:before="152" w:after="160"/>
    </w:pPr>
    <w:rPr>
      <w:rFonts w:ascii="Arial" w:hAnsi="Arial" w:eastAsia="黑体" w:cs="Arial"/>
      <w:sz w:val="20"/>
    </w:rPr>
  </w:style>
  <w:style w:type="paragraph" w:styleId="12">
    <w:name w:val="annotation text"/>
    <w:basedOn w:val="1"/>
    <w:link w:val="54"/>
    <w:qFormat/>
    <w:uiPriority w:val="0"/>
    <w:pPr>
      <w:jc w:val="left"/>
    </w:pPr>
  </w:style>
  <w:style w:type="paragraph" w:styleId="13">
    <w:name w:val="Body Text 3"/>
    <w:basedOn w:val="1"/>
    <w:link w:val="55"/>
    <w:qFormat/>
    <w:uiPriority w:val="0"/>
    <w:pPr>
      <w:snapToGrid w:val="0"/>
      <w:spacing w:before="50" w:after="50"/>
    </w:pPr>
    <w:rPr>
      <w:rFonts w:hAnsi="宋体" w:eastAsia="仿宋_GB2312"/>
      <w:b/>
      <w:bCs/>
    </w:rPr>
  </w:style>
  <w:style w:type="paragraph" w:styleId="14">
    <w:name w:val="Body Text Indent"/>
    <w:basedOn w:val="1"/>
    <w:next w:val="1"/>
    <w:link w:val="56"/>
    <w:qFormat/>
    <w:uiPriority w:val="0"/>
    <w:pPr>
      <w:spacing w:line="200" w:lineRule="exact"/>
      <w:ind w:firstLine="301"/>
    </w:pPr>
    <w:rPr>
      <w:rFonts w:ascii="宋体" w:hAnsi="Courier New"/>
      <w:spacing w:val="-4"/>
      <w:sz w:val="18"/>
    </w:rPr>
  </w:style>
  <w:style w:type="paragraph" w:styleId="15">
    <w:name w:val="List Number 3"/>
    <w:basedOn w:val="1"/>
    <w:semiHidden/>
    <w:unhideWhenUsed/>
    <w:qFormat/>
    <w:uiPriority w:val="99"/>
    <w:pPr>
      <w:numPr>
        <w:ilvl w:val="0"/>
        <w:numId w:val="3"/>
      </w:numPr>
    </w:pPr>
  </w:style>
  <w:style w:type="paragraph" w:styleId="16">
    <w:name w:val="Plain Text"/>
    <w:basedOn w:val="1"/>
    <w:next w:val="17"/>
    <w:link w:val="57"/>
    <w:qFormat/>
    <w:uiPriority w:val="0"/>
    <w:rPr>
      <w:rFonts w:ascii="宋体" w:hAnsi="Courier New"/>
      <w:sz w:val="21"/>
    </w:rPr>
  </w:style>
  <w:style w:type="paragraph" w:customStyle="1" w:styleId="17">
    <w:name w:val="TOC 标题4"/>
    <w:next w:val="1"/>
    <w:qFormat/>
    <w:uiPriority w:val="0"/>
    <w:pPr>
      <w:wordWrap w:val="0"/>
    </w:pPr>
    <w:rPr>
      <w:rFonts w:ascii="Times New Roman" w:hAnsi="Times New Roman" w:eastAsia="宋体" w:cs="Times New Roman"/>
      <w:sz w:val="32"/>
      <w:lang w:val="en-US" w:eastAsia="zh-CN" w:bidi="ar-SA"/>
    </w:rPr>
  </w:style>
  <w:style w:type="paragraph" w:styleId="18">
    <w:name w:val="Date"/>
    <w:next w:val="1"/>
    <w:link w:val="58"/>
    <w:qFormat/>
    <w:uiPriority w:val="99"/>
    <w:pPr>
      <w:jc w:val="both"/>
    </w:pPr>
    <w:rPr>
      <w:rFonts w:ascii="楷体_GB2312" w:hAnsi="Times New Roman" w:eastAsia="楷体_GB2312" w:cs="Times New Roman"/>
      <w:sz w:val="32"/>
      <w:lang w:val="en-US" w:eastAsia="zh-CN" w:bidi="ar-SA"/>
    </w:rPr>
  </w:style>
  <w:style w:type="paragraph" w:styleId="19">
    <w:name w:val="Balloon Text"/>
    <w:basedOn w:val="1"/>
    <w:link w:val="59"/>
    <w:qFormat/>
    <w:uiPriority w:val="0"/>
    <w:rPr>
      <w:sz w:val="18"/>
      <w:szCs w:val="18"/>
    </w:rPr>
  </w:style>
  <w:style w:type="paragraph" w:styleId="20">
    <w:name w:val="footer"/>
    <w:basedOn w:val="1"/>
    <w:link w:val="60"/>
    <w:qFormat/>
    <w:uiPriority w:val="99"/>
    <w:pPr>
      <w:tabs>
        <w:tab w:val="center" w:pos="4153"/>
        <w:tab w:val="right" w:pos="8306"/>
      </w:tabs>
      <w:snapToGrid w:val="0"/>
      <w:jc w:val="left"/>
    </w:pPr>
    <w:rPr>
      <w:rFonts w:eastAsia="黑体"/>
      <w:snapToGrid w:val="0"/>
      <w:sz w:val="18"/>
      <w:szCs w:val="18"/>
    </w:rPr>
  </w:style>
  <w:style w:type="paragraph" w:styleId="21">
    <w:name w:val="header"/>
    <w:basedOn w:val="1"/>
    <w:link w:val="61"/>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2">
    <w:name w:val="toc 1"/>
    <w:next w:val="1"/>
    <w:qFormat/>
    <w:uiPriority w:val="39"/>
    <w:pPr>
      <w:widowControl w:val="0"/>
    </w:pPr>
    <w:rPr>
      <w:rFonts w:ascii="Times New Roman" w:hAnsi="Times New Roman" w:eastAsia="宋体" w:cs="Times New Roman"/>
      <w:b/>
      <w:caps/>
      <w:kern w:val="2"/>
      <w:lang w:val="en-US" w:eastAsia="zh-CN" w:bidi="ar-SA"/>
    </w:rPr>
  </w:style>
  <w:style w:type="paragraph" w:styleId="23">
    <w:name w:val="List"/>
    <w:basedOn w:val="1"/>
    <w:qFormat/>
    <w:uiPriority w:val="0"/>
    <w:pPr>
      <w:ind w:left="200" w:hanging="200" w:hangingChars="200"/>
    </w:pPr>
    <w:rPr>
      <w:sz w:val="28"/>
    </w:rPr>
  </w:style>
  <w:style w:type="paragraph" w:styleId="24">
    <w:name w:val="toc 6"/>
    <w:basedOn w:val="1"/>
    <w:next w:val="1"/>
    <w:qFormat/>
    <w:uiPriority w:val="0"/>
    <w:pPr>
      <w:ind w:left="2100" w:leftChars="1000"/>
    </w:pPr>
  </w:style>
  <w:style w:type="paragraph" w:styleId="25">
    <w:name w:val="toc 2"/>
    <w:basedOn w:val="1"/>
    <w:next w:val="1"/>
    <w:unhideWhenUsed/>
    <w:qFormat/>
    <w:uiPriority w:val="39"/>
    <w:pPr>
      <w:ind w:left="420" w:leftChars="200"/>
    </w:pPr>
  </w:style>
  <w:style w:type="paragraph" w:styleId="26">
    <w:name w:val="Body Text 2"/>
    <w:basedOn w:val="1"/>
    <w:qFormat/>
    <w:uiPriority w:val="0"/>
    <w:pPr>
      <w:spacing w:after="120" w:line="480" w:lineRule="auto"/>
    </w:pPr>
    <w:rPr>
      <w:rFonts w:ascii="Calibri" w:hAnsi="Calibri"/>
      <w:szCs w:val="22"/>
    </w:rPr>
  </w:style>
  <w:style w:type="paragraph" w:styleId="27">
    <w:name w:val="Normal (Web)"/>
    <w:basedOn w:val="1"/>
    <w:link w:val="75"/>
    <w:qFormat/>
    <w:uiPriority w:val="0"/>
    <w:rPr>
      <w:szCs w:val="24"/>
    </w:rPr>
  </w:style>
  <w:style w:type="paragraph" w:styleId="28">
    <w:name w:val="Title"/>
    <w:basedOn w:val="1"/>
    <w:next w:val="1"/>
    <w:link w:val="62"/>
    <w:qFormat/>
    <w:uiPriority w:val="0"/>
    <w:pPr>
      <w:spacing w:before="240" w:after="60"/>
      <w:jc w:val="center"/>
      <w:outlineLvl w:val="0"/>
    </w:pPr>
    <w:rPr>
      <w:rFonts w:ascii="Cambria" w:hAnsi="Cambria"/>
      <w:b/>
      <w:bCs/>
      <w:kern w:val="28"/>
      <w:sz w:val="32"/>
      <w:szCs w:val="32"/>
    </w:rPr>
  </w:style>
  <w:style w:type="paragraph" w:styleId="29">
    <w:name w:val="annotation subject"/>
    <w:basedOn w:val="12"/>
    <w:next w:val="12"/>
    <w:link w:val="63"/>
    <w:qFormat/>
    <w:uiPriority w:val="0"/>
    <w:rPr>
      <w:b/>
      <w:bCs/>
    </w:rPr>
  </w:style>
  <w:style w:type="paragraph" w:styleId="30">
    <w:name w:val="Body Text First Indent 2"/>
    <w:basedOn w:val="14"/>
    <w:link w:val="64"/>
    <w:unhideWhenUsed/>
    <w:qFormat/>
    <w:uiPriority w:val="99"/>
    <w:pPr>
      <w:spacing w:after="120"/>
      <w:ind w:left="420" w:leftChars="200" w:firstLine="420"/>
    </w:pPr>
    <w:rPr>
      <w:rFonts w:cs="宋体"/>
      <w:sz w:val="21"/>
      <w:szCs w:val="21"/>
    </w:rPr>
  </w:style>
  <w:style w:type="table" w:styleId="32">
    <w:name w:val="Table Grid"/>
    <w:basedOn w:val="31"/>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paragraph" w:customStyle="1" w:styleId="3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9">
    <w:name w:val="Default"/>
    <w:next w:val="4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0">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41">
    <w:name w:val="列表段落1"/>
    <w:basedOn w:val="1"/>
    <w:qFormat/>
    <w:uiPriority w:val="99"/>
    <w:pPr>
      <w:spacing w:line="360" w:lineRule="auto"/>
      <w:ind w:firstLine="420" w:firstLineChars="200"/>
    </w:pPr>
    <w:rPr>
      <w:sz w:val="21"/>
    </w:rPr>
  </w:style>
  <w:style w:type="paragraph" w:customStyle="1" w:styleId="4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3">
    <w:name w:val="Heading1"/>
    <w:basedOn w:val="1"/>
    <w:next w:val="1"/>
    <w:qFormat/>
    <w:uiPriority w:val="0"/>
    <w:pPr>
      <w:keepNext/>
      <w:keepLines/>
      <w:spacing w:before="340" w:after="330" w:line="578" w:lineRule="auto"/>
      <w:ind w:left="425" w:hanging="425"/>
    </w:pPr>
    <w:rPr>
      <w:rFonts w:eastAsia="仿宋_GB2312"/>
      <w:b/>
      <w:kern w:val="44"/>
      <w:sz w:val="44"/>
    </w:rPr>
  </w:style>
  <w:style w:type="character" w:customStyle="1" w:styleId="44">
    <w:name w:val="标题 1 字符"/>
    <w:basedOn w:val="33"/>
    <w:link w:val="2"/>
    <w:qFormat/>
    <w:uiPriority w:val="9"/>
    <w:rPr>
      <w:rFonts w:eastAsia="隶书"/>
      <w:b/>
      <w:kern w:val="2"/>
      <w:sz w:val="36"/>
      <w:szCs w:val="36"/>
    </w:rPr>
  </w:style>
  <w:style w:type="character" w:customStyle="1" w:styleId="45">
    <w:name w:val="标题 2 字符"/>
    <w:basedOn w:val="33"/>
    <w:link w:val="3"/>
    <w:qFormat/>
    <w:uiPriority w:val="0"/>
    <w:rPr>
      <w:rFonts w:ascii="Arial" w:hAnsi="Arial" w:eastAsia="黑体" w:cs="Arial"/>
      <w:b/>
      <w:kern w:val="2"/>
      <w:sz w:val="32"/>
      <w:szCs w:val="32"/>
    </w:rPr>
  </w:style>
  <w:style w:type="character" w:customStyle="1" w:styleId="46">
    <w:name w:val="正文文本 字符"/>
    <w:basedOn w:val="33"/>
    <w:link w:val="6"/>
    <w:qFormat/>
    <w:uiPriority w:val="0"/>
    <w:rPr>
      <w:kern w:val="2"/>
      <w:sz w:val="21"/>
      <w:szCs w:val="24"/>
    </w:rPr>
  </w:style>
  <w:style w:type="character" w:customStyle="1" w:styleId="47">
    <w:name w:val="正文文本首行缩进 字符"/>
    <w:basedOn w:val="46"/>
    <w:link w:val="5"/>
    <w:semiHidden/>
    <w:qFormat/>
    <w:uiPriority w:val="99"/>
    <w:rPr>
      <w:kern w:val="2"/>
      <w:sz w:val="21"/>
      <w:szCs w:val="24"/>
    </w:rPr>
  </w:style>
  <w:style w:type="paragraph" w:customStyle="1" w:styleId="48">
    <w:name w:val="纯文本1"/>
    <w:basedOn w:val="1"/>
    <w:qFormat/>
    <w:uiPriority w:val="0"/>
    <w:pPr>
      <w:widowControl/>
      <w:jc w:val="left"/>
    </w:pPr>
    <w:rPr>
      <w:rFonts w:ascii="宋体" w:hAnsi="Courier New"/>
      <w:color w:val="000000"/>
      <w:kern w:val="1"/>
    </w:rPr>
  </w:style>
  <w:style w:type="paragraph" w:customStyle="1" w:styleId="49">
    <w:name w:val="正文1"/>
    <w:basedOn w:val="1"/>
    <w:qFormat/>
    <w:uiPriority w:val="0"/>
    <w:rPr>
      <w:color w:val="000000"/>
      <w:kern w:val="1"/>
    </w:rPr>
  </w:style>
  <w:style w:type="paragraph" w:customStyle="1" w:styleId="50">
    <w:name w:val="+正文"/>
    <w:basedOn w:val="1"/>
    <w:qFormat/>
    <w:uiPriority w:val="0"/>
    <w:pPr>
      <w:spacing w:line="360" w:lineRule="auto"/>
      <w:ind w:firstLine="200"/>
    </w:pPr>
    <w:rPr>
      <w:kern w:val="1"/>
    </w:rPr>
  </w:style>
  <w:style w:type="paragraph" w:customStyle="1" w:styleId="51">
    <w:name w:val="样式 列表编号 + 段后: 0.5 行"/>
    <w:basedOn w:val="9"/>
    <w:qFormat/>
    <w:uiPriority w:val="0"/>
    <w:pPr>
      <w:numPr>
        <w:ilvl w:val="0"/>
        <w:numId w:val="0"/>
      </w:numPr>
      <w:tabs>
        <w:tab w:val="left" w:pos="720"/>
      </w:tabs>
      <w:ind w:left="720" w:hanging="360"/>
      <w:contextualSpacing w:val="0"/>
    </w:pPr>
  </w:style>
  <w:style w:type="paragraph" w:customStyle="1" w:styleId="52">
    <w:name w:val="正文 + 宋体"/>
    <w:basedOn w:val="1"/>
    <w:qFormat/>
    <w:uiPriority w:val="0"/>
    <w:pPr>
      <w:spacing w:before="31" w:line="400" w:lineRule="atLeast"/>
      <w:ind w:firstLine="420"/>
    </w:pPr>
    <w:rPr>
      <w:rFonts w:ascii="宋体" w:hAnsi="宋体" w:cs="宋体"/>
      <w:kern w:val="1"/>
    </w:rPr>
  </w:style>
  <w:style w:type="character" w:customStyle="1" w:styleId="53">
    <w:name w:val="标题 3 字符"/>
    <w:basedOn w:val="33"/>
    <w:link w:val="4"/>
    <w:qFormat/>
    <w:uiPriority w:val="0"/>
    <w:rPr>
      <w:rFonts w:ascii="Arial" w:hAnsi="Arial" w:eastAsia="宋体"/>
      <w:b/>
      <w:sz w:val="28"/>
    </w:rPr>
  </w:style>
  <w:style w:type="character" w:customStyle="1" w:styleId="54">
    <w:name w:val="批注文字 字符"/>
    <w:basedOn w:val="33"/>
    <w:link w:val="12"/>
    <w:qFormat/>
    <w:uiPriority w:val="0"/>
    <w:rPr>
      <w:rFonts w:ascii="Times New Roman" w:hAnsi="Times New Roman" w:eastAsia="宋体"/>
      <w:kern w:val="2"/>
      <w:sz w:val="24"/>
    </w:rPr>
  </w:style>
  <w:style w:type="character" w:customStyle="1" w:styleId="55">
    <w:name w:val="正文文本 3 字符"/>
    <w:basedOn w:val="33"/>
    <w:link w:val="13"/>
    <w:qFormat/>
    <w:uiPriority w:val="0"/>
    <w:rPr>
      <w:rFonts w:ascii="Times New Roman" w:hAnsi="宋体" w:eastAsia="仿宋_GB2312"/>
      <w:b/>
      <w:bCs/>
      <w:kern w:val="2"/>
      <w:sz w:val="24"/>
    </w:rPr>
  </w:style>
  <w:style w:type="character" w:customStyle="1" w:styleId="56">
    <w:name w:val="正文文本缩进 字符"/>
    <w:basedOn w:val="33"/>
    <w:link w:val="14"/>
    <w:qFormat/>
    <w:uiPriority w:val="0"/>
    <w:rPr>
      <w:rFonts w:ascii="宋体" w:hAnsi="Courier New" w:eastAsia="宋体"/>
      <w:spacing w:val="-4"/>
      <w:kern w:val="2"/>
      <w:sz w:val="18"/>
    </w:rPr>
  </w:style>
  <w:style w:type="character" w:customStyle="1" w:styleId="57">
    <w:name w:val="纯文本 字符"/>
    <w:basedOn w:val="33"/>
    <w:link w:val="16"/>
    <w:qFormat/>
    <w:uiPriority w:val="0"/>
    <w:rPr>
      <w:rFonts w:ascii="宋体" w:hAnsi="Courier New" w:eastAsia="宋体"/>
      <w:kern w:val="2"/>
      <w:sz w:val="21"/>
    </w:rPr>
  </w:style>
  <w:style w:type="character" w:customStyle="1" w:styleId="58">
    <w:name w:val="日期 字符"/>
    <w:basedOn w:val="33"/>
    <w:link w:val="18"/>
    <w:qFormat/>
    <w:uiPriority w:val="99"/>
    <w:rPr>
      <w:rFonts w:ascii="楷体_GB2312" w:hAnsi="Times New Roman" w:eastAsia="楷体_GB2312"/>
      <w:sz w:val="32"/>
    </w:rPr>
  </w:style>
  <w:style w:type="character" w:customStyle="1" w:styleId="59">
    <w:name w:val="批注框文本 字符"/>
    <w:basedOn w:val="33"/>
    <w:link w:val="19"/>
    <w:qFormat/>
    <w:uiPriority w:val="0"/>
    <w:rPr>
      <w:rFonts w:ascii="Times New Roman" w:hAnsi="Times New Roman" w:eastAsia="宋体"/>
      <w:kern w:val="2"/>
      <w:sz w:val="18"/>
      <w:szCs w:val="18"/>
    </w:rPr>
  </w:style>
  <w:style w:type="character" w:customStyle="1" w:styleId="60">
    <w:name w:val="页脚 字符"/>
    <w:basedOn w:val="33"/>
    <w:link w:val="20"/>
    <w:qFormat/>
    <w:uiPriority w:val="99"/>
    <w:rPr>
      <w:rFonts w:ascii="Times New Roman" w:hAnsi="Times New Roman" w:eastAsia="黑体"/>
      <w:snapToGrid w:val="0"/>
      <w:kern w:val="2"/>
      <w:sz w:val="18"/>
      <w:szCs w:val="18"/>
    </w:rPr>
  </w:style>
  <w:style w:type="character" w:customStyle="1" w:styleId="61">
    <w:name w:val="页眉 字符"/>
    <w:basedOn w:val="33"/>
    <w:link w:val="21"/>
    <w:qFormat/>
    <w:uiPriority w:val="99"/>
    <w:rPr>
      <w:rFonts w:ascii="Times New Roman" w:hAnsi="Times New Roman" w:eastAsia="仿宋_GB2312"/>
      <w:kern w:val="2"/>
      <w:sz w:val="18"/>
      <w:szCs w:val="24"/>
    </w:rPr>
  </w:style>
  <w:style w:type="character" w:customStyle="1" w:styleId="62">
    <w:name w:val="标题 字符"/>
    <w:basedOn w:val="33"/>
    <w:link w:val="28"/>
    <w:qFormat/>
    <w:uiPriority w:val="0"/>
    <w:rPr>
      <w:rFonts w:ascii="Cambria" w:hAnsi="Cambria" w:eastAsia="宋体"/>
      <w:b/>
      <w:bCs/>
      <w:kern w:val="28"/>
      <w:sz w:val="32"/>
      <w:szCs w:val="32"/>
    </w:rPr>
  </w:style>
  <w:style w:type="character" w:customStyle="1" w:styleId="63">
    <w:name w:val="批注主题 字符"/>
    <w:basedOn w:val="54"/>
    <w:link w:val="29"/>
    <w:qFormat/>
    <w:uiPriority w:val="0"/>
    <w:rPr>
      <w:rFonts w:ascii="Times New Roman" w:hAnsi="Times New Roman" w:eastAsia="宋体"/>
      <w:b/>
      <w:bCs/>
      <w:kern w:val="2"/>
      <w:sz w:val="24"/>
    </w:rPr>
  </w:style>
  <w:style w:type="character" w:customStyle="1" w:styleId="64">
    <w:name w:val="正文文本首行缩进 2 字符"/>
    <w:basedOn w:val="56"/>
    <w:link w:val="30"/>
    <w:qFormat/>
    <w:uiPriority w:val="99"/>
    <w:rPr>
      <w:rFonts w:ascii="宋体" w:hAnsi="Courier New" w:eastAsia="宋体" w:cs="宋体"/>
      <w:spacing w:val="-4"/>
      <w:kern w:val="2"/>
      <w:sz w:val="21"/>
      <w:szCs w:val="21"/>
    </w:rPr>
  </w:style>
  <w:style w:type="paragraph" w:customStyle="1" w:styleId="65">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6">
    <w:name w:val="表格文字"/>
    <w:basedOn w:val="16"/>
    <w:next w:val="6"/>
    <w:qFormat/>
    <w:uiPriority w:val="0"/>
    <w:pPr>
      <w:jc w:val="left"/>
    </w:pPr>
    <w:rPr>
      <w:sz w:val="24"/>
    </w:rPr>
  </w:style>
  <w:style w:type="paragraph" w:customStyle="1" w:styleId="67">
    <w:name w:val="样式 宋体"/>
    <w:basedOn w:val="1"/>
    <w:next w:val="1"/>
    <w:qFormat/>
    <w:uiPriority w:val="0"/>
    <w:pPr>
      <w:widowControl/>
    </w:pPr>
    <w:rPr>
      <w:rFonts w:ascii="宋体"/>
      <w:color w:val="000000"/>
    </w:rPr>
  </w:style>
  <w:style w:type="paragraph" w:customStyle="1" w:styleId="68">
    <w:name w:val="reader-word-layer reader-word-s1-8"/>
    <w:basedOn w:val="1"/>
    <w:qFormat/>
    <w:uiPriority w:val="0"/>
    <w:pPr>
      <w:widowControl/>
      <w:spacing w:before="100" w:beforeAutospacing="1" w:after="100" w:afterAutospacing="1"/>
      <w:jc w:val="left"/>
    </w:pPr>
    <w:rPr>
      <w:rFonts w:ascii="宋体" w:hAnsi="宋体" w:cs="宋体"/>
      <w:kern w:val="0"/>
    </w:rPr>
  </w:style>
  <w:style w:type="character" w:customStyle="1" w:styleId="69">
    <w:name w:val="NormalCharacter"/>
    <w:qFormat/>
    <w:uiPriority w:val="0"/>
  </w:style>
  <w:style w:type="paragraph" w:customStyle="1" w:styleId="70">
    <w:name w:val="UserStyle_89"/>
    <w:basedOn w:val="1"/>
    <w:qFormat/>
    <w:uiPriority w:val="0"/>
    <w:pPr>
      <w:ind w:firstLine="420"/>
      <w:jc w:val="left"/>
    </w:pPr>
    <w:rPr>
      <w:kern w:val="0"/>
    </w:rPr>
  </w:style>
  <w:style w:type="paragraph" w:customStyle="1" w:styleId="71">
    <w:name w:val="HtmlNormal"/>
    <w:basedOn w:val="1"/>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2">
    <w:name w:val="正文缩进 字符"/>
    <w:link w:val="10"/>
    <w:qFormat/>
    <w:uiPriority w:val="0"/>
    <w:rPr>
      <w:rFonts w:ascii="Times New Roman" w:hAnsi="Times New Roman" w:eastAsia="宋体"/>
      <w:kern w:val="2"/>
      <w:sz w:val="24"/>
    </w:rPr>
  </w:style>
  <w:style w:type="character" w:customStyle="1" w:styleId="73">
    <w:name w:val="point_normal1"/>
    <w:qFormat/>
    <w:uiPriority w:val="0"/>
    <w:rPr>
      <w:rFonts w:hint="default" w:ascii="Arial" w:hAnsi="Arial"/>
      <w:sz w:val="22"/>
    </w:rPr>
  </w:style>
  <w:style w:type="paragraph" w:customStyle="1" w:styleId="74">
    <w:name w:val="p0"/>
    <w:basedOn w:val="1"/>
    <w:qFormat/>
    <w:uiPriority w:val="99"/>
    <w:pPr>
      <w:widowControl/>
      <w:spacing w:before="100" w:beforeAutospacing="1" w:after="100" w:afterAutospacing="1"/>
      <w:jc w:val="left"/>
    </w:pPr>
    <w:rPr>
      <w:rFonts w:ascii="宋体" w:hAnsi="宋体"/>
      <w:kern w:val="0"/>
    </w:rPr>
  </w:style>
  <w:style w:type="character" w:customStyle="1" w:styleId="75">
    <w:name w:val="普通(网站) 字符"/>
    <w:link w:val="27"/>
    <w:qFormat/>
    <w:uiPriority w:val="0"/>
    <w:rPr>
      <w:rFonts w:ascii="Times New Roman" w:hAnsi="Times New Roman" w:eastAsia="宋体"/>
      <w:kern w:val="2"/>
      <w:sz w:val="24"/>
      <w:szCs w:val="24"/>
    </w:rPr>
  </w:style>
  <w:style w:type="character" w:customStyle="1" w:styleId="76">
    <w:name w:val="bookmark-item"/>
    <w:basedOn w:val="33"/>
    <w:qFormat/>
    <w:uiPriority w:val="0"/>
  </w:style>
  <w:style w:type="paragraph" w:customStyle="1" w:styleId="77">
    <w:name w:val="列出段落1"/>
    <w:basedOn w:val="1"/>
    <w:unhideWhenUsed/>
    <w:qFormat/>
    <w:uiPriority w:val="34"/>
    <w:pPr>
      <w:ind w:firstLine="420" w:firstLineChars="200"/>
    </w:pPr>
  </w:style>
  <w:style w:type="paragraph" w:customStyle="1" w:styleId="78">
    <w:name w:val="!表格正文"/>
    <w:basedOn w:val="1"/>
    <w:qFormat/>
    <w:uiPriority w:val="0"/>
    <w:rPr>
      <w:rFonts w:cs="Calibri"/>
      <w:kern w:val="0"/>
      <w:szCs w:val="21"/>
    </w:rPr>
  </w:style>
  <w:style w:type="paragraph" w:customStyle="1" w:styleId="79">
    <w:name w:val="列出段落11"/>
    <w:basedOn w:val="1"/>
    <w:qFormat/>
    <w:uiPriority w:val="0"/>
    <w:pPr>
      <w:ind w:firstLine="420"/>
    </w:pPr>
    <w:rPr>
      <w:rFonts w:ascii="Calibri" w:hAnsi="Calibri"/>
      <w:sz w:val="21"/>
    </w:rPr>
  </w:style>
  <w:style w:type="paragraph" w:customStyle="1" w:styleId="80">
    <w:name w:val="_正文段落"/>
    <w:basedOn w:val="1"/>
    <w:qFormat/>
    <w:uiPriority w:val="99"/>
    <w:pPr>
      <w:spacing w:beforeLines="15" w:afterLines="30"/>
    </w:pPr>
    <w:rPr>
      <w:rFonts w:ascii="Calibri" w:hAnsi="Calibri"/>
      <w:szCs w:val="24"/>
    </w:rPr>
  </w:style>
  <w:style w:type="paragraph" w:customStyle="1" w:styleId="81">
    <w:name w:val="正文段"/>
    <w:basedOn w:val="1"/>
    <w:qFormat/>
    <w:uiPriority w:val="0"/>
    <w:pPr>
      <w:widowControl/>
      <w:snapToGrid w:val="0"/>
      <w:spacing w:afterLines="50"/>
      <w:ind w:firstLine="200" w:firstLineChars="200"/>
    </w:pPr>
    <w:rPr>
      <w:kern w:val="0"/>
    </w:rPr>
  </w:style>
  <w:style w:type="paragraph" w:customStyle="1" w:styleId="82">
    <w:name w:val="CM4"/>
    <w:basedOn w:val="39"/>
    <w:next w:val="39"/>
    <w:unhideWhenUsed/>
    <w:qFormat/>
    <w:uiPriority w:val="0"/>
    <w:pPr>
      <w:adjustRightInd/>
      <w:spacing w:line="411" w:lineRule="atLeast"/>
    </w:pPr>
    <w:rPr>
      <w:rFonts w:cs="Times New Roman"/>
      <w:szCs w:val="20"/>
    </w:rPr>
  </w:style>
  <w:style w:type="paragraph" w:customStyle="1" w:styleId="83">
    <w:name w:val="CM5"/>
    <w:basedOn w:val="39"/>
    <w:next w:val="39"/>
    <w:unhideWhenUsed/>
    <w:qFormat/>
    <w:uiPriority w:val="0"/>
    <w:pPr>
      <w:adjustRightInd/>
      <w:spacing w:line="408" w:lineRule="atLeast"/>
    </w:pPr>
    <w:rPr>
      <w:rFonts w:cs="Times New Roman"/>
      <w:szCs w:val="20"/>
    </w:rPr>
  </w:style>
  <w:style w:type="paragraph" w:customStyle="1" w:styleId="84">
    <w:name w:val="样式5"/>
    <w:basedOn w:val="1"/>
    <w:qFormat/>
    <w:uiPriority w:val="99"/>
    <w:pPr>
      <w:spacing w:line="360" w:lineRule="auto"/>
      <w:ind w:firstLine="200" w:firstLineChars="200"/>
      <w:jc w:val="left"/>
    </w:pPr>
  </w:style>
  <w:style w:type="character" w:customStyle="1" w:styleId="85">
    <w:name w:val="纯文本 Char3"/>
    <w:qFormat/>
    <w:uiPriority w:val="0"/>
    <w:rPr>
      <w:rFonts w:ascii="??" w:hAnsi="??" w:eastAsia="??" w:cs="宋体"/>
      <w:kern w:val="2"/>
      <w:sz w:val="21"/>
      <w:szCs w:val="21"/>
    </w:rPr>
  </w:style>
  <w:style w:type="paragraph" w:customStyle="1" w:styleId="86">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87">
    <w:name w:val="无间隔2"/>
    <w:qFormat/>
    <w:uiPriority w:val="99"/>
    <w:rPr>
      <w:rFonts w:ascii="Times New Roman" w:hAnsi="Times New Roman" w:eastAsia="Times New Roman" w:cs="Times New Roman"/>
      <w:kern w:val="2"/>
      <w:sz w:val="22"/>
      <w:szCs w:val="22"/>
      <w:lang w:val="en-US" w:eastAsia="zh-CN" w:bidi="ar-SA"/>
    </w:rPr>
  </w:style>
  <w:style w:type="paragraph" w:styleId="88">
    <w:name w:val="List Paragraph"/>
    <w:basedOn w:val="1"/>
    <w:unhideWhenUsed/>
    <w:qFormat/>
    <w:uiPriority w:val="0"/>
    <w:pPr>
      <w:ind w:firstLine="420" w:firstLineChars="200"/>
    </w:pPr>
  </w:style>
  <w:style w:type="paragraph" w:customStyle="1" w:styleId="89">
    <w:name w:val="段落正文"/>
    <w:basedOn w:val="12"/>
    <w:link w:val="90"/>
    <w:qFormat/>
    <w:uiPriority w:val="0"/>
    <w:pPr>
      <w:adjustRightInd w:val="0"/>
      <w:snapToGrid w:val="0"/>
      <w:spacing w:line="360" w:lineRule="auto"/>
      <w:ind w:firstLine="420" w:firstLineChars="200"/>
      <w:jc w:val="both"/>
    </w:pPr>
    <w:rPr>
      <w:sz w:val="21"/>
      <w:szCs w:val="21"/>
    </w:rPr>
  </w:style>
  <w:style w:type="character" w:customStyle="1" w:styleId="90">
    <w:name w:val="段落正文 字符"/>
    <w:basedOn w:val="54"/>
    <w:link w:val="89"/>
    <w:qFormat/>
    <w:uiPriority w:val="0"/>
    <w:rPr>
      <w:rFonts w:ascii="Times New Roman" w:hAnsi="Times New Roman" w:eastAsia="宋体"/>
      <w:kern w:val="2"/>
      <w:sz w:val="21"/>
      <w:szCs w:val="21"/>
    </w:rPr>
  </w:style>
  <w:style w:type="paragraph" w:customStyle="1" w:styleId="91">
    <w:name w:val="正文格式"/>
    <w:basedOn w:val="1"/>
    <w:link w:val="92"/>
    <w:qFormat/>
    <w:uiPriority w:val="0"/>
    <w:pPr>
      <w:spacing w:beforeLines="50" w:afterLines="50" w:line="360" w:lineRule="auto"/>
      <w:ind w:firstLine="480" w:firstLineChars="200"/>
    </w:pPr>
    <w:rPr>
      <w:kern w:val="0"/>
      <w:szCs w:val="24"/>
      <w:lang w:val="en-GB"/>
    </w:rPr>
  </w:style>
  <w:style w:type="character" w:customStyle="1" w:styleId="92">
    <w:name w:val="正文格式 Char"/>
    <w:link w:val="91"/>
    <w:qFormat/>
    <w:uiPriority w:val="0"/>
    <w:rPr>
      <w:rFonts w:ascii="Times New Roman" w:hAnsi="Times New Roman" w:eastAsia="宋体"/>
      <w:sz w:val="24"/>
      <w:szCs w:val="24"/>
      <w:lang w:val="en-GB"/>
    </w:rPr>
  </w:style>
  <w:style w:type="character" w:customStyle="1" w:styleId="93">
    <w:name w:val="Unresolved Mention"/>
    <w:basedOn w:val="33"/>
    <w:semiHidden/>
    <w:unhideWhenUsed/>
    <w:qFormat/>
    <w:uiPriority w:val="99"/>
    <w:rPr>
      <w:color w:val="605E5C"/>
      <w:shd w:val="clear" w:color="auto" w:fill="E1DFDD"/>
    </w:rPr>
  </w:style>
  <w:style w:type="table" w:customStyle="1" w:styleId="94">
    <w:name w:val="网格型浅色1"/>
    <w:basedOn w:val="31"/>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5">
    <w:name w:val="正文缩进2"/>
    <w:basedOn w:val="1"/>
    <w:qFormat/>
    <w:uiPriority w:val="0"/>
    <w:pPr>
      <w:spacing w:before="60"/>
      <w:ind w:firstLine="476"/>
    </w:pPr>
  </w:style>
  <w:style w:type="paragraph" w:customStyle="1" w:styleId="96">
    <w:name w:val="图"/>
    <w:basedOn w:val="1"/>
    <w:qFormat/>
    <w:uiPriority w:val="0"/>
    <w:pPr>
      <w:keepNext/>
      <w:spacing w:before="60" w:after="60" w:line="300" w:lineRule="auto"/>
      <w:jc w:val="center"/>
    </w:pPr>
    <w:rPr>
      <w:spacing w:val="20"/>
      <w:sz w:val="24"/>
      <w:szCs w:val="20"/>
    </w:rPr>
  </w:style>
  <w:style w:type="paragraph" w:customStyle="1" w:styleId="97">
    <w:name w:val="_Style 3"/>
    <w:basedOn w:val="1"/>
    <w:next w:val="1"/>
    <w:qFormat/>
    <w:uiPriority w:val="1"/>
    <w:pPr>
      <w:pBdr>
        <w:bottom w:val="single" w:color="auto" w:sz="6" w:space="1"/>
      </w:pBdr>
      <w:jc w:val="center"/>
    </w:pPr>
    <w:rPr>
      <w:rFonts w:ascii="Arial" w:hAnsi="Calibri"/>
      <w:vanish/>
      <w:sz w:val="16"/>
    </w:rPr>
  </w:style>
  <w:style w:type="paragraph" w:customStyle="1" w:styleId="9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99">
    <w:name w:val="font12"/>
    <w:basedOn w:val="33"/>
    <w:qFormat/>
    <w:uiPriority w:val="0"/>
    <w:rPr>
      <w:rFonts w:hint="eastAsia" w:ascii="宋体" w:hAnsi="宋体" w:eastAsia="宋体" w:cs="宋体"/>
      <w:color w:val="000000"/>
      <w:sz w:val="24"/>
      <w:szCs w:val="24"/>
      <w:u w:val="none"/>
    </w:rPr>
  </w:style>
  <w:style w:type="character" w:customStyle="1" w:styleId="100">
    <w:name w:val="font11"/>
    <w:basedOn w:val="33"/>
    <w:qFormat/>
    <w:uiPriority w:val="0"/>
    <w:rPr>
      <w:rFonts w:hint="eastAsia" w:ascii="等线" w:hAnsi="等线" w:eastAsia="等线" w:cs="等线"/>
      <w:b/>
      <w:bCs/>
      <w:color w:val="000000"/>
      <w:sz w:val="44"/>
      <w:szCs w:val="44"/>
      <w:u w:val="none"/>
    </w:rPr>
  </w:style>
  <w:style w:type="character" w:customStyle="1" w:styleId="101">
    <w:name w:val="font21"/>
    <w:basedOn w:val="33"/>
    <w:qFormat/>
    <w:uiPriority w:val="0"/>
    <w:rPr>
      <w:rFonts w:hint="eastAsia" w:ascii="等线" w:hAnsi="等线" w:eastAsia="等线" w:cs="等线"/>
      <w:b/>
      <w:bCs/>
      <w:color w:val="000000"/>
      <w:sz w:val="32"/>
      <w:szCs w:val="32"/>
      <w:u w:val="none"/>
    </w:rPr>
  </w:style>
  <w:style w:type="character" w:customStyle="1" w:styleId="102">
    <w:name w:val="font31"/>
    <w:basedOn w:val="33"/>
    <w:qFormat/>
    <w:uiPriority w:val="0"/>
    <w:rPr>
      <w:rFonts w:hint="eastAsia" w:ascii="宋体" w:hAnsi="宋体" w:eastAsia="宋体" w:cs="宋体"/>
      <w:b/>
      <w:bCs/>
      <w:color w:val="000000"/>
      <w:sz w:val="24"/>
      <w:szCs w:val="24"/>
      <w:u w:val="none"/>
    </w:rPr>
  </w:style>
  <w:style w:type="character" w:customStyle="1" w:styleId="103">
    <w:name w:val="font51"/>
    <w:basedOn w:val="33"/>
    <w:qFormat/>
    <w:uiPriority w:val="0"/>
    <w:rPr>
      <w:rFonts w:hint="eastAsia" w:ascii="宋体" w:hAnsi="宋体" w:eastAsia="宋体" w:cs="宋体"/>
      <w:color w:val="000000"/>
      <w:sz w:val="24"/>
      <w:szCs w:val="24"/>
      <w:u w:val="none"/>
    </w:rPr>
  </w:style>
  <w:style w:type="character" w:customStyle="1" w:styleId="104">
    <w:name w:val="font41"/>
    <w:basedOn w:val="33"/>
    <w:qFormat/>
    <w:uiPriority w:val="0"/>
    <w:rPr>
      <w:rFonts w:hint="eastAsia" w:ascii="宋体" w:hAnsi="宋体" w:eastAsia="宋体" w:cs="宋体"/>
      <w:color w:val="000000"/>
      <w:sz w:val="24"/>
      <w:szCs w:val="24"/>
      <w:u w:val="none"/>
    </w:rPr>
  </w:style>
  <w:style w:type="paragraph" w:customStyle="1" w:styleId="105">
    <w:name w:val="BodyText1I2"/>
    <w:basedOn w:val="106"/>
    <w:qFormat/>
    <w:uiPriority w:val="0"/>
    <w:pPr>
      <w:ind w:left="420" w:leftChars="200" w:firstLine="420" w:firstLineChars="200"/>
      <w:jc w:val="both"/>
      <w:textAlignment w:val="baseline"/>
    </w:pPr>
  </w:style>
  <w:style w:type="paragraph" w:customStyle="1" w:styleId="106">
    <w:name w:val="BodyTextIndent"/>
    <w:basedOn w:val="1"/>
    <w:next w:val="107"/>
    <w:qFormat/>
    <w:uiPriority w:val="0"/>
    <w:pPr>
      <w:ind w:left="420" w:leftChars="200" w:firstLine="480" w:firstLineChars="200"/>
      <w:jc w:val="both"/>
      <w:textAlignment w:val="baseline"/>
    </w:pPr>
    <w:rPr>
      <w:kern w:val="2"/>
      <w:sz w:val="24"/>
      <w:szCs w:val="24"/>
      <w:lang w:val="en-US" w:eastAsia="zh-CN" w:bidi="ar-SA"/>
    </w:rPr>
  </w:style>
  <w:style w:type="paragraph" w:customStyle="1" w:styleId="107">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08">
    <w:name w:val="正文2"/>
    <w:basedOn w:val="1"/>
    <w:qFormat/>
    <w:uiPriority w:val="0"/>
    <w:pPr>
      <w:spacing w:before="156" w:line="360" w:lineRule="auto"/>
      <w:ind w:firstLine="510" w:firstLineChars="200"/>
    </w:pPr>
    <w:rPr>
      <w:sz w:val="24"/>
      <w:szCs w:val="20"/>
    </w:rPr>
  </w:style>
  <w:style w:type="paragraph" w:customStyle="1" w:styleId="10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0">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11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2">
    <w:name w:val="Table Text"/>
    <w:basedOn w:val="1"/>
    <w:semiHidden/>
    <w:qFormat/>
    <w:uiPriority w:val="0"/>
    <w:rPr>
      <w:rFonts w:ascii="宋体" w:hAnsi="宋体" w:eastAsia="宋体" w:cs="宋体"/>
      <w:sz w:val="46"/>
      <w:szCs w:val="46"/>
      <w:lang w:val="en-US" w:eastAsia="en-US" w:bidi="ar-SA"/>
    </w:rPr>
  </w:style>
  <w:style w:type="table" w:customStyle="1" w:styleId="113">
    <w:name w:val="Table Normal"/>
    <w:semiHidden/>
    <w:unhideWhenUsed/>
    <w:qFormat/>
    <w:uiPriority w:val="0"/>
    <w:tblPr>
      <w:tblCellMar>
        <w:top w:w="0" w:type="dxa"/>
        <w:left w:w="0" w:type="dxa"/>
        <w:bottom w:w="0" w:type="dxa"/>
        <w:right w:w="0" w:type="dxa"/>
      </w:tblCellMar>
    </w:tblPr>
  </w:style>
  <w:style w:type="character" w:customStyle="1" w:styleId="114">
    <w:name w:val="font61"/>
    <w:basedOn w:val="33"/>
    <w:qFormat/>
    <w:uiPriority w:val="0"/>
    <w:rPr>
      <w:rFonts w:hint="eastAsia" w:ascii="宋体" w:hAnsi="宋体" w:eastAsia="宋体" w:cs="宋体"/>
      <w:color w:val="000000"/>
      <w:sz w:val="21"/>
      <w:szCs w:val="21"/>
      <w:u w:val="none"/>
    </w:rPr>
  </w:style>
  <w:style w:type="character" w:customStyle="1" w:styleId="115">
    <w:name w:val="font101"/>
    <w:basedOn w:val="33"/>
    <w:qFormat/>
    <w:uiPriority w:val="0"/>
    <w:rPr>
      <w:rFonts w:hint="eastAsia" w:ascii="宋体" w:hAnsi="宋体" w:eastAsia="宋体" w:cs="宋体"/>
      <w:color w:val="000000"/>
      <w:sz w:val="21"/>
      <w:szCs w:val="21"/>
      <w:u w:val="none"/>
    </w:rPr>
  </w:style>
  <w:style w:type="character" w:customStyle="1" w:styleId="116">
    <w:name w:val="font71"/>
    <w:basedOn w:val="33"/>
    <w:qFormat/>
    <w:uiPriority w:val="0"/>
    <w:rPr>
      <w:rFonts w:hint="eastAsia" w:ascii="黑体" w:hAnsi="宋体" w:eastAsia="黑体" w:cs="黑体"/>
      <w:color w:val="000000"/>
      <w:sz w:val="18"/>
      <w:szCs w:val="18"/>
      <w:u w:val="none"/>
    </w:rPr>
  </w:style>
  <w:style w:type="character" w:customStyle="1" w:styleId="117">
    <w:name w:val="font13"/>
    <w:basedOn w:val="33"/>
    <w:qFormat/>
    <w:uiPriority w:val="0"/>
    <w:rPr>
      <w:rFonts w:hint="eastAsia" w:ascii="宋体" w:hAnsi="宋体" w:eastAsia="宋体" w:cs="宋体"/>
      <w:color w:val="000000"/>
      <w:sz w:val="18"/>
      <w:szCs w:val="18"/>
      <w:u w:val="none"/>
    </w:rPr>
  </w:style>
  <w:style w:type="character" w:customStyle="1" w:styleId="118">
    <w:name w:val="font91"/>
    <w:basedOn w:val="33"/>
    <w:qFormat/>
    <w:uiPriority w:val="0"/>
    <w:rPr>
      <w:rFonts w:hint="eastAsia" w:ascii="黑体" w:hAnsi="宋体" w:eastAsia="黑体" w:cs="黑体"/>
      <w:color w:val="000000"/>
      <w:sz w:val="18"/>
      <w:szCs w:val="18"/>
      <w:u w:val="none"/>
    </w:rPr>
  </w:style>
  <w:style w:type="character" w:customStyle="1" w:styleId="119">
    <w:name w:val="font01"/>
    <w:basedOn w:val="33"/>
    <w:qFormat/>
    <w:uiPriority w:val="0"/>
    <w:rPr>
      <w:rFonts w:hint="eastAsia" w:ascii="宋体" w:hAnsi="宋体" w:eastAsia="宋体" w:cs="宋体"/>
      <w:color w:val="000000"/>
      <w:sz w:val="22"/>
      <w:szCs w:val="22"/>
      <w:u w:val="none"/>
    </w:rPr>
  </w:style>
  <w:style w:type="character" w:customStyle="1" w:styleId="120">
    <w:name w:val="font141"/>
    <w:basedOn w:val="33"/>
    <w:qFormat/>
    <w:uiPriority w:val="0"/>
    <w:rPr>
      <w:rFonts w:hint="default" w:ascii="Times New Roman" w:hAnsi="Times New Roman" w:cs="Times New Roman"/>
      <w:color w:val="000000"/>
      <w:sz w:val="22"/>
      <w:szCs w:val="22"/>
      <w:u w:val="none"/>
    </w:rPr>
  </w:style>
  <w:style w:type="character" w:customStyle="1" w:styleId="121">
    <w:name w:val="font151"/>
    <w:basedOn w:val="33"/>
    <w:qFormat/>
    <w:uiPriority w:val="0"/>
    <w:rPr>
      <w:rFonts w:hint="eastAsia" w:ascii="宋体" w:hAnsi="宋体" w:eastAsia="宋体" w:cs="宋体"/>
      <w:color w:val="FF0000"/>
      <w:sz w:val="18"/>
      <w:szCs w:val="18"/>
      <w:u w:val="none"/>
    </w:rPr>
  </w:style>
  <w:style w:type="character" w:customStyle="1" w:styleId="122">
    <w:name w:val="font121"/>
    <w:basedOn w:val="33"/>
    <w:qFormat/>
    <w:uiPriority w:val="0"/>
    <w:rPr>
      <w:rFonts w:hint="default" w:ascii="Times New Roman" w:hAnsi="Times New Roman" w:cs="Times New Roman"/>
      <w:color w:val="000000"/>
      <w:sz w:val="22"/>
      <w:szCs w:val="22"/>
      <w:u w:val="none"/>
    </w:rPr>
  </w:style>
  <w:style w:type="character" w:customStyle="1" w:styleId="123">
    <w:name w:val="font81"/>
    <w:basedOn w:val="33"/>
    <w:qFormat/>
    <w:uiPriority w:val="0"/>
    <w:rPr>
      <w:rFonts w:hint="eastAsia" w:ascii="宋体" w:hAnsi="宋体" w:eastAsia="宋体" w:cs="宋体"/>
      <w:color w:val="000000"/>
      <w:sz w:val="22"/>
      <w:szCs w:val="22"/>
      <w:u w:val="none"/>
    </w:rPr>
  </w:style>
  <w:style w:type="paragraph" w:customStyle="1" w:styleId="124">
    <w:name w:val="一级条标题"/>
    <w:basedOn w:val="125"/>
    <w:next w:val="126"/>
    <w:qFormat/>
    <w:uiPriority w:val="0"/>
    <w:pPr>
      <w:tabs>
        <w:tab w:val="left" w:pos="1260"/>
        <w:tab w:val="left" w:pos="1680"/>
      </w:tabs>
      <w:spacing w:before="0" w:beforeLines="0" w:after="0" w:afterLines="0"/>
      <w:ind w:left="1680"/>
      <w:outlineLvl w:val="2"/>
    </w:pPr>
  </w:style>
  <w:style w:type="paragraph" w:customStyle="1" w:styleId="125">
    <w:name w:val="章标题"/>
    <w:next w:val="1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正文缩进1"/>
    <w:basedOn w:val="1"/>
    <w:next w:val="1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8">
    <w:name w:val="索引 11"/>
    <w:basedOn w:val="1"/>
    <w:next w:val="1"/>
    <w:qFormat/>
    <w:uiPriority w:val="99"/>
    <w:pPr>
      <w:adjustRightInd/>
      <w:spacing w:line="360" w:lineRule="auto"/>
    </w:pPr>
    <w:rPr>
      <w:rFonts w:ascii="仿宋_GB2312" w:eastAsia="仿宋_GB2312"/>
      <w:sz w:val="24"/>
      <w:szCs w:val="20"/>
    </w:rPr>
  </w:style>
  <w:style w:type="paragraph" w:customStyle="1" w:styleId="129">
    <w:name w:val="无间隔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14659</Words>
  <Characters>15791</Characters>
  <Lines>271</Lines>
  <Paragraphs>76</Paragraphs>
  <TotalTime>45</TotalTime>
  <ScaleCrop>false</ScaleCrop>
  <LinksUpToDate>false</LinksUpToDate>
  <CharactersWithSpaces>16089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2021-11-12T08:24:00Z</dcterms:created>
  <dc:creator>NTKO</dc:creator>
  <cp:lastModifiedBy>希望</cp:lastModifiedBy>
  <cp:lastPrinted>2025-05-29T00:38:00Z</cp:lastPrinted>
  <dcterms:modified xsi:type="dcterms:W3CDTF">2025-06-23T06:14:05Z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21D6B6C5839F42D49B5FD5F6D34077B8</vt:lpwstr>
  </property>
  <property fmtid="{D5CDD505-2E9C-101B-9397-08002B2CF9AE}" pid="4" name="KSOTemplateDocerSaveRecord">
    <vt:lpwstr>eyJoZGlkIjoiNmU4MWM1NjljYzJjZWFmZjIwZDE3ODM5ZjAwOTk3OGQiLCJ1c2VySWQiOiI0NDMyODMzNDAifQ==</vt:lpwstr>
  </property>
</Properties>
</file>