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97B2F">
      <w:pPr>
        <w:spacing w:line="360" w:lineRule="auto"/>
        <w:jc w:val="center"/>
        <w:rPr>
          <w:rFonts w:ascii="宋体" w:hAnsi="宋体" w:cs="宋体"/>
          <w:b/>
          <w:color w:val="000000" w:themeColor="text1"/>
          <w:sz w:val="24"/>
          <w14:textFill>
            <w14:solidFill>
              <w14:schemeClr w14:val="tx1"/>
            </w14:solidFill>
          </w14:textFill>
        </w:rPr>
      </w:pPr>
    </w:p>
    <w:p w14:paraId="75FF16FE">
      <w:pPr>
        <w:jc w:val="center"/>
        <w:rPr>
          <w:b/>
          <w:bCs/>
          <w:color w:val="000000" w:themeColor="text1"/>
          <w:sz w:val="52"/>
          <w:szCs w:val="36"/>
          <w14:textFill>
            <w14:solidFill>
              <w14:schemeClr w14:val="tx1"/>
            </w14:solidFill>
          </w14:textFill>
        </w:rPr>
      </w:pPr>
    </w:p>
    <w:p w14:paraId="4A6560FA">
      <w:pPr>
        <w:spacing w:line="360" w:lineRule="auto"/>
        <w:jc w:val="center"/>
        <w:rPr>
          <w:rFonts w:hint="eastAsia" w:eastAsia="宋体"/>
          <w:color w:val="000000" w:themeColor="text1"/>
          <w:sz w:val="40"/>
          <w:highlight w:val="none"/>
          <w:lang w:eastAsia="zh-CN"/>
          <w14:textFill>
            <w14:solidFill>
              <w14:schemeClr w14:val="tx1"/>
            </w14:solidFill>
          </w14:textFill>
        </w:rPr>
      </w:pPr>
      <w:r>
        <w:rPr>
          <w:rFonts w:hint="eastAsia"/>
          <w:b/>
          <w:bCs/>
          <w:color w:val="000000" w:themeColor="text1"/>
          <w:sz w:val="52"/>
          <w:szCs w:val="36"/>
          <w:highlight w:val="none"/>
          <w:lang w:eastAsia="zh-CN"/>
          <w14:textFill>
            <w14:solidFill>
              <w14:schemeClr w14:val="tx1"/>
            </w14:solidFill>
          </w14:textFill>
        </w:rPr>
        <w:t>新塘街道南晖社区百姓健身房合作服务项目</w:t>
      </w:r>
    </w:p>
    <w:p w14:paraId="31479249">
      <w:pPr>
        <w:widowControl/>
        <w:spacing w:line="360" w:lineRule="auto"/>
        <w:jc w:val="center"/>
        <w:rPr>
          <w:rFonts w:hint="default" w:ascii="黑体" w:hAnsi="宋体" w:eastAsia="黑体" w:cs="黑体"/>
          <w:color w:val="000000" w:themeColor="text1"/>
          <w:kern w:val="0"/>
          <w:sz w:val="31"/>
          <w:szCs w:val="31"/>
          <w:lang w:val="en-US" w:eastAsia="zh-CN"/>
          <w14:textFill>
            <w14:solidFill>
              <w14:schemeClr w14:val="tx1"/>
            </w14:solidFill>
          </w14:textFill>
        </w:rPr>
      </w:pPr>
    </w:p>
    <w:p w14:paraId="6F1E4FA4">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w:t>
      </w:r>
      <w:r>
        <w:rPr>
          <w:rFonts w:hint="eastAsia" w:ascii="宋体" w:hAnsi="宋体" w:cs="宋体"/>
          <w:b/>
          <w:color w:val="000000" w:themeColor="text1"/>
          <w:sz w:val="44"/>
          <w:szCs w:val="44"/>
          <w:lang w:val="en-US" w:eastAsia="zh-CN"/>
          <w14:textFill>
            <w14:solidFill>
              <w14:schemeClr w14:val="tx1"/>
            </w14:solidFill>
          </w14:textFill>
        </w:rPr>
        <w:t>非政府采购</w:t>
      </w:r>
      <w:r>
        <w:rPr>
          <w:rFonts w:hint="eastAsia" w:ascii="宋体" w:hAnsi="宋体" w:cs="宋体"/>
          <w:b/>
          <w:color w:val="000000" w:themeColor="text1"/>
          <w:sz w:val="44"/>
          <w:szCs w:val="44"/>
          <w14:textFill>
            <w14:solidFill>
              <w14:schemeClr w14:val="tx1"/>
            </w14:solidFill>
          </w14:textFill>
        </w:rPr>
        <w:t>）</w:t>
      </w:r>
    </w:p>
    <w:p w14:paraId="3253DF20">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XTJD-NH-250710</w:t>
      </w:r>
    </w:p>
    <w:p w14:paraId="081A91AD">
      <w:pPr>
        <w:adjustRightInd/>
        <w:spacing w:line="360" w:lineRule="auto"/>
        <w:rPr>
          <w:rFonts w:ascii="宋体" w:hAnsi="宋体" w:cs="宋体"/>
          <w:color w:val="000000" w:themeColor="text1"/>
          <w:sz w:val="28"/>
          <w:szCs w:val="20"/>
          <w14:textFill>
            <w14:solidFill>
              <w14:schemeClr w14:val="tx1"/>
            </w14:solidFill>
          </w14:textFill>
        </w:rPr>
      </w:pPr>
    </w:p>
    <w:p w14:paraId="71CA4287">
      <w:pPr>
        <w:spacing w:line="360" w:lineRule="auto"/>
        <w:jc w:val="center"/>
        <w:rPr>
          <w:rFonts w:ascii="宋体" w:hAnsi="宋体" w:cs="宋体"/>
          <w:b/>
          <w:color w:val="000000" w:themeColor="text1"/>
          <w:sz w:val="44"/>
          <w:szCs w:val="44"/>
          <w14:textFill>
            <w14:solidFill>
              <w14:schemeClr w14:val="tx1"/>
            </w14:solidFill>
          </w14:textFill>
        </w:rPr>
      </w:pPr>
    </w:p>
    <w:p w14:paraId="2F552E11">
      <w:pPr>
        <w:pStyle w:val="61"/>
        <w:rPr>
          <w:color w:val="000000" w:themeColor="text1"/>
          <w:lang w:val="en-US"/>
          <w14:textFill>
            <w14:solidFill>
              <w14:schemeClr w14:val="tx1"/>
            </w14:solidFill>
          </w14:textFill>
        </w:rPr>
      </w:pPr>
    </w:p>
    <w:p w14:paraId="61D6BAB8">
      <w:pPr>
        <w:rPr>
          <w:color w:val="000000" w:themeColor="text1"/>
          <w14:textFill>
            <w14:solidFill>
              <w14:schemeClr w14:val="tx1"/>
            </w14:solidFill>
          </w14:textFill>
        </w:rPr>
      </w:pPr>
    </w:p>
    <w:p w14:paraId="2E37DCD8">
      <w:pPr>
        <w:pStyle w:val="61"/>
        <w:rPr>
          <w:color w:val="000000" w:themeColor="text1"/>
          <w:lang w:val="en-US"/>
          <w14:textFill>
            <w14:solidFill>
              <w14:schemeClr w14:val="tx1"/>
            </w14:solidFill>
          </w14:textFill>
        </w:rPr>
      </w:pPr>
    </w:p>
    <w:p w14:paraId="435EEFE5">
      <w:pPr>
        <w:rPr>
          <w:color w:val="000000" w:themeColor="text1"/>
          <w14:textFill>
            <w14:solidFill>
              <w14:schemeClr w14:val="tx1"/>
            </w14:solidFill>
          </w14:textFill>
        </w:rPr>
      </w:pPr>
    </w:p>
    <w:p w14:paraId="4BE29B0E">
      <w:pPr>
        <w:pStyle w:val="61"/>
        <w:rPr>
          <w:color w:val="000000" w:themeColor="text1"/>
          <w:lang w:val="en-US"/>
          <w14:textFill>
            <w14:solidFill>
              <w14:schemeClr w14:val="tx1"/>
            </w14:solidFill>
          </w14:textFill>
        </w:rPr>
      </w:pPr>
    </w:p>
    <w:p w14:paraId="71BC267A">
      <w:pPr>
        <w:rPr>
          <w:color w:val="000000" w:themeColor="text1"/>
          <w14:textFill>
            <w14:solidFill>
              <w14:schemeClr w14:val="tx1"/>
            </w14:solidFill>
          </w14:textFill>
        </w:rPr>
      </w:pPr>
    </w:p>
    <w:p w14:paraId="6F9D907F">
      <w:pPr>
        <w:pStyle w:val="61"/>
        <w:rPr>
          <w:color w:val="000000" w:themeColor="text1"/>
          <w:lang w:val="en-US"/>
          <w14:textFill>
            <w14:solidFill>
              <w14:schemeClr w14:val="tx1"/>
            </w14:solidFill>
          </w14:textFill>
        </w:rPr>
      </w:pPr>
    </w:p>
    <w:p w14:paraId="3FE334CF">
      <w:pPr>
        <w:rPr>
          <w:color w:val="000000" w:themeColor="text1"/>
          <w14:textFill>
            <w14:solidFill>
              <w14:schemeClr w14:val="tx1"/>
            </w14:solidFill>
          </w14:textFill>
        </w:rPr>
      </w:pPr>
    </w:p>
    <w:p w14:paraId="3429636A">
      <w:pPr>
        <w:pStyle w:val="61"/>
        <w:rPr>
          <w:color w:val="000000" w:themeColor="text1"/>
          <w:lang w:val="en-US"/>
          <w14:textFill>
            <w14:solidFill>
              <w14:schemeClr w14:val="tx1"/>
            </w14:solidFill>
          </w14:textFill>
        </w:rPr>
      </w:pPr>
    </w:p>
    <w:p w14:paraId="0AAEA45F">
      <w:pPr>
        <w:rPr>
          <w:color w:val="000000" w:themeColor="text1"/>
          <w14:textFill>
            <w14:solidFill>
              <w14:schemeClr w14:val="tx1"/>
            </w14:solidFill>
          </w14:textFill>
        </w:rPr>
      </w:pPr>
    </w:p>
    <w:p w14:paraId="602BD3CC">
      <w:pPr>
        <w:pStyle w:val="61"/>
        <w:rPr>
          <w:color w:val="000000" w:themeColor="text1"/>
          <w:lang w:val="en-US"/>
          <w14:textFill>
            <w14:solidFill>
              <w14:schemeClr w14:val="tx1"/>
            </w14:solidFill>
          </w14:textFill>
        </w:rPr>
      </w:pPr>
    </w:p>
    <w:p w14:paraId="4DA5CF95">
      <w:pPr>
        <w:rPr>
          <w:color w:val="000000" w:themeColor="text1"/>
          <w14:textFill>
            <w14:solidFill>
              <w14:schemeClr w14:val="tx1"/>
            </w14:solidFill>
          </w14:textFill>
        </w:rPr>
      </w:pPr>
    </w:p>
    <w:p w14:paraId="1D0739FE">
      <w:pPr>
        <w:pStyle w:val="3"/>
        <w:rPr>
          <w:color w:val="000000" w:themeColor="text1"/>
          <w14:textFill>
            <w14:solidFill>
              <w14:schemeClr w14:val="tx1"/>
            </w14:solidFill>
          </w14:textFill>
        </w:rPr>
      </w:pPr>
    </w:p>
    <w:p w14:paraId="3CA011F6">
      <w:pPr>
        <w:spacing w:line="360" w:lineRule="auto"/>
        <w:jc w:val="center"/>
        <w:rPr>
          <w:rFonts w:ascii="宋体" w:hAnsi="宋体" w:cs="宋体"/>
          <w:color w:val="000000" w:themeColor="text1"/>
          <w:sz w:val="24"/>
          <w14:textFill>
            <w14:solidFill>
              <w14:schemeClr w14:val="tx1"/>
            </w14:solidFill>
          </w14:textFill>
        </w:rPr>
      </w:pPr>
    </w:p>
    <w:p w14:paraId="7133FCC3">
      <w:pPr>
        <w:spacing w:line="360" w:lineRule="auto"/>
        <w:rPr>
          <w:rFonts w:ascii="宋体" w:hAnsi="宋体" w:cs="宋体"/>
          <w:color w:val="000000" w:themeColor="text1"/>
          <w:sz w:val="32"/>
          <w:szCs w:val="32"/>
          <w14:textFill>
            <w14:solidFill>
              <w14:schemeClr w14:val="tx1"/>
            </w14:solidFill>
          </w14:textFill>
        </w:rPr>
      </w:pPr>
    </w:p>
    <w:p w14:paraId="7ECD24FF">
      <w:pPr>
        <w:jc w:val="center"/>
        <w:rPr>
          <w:rFonts w:hint="eastAsia" w:eastAsia="宋体"/>
          <w:color w:val="000000" w:themeColor="text1"/>
          <w:sz w:val="40"/>
          <w:szCs w:val="28"/>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杭州市萧山区新塘街道南晖社区居民委员会</w:t>
      </w:r>
    </w:p>
    <w:p w14:paraId="38F5D9D2">
      <w:pPr>
        <w:snapToGrid w:val="0"/>
        <w:spacing w:line="360" w:lineRule="auto"/>
        <w:jc w:val="center"/>
        <w:rPr>
          <w:b/>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浙江明业项目管理有限公司</w:t>
      </w:r>
    </w:p>
    <w:p w14:paraId="4FD0E389">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p>
    <w:p w14:paraId="2BEF1119">
      <w:pPr>
        <w:snapToGrid w:val="0"/>
        <w:spacing w:line="360" w:lineRule="auto"/>
        <w:jc w:val="center"/>
        <w:rPr>
          <w:rFonts w:ascii="宋体" w:hAnsi="宋体" w:cs="宋体"/>
          <w:color w:val="000000" w:themeColor="text1"/>
          <w:sz w:val="24"/>
          <w14:textFill>
            <w14:solidFill>
              <w14:schemeClr w14:val="tx1"/>
            </w14:solidFill>
          </w14:textFill>
        </w:rPr>
      </w:pPr>
    </w:p>
    <w:p w14:paraId="7F37DEA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2ECF972F">
      <w:pPr>
        <w:spacing w:line="360" w:lineRule="auto"/>
        <w:jc w:val="center"/>
        <w:rPr>
          <w:rFonts w:ascii="宋体" w:hAnsi="宋体" w:cs="宋体"/>
          <w:color w:val="000000" w:themeColor="text1"/>
          <w:sz w:val="24"/>
          <w14:textFill>
            <w14:solidFill>
              <w14:schemeClr w14:val="tx1"/>
            </w14:solidFill>
          </w14:textFill>
        </w:rPr>
      </w:pPr>
    </w:p>
    <w:p w14:paraId="47CF654C">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目录</w:t>
      </w:r>
    </w:p>
    <w:p w14:paraId="402D60E8">
      <w:pPr>
        <w:spacing w:line="360" w:lineRule="auto"/>
        <w:rPr>
          <w:rFonts w:ascii="宋体" w:hAnsi="宋体" w:cs="宋体"/>
          <w:color w:val="000000" w:themeColor="text1"/>
          <w:sz w:val="32"/>
          <w:szCs w:val="32"/>
          <w14:textFill>
            <w14:solidFill>
              <w14:schemeClr w14:val="tx1"/>
            </w14:solidFill>
          </w14:textFill>
        </w:rPr>
      </w:pPr>
    </w:p>
    <w:p w14:paraId="5D7BD2C4">
      <w:pPr>
        <w:spacing w:line="360" w:lineRule="auto"/>
        <w:rPr>
          <w:rFonts w:ascii="宋体" w:hAnsi="宋体" w:cs="宋体"/>
          <w:color w:val="000000" w:themeColor="text1"/>
          <w:sz w:val="32"/>
          <w:szCs w:val="32"/>
          <w14:textFill>
            <w14:solidFill>
              <w14:schemeClr w14:val="tx1"/>
            </w14:solidFill>
          </w14:textFill>
        </w:rPr>
      </w:pPr>
    </w:p>
    <w:p w14:paraId="632B89D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第一部分交易公告</w:t>
      </w:r>
    </w:p>
    <w:p w14:paraId="1D701B34">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第二部分响应人须知</w:t>
      </w:r>
    </w:p>
    <w:p w14:paraId="5A54CCA4">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第三部分采购需求</w:t>
      </w:r>
    </w:p>
    <w:p w14:paraId="2FBE80FC">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第四部分评审办法</w:t>
      </w:r>
    </w:p>
    <w:p w14:paraId="18E66FF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第五部分应提交的有关格式范例</w:t>
      </w:r>
    </w:p>
    <w:p w14:paraId="6045EDEE">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14:paraId="22012D6F">
      <w:pPr>
        <w:spacing w:line="360" w:lineRule="auto"/>
        <w:ind w:firstLine="549" w:firstLineChars="229"/>
        <w:rPr>
          <w:rFonts w:ascii="宋体" w:hAnsi="宋体" w:cs="宋体"/>
          <w:color w:val="000000" w:themeColor="text1"/>
          <w:sz w:val="24"/>
          <w14:textFill>
            <w14:solidFill>
              <w14:schemeClr w14:val="tx1"/>
            </w14:solidFill>
          </w14:textFill>
        </w:rPr>
      </w:pPr>
    </w:p>
    <w:p w14:paraId="7A0920A9">
      <w:pPr>
        <w:spacing w:line="360" w:lineRule="auto"/>
        <w:ind w:firstLine="549" w:firstLineChars="229"/>
        <w:rPr>
          <w:rFonts w:ascii="宋体" w:hAnsi="宋体" w:cs="宋体"/>
          <w:color w:val="000000" w:themeColor="text1"/>
          <w:sz w:val="24"/>
          <w14:textFill>
            <w14:solidFill>
              <w14:schemeClr w14:val="tx1"/>
            </w14:solidFill>
          </w14:textFill>
        </w:rPr>
      </w:pPr>
    </w:p>
    <w:p w14:paraId="20AF88BE">
      <w:pPr>
        <w:spacing w:line="360" w:lineRule="auto"/>
        <w:ind w:firstLine="549" w:firstLineChars="229"/>
        <w:rPr>
          <w:rFonts w:ascii="宋体" w:hAnsi="宋体" w:cs="宋体"/>
          <w:color w:val="000000" w:themeColor="text1"/>
          <w:sz w:val="24"/>
          <w14:textFill>
            <w14:solidFill>
              <w14:schemeClr w14:val="tx1"/>
            </w14:solidFill>
          </w14:textFill>
        </w:rPr>
      </w:pPr>
    </w:p>
    <w:p w14:paraId="1E2712FF">
      <w:pPr>
        <w:spacing w:line="360" w:lineRule="auto"/>
        <w:ind w:firstLine="549" w:firstLineChars="229"/>
        <w:rPr>
          <w:rFonts w:ascii="宋体" w:hAnsi="宋体" w:cs="宋体"/>
          <w:color w:val="000000" w:themeColor="text1"/>
          <w:sz w:val="24"/>
          <w14:textFill>
            <w14:solidFill>
              <w14:schemeClr w14:val="tx1"/>
            </w14:solidFill>
          </w14:textFill>
        </w:rPr>
      </w:pPr>
    </w:p>
    <w:p w14:paraId="2ED35176">
      <w:pPr>
        <w:spacing w:line="360" w:lineRule="auto"/>
        <w:ind w:firstLine="549" w:firstLineChars="229"/>
        <w:rPr>
          <w:rFonts w:ascii="宋体" w:hAnsi="宋体" w:cs="宋体"/>
          <w:color w:val="000000" w:themeColor="text1"/>
          <w:sz w:val="24"/>
          <w14:textFill>
            <w14:solidFill>
              <w14:schemeClr w14:val="tx1"/>
            </w14:solidFill>
          </w14:textFill>
        </w:rPr>
      </w:pPr>
    </w:p>
    <w:p w14:paraId="1C1AF5DC">
      <w:pPr>
        <w:spacing w:line="360" w:lineRule="auto"/>
        <w:ind w:firstLine="549" w:firstLineChars="229"/>
        <w:rPr>
          <w:rFonts w:ascii="宋体" w:hAnsi="宋体" w:cs="宋体"/>
          <w:color w:val="000000" w:themeColor="text1"/>
          <w:sz w:val="24"/>
          <w14:textFill>
            <w14:solidFill>
              <w14:schemeClr w14:val="tx1"/>
            </w14:solidFill>
          </w14:textFill>
        </w:rPr>
      </w:pPr>
    </w:p>
    <w:p w14:paraId="60BADDA8">
      <w:pPr>
        <w:spacing w:line="360" w:lineRule="auto"/>
        <w:ind w:firstLine="549" w:firstLineChars="229"/>
        <w:rPr>
          <w:rFonts w:ascii="宋体" w:hAnsi="宋体" w:cs="宋体"/>
          <w:color w:val="000000" w:themeColor="text1"/>
          <w:sz w:val="24"/>
          <w14:textFill>
            <w14:solidFill>
              <w14:schemeClr w14:val="tx1"/>
            </w14:solidFill>
          </w14:textFill>
        </w:rPr>
      </w:pPr>
    </w:p>
    <w:p w14:paraId="7D8F13FF">
      <w:pPr>
        <w:spacing w:line="360" w:lineRule="auto"/>
        <w:ind w:firstLine="549" w:firstLineChars="229"/>
        <w:rPr>
          <w:rFonts w:ascii="宋体" w:hAnsi="宋体" w:cs="宋体"/>
          <w:color w:val="000000" w:themeColor="text1"/>
          <w:sz w:val="24"/>
          <w14:textFill>
            <w14:solidFill>
              <w14:schemeClr w14:val="tx1"/>
            </w14:solidFill>
          </w14:textFill>
        </w:rPr>
      </w:pPr>
    </w:p>
    <w:p w14:paraId="14962502">
      <w:pPr>
        <w:spacing w:line="360" w:lineRule="auto"/>
        <w:ind w:firstLine="549" w:firstLineChars="229"/>
        <w:rPr>
          <w:rFonts w:ascii="宋体" w:hAnsi="宋体" w:cs="宋体"/>
          <w:color w:val="000000" w:themeColor="text1"/>
          <w:sz w:val="24"/>
          <w14:textFill>
            <w14:solidFill>
              <w14:schemeClr w14:val="tx1"/>
            </w14:solidFill>
          </w14:textFill>
        </w:rPr>
      </w:pPr>
    </w:p>
    <w:p w14:paraId="606C9747">
      <w:pPr>
        <w:spacing w:line="360" w:lineRule="auto"/>
        <w:ind w:firstLine="549" w:firstLineChars="229"/>
        <w:rPr>
          <w:rFonts w:ascii="宋体" w:hAnsi="宋体" w:cs="宋体"/>
          <w:color w:val="000000" w:themeColor="text1"/>
          <w:sz w:val="24"/>
          <w14:textFill>
            <w14:solidFill>
              <w14:schemeClr w14:val="tx1"/>
            </w14:solidFill>
          </w14:textFill>
        </w:rPr>
      </w:pPr>
    </w:p>
    <w:p w14:paraId="2FD069D9">
      <w:pPr>
        <w:spacing w:line="360" w:lineRule="auto"/>
        <w:ind w:firstLine="549" w:firstLineChars="229"/>
        <w:rPr>
          <w:rFonts w:ascii="宋体" w:hAnsi="宋体" w:cs="宋体"/>
          <w:color w:val="000000" w:themeColor="text1"/>
          <w:sz w:val="24"/>
          <w14:textFill>
            <w14:solidFill>
              <w14:schemeClr w14:val="tx1"/>
            </w14:solidFill>
          </w14:textFill>
        </w:rPr>
      </w:pPr>
    </w:p>
    <w:p w14:paraId="293382E9">
      <w:pPr>
        <w:spacing w:line="360" w:lineRule="auto"/>
        <w:ind w:firstLine="549" w:firstLineChars="229"/>
        <w:rPr>
          <w:rFonts w:ascii="宋体" w:hAnsi="宋体" w:cs="宋体"/>
          <w:color w:val="000000" w:themeColor="text1"/>
          <w:sz w:val="24"/>
          <w14:textFill>
            <w14:solidFill>
              <w14:schemeClr w14:val="tx1"/>
            </w14:solidFill>
          </w14:textFill>
        </w:rPr>
      </w:pPr>
    </w:p>
    <w:p w14:paraId="1BB0B206">
      <w:pPr>
        <w:spacing w:line="360" w:lineRule="auto"/>
        <w:rPr>
          <w:rFonts w:ascii="宋体" w:hAnsi="宋体" w:cs="宋体"/>
          <w:color w:val="000000" w:themeColor="text1"/>
          <w:sz w:val="24"/>
          <w14:textFill>
            <w14:solidFill>
              <w14:schemeClr w14:val="tx1"/>
            </w14:solidFill>
          </w14:textFill>
        </w:rPr>
      </w:pPr>
    </w:p>
    <w:p w14:paraId="7BC8C195">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第一部分交易公告</w:t>
      </w:r>
    </w:p>
    <w:p w14:paraId="61C6331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4E2A30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cs="Arial"/>
          <w:color w:val="000000" w:themeColor="text1"/>
          <w:kern w:val="0"/>
          <w:sz w:val="24"/>
          <w:highlight w:val="none"/>
          <w:u w:val="single"/>
          <w:lang w:eastAsia="zh-CN"/>
          <w14:textFill>
            <w14:solidFill>
              <w14:schemeClr w14:val="tx1"/>
            </w14:solidFill>
          </w14:textFill>
        </w:rPr>
        <w:t>新塘街道南晖社区百姓健身房合作服务项目</w:t>
      </w:r>
      <w:r>
        <w:rPr>
          <w:rFonts w:hint="eastAsia" w:ascii="宋体" w:hAnsi="宋体" w:cs="宋体"/>
          <w:color w:val="000000" w:themeColor="text1"/>
          <w:sz w:val="24"/>
          <w:highlight w:val="none"/>
          <w14:textFill>
            <w14:solidFill>
              <w14:schemeClr w14:val="tx1"/>
            </w14:solidFill>
          </w14:textFill>
        </w:rPr>
        <w:t>交易项目的潜在响应人应在</w:t>
      </w:r>
      <w:r>
        <w:rPr>
          <w:rFonts w:hint="eastAsia" w:ascii="宋体" w:hAnsi="宋体" w:cs="宋体"/>
          <w:color w:val="000000" w:themeColor="text1"/>
          <w:sz w:val="24"/>
          <w:highlight w:val="none"/>
          <w:lang w:val="en-US" w:eastAsia="zh-CN"/>
          <w14:textFill>
            <w14:solidFill>
              <w14:schemeClr w14:val="tx1"/>
            </w14:solidFill>
          </w14:textFill>
        </w:rPr>
        <w:t>乐</w:t>
      </w:r>
      <w:r>
        <w:rPr>
          <w:rFonts w:hint="eastAsia" w:ascii="宋体" w:hAnsi="宋体" w:cs="宋体"/>
          <w:color w:val="000000" w:themeColor="text1"/>
          <w:sz w:val="24"/>
          <w:highlight w:val="none"/>
          <w14:textFill>
            <w14:solidFill>
              <w14:schemeClr w14:val="tx1"/>
            </w14:solidFill>
          </w14:textFill>
        </w:rPr>
        <w:t>采云平台（</w:t>
      </w: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 HYPERLINK "https://www.zcygov.cn/）获取（下载）交易文件，并于2022年%20%20月%20%20日%20%20点00分00秒" </w:instrText>
      </w:r>
      <w:r>
        <w:rPr>
          <w:rFonts w:hint="eastAsia" w:ascii="宋体" w:hAnsi="宋体" w:cs="宋体"/>
          <w:bCs/>
          <w:color w:val="auto"/>
          <w:sz w:val="24"/>
          <w:highlight w:val="none"/>
        </w:rPr>
        <w:fldChar w:fldCharType="separate"/>
      </w:r>
      <w:r>
        <w:rPr>
          <w:rFonts w:hint="eastAsia" w:ascii="宋体" w:hAnsi="宋体" w:cs="宋体"/>
          <w:bCs/>
          <w:color w:val="auto"/>
          <w:sz w:val="24"/>
          <w:highlight w:val="none"/>
        </w:rPr>
        <w:t>https://b.zhengcaiyun.cn/）获取（下载）交易文件，并于202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分00秒</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28DC9B2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6BF75E6A">
      <w:pPr>
        <w:spacing w:line="360" w:lineRule="auto"/>
        <w:ind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XTJD-NH-250710</w:t>
      </w:r>
    </w:p>
    <w:p w14:paraId="1075189D">
      <w:pPr>
        <w:spacing w:line="360" w:lineRule="auto"/>
        <w:ind w:firstLine="48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eastAsia="zh-CN"/>
          <w14:textFill>
            <w14:solidFill>
              <w14:schemeClr w14:val="tx1"/>
            </w14:solidFill>
          </w14:textFill>
        </w:rPr>
        <w:t>新塘街道南晖社区百姓健身房合作服务项目</w:t>
      </w:r>
    </w:p>
    <w:p w14:paraId="4FDFEB9C">
      <w:pPr>
        <w:spacing w:line="360" w:lineRule="auto"/>
        <w:ind w:firstLine="48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w:t>
      </w:r>
    </w:p>
    <w:p w14:paraId="0DC26D90">
      <w:pPr>
        <w:spacing w:line="360" w:lineRule="auto"/>
        <w:ind w:firstLine="48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w:t>
      </w:r>
    </w:p>
    <w:p w14:paraId="18EA8759">
      <w:pPr>
        <w:pStyle w:val="15"/>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15A2C4E5">
      <w:pPr>
        <w:spacing w:line="360" w:lineRule="auto"/>
        <w:ind w:left="420" w:left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cs="Arial"/>
          <w:color w:val="000000" w:themeColor="text1"/>
          <w:kern w:val="0"/>
          <w:sz w:val="24"/>
          <w:highlight w:val="none"/>
          <w:lang w:eastAsia="zh-CN"/>
          <w14:textFill>
            <w14:solidFill>
              <w14:schemeClr w14:val="tx1"/>
            </w14:solidFill>
          </w14:textFill>
        </w:rPr>
        <w:t>新塘街道南晖社区百姓健身房合作服务项目</w:t>
      </w:r>
    </w:p>
    <w:p w14:paraId="031A492E">
      <w:pPr>
        <w:spacing w:line="360" w:lineRule="auto"/>
        <w:ind w:left="420" w:left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数量</w:t>
      </w:r>
      <w:r>
        <w:rPr>
          <w:rFonts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 xml:space="preserve">1  </w:t>
      </w:r>
    </w:p>
    <w:p w14:paraId="1A48B2E5">
      <w:pPr>
        <w:spacing w:line="360" w:lineRule="auto"/>
        <w:ind w:left="420" w:leftChars="200"/>
        <w:jc w:val="left"/>
        <w:rPr>
          <w:rFonts w:ascii="宋体" w:hAnsi="宋体" w:cs="宋体"/>
          <w:color w:val="000000" w:themeColor="text1"/>
          <w:sz w:val="24"/>
          <w:szCs w:val="28"/>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w:t>
      </w:r>
      <w:r>
        <w:rPr>
          <w:rFonts w:hint="eastAsia" w:ascii="宋体" w:hAnsi="宋体" w:cs="宋体"/>
          <w:color w:val="000000" w:themeColor="text1"/>
          <w:sz w:val="24"/>
          <w:szCs w:val="28"/>
          <w:highlight w:val="none"/>
          <w14:textFill>
            <w14:solidFill>
              <w14:schemeClr w14:val="tx1"/>
            </w14:solidFill>
          </w14:textFill>
        </w:rPr>
        <w:t>详见交易</w:t>
      </w:r>
      <w:r>
        <w:rPr>
          <w:rFonts w:hint="eastAsia" w:ascii="宋体" w:hAnsi="宋体" w:cs="宋体"/>
          <w:color w:val="000000" w:themeColor="text1"/>
          <w:sz w:val="24"/>
          <w:szCs w:val="28"/>
          <w14:textFill>
            <w14:solidFill>
              <w14:schemeClr w14:val="tx1"/>
            </w14:solidFill>
          </w14:textFill>
        </w:rPr>
        <w:t>文件</w:t>
      </w:r>
    </w:p>
    <w:p w14:paraId="7F2570AB">
      <w:pPr>
        <w:pStyle w:val="1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备注：</w:t>
      </w:r>
    </w:p>
    <w:p w14:paraId="3687B3AE">
      <w:pPr>
        <w:spacing w:line="360" w:lineRule="auto"/>
        <w:ind w:left="420" w:leftChars="200"/>
        <w:jc w:val="left"/>
        <w:rPr>
          <w:rFonts w:hint="default" w:ascii="宋体" w:hAnsi="宋体" w:cs="宋体"/>
          <w:b/>
          <w:color w:val="000000" w:themeColor="text1"/>
          <w:sz w:val="24"/>
          <w:lang w:val="en-US"/>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合同履约期限：</w:t>
      </w:r>
      <w:r>
        <w:rPr>
          <w:rFonts w:hint="eastAsia" w:ascii="宋体" w:hAnsi="宋体" w:cs="宋体"/>
          <w:color w:val="000000" w:themeColor="text1"/>
          <w:sz w:val="24"/>
          <w:szCs w:val="28"/>
          <w:lang w:val="en-US" w:eastAsia="zh-CN"/>
          <w14:textFill>
            <w14:solidFill>
              <w14:schemeClr w14:val="tx1"/>
            </w14:solidFill>
          </w14:textFill>
        </w:rPr>
        <w:t>详见采购需求</w:t>
      </w:r>
    </w:p>
    <w:p w14:paraId="035DA503">
      <w:pPr>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本项目接受联合体响应：（）是；（√）否</w:t>
      </w:r>
      <w:r>
        <w:rPr>
          <w:rFonts w:hint="eastAsia" w:ascii="宋体" w:hAnsi="宋体" w:cs="宋体"/>
          <w:color w:val="000000" w:themeColor="text1"/>
          <w:kern w:val="0"/>
          <w:sz w:val="24"/>
          <w14:textFill>
            <w14:solidFill>
              <w14:schemeClr w14:val="tx1"/>
            </w14:solidFill>
          </w14:textFill>
        </w:rPr>
        <w:t>。</w:t>
      </w:r>
    </w:p>
    <w:p w14:paraId="3F4FC5F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6D1EF0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67E2778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64F5EC1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0879A3D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615954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5、参加交易活动前三年内，在经营活动中没有重大违法记录；</w:t>
      </w:r>
    </w:p>
    <w:p w14:paraId="00C95EA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0234E5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7、本项目的特定资格要求：无</w:t>
      </w:r>
    </w:p>
    <w:p w14:paraId="28E568A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三、获取交易文件</w:t>
      </w:r>
    </w:p>
    <w:p w14:paraId="18BE493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/年/月/日-交易截止时间止</w:t>
      </w:r>
      <w:r>
        <w:rPr>
          <w:rFonts w:hint="eastAsia" w:ascii="宋体" w:hAnsi="宋体" w:cs="宋体"/>
          <w:color w:val="000000" w:themeColor="text1"/>
          <w:sz w:val="24"/>
          <w14:textFill>
            <w14:solidFill>
              <w14:schemeClr w14:val="tx1"/>
            </w14:solidFill>
          </w14:textFill>
        </w:rPr>
        <w:t>，每天上午09:00至11:30，下午13:30至16：00（工作时间，线上获取法定节假日均可，线下获取文件法定节假日除外）</w:t>
      </w:r>
    </w:p>
    <w:p w14:paraId="441DD84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w:t>
      </w:r>
    </w:p>
    <w:p w14:paraId="006B836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p>
    <w:p w14:paraId="75DDC5D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1、获取方式：响应人登录</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 xml:space="preserve">）在线申请获取采购文件（进入“项目采购”应用，在获取采购文件菜单中选择项目，申请获取采购文件）。 </w:t>
      </w:r>
    </w:p>
    <w:p w14:paraId="080A29A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2、网上报名：响应人登录</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）在线申请获取采购文件（进入“项目采购”应用，在获取采购文件菜单中选择项目，申请获取采购文件），提交报名资料。</w:t>
      </w:r>
    </w:p>
    <w:p w14:paraId="5A48DEC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四、提交响应文件截止时间、交易时间和地点</w:t>
      </w:r>
    </w:p>
    <w:p w14:paraId="2BEF2F5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提交响应文件截止时</w:t>
      </w:r>
      <w:r>
        <w:rPr>
          <w:rFonts w:hint="eastAsia" w:ascii="宋体" w:hAnsi="宋体" w:cs="宋体"/>
          <w:b/>
          <w:color w:val="auto"/>
          <w:sz w:val="24"/>
        </w:rPr>
        <w:t>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分00秒</w:t>
      </w:r>
      <w:r>
        <w:rPr>
          <w:rFonts w:hint="eastAsia" w:ascii="宋体" w:hAnsi="宋体" w:cs="宋体"/>
          <w:color w:val="000000" w:themeColor="text1"/>
          <w:sz w:val="24"/>
          <w14:textFill>
            <w14:solidFill>
              <w14:schemeClr w14:val="tx1"/>
            </w14:solidFill>
          </w14:textFill>
        </w:rPr>
        <w:t>（北京时间）</w:t>
      </w:r>
    </w:p>
    <w:p w14:paraId="22EC7E9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交易地点（网址）：</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w:t>
      </w:r>
    </w:p>
    <w:p w14:paraId="6D2A4A3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交易时间：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分00秒</w:t>
      </w:r>
      <w:r>
        <w:rPr>
          <w:rFonts w:hint="eastAsia" w:ascii="宋体" w:hAnsi="宋体" w:cs="宋体"/>
          <w:color w:val="000000" w:themeColor="text1"/>
          <w:sz w:val="24"/>
          <w14:textFill>
            <w14:solidFill>
              <w14:schemeClr w14:val="tx1"/>
            </w14:solidFill>
          </w14:textFill>
        </w:rPr>
        <w:t>（北京时间）</w:t>
      </w:r>
    </w:p>
    <w:p w14:paraId="37280DE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交易地点（网址）：</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w:t>
      </w:r>
    </w:p>
    <w:p w14:paraId="7D636E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五、公告期限</w:t>
      </w:r>
    </w:p>
    <w:p w14:paraId="1375B45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自本公告发布之日起3日。</w:t>
      </w:r>
    </w:p>
    <w:p w14:paraId="5190D40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4F62C7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响应人对采购人、采购代理机构的答复不满意或者采购人、采购代理机构未在规定的时间内作出答复的，可以在答复期满后十五个工作日内向</w:t>
      </w:r>
      <w:r>
        <w:rPr>
          <w:rFonts w:hint="eastAsia" w:ascii="宋体" w:hAnsi="宋体" w:cs="宋体"/>
          <w:color w:val="000000" w:themeColor="text1"/>
          <w:sz w:val="24"/>
          <w:lang w:val="en-US" w:eastAsia="zh-CN"/>
          <w14:textFill>
            <w14:solidFill>
              <w14:schemeClr w14:val="tx1"/>
            </w14:solidFill>
          </w14:textFill>
        </w:rPr>
        <w:t>基层</w:t>
      </w:r>
      <w:r>
        <w:rPr>
          <w:rFonts w:hint="eastAsia" w:ascii="宋体" w:hAnsi="宋体" w:cs="宋体"/>
          <w:color w:val="000000" w:themeColor="text1"/>
          <w:sz w:val="24"/>
          <w14:textFill>
            <w14:solidFill>
              <w14:schemeClr w14:val="tx1"/>
            </w14:solidFill>
          </w14:textFill>
        </w:rPr>
        <w:t>监督管理部门投诉。质疑函范本、投诉书范本请到浙江政府采购网下载专区下载。</w:t>
      </w:r>
    </w:p>
    <w:p w14:paraId="490921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2.其他事项：电子交易（招投标）的说明：①电子交易：本项目以数据电文形式，依托“</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进行交易活动，不接受纸质响应文件；②交易准备：注册账号--点击“商家入驻”，进行政府采购响应人资料填写；申领CA数字证书---申领流程详见“浙江政府采购网-下载专区-电子交易客户端-CA驱动和申领流程”；安装“</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采云电子交易客户端”----前往“浙江政府采购网-下载专区-电子交易客户端”进行下载并安装；③交易（采购）文件的获取：使用账号登录或者使用CA登录</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采云平台；进入“项目采购”应用，在获取采购文件菜单中选择项目，获取交易文件；④响应文件的制作：在“</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采云电子交易客户端”中完成“填写基本信息”、“导入响应文件”、“标书关联”、“标书检查”、“电子签名”、“生成电子标书”等操作；⑤采购人、采购机构将依托</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完成本项目的电子交易活动，平台不接受未按上述方式获取交易文件的响应人进行交易活动；⑥对未按上述方式获取交易文件的响应人对该文件提出的质疑，采购人或采购代理机构将不予处理；⑦不提供交易文件纸质版；⑧响应文件的传输递交：响应人在交易截止时间前将加密的响应文件上传至</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还可以在交易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w:t>
      </w:r>
      <w:r>
        <w:rPr>
          <w:rFonts w:hint="eastAsia" w:ascii="宋体" w:hAnsi="宋体" w:cs="宋体"/>
          <w:color w:val="000000" w:themeColor="text1"/>
          <w:sz w:val="24"/>
          <w:lang w:val="en-US" w:eastAsia="zh-CN"/>
          <w14:textFill>
            <w14:solidFill>
              <w14:schemeClr w14:val="tx1"/>
            </w14:solidFill>
          </w14:textFill>
        </w:rPr>
        <w:t>乐采云</w:t>
      </w:r>
      <w:r>
        <w:rPr>
          <w:rFonts w:hint="eastAsia" w:ascii="宋体" w:hAnsi="宋体" w:cs="宋体"/>
          <w:color w:val="000000" w:themeColor="text1"/>
          <w:sz w:val="24"/>
          <w14:textFill>
            <w14:solidFill>
              <w14:schemeClr w14:val="tx1"/>
            </w14:solidFill>
          </w14:textFill>
        </w:rPr>
        <w:t>平台”上传递交的响应文件无法按时解密，交易响应人递交了备份响应文件的，以备份响应文件为依据，否则视为响应文件撤回。通过“</w:t>
      </w:r>
      <w:r>
        <w:rPr>
          <w:rFonts w:hint="eastAsia" w:ascii="宋体" w:hAnsi="宋体" w:cs="宋体"/>
          <w:color w:val="000000" w:themeColor="text1"/>
          <w:sz w:val="24"/>
          <w:lang w:val="en-US" w:eastAsia="zh-CN"/>
          <w14:textFill>
            <w14:solidFill>
              <w14:schemeClr w14:val="tx1"/>
            </w14:solidFill>
          </w14:textFill>
        </w:rPr>
        <w:t>乐采云</w:t>
      </w:r>
      <w:r>
        <w:rPr>
          <w:rFonts w:hint="eastAsia" w:ascii="宋体" w:hAnsi="宋体" w:cs="宋体"/>
          <w:color w:val="000000" w:themeColor="text1"/>
          <w:sz w:val="24"/>
          <w14:textFill>
            <w14:solidFill>
              <w14:schemeClr w14:val="tx1"/>
            </w14:solidFill>
          </w14:textFill>
        </w:rPr>
        <w:t>平台”上传递交的响应文件已按时解密的，备份响应文件自动失效。响应人仅提交备份响应文件，未在电子交易平台传输递交响应文件的，交易无效；⑩具体操作指南：详见</w:t>
      </w:r>
      <w:r>
        <w:rPr>
          <w:rFonts w:hint="eastAsia" w:ascii="宋体" w:hAnsi="宋体" w:cs="宋体"/>
          <w:color w:val="000000" w:themeColor="text1"/>
          <w:sz w:val="24"/>
          <w:lang w:val="en-US" w:eastAsia="zh-CN"/>
          <w14:textFill>
            <w14:solidFill>
              <w14:schemeClr w14:val="tx1"/>
            </w14:solidFill>
          </w14:textFill>
        </w:rPr>
        <w:t>乐采云</w:t>
      </w:r>
      <w:r>
        <w:rPr>
          <w:rFonts w:hint="eastAsia" w:ascii="宋体" w:hAnsi="宋体" w:cs="宋体"/>
          <w:color w:val="000000" w:themeColor="text1"/>
          <w:sz w:val="24"/>
          <w14:textFill>
            <w14:solidFill>
              <w14:schemeClr w14:val="tx1"/>
            </w14:solidFill>
          </w14:textFill>
        </w:rPr>
        <w:t>平台“服务中心-帮助文档-项目采购-操作流程-电子招投标-政府采购项目电子交易管理操作指南-响应人”。</w:t>
      </w:r>
    </w:p>
    <w:p w14:paraId="00B67C5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365B6506">
      <w:pPr>
        <w:widowControl/>
        <w:spacing w:line="360" w:lineRule="auto"/>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1.采购人信息</w:t>
      </w:r>
    </w:p>
    <w:p w14:paraId="1159D4FE">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color w:val="000000" w:themeColor="text1"/>
          <w:sz w:val="24"/>
          <w:szCs w:val="32"/>
          <w:lang w:eastAsia="zh-CN"/>
          <w14:textFill>
            <w14:solidFill>
              <w14:schemeClr w14:val="tx1"/>
            </w14:solidFill>
          </w14:textFill>
        </w:rPr>
        <w:t>杭州市萧山区新塘街道南晖社区居民委员会</w:t>
      </w:r>
    </w:p>
    <w:p w14:paraId="775DA5B0">
      <w:pPr>
        <w:spacing w:line="360" w:lineRule="auto"/>
        <w:ind w:firstLine="480" w:firstLineChars="200"/>
        <w:rPr>
          <w:rFonts w:hint="default" w:eastAsia="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color w:val="000000" w:themeColor="text1"/>
          <w:sz w:val="24"/>
          <w:szCs w:val="32"/>
          <w:lang w:eastAsia="zh-CN"/>
          <w14:textFill>
            <w14:solidFill>
              <w14:schemeClr w14:val="tx1"/>
            </w14:solidFill>
          </w14:textFill>
        </w:rPr>
        <w:t>萧山区新塘街道</w:t>
      </w:r>
      <w:r>
        <w:rPr>
          <w:rFonts w:hint="eastAsia"/>
          <w:color w:val="000000" w:themeColor="text1"/>
          <w:sz w:val="24"/>
          <w:szCs w:val="32"/>
          <w:lang w:val="en-US" w:eastAsia="zh-CN"/>
          <w14:textFill>
            <w14:solidFill>
              <w14:schemeClr w14:val="tx1"/>
            </w14:solidFill>
          </w14:textFill>
        </w:rPr>
        <w:t>南晖</w:t>
      </w:r>
      <w:r>
        <w:rPr>
          <w:rFonts w:hint="eastAsia"/>
          <w:color w:val="000000" w:themeColor="text1"/>
          <w:sz w:val="24"/>
          <w:szCs w:val="32"/>
          <w:lang w:eastAsia="zh-CN"/>
          <w14:textFill>
            <w14:solidFill>
              <w14:schemeClr w14:val="tx1"/>
            </w14:solidFill>
          </w14:textFill>
        </w:rPr>
        <w:t>社区</w:t>
      </w:r>
    </w:p>
    <w:p w14:paraId="392B0BE8">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项目联系人：徐斌</w:t>
      </w:r>
    </w:p>
    <w:p w14:paraId="3E0BF693">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联系方式：13516812725</w:t>
      </w:r>
    </w:p>
    <w:p w14:paraId="5EC9CE7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507AA6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名称：浙江明业项目管理有限公司</w:t>
      </w:r>
    </w:p>
    <w:p w14:paraId="5B364C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color w:val="000000" w:themeColor="text1"/>
          <w:sz w:val="24"/>
          <w14:textFill>
            <w14:solidFill>
              <w14:schemeClr w14:val="tx1"/>
            </w14:solidFill>
          </w14:textFill>
        </w:rPr>
        <w:t>萧山区晨晖路1096号南和城4幢1单元21楼</w:t>
      </w:r>
    </w:p>
    <w:p w14:paraId="4F72F56A">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朱青烽</w:t>
      </w:r>
    </w:p>
    <w:p w14:paraId="2E317EFE">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15906603027</w:t>
      </w:r>
    </w:p>
    <w:p w14:paraId="53953D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若对项目采购电子交易系统操作有疑问，可登录</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采云平台（</w:t>
      </w:r>
      <w:r>
        <w:rPr>
          <w:rStyle w:val="78"/>
          <w:rFonts w:hint="eastAsia" w:ascii="宋体" w:hAnsi="宋体" w:eastAsia="宋体" w:cs="宋体"/>
          <w:snapToGrid/>
          <w:color w:val="auto"/>
          <w:kern w:val="2"/>
          <w:sz w:val="24"/>
          <w:szCs w:val="24"/>
          <w:highlight w:val="none"/>
        </w:rPr>
        <w:t>https://b.zhengcaiyun.cn/</w:t>
      </w:r>
      <w:r>
        <w:rPr>
          <w:rFonts w:hint="eastAsia" w:ascii="宋体" w:hAnsi="宋体" w:cs="宋体"/>
          <w:color w:val="000000" w:themeColor="text1"/>
          <w:sz w:val="24"/>
          <w14:textFill>
            <w14:solidFill>
              <w14:schemeClr w14:val="tx1"/>
            </w14:solidFill>
          </w14:textFill>
        </w:rPr>
        <w:t>），点击右侧咨询小采，获取采小蜜智能服务管家帮助，或拨打</w:t>
      </w:r>
      <w:r>
        <w:rPr>
          <w:rFonts w:hint="eastAsia" w:ascii="宋体" w:hAnsi="宋体" w:cs="宋体"/>
          <w:color w:val="000000" w:themeColor="text1"/>
          <w:sz w:val="24"/>
          <w:lang w:val="en-US" w:eastAsia="zh-CN"/>
          <w14:textFill>
            <w14:solidFill>
              <w14:schemeClr w14:val="tx1"/>
            </w14:solidFill>
          </w14:textFill>
        </w:rPr>
        <w:t>乐</w:t>
      </w:r>
      <w:r>
        <w:rPr>
          <w:rFonts w:hint="eastAsia" w:ascii="宋体" w:hAnsi="宋体" w:cs="宋体"/>
          <w:color w:val="000000" w:themeColor="text1"/>
          <w:sz w:val="24"/>
          <w14:textFill>
            <w14:solidFill>
              <w14:schemeClr w14:val="tx1"/>
            </w14:solidFill>
          </w14:textFill>
        </w:rPr>
        <w:t>采云服务热线</w:t>
      </w:r>
      <w:r>
        <w:rPr>
          <w:rFonts w:hint="eastAsia" w:ascii="宋体" w:hAnsi="宋体" w:cs="宋体"/>
          <w:color w:val="000000" w:themeColor="text1"/>
          <w:sz w:val="24"/>
          <w:lang w:val="en-US" w:eastAsia="zh-CN"/>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7A03B9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619208E0">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响应人须知</w:t>
      </w:r>
      <w:bookmarkEnd w:id="9"/>
    </w:p>
    <w:p w14:paraId="7C539555">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4ABD5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06FD0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053BB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3965DC6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75CB8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0A3D8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0604A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756FF5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14:textFill>
                  <w14:solidFill>
                    <w14:schemeClr w14:val="tx1"/>
                  </w14:solidFill>
                </w14:textFill>
              </w:rPr>
              <w:t>。</w:t>
            </w:r>
          </w:p>
          <w:p w14:paraId="2EF07E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服务类。</w:t>
            </w:r>
          </w:p>
        </w:tc>
      </w:tr>
      <w:tr w14:paraId="442A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2FC21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AD635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1489A516">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cs="Arial"/>
                <w:color w:val="000000" w:themeColor="text1"/>
                <w:kern w:val="0"/>
                <w:sz w:val="24"/>
                <w:highlight w:val="none"/>
                <w:u w:val="single"/>
                <w:lang w:eastAsia="zh-CN"/>
                <w14:textFill>
                  <w14:solidFill>
                    <w14:schemeClr w14:val="tx1"/>
                  </w14:solidFill>
                </w14:textFill>
              </w:rPr>
              <w:t>新塘街道南晖社区百姓健身房合作服务项目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其他未列明</w:t>
            </w:r>
            <w:r>
              <w:rPr>
                <w:rFonts w:hint="eastAsia" w:ascii="宋体" w:hAnsi="宋体" w:cs="宋体"/>
                <w:color w:val="000000" w:themeColor="text1"/>
                <w:kern w:val="0"/>
                <w:sz w:val="24"/>
                <w:highlight w:val="none"/>
                <w14:textFill>
                  <w14:solidFill>
                    <w14:schemeClr w14:val="tx1"/>
                  </w14:solidFill>
                </w14:textFill>
              </w:rPr>
              <w:t>行业；</w:t>
            </w:r>
          </w:p>
        </w:tc>
      </w:tr>
      <w:tr w14:paraId="51F33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EED3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81913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1976530">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本项目不允许采购进口产品。</w:t>
            </w:r>
          </w:p>
          <w:p w14:paraId="0E2D9A2D">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可以就采购进口产品。</w:t>
            </w:r>
          </w:p>
          <w:p w14:paraId="2E645B5F">
            <w:pPr>
              <w:pStyle w:val="3"/>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0"/>
                <w:sz w:val="24"/>
                <w:lang w:val="en-US"/>
                <w14:textFill>
                  <w14:solidFill>
                    <w14:schemeClr w14:val="tx1"/>
                  </w14:solidFill>
                </w14:textFill>
              </w:rPr>
              <w:t>进口产品是指通过中国海关保关验放进入中国境内且产自境关外的产品。</w:t>
            </w:r>
          </w:p>
        </w:tc>
      </w:tr>
      <w:tr w14:paraId="5F83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F86BC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6BB9F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5BA443D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同意将非主体、非关键性的工作分包。</w:t>
            </w:r>
          </w:p>
          <w:p w14:paraId="331270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tc>
      </w:tr>
      <w:tr w14:paraId="67C07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973AB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D194C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0F1ACD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4294D5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时间：,地点：，</w:t>
            </w:r>
          </w:p>
          <w:p w14:paraId="5A31601C">
            <w:pPr>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联系人：；其他说明：</w:t>
            </w:r>
          </w:p>
        </w:tc>
      </w:tr>
      <w:tr w14:paraId="58BBE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9A54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7B2B8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CF2D93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（√）A不要求提供。</w:t>
            </w:r>
          </w:p>
        </w:tc>
      </w:tr>
      <w:tr w14:paraId="5E06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1D916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4528E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4D81F183">
            <w:pPr>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14:paraId="04F0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blHeader/>
        </w:trPr>
        <w:tc>
          <w:tcPr>
            <w:tcW w:w="629" w:type="dxa"/>
            <w:vMerge w:val="restart"/>
            <w:tcBorders>
              <w:top w:val="single" w:color="auto" w:sz="4" w:space="0"/>
              <w:left w:val="single" w:color="auto" w:sz="4" w:space="0"/>
              <w:right w:val="single" w:color="auto" w:sz="4" w:space="0"/>
            </w:tcBorders>
            <w:vAlign w:val="center"/>
          </w:tcPr>
          <w:p w14:paraId="3EC51AE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18CF4D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响应人应当提供的资格、资信证明文件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3CEF7A5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（1）资格证明文件：见交易文件第二部分11.1。</w:t>
            </w:r>
          </w:p>
          <w:p w14:paraId="59EF814C">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响应人未提供有效的资格证明文件的，视为响应人不具备交易文件中规定的资格要求，响应无效。</w:t>
            </w:r>
          </w:p>
        </w:tc>
      </w:tr>
      <w:tr w14:paraId="1DA37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63D41DB">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3BC46D5">
            <w:pPr>
              <w:snapToGrid w:val="0"/>
              <w:spacing w:line="360" w:lineRule="auto"/>
              <w:jc w:val="center"/>
              <w:rPr>
                <w:rFonts w:ascii="宋体" w:hAnsi="宋体" w:cs="宋体"/>
                <w:b/>
                <w:color w:val="000000" w:themeColor="text1"/>
                <w:sz w:val="24"/>
                <w14:textFill>
                  <w14:solidFill>
                    <w14:schemeClr w14:val="tx1"/>
                  </w14:solidFill>
                </w14:textFill>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637736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（2）资信证明文件：根据交易文件第四部分评审标准提供。</w:t>
            </w:r>
          </w:p>
        </w:tc>
      </w:tr>
      <w:tr w14:paraId="1FED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64EC8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D09B5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51257508">
            <w:pPr>
              <w:spacing w:line="360" w:lineRule="auto"/>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lang w:eastAsia="zh-CN"/>
                <w14:textFill>
                  <w14:solidFill>
                    <w14:schemeClr w14:val="tx1"/>
                  </w14:solidFill>
                </w14:textFill>
              </w:rPr>
              <w:t>响应函</w:t>
            </w:r>
            <w:r>
              <w:rPr>
                <w:rFonts w:hint="eastAsia" w:ascii="宋体" w:hAnsi="宋体" w:cs="宋体"/>
                <w:bCs/>
                <w:color w:val="000000" w:themeColor="text1"/>
                <w:kern w:val="0"/>
                <w:sz w:val="24"/>
                <w14:textFill>
                  <w14:solidFill>
                    <w14:schemeClr w14:val="tx1"/>
                  </w14:solidFill>
                </w14:textFill>
              </w:rPr>
              <w:t>是报价的唯一载体</w:t>
            </w:r>
            <w:r>
              <w:rPr>
                <w:rFonts w:hint="eastAsia" w:ascii="宋体" w:hAnsi="宋体" w:cs="宋体"/>
                <w:bCs/>
                <w:color w:val="000000" w:themeColor="text1"/>
                <w:kern w:val="0"/>
                <w:sz w:val="24"/>
                <w:lang w:val="zh-CN"/>
                <w14:textFill>
                  <w14:solidFill>
                    <w14:schemeClr w14:val="tx1"/>
                  </w14:solidFill>
                </w14:textFill>
              </w:rPr>
              <w:t>。响应文件中价格全部采用人民币报价。交易文件未列明，而响应人认为必需的费用也需列入报价。</w:t>
            </w:r>
          </w:p>
          <w:p w14:paraId="6E064E65">
            <w:pPr>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响应报价出现下列情形的，响应无效：</w:t>
            </w:r>
          </w:p>
          <w:p w14:paraId="6C70E305">
            <w:pPr>
              <w:spacing w:line="360" w:lineRule="auto"/>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响应文件出现不是唯一的、有选择性响应报价的；</w:t>
            </w:r>
          </w:p>
          <w:p w14:paraId="0D1F21CA">
            <w:pPr>
              <w:spacing w:line="360" w:lineRule="auto"/>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响应报价超过交易文件中规定的预算金额或者最高限价的；</w:t>
            </w:r>
          </w:p>
          <w:p w14:paraId="4A1E070E">
            <w:pPr>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r>
              <w:rPr>
                <w:rFonts w:hint="eastAsia" w:ascii="宋体" w:hAnsi="宋体" w:cs="宋体"/>
                <w:bCs/>
                <w:color w:val="000000" w:themeColor="text1"/>
                <w:kern w:val="0"/>
                <w:sz w:val="24"/>
                <w:lang w:val="zh-CN"/>
                <w14:textFill>
                  <w14:solidFill>
                    <w14:schemeClr w14:val="tx1"/>
                  </w14:solidFill>
                </w14:textFill>
              </w:rPr>
              <w:t>；</w:t>
            </w:r>
          </w:p>
          <w:p w14:paraId="3485436A">
            <w:pPr>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响应人对根据修正原则修正后的报价不确认的。</w:t>
            </w:r>
          </w:p>
          <w:p w14:paraId="3E47335D">
            <w:pPr>
              <w:spacing w:line="360" w:lineRule="auto"/>
              <w:ind w:firstLine="48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资格文件、商务技术文件与报价文件未分开制作</w:t>
            </w:r>
            <w:r>
              <w:rPr>
                <w:rFonts w:hint="eastAsia" w:ascii="宋体" w:hAnsi="宋体" w:cs="宋体"/>
                <w:bCs/>
                <w:color w:val="000000" w:themeColor="text1"/>
                <w:sz w:val="24"/>
                <w14:textFill>
                  <w14:solidFill>
                    <w14:schemeClr w14:val="tx1"/>
                  </w14:solidFill>
                </w14:textFill>
              </w:rPr>
              <w:t>。</w:t>
            </w:r>
          </w:p>
        </w:tc>
      </w:tr>
      <w:tr w14:paraId="470BD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483D0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85B1A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24F12EA5">
            <w:pPr>
              <w:pStyle w:val="34"/>
              <w:spacing w:line="360" w:lineRule="auto"/>
              <w:ind w:hanging="4"/>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备份文件是否收取：不收取。</w:t>
            </w:r>
          </w:p>
        </w:tc>
      </w:tr>
      <w:tr w14:paraId="4AEB5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ED44C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7521DD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机构代理费用、专家费</w:t>
            </w:r>
          </w:p>
        </w:tc>
        <w:tc>
          <w:tcPr>
            <w:tcW w:w="6225" w:type="dxa"/>
            <w:tcBorders>
              <w:top w:val="single" w:color="000000" w:sz="8" w:space="0"/>
              <w:left w:val="single" w:color="000000" w:sz="2" w:space="0"/>
              <w:bottom w:val="single" w:color="000000" w:sz="8" w:space="0"/>
              <w:right w:val="single" w:color="000000" w:sz="8" w:space="0"/>
            </w:tcBorders>
            <w:vAlign w:val="center"/>
          </w:tcPr>
          <w:p w14:paraId="50EE4A45">
            <w:pPr>
              <w:widowControl/>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本项目代理费由成交单位支付，代理费</w:t>
            </w:r>
            <w:r>
              <w:rPr>
                <w:rFonts w:hint="eastAsia" w:ascii="宋体" w:hAnsi="宋体" w:cs="宋体"/>
                <w:b/>
                <w:bCs/>
                <w:snapToGrid w:val="0"/>
                <w:color w:val="000000" w:themeColor="text1"/>
                <w:kern w:val="28"/>
                <w:sz w:val="24"/>
                <w:lang w:val="en-US" w:eastAsia="zh-CN"/>
                <w14:textFill>
                  <w14:solidFill>
                    <w14:schemeClr w14:val="tx1"/>
                  </w14:solidFill>
                </w14:textFill>
              </w:rPr>
              <w:t>共计壹万圆整</w:t>
            </w:r>
            <w:r>
              <w:rPr>
                <w:rFonts w:hint="eastAsia" w:ascii="宋体" w:hAnsi="宋体" w:cs="宋体"/>
                <w:b/>
                <w:bCs/>
                <w:snapToGrid w:val="0"/>
                <w:color w:val="000000" w:themeColor="text1"/>
                <w:kern w:val="28"/>
                <w:sz w:val="24"/>
                <w14:textFill>
                  <w14:solidFill>
                    <w14:schemeClr w14:val="tx1"/>
                  </w14:solidFill>
                </w14:textFill>
              </w:rPr>
              <w:t>，代理费由成交单位在领取成交通知书前结清</w:t>
            </w:r>
          </w:p>
        </w:tc>
      </w:tr>
      <w:tr w14:paraId="3E0F1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trPr>
        <w:tc>
          <w:tcPr>
            <w:tcW w:w="629" w:type="dxa"/>
            <w:tcBorders>
              <w:top w:val="single" w:color="auto" w:sz="4" w:space="0"/>
              <w:left w:val="single" w:color="000000" w:sz="8" w:space="0"/>
              <w:right w:val="single" w:color="000000" w:sz="2" w:space="0"/>
            </w:tcBorders>
            <w:vAlign w:val="center"/>
          </w:tcPr>
          <w:p w14:paraId="2A97DE4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1843" w:type="dxa"/>
            <w:tcBorders>
              <w:top w:val="single" w:color="000000" w:sz="8" w:space="0"/>
              <w:left w:val="single" w:color="000000" w:sz="2" w:space="0"/>
              <w:right w:val="single" w:color="000000" w:sz="8" w:space="0"/>
            </w:tcBorders>
            <w:vAlign w:val="center"/>
          </w:tcPr>
          <w:p w14:paraId="38CACB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履约</w:t>
            </w:r>
            <w:r>
              <w:rPr>
                <w:rFonts w:hint="eastAsia" w:ascii="宋体" w:hAnsi="宋体" w:cs="宋体"/>
                <w:b/>
                <w:color w:val="auto"/>
                <w:sz w:val="24"/>
                <w:highlight w:val="none"/>
              </w:rPr>
              <w:t>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37CDB678">
            <w:pPr>
              <w:pStyle w:val="34"/>
              <w:spacing w:line="360" w:lineRule="auto"/>
              <w:ind w:hanging="4"/>
              <w:rPr>
                <w:rFonts w:hint="eastAsia" w:hAnsi="宋体" w:cs="宋体"/>
                <w:color w:val="auto"/>
                <w:sz w:val="24"/>
                <w:highlight w:val="none"/>
                <w:lang w:val="en-US" w:eastAsia="zh-CN"/>
              </w:rPr>
            </w:pPr>
            <w:r>
              <w:rPr>
                <w:rFonts w:hint="eastAsia" w:hAnsi="宋体" w:cs="宋体"/>
                <w:color w:val="auto"/>
                <w:sz w:val="24"/>
                <w:highlight w:val="none"/>
                <w:lang w:val="en-US" w:eastAsia="zh-CN"/>
              </w:rPr>
              <w:t>履约保证金：叁万元整</w:t>
            </w:r>
          </w:p>
        </w:tc>
      </w:tr>
      <w:tr w14:paraId="2A5E3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4E9ED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95EC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778CE7BB">
            <w:pPr>
              <w:pStyle w:val="34"/>
              <w:spacing w:line="360" w:lineRule="auto"/>
              <w:ind w:hanging="4"/>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本项目由采购人进行资格文件审查。</w:t>
            </w:r>
          </w:p>
        </w:tc>
      </w:tr>
      <w:tr w14:paraId="13FE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03546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2C29A6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10D13FA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采购人、采购机构质疑接收人、联系方式：详见公告</w:t>
            </w:r>
          </w:p>
          <w:p w14:paraId="2F7056C8">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如通过邮箱方式发送质疑，须提交符合法规及交易文件要求的质疑文件（参考附件2），盖章扫描后发送，质疑的受理按答复主体划分以采购人或采购机构邮箱回复确认受理为准。</w:t>
            </w:r>
          </w:p>
          <w:p w14:paraId="441D6DF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本项目涉及资格条件、采购需求、评分办法及采购过程中有关现场考察或交易前答疑会事项由采购人进行答复。</w:t>
            </w:r>
          </w:p>
          <w:p w14:paraId="59B28F75">
            <w:pPr>
              <w:pStyle w:val="34"/>
              <w:spacing w:line="360" w:lineRule="auto"/>
              <w:ind w:hanging="4"/>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涉及流程组织等相关事项，由采购机构进行答复。</w:t>
            </w:r>
          </w:p>
        </w:tc>
      </w:tr>
      <w:tr w14:paraId="3F992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B7ECB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6797B9D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8317B73">
            <w:pPr>
              <w:spacing w:line="360" w:lineRule="auto"/>
              <w:ind w:firstLine="482"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本项目通用总则条款与前附表等专用特别规定有冲突之处，以专用条款（特别规定）为准</w:t>
            </w:r>
          </w:p>
        </w:tc>
      </w:tr>
    </w:tbl>
    <w:p w14:paraId="610C17E3">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14:paraId="73734E12">
      <w:pPr>
        <w:rPr>
          <w:rFonts w:ascii="宋体" w:hAnsi="宋体" w:cs="宋体"/>
          <w:b/>
          <w:color w:val="000000" w:themeColor="text1"/>
          <w:sz w:val="32"/>
          <w:szCs w:val="20"/>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14:textFill>
            <w14:solidFill>
              <w14:schemeClr w14:val="tx1"/>
            </w14:solidFill>
          </w14:textFill>
        </w:rPr>
        <w:br w:type="page"/>
      </w:r>
    </w:p>
    <w:p w14:paraId="53B34E76">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76215A07">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75A42F0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本交易文件适用于该项目的交易、资格审查及信用信息查询、评审、定标、合同、验收等行为（法律、法规另有规定的，从其规定）。</w:t>
      </w:r>
    </w:p>
    <w:p w14:paraId="1A78CC0E">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42FDE5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“采购人”系指交易公告中载明的本项目的采购人。</w:t>
      </w:r>
    </w:p>
    <w:p w14:paraId="7C373E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“采购机构”系指交易公告中载明的本项目的采购机构。</w:t>
      </w:r>
    </w:p>
    <w:p w14:paraId="670385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“响应人”系指是指响应交易、参加交易竞争的法人、其他组织或者自然人。</w:t>
      </w:r>
    </w:p>
    <w:p w14:paraId="69BC1E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006382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交易时须提供《业务专用章使用说明函》（附件3）。</w:t>
      </w:r>
    </w:p>
    <w:p w14:paraId="20FFA6F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2.6“电子交易平台”是指本项目采购活动所依托的政府采购云平台（https://www.zcygov.cn/）。</w:t>
      </w:r>
    </w:p>
    <w:p w14:paraId="5789DF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“▲”系指实质性要求条款，“（</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）”系指适用本项目的要求，“（）”系指不适用本项目的要求。</w:t>
      </w:r>
    </w:p>
    <w:p w14:paraId="7564209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3.询问、质疑、投诉</w:t>
      </w:r>
    </w:p>
    <w:p w14:paraId="39BC5CA8">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.1响应人询问</w:t>
      </w:r>
    </w:p>
    <w:p w14:paraId="662CF459">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对采购活动事项有疑问的，可以提出询问，采购人或者采购代理机构应当在3个工作日内对响应人依法提出的询问作出答复，但答复的内容不得涉及商业秘密。响应人提出的询问超出采购人对采购代理机构委托授权范围的，采购代理机构应当告知响应人向采购人提出。</w:t>
      </w:r>
    </w:p>
    <w:p w14:paraId="41DA15AD">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.2响应人质疑</w:t>
      </w:r>
    </w:p>
    <w:p w14:paraId="47D9E476">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.1提出质疑的响应人应当是参与所质疑项目采购活动的响应人。潜在响应人已依法获取其可质疑的交易文件的，可以对该文件提出质疑。</w:t>
      </w:r>
    </w:p>
    <w:p w14:paraId="4A0D53F9">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.2响应人认为交易文件、采购过程和成交结果使自己的权益受到损害的，可以在知道或者应知其权益受到损害之日起3日内，以书面形式向采购人或者采购机构提出质疑，否则，采购人或者采购机构不予受理：</w:t>
      </w:r>
    </w:p>
    <w:p w14:paraId="30C4D656">
      <w:pPr>
        <w:pStyle w:val="1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3.2.2.1对交易文件提出质疑的，质疑期限为响应人获得交易文件之日或者交易文件公告期限届满之日起计算。</w:t>
      </w:r>
    </w:p>
    <w:p w14:paraId="66C38AB9">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3.2.2.2对采购过程提出质疑的，质疑期限为各采购程序环节结束之日起计算。对同一采购程序环节的质疑，响应人须一次性提出。</w:t>
      </w:r>
    </w:p>
    <w:p w14:paraId="10FAD542">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3.2.2.3对采购结果提出质疑的，质疑期限自采购结果公告期限届满之日起计算。</w:t>
      </w:r>
    </w:p>
    <w:p w14:paraId="45343DD8">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3.2.3</w:t>
      </w:r>
      <w:r>
        <w:rPr>
          <w:rFonts w:hint="eastAsia" w:hAnsi="宋体" w:cs="宋体"/>
          <w:color w:val="000000" w:themeColor="text1"/>
          <w:sz w:val="24"/>
          <w14:textFill>
            <w14:solidFill>
              <w14:schemeClr w14:val="tx1"/>
            </w14:solidFill>
          </w14:textFill>
        </w:rPr>
        <w:t>响应人提出质疑应当提交质疑函和必要的证明材料。质疑函应当包括下列内容：</w:t>
      </w:r>
    </w:p>
    <w:p w14:paraId="3AA9D982">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3.2.3.1响应人的姓名或者名称、地址、邮编、联系人及联系电话；</w:t>
      </w:r>
    </w:p>
    <w:p w14:paraId="04AE505C">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3.2.3.2质疑项目的名称、编号；</w:t>
      </w:r>
    </w:p>
    <w:p w14:paraId="26AEEBBD">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3.2.3.3具体、明确的质疑事项和与质疑事项相关的请求；</w:t>
      </w:r>
    </w:p>
    <w:p w14:paraId="37A7A2B1">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3.2.3.4事实依据；</w:t>
      </w:r>
    </w:p>
    <w:p w14:paraId="5EF37A2D">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3.2.3.5必要的法律依据；</w:t>
      </w:r>
    </w:p>
    <w:p w14:paraId="4CE2369D">
      <w:pPr>
        <w:pStyle w:val="34"/>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3.2.3.6提出质疑的日期。</w:t>
      </w:r>
    </w:p>
    <w:p w14:paraId="5BC7080C">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响应人提交的质疑函需一式三份。响应人为自然人的，应当由本人签字；响应人为法人或者其他组织的，应当由法定代表人、主要负责人，或者其授权代表签字或者盖章，并加盖公章。</w:t>
      </w:r>
    </w:p>
    <w:p w14:paraId="47C95D22">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4B77B481">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3.2</w:t>
      </w:r>
      <w:r>
        <w:rPr>
          <w:rFonts w:hint="eastAsia"/>
          <w:color w:val="000000" w:themeColor="text1"/>
          <w14:textFill>
            <w14:solidFill>
              <w14:schemeClr w14:val="tx1"/>
            </w14:solidFill>
          </w14:textFill>
        </w:rPr>
        <w:t>.4采购人或者采购机构应当在收到响应人的书面质疑后2日内作出答复，并以书面形式通知质疑响应人和其他与质疑处理结果有利害关系的采购当事人，但答复的内容不得涉及商业秘密。</w:t>
      </w:r>
    </w:p>
    <w:p w14:paraId="750E51EE">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3.2</w:t>
      </w:r>
      <w:r>
        <w:rPr>
          <w:rFonts w:hint="eastAsia"/>
          <w:color w:val="000000" w:themeColor="text1"/>
          <w14:textFill>
            <w14:solidFill>
              <w14:schemeClr w14:val="tx1"/>
            </w14:solidFill>
          </w14:textFill>
        </w:rPr>
        <w:t>.5询问或者质疑事项可能影响采购结果的，采购人应当暂停签订合同，已经签订合同的，应当中止履行合同。</w:t>
      </w:r>
    </w:p>
    <w:p w14:paraId="1FCC0EE7">
      <w:pPr>
        <w:pStyle w:val="888"/>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3.3响应人投诉</w:t>
      </w:r>
    </w:p>
    <w:p w14:paraId="36ACDC2A">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3.3.1质疑响应人对采购人、采购机构的答复不满意或者采购人、采购机构未在规定的时间内作出答复的，可以在答复期满后十五个工作日内向同级采购监督管理部门提出投诉。</w:t>
      </w:r>
    </w:p>
    <w:p w14:paraId="08CDA05C">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响应人投诉的事项不得超出已质疑事项的范围，基于质疑答复内容提出的投诉事项除外。</w:t>
      </w:r>
    </w:p>
    <w:p w14:paraId="7D3CD48F">
      <w:pPr>
        <w:pStyle w:val="888"/>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3.3.3响应人投诉应当有明确的请求和必要的证明材料。</w:t>
      </w:r>
    </w:p>
    <w:p w14:paraId="59CB09FA">
      <w:pPr>
        <w:pStyle w:val="130"/>
        <w:snapToGrid w:val="0"/>
        <w:spacing w:before="0"/>
        <w:ind w:firstLine="360"/>
        <w:rPr>
          <w:rFonts w:ascii="宋体" w:hAnsi="宋体" w:cs="宋体"/>
          <w:color w:val="000000" w:themeColor="text1"/>
          <w:sz w:val="18"/>
          <w:szCs w:val="18"/>
          <w14:textFill>
            <w14:solidFill>
              <w14:schemeClr w14:val="tx1"/>
            </w14:solidFill>
          </w14:textFill>
        </w:rPr>
      </w:pPr>
    </w:p>
    <w:p w14:paraId="7A3A9D75">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二、交易文件的构成、澄清、修改</w:t>
      </w:r>
    </w:p>
    <w:p w14:paraId="3CEF9CC1">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4．交易文件的构成</w:t>
      </w:r>
    </w:p>
    <w:p w14:paraId="2C0E4585">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 交易文件包括下列文件及附件：</w:t>
      </w:r>
    </w:p>
    <w:p w14:paraId="12802F49">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4.1.1交易公告；</w:t>
      </w:r>
    </w:p>
    <w:p w14:paraId="46404B0F">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4.1.2响应人须知；</w:t>
      </w:r>
    </w:p>
    <w:p w14:paraId="4DB92138">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4.1.3采购需求；</w:t>
      </w:r>
    </w:p>
    <w:p w14:paraId="4FAF4DC7">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4.1.4评审办法；</w:t>
      </w:r>
    </w:p>
    <w:p w14:paraId="40EC190E">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4.1.5拟签订的合同文本；</w:t>
      </w:r>
    </w:p>
    <w:p w14:paraId="37DDD7FD">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4.1.6</w:t>
      </w:r>
      <w:r>
        <w:rPr>
          <w:rFonts w:hint="eastAsia" w:hAnsi="宋体" w:cs="宋体"/>
          <w:color w:val="000000" w:themeColor="text1"/>
          <w:sz w:val="24"/>
          <w:szCs w:val="24"/>
          <w14:textFill>
            <w14:solidFill>
              <w14:schemeClr w14:val="tx1"/>
            </w14:solidFill>
          </w14:textFill>
        </w:rPr>
        <w:t>应提交的有关格式范例。</w:t>
      </w:r>
    </w:p>
    <w:p w14:paraId="7C0687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4.2与本项目有关的</w:t>
      </w:r>
      <w:r>
        <w:rPr>
          <w:rFonts w:hint="eastAsia" w:ascii="宋体" w:hAnsi="宋体" w:cs="宋体"/>
          <w:bCs/>
          <w:color w:val="000000" w:themeColor="text1"/>
          <w:sz w:val="24"/>
          <w14:textFill>
            <w14:solidFill>
              <w14:schemeClr w14:val="tx1"/>
            </w14:solidFill>
          </w14:textFill>
        </w:rPr>
        <w:t>澄清或者修改的内容为交易文件的组成部分</w:t>
      </w:r>
      <w:r>
        <w:rPr>
          <w:rFonts w:hint="eastAsia" w:ascii="宋体" w:hAnsi="宋体" w:cs="宋体"/>
          <w:color w:val="000000" w:themeColor="text1"/>
          <w:sz w:val="24"/>
          <w14:textFill>
            <w14:solidFill>
              <w14:schemeClr w14:val="tx1"/>
            </w14:solidFill>
          </w14:textFill>
        </w:rPr>
        <w:t>。</w:t>
      </w:r>
    </w:p>
    <w:p w14:paraId="319EF099">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 交易文件的澄清、修改</w:t>
      </w:r>
    </w:p>
    <w:p w14:paraId="5FAF1AED">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5.1已获取交易文件的潜在响应人，若有问题需要澄清，应于交易截止时间前，以书面形式向采购机构提出。</w:t>
      </w:r>
    </w:p>
    <w:p w14:paraId="19EABCE6">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 采购机构对交易文件进行澄清或修改的，将同时通过电子交易平台通知已获取交易文件的潜在响应人。依法应当公告的，将按规定公告，同时视情况延长交易截止时间和交易时间。该澄清或者修改的内容为交易文件的组成部分。</w:t>
      </w:r>
    </w:p>
    <w:p w14:paraId="414BBAB1">
      <w:pPr>
        <w:pStyle w:val="24"/>
        <w:rPr>
          <w:rFonts w:hAnsi="宋体" w:cs="宋体"/>
          <w:color w:val="000000" w:themeColor="text1"/>
          <w:sz w:val="18"/>
          <w:szCs w:val="18"/>
          <w:lang w:val="en-US"/>
          <w14:textFill>
            <w14:solidFill>
              <w14:schemeClr w14:val="tx1"/>
            </w14:solidFill>
          </w14:textFill>
        </w:rPr>
      </w:pPr>
    </w:p>
    <w:p w14:paraId="128CEF22">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三、交易</w:t>
      </w:r>
    </w:p>
    <w:p w14:paraId="2AA13012">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交易文件的获取</w:t>
      </w:r>
    </w:p>
    <w:p w14:paraId="4B0C2B8C">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详见交易公告中获取交易文件的时间期限、地点、方式及交易文件售价。</w:t>
      </w:r>
    </w:p>
    <w:p w14:paraId="1B400657">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7.交易前答疑会或现场考察</w:t>
      </w:r>
    </w:p>
    <w:p w14:paraId="2217B67D">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采购人组织潜在响应人现场考察或者召开交易前答疑会的，潜在响应人按第二部分响应人须知前附表的规定参加现场考察或者交易前答疑会。</w:t>
      </w:r>
    </w:p>
    <w:p w14:paraId="7D1C9766">
      <w:pPr>
        <w:pStyle w:val="34"/>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8.交易保证金</w:t>
      </w:r>
    </w:p>
    <w:p w14:paraId="1838F02F">
      <w:pPr>
        <w:pStyle w:val="1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本项目不需缴纳交易保证金。</w:t>
      </w:r>
    </w:p>
    <w:p w14:paraId="60DA96DA">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9. 响应文件的语言</w:t>
      </w:r>
    </w:p>
    <w:p w14:paraId="18E640B9">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响应文件及响应人与采购有关的来往通知、函件和文件均应使用中文。</w:t>
      </w:r>
    </w:p>
    <w:p w14:paraId="123B7E65">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响应文件的组成</w:t>
      </w:r>
    </w:p>
    <w:p w14:paraId="1233729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1E79949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10.1.1符合参加采购活动应当具备的一般条件的承诺函；</w:t>
      </w:r>
    </w:p>
    <w:p w14:paraId="6695EA0D">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10.1.2交易保证金缴纳凭证；</w:t>
      </w:r>
    </w:p>
    <w:p w14:paraId="784B167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w:t>
      </w:r>
    </w:p>
    <w:p w14:paraId="0EE08FAA">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47B37F0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10.2.1响应函；</w:t>
      </w:r>
    </w:p>
    <w:p w14:paraId="1A51E07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10.2.2授权委托书或法定代表人（单位负责人、自然人本人）身份证明；</w:t>
      </w:r>
    </w:p>
    <w:p w14:paraId="02ADA2E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10.2.3符合性审查资料；</w:t>
      </w:r>
    </w:p>
    <w:p w14:paraId="3415AE0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10.2.4评审标准相应的商务技术资料；</w:t>
      </w:r>
    </w:p>
    <w:p w14:paraId="43100AA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10.2.5商务技术偏离表；</w:t>
      </w:r>
    </w:p>
    <w:p w14:paraId="5362C18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10.2.6</w:t>
      </w:r>
      <w:r>
        <w:rPr>
          <w:rFonts w:hint="eastAsia" w:ascii="宋体" w:hAnsi="宋体" w:cs="宋体"/>
          <w:color w:val="000000" w:themeColor="text1"/>
          <w:sz w:val="24"/>
          <w:lang w:val="zh-CN"/>
          <w14:textFill>
            <w14:solidFill>
              <w14:schemeClr w14:val="tx1"/>
            </w14:solidFill>
          </w14:textFill>
        </w:rPr>
        <w:t>采购响应人廉洁自律承诺书；</w:t>
      </w:r>
    </w:p>
    <w:p w14:paraId="5A3DB1F8">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511C388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10.3.1</w:t>
      </w:r>
      <w:r>
        <w:rPr>
          <w:rFonts w:hint="eastAsia" w:ascii="宋体" w:hAnsi="宋体" w:cs="宋体"/>
          <w:color w:val="000000" w:themeColor="text1"/>
          <w:sz w:val="24"/>
          <w:lang w:eastAsia="zh-CN"/>
          <w14:textFill>
            <w14:solidFill>
              <w14:schemeClr w14:val="tx1"/>
            </w14:solidFill>
          </w14:textFill>
        </w:rPr>
        <w:t>响应函</w:t>
      </w:r>
      <w:r>
        <w:rPr>
          <w:rFonts w:hint="eastAsia" w:ascii="宋体" w:hAnsi="宋体" w:cs="宋体"/>
          <w:color w:val="000000" w:themeColor="text1"/>
          <w:sz w:val="24"/>
          <w14:textFill>
            <w14:solidFill>
              <w14:schemeClr w14:val="tx1"/>
            </w14:solidFill>
          </w14:textFill>
        </w:rPr>
        <w:t>；</w:t>
      </w:r>
    </w:p>
    <w:p w14:paraId="1CA00A54">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响应文件含有采购人不能接受的附加条件的，交易无效；</w:t>
      </w:r>
    </w:p>
    <w:p w14:paraId="3C1D0A3F">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响应人提供虚假材料交易的，交易无效。</w:t>
      </w:r>
    </w:p>
    <w:p w14:paraId="1EED1CA1">
      <w:pPr>
        <w:pStyle w:val="130"/>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11</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响应文件的编制</w:t>
      </w:r>
    </w:p>
    <w:p w14:paraId="2A855682">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395EE591">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.2响应人进行电子交易（投标）应安装客户端软件—“政采云电子交易客户端”，并按照交易文件和电子交易平台的要求编制并加密响应文件。响应人未按规定加密的响应文件，电子交易平台将拒收并提示。</w:t>
      </w:r>
    </w:p>
    <w:p w14:paraId="013FF98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01D3DDF2">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12.响应文件的签署、盖章</w:t>
      </w:r>
    </w:p>
    <w:p w14:paraId="42EC60A5">
      <w:pPr>
        <w:pStyle w:val="130"/>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12.1响应文件按照交易文件第六部分格式要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▲响应人的响应文件未按照交易文件要求签署、盖章的，其交易无效</w:t>
      </w:r>
      <w:r>
        <w:rPr>
          <w:rFonts w:hint="eastAsia" w:ascii="宋体" w:hAnsi="宋体" w:cs="宋体"/>
          <w:color w:val="000000" w:themeColor="text1"/>
          <w:szCs w:val="24"/>
          <w14:textFill>
            <w14:solidFill>
              <w14:schemeClr w14:val="tx1"/>
            </w14:solidFill>
          </w14:textFill>
        </w:rPr>
        <w:t>。</w:t>
      </w:r>
    </w:p>
    <w:p w14:paraId="0DE2F32B">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12.2为确保网上操作合法、有效和安全，响应人应当在交易截止时间前完成在“政府采购云平台”的身份认证，确保在电子交易（投标）过程中能够对相关数据电文进行加密和使用电子签名。</w:t>
      </w:r>
    </w:p>
    <w:p w14:paraId="2A209C2F">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12.3交易文件对响应文件签署、盖章的要求适用于电子签名。</w:t>
      </w:r>
    </w:p>
    <w:p w14:paraId="04EEE6F7">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13. 响应文件的提交、补充、修改、撤回</w:t>
      </w:r>
    </w:p>
    <w:p w14:paraId="1B6CF5D4">
      <w:pPr>
        <w:pStyle w:val="13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 响应人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4ED69D62">
      <w:pPr>
        <w:pStyle w:val="13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13.2电子交易平台收到响应文件，将妥善保存并即时向响应人发出确认回执通知。在交易截止时间前，除响应人补充、修改或者撤回响应文件外，任何单位和个人不得解密或提取响应文件。</w:t>
      </w:r>
    </w:p>
    <w:p w14:paraId="32F58E5E">
      <w:pPr>
        <w:pStyle w:val="13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13.3采购人、采购机构可以视情况延长响应文件提交的截止时间。在上述情况下，采购机构与响应人以前在交易截止期方面的全部权利、责任和义务，将适用于延长至新的交易截止期。</w:t>
      </w:r>
    </w:p>
    <w:p w14:paraId="0148F02C">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14.备份响应文件</w:t>
      </w:r>
    </w:p>
    <w:p w14:paraId="2A253989">
      <w:pPr>
        <w:pStyle w:val="34"/>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本项目不收取备份响应文件</w:t>
      </w:r>
    </w:p>
    <w:p w14:paraId="37C2A057">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15.响应文件的无效处理</w:t>
      </w:r>
    </w:p>
    <w:p w14:paraId="18A1DD69">
      <w:pPr>
        <w:pStyle w:val="2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有交易文件第四部分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的情形之一的，交易无效：</w:t>
      </w:r>
    </w:p>
    <w:p w14:paraId="5582A8C6">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16.交易有效期</w:t>
      </w:r>
    </w:p>
    <w:p w14:paraId="4370E62C">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16.1交易有效期为从提交响应文件的截止之日起90天。▲</w:t>
      </w:r>
      <w:r>
        <w:rPr>
          <w:rFonts w:hint="eastAsia" w:ascii="宋体" w:hAnsi="宋体" w:cs="宋体"/>
          <w:b/>
          <w:color w:val="000000" w:themeColor="text1"/>
          <w:sz w:val="24"/>
          <w:szCs w:val="20"/>
          <w14:textFill>
            <w14:solidFill>
              <w14:schemeClr w14:val="tx1"/>
            </w14:solidFill>
          </w14:textFill>
        </w:rPr>
        <w:t>响应人的响应文件中承</w:t>
      </w:r>
      <w:r>
        <w:rPr>
          <w:rFonts w:hint="eastAsia" w:ascii="宋体" w:hAnsi="宋体" w:cs="宋体"/>
          <w:b/>
          <w:color w:val="000000" w:themeColor="text1"/>
          <w:sz w:val="24"/>
          <w:szCs w:val="21"/>
          <w14:textFill>
            <w14:solidFill>
              <w14:schemeClr w14:val="tx1"/>
            </w14:solidFill>
          </w14:textFill>
        </w:rPr>
        <w:t>诺的交易有效期少于交易文件中载明的交易有效期的，交易无效。</w:t>
      </w:r>
    </w:p>
    <w:p w14:paraId="2FF27035">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16.2响应文件合格投递后，自交易截止日期起，在交易有效期内有效。</w:t>
      </w:r>
    </w:p>
    <w:p w14:paraId="6B464EC8">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16.3在原定交易有效期满之前，如果出现特殊情况，采购机构可以以书面形式通知响应人延长交易有效期。响应人同意延长的，不得要求或被允许修改其响应文件，响应人拒绝延长的，其交易无效。</w:t>
      </w:r>
    </w:p>
    <w:p w14:paraId="1703D088">
      <w:pPr>
        <w:pStyle w:val="130"/>
        <w:spacing w:before="0"/>
        <w:ind w:firstLine="643"/>
        <w:rPr>
          <w:rFonts w:ascii="宋体" w:hAnsi="宋体" w:cs="宋体"/>
          <w:b/>
          <w:color w:val="000000" w:themeColor="text1"/>
          <w:sz w:val="32"/>
          <w14:textFill>
            <w14:solidFill>
              <w14:schemeClr w14:val="tx1"/>
            </w14:solidFill>
          </w14:textFill>
        </w:rPr>
      </w:pPr>
    </w:p>
    <w:p w14:paraId="4789E766">
      <w:pPr>
        <w:pStyle w:val="130"/>
        <w:spacing w:before="0"/>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四、交易、资格审查</w:t>
      </w:r>
    </w:p>
    <w:p w14:paraId="3E069E34">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17.交易</w:t>
      </w:r>
    </w:p>
    <w:p w14:paraId="0E252281">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17.1采购机构按照交易文件规定的时间通过电子交易平台组织开标，所有响应人均应当准时在线参加。响应人不足3家的，不得交易。</w:t>
      </w:r>
    </w:p>
    <w:p w14:paraId="1A8CDD0D">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17.2交易时，电子交易平台按交易时间自动提取所有响应文件。采购机构依托电子交易平台发起开始解密指令，响应人按照平台提示和交易文件的规定在半小时内完成在线解密。</w:t>
      </w:r>
    </w:p>
    <w:p w14:paraId="41C60107">
      <w:pPr>
        <w:pStyle w:val="556"/>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17.3</w:t>
      </w:r>
      <w:r>
        <w:rPr>
          <w:rFonts w:hint="eastAsia" w:ascii="宋体" w:hAnsi="宋体" w:cs="宋体"/>
          <w:b/>
          <w:color w:val="000000" w:themeColor="text1"/>
          <w:sz w:val="24"/>
          <w14:textFill>
            <w14:solidFill>
              <w14:schemeClr w14:val="tx1"/>
            </w14:solidFill>
          </w14:textFill>
        </w:rPr>
        <w:t>响应文件未按时解密，响应人提供了备份响应文件的，以备份响应文件作为依据，否则视为响应文件撤回。响应文件已按时解密的，备份响应文件自动失效。</w:t>
      </w:r>
    </w:p>
    <w:p w14:paraId="1114FEF0">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18、资格审查</w:t>
      </w:r>
    </w:p>
    <w:p w14:paraId="3AD1CF0A">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18.1</w:t>
      </w:r>
      <w:r>
        <w:rPr>
          <w:rFonts w:hint="eastAsia" w:cs="宋体"/>
          <w:color w:val="000000" w:themeColor="text1"/>
          <w:szCs w:val="21"/>
          <w14:textFill>
            <w14:solidFill>
              <w14:schemeClr w14:val="tx1"/>
            </w14:solidFill>
          </w14:textFill>
        </w:rPr>
        <w:t>交易</w:t>
      </w:r>
      <w:r>
        <w:rPr>
          <w:rFonts w:hint="eastAsia" w:ascii="宋体" w:hAnsi="宋体" w:cs="宋体"/>
          <w:color w:val="000000" w:themeColor="text1"/>
          <w:kern w:val="0"/>
          <w:szCs w:val="24"/>
          <w14:textFill>
            <w14:solidFill>
              <w14:schemeClr w14:val="tx1"/>
            </w14:solidFill>
          </w14:textFill>
        </w:rPr>
        <w:t>后，采购人或采购机构将依法对响应人的资格进行审查。</w:t>
      </w:r>
    </w:p>
    <w:p w14:paraId="4B648F0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采购人或采购机构依据法律法规和交易文件的规定，对响应人的基本资格条件、特定资格条件进行审查。</w:t>
      </w:r>
    </w:p>
    <w:p w14:paraId="3F80AA2C">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18.3响应人未按照交易文件要求提供与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响应人不具备交易文件中规定的资格要求，其响应无效。</w:t>
      </w:r>
    </w:p>
    <w:p w14:paraId="57F6B344">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4对未通过资格审查的响应人，采购人或采购机构告知其未通过的原因。</w:t>
      </w:r>
    </w:p>
    <w:p w14:paraId="3008C84D">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5合格响应人不足3家的，不再评标。</w:t>
      </w:r>
    </w:p>
    <w:p w14:paraId="1C710BBE">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537F1FE5">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评标委员会将根据交易文件和有关规定，履行评标工作职责，并按照评审方法及评分标准，全面衡量各响应人对交易文件的响应情况。对实质上响应交易文件的响应人，按照评审因素的量化指标排出推荐成交的响应人的先后顺序，并按顺序提出授标建议。</w:t>
      </w:r>
      <w:r>
        <w:rPr>
          <w:rFonts w:hint="eastAsia" w:ascii="宋体" w:hAnsi="宋体" w:cs="宋体"/>
          <w:b/>
          <w:color w:val="000000" w:themeColor="text1"/>
          <w:sz w:val="24"/>
          <w14:textFill>
            <w14:solidFill>
              <w14:schemeClr w14:val="tx1"/>
            </w14:solidFill>
          </w14:textFill>
        </w:rPr>
        <w:t>详见交易文件第四部分评标办法。</w:t>
      </w:r>
    </w:p>
    <w:p w14:paraId="1CD70E1D">
      <w:pPr>
        <w:spacing w:line="360" w:lineRule="auto"/>
        <w:rPr>
          <w:rFonts w:ascii="宋体" w:hAnsi="宋体" w:cs="宋体"/>
          <w:b/>
          <w:color w:val="000000" w:themeColor="text1"/>
          <w:sz w:val="24"/>
          <w14:textFill>
            <w14:solidFill>
              <w14:schemeClr w14:val="tx1"/>
            </w14:solidFill>
          </w14:textFill>
        </w:rPr>
      </w:pPr>
    </w:p>
    <w:p w14:paraId="3A8E486B">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六、定标</w:t>
      </w:r>
    </w:p>
    <w:p w14:paraId="60AD8FA8">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20. 确定成交响应人</w:t>
      </w:r>
    </w:p>
    <w:p w14:paraId="3F787B44">
      <w:pPr>
        <w:pStyle w:val="130"/>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采购人将自收到评审报告之日起5个工作日内通过电子交易平台在评审报告推荐的成交候选人中按顺序确定成交响应人。</w:t>
      </w:r>
    </w:p>
    <w:p w14:paraId="1E4D4A02">
      <w:pPr>
        <w:pStyle w:val="130"/>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21. 成交通知与成交结果公告</w:t>
      </w:r>
    </w:p>
    <w:p w14:paraId="5A321206">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3A60F697">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21.2成交结果公告内容包括采购人及其委托的采购机构的名称、地址、联系方式，项目名称和项目编号，成交人名称、地址和成交金额，主要成交标的的名称、规格型号、数量、单价、服务要求。</w:t>
      </w:r>
    </w:p>
    <w:p w14:paraId="53D5B49E">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21.3公告期限为1个工作日。</w:t>
      </w:r>
    </w:p>
    <w:p w14:paraId="26B03ECC">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11C888F3">
      <w:pPr>
        <w:snapToGrid w:val="0"/>
        <w:spacing w:line="360" w:lineRule="auto"/>
        <w:ind w:left="120" w:leftChars="57" w:firstLine="482" w:firstLineChars="15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067AD914">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合同的签订</w:t>
      </w:r>
    </w:p>
    <w:p w14:paraId="32A07438">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w:t>
      </w:r>
      <w:r>
        <w:rPr>
          <w:rFonts w:hint="eastAsia" w:ascii="宋体" w:hAnsi="宋体" w:cs="宋体"/>
          <w:color w:val="000000" w:themeColor="text1"/>
          <w:kern w:val="0"/>
          <w:sz w:val="24"/>
          <w14:textFill>
            <w14:solidFill>
              <w14:schemeClr w14:val="tx1"/>
            </w14:solidFill>
          </w14:textFill>
        </w:rPr>
        <w:t>采购人与成交人应当通过电子交易平台在成交通知书发出之日起三十日内，按照交易文件确定的事项签订采购合同。</w:t>
      </w:r>
    </w:p>
    <w:p w14:paraId="6199AF90">
      <w:pPr>
        <w:widowControl/>
        <w:shd w:val="clear" w:color="auto" w:fill="FFFFFF"/>
        <w:spacing w:line="360" w:lineRule="auto"/>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成交人按规定的日期、时间、地点，由法定代表人或其授权代表与采购人代表签订合同。如成交人为联合体的，由联合体成员各方法定代表人或其授权代表与采购人代表签订合同。</w:t>
      </w:r>
    </w:p>
    <w:p w14:paraId="6CAE378E">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22.3如签订合同并生效后，响应人无故拒绝或延期，除按照合同条款处理外，列入不良行为记录一次，并给予通报。</w:t>
      </w:r>
    </w:p>
    <w:p w14:paraId="165565E1">
      <w:pPr>
        <w:pStyle w:val="130"/>
        <w:snapToGrid w:val="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14:textFill>
            <w14:solidFill>
              <w14:schemeClr w14:val="tx1"/>
            </w14:solidFill>
          </w14:textFill>
        </w:rPr>
        <w:t>22.4成交</w:t>
      </w:r>
      <w:r>
        <w:rPr>
          <w:rFonts w:hint="eastAsia" w:ascii="宋体" w:hAnsi="宋体" w:cs="宋体"/>
          <w:color w:val="000000" w:themeColor="text1"/>
          <w:kern w:val="0"/>
          <w:szCs w:val="24"/>
          <w14:textFill>
            <w14:solidFill>
              <w14:schemeClr w14:val="tx1"/>
            </w14:solidFill>
          </w14:textFill>
        </w:rPr>
        <w:t>响应人拒绝与采购人签订合同的，采购人可以按照评审报告推荐的成交或者成交候选人名单排序，确定下一候选人为成交响应人，也可以重新开展采购活动。</w:t>
      </w:r>
    </w:p>
    <w:p w14:paraId="5CF2A981">
      <w:pPr>
        <w:pStyle w:val="130"/>
        <w:snapToGrid w:val="0"/>
        <w:spacing w:before="0" w:after="12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22.5采购合同由采购人与成交响应人根据交易文件、响应文件等内容通过采购电子交易平台在线签订，自动备案。</w:t>
      </w:r>
    </w:p>
    <w:p w14:paraId="4C10BBC4">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23. 履约保证金</w:t>
      </w:r>
    </w:p>
    <w:p w14:paraId="6136955A">
      <w:pPr>
        <w:tabs>
          <w:tab w:val="left" w:pos="0"/>
        </w:tabs>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拟签订的合同文本要求成交响应人提交履约保证金的，响应人应当以支票、汇票、本票或者金融机构、担保机构出具的保函等非现金形式提交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。履约保证金的数额不得超过采购合同金额的</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%。鼓励和支持响应人以银行、保险公司出具的保函形式提供履约保证金。</w:t>
      </w:r>
      <w:r>
        <w:rPr>
          <w:rFonts w:hint="eastAsia" w:ascii="宋体" w:hAnsi="宋体" w:cs="宋体"/>
          <w:b/>
          <w:color w:val="000000" w:themeColor="text1"/>
          <w:sz w:val="24"/>
          <w14:textFill>
            <w14:solidFill>
              <w14:schemeClr w14:val="tx1"/>
            </w14:solidFill>
          </w14:textFill>
        </w:rPr>
        <w:t>采购人不得拒收履约保函，项目验收结束后应及时退还。</w:t>
      </w:r>
    </w:p>
    <w:p w14:paraId="53521FB3">
      <w:pPr>
        <w:pStyle w:val="61"/>
        <w:rPr>
          <w:color w:val="000000" w:themeColor="text1"/>
          <w14:textFill>
            <w14:solidFill>
              <w14:schemeClr w14:val="tx1"/>
            </w14:solidFill>
          </w14:textFill>
        </w:rPr>
      </w:pPr>
    </w:p>
    <w:p w14:paraId="2DD7E07A">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6700168D">
      <w:pPr>
        <w:pStyle w:val="130"/>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bCs/>
          <w:color w:val="000000" w:themeColor="text1"/>
          <w:szCs w:val="24"/>
          <w14:textFill>
            <w14:solidFill>
              <w14:schemeClr w14:val="tx1"/>
            </w14:solidFill>
          </w14:textFill>
        </w:rPr>
        <w:t>4.</w:t>
      </w:r>
      <w:r>
        <w:rPr>
          <w:rFonts w:hint="eastAsia" w:ascii="宋体" w:hAnsi="宋体" w:cs="宋体"/>
          <w:b/>
          <w:color w:val="000000" w:themeColor="text1"/>
          <w:szCs w:val="24"/>
          <w14:textFill>
            <w14:solidFill>
              <w14:schemeClr w14:val="tx1"/>
            </w14:solidFill>
          </w14:textFill>
        </w:rPr>
        <w:t>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5531925C">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24.1电子交易平台发生故障而无法登录访问的；</w:t>
      </w:r>
    </w:p>
    <w:p w14:paraId="661D7696">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24.2电子交易平台应用或数据库出现错误，不能进行正常操作的；</w:t>
      </w:r>
    </w:p>
    <w:p w14:paraId="06385D06">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24.3电子交易平台发现严重安全漏洞，有潜在泄密危险的；</w:t>
      </w:r>
    </w:p>
    <w:p w14:paraId="35AE4BE9">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24.4病毒发作导致不能进行正常操作的；</w:t>
      </w:r>
    </w:p>
    <w:p w14:paraId="2BF2B425">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24.5其他无法保证电子交易的公平、公正和安全的情况。</w:t>
      </w:r>
    </w:p>
    <w:p w14:paraId="4DACA14E">
      <w:pPr>
        <w:pStyle w:val="130"/>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25.出现以上情形，不影响采购公平、公正性的，采购组织机构可以待上述情形消除后继续组织电子交易活动，也可以决定某些环节以纸质形式进行；影响或可能影响采购公平、公正性的，应当重新采购。</w:t>
      </w:r>
    </w:p>
    <w:p w14:paraId="2B3A6A2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2384DBF5">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1A1634CE">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26.验收</w:t>
      </w:r>
    </w:p>
    <w:p w14:paraId="70A58E9C">
      <w:pPr>
        <w:tabs>
          <w:tab w:val="left" w:pos="0"/>
        </w:tabs>
        <w:spacing w:line="360" w:lineRule="auto"/>
        <w:ind w:firstLine="480"/>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26.1采购人应当组织对响应人履约的验收。</w:t>
      </w:r>
      <w:bookmarkEnd w:id="11"/>
      <w:bookmarkEnd w:id="12"/>
      <w:bookmarkEnd w:id="13"/>
      <w:bookmarkStart w:id="14" w:name="第四部分"/>
    </w:p>
    <w:p w14:paraId="155CAA2A">
      <w:pPr>
        <w:spacing w:line="360" w:lineRule="auto"/>
        <w:jc w:val="center"/>
        <w:outlineLvl w:val="0"/>
        <w:rPr>
          <w:rFonts w:ascii="宋体" w:hAnsi="宋体" w:cs="宋体"/>
          <w:b/>
          <w:color w:val="000000" w:themeColor="text1"/>
          <w:sz w:val="36"/>
          <w:szCs w:val="36"/>
          <w14:textFill>
            <w14:solidFill>
              <w14:schemeClr w14:val="tx1"/>
            </w14:solidFill>
          </w14:textFill>
        </w:rPr>
      </w:pPr>
    </w:p>
    <w:p w14:paraId="06A56CE3">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3A5031A">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第三部分采购需求</w:t>
      </w:r>
    </w:p>
    <w:p w14:paraId="112238C4">
      <w:pPr>
        <w:spacing w:line="360" w:lineRule="auto"/>
        <w:jc w:val="center"/>
        <w:rPr>
          <w:rFonts w:ascii="宋体" w:hAnsi="宋体"/>
          <w:b/>
          <w:color w:val="000000" w:themeColor="text1"/>
          <w:sz w:val="24"/>
          <w14:textFill>
            <w14:solidFill>
              <w14:schemeClr w14:val="tx1"/>
            </w14:solidFill>
          </w14:textFill>
        </w:rPr>
      </w:pPr>
    </w:p>
    <w:p w14:paraId="37227007">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一、交易一览表</w:t>
      </w:r>
    </w:p>
    <w:p w14:paraId="6F2B3069">
      <w:pPr>
        <w:ind w:firstLine="590" w:firstLineChars="2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标项：一</w:t>
      </w:r>
    </w:p>
    <w:tbl>
      <w:tblPr>
        <w:tblStyle w:val="64"/>
        <w:tblW w:w="7904" w:type="dxa"/>
        <w:jc w:val="center"/>
        <w:tblLayout w:type="fixed"/>
        <w:tblCellMar>
          <w:top w:w="0" w:type="dxa"/>
          <w:left w:w="0" w:type="dxa"/>
          <w:bottom w:w="0" w:type="dxa"/>
          <w:right w:w="0" w:type="dxa"/>
        </w:tblCellMar>
      </w:tblPr>
      <w:tblGrid>
        <w:gridCol w:w="705"/>
        <w:gridCol w:w="3237"/>
        <w:gridCol w:w="1980"/>
        <w:gridCol w:w="858"/>
        <w:gridCol w:w="1124"/>
      </w:tblGrid>
      <w:tr w14:paraId="17D45880">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38A5F">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序号</w:t>
            </w:r>
          </w:p>
        </w:tc>
        <w:tc>
          <w:tcPr>
            <w:tcW w:w="3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F08436">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E87096">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规格型号与参数</w:t>
            </w:r>
          </w:p>
        </w:tc>
        <w:tc>
          <w:tcPr>
            <w:tcW w:w="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85625A">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单位</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110947">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数量</w:t>
            </w:r>
          </w:p>
        </w:tc>
      </w:tr>
      <w:tr w14:paraId="72EEE80E">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1AF19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2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1C3F46">
            <w:pPr>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28"/>
                <w:sz w:val="24"/>
                <w:szCs w:val="20"/>
                <w:highlight w:val="none"/>
                <w:lang w:eastAsia="zh-CN"/>
                <w14:textFill>
                  <w14:solidFill>
                    <w14:schemeClr w14:val="tx1"/>
                  </w14:solidFill>
                </w14:textFill>
              </w:rPr>
              <w:t>新塘街道南晖社区百姓健身房合作服务项目</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C9FEC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详见交易需求</w:t>
            </w:r>
          </w:p>
        </w:tc>
        <w:tc>
          <w:tcPr>
            <w:tcW w:w="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ED031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EE4F9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bl>
    <w:p w14:paraId="754D96D8">
      <w:pPr>
        <w:autoSpaceDE w:val="0"/>
        <w:autoSpaceDN w:val="0"/>
        <w:spacing w:afterLines="50" w:line="300" w:lineRule="exact"/>
        <w:jc w:val="center"/>
        <w:rPr>
          <w:rFonts w:ascii="宋体" w:hAnsi="宋体"/>
          <w:b/>
          <w:color w:val="000000" w:themeColor="text1"/>
          <w:sz w:val="18"/>
          <w:szCs w:val="18"/>
          <w14:textFill>
            <w14:solidFill>
              <w14:schemeClr w14:val="tx1"/>
            </w14:solidFill>
          </w14:textFill>
        </w:rPr>
      </w:pPr>
    </w:p>
    <w:p w14:paraId="55995941">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二、技术需求</w:t>
      </w:r>
    </w:p>
    <w:p w14:paraId="19ADB37F">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1、项目概况</w:t>
      </w:r>
    </w:p>
    <w:p w14:paraId="6500B17F">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位于南晖社区党群服务中心一楼（原乒乓球室和舞蹈室），面积约110平方米。通过对党群服务中心功能布局设计及辖区居民需求调查，一方面为了满足南晖未来社区场景建设需求，提高党群服务中心空间使用率；另一方面为满足辖区居民运动健身需求。社区决定将原有乒乓球室及舞蹈房改造成为百姓健身房。</w:t>
      </w:r>
    </w:p>
    <w:p w14:paraId="30C01EF9">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原乒乓球室按现有状态交付给运营方，原舞蹈房由社区进行改造后交付给运营方。由运营方承担原乒乓球室的健身装修、设备投入及场馆的水电费；舞蹈房保持原有功能不变，社区改造后交付给运营方，面向居民免费开放。为居民群众提供更专业、便利的体育健身服务。</w:t>
      </w:r>
    </w:p>
    <w:p w14:paraId="3161D8D4">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2、服务内容：</w:t>
      </w:r>
    </w:p>
    <w:p w14:paraId="394251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cs="宋体"/>
          <w:color w:val="auto"/>
          <w:sz w:val="24"/>
          <w:szCs w:val="24"/>
          <w:lang w:val="en-US" w:eastAsia="zh-CN"/>
        </w:rPr>
        <w:t>现状</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成交人负责完成</w:t>
      </w:r>
      <w:r>
        <w:rPr>
          <w:rFonts w:hint="eastAsia" w:ascii="宋体" w:hAnsi="宋体"/>
          <w:color w:val="000000" w:themeColor="text1"/>
          <w:kern w:val="28"/>
          <w:sz w:val="24"/>
          <w:szCs w:val="20"/>
          <w:highlight w:val="none"/>
          <w:lang w:eastAsia="zh-CN"/>
          <w14:textFill>
            <w14:solidFill>
              <w14:schemeClr w14:val="tx1"/>
            </w14:solidFill>
          </w14:textFill>
        </w:rPr>
        <w:t>南晖社区百姓健身房</w:t>
      </w:r>
      <w:r>
        <w:rPr>
          <w:rFonts w:hint="eastAsia" w:ascii="宋体" w:hAnsi="宋体" w:cs="宋体"/>
          <w:b w:val="0"/>
          <w:bCs w:val="0"/>
          <w:color w:val="auto"/>
          <w:sz w:val="24"/>
          <w:szCs w:val="24"/>
          <w:lang w:val="en-US" w:eastAsia="zh-CN"/>
        </w:rPr>
        <w:t>前期建设及后期</w:t>
      </w:r>
      <w:r>
        <w:rPr>
          <w:rFonts w:hint="eastAsia" w:ascii="宋体" w:hAnsi="宋体" w:eastAsia="宋体" w:cs="宋体"/>
          <w:b w:val="0"/>
          <w:bCs w:val="0"/>
          <w:color w:val="auto"/>
          <w:sz w:val="24"/>
          <w:szCs w:val="24"/>
          <w:lang w:val="en-US" w:eastAsia="zh-CN"/>
        </w:rPr>
        <w:t>运营服务</w:t>
      </w:r>
      <w:r>
        <w:rPr>
          <w:rFonts w:hint="eastAsia" w:ascii="宋体" w:hAnsi="宋体" w:cs="宋体"/>
          <w:color w:val="auto"/>
          <w:sz w:val="24"/>
          <w:szCs w:val="24"/>
          <w:lang w:val="en-US" w:eastAsia="zh-CN"/>
        </w:rPr>
        <w:t>，实施地点为</w:t>
      </w:r>
      <w:r>
        <w:rPr>
          <w:rFonts w:hint="eastAsia" w:ascii="宋体" w:hAnsi="宋体" w:eastAsia="宋体" w:cs="宋体"/>
          <w:b w:val="0"/>
          <w:bCs w:val="0"/>
          <w:color w:val="auto"/>
          <w:sz w:val="24"/>
          <w:szCs w:val="24"/>
          <w:lang w:val="en-US" w:eastAsia="zh-CN"/>
        </w:rPr>
        <w:t>南晖社区党群服务中心一楼（原乒乓球室和舞蹈室）</w:t>
      </w:r>
      <w:r>
        <w:rPr>
          <w:rFonts w:hint="eastAsia" w:ascii="宋体" w:hAnsi="宋体" w:eastAsia="宋体" w:cs="宋体"/>
          <w:color w:val="auto"/>
          <w:sz w:val="24"/>
          <w:szCs w:val="24"/>
        </w:rPr>
        <w:t>，整体建筑面积约为</w:t>
      </w:r>
      <w:r>
        <w:rPr>
          <w:rFonts w:hint="eastAsia" w:ascii="宋体" w:hAnsi="宋体" w:eastAsia="宋体" w:cs="宋体"/>
          <w:b w:val="0"/>
          <w:bCs w:val="0"/>
          <w:color w:val="auto"/>
          <w:sz w:val="24"/>
          <w:szCs w:val="24"/>
          <w:lang w:val="en-US" w:eastAsia="zh-CN"/>
        </w:rPr>
        <w:t>110平方米</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响应人可进行实地踏勘</w:t>
      </w:r>
      <w:r>
        <w:rPr>
          <w:rFonts w:hint="eastAsia" w:ascii="宋体" w:hAnsi="宋体" w:cs="宋体"/>
          <w:color w:val="auto"/>
          <w:sz w:val="24"/>
          <w:szCs w:val="24"/>
          <w:lang w:eastAsia="zh-CN"/>
        </w:rPr>
        <w:t>）</w:t>
      </w:r>
      <w:r>
        <w:rPr>
          <w:rFonts w:hint="eastAsia" w:ascii="宋体" w:hAnsi="宋体" w:eastAsia="宋体" w:cs="宋体"/>
          <w:color w:val="auto"/>
          <w:sz w:val="24"/>
          <w:szCs w:val="24"/>
        </w:rPr>
        <w:t>，社区仅提供现有场地，场地内后续装修布局规划以及后续装修器材采购费用等全部由</w:t>
      </w:r>
      <w:r>
        <w:rPr>
          <w:rFonts w:hint="eastAsia" w:ascii="宋体" w:hAnsi="宋体" w:cs="宋体"/>
          <w:color w:val="auto"/>
          <w:sz w:val="24"/>
          <w:szCs w:val="24"/>
          <w:lang w:val="en-US" w:eastAsia="zh-CN"/>
        </w:rPr>
        <w:t>成交单位</w:t>
      </w:r>
      <w:r>
        <w:rPr>
          <w:rFonts w:hint="eastAsia" w:ascii="宋体" w:hAnsi="宋体" w:eastAsia="宋体" w:cs="宋体"/>
          <w:color w:val="auto"/>
          <w:sz w:val="24"/>
          <w:szCs w:val="24"/>
        </w:rPr>
        <w:t>负责</w:t>
      </w:r>
      <w:r>
        <w:rPr>
          <w:rFonts w:hint="eastAsia" w:ascii="宋体" w:hAnsi="宋体" w:cs="宋体"/>
          <w:color w:val="auto"/>
          <w:sz w:val="24"/>
          <w:szCs w:val="24"/>
          <w:lang w:eastAsia="zh-CN"/>
        </w:rPr>
        <w:t>。</w:t>
      </w:r>
    </w:p>
    <w:p w14:paraId="4686BD5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总体空间设计：围绕社区健身房创建目标，挖掘社区所在地文化特色</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响应居民需求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合理调控</w:t>
      </w:r>
      <w:r>
        <w:rPr>
          <w:rFonts w:hint="eastAsia" w:ascii="宋体" w:hAnsi="宋体" w:eastAsia="宋体" w:cs="宋体"/>
          <w:color w:val="auto"/>
          <w:sz w:val="24"/>
          <w:szCs w:val="24"/>
          <w:lang w:val="en-US" w:eastAsia="zh-CN"/>
        </w:rPr>
        <w:t>空间布局及居民总体需求，合理确定</w:t>
      </w:r>
      <w:r>
        <w:rPr>
          <w:rFonts w:hint="eastAsia" w:ascii="宋体" w:hAnsi="宋体" w:eastAsia="宋体" w:cs="宋体"/>
          <w:color w:val="auto"/>
          <w:sz w:val="24"/>
          <w:szCs w:val="24"/>
        </w:rPr>
        <w:t>布局，提出</w:t>
      </w:r>
      <w:r>
        <w:rPr>
          <w:rFonts w:hint="eastAsia" w:ascii="宋体" w:hAnsi="宋体" w:cs="宋体"/>
          <w:color w:val="auto"/>
          <w:sz w:val="24"/>
          <w:szCs w:val="24"/>
          <w:lang w:val="en-US" w:eastAsia="zh-CN"/>
        </w:rPr>
        <w:t>实施</w:t>
      </w:r>
      <w:r>
        <w:rPr>
          <w:rFonts w:hint="eastAsia" w:ascii="宋体" w:hAnsi="宋体" w:eastAsia="宋体" w:cs="宋体"/>
          <w:color w:val="auto"/>
          <w:sz w:val="24"/>
          <w:szCs w:val="24"/>
        </w:rPr>
        <w:t>方案，包括总体设计策略、总体改造更新图、改造内容及相应</w:t>
      </w:r>
      <w:r>
        <w:rPr>
          <w:rFonts w:hint="eastAsia" w:ascii="宋体" w:hAnsi="宋体" w:cs="宋体"/>
          <w:color w:val="auto"/>
          <w:sz w:val="24"/>
          <w:szCs w:val="24"/>
          <w:lang w:val="en-US" w:eastAsia="zh-CN"/>
        </w:rPr>
        <w:t>健身服务</w:t>
      </w:r>
      <w:r>
        <w:rPr>
          <w:rFonts w:hint="eastAsia" w:ascii="宋体" w:hAnsi="宋体" w:eastAsia="宋体" w:cs="宋体"/>
          <w:color w:val="auto"/>
          <w:sz w:val="24"/>
          <w:szCs w:val="24"/>
        </w:rPr>
        <w:t>措施等内容。</w:t>
      </w:r>
    </w:p>
    <w:p w14:paraId="15F5C51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（3）装修</w:t>
      </w:r>
      <w:r>
        <w:rPr>
          <w:rFonts w:hint="eastAsia" w:ascii="宋体" w:hAnsi="宋体" w:eastAsia="宋体" w:cs="宋体"/>
          <w:color w:val="auto"/>
          <w:sz w:val="24"/>
          <w:szCs w:val="24"/>
          <w:lang w:val="en-US" w:eastAsia="zh-CN"/>
        </w:rPr>
        <w:t>布置要求：所有装修设计均需通过业主审核通过后方可执行，装修过程中</w:t>
      </w:r>
      <w:r>
        <w:rPr>
          <w:rFonts w:hint="default" w:ascii="宋体" w:hAnsi="宋体" w:eastAsia="宋体" w:cs="宋体"/>
          <w:color w:val="auto"/>
          <w:sz w:val="24"/>
          <w:szCs w:val="24"/>
          <w:lang w:val="en-US" w:eastAsia="zh-CN"/>
        </w:rPr>
        <w:t>所涉及建筑施工材料</w:t>
      </w:r>
      <w:r>
        <w:rPr>
          <w:rFonts w:hint="eastAsia" w:ascii="宋体" w:hAnsi="宋体" w:eastAsia="宋体" w:cs="宋体"/>
          <w:color w:val="auto"/>
          <w:sz w:val="24"/>
          <w:szCs w:val="24"/>
          <w:lang w:val="en-US" w:eastAsia="zh-CN"/>
        </w:rPr>
        <w:t>、设施设备、健身器械</w:t>
      </w:r>
      <w:r>
        <w:rPr>
          <w:rFonts w:hint="default" w:ascii="宋体" w:hAnsi="宋体" w:eastAsia="宋体" w:cs="宋体"/>
          <w:color w:val="auto"/>
          <w:sz w:val="24"/>
          <w:szCs w:val="24"/>
          <w:lang w:val="en-US" w:eastAsia="zh-CN"/>
        </w:rPr>
        <w:t>均由</w:t>
      </w:r>
      <w:r>
        <w:rPr>
          <w:rFonts w:hint="eastAsia" w:ascii="宋体" w:hAnsi="宋体" w:eastAsia="宋体" w:cs="宋体"/>
          <w:color w:val="auto"/>
          <w:sz w:val="24"/>
          <w:szCs w:val="24"/>
          <w:lang w:val="en-US" w:eastAsia="zh-CN"/>
        </w:rPr>
        <w:t>成交人自行采购</w:t>
      </w:r>
      <w:r>
        <w:rPr>
          <w:rFonts w:hint="default" w:ascii="宋体" w:hAnsi="宋体" w:eastAsia="宋体" w:cs="宋体"/>
          <w:color w:val="auto"/>
          <w:sz w:val="24"/>
          <w:szCs w:val="24"/>
          <w:lang w:val="en-US" w:eastAsia="zh-CN"/>
        </w:rPr>
        <w:t>；所有材料</w:t>
      </w:r>
      <w:r>
        <w:rPr>
          <w:rFonts w:hint="eastAsia" w:ascii="宋体" w:hAnsi="宋体" w:eastAsia="宋体" w:cs="宋体"/>
          <w:color w:val="auto"/>
          <w:sz w:val="24"/>
          <w:szCs w:val="24"/>
          <w:lang w:val="en-US" w:eastAsia="zh-CN"/>
        </w:rPr>
        <w:t>、设备、器材须满足国家标准且必须提供</w:t>
      </w:r>
      <w:r>
        <w:rPr>
          <w:rFonts w:hint="default" w:ascii="宋体" w:hAnsi="宋体" w:eastAsia="宋体" w:cs="宋体"/>
          <w:color w:val="auto"/>
          <w:sz w:val="24"/>
          <w:szCs w:val="24"/>
          <w:lang w:val="en-US" w:eastAsia="zh-CN"/>
        </w:rPr>
        <w:t>产品合格证和质量保证书。</w:t>
      </w:r>
    </w:p>
    <w:p w14:paraId="1A85482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运营组织：</w:t>
      </w:r>
      <w:r>
        <w:rPr>
          <w:rFonts w:hint="eastAsia" w:ascii="宋体" w:hAnsi="宋体" w:cs="宋体"/>
          <w:color w:val="auto"/>
          <w:sz w:val="24"/>
          <w:szCs w:val="24"/>
          <w:lang w:val="en-US" w:eastAsia="zh-CN"/>
        </w:rPr>
        <w:t>成交单位负责</w:t>
      </w:r>
      <w:r>
        <w:rPr>
          <w:rFonts w:hint="eastAsia" w:ascii="宋体" w:hAnsi="宋体" w:eastAsia="宋体" w:cs="宋体"/>
          <w:color w:val="auto"/>
          <w:sz w:val="24"/>
          <w:szCs w:val="24"/>
          <w:lang w:val="en-US" w:eastAsia="zh-CN"/>
        </w:rPr>
        <w:t>运动健康中心的日常运营，</w:t>
      </w:r>
      <w:r>
        <w:rPr>
          <w:rFonts w:hint="eastAsia" w:ascii="宋体" w:hAnsi="宋体" w:eastAsia="宋体" w:cs="宋体"/>
          <w:color w:val="auto"/>
          <w:sz w:val="24"/>
          <w:szCs w:val="24"/>
        </w:rPr>
        <w:t>基于居民需求调研、市场及周边调研，确定社区居民的服务需求、市场资源和运营目标，结合特色及核心场景策划，明确公益性、惠民及商业经营性业态空间布局；明确运营主体和运营组织架构。</w:t>
      </w:r>
    </w:p>
    <w:p w14:paraId="17BDA685">
      <w:pP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（5）公益课程：开展社区青少年体能指导、少儿体能培养等公益活动，成交单位每年提供不少于12场次公益课程活动。</w:t>
      </w:r>
    </w:p>
    <w:p w14:paraId="09E887BF">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sz w:val="24"/>
          <w:szCs w:val="24"/>
          <w:lang w:val="en-US" w:eastAsia="zh-CN"/>
        </w:rPr>
        <w:t>4、器械要求：</w:t>
      </w:r>
    </w:p>
    <w:p w14:paraId="2DE3F9E3">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成交单位应提供适合各类人员使用的健身器材，且必须配置以下器材：</w:t>
      </w:r>
    </w:p>
    <w:tbl>
      <w:tblPr>
        <w:tblStyle w:val="64"/>
        <w:tblW w:w="8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6780"/>
      </w:tblGrid>
      <w:tr w14:paraId="11E7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30F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序号</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9BE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器械名称</w:t>
            </w:r>
          </w:p>
        </w:tc>
      </w:tr>
      <w:tr w14:paraId="1AF9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960">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EB4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跑步机</w:t>
            </w:r>
          </w:p>
        </w:tc>
      </w:tr>
      <w:tr w14:paraId="02F4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6938">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ABE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楼梯机</w:t>
            </w:r>
          </w:p>
        </w:tc>
      </w:tr>
      <w:tr w14:paraId="7BDE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561A">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9B2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椭圆机</w:t>
            </w:r>
          </w:p>
        </w:tc>
      </w:tr>
      <w:tr w14:paraId="04DD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7BCF">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AC0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rPr>
              <w:t>单车</w:t>
            </w:r>
          </w:p>
        </w:tc>
      </w:tr>
      <w:tr w14:paraId="2DB5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D952">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661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五站位综合训练机</w:t>
            </w:r>
          </w:p>
        </w:tc>
      </w:tr>
      <w:tr w14:paraId="683D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AB90">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78F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哑铃</w:t>
            </w:r>
          </w:p>
        </w:tc>
      </w:tr>
      <w:tr w14:paraId="2C70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815">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9F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史密斯综合训练机</w:t>
            </w:r>
          </w:p>
        </w:tc>
      </w:tr>
      <w:tr w14:paraId="5DFA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A0A">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ECE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自由深蹲架</w:t>
            </w:r>
          </w:p>
        </w:tc>
      </w:tr>
      <w:tr w14:paraId="4125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CB1">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C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自由卧推架</w:t>
            </w:r>
          </w:p>
        </w:tc>
      </w:tr>
      <w:tr w14:paraId="130A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11D">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BA9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智能体质检测一体机</w:t>
            </w:r>
          </w:p>
        </w:tc>
      </w:tr>
      <w:tr w14:paraId="21B5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DB8">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5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可调节训练凳</w:t>
            </w:r>
          </w:p>
        </w:tc>
      </w:tr>
      <w:tr w14:paraId="38B3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6466">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E90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腿部内收/外展训练机</w:t>
            </w:r>
          </w:p>
        </w:tc>
      </w:tr>
      <w:tr w14:paraId="4D2F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8EC0">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43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高位拉背训练机</w:t>
            </w:r>
          </w:p>
        </w:tc>
      </w:tr>
      <w:tr w14:paraId="6EE9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0D8">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D1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助力引体向上训练机</w:t>
            </w:r>
          </w:p>
        </w:tc>
      </w:tr>
      <w:tr w14:paraId="4150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7F4D">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9D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rPr>
              <w:t>二三头训练机</w:t>
            </w:r>
          </w:p>
        </w:tc>
      </w:tr>
      <w:tr w14:paraId="55C8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80C">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85F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rPr>
              <w:t>划船背部训练集</w:t>
            </w:r>
          </w:p>
        </w:tc>
      </w:tr>
      <w:tr w14:paraId="31A6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601">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3A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体质检测一体机</w:t>
            </w:r>
          </w:p>
        </w:tc>
      </w:tr>
      <w:tr w14:paraId="1E39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76B0">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56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推胸训练器</w:t>
            </w:r>
          </w:p>
        </w:tc>
      </w:tr>
      <w:tr w14:paraId="0DAB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0F9">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9B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蝴蝶机训练器</w:t>
            </w:r>
          </w:p>
        </w:tc>
      </w:tr>
    </w:tbl>
    <w:p w14:paraId="206D04DF">
      <w:pPr>
        <w:spacing w:line="360" w:lineRule="auto"/>
        <w:ind w:firstLine="480" w:firstLineChars="200"/>
        <w:rPr>
          <w:rFonts w:hint="default" w:ascii="宋体" w:hAnsi="宋体" w:cs="宋体"/>
          <w:b w:val="0"/>
          <w:bCs w:val="0"/>
          <w:color w:val="auto"/>
          <w:sz w:val="24"/>
          <w:szCs w:val="24"/>
          <w:lang w:val="en-US" w:eastAsia="zh-CN"/>
        </w:rPr>
      </w:pPr>
    </w:p>
    <w:p w14:paraId="0499C6D0">
      <w:p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5、服务要求：</w:t>
      </w:r>
    </w:p>
    <w:p w14:paraId="7B998E98">
      <w:pPr>
        <w:spacing w:line="360" w:lineRule="auto"/>
        <w:ind w:firstLine="480" w:firstLineChars="200"/>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（1）社区健身</w:t>
      </w:r>
      <w:r>
        <w:rPr>
          <w:rFonts w:hint="eastAsia" w:ascii="宋体" w:hAnsi="宋体" w:cs="宋体"/>
          <w:color w:val="auto"/>
          <w:sz w:val="24"/>
          <w:szCs w:val="24"/>
          <w:lang w:val="en-US" w:eastAsia="zh-CN"/>
        </w:rPr>
        <w:t>房</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安装智能门禁系统，整个场馆安装监控系统，重型器械区铺设环保减震地胶垫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配置专门安全员，定期参与救护员培训；对场馆投放场地险，有一定安全风险的器材提供专业教练指导。</w:t>
      </w:r>
    </w:p>
    <w:p w14:paraId="317527D0">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b w:val="0"/>
          <w:bCs w:val="0"/>
          <w:color w:val="auto"/>
          <w:sz w:val="24"/>
          <w:szCs w:val="24"/>
          <w:lang w:val="en-US" w:eastAsia="zh-CN"/>
        </w:rPr>
        <w:t>社区健身房</w:t>
      </w:r>
      <w:r>
        <w:rPr>
          <w:rFonts w:hint="eastAsia" w:ascii="宋体" w:hAnsi="宋体" w:eastAsia="宋体" w:cs="宋体"/>
          <w:b w:val="0"/>
          <w:bCs w:val="0"/>
          <w:color w:val="auto"/>
          <w:sz w:val="24"/>
          <w:szCs w:val="24"/>
          <w:lang w:val="en-US" w:eastAsia="zh-CN"/>
        </w:rPr>
        <w:t>开放时间为每周一至周日，且每日开放时间不低于10小时，开放时间应考虑到居民作息要求，特殊节假日视情况开放。</w:t>
      </w:r>
    </w:p>
    <w:p w14:paraId="51D23160">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（3）健康中心配备人员不得少于：</w:t>
      </w:r>
      <w:r>
        <w:rPr>
          <w:rFonts w:hint="eastAsia" w:ascii="宋体" w:hAnsi="宋体" w:cs="宋体"/>
          <w:b w:val="0"/>
          <w:bCs w:val="0"/>
          <w:color w:val="auto"/>
          <w:sz w:val="24"/>
          <w:szCs w:val="24"/>
          <w:lang w:val="en-US" w:eastAsia="zh-CN"/>
        </w:rPr>
        <w:t>项目负责人</w:t>
      </w:r>
      <w:r>
        <w:rPr>
          <w:rFonts w:hint="eastAsia" w:ascii="宋体" w:hAnsi="宋体" w:eastAsia="宋体" w:cs="宋体"/>
          <w:b w:val="0"/>
          <w:bCs w:val="0"/>
          <w:color w:val="auto"/>
          <w:sz w:val="24"/>
          <w:szCs w:val="24"/>
          <w:lang w:val="en-US" w:eastAsia="zh-CN"/>
        </w:rPr>
        <w:t>1人（不得兼任），</w:t>
      </w:r>
      <w:r>
        <w:rPr>
          <w:rFonts w:hint="eastAsia" w:ascii="宋体" w:hAnsi="宋体" w:cs="宋体"/>
          <w:b w:val="0"/>
          <w:bCs w:val="0"/>
          <w:color w:val="auto"/>
          <w:sz w:val="24"/>
          <w:szCs w:val="24"/>
          <w:lang w:val="en-US" w:eastAsia="zh-CN"/>
        </w:rPr>
        <w:t>专职人员2</w:t>
      </w:r>
      <w:r>
        <w:rPr>
          <w:rFonts w:hint="eastAsia" w:ascii="宋体" w:hAnsi="宋体" w:eastAsia="宋体" w:cs="宋体"/>
          <w:b w:val="0"/>
          <w:bCs w:val="0"/>
          <w:color w:val="auto"/>
          <w:sz w:val="24"/>
          <w:szCs w:val="24"/>
          <w:lang w:val="en-US" w:eastAsia="zh-CN"/>
        </w:rPr>
        <w:t>人，保洁等服务性人员若干。</w:t>
      </w:r>
    </w:p>
    <w:p w14:paraId="02D4F4E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（4）场馆内合理布局规划，对有危险的设施器械须在工作人员在场时方可使用，并且在工作人员离场前对器械上锁禁止使用，并且日常巡查人员对健身区会员提供免费指导。</w:t>
      </w:r>
    </w:p>
    <w:p w14:paraId="176C4AF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）健身门禁安装，室内软硬装添置，器材采购，水电费用，场地保险等等一切前期投资以及后期运营支出均由中标单位承担，社区不提供补助。</w:t>
      </w:r>
    </w:p>
    <w:p w14:paraId="581C29A6">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2"/>
          <w:sz w:val="24"/>
          <w:szCs w:val="24"/>
          <w:lang w:val="en-US" w:eastAsia="zh-CN" w:bidi="ar-SA"/>
        </w:rPr>
        <w:t>健康中心运营允许成交单位向社区居民收取会员费，本社区户籍人员或辖区内业主办理会员卡价格月卡不高于50元、年卡不高于400元，本社区户籍人员以及辖区业主购买私教课程:59元/小时，会员卡周期不得超过1年，单次购买私教课程不超过10节后期运行期间需通过安心付平台收费。</w:t>
      </w:r>
    </w:p>
    <w:p w14:paraId="15352477">
      <w:p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kern w:val="2"/>
          <w:sz w:val="24"/>
          <w:szCs w:val="24"/>
          <w:highlight w:val="none"/>
          <w:lang w:val="en-US" w:eastAsia="zh-CN" w:bidi="ar-SA"/>
        </w:rPr>
        <w:t>运营服务期</w:t>
      </w:r>
      <w:r>
        <w:rPr>
          <w:rFonts w:hint="eastAsia" w:ascii="宋体" w:hAnsi="宋体" w:cs="宋体"/>
          <w:b w:val="0"/>
          <w:bCs w:val="0"/>
          <w:color w:val="auto"/>
          <w:kern w:val="2"/>
          <w:sz w:val="24"/>
          <w:szCs w:val="24"/>
          <w:highlight w:val="none"/>
          <w:lang w:val="en-US" w:eastAsia="zh-CN" w:bidi="ar-SA"/>
        </w:rPr>
        <w:t>期间</w:t>
      </w:r>
      <w:r>
        <w:rPr>
          <w:rFonts w:hint="eastAsia" w:ascii="宋体" w:hAnsi="宋体" w:eastAsia="宋体" w:cs="宋体"/>
          <w:b w:val="0"/>
          <w:bCs w:val="0"/>
          <w:color w:val="auto"/>
          <w:kern w:val="2"/>
          <w:sz w:val="24"/>
          <w:szCs w:val="24"/>
          <w:highlight w:val="none"/>
          <w:lang w:val="en-US" w:eastAsia="zh-CN" w:bidi="ar-SA"/>
        </w:rPr>
        <w:t>，如</w:t>
      </w:r>
      <w:r>
        <w:rPr>
          <w:rFonts w:hint="eastAsia" w:ascii="宋体" w:hAnsi="宋体" w:cs="宋体"/>
          <w:b w:val="0"/>
          <w:bCs w:val="0"/>
          <w:color w:val="auto"/>
          <w:kern w:val="2"/>
          <w:sz w:val="24"/>
          <w:szCs w:val="24"/>
          <w:highlight w:val="none"/>
          <w:lang w:val="en-US" w:eastAsia="zh-CN" w:bidi="ar-SA"/>
        </w:rPr>
        <w:t>因成交单位原因提前终止合同的</w:t>
      </w:r>
      <w:r>
        <w:rPr>
          <w:rFonts w:hint="eastAsia" w:ascii="宋体" w:hAnsi="宋体" w:eastAsia="宋体" w:cs="宋体"/>
          <w:b w:val="0"/>
          <w:bCs w:val="0"/>
          <w:color w:val="auto"/>
          <w:kern w:val="2"/>
          <w:sz w:val="24"/>
          <w:szCs w:val="24"/>
          <w:highlight w:val="none"/>
          <w:lang w:val="en-US" w:eastAsia="zh-CN" w:bidi="ar-SA"/>
        </w:rPr>
        <w:t>，健身房装修、空调、智能化门禁、所有设备器械所有权无偿转让给社区</w:t>
      </w:r>
      <w:r>
        <w:rPr>
          <w:rFonts w:hint="eastAsia" w:ascii="宋体" w:hAnsi="宋体" w:cs="宋体"/>
          <w:b w:val="0"/>
          <w:bCs w:val="0"/>
          <w:color w:val="auto"/>
          <w:kern w:val="2"/>
          <w:sz w:val="24"/>
          <w:szCs w:val="24"/>
          <w:highlight w:val="none"/>
          <w:lang w:val="en-US" w:eastAsia="zh-CN" w:bidi="ar-SA"/>
        </w:rPr>
        <w:t>。</w:t>
      </w:r>
    </w:p>
    <w:p w14:paraId="718D0663">
      <w:pP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（8）运营成本：成交单位承担场地运营及管理成本等费用，包括管理人员的薪资、房租、水电、物业费用（房租免除 物业费免除，水电费与社区自行结算）等。</w:t>
      </w:r>
    </w:p>
    <w:p w14:paraId="6EF3BAB9">
      <w:pP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（9）配合社区承办好各类体育赛事活动。</w:t>
      </w:r>
    </w:p>
    <w:p w14:paraId="3EFF1B5F">
      <w:pP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（10）配合社区活动安排，发放一定量的免费体验券</w:t>
      </w:r>
    </w:p>
    <w:p w14:paraId="33950C67">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▲（11）社区在委托运营服务期限内对成交供应商实行年度绩效考评</w:t>
      </w:r>
      <w:r>
        <w:rPr>
          <w:rFonts w:hint="eastAsia" w:ascii="宋体" w:hAnsi="宋体" w:eastAsia="宋体" w:cs="宋体"/>
          <w:b w:val="0"/>
          <w:bCs w:val="0"/>
          <w:color w:val="auto"/>
          <w:kern w:val="2"/>
          <w:sz w:val="24"/>
          <w:szCs w:val="24"/>
          <w:lang w:val="en-US" w:eastAsia="zh-CN" w:bidi="ar-SA"/>
        </w:rPr>
        <w:t>制度：交易发起人每月对委托运营服务方就场馆运营、管理和维护情况进行年度绩效考核评分。考核为百分制，不足80分，社区有权提前终止本委托运营服务合同或减少委托运营年限（考核内容及标准由社区与成交</w:t>
      </w:r>
      <w:r>
        <w:rPr>
          <w:rFonts w:hint="eastAsia" w:ascii="宋体" w:hAnsi="宋体" w:cs="宋体"/>
          <w:b w:val="0"/>
          <w:bCs w:val="0"/>
          <w:color w:val="auto"/>
          <w:kern w:val="2"/>
          <w:sz w:val="24"/>
          <w:szCs w:val="24"/>
          <w:lang w:val="en-US" w:eastAsia="zh-CN" w:bidi="ar-SA"/>
        </w:rPr>
        <w:t>单位</w:t>
      </w:r>
      <w:r>
        <w:rPr>
          <w:rFonts w:hint="eastAsia" w:ascii="宋体" w:hAnsi="宋体" w:eastAsia="宋体" w:cs="宋体"/>
          <w:b w:val="0"/>
          <w:bCs w:val="0"/>
          <w:color w:val="auto"/>
          <w:kern w:val="2"/>
          <w:sz w:val="24"/>
          <w:szCs w:val="24"/>
          <w:lang w:val="en-US" w:eastAsia="zh-CN" w:bidi="ar-SA"/>
        </w:rPr>
        <w:t>根据国家、省、市关于体育场馆有关管理办法、标准及规范共同制定）。</w:t>
      </w:r>
    </w:p>
    <w:p w14:paraId="74E20A73">
      <w:pPr>
        <w:spacing w:line="360" w:lineRule="auto"/>
        <w:ind w:firstLine="480" w:firstLineChars="200"/>
        <w:rPr>
          <w:rFonts w:hint="default" w:ascii="宋体" w:hAnsi="宋体" w:eastAsia="宋体" w:cs="宋体"/>
          <w:b w:val="0"/>
          <w:bCs w:val="0"/>
          <w:color w:val="auto"/>
          <w:sz w:val="24"/>
          <w:szCs w:val="24"/>
          <w:lang w:val="en-US" w:eastAsia="zh-CN"/>
        </w:rPr>
      </w:pPr>
    </w:p>
    <w:p w14:paraId="0FFA778F">
      <w:pPr>
        <w:spacing w:line="360" w:lineRule="auto"/>
        <w:jc w:val="center"/>
        <w:rPr>
          <w:rFonts w:hint="eastAsia"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二</w:t>
      </w:r>
      <w:r>
        <w:rPr>
          <w:rFonts w:hint="eastAsia" w:ascii="宋体" w:hAnsi="宋体" w:eastAsia="宋体" w:cs="Times New Roman"/>
          <w:b/>
          <w:color w:val="000000" w:themeColor="text1"/>
          <w:sz w:val="24"/>
          <w14:textFill>
            <w14:solidFill>
              <w14:schemeClr w14:val="tx1"/>
            </w14:solidFill>
          </w14:textFill>
        </w:rPr>
        <w:t>、商务需求</w:t>
      </w:r>
    </w:p>
    <w:p w14:paraId="7C165937">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1、服务时间及地点</w:t>
      </w:r>
    </w:p>
    <w:p w14:paraId="2A19E1E1">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▲(1)运营服务期：3年（以合同签订之日起计算）。</w:t>
      </w:r>
    </w:p>
    <w:p w14:paraId="0CBB912D">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如合同期满后，经业主考核优秀的可续签合同，续签最多不超过两年，如不续签合同应妥善处理退场移交等工作，如果出现劳资纠纷，责任在成交单位。</w:t>
      </w:r>
    </w:p>
    <w:p w14:paraId="61F7531C">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2、质量要求</w:t>
      </w:r>
    </w:p>
    <w:p w14:paraId="0BCBBC45">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提交成果必须符合交易发起人要求和上级考核要求。</w:t>
      </w:r>
    </w:p>
    <w:p w14:paraId="063130D0">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▲3、付款：</w:t>
      </w:r>
    </w:p>
    <w:p w14:paraId="222F7686">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（1）履约保证金：</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lang w:val="en-US" w:eastAsia="zh-CN"/>
        </w:rPr>
        <w:t>万元整，合同签订前成交单位须支付</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lang w:val="en-US" w:eastAsia="zh-CN"/>
        </w:rPr>
        <w:t>万元履约保证金，</w:t>
      </w:r>
      <w:r>
        <w:rPr>
          <w:rFonts w:hint="eastAsia" w:ascii="宋体" w:hAnsi="宋体" w:eastAsia="宋体" w:cs="宋体"/>
          <w:b w:val="0"/>
          <w:bCs w:val="0"/>
          <w:color w:val="auto"/>
          <w:kern w:val="2"/>
          <w:sz w:val="24"/>
          <w:szCs w:val="24"/>
          <w:lang w:val="en-US" w:eastAsia="zh-CN" w:bidi="ar-SA"/>
        </w:rPr>
        <w:t>运营服务期到期后</w:t>
      </w:r>
      <w:r>
        <w:rPr>
          <w:rFonts w:hint="eastAsia" w:ascii="宋体" w:hAnsi="宋体" w:cs="宋体"/>
          <w:b w:val="0"/>
          <w:bCs w:val="0"/>
          <w:color w:val="auto"/>
          <w:kern w:val="2"/>
          <w:sz w:val="24"/>
          <w:szCs w:val="24"/>
          <w:lang w:val="en-US" w:eastAsia="zh-CN" w:bidi="ar-SA"/>
        </w:rPr>
        <w:t>退还。</w:t>
      </w:r>
    </w:p>
    <w:p w14:paraId="4701E72D">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社区</w:t>
      </w: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运营</w:t>
      </w:r>
      <w:r>
        <w:rPr>
          <w:rFonts w:hint="eastAsia" w:ascii="宋体" w:hAnsi="宋体" w:eastAsia="宋体" w:cs="宋体"/>
          <w:color w:val="auto"/>
          <w:sz w:val="24"/>
          <w:szCs w:val="24"/>
        </w:rPr>
        <w:t>场地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成交单位负责健康中心建设运营的所有费用，社区不再另行支付费用，</w:t>
      </w:r>
      <w:r>
        <w:rPr>
          <w:rFonts w:hint="eastAsia" w:ascii="宋体" w:hAnsi="宋体" w:eastAsia="宋体" w:cs="宋体"/>
          <w:b w:val="0"/>
          <w:bCs w:val="0"/>
          <w:color w:val="auto"/>
          <w:kern w:val="2"/>
          <w:sz w:val="24"/>
          <w:szCs w:val="24"/>
          <w:lang w:val="en-US" w:eastAsia="zh-CN" w:bidi="ar-SA"/>
        </w:rPr>
        <w:t>运营服务期到期后，如不继续合作，健康中心内所有设备器械所有权归社区所有。</w:t>
      </w:r>
    </w:p>
    <w:p w14:paraId="13864EB5">
      <w:pPr>
        <w:spacing w:line="360" w:lineRule="auto"/>
        <w:ind w:firstLine="480" w:firstLineChars="200"/>
        <w:rPr>
          <w:rFonts w:hint="eastAsia" w:ascii="宋体" w:hAnsi="宋体" w:eastAsia="宋体" w:cs="宋体"/>
          <w:b w:val="0"/>
          <w:bCs w:val="0"/>
          <w:color w:val="auto"/>
          <w:kern w:val="2"/>
          <w:sz w:val="24"/>
          <w:szCs w:val="24"/>
          <w:lang w:val="en-US" w:eastAsia="zh-CN" w:bidi="ar-SA"/>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val="0"/>
          <w:bCs w:val="0"/>
          <w:color w:val="auto"/>
          <w:kern w:val="2"/>
          <w:sz w:val="24"/>
          <w:szCs w:val="24"/>
          <w:lang w:val="en-US" w:eastAsia="zh-CN" w:bidi="ar-SA"/>
        </w:rPr>
        <w:t>4.成交供应商不得转包、分包或变更工作内容。</w:t>
      </w:r>
    </w:p>
    <w:p w14:paraId="5200ACA2">
      <w:pPr>
        <w:snapToGrid w:val="0"/>
        <w:spacing w:line="360" w:lineRule="auto"/>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第四部分</w:t>
      </w:r>
      <w:bookmarkStart w:id="15" w:name="_Toc184313296"/>
      <w:bookmarkEnd w:id="15"/>
      <w:bookmarkStart w:id="16" w:name="_Toc184314435"/>
      <w:bookmarkEnd w:id="16"/>
      <w:bookmarkStart w:id="17" w:name="_Toc184312068"/>
      <w:bookmarkEnd w:id="17"/>
      <w:bookmarkStart w:id="18" w:name="_Toc184310275"/>
      <w:bookmarkEnd w:id="18"/>
      <w:bookmarkStart w:id="19" w:name="_Toc184313277"/>
      <w:bookmarkEnd w:id="19"/>
      <w:bookmarkStart w:id="20" w:name="_Toc184313260"/>
      <w:bookmarkEnd w:id="20"/>
      <w:bookmarkStart w:id="21" w:name="_Toc184313299"/>
      <w:bookmarkEnd w:id="21"/>
      <w:bookmarkStart w:id="22" w:name="_Toc184313303"/>
      <w:bookmarkEnd w:id="22"/>
      <w:bookmarkStart w:id="23" w:name="_Toc184313293"/>
      <w:bookmarkEnd w:id="23"/>
      <w:bookmarkStart w:id="24" w:name="_Toc184312129"/>
      <w:bookmarkEnd w:id="24"/>
      <w:bookmarkStart w:id="25" w:name="_Toc184313292"/>
      <w:bookmarkEnd w:id="25"/>
      <w:bookmarkStart w:id="26" w:name="_Toc184312072"/>
      <w:bookmarkEnd w:id="26"/>
      <w:bookmarkStart w:id="27" w:name="_Toc184310334"/>
      <w:bookmarkEnd w:id="27"/>
      <w:bookmarkStart w:id="28" w:name="_Toc184313244"/>
      <w:bookmarkEnd w:id="28"/>
      <w:bookmarkStart w:id="29" w:name="_Toc184310292"/>
      <w:bookmarkEnd w:id="29"/>
      <w:bookmarkStart w:id="30" w:name="_Toc184313242"/>
      <w:bookmarkEnd w:id="30"/>
      <w:bookmarkStart w:id="31" w:name="_Toc184313250"/>
      <w:bookmarkEnd w:id="31"/>
      <w:bookmarkStart w:id="32" w:name="_Toc184310337"/>
      <w:bookmarkEnd w:id="32"/>
      <w:bookmarkStart w:id="33" w:name="_Toc184314443"/>
      <w:bookmarkEnd w:id="33"/>
      <w:bookmarkStart w:id="34" w:name="_Toc184312076"/>
      <w:bookmarkEnd w:id="34"/>
      <w:bookmarkStart w:id="35" w:name="_Toc184312077"/>
      <w:bookmarkEnd w:id="35"/>
      <w:bookmarkStart w:id="36" w:name="_Toc184314423"/>
      <w:bookmarkEnd w:id="36"/>
      <w:bookmarkStart w:id="37" w:name="_Toc184310326"/>
      <w:bookmarkEnd w:id="37"/>
      <w:bookmarkStart w:id="38" w:name="_Toc184310320"/>
      <w:bookmarkEnd w:id="38"/>
      <w:bookmarkStart w:id="39" w:name="_Toc184310309"/>
      <w:bookmarkEnd w:id="39"/>
      <w:bookmarkStart w:id="40" w:name="_Toc184313279"/>
      <w:bookmarkEnd w:id="40"/>
      <w:bookmarkStart w:id="41" w:name="_Toc184312132"/>
      <w:bookmarkEnd w:id="41"/>
      <w:bookmarkStart w:id="42" w:name="_Toc184308105"/>
      <w:bookmarkEnd w:id="42"/>
      <w:bookmarkStart w:id="43" w:name="_Toc184310323"/>
      <w:bookmarkEnd w:id="43"/>
      <w:bookmarkStart w:id="44" w:name="_Toc184308039"/>
      <w:bookmarkEnd w:id="44"/>
      <w:bookmarkStart w:id="45" w:name="_Toc184310291"/>
      <w:bookmarkEnd w:id="45"/>
      <w:bookmarkStart w:id="46" w:name="_Toc184308107"/>
      <w:bookmarkEnd w:id="46"/>
      <w:bookmarkStart w:id="47" w:name="_Toc184310322"/>
      <w:bookmarkEnd w:id="47"/>
      <w:bookmarkStart w:id="48" w:name="_Toc184313287"/>
      <w:bookmarkEnd w:id="48"/>
      <w:bookmarkStart w:id="49" w:name="_Toc184313240"/>
      <w:bookmarkEnd w:id="49"/>
      <w:bookmarkStart w:id="50" w:name="_Toc184312099"/>
      <w:bookmarkEnd w:id="50"/>
      <w:bookmarkStart w:id="51" w:name="_Toc184314475"/>
      <w:bookmarkEnd w:id="51"/>
      <w:bookmarkStart w:id="52" w:name="_Toc184308106"/>
      <w:bookmarkEnd w:id="52"/>
      <w:bookmarkStart w:id="53" w:name="_Toc184314464"/>
      <w:bookmarkEnd w:id="53"/>
      <w:bookmarkStart w:id="54" w:name="_Toc184314447"/>
      <w:bookmarkEnd w:id="54"/>
      <w:bookmarkStart w:id="55" w:name="_Toc184314482"/>
      <w:bookmarkEnd w:id="55"/>
      <w:bookmarkStart w:id="56" w:name="_Toc184312130"/>
      <w:bookmarkEnd w:id="56"/>
      <w:bookmarkStart w:id="57" w:name="_Toc184308082"/>
      <w:bookmarkEnd w:id="57"/>
      <w:bookmarkStart w:id="58" w:name="_Toc184308047"/>
      <w:bookmarkEnd w:id="58"/>
      <w:bookmarkStart w:id="59" w:name="_Toc184314418"/>
      <w:bookmarkEnd w:id="59"/>
      <w:bookmarkStart w:id="60" w:name="_Toc184313262"/>
      <w:bookmarkEnd w:id="60"/>
      <w:bookmarkStart w:id="61" w:name="_Toc184312079"/>
      <w:bookmarkEnd w:id="61"/>
      <w:bookmarkStart w:id="62" w:name="_Toc184312098"/>
      <w:bookmarkEnd w:id="62"/>
      <w:bookmarkStart w:id="63" w:name="_Toc184308061"/>
      <w:bookmarkEnd w:id="63"/>
      <w:bookmarkStart w:id="64" w:name="_Toc184310311"/>
      <w:bookmarkEnd w:id="64"/>
      <w:bookmarkStart w:id="65" w:name="_Toc184308066"/>
      <w:bookmarkEnd w:id="65"/>
      <w:bookmarkStart w:id="66" w:name="_Toc184308062"/>
      <w:bookmarkEnd w:id="66"/>
      <w:bookmarkStart w:id="67" w:name="_Toc184310277"/>
      <w:bookmarkEnd w:id="67"/>
      <w:bookmarkStart w:id="68" w:name="_Toc184313307"/>
      <w:bookmarkEnd w:id="68"/>
      <w:bookmarkStart w:id="69" w:name="_Toc184308065"/>
      <w:bookmarkEnd w:id="69"/>
      <w:bookmarkStart w:id="70" w:name="_Toc184308042"/>
      <w:bookmarkEnd w:id="70"/>
      <w:bookmarkStart w:id="71" w:name="_Toc184312121"/>
      <w:bookmarkEnd w:id="71"/>
      <w:bookmarkStart w:id="72" w:name="_Toc184314442"/>
      <w:bookmarkEnd w:id="72"/>
      <w:bookmarkStart w:id="73" w:name="_Toc184310315"/>
      <w:bookmarkEnd w:id="73"/>
      <w:bookmarkStart w:id="74" w:name="_Toc184312123"/>
      <w:bookmarkEnd w:id="74"/>
      <w:bookmarkStart w:id="75" w:name="_Toc184308104"/>
      <w:bookmarkEnd w:id="75"/>
      <w:bookmarkStart w:id="76" w:name="_Toc184312069"/>
      <w:bookmarkEnd w:id="76"/>
      <w:bookmarkStart w:id="77" w:name="_Toc184314476"/>
      <w:bookmarkEnd w:id="77"/>
      <w:bookmarkStart w:id="78" w:name="_Toc184314411"/>
      <w:bookmarkEnd w:id="78"/>
      <w:bookmarkStart w:id="79" w:name="_Toc184314461"/>
      <w:bookmarkEnd w:id="79"/>
      <w:bookmarkStart w:id="80" w:name="_Toc184308099"/>
      <w:bookmarkEnd w:id="80"/>
      <w:bookmarkStart w:id="81" w:name="_Toc184308058"/>
      <w:bookmarkEnd w:id="81"/>
      <w:bookmarkStart w:id="82" w:name="_Toc184313301"/>
      <w:bookmarkEnd w:id="82"/>
      <w:bookmarkStart w:id="83" w:name="_Toc184313304"/>
      <w:bookmarkEnd w:id="83"/>
      <w:bookmarkStart w:id="84" w:name="_Toc184310298"/>
      <w:bookmarkEnd w:id="84"/>
      <w:bookmarkStart w:id="85" w:name="_Toc184313274"/>
      <w:bookmarkEnd w:id="85"/>
      <w:bookmarkStart w:id="86" w:name="_Toc184308050"/>
      <w:bookmarkEnd w:id="86"/>
      <w:bookmarkStart w:id="87" w:name="_Toc184314410"/>
      <w:bookmarkEnd w:id="87"/>
      <w:bookmarkStart w:id="88" w:name="_Toc184313280"/>
      <w:bookmarkEnd w:id="88"/>
      <w:bookmarkStart w:id="89" w:name="_Toc184308040"/>
      <w:bookmarkEnd w:id="89"/>
      <w:bookmarkStart w:id="90" w:name="_Toc184314415"/>
      <w:bookmarkEnd w:id="90"/>
      <w:bookmarkStart w:id="91" w:name="_Toc184312094"/>
      <w:bookmarkEnd w:id="91"/>
      <w:bookmarkStart w:id="92" w:name="_Toc184312104"/>
      <w:bookmarkEnd w:id="92"/>
      <w:bookmarkStart w:id="93" w:name="_Toc184310342"/>
      <w:bookmarkEnd w:id="93"/>
      <w:bookmarkStart w:id="94" w:name="_Toc184312112"/>
      <w:bookmarkEnd w:id="94"/>
      <w:bookmarkStart w:id="95" w:name="_Toc184314452"/>
      <w:bookmarkEnd w:id="95"/>
      <w:bookmarkStart w:id="96" w:name="_Toc184313298"/>
      <w:bookmarkEnd w:id="96"/>
      <w:bookmarkStart w:id="97" w:name="_Toc184310324"/>
      <w:bookmarkEnd w:id="97"/>
      <w:bookmarkStart w:id="98" w:name="_Toc184308070"/>
      <w:bookmarkEnd w:id="98"/>
      <w:bookmarkStart w:id="99" w:name="_Toc184314416"/>
      <w:bookmarkEnd w:id="99"/>
      <w:bookmarkStart w:id="100" w:name="_Toc184310285"/>
      <w:bookmarkEnd w:id="100"/>
      <w:bookmarkStart w:id="101" w:name="_Toc184314430"/>
      <w:bookmarkEnd w:id="101"/>
      <w:bookmarkStart w:id="102" w:name="_Toc184314446"/>
      <w:bookmarkEnd w:id="102"/>
      <w:bookmarkStart w:id="103" w:name="_Toc184312126"/>
      <w:bookmarkEnd w:id="103"/>
      <w:bookmarkStart w:id="104" w:name="_Toc184313285"/>
      <w:bookmarkEnd w:id="104"/>
      <w:bookmarkStart w:id="105" w:name="_Toc184312119"/>
      <w:bookmarkEnd w:id="105"/>
      <w:bookmarkStart w:id="106" w:name="_Toc184314470"/>
      <w:bookmarkEnd w:id="106"/>
      <w:bookmarkStart w:id="107" w:name="_Toc184312101"/>
      <w:bookmarkEnd w:id="107"/>
      <w:bookmarkStart w:id="108" w:name="_Toc184312118"/>
      <w:bookmarkEnd w:id="108"/>
      <w:bookmarkStart w:id="109" w:name="_Toc184313239"/>
      <w:bookmarkEnd w:id="109"/>
      <w:bookmarkStart w:id="110" w:name="_Toc184308089"/>
      <w:bookmarkEnd w:id="110"/>
      <w:bookmarkStart w:id="111" w:name="_Toc184312083"/>
      <w:bookmarkEnd w:id="111"/>
      <w:bookmarkStart w:id="112" w:name="_Toc184313297"/>
      <w:bookmarkEnd w:id="112"/>
      <w:bookmarkStart w:id="113" w:name="_Toc184313255"/>
      <w:bookmarkEnd w:id="113"/>
      <w:bookmarkStart w:id="114" w:name="_Toc184314444"/>
      <w:bookmarkEnd w:id="114"/>
      <w:bookmarkStart w:id="115" w:name="_Toc184308084"/>
      <w:bookmarkEnd w:id="115"/>
      <w:bookmarkStart w:id="116" w:name="_Toc184308093"/>
      <w:bookmarkEnd w:id="116"/>
      <w:bookmarkStart w:id="117" w:name="_Toc184308088"/>
      <w:bookmarkEnd w:id="117"/>
      <w:bookmarkStart w:id="118" w:name="_Toc184313291"/>
      <w:bookmarkEnd w:id="118"/>
      <w:bookmarkStart w:id="119" w:name="_Toc184310343"/>
      <w:bookmarkEnd w:id="119"/>
      <w:bookmarkStart w:id="120" w:name="_Toc184314437"/>
      <w:bookmarkEnd w:id="120"/>
      <w:bookmarkStart w:id="121" w:name="_Toc184308041"/>
      <w:bookmarkEnd w:id="121"/>
      <w:bookmarkStart w:id="122" w:name="_Toc184310276"/>
      <w:bookmarkEnd w:id="122"/>
      <w:bookmarkStart w:id="123" w:name="_Toc184308045"/>
      <w:bookmarkEnd w:id="123"/>
      <w:bookmarkStart w:id="124" w:name="_Toc184313263"/>
      <w:bookmarkEnd w:id="124"/>
      <w:bookmarkStart w:id="125" w:name="_Toc184312120"/>
      <w:bookmarkEnd w:id="125"/>
      <w:bookmarkStart w:id="126" w:name="_Toc184312091"/>
      <w:bookmarkEnd w:id="126"/>
      <w:bookmarkStart w:id="127" w:name="_Toc184314434"/>
      <w:bookmarkEnd w:id="127"/>
      <w:bookmarkStart w:id="128" w:name="_Toc184312131"/>
      <w:bookmarkEnd w:id="128"/>
      <w:bookmarkStart w:id="129" w:name="_Toc184312110"/>
      <w:bookmarkEnd w:id="129"/>
      <w:bookmarkStart w:id="130" w:name="_Toc184312107"/>
      <w:bookmarkEnd w:id="130"/>
      <w:bookmarkStart w:id="131" w:name="_Toc184312138"/>
      <w:bookmarkEnd w:id="131"/>
      <w:bookmarkStart w:id="132" w:name="_Toc184314480"/>
      <w:bookmarkEnd w:id="132"/>
      <w:bookmarkStart w:id="133" w:name="_Toc184314474"/>
      <w:bookmarkEnd w:id="133"/>
      <w:bookmarkStart w:id="134" w:name="_Toc184313300"/>
      <w:bookmarkEnd w:id="134"/>
      <w:bookmarkStart w:id="135" w:name="_Toc184308037"/>
      <w:bookmarkEnd w:id="135"/>
      <w:bookmarkStart w:id="136" w:name="_Toc184312134"/>
      <w:bookmarkEnd w:id="136"/>
      <w:bookmarkStart w:id="137" w:name="_Toc184310313"/>
      <w:bookmarkEnd w:id="137"/>
      <w:bookmarkStart w:id="138" w:name="_Toc184310336"/>
      <w:bookmarkEnd w:id="138"/>
      <w:bookmarkStart w:id="139" w:name="_Toc184313289"/>
      <w:bookmarkEnd w:id="139"/>
      <w:bookmarkStart w:id="140" w:name="_Toc184308076"/>
      <w:bookmarkEnd w:id="140"/>
      <w:bookmarkStart w:id="141" w:name="_Toc184310274"/>
      <w:bookmarkEnd w:id="141"/>
      <w:bookmarkStart w:id="142" w:name="_Toc184314469"/>
      <w:bookmarkEnd w:id="142"/>
      <w:bookmarkStart w:id="143" w:name="_Toc184312115"/>
      <w:bookmarkEnd w:id="143"/>
      <w:bookmarkStart w:id="144" w:name="_Toc184312113"/>
      <w:bookmarkEnd w:id="144"/>
      <w:bookmarkStart w:id="145" w:name="_Toc184308073"/>
      <w:bookmarkEnd w:id="145"/>
      <w:bookmarkStart w:id="146" w:name="_Toc184312100"/>
      <w:bookmarkEnd w:id="146"/>
      <w:bookmarkStart w:id="147" w:name="_Toc184313294"/>
      <w:bookmarkEnd w:id="147"/>
      <w:bookmarkStart w:id="148" w:name="_Toc184314468"/>
      <w:bookmarkEnd w:id="148"/>
      <w:bookmarkStart w:id="149" w:name="_Toc184313278"/>
      <w:bookmarkEnd w:id="149"/>
      <w:bookmarkStart w:id="150" w:name="_Toc184310284"/>
      <w:bookmarkEnd w:id="150"/>
      <w:bookmarkStart w:id="151" w:name="_Toc184312075"/>
      <w:bookmarkEnd w:id="151"/>
      <w:bookmarkStart w:id="152" w:name="_Toc184312082"/>
      <w:bookmarkEnd w:id="152"/>
      <w:bookmarkStart w:id="153" w:name="_Toc184313310"/>
      <w:bookmarkEnd w:id="153"/>
      <w:bookmarkStart w:id="154" w:name="_Toc184310330"/>
      <w:bookmarkEnd w:id="154"/>
      <w:bookmarkStart w:id="155" w:name="_Toc184308044"/>
      <w:bookmarkEnd w:id="155"/>
      <w:bookmarkStart w:id="156" w:name="_Toc184308049"/>
      <w:bookmarkEnd w:id="156"/>
      <w:bookmarkStart w:id="157" w:name="_Toc184314413"/>
      <w:bookmarkEnd w:id="157"/>
      <w:bookmarkStart w:id="158" w:name="_Toc184308038"/>
      <w:bookmarkEnd w:id="158"/>
      <w:bookmarkStart w:id="159" w:name="_Toc184312106"/>
      <w:bookmarkEnd w:id="159"/>
      <w:bookmarkStart w:id="160" w:name="_Toc184312128"/>
      <w:bookmarkEnd w:id="160"/>
      <w:bookmarkStart w:id="161" w:name="_Toc184314471"/>
      <w:bookmarkEnd w:id="161"/>
      <w:bookmarkStart w:id="162" w:name="_Toc184308055"/>
      <w:bookmarkEnd w:id="162"/>
      <w:bookmarkStart w:id="163" w:name="_Toc184314436"/>
      <w:bookmarkEnd w:id="163"/>
      <w:bookmarkStart w:id="164" w:name="_Toc184313282"/>
      <w:bookmarkEnd w:id="164"/>
      <w:bookmarkStart w:id="165" w:name="_Toc184312090"/>
      <w:bookmarkEnd w:id="165"/>
      <w:bookmarkStart w:id="166" w:name="_Toc184310331"/>
      <w:bookmarkEnd w:id="166"/>
      <w:bookmarkStart w:id="167" w:name="_Toc184312092"/>
      <w:bookmarkEnd w:id="167"/>
      <w:bookmarkStart w:id="168" w:name="_Toc184313247"/>
      <w:bookmarkEnd w:id="168"/>
      <w:bookmarkStart w:id="169" w:name="_Toc184314462"/>
      <w:bookmarkEnd w:id="169"/>
      <w:bookmarkStart w:id="170" w:name="_Toc184310310"/>
      <w:bookmarkEnd w:id="170"/>
      <w:bookmarkStart w:id="171" w:name="_Toc184310290"/>
      <w:bookmarkEnd w:id="171"/>
      <w:bookmarkStart w:id="172" w:name="_Toc184314477"/>
      <w:bookmarkEnd w:id="172"/>
      <w:bookmarkStart w:id="173" w:name="_Toc184314451"/>
      <w:bookmarkEnd w:id="173"/>
      <w:bookmarkStart w:id="174" w:name="_Toc184308094"/>
      <w:bookmarkEnd w:id="174"/>
      <w:bookmarkStart w:id="175" w:name="_Toc184312097"/>
      <w:bookmarkEnd w:id="175"/>
      <w:bookmarkStart w:id="176" w:name="_Toc184310278"/>
      <w:bookmarkEnd w:id="176"/>
      <w:bookmarkStart w:id="177" w:name="_Toc184314414"/>
      <w:bookmarkEnd w:id="177"/>
      <w:bookmarkStart w:id="178" w:name="_Toc184313241"/>
      <w:bookmarkEnd w:id="178"/>
      <w:bookmarkStart w:id="179" w:name="_Toc184313305"/>
      <w:bookmarkEnd w:id="179"/>
      <w:bookmarkStart w:id="180" w:name="_Toc184308048"/>
      <w:bookmarkEnd w:id="180"/>
      <w:bookmarkStart w:id="181" w:name="_Toc184312139"/>
      <w:bookmarkEnd w:id="181"/>
      <w:bookmarkStart w:id="182" w:name="_Toc184313261"/>
      <w:bookmarkEnd w:id="182"/>
      <w:bookmarkStart w:id="183" w:name="_Toc184310281"/>
      <w:bookmarkEnd w:id="183"/>
      <w:bookmarkStart w:id="184" w:name="_Toc184308068"/>
      <w:bookmarkEnd w:id="184"/>
      <w:bookmarkStart w:id="185" w:name="_Toc184313248"/>
      <w:bookmarkEnd w:id="185"/>
      <w:bookmarkStart w:id="186" w:name="_Toc184312103"/>
      <w:bookmarkEnd w:id="186"/>
      <w:bookmarkStart w:id="187" w:name="_Toc184310295"/>
      <w:bookmarkEnd w:id="187"/>
      <w:bookmarkStart w:id="188" w:name="_Toc184310317"/>
      <w:bookmarkEnd w:id="188"/>
      <w:bookmarkStart w:id="189" w:name="_Toc184312102"/>
      <w:bookmarkEnd w:id="189"/>
      <w:bookmarkStart w:id="190" w:name="_Toc184312117"/>
      <w:bookmarkEnd w:id="190"/>
      <w:bookmarkStart w:id="191" w:name="_Toc184314432"/>
      <w:bookmarkEnd w:id="191"/>
      <w:bookmarkStart w:id="192" w:name="_Toc184313254"/>
      <w:bookmarkEnd w:id="192"/>
      <w:bookmarkStart w:id="193" w:name="_Toc184312137"/>
      <w:bookmarkEnd w:id="193"/>
      <w:bookmarkStart w:id="194" w:name="_Toc184314455"/>
      <w:bookmarkEnd w:id="194"/>
      <w:bookmarkStart w:id="195" w:name="_Toc184310318"/>
      <w:bookmarkEnd w:id="195"/>
      <w:bookmarkStart w:id="196" w:name="_Toc184314425"/>
      <w:bookmarkEnd w:id="196"/>
      <w:bookmarkStart w:id="197" w:name="_Toc184312093"/>
      <w:bookmarkEnd w:id="197"/>
      <w:bookmarkStart w:id="198" w:name="_Toc184313264"/>
      <w:bookmarkEnd w:id="198"/>
      <w:bookmarkStart w:id="199" w:name="_Toc184310308"/>
      <w:bookmarkEnd w:id="199"/>
      <w:bookmarkStart w:id="200" w:name="_Toc184313288"/>
      <w:bookmarkEnd w:id="200"/>
      <w:bookmarkStart w:id="201" w:name="_Toc184308036"/>
      <w:bookmarkEnd w:id="201"/>
      <w:bookmarkStart w:id="202" w:name="_Toc184313309"/>
      <w:bookmarkEnd w:id="202"/>
      <w:bookmarkStart w:id="203" w:name="_Toc184313258"/>
      <w:bookmarkEnd w:id="203"/>
      <w:bookmarkStart w:id="204" w:name="_Toc184312096"/>
      <w:bookmarkEnd w:id="204"/>
      <w:bookmarkStart w:id="205" w:name="_Toc184308064"/>
      <w:bookmarkEnd w:id="205"/>
      <w:bookmarkStart w:id="206" w:name="_Toc184314478"/>
      <w:bookmarkEnd w:id="206"/>
      <w:bookmarkStart w:id="207" w:name="_Toc184308069"/>
      <w:bookmarkEnd w:id="207"/>
      <w:bookmarkStart w:id="208" w:name="_Toc184310312"/>
      <w:bookmarkEnd w:id="208"/>
      <w:bookmarkStart w:id="209" w:name="_Toc184308085"/>
      <w:bookmarkEnd w:id="209"/>
      <w:bookmarkStart w:id="210" w:name="_Toc184310272"/>
      <w:bookmarkEnd w:id="210"/>
      <w:bookmarkStart w:id="211" w:name="_Toc184313272"/>
      <w:bookmarkEnd w:id="211"/>
      <w:bookmarkStart w:id="212" w:name="_Toc184310273"/>
      <w:bookmarkEnd w:id="212"/>
      <w:bookmarkStart w:id="213" w:name="_Toc184312088"/>
      <w:bookmarkEnd w:id="213"/>
      <w:bookmarkStart w:id="214" w:name="_Toc184313286"/>
      <w:bookmarkEnd w:id="214"/>
      <w:bookmarkStart w:id="215" w:name="_Toc184308092"/>
      <w:bookmarkEnd w:id="215"/>
      <w:bookmarkStart w:id="216" w:name="_Toc184313284"/>
      <w:bookmarkEnd w:id="216"/>
      <w:bookmarkStart w:id="217" w:name="_Toc184310293"/>
      <w:bookmarkEnd w:id="217"/>
      <w:bookmarkStart w:id="218" w:name="_Toc184312105"/>
      <w:bookmarkEnd w:id="218"/>
      <w:bookmarkStart w:id="219" w:name="_Toc184310282"/>
      <w:bookmarkEnd w:id="219"/>
      <w:bookmarkStart w:id="220" w:name="_Toc184313295"/>
      <w:bookmarkEnd w:id="220"/>
      <w:bookmarkStart w:id="221" w:name="_Toc184310280"/>
      <w:bookmarkEnd w:id="221"/>
      <w:bookmarkStart w:id="222" w:name="_Toc184312111"/>
      <w:bookmarkEnd w:id="222"/>
      <w:bookmarkStart w:id="223" w:name="_Toc184314422"/>
      <w:bookmarkEnd w:id="223"/>
      <w:bookmarkStart w:id="224" w:name="_Toc184312086"/>
      <w:bookmarkEnd w:id="224"/>
      <w:bookmarkStart w:id="225" w:name="_Toc184308072"/>
      <w:bookmarkEnd w:id="225"/>
      <w:bookmarkStart w:id="226" w:name="_Toc184310325"/>
      <w:bookmarkEnd w:id="226"/>
      <w:bookmarkStart w:id="227" w:name="_Toc184313243"/>
      <w:bookmarkEnd w:id="227"/>
      <w:bookmarkStart w:id="228" w:name="_Toc184314473"/>
      <w:bookmarkEnd w:id="228"/>
      <w:bookmarkStart w:id="229" w:name="_Toc184314465"/>
      <w:bookmarkEnd w:id="229"/>
      <w:bookmarkStart w:id="230" w:name="_Toc184312085"/>
      <w:bookmarkEnd w:id="230"/>
      <w:bookmarkStart w:id="231" w:name="_Toc184310294"/>
      <w:bookmarkEnd w:id="231"/>
      <w:bookmarkStart w:id="232" w:name="_Toc184314460"/>
      <w:bookmarkEnd w:id="232"/>
      <w:bookmarkStart w:id="233" w:name="_Toc184313267"/>
      <w:bookmarkEnd w:id="233"/>
      <w:bookmarkStart w:id="234" w:name="_Toc184313269"/>
      <w:bookmarkEnd w:id="234"/>
      <w:bookmarkStart w:id="235" w:name="_Toc184314457"/>
      <w:bookmarkEnd w:id="235"/>
      <w:bookmarkStart w:id="236" w:name="_Toc184312080"/>
      <w:bookmarkEnd w:id="236"/>
      <w:bookmarkStart w:id="237" w:name="_Toc184310304"/>
      <w:bookmarkEnd w:id="237"/>
      <w:bookmarkStart w:id="238" w:name="_Toc184310286"/>
      <w:bookmarkEnd w:id="238"/>
      <w:bookmarkStart w:id="239" w:name="_Toc184310289"/>
      <w:bookmarkEnd w:id="239"/>
      <w:bookmarkStart w:id="240" w:name="_Toc184310335"/>
      <w:bookmarkEnd w:id="240"/>
      <w:bookmarkStart w:id="241" w:name="_Toc184314429"/>
      <w:bookmarkEnd w:id="241"/>
      <w:bookmarkStart w:id="242" w:name="_Toc184308051"/>
      <w:bookmarkEnd w:id="242"/>
      <w:bookmarkStart w:id="243" w:name="_Toc184314424"/>
      <w:bookmarkEnd w:id="243"/>
      <w:bookmarkStart w:id="244" w:name="_Toc184308087"/>
      <w:bookmarkEnd w:id="244"/>
      <w:bookmarkStart w:id="245" w:name="_Toc184310307"/>
      <w:bookmarkEnd w:id="245"/>
      <w:bookmarkStart w:id="246" w:name="_Toc184312067"/>
      <w:bookmarkEnd w:id="246"/>
      <w:bookmarkStart w:id="247" w:name="_Toc184313252"/>
      <w:bookmarkEnd w:id="247"/>
      <w:bookmarkStart w:id="248" w:name="_Toc184308063"/>
      <w:bookmarkEnd w:id="248"/>
      <w:bookmarkStart w:id="249" w:name="_Toc184312125"/>
      <w:bookmarkEnd w:id="249"/>
      <w:bookmarkStart w:id="250" w:name="_Toc184313275"/>
      <w:bookmarkEnd w:id="250"/>
      <w:bookmarkStart w:id="251" w:name="_Toc184308074"/>
      <w:bookmarkEnd w:id="251"/>
      <w:bookmarkStart w:id="252" w:name="_Toc184308096"/>
      <w:bookmarkEnd w:id="252"/>
      <w:bookmarkStart w:id="253" w:name="_Toc184314412"/>
      <w:bookmarkEnd w:id="253"/>
      <w:bookmarkStart w:id="254" w:name="_Toc184314450"/>
      <w:bookmarkEnd w:id="254"/>
      <w:bookmarkStart w:id="255" w:name="_Toc184313238"/>
      <w:bookmarkEnd w:id="255"/>
      <w:bookmarkStart w:id="256" w:name="_Toc184308108"/>
      <w:bookmarkEnd w:id="256"/>
      <w:bookmarkStart w:id="257" w:name="_Toc184312114"/>
      <w:bookmarkEnd w:id="257"/>
      <w:bookmarkStart w:id="258" w:name="_Toc184312071"/>
      <w:bookmarkEnd w:id="258"/>
      <w:bookmarkStart w:id="259" w:name="_Toc184312089"/>
      <w:bookmarkEnd w:id="259"/>
      <w:bookmarkStart w:id="260" w:name="_Toc184312087"/>
      <w:bookmarkEnd w:id="260"/>
      <w:bookmarkStart w:id="261" w:name="_Toc184312124"/>
      <w:bookmarkEnd w:id="261"/>
      <w:bookmarkStart w:id="262" w:name="_Toc184314420"/>
      <w:bookmarkEnd w:id="262"/>
      <w:bookmarkStart w:id="263" w:name="_Toc184314481"/>
      <w:bookmarkEnd w:id="263"/>
      <w:bookmarkStart w:id="264" w:name="_Toc184308043"/>
      <w:bookmarkEnd w:id="264"/>
      <w:bookmarkStart w:id="265" w:name="_Toc184310338"/>
      <w:bookmarkEnd w:id="265"/>
      <w:bookmarkStart w:id="266" w:name="_Toc184308080"/>
      <w:bookmarkEnd w:id="266"/>
      <w:bookmarkStart w:id="267" w:name="_Toc184308059"/>
      <w:bookmarkEnd w:id="267"/>
      <w:bookmarkStart w:id="268" w:name="_Toc184308071"/>
      <w:bookmarkEnd w:id="268"/>
      <w:bookmarkStart w:id="269" w:name="_Toc184314433"/>
      <w:bookmarkEnd w:id="269"/>
      <w:bookmarkStart w:id="270" w:name="_Toc184314426"/>
      <w:bookmarkEnd w:id="270"/>
      <w:bookmarkStart w:id="271" w:name="_Toc184314431"/>
      <w:bookmarkEnd w:id="271"/>
      <w:bookmarkStart w:id="272" w:name="_Toc184308102"/>
      <w:bookmarkEnd w:id="272"/>
      <w:bookmarkStart w:id="273" w:name="_Toc184310316"/>
      <w:bookmarkEnd w:id="273"/>
      <w:bookmarkStart w:id="274" w:name="_Toc184314440"/>
      <w:bookmarkEnd w:id="274"/>
      <w:bookmarkStart w:id="275" w:name="_Toc184310327"/>
      <w:bookmarkEnd w:id="275"/>
      <w:bookmarkStart w:id="276" w:name="_Toc184310319"/>
      <w:bookmarkEnd w:id="276"/>
      <w:bookmarkStart w:id="277" w:name="_Toc184308052"/>
      <w:bookmarkEnd w:id="277"/>
      <w:bookmarkStart w:id="278" w:name="_Toc184310305"/>
      <w:bookmarkEnd w:id="278"/>
      <w:bookmarkStart w:id="279" w:name="_Toc184308097"/>
      <w:bookmarkEnd w:id="279"/>
      <w:bookmarkStart w:id="280" w:name="_Toc184313245"/>
      <w:bookmarkEnd w:id="280"/>
      <w:bookmarkStart w:id="281" w:name="_Toc184310329"/>
      <w:bookmarkEnd w:id="281"/>
      <w:bookmarkStart w:id="282" w:name="_Toc184314456"/>
      <w:bookmarkEnd w:id="282"/>
      <w:bookmarkStart w:id="283" w:name="_Toc184312074"/>
      <w:bookmarkEnd w:id="283"/>
      <w:bookmarkStart w:id="284" w:name="_Toc184310328"/>
      <w:bookmarkEnd w:id="284"/>
      <w:bookmarkStart w:id="285" w:name="_Toc184313306"/>
      <w:bookmarkEnd w:id="285"/>
      <w:bookmarkStart w:id="286" w:name="_Toc184310301"/>
      <w:bookmarkEnd w:id="286"/>
      <w:bookmarkStart w:id="287" w:name="_Toc184312108"/>
      <w:bookmarkEnd w:id="287"/>
      <w:bookmarkStart w:id="288" w:name="_Toc184313273"/>
      <w:bookmarkEnd w:id="288"/>
      <w:bookmarkStart w:id="289" w:name="_Toc184314448"/>
      <w:bookmarkEnd w:id="289"/>
      <w:bookmarkStart w:id="290" w:name="_Toc184310340"/>
      <w:bookmarkEnd w:id="290"/>
      <w:bookmarkStart w:id="291" w:name="_Toc184308086"/>
      <w:bookmarkEnd w:id="291"/>
      <w:bookmarkStart w:id="292" w:name="_Toc184313276"/>
      <w:bookmarkEnd w:id="292"/>
      <w:bookmarkStart w:id="293" w:name="_Toc184308053"/>
      <w:bookmarkEnd w:id="293"/>
      <w:bookmarkStart w:id="294" w:name="_Toc184308067"/>
      <w:bookmarkEnd w:id="294"/>
      <w:bookmarkStart w:id="295" w:name="_Toc184308078"/>
      <w:bookmarkEnd w:id="295"/>
      <w:bookmarkStart w:id="296" w:name="_Toc184312109"/>
      <w:bookmarkEnd w:id="296"/>
      <w:bookmarkStart w:id="297" w:name="_Toc184313271"/>
      <w:bookmarkEnd w:id="297"/>
      <w:bookmarkStart w:id="298" w:name="_Toc184308100"/>
      <w:bookmarkEnd w:id="298"/>
      <w:bookmarkStart w:id="299" w:name="_Toc184314463"/>
      <w:bookmarkEnd w:id="299"/>
      <w:bookmarkStart w:id="300" w:name="_Toc184313265"/>
      <w:bookmarkEnd w:id="300"/>
      <w:bookmarkStart w:id="301" w:name="_Toc184312127"/>
      <w:bookmarkEnd w:id="301"/>
      <w:bookmarkStart w:id="302" w:name="_Toc184314445"/>
      <w:bookmarkEnd w:id="302"/>
      <w:bookmarkStart w:id="303" w:name="_Toc184314428"/>
      <w:bookmarkEnd w:id="303"/>
      <w:bookmarkStart w:id="304" w:name="_Toc184310314"/>
      <w:bookmarkEnd w:id="304"/>
      <w:bookmarkStart w:id="305" w:name="_Toc184314466"/>
      <w:bookmarkEnd w:id="305"/>
      <w:bookmarkStart w:id="306" w:name="_Toc184314421"/>
      <w:bookmarkEnd w:id="306"/>
      <w:bookmarkStart w:id="307" w:name="_Toc184310296"/>
      <w:bookmarkEnd w:id="307"/>
      <w:bookmarkStart w:id="308" w:name="_Toc184310287"/>
      <w:bookmarkEnd w:id="308"/>
      <w:bookmarkStart w:id="309" w:name="_Toc184308057"/>
      <w:bookmarkEnd w:id="309"/>
      <w:bookmarkStart w:id="310" w:name="_Toc184312070"/>
      <w:bookmarkEnd w:id="310"/>
      <w:bookmarkStart w:id="311" w:name="_Toc184310339"/>
      <w:bookmarkEnd w:id="311"/>
      <w:bookmarkStart w:id="312" w:name="_Toc184310344"/>
      <w:bookmarkEnd w:id="312"/>
      <w:bookmarkStart w:id="313" w:name="_Toc184312073"/>
      <w:bookmarkEnd w:id="313"/>
      <w:bookmarkStart w:id="314" w:name="_Toc184313257"/>
      <w:bookmarkEnd w:id="314"/>
      <w:bookmarkStart w:id="315" w:name="_Toc184310288"/>
      <w:bookmarkEnd w:id="315"/>
      <w:bookmarkStart w:id="316" w:name="_Toc184313290"/>
      <w:bookmarkEnd w:id="316"/>
      <w:bookmarkStart w:id="317" w:name="_Toc184310321"/>
      <w:bookmarkEnd w:id="317"/>
      <w:bookmarkStart w:id="318" w:name="_Toc184313253"/>
      <w:bookmarkEnd w:id="318"/>
      <w:bookmarkStart w:id="319" w:name="_Toc184308081"/>
      <w:bookmarkEnd w:id="319"/>
      <w:bookmarkStart w:id="320" w:name="_Toc184308054"/>
      <w:bookmarkEnd w:id="320"/>
      <w:bookmarkStart w:id="321" w:name="_Toc184310300"/>
      <w:bookmarkEnd w:id="321"/>
      <w:bookmarkStart w:id="322" w:name="_Toc184308056"/>
      <w:bookmarkEnd w:id="322"/>
      <w:bookmarkStart w:id="323" w:name="_Toc184308101"/>
      <w:bookmarkEnd w:id="323"/>
      <w:bookmarkStart w:id="324" w:name="_Toc184312122"/>
      <w:bookmarkEnd w:id="324"/>
      <w:bookmarkStart w:id="325" w:name="_Toc184308098"/>
      <w:bookmarkEnd w:id="325"/>
      <w:bookmarkStart w:id="326" w:name="_Toc184308075"/>
      <w:bookmarkEnd w:id="326"/>
      <w:bookmarkStart w:id="327" w:name="_Toc184308083"/>
      <w:bookmarkEnd w:id="327"/>
      <w:bookmarkStart w:id="328" w:name="_Toc184313268"/>
      <w:bookmarkEnd w:id="328"/>
      <w:bookmarkStart w:id="329" w:name="_Toc184310303"/>
      <w:bookmarkEnd w:id="329"/>
      <w:bookmarkStart w:id="330" w:name="_Toc184310341"/>
      <w:bookmarkEnd w:id="330"/>
      <w:bookmarkStart w:id="331" w:name="_Toc184308077"/>
      <w:bookmarkEnd w:id="331"/>
      <w:bookmarkStart w:id="332" w:name="_Toc184314438"/>
      <w:bookmarkEnd w:id="332"/>
      <w:bookmarkStart w:id="333" w:name="_Toc184313270"/>
      <w:bookmarkEnd w:id="333"/>
      <w:bookmarkStart w:id="334" w:name="_Toc184314427"/>
      <w:bookmarkEnd w:id="334"/>
      <w:bookmarkStart w:id="335" w:name="_Toc184314453"/>
      <w:bookmarkEnd w:id="335"/>
      <w:bookmarkStart w:id="336" w:name="_Toc184312133"/>
      <w:bookmarkEnd w:id="336"/>
      <w:bookmarkStart w:id="337" w:name="_Toc184310283"/>
      <w:bookmarkEnd w:id="337"/>
      <w:bookmarkStart w:id="338" w:name="_Toc184310279"/>
      <w:bookmarkEnd w:id="338"/>
      <w:bookmarkStart w:id="339" w:name="_Toc184310299"/>
      <w:bookmarkEnd w:id="339"/>
      <w:bookmarkStart w:id="340" w:name="_Toc184312095"/>
      <w:bookmarkEnd w:id="340"/>
      <w:bookmarkStart w:id="341" w:name="_Toc184310302"/>
      <w:bookmarkEnd w:id="341"/>
      <w:bookmarkStart w:id="342" w:name="_Toc184308095"/>
      <w:bookmarkEnd w:id="342"/>
      <w:bookmarkStart w:id="343" w:name="_Toc184313302"/>
      <w:bookmarkEnd w:id="343"/>
      <w:bookmarkStart w:id="344" w:name="_Toc184308079"/>
      <w:bookmarkEnd w:id="344"/>
      <w:bookmarkStart w:id="345" w:name="_Toc184312078"/>
      <w:bookmarkEnd w:id="345"/>
      <w:bookmarkStart w:id="346" w:name="_Toc184314417"/>
      <w:bookmarkEnd w:id="346"/>
      <w:bookmarkStart w:id="347" w:name="_Toc184313251"/>
      <w:bookmarkEnd w:id="347"/>
      <w:bookmarkStart w:id="348" w:name="_Toc184310297"/>
      <w:bookmarkEnd w:id="348"/>
      <w:bookmarkStart w:id="349" w:name="_Toc184313308"/>
      <w:bookmarkEnd w:id="349"/>
      <w:bookmarkStart w:id="350" w:name="_Toc184314459"/>
      <w:bookmarkEnd w:id="350"/>
      <w:bookmarkStart w:id="351" w:name="_Toc184308060"/>
      <w:bookmarkEnd w:id="351"/>
      <w:bookmarkStart w:id="352" w:name="_Toc184312136"/>
      <w:bookmarkEnd w:id="352"/>
      <w:bookmarkStart w:id="353" w:name="_Toc184313259"/>
      <w:bookmarkEnd w:id="353"/>
      <w:bookmarkStart w:id="354" w:name="_Toc184313266"/>
      <w:bookmarkEnd w:id="354"/>
      <w:bookmarkStart w:id="355" w:name="_Toc184313246"/>
      <w:bookmarkEnd w:id="355"/>
      <w:bookmarkStart w:id="356" w:name="_Toc184314439"/>
      <w:bookmarkEnd w:id="356"/>
      <w:bookmarkStart w:id="357" w:name="_Toc184313281"/>
      <w:bookmarkEnd w:id="357"/>
      <w:bookmarkStart w:id="358" w:name="_Toc184314449"/>
      <w:bookmarkEnd w:id="358"/>
      <w:bookmarkStart w:id="359" w:name="_Toc184314472"/>
      <w:bookmarkEnd w:id="359"/>
      <w:bookmarkStart w:id="360" w:name="_Toc184313283"/>
      <w:bookmarkEnd w:id="360"/>
      <w:bookmarkStart w:id="361" w:name="_Toc184314441"/>
      <w:bookmarkEnd w:id="361"/>
      <w:bookmarkStart w:id="362" w:name="_Toc184308046"/>
      <w:bookmarkEnd w:id="362"/>
      <w:bookmarkStart w:id="363" w:name="_Toc184312084"/>
      <w:bookmarkEnd w:id="363"/>
      <w:bookmarkStart w:id="364" w:name="_Toc184310306"/>
      <w:bookmarkEnd w:id="364"/>
      <w:bookmarkStart w:id="365" w:name="_Toc184308103"/>
      <w:bookmarkEnd w:id="365"/>
      <w:bookmarkStart w:id="366" w:name="_Toc184314454"/>
      <w:bookmarkEnd w:id="366"/>
      <w:bookmarkStart w:id="367" w:name="_Toc184310333"/>
      <w:bookmarkEnd w:id="367"/>
      <w:bookmarkStart w:id="368" w:name="_Toc184314458"/>
      <w:bookmarkEnd w:id="368"/>
      <w:bookmarkStart w:id="369" w:name="_Toc184312081"/>
      <w:bookmarkEnd w:id="369"/>
      <w:bookmarkStart w:id="370" w:name="_Toc184314419"/>
      <w:bookmarkEnd w:id="370"/>
      <w:bookmarkStart w:id="371" w:name="_Toc184313256"/>
      <w:bookmarkEnd w:id="371"/>
      <w:bookmarkStart w:id="372" w:name="_Toc184312116"/>
      <w:bookmarkEnd w:id="372"/>
      <w:bookmarkStart w:id="373" w:name="_Toc184308091"/>
      <w:bookmarkEnd w:id="373"/>
      <w:bookmarkStart w:id="374" w:name="_Toc184313249"/>
      <w:bookmarkEnd w:id="374"/>
      <w:bookmarkStart w:id="375" w:name="_Toc184308090"/>
      <w:bookmarkEnd w:id="375"/>
      <w:bookmarkStart w:id="376" w:name="_Toc184312135"/>
      <w:bookmarkEnd w:id="376"/>
      <w:bookmarkStart w:id="377" w:name="_Toc184310332"/>
      <w:bookmarkEnd w:id="377"/>
      <w:bookmarkStart w:id="378" w:name="_Toc184314467"/>
      <w:bookmarkEnd w:id="378"/>
      <w:bookmarkStart w:id="379" w:name="_Toc184314479"/>
      <w:bookmarkEnd w:id="379"/>
      <w:r>
        <w:rPr>
          <w:rFonts w:hint="eastAsia" w:ascii="仿宋" w:hAnsi="仿宋" w:eastAsia="仿宋" w:cs="仿宋_GB2312"/>
          <w:b/>
          <w:color w:val="000000" w:themeColor="text1"/>
          <w:sz w:val="36"/>
          <w:szCs w:val="36"/>
          <w14:textFill>
            <w14:solidFill>
              <w14:schemeClr w14:val="tx1"/>
            </w14:solidFill>
          </w14:textFill>
        </w:rPr>
        <w:t>评标办法</w:t>
      </w:r>
    </w:p>
    <w:p w14:paraId="28D6B952">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185F5DF3">
      <w:pPr>
        <w:widowControl/>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商务技术部分（</w:t>
      </w:r>
      <w:r>
        <w:rPr>
          <w:rFonts w:hint="eastAsia" w:ascii="宋体" w:hAnsi="宋体"/>
          <w:b/>
          <w:bCs/>
          <w:color w:val="000000" w:themeColor="text1"/>
          <w:sz w:val="24"/>
          <w:lang w:val="en-US" w:eastAsia="zh-CN"/>
          <w14:textFill>
            <w14:solidFill>
              <w14:schemeClr w14:val="tx1"/>
            </w14:solidFill>
          </w14:textFill>
        </w:rPr>
        <w:t>90</w:t>
      </w:r>
      <w:r>
        <w:rPr>
          <w:rFonts w:hint="eastAsia" w:ascii="宋体" w:hAnsi="宋体"/>
          <w:b/>
          <w:bCs/>
          <w:color w:val="000000" w:themeColor="text1"/>
          <w:sz w:val="24"/>
          <w14:textFill>
            <w14:solidFill>
              <w14:schemeClr w14:val="tx1"/>
            </w14:solidFill>
          </w14:textFill>
        </w:rPr>
        <w:t>分）</w:t>
      </w:r>
    </w:p>
    <w:tbl>
      <w:tblPr>
        <w:tblStyle w:val="64"/>
        <w:tblW w:w="9875" w:type="dxa"/>
        <w:jc w:val="center"/>
        <w:tblLayout w:type="fixed"/>
        <w:tblCellMar>
          <w:top w:w="0" w:type="dxa"/>
          <w:left w:w="108" w:type="dxa"/>
          <w:bottom w:w="0" w:type="dxa"/>
          <w:right w:w="108" w:type="dxa"/>
        </w:tblCellMar>
      </w:tblPr>
      <w:tblGrid>
        <w:gridCol w:w="769"/>
        <w:gridCol w:w="524"/>
        <w:gridCol w:w="815"/>
        <w:gridCol w:w="5980"/>
        <w:gridCol w:w="972"/>
        <w:gridCol w:w="815"/>
      </w:tblGrid>
      <w:tr w14:paraId="6229CF24">
        <w:tblPrEx>
          <w:tblCellMar>
            <w:top w:w="0" w:type="dxa"/>
            <w:left w:w="108" w:type="dxa"/>
            <w:bottom w:w="0" w:type="dxa"/>
            <w:right w:w="108" w:type="dxa"/>
          </w:tblCellMar>
        </w:tblPrEx>
        <w:trPr>
          <w:trHeight w:val="74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E9339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319" w:type="dxa"/>
            <w:gridSpan w:val="3"/>
            <w:tcBorders>
              <w:top w:val="single" w:color="auto" w:sz="4" w:space="0"/>
              <w:left w:val="nil"/>
              <w:bottom w:val="single" w:color="auto" w:sz="4" w:space="0"/>
              <w:right w:val="single" w:color="auto" w:sz="4" w:space="0"/>
            </w:tcBorders>
            <w:vAlign w:val="center"/>
          </w:tcPr>
          <w:p w14:paraId="71A83D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评分内容和标准</w:t>
            </w:r>
          </w:p>
        </w:tc>
        <w:tc>
          <w:tcPr>
            <w:tcW w:w="972" w:type="dxa"/>
            <w:tcBorders>
              <w:top w:val="single" w:color="auto" w:sz="4" w:space="0"/>
              <w:left w:val="nil"/>
              <w:bottom w:val="single" w:color="auto" w:sz="4" w:space="0"/>
              <w:right w:val="single" w:color="auto" w:sz="4" w:space="0"/>
            </w:tcBorders>
            <w:vAlign w:val="center"/>
          </w:tcPr>
          <w:p w14:paraId="523F3C5F">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分值</w:t>
            </w:r>
          </w:p>
          <w:p w14:paraId="27A86A12">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范围</w:t>
            </w:r>
          </w:p>
        </w:tc>
        <w:tc>
          <w:tcPr>
            <w:tcW w:w="815" w:type="dxa"/>
            <w:tcBorders>
              <w:top w:val="single" w:color="auto" w:sz="4" w:space="0"/>
              <w:left w:val="nil"/>
              <w:bottom w:val="single" w:color="auto" w:sz="4" w:space="0"/>
              <w:right w:val="single" w:color="auto" w:sz="4" w:space="0"/>
            </w:tcBorders>
            <w:vAlign w:val="center"/>
          </w:tcPr>
          <w:p w14:paraId="6EE4685C">
            <w:pPr>
              <w:jc w:val="center"/>
              <w:rPr>
                <w:rFonts w:ascii="宋体" w:hAnsi="宋体" w:cs="宋体"/>
                <w:color w:val="auto"/>
                <w:kern w:val="0"/>
                <w:sz w:val="24"/>
                <w:highlight w:val="none"/>
              </w:rPr>
            </w:pPr>
            <w:r>
              <w:rPr>
                <w:rFonts w:hint="eastAsia" w:ascii="宋体" w:hAnsi="宋体" w:cs="宋体"/>
                <w:color w:val="auto"/>
                <w:kern w:val="0"/>
                <w:sz w:val="24"/>
                <w:highlight w:val="none"/>
              </w:rPr>
              <w:t>打分</w:t>
            </w:r>
          </w:p>
          <w:p w14:paraId="388462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方法</w:t>
            </w:r>
          </w:p>
        </w:tc>
      </w:tr>
      <w:tr w14:paraId="268C485E">
        <w:tblPrEx>
          <w:tblCellMar>
            <w:top w:w="0" w:type="dxa"/>
            <w:left w:w="108" w:type="dxa"/>
            <w:bottom w:w="0" w:type="dxa"/>
            <w:right w:w="108" w:type="dxa"/>
          </w:tblCellMar>
        </w:tblPrEx>
        <w:trPr>
          <w:trHeight w:val="1041" w:hRule="atLeast"/>
          <w:jc w:val="center"/>
        </w:trPr>
        <w:tc>
          <w:tcPr>
            <w:tcW w:w="769" w:type="dxa"/>
            <w:vMerge w:val="restart"/>
            <w:tcBorders>
              <w:top w:val="single" w:color="auto" w:sz="4" w:space="0"/>
              <w:left w:val="single" w:color="auto" w:sz="4" w:space="0"/>
              <w:right w:val="single" w:color="auto" w:sz="4" w:space="0"/>
            </w:tcBorders>
            <w:vAlign w:val="center"/>
          </w:tcPr>
          <w:p w14:paraId="623B6EEA">
            <w:pPr>
              <w:pStyle w:val="26"/>
              <w:snapToGrid w:val="0"/>
              <w:spacing w:line="240" w:lineRule="auto"/>
              <w:ind w:firstLine="0" w:firstLineChars="0"/>
              <w:jc w:val="center"/>
              <w:rPr>
                <w:rFonts w:hint="eastAsia" w:cs="宋体"/>
                <w:color w:val="auto"/>
                <w:highlight w:val="none"/>
              </w:rPr>
            </w:pPr>
            <w:r>
              <w:rPr>
                <w:rFonts w:hint="eastAsia" w:cs="宋体"/>
                <w:color w:val="auto"/>
                <w:highlight w:val="none"/>
              </w:rPr>
              <w:t>商务</w:t>
            </w:r>
          </w:p>
          <w:p w14:paraId="13A85D4F">
            <w:pPr>
              <w:pStyle w:val="26"/>
              <w:snapToGrid w:val="0"/>
              <w:spacing w:line="240" w:lineRule="auto"/>
              <w:ind w:firstLine="0" w:firstLineChars="0"/>
              <w:jc w:val="center"/>
              <w:rPr>
                <w:rFonts w:cs="宋体"/>
                <w:color w:val="auto"/>
                <w:highlight w:val="none"/>
              </w:rPr>
            </w:pPr>
            <w:r>
              <w:rPr>
                <w:rFonts w:hint="eastAsia" w:cs="宋体"/>
                <w:color w:val="auto"/>
                <w:highlight w:val="none"/>
              </w:rPr>
              <w:t>技术分</w:t>
            </w:r>
          </w:p>
          <w:p w14:paraId="2D7BBD77">
            <w:pPr>
              <w:pStyle w:val="26"/>
              <w:snapToGrid w:val="0"/>
              <w:spacing w:line="240" w:lineRule="auto"/>
              <w:ind w:firstLine="0" w:firstLineChars="0"/>
              <w:jc w:val="center"/>
              <w:rPr>
                <w:rFonts w:cs="宋体"/>
                <w:color w:val="auto"/>
                <w:kern w:val="0"/>
                <w:highlight w:val="none"/>
              </w:rPr>
            </w:pPr>
            <w:r>
              <w:rPr>
                <w:rFonts w:hint="eastAsia" w:cs="宋体"/>
                <w:color w:val="auto"/>
                <w:highlight w:val="none"/>
              </w:rPr>
              <w:t>（</w:t>
            </w:r>
            <w:r>
              <w:rPr>
                <w:rFonts w:hint="eastAsia" w:cs="宋体"/>
                <w:color w:val="auto"/>
                <w:highlight w:val="none"/>
                <w:lang w:val="en-US" w:eastAsia="zh-CN"/>
              </w:rPr>
              <w:t>90</w:t>
            </w:r>
            <w:r>
              <w:rPr>
                <w:rFonts w:hint="eastAsia" w:cs="宋体"/>
                <w:color w:val="auto"/>
                <w:highlight w:val="none"/>
              </w:rPr>
              <w:t>分）</w:t>
            </w:r>
          </w:p>
        </w:tc>
        <w:tc>
          <w:tcPr>
            <w:tcW w:w="524" w:type="dxa"/>
            <w:tcBorders>
              <w:top w:val="single" w:color="auto" w:sz="4" w:space="0"/>
              <w:left w:val="single" w:color="auto" w:sz="4" w:space="0"/>
              <w:bottom w:val="single" w:color="auto" w:sz="4" w:space="0"/>
              <w:right w:val="single" w:color="auto" w:sz="4" w:space="0"/>
            </w:tcBorders>
            <w:vAlign w:val="center"/>
          </w:tcPr>
          <w:p w14:paraId="1EFE5686">
            <w:pPr>
              <w:widowControl/>
              <w:jc w:val="center"/>
              <w:rPr>
                <w:rFonts w:ascii="宋体" w:hAnsi="宋体" w:cs="宋体"/>
                <w:color w:val="auto"/>
                <w:sz w:val="24"/>
                <w:highlight w:val="none"/>
              </w:rPr>
            </w:pPr>
            <w:r>
              <w:rPr>
                <w:rFonts w:hint="eastAsia" w:ascii="宋体" w:hAnsi="宋体" w:cs="宋体"/>
                <w:color w:val="auto"/>
                <w:sz w:val="24"/>
                <w:highlight w:val="none"/>
              </w:rPr>
              <w:t>1</w:t>
            </w:r>
          </w:p>
        </w:tc>
        <w:tc>
          <w:tcPr>
            <w:tcW w:w="6795" w:type="dxa"/>
            <w:gridSpan w:val="2"/>
            <w:tcBorders>
              <w:top w:val="single" w:color="auto" w:sz="4" w:space="0"/>
              <w:left w:val="single" w:color="auto" w:sz="4" w:space="0"/>
              <w:bottom w:val="single" w:color="auto" w:sz="4" w:space="0"/>
              <w:right w:val="single" w:color="auto" w:sz="4" w:space="0"/>
            </w:tcBorders>
            <w:vAlign w:val="center"/>
          </w:tcPr>
          <w:p w14:paraId="032F5496">
            <w:pPr>
              <w:rPr>
                <w:rFonts w:ascii="宋体" w:hAnsi="宋体" w:cs="宋体"/>
                <w:color w:val="auto"/>
                <w:sz w:val="24"/>
                <w:highlight w:val="none"/>
              </w:rPr>
            </w:pPr>
            <w:r>
              <w:rPr>
                <w:rFonts w:hint="eastAsia" w:ascii="宋体" w:hAnsi="宋体" w:cs="宋体"/>
                <w:color w:val="auto"/>
                <w:sz w:val="24"/>
                <w:highlight w:val="none"/>
              </w:rPr>
              <w:t>响应人自202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年1月1日以来（以合同签订时间为准），承接过</w:t>
            </w:r>
            <w:r>
              <w:rPr>
                <w:rFonts w:hint="eastAsia" w:ascii="宋体" w:hAnsi="宋体" w:cs="宋体"/>
                <w:color w:val="auto"/>
                <w:sz w:val="24"/>
                <w:highlight w:val="none"/>
                <w:lang w:eastAsia="zh-CN"/>
              </w:rPr>
              <w:t>类似项目</w:t>
            </w:r>
            <w:r>
              <w:rPr>
                <w:rFonts w:hint="eastAsia" w:ascii="宋体" w:hAnsi="宋体" w:cs="宋体"/>
                <w:color w:val="auto"/>
                <w:sz w:val="24"/>
                <w:highlight w:val="none"/>
              </w:rPr>
              <w:t>业绩，每提供一项业绩，得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分。（响应文件中提供合同复印件并加盖响应人公章。）</w:t>
            </w:r>
          </w:p>
        </w:tc>
        <w:tc>
          <w:tcPr>
            <w:tcW w:w="972" w:type="dxa"/>
            <w:tcBorders>
              <w:top w:val="single" w:color="auto" w:sz="4" w:space="0"/>
              <w:left w:val="single" w:color="auto" w:sz="4" w:space="0"/>
              <w:bottom w:val="single" w:color="auto" w:sz="4" w:space="0"/>
              <w:right w:val="single" w:color="auto" w:sz="4" w:space="0"/>
            </w:tcBorders>
            <w:vAlign w:val="center"/>
          </w:tcPr>
          <w:p w14:paraId="0C2A8E4B">
            <w:pPr>
              <w:jc w:val="center"/>
              <w:rPr>
                <w:rFonts w:ascii="宋体" w:hAnsi="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4FE06431">
            <w:pPr>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914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9" w:type="dxa"/>
            <w:vMerge w:val="continue"/>
            <w:tcBorders>
              <w:left w:val="single" w:color="auto" w:sz="4" w:space="0"/>
              <w:right w:val="single" w:color="auto" w:sz="4" w:space="0"/>
            </w:tcBorders>
            <w:vAlign w:val="center"/>
          </w:tcPr>
          <w:p w14:paraId="40EC4FF9">
            <w:pPr>
              <w:pStyle w:val="26"/>
              <w:snapToGrid w:val="0"/>
              <w:spacing w:line="240" w:lineRule="auto"/>
              <w:ind w:firstLine="0" w:firstLineChars="0"/>
              <w:jc w:val="center"/>
              <w:rPr>
                <w:rFonts w:cs="宋体"/>
                <w:color w:val="auto"/>
                <w:kern w:val="0"/>
                <w:highlight w:val="none"/>
              </w:rPr>
            </w:pPr>
          </w:p>
        </w:tc>
        <w:tc>
          <w:tcPr>
            <w:tcW w:w="524" w:type="dxa"/>
            <w:vMerge w:val="restart"/>
            <w:tcBorders>
              <w:top w:val="single" w:color="auto" w:sz="4" w:space="0"/>
              <w:left w:val="single" w:color="auto" w:sz="4" w:space="0"/>
              <w:right w:val="single" w:color="auto" w:sz="4" w:space="0"/>
            </w:tcBorders>
            <w:vAlign w:val="center"/>
          </w:tcPr>
          <w:p w14:paraId="24DB7A0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5" w:type="dxa"/>
            <w:vMerge w:val="restart"/>
            <w:tcBorders>
              <w:top w:val="single" w:color="auto" w:sz="4" w:space="0"/>
              <w:left w:val="single" w:color="auto" w:sz="4" w:space="0"/>
              <w:right w:val="single" w:color="auto" w:sz="4" w:space="0"/>
            </w:tcBorders>
            <w:vAlign w:val="center"/>
          </w:tcPr>
          <w:p w14:paraId="085131B4">
            <w:pPr>
              <w:jc w:val="center"/>
              <w:rPr>
                <w:rFonts w:ascii="宋体" w:hAnsi="宋体" w:cs="宋体"/>
                <w:color w:val="auto"/>
                <w:sz w:val="24"/>
                <w:highlight w:val="none"/>
              </w:rPr>
            </w:pPr>
            <w:r>
              <w:rPr>
                <w:rFonts w:hint="eastAsia" w:ascii="宋体" w:hAnsi="宋体" w:cs="宋体"/>
                <w:color w:val="auto"/>
                <w:sz w:val="24"/>
                <w:highlight w:val="none"/>
              </w:rPr>
              <w:t>项目理解</w:t>
            </w:r>
          </w:p>
        </w:tc>
        <w:tc>
          <w:tcPr>
            <w:tcW w:w="5980" w:type="dxa"/>
            <w:tcBorders>
              <w:top w:val="single" w:color="auto" w:sz="4" w:space="0"/>
              <w:left w:val="single" w:color="auto" w:sz="4" w:space="0"/>
              <w:bottom w:val="single" w:color="auto" w:sz="4" w:space="0"/>
              <w:right w:val="single" w:color="auto" w:sz="4" w:space="0"/>
            </w:tcBorders>
            <w:vAlign w:val="center"/>
          </w:tcPr>
          <w:p w14:paraId="1C97CF71">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highlight w:val="none"/>
              </w:rPr>
              <w:t>响应人</w:t>
            </w:r>
            <w:r>
              <w:rPr>
                <w:rFonts w:hint="eastAsia" w:ascii="宋体" w:hAnsi="宋体" w:eastAsia="宋体" w:cs="宋体"/>
                <w:color w:val="auto"/>
                <w:sz w:val="24"/>
                <w:szCs w:val="24"/>
                <w:highlight w:val="none"/>
              </w:rPr>
              <w:t>对项目本体解读（包括社区区位现状分析、创建优势及存在问题、居民需求分析等）</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rPr>
              <w:t>。</w:t>
            </w:r>
          </w:p>
          <w:p w14:paraId="6A0366D6">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资料详实、逻辑清晰、结论准确的得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F09CB4E">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分析过程完整、结论明确的得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4C2ACE31">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思路模糊、结论有偏差的得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A24DA95">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c>
          <w:tcPr>
            <w:tcW w:w="972" w:type="dxa"/>
            <w:tcBorders>
              <w:top w:val="single" w:color="auto" w:sz="4" w:space="0"/>
              <w:left w:val="single" w:color="auto" w:sz="4" w:space="0"/>
              <w:right w:val="single" w:color="auto" w:sz="4" w:space="0"/>
            </w:tcBorders>
            <w:vAlign w:val="center"/>
          </w:tcPr>
          <w:p w14:paraId="7110D961">
            <w:pPr>
              <w:jc w:val="center"/>
              <w:rPr>
                <w:rFonts w:ascii="宋体" w:hAnsi="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right w:val="single" w:color="auto" w:sz="4" w:space="0"/>
            </w:tcBorders>
            <w:vAlign w:val="center"/>
          </w:tcPr>
          <w:p w14:paraId="05FAE73F">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4168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9" w:type="dxa"/>
            <w:vMerge w:val="continue"/>
            <w:tcBorders>
              <w:left w:val="single" w:color="auto" w:sz="4" w:space="0"/>
              <w:right w:val="single" w:color="auto" w:sz="4" w:space="0"/>
            </w:tcBorders>
            <w:vAlign w:val="center"/>
          </w:tcPr>
          <w:p w14:paraId="5EB42EEF">
            <w:pPr>
              <w:rPr>
                <w:color w:val="auto"/>
                <w:highlight w:val="none"/>
              </w:rPr>
            </w:pPr>
          </w:p>
        </w:tc>
        <w:tc>
          <w:tcPr>
            <w:tcW w:w="524" w:type="dxa"/>
            <w:vMerge w:val="continue"/>
            <w:tcBorders>
              <w:left w:val="single" w:color="auto" w:sz="4" w:space="0"/>
              <w:right w:val="single" w:color="auto" w:sz="4" w:space="0"/>
            </w:tcBorders>
            <w:vAlign w:val="center"/>
          </w:tcPr>
          <w:p w14:paraId="619FF8FA">
            <w:pPr>
              <w:rPr>
                <w:color w:val="auto"/>
                <w:highlight w:val="none"/>
              </w:rPr>
            </w:pPr>
          </w:p>
        </w:tc>
        <w:tc>
          <w:tcPr>
            <w:tcW w:w="815" w:type="dxa"/>
            <w:vMerge w:val="continue"/>
            <w:tcBorders>
              <w:left w:val="single" w:color="auto" w:sz="4" w:space="0"/>
              <w:right w:val="single" w:color="auto" w:sz="4" w:space="0"/>
            </w:tcBorders>
            <w:vAlign w:val="center"/>
          </w:tcPr>
          <w:p w14:paraId="16F9B634">
            <w:pPr>
              <w:rPr>
                <w:color w:val="auto"/>
                <w:highlight w:val="none"/>
              </w:rPr>
            </w:pPr>
          </w:p>
        </w:tc>
        <w:tc>
          <w:tcPr>
            <w:tcW w:w="5980" w:type="dxa"/>
            <w:tcBorders>
              <w:top w:val="single" w:color="auto" w:sz="4" w:space="0"/>
              <w:left w:val="single" w:color="auto" w:sz="4" w:space="0"/>
              <w:bottom w:val="single" w:color="auto" w:sz="4" w:space="0"/>
              <w:right w:val="single" w:color="auto" w:sz="4" w:space="0"/>
            </w:tcBorders>
            <w:vAlign w:val="center"/>
          </w:tcPr>
          <w:p w14:paraId="01E90BB3">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highlight w:val="none"/>
              </w:rPr>
              <w:t>响应人</w:t>
            </w:r>
            <w:r>
              <w:rPr>
                <w:rFonts w:hint="eastAsia" w:ascii="宋体" w:hAnsi="宋体" w:eastAsia="宋体" w:cs="宋体"/>
                <w:color w:val="auto"/>
                <w:sz w:val="24"/>
                <w:szCs w:val="24"/>
                <w:highlight w:val="none"/>
              </w:rPr>
              <w:t>拟定针对本项目</w:t>
            </w:r>
            <w:r>
              <w:rPr>
                <w:rFonts w:hint="eastAsia" w:ascii="宋体" w:hAnsi="宋体" w:eastAsia="宋体" w:cs="宋体"/>
                <w:color w:val="auto"/>
                <w:sz w:val="24"/>
                <w:szCs w:val="24"/>
                <w:highlight w:val="none"/>
                <w:lang w:val="en-US" w:eastAsia="zh-CN"/>
              </w:rPr>
              <w:t>的创建思路</w:t>
            </w:r>
            <w:r>
              <w:rPr>
                <w:rFonts w:hint="eastAsia" w:ascii="宋体" w:hAnsi="宋体" w:cs="宋体"/>
                <w:color w:val="auto"/>
                <w:sz w:val="24"/>
                <w:szCs w:val="24"/>
                <w:highlight w:val="none"/>
                <w:lang w:val="en-US" w:eastAsia="zh-CN"/>
              </w:rPr>
              <w:t>、区域设置和</w:t>
            </w:r>
            <w:r>
              <w:rPr>
                <w:rFonts w:hint="eastAsia" w:ascii="宋体" w:hAnsi="宋体" w:eastAsia="宋体" w:cs="宋体"/>
                <w:color w:val="auto"/>
                <w:sz w:val="24"/>
                <w:szCs w:val="24"/>
                <w:highlight w:val="none"/>
              </w:rPr>
              <w:t>特色文化解读</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rPr>
              <w:t>。</w:t>
            </w:r>
          </w:p>
          <w:p w14:paraId="3C278A4D">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解读详实、逻辑清晰、结论准确的得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F1D6103">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分析到位、提炼出文化亮点的得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4F285705">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思路模糊、结论不清的得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CD6A49C">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c>
          <w:tcPr>
            <w:tcW w:w="972" w:type="dxa"/>
            <w:tcBorders>
              <w:left w:val="single" w:color="auto" w:sz="4" w:space="0"/>
              <w:right w:val="single" w:color="auto" w:sz="4" w:space="0"/>
            </w:tcBorders>
            <w:vAlign w:val="center"/>
          </w:tcPr>
          <w:p w14:paraId="23854395">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left w:val="single" w:color="auto" w:sz="4" w:space="0"/>
              <w:right w:val="single" w:color="auto" w:sz="4" w:space="0"/>
            </w:tcBorders>
            <w:shd w:val="clear" w:color="auto" w:fill="auto"/>
            <w:vAlign w:val="center"/>
          </w:tcPr>
          <w:p w14:paraId="503B788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r>
      <w:tr w14:paraId="484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69" w:type="dxa"/>
            <w:vMerge w:val="continue"/>
            <w:tcBorders>
              <w:left w:val="single" w:color="auto" w:sz="4" w:space="0"/>
              <w:right w:val="single" w:color="auto" w:sz="4" w:space="0"/>
            </w:tcBorders>
            <w:vAlign w:val="center"/>
          </w:tcPr>
          <w:p w14:paraId="0AAE64AB">
            <w:pPr>
              <w:widowControl/>
              <w:adjustRightInd/>
              <w:rPr>
                <w:rFonts w:ascii="宋体" w:hAnsi="宋体" w:cs="宋体"/>
                <w:color w:val="auto"/>
                <w:kern w:val="0"/>
                <w:sz w:val="24"/>
                <w:highlight w:val="none"/>
              </w:rPr>
            </w:pPr>
          </w:p>
        </w:tc>
        <w:tc>
          <w:tcPr>
            <w:tcW w:w="524" w:type="dxa"/>
            <w:vMerge w:val="restart"/>
            <w:tcBorders>
              <w:left w:val="single" w:color="auto" w:sz="4" w:space="0"/>
              <w:right w:val="single" w:color="auto" w:sz="4" w:space="0"/>
            </w:tcBorders>
            <w:vAlign w:val="center"/>
          </w:tcPr>
          <w:p w14:paraId="314AAED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5" w:type="dxa"/>
            <w:vMerge w:val="restart"/>
            <w:tcBorders>
              <w:left w:val="single" w:color="auto" w:sz="4" w:space="0"/>
              <w:right w:val="single" w:color="auto" w:sz="4" w:space="0"/>
            </w:tcBorders>
            <w:vAlign w:val="center"/>
          </w:tcPr>
          <w:p w14:paraId="7006490E">
            <w:pPr>
              <w:jc w:val="center"/>
              <w:rPr>
                <w:rFonts w:ascii="宋体" w:hAnsi="宋体" w:cs="宋体"/>
                <w:color w:val="auto"/>
                <w:sz w:val="24"/>
                <w:highlight w:val="none"/>
                <w:lang w:val="zh-TW"/>
              </w:rPr>
            </w:pPr>
            <w:r>
              <w:rPr>
                <w:rFonts w:hint="eastAsia" w:ascii="宋体" w:hAnsi="宋体" w:cs="宋体"/>
                <w:color w:val="auto"/>
                <w:sz w:val="24"/>
                <w:highlight w:val="none"/>
                <w:lang w:val="zh-TW"/>
              </w:rPr>
              <w:t>总体设计</w:t>
            </w:r>
          </w:p>
        </w:tc>
        <w:tc>
          <w:tcPr>
            <w:tcW w:w="5980" w:type="dxa"/>
            <w:tcBorders>
              <w:top w:val="single" w:color="auto" w:sz="4" w:space="0"/>
              <w:left w:val="single" w:color="auto" w:sz="4" w:space="0"/>
              <w:bottom w:val="single" w:color="auto" w:sz="4" w:space="0"/>
              <w:right w:val="single" w:color="auto" w:sz="4" w:space="0"/>
            </w:tcBorders>
            <w:vAlign w:val="center"/>
          </w:tcPr>
          <w:p w14:paraId="1CE379D9">
            <w:pP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根据响应人拟定的针对本项目</w:t>
            </w:r>
            <w:r>
              <w:rPr>
                <w:rFonts w:hint="eastAsia" w:ascii="宋体" w:hAnsi="宋体" w:cs="宋体"/>
                <w:color w:val="auto"/>
                <w:sz w:val="24"/>
                <w:highlight w:val="none"/>
                <w:lang w:val="en-US" w:eastAsia="zh-CN"/>
              </w:rPr>
              <w:t>的空间规划和设计改造</w:t>
            </w:r>
            <w:r>
              <w:rPr>
                <w:rFonts w:hint="eastAsia" w:ascii="宋体" w:hAnsi="宋体" w:cs="宋体"/>
                <w:color w:val="auto"/>
                <w:sz w:val="24"/>
                <w:highlight w:val="none"/>
              </w:rPr>
              <w:t>方案的合理性与特色性</w:t>
            </w:r>
            <w:r>
              <w:rPr>
                <w:rFonts w:hint="eastAsia" w:ascii="宋体" w:hAnsi="宋体" w:cs="宋体"/>
                <w:color w:val="auto"/>
                <w:sz w:val="24"/>
                <w:highlight w:val="none"/>
                <w:lang w:val="en-US" w:eastAsia="zh-CN"/>
              </w:rPr>
              <w:t>综合评定。</w:t>
            </w:r>
          </w:p>
          <w:p w14:paraId="666BC2FA">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思路清晰、方案完成度高、操作性强的得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02585926">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思路较清晰、方案较完整且具有可操作性的得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3D27523B">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思路模糊、方案不完整、操作性不强的得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63E035DD">
            <w:pPr>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F961FEE">
            <w:pPr>
              <w:jc w:val="center"/>
              <w:rPr>
                <w:rFonts w:ascii="宋体" w:hAnsi="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73C7F59C">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19A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69" w:type="dxa"/>
            <w:vMerge w:val="continue"/>
            <w:tcBorders>
              <w:left w:val="single" w:color="auto" w:sz="4" w:space="0"/>
              <w:right w:val="single" w:color="auto" w:sz="4" w:space="0"/>
            </w:tcBorders>
            <w:vAlign w:val="center"/>
          </w:tcPr>
          <w:p w14:paraId="316860E1">
            <w:pPr>
              <w:widowControl/>
              <w:adjustRightInd/>
              <w:rPr>
                <w:rFonts w:ascii="宋体" w:hAnsi="宋体" w:cs="宋体"/>
                <w:color w:val="auto"/>
                <w:kern w:val="0"/>
                <w:sz w:val="24"/>
                <w:highlight w:val="none"/>
              </w:rPr>
            </w:pPr>
          </w:p>
        </w:tc>
        <w:tc>
          <w:tcPr>
            <w:tcW w:w="524" w:type="dxa"/>
            <w:vMerge w:val="continue"/>
            <w:tcBorders>
              <w:left w:val="single" w:color="auto" w:sz="4" w:space="0"/>
              <w:right w:val="single" w:color="auto" w:sz="4" w:space="0"/>
            </w:tcBorders>
            <w:vAlign w:val="center"/>
          </w:tcPr>
          <w:p w14:paraId="246C73B3">
            <w:pPr>
              <w:jc w:val="center"/>
              <w:rPr>
                <w:rFonts w:ascii="宋体" w:hAnsi="宋体" w:cs="宋体"/>
                <w:color w:val="auto"/>
                <w:sz w:val="24"/>
                <w:highlight w:val="none"/>
              </w:rPr>
            </w:pPr>
          </w:p>
        </w:tc>
        <w:tc>
          <w:tcPr>
            <w:tcW w:w="815" w:type="dxa"/>
            <w:vMerge w:val="continue"/>
            <w:tcBorders>
              <w:left w:val="single" w:color="auto" w:sz="4" w:space="0"/>
              <w:right w:val="single" w:color="auto" w:sz="4" w:space="0"/>
            </w:tcBorders>
            <w:vAlign w:val="center"/>
          </w:tcPr>
          <w:p w14:paraId="0B53C425">
            <w:pPr>
              <w:jc w:val="center"/>
              <w:rPr>
                <w:rFonts w:ascii="宋体" w:hAnsi="宋体" w:cs="宋体"/>
                <w:color w:val="auto"/>
                <w:sz w:val="24"/>
                <w:highlight w:val="none"/>
              </w:rPr>
            </w:pPr>
          </w:p>
        </w:tc>
        <w:tc>
          <w:tcPr>
            <w:tcW w:w="5980" w:type="dxa"/>
            <w:tcBorders>
              <w:top w:val="single" w:color="auto" w:sz="4" w:space="0"/>
              <w:left w:val="single" w:color="auto" w:sz="4" w:space="0"/>
              <w:bottom w:val="single" w:color="auto" w:sz="4" w:space="0"/>
              <w:right w:val="single" w:color="auto" w:sz="4" w:space="0"/>
            </w:tcBorders>
            <w:vAlign w:val="center"/>
          </w:tcPr>
          <w:p w14:paraId="7A0F830B">
            <w:pPr>
              <w:jc w:val="left"/>
              <w:rPr>
                <w:rFonts w:hint="eastAsia" w:ascii="宋体" w:hAnsi="宋体" w:cs="宋体"/>
                <w:color w:val="auto"/>
                <w:sz w:val="24"/>
                <w:highlight w:val="none"/>
              </w:rPr>
            </w:pPr>
            <w:r>
              <w:rPr>
                <w:rFonts w:hint="eastAsia" w:ascii="宋体" w:hAnsi="宋体" w:cs="宋体"/>
                <w:color w:val="auto"/>
                <w:sz w:val="24"/>
                <w:highlight w:val="none"/>
              </w:rPr>
              <w:t>根据响应人拟定的针对本项目</w:t>
            </w:r>
            <w:r>
              <w:rPr>
                <w:rFonts w:hint="eastAsia" w:ascii="宋体" w:hAnsi="宋体" w:cs="宋体"/>
                <w:color w:val="auto"/>
                <w:sz w:val="24"/>
                <w:highlight w:val="none"/>
                <w:lang w:val="en-US" w:eastAsia="zh-CN"/>
              </w:rPr>
              <w:t>健身设备投入的合理性和先进性</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综合评定</w:t>
            </w:r>
            <w:r>
              <w:rPr>
                <w:rFonts w:hint="eastAsia" w:ascii="宋体" w:hAnsi="宋体" w:cs="宋体"/>
                <w:color w:val="auto"/>
                <w:sz w:val="24"/>
                <w:highlight w:val="none"/>
              </w:rPr>
              <w:t>。</w:t>
            </w:r>
          </w:p>
          <w:p w14:paraId="13281394">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思路清晰、方案完成度高、操作性强的得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5A51961A">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思路较清晰、方案较完整且具有可操作性的得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DA0BC1A">
            <w:pPr>
              <w:jc w:val="left"/>
              <w:rPr>
                <w:rFonts w:hint="eastAsia" w:ascii="宋体" w:hAnsi="宋体" w:cs="宋体"/>
                <w:color w:val="auto"/>
                <w:sz w:val="24"/>
                <w:highlight w:val="none"/>
                <w:lang w:eastAsia="zh-CN"/>
              </w:rPr>
            </w:pPr>
            <w:r>
              <w:rPr>
                <w:rFonts w:hint="eastAsia" w:ascii="宋体" w:hAnsi="宋体" w:cs="宋体"/>
                <w:color w:val="auto"/>
                <w:sz w:val="24"/>
                <w:highlight w:val="none"/>
              </w:rPr>
              <w:t>思路模糊、方案不完整、操作性不强的得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16EF5735">
            <w:pPr>
              <w:jc w:val="left"/>
              <w:rPr>
                <w:rFonts w:hint="eastAsia" w:ascii="宋体" w:hAnsi="宋体" w:cs="宋体"/>
                <w:color w:val="auto"/>
                <w:sz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4368A380">
            <w:pPr>
              <w:jc w:val="center"/>
              <w:rPr>
                <w:rFonts w:ascii="宋体" w:hAnsi="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1E798357">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327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69" w:type="dxa"/>
            <w:vMerge w:val="continue"/>
            <w:tcBorders>
              <w:left w:val="single" w:color="auto" w:sz="4" w:space="0"/>
              <w:right w:val="single" w:color="auto" w:sz="4" w:space="0"/>
            </w:tcBorders>
            <w:vAlign w:val="center"/>
          </w:tcPr>
          <w:p w14:paraId="251D1D96">
            <w:pPr>
              <w:widowControl/>
              <w:adjustRightInd/>
              <w:rPr>
                <w:rFonts w:ascii="宋体" w:hAnsi="宋体" w:cs="宋体"/>
                <w:color w:val="auto"/>
                <w:kern w:val="0"/>
                <w:sz w:val="24"/>
                <w:highlight w:val="none"/>
              </w:rPr>
            </w:pPr>
          </w:p>
        </w:tc>
        <w:tc>
          <w:tcPr>
            <w:tcW w:w="524" w:type="dxa"/>
            <w:vMerge w:val="restart"/>
            <w:tcBorders>
              <w:left w:val="single" w:color="auto" w:sz="4" w:space="0"/>
              <w:right w:val="single" w:color="auto" w:sz="4" w:space="0"/>
            </w:tcBorders>
            <w:vAlign w:val="center"/>
          </w:tcPr>
          <w:p w14:paraId="79A5A411">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815" w:type="dxa"/>
            <w:vMerge w:val="restart"/>
            <w:tcBorders>
              <w:left w:val="single" w:color="auto" w:sz="4" w:space="0"/>
              <w:right w:val="single" w:color="auto" w:sz="4" w:space="0"/>
            </w:tcBorders>
            <w:vAlign w:val="center"/>
          </w:tcPr>
          <w:p w14:paraId="290940E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运营方案</w:t>
            </w:r>
          </w:p>
        </w:tc>
        <w:tc>
          <w:tcPr>
            <w:tcW w:w="5980" w:type="dxa"/>
            <w:tcBorders>
              <w:top w:val="single" w:color="auto" w:sz="4" w:space="0"/>
              <w:left w:val="single" w:color="auto" w:sz="4" w:space="0"/>
              <w:bottom w:val="single" w:color="auto" w:sz="4" w:space="0"/>
              <w:right w:val="single" w:color="auto" w:sz="4" w:space="0"/>
            </w:tcBorders>
            <w:vAlign w:val="center"/>
          </w:tcPr>
          <w:p w14:paraId="34465998">
            <w:pPr>
              <w:keepNext w:val="0"/>
              <w:keepLines w:val="0"/>
              <w:pageBreakBefore w:val="0"/>
              <w:kinsoku/>
              <w:wordWrap/>
              <w:overflowPunct/>
              <w:topLinePunct w:val="0"/>
              <w:autoSpaceDE w:val="0"/>
              <w:autoSpaceDN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针对本项目综合运营方案合理性、可持续性</w:t>
            </w:r>
            <w:r>
              <w:rPr>
                <w:rFonts w:hint="eastAsia" w:ascii="宋体" w:hAnsi="宋体" w:cs="宋体"/>
                <w:color w:val="auto"/>
                <w:sz w:val="24"/>
                <w:highlight w:val="none"/>
                <w:lang w:val="en-US" w:eastAsia="zh-CN"/>
              </w:rPr>
              <w:t>综合评定</w:t>
            </w:r>
            <w:r>
              <w:rPr>
                <w:rFonts w:hint="eastAsia" w:ascii="宋体" w:hAnsi="宋体" w:eastAsia="宋体" w:cs="宋体"/>
                <w:color w:val="auto"/>
                <w:sz w:val="24"/>
                <w:szCs w:val="24"/>
                <w:highlight w:val="none"/>
              </w:rPr>
              <w:t>。</w:t>
            </w:r>
          </w:p>
          <w:p w14:paraId="79F49558">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思路清晰、方案合理、可持续性强的得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F6F636A">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分析到位、方案相对合理、有一定可持续性的得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E0190EA">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思路模糊、方案笼统、可持续性不足或不明确的得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40DCD0C0">
            <w:pPr>
              <w:keepNext w:val="0"/>
              <w:keepLines w:val="0"/>
              <w:pageBreakBefore w:val="0"/>
              <w:kinsoku/>
              <w:wordWrap/>
              <w:overflowPunct/>
              <w:topLinePunct w:val="0"/>
              <w:autoSpaceDE w:val="0"/>
              <w:autoSpaceDN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right w:val="single" w:color="auto" w:sz="4" w:space="0"/>
            </w:tcBorders>
            <w:vAlign w:val="center"/>
          </w:tcPr>
          <w:p w14:paraId="76B04213">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eastAsia="宋体" w:cs="宋体"/>
                <w:color w:val="auto"/>
                <w:sz w:val="24"/>
                <w:szCs w:val="24"/>
                <w:highlight w:val="none"/>
              </w:rPr>
              <w:t>分</w:t>
            </w:r>
          </w:p>
        </w:tc>
        <w:tc>
          <w:tcPr>
            <w:tcW w:w="815" w:type="dxa"/>
            <w:tcBorders>
              <w:top w:val="single" w:color="auto" w:sz="4" w:space="0"/>
              <w:left w:val="single" w:color="auto" w:sz="4" w:space="0"/>
              <w:right w:val="single" w:color="auto" w:sz="4" w:space="0"/>
            </w:tcBorders>
            <w:vAlign w:val="center"/>
          </w:tcPr>
          <w:p w14:paraId="7DD64D8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56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769" w:type="dxa"/>
            <w:vMerge w:val="continue"/>
            <w:tcBorders>
              <w:left w:val="single" w:color="auto" w:sz="4" w:space="0"/>
              <w:right w:val="single" w:color="auto" w:sz="4" w:space="0"/>
            </w:tcBorders>
            <w:vAlign w:val="center"/>
          </w:tcPr>
          <w:p w14:paraId="3947A174">
            <w:pPr>
              <w:widowControl/>
              <w:adjustRightInd/>
              <w:rPr>
                <w:rFonts w:ascii="宋体" w:hAnsi="宋体" w:cs="宋体"/>
                <w:color w:val="auto"/>
                <w:kern w:val="0"/>
                <w:sz w:val="24"/>
                <w:highlight w:val="none"/>
              </w:rPr>
            </w:pPr>
          </w:p>
        </w:tc>
        <w:tc>
          <w:tcPr>
            <w:tcW w:w="524" w:type="dxa"/>
            <w:vMerge w:val="continue"/>
            <w:tcBorders>
              <w:left w:val="single" w:color="auto" w:sz="4" w:space="0"/>
              <w:right w:val="single" w:color="auto" w:sz="4" w:space="0"/>
            </w:tcBorders>
            <w:vAlign w:val="center"/>
          </w:tcPr>
          <w:p w14:paraId="078D114C">
            <w:pPr>
              <w:spacing w:line="240" w:lineRule="auto"/>
              <w:jc w:val="center"/>
              <w:rPr>
                <w:rFonts w:hint="eastAsia" w:ascii="宋体" w:hAnsi="宋体" w:cs="宋体"/>
                <w:color w:val="auto"/>
                <w:sz w:val="24"/>
                <w:szCs w:val="24"/>
                <w:highlight w:val="none"/>
                <w:lang w:val="en-US" w:eastAsia="zh-CN"/>
              </w:rPr>
            </w:pPr>
          </w:p>
        </w:tc>
        <w:tc>
          <w:tcPr>
            <w:tcW w:w="815" w:type="dxa"/>
            <w:vMerge w:val="continue"/>
            <w:tcBorders>
              <w:left w:val="single" w:color="auto" w:sz="4" w:space="0"/>
              <w:right w:val="single" w:color="auto" w:sz="4" w:space="0"/>
            </w:tcBorders>
            <w:vAlign w:val="center"/>
          </w:tcPr>
          <w:p w14:paraId="725310FF">
            <w:pPr>
              <w:spacing w:line="240" w:lineRule="auto"/>
              <w:jc w:val="center"/>
              <w:rPr>
                <w:rFonts w:hint="eastAsia" w:ascii="宋体" w:hAnsi="宋体" w:eastAsia="宋体" w:cs="宋体"/>
                <w:color w:val="auto"/>
                <w:sz w:val="24"/>
                <w:szCs w:val="24"/>
                <w:highlight w:val="none"/>
              </w:rPr>
            </w:pPr>
          </w:p>
        </w:tc>
        <w:tc>
          <w:tcPr>
            <w:tcW w:w="5980" w:type="dxa"/>
            <w:tcBorders>
              <w:top w:val="single" w:color="auto" w:sz="4" w:space="0"/>
              <w:left w:val="single" w:color="auto" w:sz="4" w:space="0"/>
              <w:right w:val="single" w:color="auto" w:sz="4" w:space="0"/>
            </w:tcBorders>
            <w:vAlign w:val="center"/>
          </w:tcPr>
          <w:p w14:paraId="63515262">
            <w:pPr>
              <w:keepNext w:val="0"/>
              <w:keepLines w:val="0"/>
              <w:pageBreakBefore w:val="0"/>
              <w:kinsoku/>
              <w:wordWrap/>
              <w:overflowPunct/>
              <w:topLinePunct w:val="0"/>
              <w:autoSpaceDE w:val="0"/>
              <w:autoSpaceDN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w:t>
            </w:r>
            <w:r>
              <w:rPr>
                <w:rFonts w:hint="eastAsia" w:ascii="宋体" w:hAnsi="宋体" w:cs="宋体"/>
                <w:color w:val="auto"/>
                <w:sz w:val="24"/>
                <w:highlight w:val="none"/>
              </w:rPr>
              <w:t>响应人</w:t>
            </w:r>
            <w:r>
              <w:rPr>
                <w:rFonts w:hint="eastAsia" w:ascii="宋体" w:hAnsi="宋体" w:eastAsia="宋体" w:cs="宋体"/>
                <w:color w:val="auto"/>
                <w:sz w:val="24"/>
                <w:szCs w:val="24"/>
                <w:highlight w:val="none"/>
                <w:lang w:bidi="ar"/>
              </w:rPr>
              <w:t>提供的活动策划与运营推广方案，其中包含但不限于</w:t>
            </w:r>
            <w:r>
              <w:rPr>
                <w:rFonts w:hint="eastAsia" w:ascii="宋体" w:hAnsi="宋体" w:cs="宋体"/>
                <w:color w:val="auto"/>
                <w:sz w:val="24"/>
                <w:szCs w:val="24"/>
                <w:highlight w:val="none"/>
                <w:lang w:val="en-US" w:eastAsia="zh-CN" w:bidi="ar"/>
              </w:rPr>
              <w:t>健康知识推广</w:t>
            </w:r>
            <w:r>
              <w:rPr>
                <w:rFonts w:hint="eastAsia" w:ascii="宋体" w:hAnsi="宋体" w:eastAsia="宋体" w:cs="宋体"/>
                <w:color w:val="auto"/>
                <w:sz w:val="24"/>
                <w:szCs w:val="24"/>
                <w:highlight w:val="none"/>
                <w:lang w:bidi="ar"/>
              </w:rPr>
              <w:t>、社群社团活动、</w:t>
            </w:r>
            <w:r>
              <w:rPr>
                <w:rFonts w:hint="eastAsia" w:ascii="宋体" w:hAnsi="宋体" w:eastAsia="宋体" w:cs="宋体"/>
                <w:color w:val="auto"/>
                <w:sz w:val="24"/>
                <w:szCs w:val="24"/>
                <w:highlight w:val="none"/>
                <w:lang w:val="en-US" w:eastAsia="zh-CN" w:bidi="ar"/>
              </w:rPr>
              <w:t>公益类课程</w:t>
            </w:r>
            <w:r>
              <w:rPr>
                <w:rFonts w:hint="eastAsia" w:ascii="宋体" w:hAnsi="宋体" w:eastAsia="宋体" w:cs="宋体"/>
                <w:color w:val="auto"/>
                <w:sz w:val="24"/>
                <w:szCs w:val="24"/>
                <w:highlight w:val="none"/>
                <w:lang w:bidi="ar"/>
              </w:rPr>
              <w:t>、社区商业活动等</w:t>
            </w:r>
            <w:r>
              <w:rPr>
                <w:rFonts w:hint="eastAsia" w:ascii="宋体" w:hAnsi="宋体" w:cs="宋体"/>
                <w:color w:val="auto"/>
                <w:sz w:val="24"/>
                <w:highlight w:val="none"/>
                <w:lang w:val="en-US" w:eastAsia="zh-CN"/>
              </w:rPr>
              <w:t>综合评定</w:t>
            </w:r>
            <w:r>
              <w:rPr>
                <w:rFonts w:hint="eastAsia" w:ascii="宋体" w:hAnsi="宋体" w:eastAsia="宋体" w:cs="宋体"/>
                <w:color w:val="auto"/>
                <w:sz w:val="24"/>
                <w:szCs w:val="24"/>
                <w:highlight w:val="none"/>
              </w:rPr>
              <w:t>。</w:t>
            </w:r>
          </w:p>
          <w:p w14:paraId="11E01956">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思路清晰、方案合理、可操作性强的得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B79696A">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分析到位、方案具有合理性和可行性的得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6F132F8">
            <w:pPr>
              <w:keepNext w:val="0"/>
              <w:keepLines w:val="0"/>
              <w:pageBreakBefore w:val="0"/>
              <w:kinsoku/>
              <w:wordWrap/>
              <w:overflowPunct/>
              <w:topLinePunct w:val="0"/>
              <w:autoSpaceDE w:val="0"/>
              <w:autoSpaceDN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思路模糊、方案笼统、可行性不足的得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491FE04">
            <w:pPr>
              <w:keepNext w:val="0"/>
              <w:keepLines w:val="0"/>
              <w:pageBreakBefore w:val="0"/>
              <w:kinsoku/>
              <w:wordWrap/>
              <w:overflowPunct/>
              <w:topLinePunct w:val="0"/>
              <w:autoSpaceDE w:val="0"/>
              <w:autoSpaceDN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right w:val="single" w:color="auto" w:sz="4" w:space="0"/>
            </w:tcBorders>
            <w:vAlign w:val="center"/>
          </w:tcPr>
          <w:p w14:paraId="5F31E50F">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1C12305F">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2DF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9" w:type="dxa"/>
            <w:vMerge w:val="continue"/>
            <w:tcBorders>
              <w:left w:val="single" w:color="auto" w:sz="4" w:space="0"/>
              <w:right w:val="single" w:color="auto" w:sz="4" w:space="0"/>
            </w:tcBorders>
            <w:vAlign w:val="center"/>
          </w:tcPr>
          <w:p w14:paraId="46C9B240">
            <w:pPr>
              <w:widowControl/>
              <w:adjustRightInd/>
              <w:rPr>
                <w:rFonts w:ascii="宋体" w:hAnsi="宋体" w:cs="宋体"/>
                <w:color w:val="auto"/>
                <w:kern w:val="0"/>
                <w:sz w:val="24"/>
                <w:highlight w:val="none"/>
              </w:rPr>
            </w:pPr>
          </w:p>
        </w:tc>
        <w:tc>
          <w:tcPr>
            <w:tcW w:w="524" w:type="dxa"/>
            <w:vMerge w:val="restart"/>
            <w:tcBorders>
              <w:left w:val="single" w:color="auto" w:sz="4" w:space="0"/>
              <w:right w:val="single" w:color="auto" w:sz="4" w:space="0"/>
            </w:tcBorders>
            <w:vAlign w:val="center"/>
          </w:tcPr>
          <w:p w14:paraId="6BD55A55">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15" w:type="dxa"/>
            <w:vMerge w:val="restart"/>
            <w:tcBorders>
              <w:left w:val="single" w:color="auto" w:sz="4" w:space="0"/>
              <w:right w:val="single" w:color="auto" w:sz="4" w:space="0"/>
            </w:tcBorders>
            <w:vAlign w:val="center"/>
          </w:tcPr>
          <w:p w14:paraId="1F68109C">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安全文明施工</w:t>
            </w:r>
          </w:p>
        </w:tc>
        <w:tc>
          <w:tcPr>
            <w:tcW w:w="5980" w:type="dxa"/>
            <w:tcBorders>
              <w:top w:val="single" w:color="auto" w:sz="4" w:space="0"/>
              <w:left w:val="single" w:color="auto" w:sz="4" w:space="0"/>
              <w:bottom w:val="single" w:color="auto" w:sz="4" w:space="0"/>
              <w:right w:val="single" w:color="auto" w:sz="4" w:space="0"/>
            </w:tcBorders>
            <w:vAlign w:val="center"/>
          </w:tcPr>
          <w:p w14:paraId="02F02E9C">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根据</w:t>
            </w:r>
            <w:r>
              <w:rPr>
                <w:rFonts w:hint="eastAsia" w:ascii="宋体" w:hAnsi="宋体" w:eastAsia="宋体" w:cs="宋体"/>
                <w:color w:val="000000"/>
                <w:kern w:val="0"/>
                <w:sz w:val="24"/>
                <w:lang w:eastAsia="zh-CN"/>
              </w:rPr>
              <w:t>响应人施工</w:t>
            </w:r>
            <w:r>
              <w:rPr>
                <w:rFonts w:hint="eastAsia" w:ascii="宋体" w:hAnsi="宋体" w:eastAsia="宋体" w:cs="宋体"/>
                <w:color w:val="000000"/>
                <w:kern w:val="0"/>
                <w:sz w:val="24"/>
                <w:lang w:val="en-US" w:eastAsia="zh-CN"/>
              </w:rPr>
              <w:t>方案</w:t>
            </w:r>
            <w:r>
              <w:rPr>
                <w:rFonts w:hint="eastAsia" w:ascii="宋体" w:hAnsi="宋体" w:eastAsia="宋体" w:cs="宋体"/>
                <w:color w:val="000000"/>
                <w:kern w:val="0"/>
                <w:sz w:val="24"/>
                <w:lang w:eastAsia="zh-CN"/>
              </w:rPr>
              <w:t>是否合理可行（</w:t>
            </w:r>
            <w:r>
              <w:rPr>
                <w:rFonts w:hint="eastAsia" w:ascii="宋体" w:hAnsi="宋体" w:eastAsia="宋体" w:cs="宋体"/>
                <w:color w:val="000000"/>
                <w:kern w:val="0"/>
                <w:sz w:val="24"/>
                <w:lang w:val="en-US" w:eastAsia="zh-CN"/>
              </w:rPr>
              <w:t>包括但不限于：施工质量保证措施、施工进度保证措施、原材料质量保证措施等</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，综合评定打分。</w:t>
            </w:r>
          </w:p>
          <w:p w14:paraId="418CFF98">
            <w:pPr>
              <w:keepNext w:val="0"/>
              <w:keepLines w:val="0"/>
              <w:pageBreakBefore w:val="0"/>
              <w:kinsoku/>
              <w:wordWrap/>
              <w:overflowPunct/>
              <w:topLinePunct w:val="0"/>
              <w:bidi w:val="0"/>
              <w:spacing w:line="240" w:lineRule="auto"/>
              <w:rPr>
                <w:rFonts w:hint="eastAsia" w:ascii="宋体" w:hAnsi="宋体" w:eastAsia="宋体" w:cs="宋体"/>
                <w:sz w:val="24"/>
                <w:szCs w:val="24"/>
                <w:lang w:eastAsia="zh-CN" w:bidi="ar"/>
              </w:rPr>
            </w:pPr>
            <w:r>
              <w:rPr>
                <w:rFonts w:hint="eastAsia" w:ascii="宋体" w:hAnsi="宋体" w:eastAsia="宋体" w:cs="宋体"/>
                <w:sz w:val="24"/>
                <w:szCs w:val="24"/>
                <w:lang w:bidi="ar"/>
              </w:rPr>
              <w:t>思路清晰、方案合理、可操作性强的得</w:t>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266BD841">
            <w:pPr>
              <w:keepNext w:val="0"/>
              <w:keepLines w:val="0"/>
              <w:pageBreakBefore w:val="0"/>
              <w:kinsoku/>
              <w:wordWrap/>
              <w:overflowPunct/>
              <w:topLinePunct w:val="0"/>
              <w:bidi w:val="0"/>
              <w:spacing w:line="240" w:lineRule="auto"/>
              <w:rPr>
                <w:rFonts w:hint="eastAsia" w:ascii="宋体" w:hAnsi="宋体" w:eastAsia="宋体" w:cs="宋体"/>
                <w:sz w:val="24"/>
                <w:szCs w:val="24"/>
                <w:lang w:eastAsia="zh-CN" w:bidi="ar"/>
              </w:rPr>
            </w:pPr>
            <w:r>
              <w:rPr>
                <w:rFonts w:hint="eastAsia" w:ascii="宋体" w:hAnsi="宋体" w:eastAsia="宋体" w:cs="宋体"/>
                <w:sz w:val="24"/>
                <w:szCs w:val="24"/>
                <w:lang w:bidi="ar"/>
              </w:rPr>
              <w:t>分析到位、方案具有合理性和可行性的得</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656088FE">
            <w:pPr>
              <w:keepNext w:val="0"/>
              <w:keepLines w:val="0"/>
              <w:pageBreakBefore w:val="0"/>
              <w:kinsoku/>
              <w:wordWrap/>
              <w:overflowPunct/>
              <w:topLinePunct w:val="0"/>
              <w:bidi w:val="0"/>
              <w:spacing w:line="240" w:lineRule="auto"/>
              <w:rPr>
                <w:rFonts w:hint="eastAsia" w:ascii="宋体" w:hAnsi="宋体" w:eastAsia="宋体" w:cs="宋体"/>
                <w:sz w:val="24"/>
                <w:szCs w:val="24"/>
                <w:lang w:eastAsia="zh-CN" w:bidi="ar"/>
              </w:rPr>
            </w:pPr>
            <w:r>
              <w:rPr>
                <w:rFonts w:hint="eastAsia" w:ascii="宋体" w:hAnsi="宋体" w:eastAsia="宋体" w:cs="宋体"/>
                <w:sz w:val="24"/>
                <w:szCs w:val="24"/>
                <w:lang w:bidi="ar"/>
              </w:rPr>
              <w:t>思路模糊、方案笼统、可行性不足的得</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48595E13">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sz w:val="24"/>
                <w:szCs w:val="24"/>
                <w:lang w:bidi="ar"/>
              </w:rPr>
              <w:t>不提供的</w:t>
            </w:r>
            <w:r>
              <w:rPr>
                <w:rFonts w:hint="eastAsia" w:ascii="宋体" w:hAnsi="宋体" w:eastAsia="宋体" w:cs="宋体"/>
                <w:sz w:val="24"/>
                <w:szCs w:val="24"/>
                <w:lang w:val="en-US" w:eastAsia="zh-CN" w:bidi="ar"/>
              </w:rPr>
              <w:t>不得分。</w:t>
            </w:r>
          </w:p>
        </w:tc>
        <w:tc>
          <w:tcPr>
            <w:tcW w:w="972" w:type="dxa"/>
            <w:tcBorders>
              <w:top w:val="single" w:color="auto" w:sz="4" w:space="0"/>
              <w:left w:val="single" w:color="auto" w:sz="4" w:space="0"/>
              <w:bottom w:val="single" w:color="auto" w:sz="4" w:space="0"/>
              <w:right w:val="single" w:color="auto" w:sz="4" w:space="0"/>
            </w:tcBorders>
            <w:vAlign w:val="center"/>
          </w:tcPr>
          <w:p w14:paraId="43C2548E">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3BA7809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F1E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9" w:type="dxa"/>
            <w:vMerge w:val="continue"/>
            <w:tcBorders>
              <w:left w:val="single" w:color="auto" w:sz="4" w:space="0"/>
              <w:right w:val="single" w:color="auto" w:sz="4" w:space="0"/>
            </w:tcBorders>
            <w:vAlign w:val="center"/>
          </w:tcPr>
          <w:p w14:paraId="2AB80A49">
            <w:pPr>
              <w:spacing w:line="240" w:lineRule="auto"/>
              <w:jc w:val="center"/>
            </w:pPr>
          </w:p>
        </w:tc>
        <w:tc>
          <w:tcPr>
            <w:tcW w:w="524" w:type="dxa"/>
            <w:vMerge w:val="continue"/>
            <w:tcBorders>
              <w:left w:val="single" w:color="auto" w:sz="4" w:space="0"/>
              <w:right w:val="single" w:color="auto" w:sz="4" w:space="0"/>
            </w:tcBorders>
            <w:vAlign w:val="center"/>
          </w:tcPr>
          <w:p w14:paraId="38FC2450">
            <w:pPr>
              <w:spacing w:line="240" w:lineRule="auto"/>
              <w:jc w:val="center"/>
            </w:pPr>
          </w:p>
        </w:tc>
        <w:tc>
          <w:tcPr>
            <w:tcW w:w="815" w:type="dxa"/>
            <w:vMerge w:val="continue"/>
            <w:tcBorders>
              <w:left w:val="single" w:color="auto" w:sz="4" w:space="0"/>
              <w:right w:val="single" w:color="auto" w:sz="4" w:space="0"/>
            </w:tcBorders>
            <w:vAlign w:val="center"/>
          </w:tcPr>
          <w:p w14:paraId="5FED9AC2">
            <w:pPr>
              <w:spacing w:line="240" w:lineRule="auto"/>
              <w:jc w:val="center"/>
            </w:pPr>
          </w:p>
        </w:tc>
        <w:tc>
          <w:tcPr>
            <w:tcW w:w="5980" w:type="dxa"/>
            <w:tcBorders>
              <w:top w:val="single" w:color="auto" w:sz="4" w:space="0"/>
              <w:left w:val="single" w:color="auto" w:sz="4" w:space="0"/>
              <w:bottom w:val="single" w:color="auto" w:sz="4" w:space="0"/>
              <w:right w:val="single" w:color="auto" w:sz="4" w:space="0"/>
            </w:tcBorders>
            <w:vAlign w:val="center"/>
          </w:tcPr>
          <w:p w14:paraId="47E9BADE">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根据</w:t>
            </w:r>
            <w:r>
              <w:rPr>
                <w:rFonts w:hint="eastAsia" w:ascii="宋体" w:hAnsi="宋体" w:eastAsia="宋体" w:cs="宋体"/>
                <w:color w:val="000000"/>
                <w:kern w:val="0"/>
                <w:sz w:val="24"/>
                <w:lang w:eastAsia="zh-CN"/>
              </w:rPr>
              <w:t>响应人安全文明施工保障措施是否合理可行</w:t>
            </w:r>
            <w:r>
              <w:rPr>
                <w:rFonts w:hint="eastAsia" w:ascii="宋体" w:hAnsi="宋体" w:eastAsia="宋体" w:cs="宋体"/>
                <w:color w:val="000000"/>
                <w:kern w:val="0"/>
                <w:sz w:val="24"/>
                <w:lang w:val="en-US" w:eastAsia="zh-CN"/>
              </w:rPr>
              <w:t>，综合评定打分</w:t>
            </w:r>
          </w:p>
          <w:p w14:paraId="7903465B">
            <w:pPr>
              <w:widowControl/>
              <w:adjustRightInd/>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思路清晰、方案合理、可操作性强的得</w:t>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63A8F6DE">
            <w:pPr>
              <w:widowControl/>
              <w:adjustRightInd/>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分析到位、方案具有合理性和可行性的得</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3CFFE06A">
            <w:pPr>
              <w:widowControl/>
              <w:adjustRightInd/>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思路模糊、方案笼统、可行性不足的得</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p w14:paraId="047EFD69">
            <w:pPr>
              <w:widowControl/>
              <w:adjustRightInd/>
              <w:jc w:val="left"/>
              <w:rPr>
                <w:rFonts w:hint="eastAsia" w:ascii="宋体" w:hAnsi="宋体" w:eastAsia="宋体" w:cs="宋体"/>
                <w:color w:val="auto"/>
                <w:sz w:val="24"/>
                <w:szCs w:val="24"/>
                <w:highlight w:val="none"/>
              </w:rPr>
            </w:pPr>
            <w:r>
              <w:rPr>
                <w:rFonts w:hint="eastAsia" w:ascii="宋体" w:hAnsi="宋体" w:eastAsia="宋体" w:cs="宋体"/>
                <w:sz w:val="24"/>
                <w:szCs w:val="24"/>
                <w:lang w:bidi="ar"/>
              </w:rPr>
              <w:t>不提供的</w:t>
            </w:r>
            <w:r>
              <w:rPr>
                <w:rFonts w:hint="eastAsia" w:ascii="宋体" w:hAnsi="宋体" w:eastAsia="宋体" w:cs="宋体"/>
                <w:sz w:val="24"/>
                <w:szCs w:val="24"/>
                <w:lang w:val="en-US" w:eastAsia="zh-CN" w:bidi="ar"/>
              </w:rPr>
              <w:t>不得分。</w:t>
            </w:r>
          </w:p>
        </w:tc>
        <w:tc>
          <w:tcPr>
            <w:tcW w:w="972" w:type="dxa"/>
            <w:tcBorders>
              <w:top w:val="single" w:color="auto" w:sz="4" w:space="0"/>
              <w:left w:val="single" w:color="auto" w:sz="4" w:space="0"/>
              <w:bottom w:val="single" w:color="auto" w:sz="4" w:space="0"/>
              <w:right w:val="single" w:color="auto" w:sz="4" w:space="0"/>
            </w:tcBorders>
            <w:vAlign w:val="center"/>
          </w:tcPr>
          <w:p w14:paraId="5D850000">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3EC7D75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79E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69" w:type="dxa"/>
            <w:vMerge w:val="continue"/>
            <w:tcBorders>
              <w:left w:val="single" w:color="auto" w:sz="4" w:space="0"/>
              <w:right w:val="single" w:color="auto" w:sz="4" w:space="0"/>
            </w:tcBorders>
            <w:vAlign w:val="center"/>
          </w:tcPr>
          <w:p w14:paraId="7D103F9C">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70F96265">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15" w:type="dxa"/>
            <w:tcBorders>
              <w:left w:val="single" w:color="auto" w:sz="4" w:space="0"/>
              <w:right w:val="single" w:color="auto" w:sz="4" w:space="0"/>
            </w:tcBorders>
            <w:vAlign w:val="center"/>
          </w:tcPr>
          <w:p w14:paraId="6F21E3B8">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数字平台</w:t>
            </w:r>
          </w:p>
        </w:tc>
        <w:tc>
          <w:tcPr>
            <w:tcW w:w="5980" w:type="dxa"/>
            <w:tcBorders>
              <w:top w:val="single" w:color="auto" w:sz="4" w:space="0"/>
              <w:left w:val="single" w:color="auto" w:sz="4" w:space="0"/>
              <w:bottom w:val="single" w:color="auto" w:sz="4" w:space="0"/>
              <w:right w:val="single" w:color="auto" w:sz="4" w:space="0"/>
            </w:tcBorders>
            <w:vAlign w:val="center"/>
          </w:tcPr>
          <w:p w14:paraId="35E1E164">
            <w:pPr>
              <w:widowControl/>
              <w:adjustRightInd/>
              <w:jc w:val="left"/>
              <w:rPr>
                <w:rFonts w:hint="eastAsia" w:ascii="宋体" w:hAnsi="宋体" w:cs="宋体"/>
                <w:sz w:val="24"/>
                <w:szCs w:val="24"/>
                <w:lang w:val="en-US" w:eastAsia="zh-CN" w:bidi="ar"/>
              </w:rPr>
            </w:pPr>
            <w:r>
              <w:rPr>
                <w:rFonts w:hint="eastAsia" w:ascii="宋体" w:hAnsi="宋体" w:cs="宋体"/>
                <w:sz w:val="24"/>
                <w:szCs w:val="24"/>
                <w:lang w:val="en-US" w:eastAsia="zh-CN" w:bidi="ar"/>
              </w:rPr>
              <w:t>响应单位需</w:t>
            </w:r>
            <w:r>
              <w:rPr>
                <w:rFonts w:hint="eastAsia" w:ascii="宋体" w:hAnsi="宋体" w:eastAsia="宋体" w:cs="宋体"/>
                <w:sz w:val="24"/>
                <w:szCs w:val="24"/>
                <w:lang w:val="en-US" w:eastAsia="zh-CN" w:bidi="ar"/>
              </w:rPr>
              <w:t>配备数字化健身平台，并且为会员建立健康档案</w:t>
            </w:r>
            <w:r>
              <w:rPr>
                <w:rFonts w:hint="eastAsia" w:ascii="宋体" w:hAnsi="宋体" w:cs="宋体"/>
                <w:sz w:val="24"/>
                <w:szCs w:val="24"/>
                <w:lang w:val="en-US" w:eastAsia="zh-CN" w:bidi="ar"/>
              </w:rPr>
              <w:t>，根据响应人现有数字化管理平台的完整度及后续功能开发的可行性综合评定打分。（提供现有平台运行截图、讲解及后续拟开发功能的详细介绍）</w:t>
            </w:r>
          </w:p>
          <w:p w14:paraId="70A084F7">
            <w:pPr>
              <w:widowControl/>
              <w:adjustRightInd/>
              <w:jc w:val="left"/>
              <w:rPr>
                <w:rFonts w:hint="eastAsia" w:ascii="宋体" w:hAnsi="宋体" w:cs="宋体"/>
                <w:sz w:val="24"/>
                <w:szCs w:val="24"/>
                <w:lang w:val="en-US" w:eastAsia="zh-CN" w:bidi="ar"/>
              </w:rPr>
            </w:pPr>
            <w:r>
              <w:rPr>
                <w:rFonts w:hint="eastAsia" w:ascii="宋体" w:hAnsi="宋体" w:cs="宋体"/>
                <w:sz w:val="24"/>
                <w:szCs w:val="24"/>
                <w:lang w:val="en-US" w:eastAsia="zh-CN" w:bidi="ar"/>
              </w:rPr>
              <w:t>平台功能完整、可行性高的得6分；</w:t>
            </w:r>
          </w:p>
          <w:p w14:paraId="7482185B">
            <w:pPr>
              <w:widowControl/>
              <w:adjustRightInd/>
              <w:jc w:val="left"/>
              <w:rPr>
                <w:rFonts w:hint="eastAsia" w:ascii="宋体" w:hAnsi="宋体" w:cs="宋体"/>
                <w:sz w:val="24"/>
                <w:szCs w:val="24"/>
                <w:lang w:val="en-US" w:eastAsia="zh-CN" w:bidi="ar"/>
              </w:rPr>
            </w:pPr>
            <w:r>
              <w:rPr>
                <w:rFonts w:hint="eastAsia" w:ascii="宋体" w:hAnsi="宋体" w:cs="宋体"/>
                <w:sz w:val="24"/>
                <w:szCs w:val="24"/>
                <w:lang w:val="en-US" w:eastAsia="zh-CN" w:bidi="ar"/>
              </w:rPr>
              <w:t>平台功能一般，可行性一般的得4分；</w:t>
            </w:r>
          </w:p>
          <w:p w14:paraId="23A2FEFA">
            <w:pPr>
              <w:widowControl/>
              <w:adjustRightInd/>
              <w:jc w:val="left"/>
              <w:rPr>
                <w:rFonts w:hint="default" w:ascii="宋体" w:hAnsi="宋体" w:cs="宋体"/>
                <w:sz w:val="24"/>
                <w:szCs w:val="24"/>
                <w:lang w:val="en-US" w:eastAsia="zh-CN" w:bidi="ar"/>
              </w:rPr>
            </w:pPr>
            <w:r>
              <w:rPr>
                <w:rFonts w:hint="default" w:ascii="宋体" w:hAnsi="宋体" w:cs="宋体"/>
                <w:sz w:val="24"/>
                <w:szCs w:val="24"/>
                <w:lang w:val="en-US" w:eastAsia="zh-CN" w:bidi="ar"/>
              </w:rPr>
              <w:t>平台功能较</w:t>
            </w:r>
            <w:r>
              <w:rPr>
                <w:rFonts w:hint="eastAsia" w:ascii="宋体" w:hAnsi="宋体" w:cs="宋体"/>
                <w:sz w:val="24"/>
                <w:szCs w:val="24"/>
                <w:lang w:val="en-US" w:eastAsia="zh-CN" w:bidi="ar"/>
              </w:rPr>
              <w:t>差</w:t>
            </w:r>
            <w:r>
              <w:rPr>
                <w:rFonts w:hint="default" w:ascii="宋体" w:hAnsi="宋体" w:cs="宋体"/>
                <w:sz w:val="24"/>
                <w:szCs w:val="24"/>
                <w:lang w:val="en-US" w:eastAsia="zh-CN" w:bidi="ar"/>
              </w:rPr>
              <w:t>，可行性较</w:t>
            </w:r>
            <w:r>
              <w:rPr>
                <w:rFonts w:hint="eastAsia" w:ascii="宋体" w:hAnsi="宋体" w:cs="宋体"/>
                <w:sz w:val="24"/>
                <w:szCs w:val="24"/>
                <w:lang w:val="en-US" w:eastAsia="zh-CN" w:bidi="ar"/>
              </w:rPr>
              <w:t>差</w:t>
            </w:r>
            <w:r>
              <w:rPr>
                <w:rFonts w:hint="default" w:ascii="宋体" w:hAnsi="宋体" w:cs="宋体"/>
                <w:sz w:val="24"/>
                <w:szCs w:val="24"/>
                <w:lang w:val="en-US" w:eastAsia="zh-CN" w:bidi="ar"/>
              </w:rPr>
              <w:t>的得</w:t>
            </w:r>
            <w:r>
              <w:rPr>
                <w:rFonts w:hint="eastAsia" w:ascii="宋体" w:hAnsi="宋体" w:cs="宋体"/>
                <w:sz w:val="24"/>
                <w:szCs w:val="24"/>
                <w:lang w:val="en-US" w:eastAsia="zh-CN" w:bidi="ar"/>
              </w:rPr>
              <w:t>2</w:t>
            </w:r>
            <w:r>
              <w:rPr>
                <w:rFonts w:hint="default" w:ascii="宋体" w:hAnsi="宋体" w:cs="宋体"/>
                <w:sz w:val="24"/>
                <w:szCs w:val="24"/>
                <w:lang w:val="en-US" w:eastAsia="zh-CN" w:bidi="ar"/>
              </w:rPr>
              <w:t>分；</w:t>
            </w:r>
          </w:p>
          <w:p w14:paraId="6F6576FF">
            <w:pPr>
              <w:widowControl/>
              <w:adjustRightInd/>
              <w:jc w:val="left"/>
              <w:rPr>
                <w:rFonts w:hint="default" w:ascii="宋体" w:hAnsi="宋体" w:cs="宋体"/>
                <w:sz w:val="24"/>
                <w:szCs w:val="24"/>
                <w:lang w:val="en-US" w:eastAsia="zh-CN" w:bidi="ar"/>
              </w:rPr>
            </w:pPr>
            <w:r>
              <w:rPr>
                <w:rFonts w:hint="default" w:ascii="宋体" w:hAnsi="宋体" w:cs="宋体"/>
                <w:sz w:val="24"/>
                <w:szCs w:val="24"/>
                <w:lang w:val="en-US" w:eastAsia="zh-CN" w:bidi="ar"/>
              </w:rPr>
              <w:t>不提供的不得分。</w:t>
            </w:r>
          </w:p>
        </w:tc>
        <w:tc>
          <w:tcPr>
            <w:tcW w:w="972" w:type="dxa"/>
            <w:tcBorders>
              <w:top w:val="single" w:color="auto" w:sz="4" w:space="0"/>
              <w:left w:val="single" w:color="auto" w:sz="4" w:space="0"/>
              <w:bottom w:val="single" w:color="auto" w:sz="4" w:space="0"/>
              <w:right w:val="single" w:color="auto" w:sz="4" w:space="0"/>
            </w:tcBorders>
            <w:vAlign w:val="center"/>
          </w:tcPr>
          <w:p w14:paraId="15C2C38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60C4BFE1">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r>
      <w:tr w14:paraId="1CA0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69" w:type="dxa"/>
            <w:vMerge w:val="continue"/>
            <w:tcBorders>
              <w:left w:val="single" w:color="auto" w:sz="4" w:space="0"/>
              <w:right w:val="single" w:color="auto" w:sz="4" w:space="0"/>
            </w:tcBorders>
            <w:vAlign w:val="center"/>
          </w:tcPr>
          <w:p w14:paraId="4CE55E2F">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024C3A1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815" w:type="dxa"/>
            <w:tcBorders>
              <w:left w:val="single" w:color="auto" w:sz="4" w:space="0"/>
              <w:right w:val="single" w:color="auto" w:sz="4" w:space="0"/>
            </w:tcBorders>
            <w:vAlign w:val="center"/>
          </w:tcPr>
          <w:p w14:paraId="115D781D">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拟派项目团队</w:t>
            </w:r>
          </w:p>
        </w:tc>
        <w:tc>
          <w:tcPr>
            <w:tcW w:w="5980" w:type="dxa"/>
            <w:tcBorders>
              <w:top w:val="single" w:color="auto" w:sz="4" w:space="0"/>
              <w:left w:val="single" w:color="auto" w:sz="4" w:space="0"/>
              <w:bottom w:val="single" w:color="auto" w:sz="4" w:space="0"/>
              <w:right w:val="single" w:color="auto" w:sz="4" w:space="0"/>
            </w:tcBorders>
            <w:vAlign w:val="center"/>
          </w:tcPr>
          <w:p w14:paraId="4D3933C6">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拟派项目班子人员的管理组织框架是否完善、分工安排是否合理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人员是否专业等</w:t>
            </w:r>
            <w:r>
              <w:rPr>
                <w:rFonts w:hint="eastAsia" w:ascii="宋体" w:hAnsi="宋体" w:eastAsia="宋体" w:cs="宋体"/>
                <w:color w:val="auto"/>
                <w:sz w:val="24"/>
                <w:szCs w:val="24"/>
                <w:highlight w:val="none"/>
              </w:rPr>
              <w:t>综合评定。</w:t>
            </w:r>
          </w:p>
          <w:p w14:paraId="4DECD8E5">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人员配备完善、分工明确的得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6266DDA">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人员配备、分工基本符合的得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90D835D">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人员配备</w:t>
            </w:r>
            <w:r>
              <w:rPr>
                <w:rFonts w:hint="eastAsia" w:ascii="宋体" w:hAnsi="宋体" w:cs="宋体"/>
                <w:color w:val="auto"/>
                <w:sz w:val="24"/>
                <w:szCs w:val="24"/>
                <w:highlight w:val="none"/>
                <w:lang w:val="en-US" w:eastAsia="zh-CN"/>
              </w:rPr>
              <w:t>不完善</w:t>
            </w:r>
            <w:r>
              <w:rPr>
                <w:rFonts w:hint="eastAsia" w:ascii="宋体" w:hAnsi="宋体" w:eastAsia="宋体" w:cs="宋体"/>
                <w:color w:val="auto"/>
                <w:sz w:val="24"/>
                <w:szCs w:val="24"/>
                <w:highlight w:val="none"/>
              </w:rPr>
              <w:t>、分工</w:t>
            </w:r>
            <w:r>
              <w:rPr>
                <w:rFonts w:hint="eastAsia" w:ascii="宋体" w:hAnsi="宋体" w:cs="宋体"/>
                <w:color w:val="auto"/>
                <w:sz w:val="24"/>
                <w:szCs w:val="24"/>
                <w:highlight w:val="none"/>
                <w:lang w:val="en-US" w:eastAsia="zh-CN"/>
              </w:rPr>
              <w:t>不明的确</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3B5E573E">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14:paraId="4CA8334C">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6A8F58B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333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9" w:type="dxa"/>
            <w:vMerge w:val="continue"/>
            <w:tcBorders>
              <w:left w:val="single" w:color="auto" w:sz="4" w:space="0"/>
              <w:right w:val="single" w:color="auto" w:sz="4" w:space="0"/>
            </w:tcBorders>
            <w:vAlign w:val="center"/>
          </w:tcPr>
          <w:p w14:paraId="347A8435">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772EBF0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815" w:type="dxa"/>
            <w:tcBorders>
              <w:left w:val="single" w:color="auto" w:sz="4" w:space="0"/>
              <w:right w:val="single" w:color="auto" w:sz="4" w:space="0"/>
            </w:tcBorders>
            <w:vAlign w:val="center"/>
          </w:tcPr>
          <w:p w14:paraId="236F98F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c>
          <w:tcPr>
            <w:tcW w:w="5980" w:type="dxa"/>
            <w:tcBorders>
              <w:top w:val="single" w:color="auto" w:sz="4" w:space="0"/>
              <w:left w:val="single" w:color="auto" w:sz="4" w:space="0"/>
              <w:bottom w:val="single" w:color="auto" w:sz="4" w:space="0"/>
              <w:right w:val="single" w:color="auto" w:sz="4" w:space="0"/>
            </w:tcBorders>
            <w:vAlign w:val="center"/>
          </w:tcPr>
          <w:p w14:paraId="1A01384D">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根据服务质量保证制度建设情况的完善性、保障性、可行性等综合评定。</w:t>
            </w:r>
          </w:p>
          <w:p w14:paraId="4038819A">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保证制度完善性、保障性、可行性较强的得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E111109">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基本满足的得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0EBFF2A">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不完善、无保障性、可行性</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3100535E">
            <w:pPr>
              <w:keepNext w:val="0"/>
              <w:keepLines w:val="0"/>
              <w:pageBreakBefore w:val="0"/>
              <w:kinsoku/>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14:paraId="48D9CAF0">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59BBB9E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3A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9" w:type="dxa"/>
            <w:vMerge w:val="continue"/>
            <w:tcBorders>
              <w:left w:val="single" w:color="auto" w:sz="4" w:space="0"/>
              <w:right w:val="single" w:color="auto" w:sz="4" w:space="0"/>
            </w:tcBorders>
            <w:vAlign w:val="center"/>
          </w:tcPr>
          <w:p w14:paraId="2A92BBFC">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5FE0963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15" w:type="dxa"/>
            <w:tcBorders>
              <w:left w:val="single" w:color="auto" w:sz="4" w:space="0"/>
              <w:right w:val="single" w:color="auto" w:sz="4" w:space="0"/>
            </w:tcBorders>
            <w:vAlign w:val="center"/>
          </w:tcPr>
          <w:p w14:paraId="4D63A0C0">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应急方案</w:t>
            </w:r>
          </w:p>
        </w:tc>
        <w:tc>
          <w:tcPr>
            <w:tcW w:w="5980" w:type="dxa"/>
            <w:tcBorders>
              <w:top w:val="single" w:color="auto" w:sz="4" w:space="0"/>
              <w:left w:val="single" w:color="auto" w:sz="4" w:space="0"/>
              <w:bottom w:val="single" w:color="auto" w:sz="4" w:space="0"/>
              <w:right w:val="single" w:color="auto" w:sz="4" w:space="0"/>
            </w:tcBorders>
            <w:vAlign w:val="center"/>
          </w:tcPr>
          <w:p w14:paraId="6FBB1431">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突发应急处置方案</w:t>
            </w:r>
            <w:r>
              <w:rPr>
                <w:rFonts w:hint="eastAsia" w:ascii="宋体" w:hAnsi="宋体" w:eastAsia="宋体" w:cs="宋体"/>
                <w:color w:val="auto"/>
                <w:sz w:val="24"/>
                <w:szCs w:val="24"/>
                <w:highlight w:val="none"/>
              </w:rPr>
              <w:t>的完善性、保障性、可行性等综合评定。</w:t>
            </w:r>
          </w:p>
          <w:p w14:paraId="73FD4EB4">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保证制度完善性、保障性、可行性较强的得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3329C824">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基本满足的得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6E0C6386">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不完善、无保障性、可行性差的得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3CBC7AF">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14:paraId="1EAC80B1">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4D8393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010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9" w:type="dxa"/>
            <w:vMerge w:val="continue"/>
            <w:tcBorders>
              <w:left w:val="single" w:color="auto" w:sz="4" w:space="0"/>
              <w:right w:val="single" w:color="auto" w:sz="4" w:space="0"/>
            </w:tcBorders>
            <w:vAlign w:val="center"/>
          </w:tcPr>
          <w:p w14:paraId="67750A32">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5F5A02C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15" w:type="dxa"/>
            <w:tcBorders>
              <w:left w:val="single" w:color="auto" w:sz="4" w:space="0"/>
              <w:right w:val="single" w:color="auto" w:sz="4" w:space="0"/>
            </w:tcBorders>
            <w:vAlign w:val="center"/>
          </w:tcPr>
          <w:p w14:paraId="73095B94">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合理化建议</w:t>
            </w:r>
          </w:p>
        </w:tc>
        <w:tc>
          <w:tcPr>
            <w:tcW w:w="5980" w:type="dxa"/>
            <w:tcBorders>
              <w:top w:val="single" w:color="auto" w:sz="4" w:space="0"/>
              <w:left w:val="single" w:color="auto" w:sz="4" w:space="0"/>
              <w:bottom w:val="single" w:color="auto" w:sz="4" w:space="0"/>
              <w:right w:val="single" w:color="auto" w:sz="4" w:space="0"/>
            </w:tcBorders>
            <w:vAlign w:val="center"/>
          </w:tcPr>
          <w:p w14:paraId="286D959E">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针对本项目建设提出的建议及设想是否合理</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rPr>
              <w:t>。</w:t>
            </w:r>
          </w:p>
          <w:p w14:paraId="28A07C88">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方案详细完善的得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B84890B">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方案较详细完善的得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CB431D6">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方案不够详细完善的得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A3935E8">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14:paraId="5A3EFBCC">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52DC00C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9D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69" w:type="dxa"/>
            <w:vMerge w:val="continue"/>
            <w:tcBorders>
              <w:left w:val="single" w:color="auto" w:sz="4" w:space="0"/>
              <w:right w:val="single" w:color="auto" w:sz="4" w:space="0"/>
            </w:tcBorders>
            <w:vAlign w:val="center"/>
          </w:tcPr>
          <w:p w14:paraId="75132700">
            <w:pPr>
              <w:widowControl/>
              <w:adjustRightInd/>
              <w:rPr>
                <w:rFonts w:ascii="宋体" w:hAnsi="宋体" w:cs="宋体"/>
                <w:color w:val="auto"/>
                <w:kern w:val="0"/>
                <w:sz w:val="24"/>
                <w:highlight w:val="none"/>
              </w:rPr>
            </w:pPr>
          </w:p>
        </w:tc>
        <w:tc>
          <w:tcPr>
            <w:tcW w:w="524" w:type="dxa"/>
            <w:tcBorders>
              <w:left w:val="single" w:color="auto" w:sz="4" w:space="0"/>
              <w:right w:val="single" w:color="auto" w:sz="4" w:space="0"/>
            </w:tcBorders>
            <w:vAlign w:val="center"/>
          </w:tcPr>
          <w:p w14:paraId="0D16AD06">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815" w:type="dxa"/>
            <w:tcBorders>
              <w:left w:val="single" w:color="auto" w:sz="4" w:space="0"/>
              <w:right w:val="single" w:color="auto" w:sz="4" w:space="0"/>
            </w:tcBorders>
            <w:vAlign w:val="center"/>
          </w:tcPr>
          <w:p w14:paraId="5031E4F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服务承诺</w:t>
            </w:r>
          </w:p>
        </w:tc>
        <w:tc>
          <w:tcPr>
            <w:tcW w:w="5980" w:type="dxa"/>
            <w:tcBorders>
              <w:top w:val="single" w:color="auto" w:sz="4" w:space="0"/>
              <w:left w:val="single" w:color="auto" w:sz="4" w:space="0"/>
              <w:bottom w:val="single" w:color="auto" w:sz="4" w:space="0"/>
              <w:right w:val="single" w:color="auto" w:sz="4" w:space="0"/>
            </w:tcBorders>
            <w:vAlign w:val="center"/>
          </w:tcPr>
          <w:p w14:paraId="1C3AFB9C">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bookmarkStart w:id="387" w:name="_GoBack"/>
            <w:r>
              <w:rPr>
                <w:rFonts w:hint="eastAsia" w:ascii="宋体" w:hAnsi="宋体" w:eastAsia="宋体" w:cs="宋体"/>
                <w:color w:val="auto"/>
                <w:sz w:val="24"/>
                <w:szCs w:val="24"/>
                <w:highlight w:val="none"/>
              </w:rPr>
              <w:t>项目后续服务计划及相应的配合承诺的可行性、针对性</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rPr>
              <w:t>。</w:t>
            </w:r>
          </w:p>
          <w:p w14:paraId="71B2AAE6">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方案详细完善的得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69A2C46F">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方案较详细完善的得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51EAB6F">
            <w:pPr>
              <w:keepNext w:val="0"/>
              <w:keepLines w:val="0"/>
              <w:pageBreakBefore w:val="0"/>
              <w:kinsoku/>
              <w:wordWrap/>
              <w:overflowPunct/>
              <w:topLinePunct w:val="0"/>
              <w:bidi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方案不够详细完善的得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EE4EF44">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不提供的</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bookmarkEnd w:id="387"/>
          </w:p>
        </w:tc>
        <w:tc>
          <w:tcPr>
            <w:tcW w:w="972" w:type="dxa"/>
            <w:tcBorders>
              <w:top w:val="single" w:color="auto" w:sz="4" w:space="0"/>
              <w:left w:val="single" w:color="auto" w:sz="4" w:space="0"/>
              <w:bottom w:val="single" w:color="auto" w:sz="4" w:space="0"/>
              <w:right w:val="single" w:color="auto" w:sz="4" w:space="0"/>
            </w:tcBorders>
            <w:vAlign w:val="center"/>
          </w:tcPr>
          <w:p w14:paraId="69C5A971">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w:t>
            </w:r>
          </w:p>
        </w:tc>
        <w:tc>
          <w:tcPr>
            <w:tcW w:w="815" w:type="dxa"/>
            <w:tcBorders>
              <w:top w:val="single" w:color="auto" w:sz="4" w:space="0"/>
              <w:left w:val="single" w:color="auto" w:sz="4" w:space="0"/>
              <w:bottom w:val="single" w:color="auto" w:sz="4" w:space="0"/>
              <w:right w:val="single" w:color="auto" w:sz="4" w:space="0"/>
            </w:tcBorders>
            <w:vAlign w:val="center"/>
          </w:tcPr>
          <w:p w14:paraId="22D0BF6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560026F6">
      <w:pPr>
        <w:pStyle w:val="61"/>
        <w:rPr>
          <w:color w:val="000000" w:themeColor="text1"/>
          <w:lang w:val="en-US"/>
          <w14:textFill>
            <w14:solidFill>
              <w14:schemeClr w14:val="tx1"/>
            </w14:solidFill>
          </w14:textFill>
        </w:rPr>
      </w:pPr>
    </w:p>
    <w:p w14:paraId="4E24040D">
      <w:pPr>
        <w:widowControl/>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注：1）若采购人对响应人提供的证明资料要求为原件的，另行提出。</w:t>
      </w:r>
    </w:p>
    <w:p w14:paraId="1A1280D3">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34D554B">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2）响应人编制响应文件（商务技术文件部分）时，建议按此目录（序号和内容）提供评标标准相应的商务技术资料。 </w:t>
      </w:r>
    </w:p>
    <w:p w14:paraId="0769D418">
      <w:pPr>
        <w:widowControl/>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、价格分（1</w:t>
      </w:r>
      <w:r>
        <w:rPr>
          <w:rFonts w:hint="eastAsia" w:ascii="宋体" w:hAnsi="宋体" w:cs="宋体"/>
          <w:b/>
          <w:bCs/>
          <w:color w:val="000000" w:themeColor="text1"/>
          <w:kern w:val="0"/>
          <w:sz w:val="24"/>
          <w:lang w:val="en-US" w:eastAsia="zh-CN"/>
          <w14:textFill>
            <w14:solidFill>
              <w14:schemeClr w14:val="tx1"/>
            </w14:solidFill>
          </w14:textFill>
        </w:rPr>
        <w:t>0</w:t>
      </w:r>
      <w:r>
        <w:rPr>
          <w:rFonts w:hint="eastAsia" w:ascii="宋体" w:hAnsi="宋体" w:cs="宋体"/>
          <w:b/>
          <w:bCs/>
          <w:color w:val="000000" w:themeColor="text1"/>
          <w:kern w:val="0"/>
          <w:sz w:val="24"/>
          <w14:textFill>
            <w14:solidFill>
              <w14:schemeClr w14:val="tx1"/>
            </w14:solidFill>
          </w14:textFill>
        </w:rPr>
        <w:t>分）</w:t>
      </w:r>
    </w:p>
    <w:tbl>
      <w:tblPr>
        <w:tblStyle w:val="6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6975"/>
      </w:tblGrid>
      <w:tr w14:paraId="198F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14:paraId="6F5541B0">
            <w:pPr>
              <w:autoSpaceDE w:val="0"/>
              <w:autoSpaceDN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价格分</w:t>
            </w:r>
          </w:p>
        </w:tc>
        <w:tc>
          <w:tcPr>
            <w:tcW w:w="6975" w:type="dxa"/>
            <w:tcBorders>
              <w:top w:val="single" w:color="auto" w:sz="4" w:space="0"/>
              <w:left w:val="single" w:color="auto" w:sz="4" w:space="0"/>
              <w:bottom w:val="single" w:color="auto" w:sz="4" w:space="0"/>
              <w:right w:val="single" w:color="auto" w:sz="4" w:space="0"/>
            </w:tcBorders>
            <w:vAlign w:val="center"/>
          </w:tcPr>
          <w:p w14:paraId="27264E66">
            <w:pPr>
              <w:autoSpaceDE w:val="0"/>
              <w:autoSpaceDN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计算方法</w:t>
            </w:r>
          </w:p>
        </w:tc>
      </w:tr>
      <w:tr w14:paraId="316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14:paraId="7F2D5ADB">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价格权值=0.1</w:t>
            </w:r>
            <w:r>
              <w:rPr>
                <w:rFonts w:hint="eastAsia" w:ascii="宋体" w:hAnsi="宋体"/>
                <w:bCs/>
                <w:color w:val="000000" w:themeColor="text1"/>
                <w:sz w:val="24"/>
                <w:lang w:val="en-US" w:eastAsia="zh-CN"/>
                <w14:textFill>
                  <w14:solidFill>
                    <w14:schemeClr w14:val="tx1"/>
                  </w14:solidFill>
                </w14:textFill>
              </w:rPr>
              <w:t>0</w:t>
            </w:r>
          </w:p>
        </w:tc>
        <w:tc>
          <w:tcPr>
            <w:tcW w:w="6975" w:type="dxa"/>
            <w:tcBorders>
              <w:top w:val="single" w:color="auto" w:sz="4" w:space="0"/>
              <w:left w:val="single" w:color="auto" w:sz="4" w:space="0"/>
              <w:bottom w:val="single" w:color="auto" w:sz="4" w:space="0"/>
              <w:right w:val="single" w:color="auto" w:sz="4" w:space="0"/>
            </w:tcBorders>
            <w:vAlign w:val="center"/>
          </w:tcPr>
          <w:p w14:paraId="3E0A4FD1">
            <w:pPr>
              <w:widowControl/>
              <w:spacing w:line="360" w:lineRule="auto"/>
              <w:ind w:firstLine="480" w:firstLineChars="200"/>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本项目价格不做竞争，响应人承诺按交易</w:t>
            </w:r>
            <w:r>
              <w:rPr>
                <w:rFonts w:hint="eastAsia" w:ascii="宋体" w:hAnsi="宋体" w:eastAsia="宋体" w:cs="宋体"/>
                <w:color w:val="000000" w:themeColor="text1"/>
                <w:sz w:val="24"/>
                <w14:textFill>
                  <w14:solidFill>
                    <w14:schemeClr w14:val="tx1"/>
                  </w14:solidFill>
                </w14:textFill>
              </w:rPr>
              <w:t>文件</w:t>
            </w:r>
            <w:r>
              <w:rPr>
                <w:rFonts w:hint="eastAsia" w:ascii="宋体" w:hAnsi="宋体" w:eastAsia="宋体" w:cs="宋体"/>
                <w:color w:val="000000" w:themeColor="text1"/>
                <w:sz w:val="24"/>
                <w:lang w:val="en-US" w:eastAsia="zh-CN"/>
                <w14:textFill>
                  <w14:solidFill>
                    <w14:schemeClr w14:val="tx1"/>
                  </w14:solidFill>
                </w14:textFill>
              </w:rPr>
              <w:t>中付款要求执行</w:t>
            </w:r>
            <w:r>
              <w:rPr>
                <w:rFonts w:hint="eastAsia" w:ascii="宋体" w:hAnsi="宋体" w:eastAsia="宋体" w:cs="宋体"/>
                <w:color w:val="000000" w:themeColor="text1"/>
                <w:sz w:val="24"/>
                <w14:textFill>
                  <w14:solidFill>
                    <w14:schemeClr w14:val="tx1"/>
                  </w14:solidFill>
                </w14:textFill>
              </w:rPr>
              <w:t>的得满分1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分，否则不得分</w:t>
            </w:r>
            <w:r>
              <w:rPr>
                <w:rFonts w:hint="eastAsia" w:ascii="宋体" w:hAnsi="宋体" w:eastAsia="宋体" w:cs="宋体"/>
                <w:color w:val="000000" w:themeColor="text1"/>
                <w:sz w:val="24"/>
                <w:lang w:eastAsia="zh-CN"/>
                <w14:textFill>
                  <w14:solidFill>
                    <w14:schemeClr w14:val="tx1"/>
                  </w14:solidFill>
                </w14:textFill>
              </w:rPr>
              <w:t>。</w:t>
            </w:r>
          </w:p>
        </w:tc>
      </w:tr>
    </w:tbl>
    <w:p w14:paraId="763CD292">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34.解释权</w:t>
      </w:r>
    </w:p>
    <w:p w14:paraId="3FB452F2">
      <w:pPr>
        <w:spacing w:line="360" w:lineRule="auto"/>
        <w:ind w:firstLine="480" w:firstLineChars="200"/>
        <w:rPr>
          <w:rFonts w:ascii="宋体" w:hAnsi="宋体" w:cs="宋体"/>
          <w:b/>
          <w:color w:val="000000" w:themeColor="text1"/>
          <w:sz w:val="32"/>
          <w14:textFill>
            <w14:solidFill>
              <w14:schemeClr w14:val="tx1"/>
            </w14:solidFill>
          </w14:textFill>
        </w:rPr>
      </w:pPr>
      <w:r>
        <w:rPr>
          <w:rFonts w:hint="eastAsia" w:ascii="宋体" w:hAnsi="宋体"/>
          <w:bCs/>
          <w:color w:val="000000" w:themeColor="text1"/>
          <w:sz w:val="24"/>
          <w14:textFill>
            <w14:solidFill>
              <w14:schemeClr w14:val="tx1"/>
            </w14:solidFill>
          </w14:textFill>
        </w:rPr>
        <w:t>专用条款与通用条款有矛盾之处，以专用条款为准。凡涉及本次交易文件的解释权属于交易人与代理机构。</w:t>
      </w:r>
    </w:p>
    <w:p w14:paraId="10547713">
      <w:pPr>
        <w:snapToGrid w:val="0"/>
        <w:spacing w:line="360" w:lineRule="auto"/>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3AAF986B">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综合评分法，是指响应文件满足交易文件全部实质性要求，且按照评审因素的量化指标评审得分最高的响应人为成交候选人的评标方法。</w:t>
      </w:r>
    </w:p>
    <w:p w14:paraId="6C8A2AC4">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2FACBE64">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26BF3D3D">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5C4D2F3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评标委员会应当对符合资格的响应人的响应文件进行符合性审查，以确定其是否满足交易文件的实质性要求。不满足交易文件的实质性要求的，交易无效。</w:t>
      </w:r>
    </w:p>
    <w:p w14:paraId="1D9C854D">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0C01E84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评标委员会各成员应当独立对每个响应人的商务和技术文件进行评价，并汇总商务技术得分情况。</w:t>
      </w:r>
    </w:p>
    <w:p w14:paraId="23BF251F">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387F5329">
      <w:pPr>
        <w:pStyle w:val="130"/>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3.4.1响应文件报价出现前后不一致的，按照下列规定修正：</w:t>
      </w:r>
    </w:p>
    <w:p w14:paraId="78FB3DE3">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2260DC2E">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00749729">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3.4.1.3单价金额小数点或者百分比有明显错位的，以交易一览表的总价为准，并修改单价;</w:t>
      </w:r>
    </w:p>
    <w:p w14:paraId="1158705B">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280B8499">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3.4.1.5同时出现两种以上不一致的，按照3.4.1规定的顺序修正。修正后的报价按照财政部第87号令《政府采购货物和服务招标投标管理办法》第五十一条第二款的规定经响应人确认后产生约束力。</w:t>
      </w:r>
    </w:p>
    <w:p w14:paraId="2FADD87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3.4.2响应文件出现不是唯一的、有选择性相应报价的，交易无效。</w:t>
      </w:r>
    </w:p>
    <w:p w14:paraId="3573A484">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3.4.3响应报价超过交易文件中规定的预算金额或者最高限价的，交易无效。</w:t>
      </w:r>
    </w:p>
    <w:p w14:paraId="4A0835E9">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响应处理。</w:t>
      </w:r>
    </w:p>
    <w:p w14:paraId="20316969">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响应人为排名第一的成交候选人。</w:t>
      </w:r>
    </w:p>
    <w:p w14:paraId="57104205">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响应人提供相同品牌产品（单一产品采购项目中的该产品或者非单一产品采购项目的核心产品）且通过资格审查、符合性审查的不同响应人参加同一合同项下响应的，按一家响应人计算，评审后得分最高的同品牌响应人获得成交人推荐资格；评审得分相同的，采取随机抽取方式确定，其他同品牌响应人不作为成交候选人。</w:t>
      </w:r>
    </w:p>
    <w:p w14:paraId="1C7A04BE">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FCF11C">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7809DB17">
      <w:pPr>
        <w:pStyle w:val="130"/>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4.1响应人澄清、说明或者补正。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30D6EEE">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4.2交易无效。</w:t>
      </w:r>
      <w:r>
        <w:rPr>
          <w:rFonts w:hint="eastAsia" w:cs="宋体"/>
          <w:color w:val="000000" w:themeColor="text1"/>
          <w:szCs w:val="21"/>
          <w14:textFill>
            <w14:solidFill>
              <w14:schemeClr w14:val="tx1"/>
            </w14:solidFill>
          </w14:textFill>
        </w:rPr>
        <w:t>有下列情形之一的，交易无效：</w:t>
      </w:r>
    </w:p>
    <w:p w14:paraId="4644ED0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4.2.1响应人不具备交易文件中规定的资格要求的（响应人未提供有效的资格文件的，视为响应人不具备交易文件中规定的资格要求）；</w:t>
      </w:r>
    </w:p>
    <w:p w14:paraId="2691984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4.2.2响应文件未按照交易文件要求签署、盖章的；</w:t>
      </w:r>
    </w:p>
    <w:p w14:paraId="02B73F2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4.2.3响应文件含有采购人不能接受的附加条件的；</w:t>
      </w:r>
    </w:p>
    <w:p w14:paraId="5E13E5B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4.2.4响应文件中承诺的交易有效期少于交易文件中载明的交易有效期的；</w:t>
      </w:r>
    </w:p>
    <w:p w14:paraId="30EC78C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4.2.5响应文件出现不是唯一的、有选择性响应报价的;</w:t>
      </w:r>
    </w:p>
    <w:p w14:paraId="24B08257">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4.2.6响应报价超过交易文件中规定的预算金额或者最高限价的;</w:t>
      </w:r>
    </w:p>
    <w:p w14:paraId="27F75DC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14:paraId="3E6287E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4.2.8响应人对根据修正原则修正后的报价不确认的；</w:t>
      </w:r>
    </w:p>
    <w:p w14:paraId="138FFB2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4.2.9响应人提供虚假材料响应的；</w:t>
      </w:r>
    </w:p>
    <w:p w14:paraId="26641CA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4.2.10响应人有恶意串通、妨碍其他响应人的竞争行为、损害采购人或者其他响应人的合法权益情形的；</w:t>
      </w:r>
    </w:p>
    <w:p w14:paraId="03975EDE">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4.2.11响应人仅提交备份响应文件，未在电子交易平台传输递交响应文件的，交易无效；</w:t>
      </w:r>
    </w:p>
    <w:p w14:paraId="242FFA6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4.2.12响应文件不满足交易文件的其它实质性要求的；</w:t>
      </w:r>
    </w:p>
    <w:p w14:paraId="5284173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 法律、法规、规章（适用本市的）及省级以上规范性文件（适用本市的）规定的其他无效情形。</w:t>
      </w:r>
    </w:p>
    <w:p w14:paraId="422B0C7F">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在采购中，出现下列情形之一的，应予废标：</w:t>
      </w:r>
    </w:p>
    <w:p w14:paraId="061393F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5.1符合专业条件的响应人或者对交易文件作实质响应的响应人不足3家的；</w:t>
      </w:r>
    </w:p>
    <w:p w14:paraId="6B1ABAD6">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168B553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5.3响应人的报价均超过了采购预算，采购人不能支付的；</w:t>
      </w:r>
    </w:p>
    <w:p w14:paraId="4AA2342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672B2B8A">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废标后，采购机构应当将废标理由通知所有响应人。</w:t>
      </w:r>
    </w:p>
    <w:p w14:paraId="6C9ACAB5">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6.修改交易文件，重新组织采购活动。</w:t>
      </w:r>
      <w:r>
        <w:rPr>
          <w:rFonts w:hint="eastAsia"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3B481FE">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有影响或者可能影响成交、成交结果的，依照下列规定处理：</w:t>
      </w:r>
    </w:p>
    <w:p w14:paraId="44888728">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7.1未确定成交或者成交人的，终止本次采购活动，重新开展采购活动。</w:t>
      </w:r>
    </w:p>
    <w:p w14:paraId="20A26346">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7.2已确定成交或者成交人但尚未签订采购合同的，成交或者成交结果无效，从合格的成交或者成交候选人中另行确定成交或者成交人；没有合格的成交或者成交候选人的，重新开展采购活动。</w:t>
      </w:r>
    </w:p>
    <w:p w14:paraId="2261D99D">
      <w:pPr>
        <w:pStyle w:val="2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7.3采购合同已签订但尚未履行的，撤销合同，从合格的成交或者成交候选人中另行确定成交或者成交人；没有合格的成交或者成交候选人的，重新开展采购活动。</w:t>
      </w:r>
    </w:p>
    <w:p w14:paraId="11921D09">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7.4采购合同已经履行，给采购人、响应人造成损失的，由责任人承担赔偿责任。</w:t>
      </w:r>
    </w:p>
    <w:p w14:paraId="5032467B">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7.5采购当事人有其他违反相关</w:t>
      </w:r>
      <w:r>
        <w:rPr>
          <w:rFonts w:hint="eastAsia" w:cs="宋体"/>
          <w:color w:val="000000" w:themeColor="text1"/>
          <w:kern w:val="0"/>
          <w14:textFill>
            <w14:solidFill>
              <w14:schemeClr w14:val="tx1"/>
            </w14:solidFill>
          </w14:textFill>
        </w:rPr>
        <w:t>法律法规规定</w:t>
      </w:r>
      <w:r>
        <w:rPr>
          <w:rFonts w:hint="eastAsia" w:cs="宋体"/>
          <w:color w:val="000000" w:themeColor="text1"/>
          <w14:textFill>
            <w14:solidFill>
              <w14:schemeClr w14:val="tx1"/>
            </w14:solidFill>
          </w14:textFill>
        </w:rPr>
        <w:t>的行为，经改正后仍然影响或者可能影响成交、成交结果或者依法被认定为成交、成交无效的，依照7.1-7.4规定处理。</w:t>
      </w:r>
    </w:p>
    <w:bookmarkEnd w:id="14"/>
    <w:p w14:paraId="54F82BE1">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80" w:name="第五部分"/>
      <w:bookmarkStart w:id="381" w:name="_Toc86217003"/>
    </w:p>
    <w:p w14:paraId="661C2927">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2B66BC60">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6E17099A">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3BA191DA">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54836F6">
      <w:pPr>
        <w:spacing w:line="360" w:lineRule="auto"/>
        <w:ind w:left="-420" w:leftChars="-200" w:right="-420" w:rightChars="-200" w:firstLine="723" w:firstLineChars="200"/>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w:t>
      </w:r>
      <w:bookmarkEnd w:id="380"/>
      <w:bookmarkEnd w:id="381"/>
      <w:r>
        <w:rPr>
          <w:rFonts w:hint="eastAsia" w:ascii="宋体" w:hAnsi="宋体" w:cs="宋体"/>
          <w:b/>
          <w:color w:val="000000" w:themeColor="text1"/>
          <w:sz w:val="36"/>
          <w:szCs w:val="20"/>
          <w14:textFill>
            <w14:solidFill>
              <w14:schemeClr w14:val="tx1"/>
            </w14:solidFill>
          </w14:textFill>
        </w:rPr>
        <w:t>应提交的有关格式范例</w:t>
      </w:r>
    </w:p>
    <w:p w14:paraId="6FA918FD">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D0ECB35">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5AF9C9DE">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DD99B51">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B096AA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（1）符合参加采购活动应当具备的一般条件的承诺函……………（页码）</w:t>
      </w:r>
    </w:p>
    <w:p w14:paraId="6DA8B9E9">
      <w:pPr>
        <w:snapToGrid w:val="0"/>
        <w:spacing w:line="360" w:lineRule="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交易保证金缴纳凭证………………………………………………（页码）</w:t>
      </w:r>
    </w:p>
    <w:p w14:paraId="767932E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本项目的特定资格要求………………………………………………（页码）</w:t>
      </w:r>
    </w:p>
    <w:p w14:paraId="45FF14EC">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7CCE408">
      <w:pPr>
        <w:spacing w:line="360" w:lineRule="auto"/>
        <w:ind w:firstLine="480" w:firstLineChars="200"/>
        <w:rPr>
          <w:rFonts w:ascii="宋体" w:hAnsi="宋体" w:cs="宋体"/>
          <w:color w:val="000000" w:themeColor="text1"/>
          <w:sz w:val="24"/>
          <w14:textFill>
            <w14:solidFill>
              <w14:schemeClr w14:val="tx1"/>
            </w14:solidFill>
          </w14:textFill>
        </w:rPr>
      </w:pPr>
    </w:p>
    <w:p w14:paraId="6109BC0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一、符合参加采购活动应当具备的一般条件的承诺函</w:t>
      </w:r>
    </w:p>
    <w:p w14:paraId="3D581E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19E7AF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我方参与（项目名称）【交易编号：】采购活动，郑重承诺：</w:t>
      </w:r>
    </w:p>
    <w:p w14:paraId="648652C2">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（一）具备以下条件：</w:t>
      </w:r>
    </w:p>
    <w:p w14:paraId="611032F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18F471C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3C568A0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444DE5B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2249E94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5、参加采购活动前三年内，在经营活动中没有重大违法记录；</w:t>
      </w:r>
    </w:p>
    <w:p w14:paraId="4056C7B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5CC76B8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（二）不存在以下情况：</w:t>
      </w:r>
    </w:p>
    <w:p w14:paraId="385B983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1、单位负责人为同一人或者存在直接控股、管理关系的不同响应人参加同一合同项下的采购活动的；</w:t>
      </w:r>
    </w:p>
    <w:p w14:paraId="166FD9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69B61EC">
      <w:pPr>
        <w:pStyle w:val="3"/>
        <w:rPr>
          <w:rFonts w:ascii="宋体" w:hAnsi="宋体" w:eastAsia="宋体" w:cs="宋体"/>
          <w:color w:val="000000" w:themeColor="text1"/>
          <w:sz w:val="24"/>
          <w14:textFill>
            <w14:solidFill>
              <w14:schemeClr w14:val="tx1"/>
            </w14:solidFill>
          </w14:textFill>
        </w:rPr>
      </w:pPr>
    </w:p>
    <w:p w14:paraId="0EAD89E9">
      <w:pPr>
        <w:rPr>
          <w:color w:val="000000" w:themeColor="text1"/>
          <w14:textFill>
            <w14:solidFill>
              <w14:schemeClr w14:val="tx1"/>
            </w14:solidFill>
          </w14:textFill>
        </w:rPr>
      </w:pPr>
    </w:p>
    <w:p w14:paraId="2CBCCEDC">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响应人名称(电子签名)：</w:t>
      </w:r>
    </w:p>
    <w:p w14:paraId="39B3F52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zh-CN"/>
          <w14:textFill>
            <w14:solidFill>
              <w14:schemeClr w14:val="tx1"/>
            </w14:solidFill>
          </w14:textFill>
        </w:rPr>
        <w:t>月日</w:t>
      </w:r>
    </w:p>
    <w:p w14:paraId="2C83A4B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ED60AC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3BE9217">
      <w:pPr>
        <w:rPr>
          <w:rFonts w:ascii="宋体" w:hAnsi="宋体" w:cs="宋体"/>
          <w:color w:val="000000" w:themeColor="text1"/>
          <w14:textFill>
            <w14:solidFill>
              <w14:schemeClr w14:val="tx1"/>
            </w14:solidFill>
          </w14:textFill>
        </w:rPr>
      </w:pPr>
    </w:p>
    <w:p w14:paraId="4764934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47DA88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70CE5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6B86699">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7C22829">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114302BA">
      <w:pPr>
        <w:widowControl/>
        <w:spacing w:line="360" w:lineRule="auto"/>
        <w:ind w:left="150"/>
        <w:jc w:val="center"/>
      </w:pPr>
      <w:r>
        <w:rPr>
          <w:rFonts w:hint="eastAsia" w:ascii="宋体" w:hAnsi="宋体" w:eastAsia="宋体" w:cs="宋体"/>
          <w:b/>
          <w:color w:val="000000" w:themeColor="text1"/>
          <w:kern w:val="0"/>
          <w:sz w:val="32"/>
          <w:szCs w:val="32"/>
          <w:lang w:val="en-US" w:eastAsia="zh-CN"/>
          <w14:textFill>
            <w14:solidFill>
              <w14:schemeClr w14:val="tx1"/>
            </w14:solidFill>
          </w14:textFill>
        </w:rPr>
        <w:t>二、交易保证金缴纳凭证</w:t>
      </w:r>
    </w:p>
    <w:p w14:paraId="5613D728">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（根据交易文件前附表要求提供相应的材料）</w:t>
      </w:r>
    </w:p>
    <w:p w14:paraId="37108391">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2630C6CF">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5134CB43">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143B2EA6">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0999A9B1">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080329D1">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638C61CF">
      <w:pPr>
        <w:widowControl/>
        <w:spacing w:line="360" w:lineRule="auto"/>
        <w:ind w:left="15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5C577B06">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三</w:t>
      </w:r>
      <w:r>
        <w:rPr>
          <w:rFonts w:hint="eastAsia" w:ascii="宋体" w:hAnsi="宋体" w:cs="宋体"/>
          <w:b/>
          <w:color w:val="000000" w:themeColor="text1"/>
          <w:kern w:val="0"/>
          <w:sz w:val="32"/>
          <w:szCs w:val="32"/>
          <w14:textFill>
            <w14:solidFill>
              <w14:schemeClr w14:val="tx1"/>
            </w14:solidFill>
          </w14:textFill>
        </w:rPr>
        <w:t>、本项目的特定资格要求</w:t>
      </w:r>
    </w:p>
    <w:p w14:paraId="7FD9EE82">
      <w:p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（根据交易公告本项目的特定资格要求提供相应的材料；未要求的，无需提供）</w:t>
      </w:r>
    </w:p>
    <w:p w14:paraId="4803235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C0E67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20BEF3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E646D3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3F1CD0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E630BDD">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DD59A9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314768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7303398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17942E4">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F3FD220">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2C2BE29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314A3D14">
      <w:pPr>
        <w:spacing w:line="360" w:lineRule="auto"/>
        <w:jc w:val="center"/>
        <w:outlineLvl w:val="0"/>
        <w:rPr>
          <w:rFonts w:ascii="宋体" w:hAnsi="宋体" w:cs="宋体"/>
          <w:b/>
          <w:color w:val="000000" w:themeColor="text1"/>
          <w:kern w:val="0"/>
          <w:sz w:val="24"/>
          <w14:textFill>
            <w14:solidFill>
              <w14:schemeClr w14:val="tx1"/>
            </w14:solidFill>
          </w14:textFill>
        </w:rPr>
      </w:pPr>
    </w:p>
    <w:p w14:paraId="37842625">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76564125">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67823640">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（3）符合性审查资料</w:t>
      </w:r>
      <w:r>
        <w:rPr>
          <w:rFonts w:hint="eastAsia" w:ascii="宋体" w:hAnsi="宋体" w:cs="宋体"/>
          <w:color w:val="000000" w:themeColor="text1"/>
          <w14:textFill>
            <w14:solidFill>
              <w14:schemeClr w14:val="tx1"/>
            </w14:solidFill>
          </w14:textFill>
        </w:rPr>
        <w:t>……………………………………………………………………（页码）</w:t>
      </w:r>
    </w:p>
    <w:p w14:paraId="7E287672">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（4）评标标准相应的商务技术资料……………………………………………（页码）</w:t>
      </w:r>
    </w:p>
    <w:p w14:paraId="36396873">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）商务技术偏离表……………………………………………………………（页码）</w:t>
      </w:r>
    </w:p>
    <w:p w14:paraId="0D9652CC">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采购响应人廉洁自律承诺书</w:t>
      </w:r>
      <w:r>
        <w:rPr>
          <w:rFonts w:hint="eastAsia" w:ascii="宋体" w:hAnsi="宋体" w:cs="宋体"/>
          <w:color w:val="000000" w:themeColor="text1"/>
          <w:sz w:val="24"/>
          <w14:textFill>
            <w14:solidFill>
              <w14:schemeClr w14:val="tx1"/>
            </w14:solidFill>
          </w14:textFill>
        </w:rPr>
        <w:t>………………………………………………（页码）</w:t>
      </w:r>
    </w:p>
    <w:p w14:paraId="062FAB2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3807D29">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A5E00A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6E76EF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E16023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67DA6F5">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F34AD84">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16681E8A">
      <w:pPr>
        <w:rPr>
          <w:rFonts w:ascii="宋体" w:hAnsi="宋体" w:cs="宋体"/>
          <w:color w:val="000000" w:themeColor="text1"/>
          <w14:textFill>
            <w14:solidFill>
              <w14:schemeClr w14:val="tx1"/>
            </w14:solidFill>
          </w14:textFill>
        </w:rPr>
      </w:pPr>
    </w:p>
    <w:p w14:paraId="2992A2B0">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2BE20CE2">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69F20EB">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0AD45EDA">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EC77498">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29C8AB76">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D12B28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28C11FB">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一、响应</w:t>
      </w:r>
      <w:r>
        <w:rPr>
          <w:rFonts w:hint="eastAsia" w:ascii="宋体" w:hAnsi="宋体" w:cs="宋体"/>
          <w:b/>
          <w:color w:val="000000" w:themeColor="text1"/>
          <w:sz w:val="32"/>
          <w:szCs w:val="32"/>
          <w14:textFill>
            <w14:solidFill>
              <w14:schemeClr w14:val="tx1"/>
            </w14:solidFill>
          </w14:textFill>
        </w:rPr>
        <w:t>函</w:t>
      </w:r>
    </w:p>
    <w:p w14:paraId="4B59C76A">
      <w:pPr>
        <w:snapToGrid w:val="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sz w:val="24"/>
          <w14:textFill>
            <w14:solidFill>
              <w14:schemeClr w14:val="tx1"/>
            </w14:solidFill>
          </w14:textFill>
        </w:rPr>
        <w:t>：</w:t>
      </w:r>
    </w:p>
    <w:p w14:paraId="479C1C2A">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（项目名称）【交易编号：】</w:t>
      </w:r>
      <w:r>
        <w:rPr>
          <w:rFonts w:hint="eastAsia" w:ascii="宋体" w:hAnsi="宋体" w:cs="宋体"/>
          <w:color w:val="000000" w:themeColor="text1"/>
          <w:sz w:val="24"/>
          <w14:textFill>
            <w14:solidFill>
              <w14:schemeClr w14:val="tx1"/>
            </w14:solidFill>
          </w14:textFill>
        </w:rPr>
        <w:t>交易的有关活动，并对此项目进行响应。为此：</w:t>
      </w:r>
    </w:p>
    <w:p w14:paraId="2400ABD0">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1、我方承诺交易有效期从提交响应文件的截止之日起</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本响应文件在交易有效期满之前均具有约束力。</w:t>
      </w:r>
    </w:p>
    <w:p w14:paraId="12730B4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4F590A66">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005AF00">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8C8F14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2.1.2本项目的特定资格要求（如果有）。</w:t>
      </w:r>
    </w:p>
    <w:p w14:paraId="4851650C">
      <w:pPr>
        <w:snapToGrid w:val="0"/>
        <w:spacing w:line="440" w:lineRule="exact"/>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4BE3C41D">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p>
    <w:p w14:paraId="0F4289B6">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282E32E">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2.2.3符合性审查资料；</w:t>
      </w:r>
    </w:p>
    <w:p w14:paraId="77FAFE32">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2.2.4评标标准相应的商务技术资料；</w:t>
      </w:r>
    </w:p>
    <w:p w14:paraId="0A054BB5">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2.2.5商务技术偏离表；</w:t>
      </w:r>
    </w:p>
    <w:p w14:paraId="7BFE38B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w:t>
      </w:r>
      <w:r>
        <w:rPr>
          <w:rFonts w:hint="eastAsia" w:ascii="宋体" w:hAnsi="宋体" w:cs="宋体"/>
          <w:color w:val="000000" w:themeColor="text1"/>
          <w:sz w:val="24"/>
          <w:lang w:val="zh-CN"/>
          <w14:textFill>
            <w14:solidFill>
              <w14:schemeClr w14:val="tx1"/>
            </w14:solidFill>
          </w14:textFill>
        </w:rPr>
        <w:t>采购响应人廉洁自律承诺书。</w:t>
      </w:r>
    </w:p>
    <w:p w14:paraId="6409C046">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718A176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w:t>
      </w:r>
      <w:r>
        <w:rPr>
          <w:rFonts w:hint="eastAsia" w:ascii="宋体" w:hAnsi="宋体" w:cs="宋体"/>
          <w:color w:val="000000" w:themeColor="text1"/>
          <w:sz w:val="24"/>
          <w:lang w:eastAsia="zh-CN"/>
          <w14:textFill>
            <w14:solidFill>
              <w14:schemeClr w14:val="tx1"/>
            </w14:solidFill>
          </w14:textFill>
        </w:rPr>
        <w:t>响应函</w:t>
      </w:r>
      <w:r>
        <w:rPr>
          <w:rFonts w:hint="eastAsia" w:ascii="宋体" w:hAnsi="宋体" w:cs="宋体"/>
          <w:color w:val="000000" w:themeColor="text1"/>
          <w:sz w:val="24"/>
          <w14:textFill>
            <w14:solidFill>
              <w14:schemeClr w14:val="tx1"/>
            </w14:solidFill>
          </w14:textFill>
        </w:rPr>
        <w:t>。</w:t>
      </w:r>
    </w:p>
    <w:p w14:paraId="28C444F4">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3、我方承诺除商务技术偏离表列出的偏离外，我方响应交易文件的全部要求。</w:t>
      </w:r>
    </w:p>
    <w:p w14:paraId="123908AC">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15085D4D">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4.1在收到成交通知书后，在成交通知书规定的期限内与你方签订合同；</w:t>
      </w:r>
    </w:p>
    <w:p w14:paraId="6B1EC5CB">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4.2在签订合同时不向你方提出附加条件；</w:t>
      </w:r>
    </w:p>
    <w:p w14:paraId="08E8E717">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4.3按照交易文件要求提交履约保证金；</w:t>
      </w:r>
    </w:p>
    <w:p w14:paraId="20347060">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4.4在合同约定的期限内完成合同规定的全部义务。</w:t>
      </w:r>
    </w:p>
    <w:p w14:paraId="30A843DD">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p>
    <w:p w14:paraId="15B0B7B1">
      <w:pPr>
        <w:spacing w:line="44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响应人名称（电子签名）：</w:t>
      </w:r>
    </w:p>
    <w:p w14:paraId="66563CEC">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14:paraId="6E85C09D">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164550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3D8888D4">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363F80F">
      <w:pPr>
        <w:snapToGrid w:val="0"/>
        <w:spacing w:line="360" w:lineRule="auto"/>
        <w:rPr>
          <w:rFonts w:ascii="宋体" w:hAnsi="宋体" w:cs="宋体"/>
          <w:color w:val="000000" w:themeColor="text1"/>
          <w:sz w:val="24"/>
          <w14:textFill>
            <w14:solidFill>
              <w14:schemeClr w14:val="tx1"/>
            </w14:solidFill>
          </w14:textFill>
        </w:rPr>
      </w:pPr>
    </w:p>
    <w:p w14:paraId="4594734A">
      <w:pPr>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w:t>
      </w:r>
    </w:p>
    <w:p w14:paraId="1430547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3F5E7CA">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14:textFill>
            <w14:solidFill>
              <w14:schemeClr w14:val="tx1"/>
            </w14:solidFill>
          </w14:textFill>
        </w:rPr>
        <w:t>（项目名称）【交易编号：】</w:t>
      </w:r>
      <w:r>
        <w:rPr>
          <w:rFonts w:hint="eastAsia" w:ascii="宋体" w:hAnsi="宋体" w:cs="宋体"/>
          <w:color w:val="000000" w:themeColor="text1"/>
          <w:kern w:val="0"/>
          <w:sz w:val="24"/>
          <w:lang w:val="zh-CN"/>
          <w14:textFill>
            <w14:solidFill>
              <w14:schemeClr w14:val="tx1"/>
            </w14:solidFill>
          </w14:textFill>
        </w:rPr>
        <w:t>交易的一切事项，其法律后果由我方承担。</w:t>
      </w:r>
    </w:p>
    <w:p w14:paraId="0C75244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自年月日起至年月日止。</w:t>
      </w:r>
    </w:p>
    <w:p w14:paraId="383C074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330236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响应人名称(电子签名)：</w:t>
      </w:r>
    </w:p>
    <w:p w14:paraId="2D638E28">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签发日期：年月日</w:t>
      </w:r>
    </w:p>
    <w:p w14:paraId="4BE17A01">
      <w:pPr>
        <w:snapToGrid w:val="0"/>
        <w:spacing w:line="360" w:lineRule="auto"/>
        <w:rPr>
          <w:rFonts w:ascii="宋体" w:hAnsi="宋体" w:cs="宋体"/>
          <w:color w:val="000000" w:themeColor="text1"/>
          <w:sz w:val="24"/>
          <w14:textFill>
            <w14:solidFill>
              <w14:schemeClr w14:val="tx1"/>
            </w14:solidFill>
          </w14:textFill>
        </w:rPr>
      </w:pPr>
    </w:p>
    <w:p w14:paraId="556FE2D8">
      <w:pPr>
        <w:snapToGrid w:val="0"/>
        <w:spacing w:line="360" w:lineRule="auto"/>
        <w:rPr>
          <w:rFonts w:ascii="宋体" w:hAnsi="宋体" w:cs="宋体"/>
          <w:color w:val="000000" w:themeColor="text1"/>
          <w:kern w:val="0"/>
          <w:sz w:val="24"/>
          <w:lang w:val="zh-CN"/>
          <w14:textFill>
            <w14:solidFill>
              <w14:schemeClr w14:val="tx1"/>
            </w14:solidFill>
          </w14:textFill>
        </w:rPr>
      </w:pPr>
    </w:p>
    <w:p w14:paraId="5E70969F">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的身份证明（适用于法定代表人、单位负责人或者自然人本人代表响应人参加交易）</w:t>
      </w:r>
    </w:p>
    <w:p w14:paraId="34F0AF14">
      <w:pPr>
        <w:pStyle w:val="148"/>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A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7854CF4A">
            <w:pPr>
              <w:pStyle w:val="148"/>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正面：反面：</w:t>
            </w:r>
          </w:p>
          <w:p w14:paraId="102CFE67">
            <w:pPr>
              <w:pStyle w:val="148"/>
              <w:adjustRightInd w:val="0"/>
              <w:spacing w:line="360" w:lineRule="auto"/>
              <w:rPr>
                <w:rFonts w:hAnsi="宋体" w:cs="宋体"/>
                <w:bCs/>
                <w:color w:val="000000" w:themeColor="text1"/>
                <w:sz w:val="24"/>
                <w14:textFill>
                  <w14:solidFill>
                    <w14:schemeClr w14:val="tx1"/>
                  </w14:solidFill>
                </w14:textFill>
              </w:rPr>
            </w:pPr>
          </w:p>
        </w:tc>
      </w:tr>
    </w:tbl>
    <w:p w14:paraId="05624720">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4EF44B5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响应人名称(电子签名)：</w:t>
      </w:r>
    </w:p>
    <w:p w14:paraId="504E536A">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日期：年月日</w:t>
      </w:r>
    </w:p>
    <w:p w14:paraId="5D791900">
      <w:pPr>
        <w:jc w:val="center"/>
        <w:rPr>
          <w:rFonts w:ascii="宋体" w:hAnsi="宋体" w:cs="宋体"/>
          <w:b/>
          <w:color w:val="000000" w:themeColor="text1"/>
          <w:kern w:val="0"/>
          <w:sz w:val="32"/>
          <w:szCs w:val="32"/>
          <w14:textFill>
            <w14:solidFill>
              <w14:schemeClr w14:val="tx1"/>
            </w14:solidFill>
          </w14:textFill>
        </w:rPr>
      </w:pPr>
    </w:p>
    <w:p w14:paraId="4C5746C2">
      <w:pPr>
        <w:snapToGrid w:val="0"/>
        <w:spacing w:line="360" w:lineRule="auto"/>
        <w:rPr>
          <w:rFonts w:ascii="宋体" w:hAnsi="宋体" w:cs="宋体"/>
          <w:color w:val="000000" w:themeColor="text1"/>
          <w:kern w:val="0"/>
          <w:sz w:val="24"/>
          <w14:textFill>
            <w14:solidFill>
              <w14:schemeClr w14:val="tx1"/>
            </w14:solidFill>
          </w14:textFill>
        </w:rPr>
      </w:pPr>
    </w:p>
    <w:p w14:paraId="2C5B645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三、符合性审查资料</w:t>
      </w:r>
    </w:p>
    <w:p w14:paraId="571A7072">
      <w:pPr>
        <w:jc w:val="center"/>
        <w:rPr>
          <w:rFonts w:ascii="宋体" w:hAnsi="宋体" w:cs="宋体"/>
          <w:b/>
          <w:color w:val="000000" w:themeColor="text1"/>
          <w:kern w:val="0"/>
          <w:sz w:val="32"/>
          <w:szCs w:val="32"/>
          <w14:textFill>
            <w14:solidFill>
              <w14:schemeClr w14:val="tx1"/>
            </w14:solidFill>
          </w14:textFill>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721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62FF5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672" w:type="dxa"/>
            <w:vAlign w:val="center"/>
          </w:tcPr>
          <w:p w14:paraId="7F7EB85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7992A83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598B560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4264B8D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17F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E131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672" w:type="dxa"/>
            <w:vAlign w:val="center"/>
          </w:tcPr>
          <w:p w14:paraId="3453035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响应文件按照交易文件要求签署、盖章。</w:t>
            </w:r>
          </w:p>
        </w:tc>
        <w:tc>
          <w:tcPr>
            <w:tcW w:w="2551" w:type="dxa"/>
            <w:vAlign w:val="center"/>
          </w:tcPr>
          <w:p w14:paraId="0D25030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02CD393E">
            <w:pPr>
              <w:jc w:val="center"/>
              <w:rPr>
                <w:rFonts w:ascii="宋体" w:hAnsi="宋体" w:cs="宋体"/>
                <w:color w:val="000000" w:themeColor="text1"/>
                <w:sz w:val="24"/>
                <w14:textFill>
                  <w14:solidFill>
                    <w14:schemeClr w14:val="tx1"/>
                  </w14:solidFill>
                </w14:textFill>
              </w:rPr>
            </w:pPr>
          </w:p>
          <w:p w14:paraId="6C8C8C3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1543528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14:paraId="5013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A2BFA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672" w:type="dxa"/>
            <w:vAlign w:val="center"/>
          </w:tcPr>
          <w:p w14:paraId="78AD0EE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响应文件中承诺的交易有效期不少于交易文件中载明的交易有效期。</w:t>
            </w:r>
          </w:p>
        </w:tc>
        <w:tc>
          <w:tcPr>
            <w:tcW w:w="2551" w:type="dxa"/>
            <w:vAlign w:val="center"/>
          </w:tcPr>
          <w:p w14:paraId="523B786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66F0E40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见响应文件第页</w:t>
            </w:r>
          </w:p>
        </w:tc>
      </w:tr>
      <w:tr w14:paraId="3F4B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20F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672" w:type="dxa"/>
            <w:vAlign w:val="center"/>
          </w:tcPr>
          <w:p w14:paraId="127DB9A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响应文件满足交易文件的其它实质性要求。</w:t>
            </w:r>
          </w:p>
        </w:tc>
        <w:tc>
          <w:tcPr>
            <w:tcW w:w="2551" w:type="dxa"/>
            <w:vAlign w:val="center"/>
          </w:tcPr>
          <w:p w14:paraId="61CCACA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交易文件其它实质性要求相应的材料（“▲”系指实质性要求条款，交易文件无其它实质性要求的，无需提供）</w:t>
            </w:r>
          </w:p>
        </w:tc>
        <w:tc>
          <w:tcPr>
            <w:tcW w:w="1418" w:type="dxa"/>
            <w:vAlign w:val="center"/>
          </w:tcPr>
          <w:p w14:paraId="4F358E7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见响应文件第页</w:t>
            </w:r>
          </w:p>
        </w:tc>
      </w:tr>
    </w:tbl>
    <w:p w14:paraId="6E5425E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EE86C43">
      <w:pPr>
        <w:jc w:val="center"/>
        <w:rPr>
          <w:rFonts w:ascii="宋体" w:hAnsi="宋体" w:cs="宋体"/>
          <w:b/>
          <w:color w:val="000000" w:themeColor="text1"/>
          <w:kern w:val="0"/>
          <w:sz w:val="32"/>
          <w:szCs w:val="32"/>
          <w14:textFill>
            <w14:solidFill>
              <w14:schemeClr w14:val="tx1"/>
            </w14:solidFill>
          </w14:textFill>
        </w:rPr>
      </w:pPr>
    </w:p>
    <w:p w14:paraId="4BB96893">
      <w:pPr>
        <w:jc w:val="center"/>
        <w:rPr>
          <w:rFonts w:ascii="宋体" w:hAnsi="宋体" w:cs="宋体"/>
          <w:b/>
          <w:color w:val="000000" w:themeColor="text1"/>
          <w:kern w:val="0"/>
          <w:sz w:val="32"/>
          <w:szCs w:val="32"/>
          <w14:textFill>
            <w14:solidFill>
              <w14:schemeClr w14:val="tx1"/>
            </w14:solidFill>
          </w14:textFill>
        </w:rPr>
      </w:pPr>
    </w:p>
    <w:p w14:paraId="128CC10F">
      <w:pPr>
        <w:jc w:val="center"/>
        <w:rPr>
          <w:rFonts w:ascii="宋体" w:hAnsi="宋体" w:cs="宋体"/>
          <w:b/>
          <w:color w:val="000000" w:themeColor="text1"/>
          <w:kern w:val="0"/>
          <w:sz w:val="32"/>
          <w:szCs w:val="32"/>
          <w14:textFill>
            <w14:solidFill>
              <w14:schemeClr w14:val="tx1"/>
            </w14:solidFill>
          </w14:textFill>
        </w:rPr>
      </w:pPr>
    </w:p>
    <w:p w14:paraId="5C6E397A">
      <w:pPr>
        <w:jc w:val="center"/>
        <w:rPr>
          <w:rFonts w:ascii="宋体" w:hAnsi="宋体" w:cs="宋体"/>
          <w:b/>
          <w:color w:val="000000" w:themeColor="text1"/>
          <w:kern w:val="0"/>
          <w:sz w:val="32"/>
          <w:szCs w:val="32"/>
          <w14:textFill>
            <w14:solidFill>
              <w14:schemeClr w14:val="tx1"/>
            </w14:solidFill>
          </w14:textFill>
        </w:rPr>
      </w:pPr>
    </w:p>
    <w:p w14:paraId="006D366F">
      <w:pPr>
        <w:jc w:val="center"/>
        <w:rPr>
          <w:rFonts w:ascii="宋体" w:hAnsi="宋体" w:cs="宋体"/>
          <w:b/>
          <w:color w:val="000000" w:themeColor="text1"/>
          <w:kern w:val="0"/>
          <w:sz w:val="32"/>
          <w:szCs w:val="32"/>
          <w14:textFill>
            <w14:solidFill>
              <w14:schemeClr w14:val="tx1"/>
            </w14:solidFill>
          </w14:textFill>
        </w:rPr>
      </w:pPr>
    </w:p>
    <w:p w14:paraId="5FE8B666">
      <w:pPr>
        <w:jc w:val="center"/>
        <w:rPr>
          <w:rFonts w:ascii="宋体" w:hAnsi="宋体" w:cs="宋体"/>
          <w:b/>
          <w:color w:val="000000" w:themeColor="text1"/>
          <w:kern w:val="0"/>
          <w:sz w:val="32"/>
          <w:szCs w:val="32"/>
          <w14:textFill>
            <w14:solidFill>
              <w14:schemeClr w14:val="tx1"/>
            </w14:solidFill>
          </w14:textFill>
        </w:rPr>
      </w:pPr>
    </w:p>
    <w:p w14:paraId="2816FA8C">
      <w:pPr>
        <w:jc w:val="center"/>
        <w:rPr>
          <w:rFonts w:ascii="宋体" w:hAnsi="宋体" w:cs="宋体"/>
          <w:b/>
          <w:color w:val="000000" w:themeColor="text1"/>
          <w:kern w:val="0"/>
          <w:sz w:val="32"/>
          <w:szCs w:val="32"/>
          <w14:textFill>
            <w14:solidFill>
              <w14:schemeClr w14:val="tx1"/>
            </w14:solidFill>
          </w14:textFill>
        </w:rPr>
      </w:pPr>
    </w:p>
    <w:p w14:paraId="6F4B7FFC">
      <w:pPr>
        <w:jc w:val="center"/>
        <w:rPr>
          <w:rFonts w:ascii="宋体" w:hAnsi="宋体" w:cs="宋体"/>
          <w:b/>
          <w:color w:val="000000" w:themeColor="text1"/>
          <w:kern w:val="0"/>
          <w:sz w:val="32"/>
          <w:szCs w:val="32"/>
          <w14:textFill>
            <w14:solidFill>
              <w14:schemeClr w14:val="tx1"/>
            </w14:solidFill>
          </w14:textFill>
        </w:rPr>
      </w:pPr>
    </w:p>
    <w:p w14:paraId="40C57F38">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四、评标标准相应的商务技术资料</w:t>
      </w:r>
    </w:p>
    <w:p w14:paraId="5FF45576">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（按交易文件第四部分评标办法前附表中“响应文件中评标标准相应的商务技术资料目录”提供资料。）</w:t>
      </w:r>
    </w:p>
    <w:p w14:paraId="03C2F104">
      <w:pPr>
        <w:jc w:val="center"/>
        <w:rPr>
          <w:rFonts w:ascii="宋体" w:hAnsi="宋体" w:cs="宋体"/>
          <w:b/>
          <w:color w:val="000000" w:themeColor="text1"/>
          <w:kern w:val="0"/>
          <w:sz w:val="32"/>
          <w:szCs w:val="32"/>
          <w14:textFill>
            <w14:solidFill>
              <w14:schemeClr w14:val="tx1"/>
            </w14:solidFill>
          </w14:textFill>
        </w:rPr>
      </w:pPr>
    </w:p>
    <w:p w14:paraId="0FF92E7C">
      <w:pPr>
        <w:jc w:val="center"/>
        <w:rPr>
          <w:rFonts w:ascii="宋体" w:hAnsi="宋体" w:cs="宋体"/>
          <w:b/>
          <w:color w:val="000000" w:themeColor="text1"/>
          <w:kern w:val="0"/>
          <w:sz w:val="32"/>
          <w:szCs w:val="32"/>
          <w14:textFill>
            <w14:solidFill>
              <w14:schemeClr w14:val="tx1"/>
            </w14:solidFill>
          </w14:textFill>
        </w:rPr>
      </w:pPr>
    </w:p>
    <w:p w14:paraId="431FE998">
      <w:pPr>
        <w:jc w:val="center"/>
        <w:rPr>
          <w:rFonts w:ascii="宋体" w:hAnsi="宋体" w:cs="宋体"/>
          <w:b/>
          <w:color w:val="000000" w:themeColor="text1"/>
          <w:kern w:val="0"/>
          <w:sz w:val="32"/>
          <w:szCs w:val="32"/>
          <w14:textFill>
            <w14:solidFill>
              <w14:schemeClr w14:val="tx1"/>
            </w14:solidFill>
          </w14:textFill>
        </w:rPr>
      </w:pPr>
    </w:p>
    <w:p w14:paraId="09728E49">
      <w:pPr>
        <w:jc w:val="center"/>
        <w:rPr>
          <w:rFonts w:ascii="宋体" w:hAnsi="宋体" w:cs="宋体"/>
          <w:b/>
          <w:color w:val="000000" w:themeColor="text1"/>
          <w:kern w:val="0"/>
          <w:sz w:val="32"/>
          <w:szCs w:val="32"/>
          <w14:textFill>
            <w14:solidFill>
              <w14:schemeClr w14:val="tx1"/>
            </w14:solidFill>
          </w14:textFill>
        </w:rPr>
      </w:pPr>
    </w:p>
    <w:p w14:paraId="32066408">
      <w:pPr>
        <w:jc w:val="center"/>
        <w:rPr>
          <w:rFonts w:ascii="宋体" w:hAnsi="宋体" w:cs="宋体"/>
          <w:b/>
          <w:color w:val="000000" w:themeColor="text1"/>
          <w:kern w:val="0"/>
          <w:sz w:val="32"/>
          <w:szCs w:val="32"/>
          <w14:textFill>
            <w14:solidFill>
              <w14:schemeClr w14:val="tx1"/>
            </w14:solidFill>
          </w14:textFill>
        </w:rPr>
      </w:pPr>
    </w:p>
    <w:p w14:paraId="2FFEF2E0">
      <w:pPr>
        <w:jc w:val="center"/>
        <w:rPr>
          <w:rFonts w:ascii="宋体" w:hAnsi="宋体" w:cs="宋体"/>
          <w:b/>
          <w:color w:val="000000" w:themeColor="text1"/>
          <w:kern w:val="0"/>
          <w:sz w:val="32"/>
          <w:szCs w:val="32"/>
          <w14:textFill>
            <w14:solidFill>
              <w14:schemeClr w14:val="tx1"/>
            </w14:solidFill>
          </w14:textFill>
        </w:rPr>
      </w:pPr>
    </w:p>
    <w:p w14:paraId="6A30CA00">
      <w:pPr>
        <w:jc w:val="center"/>
        <w:rPr>
          <w:rFonts w:ascii="宋体" w:hAnsi="宋体" w:cs="宋体"/>
          <w:b/>
          <w:color w:val="000000" w:themeColor="text1"/>
          <w:kern w:val="0"/>
          <w:sz w:val="32"/>
          <w:szCs w:val="32"/>
          <w14:textFill>
            <w14:solidFill>
              <w14:schemeClr w14:val="tx1"/>
            </w14:solidFill>
          </w14:textFill>
        </w:rPr>
      </w:pPr>
    </w:p>
    <w:p w14:paraId="05EE0F2F">
      <w:pPr>
        <w:jc w:val="center"/>
        <w:rPr>
          <w:rFonts w:ascii="宋体" w:hAnsi="宋体" w:cs="宋体"/>
          <w:b/>
          <w:color w:val="000000" w:themeColor="text1"/>
          <w:kern w:val="0"/>
          <w:sz w:val="32"/>
          <w:szCs w:val="32"/>
          <w14:textFill>
            <w14:solidFill>
              <w14:schemeClr w14:val="tx1"/>
            </w14:solidFill>
          </w14:textFill>
        </w:rPr>
      </w:pPr>
    </w:p>
    <w:p w14:paraId="2A5EB76B">
      <w:pPr>
        <w:jc w:val="center"/>
        <w:rPr>
          <w:rFonts w:ascii="宋体" w:hAnsi="宋体" w:cs="宋体"/>
          <w:b/>
          <w:color w:val="000000" w:themeColor="text1"/>
          <w:kern w:val="0"/>
          <w:sz w:val="32"/>
          <w:szCs w:val="32"/>
          <w14:textFill>
            <w14:solidFill>
              <w14:schemeClr w14:val="tx1"/>
            </w14:solidFill>
          </w14:textFill>
        </w:rPr>
      </w:pPr>
    </w:p>
    <w:p w14:paraId="49A9805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07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85241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33603D4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交易文件章节及具体内容</w:t>
            </w:r>
          </w:p>
        </w:tc>
        <w:tc>
          <w:tcPr>
            <w:tcW w:w="3546" w:type="dxa"/>
          </w:tcPr>
          <w:p w14:paraId="18143E4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4A5E168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018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59CFD3">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3F82F43">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3677B4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D36A877">
            <w:pPr>
              <w:jc w:val="center"/>
              <w:rPr>
                <w:rFonts w:ascii="宋体" w:hAnsi="宋体" w:cs="宋体"/>
                <w:b/>
                <w:color w:val="000000" w:themeColor="text1"/>
                <w:kern w:val="0"/>
                <w:sz w:val="32"/>
                <w:szCs w:val="32"/>
                <w14:textFill>
                  <w14:solidFill>
                    <w14:schemeClr w14:val="tx1"/>
                  </w14:solidFill>
                </w14:textFill>
              </w:rPr>
            </w:pPr>
          </w:p>
        </w:tc>
      </w:tr>
      <w:tr w14:paraId="65A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EACB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2D7D7E54">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B81060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EAA544C">
            <w:pPr>
              <w:jc w:val="center"/>
              <w:rPr>
                <w:rFonts w:ascii="宋体" w:hAnsi="宋体" w:cs="宋体"/>
                <w:b/>
                <w:color w:val="000000" w:themeColor="text1"/>
                <w:kern w:val="0"/>
                <w:sz w:val="32"/>
                <w:szCs w:val="32"/>
                <w14:textFill>
                  <w14:solidFill>
                    <w14:schemeClr w14:val="tx1"/>
                  </w14:solidFill>
                </w14:textFill>
              </w:rPr>
            </w:pPr>
          </w:p>
        </w:tc>
      </w:tr>
      <w:tr w14:paraId="6417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7FEBF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0DB8DE73">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29737A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F80D39B">
            <w:pPr>
              <w:jc w:val="center"/>
              <w:rPr>
                <w:rFonts w:ascii="宋体" w:hAnsi="宋体" w:cs="宋体"/>
                <w:b/>
                <w:color w:val="000000" w:themeColor="text1"/>
                <w:kern w:val="0"/>
                <w:sz w:val="32"/>
                <w:szCs w:val="32"/>
                <w14:textFill>
                  <w14:solidFill>
                    <w14:schemeClr w14:val="tx1"/>
                  </w14:solidFill>
                </w14:textFill>
              </w:rPr>
            </w:pPr>
          </w:p>
        </w:tc>
      </w:tr>
    </w:tbl>
    <w:p w14:paraId="6F3DB46A">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响应人保证：除商务技术偏离表列出的偏离外，响应人响应交易文件的全部要求</w:t>
      </w:r>
    </w:p>
    <w:p w14:paraId="3E69B36D">
      <w:pPr>
        <w:jc w:val="center"/>
        <w:rPr>
          <w:rFonts w:ascii="宋体" w:hAnsi="宋体" w:cs="宋体"/>
          <w:b/>
          <w:color w:val="000000" w:themeColor="text1"/>
          <w:kern w:val="0"/>
          <w:sz w:val="32"/>
          <w:szCs w:val="32"/>
          <w14:textFill>
            <w14:solidFill>
              <w14:schemeClr w14:val="tx1"/>
            </w14:solidFill>
          </w14:textFill>
        </w:rPr>
      </w:pPr>
    </w:p>
    <w:p w14:paraId="1769D33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AB7C85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B95E4E4">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六</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采购响应人廉洁自律承诺书</w:t>
      </w:r>
    </w:p>
    <w:p w14:paraId="4DC4D2EF">
      <w:pPr>
        <w:snapToGrid w:val="0"/>
        <w:spacing w:line="360" w:lineRule="auto"/>
        <w:rPr>
          <w:rFonts w:ascii="宋体" w:hAnsi="宋体" w:cs="宋体"/>
          <w:color w:val="000000" w:themeColor="text1"/>
          <w:sz w:val="24"/>
          <w14:textFill>
            <w14:solidFill>
              <w14:schemeClr w14:val="tx1"/>
            </w14:solidFill>
          </w14:textFill>
        </w:rPr>
      </w:pPr>
    </w:p>
    <w:p w14:paraId="2FD4A52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96BCA9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项目交易要求参加响应。在这次响应过程中和成交后，我们将严格遵守国家法律法规要求，并郑重承诺：</w:t>
      </w:r>
    </w:p>
    <w:p w14:paraId="2BDA869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B620FA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二、不为项目有关人员及部门报销应由你方单位或个人支付的费用；</w:t>
      </w:r>
    </w:p>
    <w:p w14:paraId="2069538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三、不向项目有关人员及部门提供有可能影响公正的宴请和健身娱乐等活动；</w:t>
      </w:r>
    </w:p>
    <w:p w14:paraId="7800CDB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6B43FA6">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00B5027">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6F33AE4D">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六、严格遵守相关法律法规，诚实守信，合法经营，坚决抵制各种违法违纪行为。</w:t>
      </w:r>
    </w:p>
    <w:p w14:paraId="71C42BBF">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1A26C46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7BF2AA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32CB39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B4439E6">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w:t>
      </w:r>
    </w:p>
    <w:p w14:paraId="75A9A05F">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年月日</w:t>
      </w:r>
    </w:p>
    <w:p w14:paraId="249F6F1E">
      <w:pPr>
        <w:spacing w:line="360" w:lineRule="auto"/>
        <w:jc w:val="center"/>
        <w:rPr>
          <w:rFonts w:ascii="宋体" w:hAnsi="宋体" w:cs="宋体"/>
          <w:b/>
          <w:bCs/>
          <w:color w:val="000000" w:themeColor="text1"/>
          <w:sz w:val="24"/>
          <w14:textFill>
            <w14:solidFill>
              <w14:schemeClr w14:val="tx1"/>
            </w14:solidFill>
          </w14:textFill>
        </w:rPr>
      </w:pPr>
    </w:p>
    <w:p w14:paraId="396B41C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3E6F159">
      <w:pPr>
        <w:spacing w:line="360" w:lineRule="auto"/>
        <w:jc w:val="center"/>
        <w:rPr>
          <w:rFonts w:ascii="宋体" w:hAnsi="宋体" w:cs="宋体"/>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7856CE23">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4E4199E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07A1FC67">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3ACD39B0">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53C434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响应函</w:t>
      </w:r>
      <w:r>
        <w:rPr>
          <w:rFonts w:hint="eastAsia" w:ascii="宋体" w:hAnsi="宋体" w:cs="宋体"/>
          <w:color w:val="000000" w:themeColor="text1"/>
          <w:sz w:val="24"/>
          <w14:textFill>
            <w14:solidFill>
              <w14:schemeClr w14:val="tx1"/>
            </w14:solidFill>
          </w14:textFill>
        </w:rPr>
        <w:t>………………………………………………………（页码）</w:t>
      </w:r>
    </w:p>
    <w:p w14:paraId="4A96012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DF240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8EE5B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D5B119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94A174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8DAA3C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EC4B2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EF5315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C87906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FB187A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568C4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03DE9F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0D7701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5C938D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3C27B9C">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ECB0D33">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lang w:eastAsia="zh-CN"/>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w:t>
      </w:r>
      <w:r>
        <w:rPr>
          <w:rFonts w:hint="eastAsia" w:ascii="宋体" w:hAnsi="宋体" w:eastAsia="宋体" w:cs="宋体"/>
          <w:color w:val="000000" w:themeColor="text1"/>
          <w:kern w:val="2"/>
          <w:sz w:val="32"/>
          <w:szCs w:val="32"/>
          <w:lang w:eastAsia="zh-CN"/>
          <w14:textFill>
            <w14:solidFill>
              <w14:schemeClr w14:val="tx1"/>
            </w14:solidFill>
          </w14:textFill>
        </w:rPr>
        <w:t>响应函</w:t>
      </w:r>
    </w:p>
    <w:p w14:paraId="764289DC">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（交易发起人名称）</w:t>
      </w:r>
    </w:p>
    <w:p w14:paraId="1CBF2444">
      <w:pPr>
        <w:spacing w:line="360" w:lineRule="auto"/>
        <w:ind w:firstLine="480" w:firstLineChars="200"/>
        <w:rPr>
          <w:rFonts w:ascii="宋体" w:hAnsi="宋体" w:cs="宋体"/>
          <w:sz w:val="24"/>
        </w:rPr>
      </w:pPr>
      <w:r>
        <w:rPr>
          <w:rFonts w:hint="eastAsia" w:ascii="宋体" w:hAnsi="宋体" w:cs="宋体"/>
          <w:sz w:val="24"/>
        </w:rPr>
        <w:t>1、根据已收到的贵方编号为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项目的交易文件，遵照有关规定，我方经研究上述交易文件的各项条款后，</w:t>
      </w:r>
      <w:r>
        <w:rPr>
          <w:rFonts w:hint="eastAsia" w:ascii="宋体" w:hAnsi="宋体" w:cs="宋体"/>
          <w:spacing w:val="6"/>
          <w:kern w:val="11"/>
          <w:sz w:val="24"/>
        </w:rPr>
        <w:t>我方</w:t>
      </w:r>
      <w:r>
        <w:rPr>
          <w:rFonts w:hint="eastAsia" w:ascii="宋体" w:hAnsi="宋体" w:cs="宋体"/>
          <w:spacing w:val="6"/>
          <w:kern w:val="11"/>
          <w:sz w:val="24"/>
          <w:u w:val="single"/>
        </w:rPr>
        <w:t xml:space="preserve">   </w:t>
      </w:r>
      <w:r>
        <w:rPr>
          <w:rFonts w:hint="eastAsia" w:ascii="宋体" w:hAnsi="宋体" w:cs="宋体"/>
          <w:b/>
          <w:bCs/>
          <w:spacing w:val="6"/>
          <w:kern w:val="11"/>
          <w:sz w:val="24"/>
          <w:highlight w:val="green"/>
          <w:u w:val="single"/>
        </w:rPr>
        <w:t>（是/否）</w:t>
      </w:r>
      <w:r>
        <w:rPr>
          <w:rFonts w:hint="eastAsia" w:ascii="宋体" w:hAnsi="宋体" w:cs="宋体"/>
          <w:b/>
          <w:bCs/>
          <w:spacing w:val="6"/>
          <w:kern w:val="11"/>
          <w:sz w:val="24"/>
          <w:u w:val="single"/>
        </w:rPr>
        <w:t xml:space="preserve">  </w:t>
      </w:r>
      <w:r>
        <w:rPr>
          <w:rFonts w:hint="eastAsia" w:ascii="宋体" w:hAnsi="宋体" w:cs="宋体"/>
          <w:spacing w:val="6"/>
          <w:kern w:val="11"/>
          <w:sz w:val="24"/>
          <w:u w:val="single"/>
        </w:rPr>
        <w:t xml:space="preserve"> </w:t>
      </w:r>
      <w:r>
        <w:rPr>
          <w:rFonts w:hint="eastAsia" w:ascii="宋体" w:hAnsi="宋体" w:cs="宋体"/>
          <w:spacing w:val="6"/>
          <w:kern w:val="11"/>
          <w:sz w:val="24"/>
        </w:rPr>
        <w:t>响应交易文件中的各项要求,并同意成交后按照贵方交易文件要求与贵方签订项目合同。</w:t>
      </w:r>
    </w:p>
    <w:p w14:paraId="6904CEBA">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我方承诺按交易文件中付款要求执行</w:t>
      </w:r>
      <w:r>
        <w:rPr>
          <w:rFonts w:hint="eastAsia" w:ascii="宋体" w:hAnsi="宋体" w:cs="宋体"/>
          <w:sz w:val="24"/>
          <w:lang w:eastAsia="zh-CN"/>
        </w:rPr>
        <w:t>。</w:t>
      </w:r>
    </w:p>
    <w:p w14:paraId="11F567F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、我方已详细审阅全部交易文件，包括补疑文件及有关附件，完全接受本次交易文件的各项内容。</w:t>
      </w:r>
    </w:p>
    <w:p w14:paraId="15F8B013">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、我方自愿参加本次交易项目的交易，并保证响应文件中所列举的响应报价、公司基本资料及相关资料真实合法。</w:t>
      </w:r>
    </w:p>
    <w:p w14:paraId="0FCE3DE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、如果我方成交，我方保证按照交易文件要求、响应文件承诺签订并履行合同。</w:t>
      </w:r>
    </w:p>
    <w:p w14:paraId="681B17ED">
      <w:pPr>
        <w:spacing w:line="360" w:lineRule="auto"/>
        <w:ind w:firstLine="480" w:firstLineChars="200"/>
        <w:rPr>
          <w:rFonts w:ascii="宋体" w:hAnsi="宋体" w:cs="宋体"/>
          <w:sz w:val="24"/>
        </w:rPr>
      </w:pPr>
    </w:p>
    <w:p w14:paraId="358B49C4">
      <w:pPr>
        <w:spacing w:line="360" w:lineRule="auto"/>
        <w:ind w:firstLine="540" w:firstLineChars="225"/>
        <w:rPr>
          <w:rFonts w:ascii="宋体" w:hAnsi="宋体" w:cs="宋体"/>
          <w:sz w:val="24"/>
        </w:rPr>
      </w:pPr>
      <w:r>
        <w:rPr>
          <w:rFonts w:hint="eastAsia" w:ascii="宋体" w:hAnsi="宋体" w:cs="宋体"/>
          <w:sz w:val="24"/>
        </w:rPr>
        <w:t>供   应  商（加盖公章）：</w:t>
      </w:r>
    </w:p>
    <w:p w14:paraId="2F7AF0BC">
      <w:pPr>
        <w:spacing w:line="360" w:lineRule="auto"/>
        <w:ind w:firstLine="540" w:firstLineChars="225"/>
        <w:rPr>
          <w:rFonts w:ascii="宋体" w:hAnsi="宋体" w:cs="宋体"/>
          <w:sz w:val="24"/>
        </w:rPr>
      </w:pPr>
    </w:p>
    <w:p w14:paraId="6A2E39AA">
      <w:pPr>
        <w:spacing w:line="360" w:lineRule="auto"/>
        <w:ind w:firstLine="540" w:firstLineChars="225"/>
        <w:rPr>
          <w:rFonts w:ascii="宋体" w:hAnsi="宋体" w:cs="宋体"/>
          <w:sz w:val="24"/>
        </w:rPr>
      </w:pPr>
      <w:r>
        <w:rPr>
          <w:rFonts w:hint="eastAsia" w:ascii="宋体" w:hAnsi="宋体" w:cs="宋体"/>
          <w:sz w:val="24"/>
        </w:rPr>
        <w:t>供应商代表（签名）：</w:t>
      </w:r>
    </w:p>
    <w:p w14:paraId="168E3243">
      <w:pPr>
        <w:spacing w:line="360" w:lineRule="auto"/>
        <w:ind w:firstLine="5220" w:firstLineChars="2175"/>
        <w:rPr>
          <w:rFonts w:ascii="宋体" w:hAnsi="宋体" w:cs="宋体"/>
          <w:sz w:val="24"/>
        </w:rPr>
      </w:pPr>
    </w:p>
    <w:p w14:paraId="31736D30">
      <w:pPr>
        <w:spacing w:line="360" w:lineRule="auto"/>
        <w:ind w:firstLine="480" w:firstLineChars="200"/>
        <w:rPr>
          <w:rFonts w:ascii="宋体" w:hAnsi="宋体" w:cs="宋体"/>
          <w:sz w:val="24"/>
        </w:rPr>
      </w:pPr>
      <w:r>
        <w:rPr>
          <w:rFonts w:hint="eastAsia" w:ascii="宋体" w:hAnsi="宋体" w:cs="宋体"/>
          <w:sz w:val="24"/>
        </w:rPr>
        <w:t xml:space="preserve">                                      日期：       年   月   日</w:t>
      </w:r>
    </w:p>
    <w:p w14:paraId="2AEFEAF2">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279BA54C">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1636312E">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739370F4">
      <w:pPr>
        <w:pStyle w:val="2"/>
        <w:keepNext w:val="0"/>
        <w:keepLines w:val="0"/>
        <w:pageBreakBefore/>
        <w:widowControl/>
        <w:spacing w:before="100" w:beforeAutospacing="1" w:after="100" w:afterAutospacing="1" w:line="360" w:lineRule="auto"/>
        <w:ind w:left="26" w:hanging="27" w:hangingChars="6"/>
        <w:jc w:val="left"/>
        <w:rPr>
          <w:rFonts w:ascii="宋体" w:hAnsi="宋体" w:cs="宋体"/>
          <w:color w:val="000000" w:themeColor="text1"/>
          <w:sz w:val="24"/>
          <w14:textFill>
            <w14:solidFill>
              <w14:schemeClr w14:val="tx1"/>
            </w14:solidFill>
          </w14:textFill>
        </w:rPr>
      </w:pPr>
      <w:bookmarkStart w:id="382" w:name="_Toc465665161"/>
      <w:r>
        <w:rPr>
          <w:rFonts w:hint="eastAsia" w:ascii="宋体" w:hAnsi="宋体" w:cs="宋体"/>
          <w:color w:val="000000" w:themeColor="text1"/>
          <w14:textFill>
            <w14:solidFill>
              <w14:schemeClr w14:val="tx1"/>
            </w14:solidFill>
          </w14:textFill>
        </w:rPr>
        <w:t>附件</w:t>
      </w:r>
      <w:bookmarkEnd w:id="382"/>
    </w:p>
    <w:p w14:paraId="05CC8538">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附件1：质疑函范本及制作说明</w:t>
      </w:r>
    </w:p>
    <w:p w14:paraId="2F0707D4">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50E9515D">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一、质疑响应人基本信息</w:t>
      </w:r>
    </w:p>
    <w:p w14:paraId="5816160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质疑响应人：</w:t>
      </w:r>
    </w:p>
    <w:p w14:paraId="2C4BCEB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2898EA7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140F590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p>
    <w:p w14:paraId="5E0FD0D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14:paraId="0328447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1C1ADB3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7FDE93D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p>
    <w:p w14:paraId="1E693B2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质疑项目的编号：包号：</w:t>
      </w:r>
    </w:p>
    <w:p w14:paraId="55B5F05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57C8DB8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p>
    <w:p w14:paraId="36518E9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8F4182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p>
    <w:p w14:paraId="2FA47A0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23065E28">
      <w:pPr>
        <w:snapToGrid w:val="0"/>
        <w:spacing w:line="360" w:lineRule="auto"/>
        <w:rPr>
          <w:rFonts w:ascii="宋体" w:hAnsi="宋体" w:cs="宋体"/>
          <w:color w:val="000000" w:themeColor="text1"/>
          <w:sz w:val="24"/>
          <w14:textFill>
            <w14:solidFill>
              <w14:schemeClr w14:val="tx1"/>
            </w14:solidFill>
          </w14:textFill>
        </w:rPr>
      </w:pPr>
    </w:p>
    <w:p w14:paraId="6714EC7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14:paraId="27C2DD3D">
      <w:pPr>
        <w:snapToGrid w:val="0"/>
        <w:spacing w:line="360" w:lineRule="auto"/>
        <w:rPr>
          <w:rFonts w:ascii="宋体" w:hAnsi="宋体" w:cs="宋体"/>
          <w:color w:val="000000" w:themeColor="text1"/>
          <w:sz w:val="24"/>
          <w:u w:val="dotted"/>
          <w14:textFill>
            <w14:solidFill>
              <w14:schemeClr w14:val="tx1"/>
            </w14:solidFill>
          </w14:textFill>
        </w:rPr>
      </w:pPr>
    </w:p>
    <w:p w14:paraId="72B7767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3A5636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715A07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8DE0A1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14:paraId="4057CBC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签字(签章)：公章：</w:t>
      </w:r>
    </w:p>
    <w:p w14:paraId="6568E8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0D511C64">
      <w:pPr>
        <w:spacing w:line="360" w:lineRule="auto"/>
        <w:jc w:val="center"/>
        <w:rPr>
          <w:rFonts w:ascii="宋体" w:hAnsi="宋体" w:cs="宋体"/>
          <w:b/>
          <w:bCs/>
          <w:color w:val="000000" w:themeColor="text1"/>
          <w:sz w:val="24"/>
          <w14:textFill>
            <w14:solidFill>
              <w14:schemeClr w14:val="tx1"/>
            </w14:solidFill>
          </w14:textFill>
        </w:rPr>
      </w:pPr>
    </w:p>
    <w:p w14:paraId="3C85CA8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18D5EFD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1.响应人提出质疑时，应提交质疑函和必要的证明材料。</w:t>
      </w:r>
    </w:p>
    <w:p w14:paraId="6E18BCB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2.质疑响应人若委托代理人进行质疑的，质疑函应按要求列明“授权代表”的有关内容，并在附件中提交由质疑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14:paraId="2FA8347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3.质疑响应人若对项目的某一分包进行质疑，质疑函中应列明具体分包号。</w:t>
      </w:r>
    </w:p>
    <w:p w14:paraId="1DDAF51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1D195D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2424EFF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6.质疑响应人为自然人的，质疑函应由本人签字；质疑响应人为法人或者其他组织的，质疑函应由法定代表人、主要负责人，或者其授权代表签字或者盖章，并加盖公章。</w:t>
      </w:r>
    </w:p>
    <w:p w14:paraId="31807D6C">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405D9342">
      <w:pPr>
        <w:spacing w:line="360" w:lineRule="auto"/>
        <w:jc w:val="center"/>
        <w:rPr>
          <w:rFonts w:ascii="宋体" w:hAnsi="宋体" w:cs="宋体"/>
          <w:b/>
          <w:color w:val="000000" w:themeColor="text1"/>
          <w:spacing w:val="6"/>
          <w:sz w:val="32"/>
          <w:szCs w:val="32"/>
          <w14:textFill>
            <w14:solidFill>
              <w14:schemeClr w14:val="tx1"/>
            </w14:solidFill>
          </w14:textFill>
        </w:rPr>
      </w:pPr>
    </w:p>
    <w:p w14:paraId="753301F2">
      <w:pPr>
        <w:spacing w:line="360" w:lineRule="auto"/>
        <w:jc w:val="center"/>
        <w:rPr>
          <w:rFonts w:ascii="宋体" w:hAnsi="宋体" w:cs="宋体"/>
          <w:b/>
          <w:color w:val="000000" w:themeColor="text1"/>
          <w:spacing w:val="6"/>
          <w:sz w:val="32"/>
          <w:szCs w:val="32"/>
          <w14:textFill>
            <w14:solidFill>
              <w14:schemeClr w14:val="tx1"/>
            </w14:solidFill>
          </w14:textFill>
        </w:rPr>
      </w:pPr>
    </w:p>
    <w:p w14:paraId="11B0F6E6">
      <w:pPr>
        <w:spacing w:line="360" w:lineRule="auto"/>
        <w:jc w:val="center"/>
        <w:rPr>
          <w:rFonts w:ascii="宋体" w:hAnsi="宋体" w:cs="宋体"/>
          <w:b/>
          <w:color w:val="000000" w:themeColor="text1"/>
          <w:spacing w:val="6"/>
          <w:sz w:val="32"/>
          <w:szCs w:val="32"/>
          <w14:textFill>
            <w14:solidFill>
              <w14:schemeClr w14:val="tx1"/>
            </w14:solidFill>
          </w14:textFill>
        </w:rPr>
      </w:pPr>
    </w:p>
    <w:p w14:paraId="07CECF1A">
      <w:pPr>
        <w:spacing w:line="360" w:lineRule="auto"/>
        <w:jc w:val="center"/>
        <w:rPr>
          <w:rFonts w:ascii="宋体" w:hAnsi="宋体" w:cs="宋体"/>
          <w:b/>
          <w:color w:val="000000" w:themeColor="text1"/>
          <w:spacing w:val="6"/>
          <w:sz w:val="32"/>
          <w:szCs w:val="32"/>
          <w14:textFill>
            <w14:solidFill>
              <w14:schemeClr w14:val="tx1"/>
            </w14:solidFill>
          </w14:textFill>
        </w:rPr>
      </w:pPr>
    </w:p>
    <w:p w14:paraId="79604B9F">
      <w:pPr>
        <w:spacing w:line="360" w:lineRule="auto"/>
        <w:jc w:val="center"/>
        <w:rPr>
          <w:rFonts w:ascii="宋体" w:hAnsi="宋体" w:cs="宋体"/>
          <w:b/>
          <w:color w:val="000000" w:themeColor="text1"/>
          <w:spacing w:val="6"/>
          <w:sz w:val="32"/>
          <w:szCs w:val="32"/>
          <w14:textFill>
            <w14:solidFill>
              <w14:schemeClr w14:val="tx1"/>
            </w14:solidFill>
          </w14:textFill>
        </w:rPr>
      </w:pPr>
    </w:p>
    <w:p w14:paraId="2720FA3F">
      <w:pPr>
        <w:spacing w:line="360" w:lineRule="auto"/>
        <w:jc w:val="center"/>
        <w:rPr>
          <w:rFonts w:ascii="宋体" w:hAnsi="宋体" w:cs="宋体"/>
          <w:b/>
          <w:color w:val="000000" w:themeColor="text1"/>
          <w:spacing w:val="6"/>
          <w:sz w:val="32"/>
          <w:szCs w:val="32"/>
          <w14:textFill>
            <w14:solidFill>
              <w14:schemeClr w14:val="tx1"/>
            </w14:solidFill>
          </w14:textFill>
        </w:rPr>
      </w:pPr>
    </w:p>
    <w:p w14:paraId="10EB0E4E">
      <w:pPr>
        <w:spacing w:line="360" w:lineRule="auto"/>
        <w:jc w:val="center"/>
        <w:rPr>
          <w:rFonts w:ascii="宋体" w:hAnsi="宋体" w:cs="宋体"/>
          <w:b/>
          <w:color w:val="000000" w:themeColor="text1"/>
          <w:spacing w:val="6"/>
          <w:sz w:val="32"/>
          <w:szCs w:val="32"/>
          <w14:textFill>
            <w14:solidFill>
              <w14:schemeClr w14:val="tx1"/>
            </w14:solidFill>
          </w14:textFill>
        </w:rPr>
      </w:pPr>
    </w:p>
    <w:p w14:paraId="3F0B2BDA">
      <w:pPr>
        <w:spacing w:line="360" w:lineRule="auto"/>
        <w:jc w:val="center"/>
        <w:rPr>
          <w:rFonts w:ascii="宋体" w:hAnsi="宋体" w:cs="宋体"/>
          <w:b/>
          <w:color w:val="000000" w:themeColor="text1"/>
          <w:spacing w:val="6"/>
          <w:sz w:val="32"/>
          <w:szCs w:val="32"/>
          <w14:textFill>
            <w14:solidFill>
              <w14:schemeClr w14:val="tx1"/>
            </w14:solidFill>
          </w14:textFill>
        </w:rPr>
      </w:pPr>
    </w:p>
    <w:p w14:paraId="7001C859">
      <w:pPr>
        <w:spacing w:line="360" w:lineRule="auto"/>
        <w:jc w:val="center"/>
        <w:rPr>
          <w:rFonts w:ascii="宋体" w:hAnsi="宋体" w:cs="宋体"/>
          <w:b/>
          <w:color w:val="000000" w:themeColor="text1"/>
          <w:spacing w:val="6"/>
          <w:sz w:val="32"/>
          <w:szCs w:val="32"/>
          <w14:textFill>
            <w14:solidFill>
              <w14:schemeClr w14:val="tx1"/>
            </w14:solidFill>
          </w14:textFill>
        </w:rPr>
      </w:pPr>
    </w:p>
    <w:p w14:paraId="1E41530E">
      <w:pPr>
        <w:spacing w:line="360" w:lineRule="auto"/>
        <w:jc w:val="center"/>
        <w:rPr>
          <w:rFonts w:ascii="宋体" w:hAnsi="宋体" w:cs="宋体"/>
          <w:b/>
          <w:color w:val="000000" w:themeColor="text1"/>
          <w:spacing w:val="6"/>
          <w:sz w:val="32"/>
          <w:szCs w:val="32"/>
          <w14:textFill>
            <w14:solidFill>
              <w14:schemeClr w14:val="tx1"/>
            </w14:solidFill>
          </w14:textFill>
        </w:rPr>
      </w:pPr>
    </w:p>
    <w:p w14:paraId="3ACBB41D">
      <w:pPr>
        <w:spacing w:line="360" w:lineRule="auto"/>
        <w:jc w:val="center"/>
        <w:rPr>
          <w:rFonts w:ascii="宋体" w:hAnsi="宋体" w:cs="宋体"/>
          <w:b/>
          <w:color w:val="000000" w:themeColor="text1"/>
          <w:spacing w:val="6"/>
          <w:sz w:val="32"/>
          <w:szCs w:val="32"/>
          <w14:textFill>
            <w14:solidFill>
              <w14:schemeClr w14:val="tx1"/>
            </w14:solidFill>
          </w14:textFill>
        </w:rPr>
      </w:pPr>
    </w:p>
    <w:p w14:paraId="73387D6B">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6A802A6C">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14:paraId="51DE942E">
      <w:pPr>
        <w:spacing w:line="360" w:lineRule="auto"/>
        <w:jc w:val="center"/>
        <w:rPr>
          <w:rFonts w:ascii="宋体" w:hAnsi="宋体" w:cs="宋体"/>
          <w:b/>
          <w:color w:val="000000" w:themeColor="text1"/>
          <w:sz w:val="24"/>
          <w14:textFill>
            <w14:solidFill>
              <w14:schemeClr w14:val="tx1"/>
            </w14:solidFill>
          </w14:textFill>
        </w:rPr>
      </w:pPr>
    </w:p>
    <w:p w14:paraId="39B455A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3ACF3F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49C9F66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p>
    <w:p w14:paraId="678C236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3B732DCD">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p>
    <w:p w14:paraId="3825F9AD">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14:paraId="230F53F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授权代表：联系电话</w:t>
      </w:r>
      <w:r>
        <w:rPr>
          <w:rFonts w:hint="eastAsia" w:ascii="宋体" w:hAnsi="宋体" w:cs="宋体"/>
          <w:color w:val="000000" w:themeColor="text1"/>
          <w:sz w:val="24"/>
          <w:u w:val="dotted"/>
          <w14:textFill>
            <w14:solidFill>
              <w14:schemeClr w14:val="tx1"/>
            </w14:solidFill>
          </w14:textFill>
        </w:rPr>
        <w:t>：</w:t>
      </w:r>
    </w:p>
    <w:p w14:paraId="0631BE2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20F60D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p>
    <w:p w14:paraId="2A38C59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11C50DE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61EA2D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5094409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DFCC30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相关响应人：</w:t>
      </w:r>
    </w:p>
    <w:p w14:paraId="3203C61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505B65F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18F2A5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648E624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p>
    <w:p w14:paraId="71204ED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采购项目编号：包号：</w:t>
      </w:r>
    </w:p>
    <w:p w14:paraId="12C4D69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2D76E3B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p>
    <w:p w14:paraId="2E5417B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是/否</w:t>
      </w:r>
      <w:r>
        <w:rPr>
          <w:rFonts w:hint="eastAsia" w:ascii="宋体" w:hAnsi="宋体" w:cs="宋体"/>
          <w:color w:val="000000" w:themeColor="text1"/>
          <w:sz w:val="24"/>
          <w14:textFill>
            <w14:solidFill>
              <w14:schemeClr w14:val="tx1"/>
            </w14:solidFill>
          </w14:textFill>
        </w:rPr>
        <w:t>公告期限：</w:t>
      </w:r>
    </w:p>
    <w:p w14:paraId="0164D80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是/否</w:t>
      </w:r>
      <w:r>
        <w:rPr>
          <w:rFonts w:hint="eastAsia" w:ascii="宋体" w:hAnsi="宋体" w:cs="宋体"/>
          <w:color w:val="000000" w:themeColor="text1"/>
          <w:sz w:val="24"/>
          <w14:textFill>
            <w14:solidFill>
              <w14:schemeClr w14:val="tx1"/>
            </w14:solidFill>
          </w14:textFill>
        </w:rPr>
        <w:t>公告期限：</w:t>
      </w:r>
    </w:p>
    <w:p w14:paraId="3A88C0B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3B807959">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投诉人于年月日,向提出质疑，质疑事项为：</w:t>
      </w:r>
    </w:p>
    <w:p w14:paraId="090521F8">
      <w:pPr>
        <w:spacing w:line="360" w:lineRule="auto"/>
        <w:rPr>
          <w:rFonts w:ascii="宋体" w:hAnsi="宋体" w:cs="宋体"/>
          <w:color w:val="000000" w:themeColor="text1"/>
          <w:sz w:val="24"/>
          <w:u w:val="dotted"/>
          <w14:textFill>
            <w14:solidFill>
              <w14:schemeClr w14:val="tx1"/>
            </w14:solidFill>
          </w14:textFill>
        </w:rPr>
      </w:pPr>
    </w:p>
    <w:p w14:paraId="0C93B6DB">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于年月日,就质疑事项作出了答复/没有在法定期限内作出答复。</w:t>
      </w:r>
    </w:p>
    <w:p w14:paraId="33863A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06D043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p>
    <w:p w14:paraId="1003CB9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0E1525E5">
      <w:pPr>
        <w:spacing w:line="360" w:lineRule="auto"/>
        <w:rPr>
          <w:rFonts w:ascii="宋体" w:hAnsi="宋体" w:cs="宋体"/>
          <w:color w:val="000000" w:themeColor="text1"/>
          <w:sz w:val="24"/>
          <w:u w:val="dotted"/>
          <w14:textFill>
            <w14:solidFill>
              <w14:schemeClr w14:val="tx1"/>
            </w14:solidFill>
          </w14:textFill>
        </w:rPr>
      </w:pPr>
    </w:p>
    <w:p w14:paraId="7BC1EE5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14:paraId="17D74FE3">
      <w:pPr>
        <w:spacing w:line="360" w:lineRule="auto"/>
        <w:rPr>
          <w:rFonts w:ascii="宋体" w:hAnsi="宋体" w:cs="宋体"/>
          <w:color w:val="000000" w:themeColor="text1"/>
          <w:sz w:val="24"/>
          <w:u w:val="dotted"/>
          <w14:textFill>
            <w14:solidFill>
              <w14:schemeClr w14:val="tx1"/>
            </w14:solidFill>
          </w14:textFill>
        </w:rPr>
      </w:pPr>
    </w:p>
    <w:p w14:paraId="4A24CB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B3BBCC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A334E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52685E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14:paraId="5418ACC3">
      <w:pPr>
        <w:spacing w:line="360" w:lineRule="auto"/>
        <w:rPr>
          <w:rFonts w:ascii="宋体" w:hAnsi="宋体" w:cs="宋体"/>
          <w:color w:val="000000" w:themeColor="text1"/>
          <w:sz w:val="24"/>
          <w:u w:val="single"/>
          <w14:textFill>
            <w14:solidFill>
              <w14:schemeClr w14:val="tx1"/>
            </w14:solidFill>
          </w14:textFill>
        </w:rPr>
      </w:pPr>
    </w:p>
    <w:p w14:paraId="607893F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签字(签章)：公章：</w:t>
      </w:r>
    </w:p>
    <w:p w14:paraId="4521C1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43E29961">
      <w:pPr>
        <w:spacing w:line="360" w:lineRule="auto"/>
        <w:rPr>
          <w:rFonts w:ascii="宋体" w:hAnsi="宋体" w:cs="宋体"/>
          <w:b/>
          <w:color w:val="000000" w:themeColor="text1"/>
          <w:sz w:val="24"/>
          <w14:textFill>
            <w14:solidFill>
              <w14:schemeClr w14:val="tx1"/>
            </w14:solidFill>
          </w14:textFill>
        </w:rPr>
      </w:pPr>
    </w:p>
    <w:p w14:paraId="47A30F99">
      <w:pPr>
        <w:spacing w:line="360" w:lineRule="auto"/>
        <w:rPr>
          <w:rFonts w:ascii="宋体" w:hAnsi="宋体" w:cs="宋体"/>
          <w:b/>
          <w:color w:val="000000" w:themeColor="text1"/>
          <w:sz w:val="24"/>
          <w14:textFill>
            <w14:solidFill>
              <w14:schemeClr w14:val="tx1"/>
            </w14:solidFill>
          </w14:textFill>
        </w:rPr>
      </w:pPr>
    </w:p>
    <w:p w14:paraId="42B5E88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4A40369A">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14:paraId="2C1DD87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075248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70AE384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5F5952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F9F165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29DEA79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6A5B0C9">
      <w:pPr>
        <w:spacing w:line="360" w:lineRule="auto"/>
        <w:rPr>
          <w:rFonts w:ascii="宋体" w:hAnsi="宋体" w:cs="宋体"/>
          <w:b/>
          <w:color w:val="000000" w:themeColor="text1"/>
          <w:sz w:val="24"/>
          <w14:textFill>
            <w14:solidFill>
              <w14:schemeClr w14:val="tx1"/>
            </w14:solidFill>
          </w14:textFill>
        </w:rPr>
      </w:pPr>
    </w:p>
    <w:p w14:paraId="7942A53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63736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8476E4">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r>
        <w:rPr>
          <w:rFonts w:hint="eastAsia" w:ascii="宋体" w:hAnsi="宋体" w:cs="宋体"/>
          <w:b/>
          <w:color w:val="000000" w:themeColor="text1"/>
          <w:spacing w:val="6"/>
          <w:sz w:val="32"/>
          <w:szCs w:val="32"/>
          <w14:textFill>
            <w14:solidFill>
              <w14:schemeClr w14:val="tx1"/>
            </w14:solidFill>
          </w14:textFill>
        </w:rPr>
        <w:t>附件3：</w:t>
      </w:r>
      <w:r>
        <w:rPr>
          <w:rFonts w:hint="eastAsia" w:ascii="宋体" w:hAnsi="宋体" w:cs="宋体"/>
          <w:b/>
          <w:bCs/>
          <w:color w:val="000000" w:themeColor="text1"/>
          <w:sz w:val="32"/>
          <w:szCs w:val="32"/>
          <w14:textFill>
            <w14:solidFill>
              <w14:schemeClr w14:val="tx1"/>
            </w14:solidFill>
          </w14:textFill>
        </w:rPr>
        <w:t>业务专用章使用说明函</w:t>
      </w:r>
    </w:p>
    <w:p w14:paraId="421D4DF4">
      <w:pPr>
        <w:spacing w:line="360" w:lineRule="auto"/>
        <w:rPr>
          <w:rFonts w:ascii="宋体" w:hAnsi="宋体" w:cs="宋体"/>
          <w:color w:val="000000" w:themeColor="text1"/>
          <w:sz w:val="24"/>
          <w:u w:val="single"/>
          <w14:textFill>
            <w14:solidFill>
              <w14:schemeClr w14:val="tx1"/>
            </w14:solidFill>
          </w14:textFill>
        </w:rPr>
      </w:pPr>
    </w:p>
    <w:p w14:paraId="4DDE5B1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14F63D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(响应人全称)是中华人民共和国依法登记注册的合法企业，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w:t>
      </w:r>
      <w:r>
        <w:rPr>
          <w:rFonts w:hint="eastAsia" w:ascii="宋体" w:hAnsi="宋体" w:cs="宋体"/>
          <w:bCs/>
          <w:color w:val="000000" w:themeColor="text1"/>
          <w:sz w:val="24"/>
          <w14:textFill>
            <w14:solidFill>
              <w14:schemeClr w14:val="tx1"/>
            </w14:solidFill>
          </w14:textFill>
        </w:rPr>
        <w:t>交易活动中作如下说明：</w:t>
      </w:r>
      <w:r>
        <w:rPr>
          <w:rFonts w:hint="eastAsia" w:ascii="宋体" w:hAnsi="宋体" w:cs="宋体"/>
          <w:color w:val="000000" w:themeColor="text1"/>
          <w:sz w:val="24"/>
          <w14:textFill>
            <w14:solidFill>
              <w14:schemeClr w14:val="tx1"/>
            </w14:solidFill>
          </w14:textFill>
        </w:rPr>
        <w:t>我方所使用的“XX专用章”与法定名称章具有同等的法律效力，对使用“XX专用章”的行为予以完全承认，并愿意承担相应责任。</w:t>
      </w:r>
    </w:p>
    <w:p w14:paraId="73E653A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D07F2FE">
      <w:pPr>
        <w:spacing w:line="360" w:lineRule="auto"/>
        <w:ind w:firstLine="494"/>
        <w:rPr>
          <w:rFonts w:ascii="宋体" w:hAnsi="宋体" w:cs="宋体"/>
          <w:color w:val="000000" w:themeColor="text1"/>
          <w:sz w:val="24"/>
          <w14:textFill>
            <w14:solidFill>
              <w14:schemeClr w14:val="tx1"/>
            </w14:solidFill>
          </w14:textFill>
        </w:rPr>
      </w:pPr>
    </w:p>
    <w:p w14:paraId="376D0BD8">
      <w:pPr>
        <w:spacing w:line="360" w:lineRule="auto"/>
        <w:ind w:firstLine="494"/>
        <w:rPr>
          <w:rFonts w:ascii="宋体" w:hAnsi="宋体" w:cs="宋体"/>
          <w:color w:val="000000" w:themeColor="text1"/>
          <w:sz w:val="24"/>
          <w14:textFill>
            <w14:solidFill>
              <w14:schemeClr w14:val="tx1"/>
            </w14:solidFill>
          </w14:textFill>
        </w:rPr>
      </w:pPr>
    </w:p>
    <w:p w14:paraId="5788E257">
      <w:pPr>
        <w:spacing w:line="360" w:lineRule="auto"/>
        <w:ind w:firstLine="494"/>
        <w:rPr>
          <w:rFonts w:ascii="宋体" w:hAnsi="宋体" w:cs="宋体"/>
          <w:color w:val="000000" w:themeColor="text1"/>
          <w:sz w:val="24"/>
          <w14:textFill>
            <w14:solidFill>
              <w14:schemeClr w14:val="tx1"/>
            </w14:solidFill>
          </w14:textFill>
        </w:rPr>
      </w:pPr>
    </w:p>
    <w:p w14:paraId="5EBC2E11">
      <w:pPr>
        <w:spacing w:line="360" w:lineRule="auto"/>
        <w:ind w:firstLine="494"/>
        <w:rPr>
          <w:rFonts w:ascii="宋体" w:hAnsi="宋体" w:cs="宋体"/>
          <w:color w:val="000000" w:themeColor="text1"/>
          <w:sz w:val="24"/>
          <w14:textFill>
            <w14:solidFill>
              <w14:schemeClr w14:val="tx1"/>
            </w14:solidFill>
          </w14:textFill>
        </w:rPr>
      </w:pPr>
    </w:p>
    <w:p w14:paraId="0F93C411">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响应单位（法定名称章）：</w:t>
      </w:r>
    </w:p>
    <w:p w14:paraId="0C13554B">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14:paraId="1626671E">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31CF5B20">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单位法定名称章（印模）响应单位“XX专用章”（印模）</w:t>
      </w:r>
    </w:p>
    <w:p w14:paraId="2DCCFEA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4B958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09E0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2D238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59742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F76E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348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8C6D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3BF22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8049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131112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47D7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2D81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23B3E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1CBD2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3CC63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48AFAC">
      <w:pPr>
        <w:autoSpaceDE w:val="0"/>
        <w:autoSpaceDN w:val="0"/>
        <w:jc w:val="center"/>
        <w:rPr>
          <w:rFonts w:ascii="宋体" w:hAnsi="宋体" w:cs="宋体"/>
          <w:b/>
          <w:color w:val="000000" w:themeColor="text1"/>
          <w:spacing w:val="6"/>
          <w:sz w:val="32"/>
          <w:szCs w:val="32"/>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panose1 w:val="020B0504020202030204"/>
    <w:charset w:val="00"/>
    <w:family w:val="decorative"/>
    <w:pitch w:val="default"/>
    <w:sig w:usb0="00000007"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83" w:usb1="288F0000" w:usb2="0000000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5B6D">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页</w:t>
    </w:r>
  </w:p>
  <w:p w14:paraId="66756D7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F6B8">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页</w:t>
    </w:r>
  </w:p>
  <w:p w14:paraId="0F30AB1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343E">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页</w:t>
    </w:r>
  </w:p>
  <w:p w14:paraId="39B0315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DE44">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页</w:t>
    </w:r>
  </w:p>
  <w:p w14:paraId="6401A4F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285F">
    <w:pPr>
      <w:pStyle w:val="41"/>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46</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46</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AE35">
    <w:pPr>
      <w:pStyle w:val="41"/>
      <w:framePr w:wrap="around" w:vAnchor="text" w:hAnchor="margin" w:xAlign="right" w:y="1"/>
      <w:rPr>
        <w:rStyle w:val="74"/>
      </w:rPr>
    </w:pPr>
    <w:r>
      <w:fldChar w:fldCharType="begin"/>
    </w:r>
    <w:r>
      <w:rPr>
        <w:rStyle w:val="74"/>
      </w:rPr>
      <w:instrText xml:space="preserve">PAGE  </w:instrText>
    </w:r>
    <w:r>
      <w:fldChar w:fldCharType="end"/>
    </w:r>
  </w:p>
  <w:p w14:paraId="234A769D">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B7E7">
    <w:pPr>
      <w:pStyle w:val="41"/>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bookmarkStart w:id="383" w:name="_Toc91899912"/>
    <w:bookmarkStart w:id="384" w:name="_Toc164085800"/>
    <w:bookmarkStart w:id="385" w:name="_Toc36110187"/>
    <w:bookmarkStart w:id="386" w:name="_Toc131845147"/>
    <w:r>
      <w:rPr>
        <w:rFonts w:hint="eastAsia" w:ascii="仿宋_GB2312" w:eastAsia="仿宋_GB2312"/>
        <w:kern w:val="0"/>
        <w:szCs w:val="21"/>
      </w:rPr>
      <w:t>页</w:t>
    </w:r>
    <w:bookmarkEnd w:id="383"/>
    <w:bookmarkEnd w:id="384"/>
    <w:bookmarkEnd w:id="385"/>
    <w:bookmarkEnd w:id="3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5282">
    <w:pPr>
      <w:pStyle w:val="43"/>
      <w:jc w:val="right"/>
      <w:rPr>
        <w:rFonts w:ascii="仿宋_GB2312"/>
        <w:b/>
        <w:i/>
        <w:u w:val="single"/>
      </w:rPr>
    </w:pPr>
    <w:r>
      <w:t>公开</w:t>
    </w:r>
    <w:r>
      <w:rPr>
        <w:rFonts w:hint="eastAsia"/>
      </w:rPr>
      <w:t>交易文件</w:t>
    </w:r>
  </w:p>
  <w:p w14:paraId="5EA6EBE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4D37">
    <w:pPr>
      <w:pStyle w:val="43"/>
    </w:pPr>
    <w:r>
      <w:t></w:t>
    </w:r>
  </w:p>
  <w:p w14:paraId="5D0EC864">
    <w:pPr>
      <w:pStyle w:val="43"/>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E341">
    <w:pPr>
      <w:pStyle w:val="43"/>
      <w:jc w:val="right"/>
      <w:rPr>
        <w:rFonts w:ascii="仿宋_GB2312"/>
        <w:b/>
        <w:i/>
        <w:u w:val="single"/>
      </w:rPr>
    </w:pPr>
    <w:r>
      <w:t>公开</w:t>
    </w:r>
    <w:r>
      <w:rPr>
        <w:rFonts w:hint="eastAsia"/>
      </w:rPr>
      <w:t>交易文件</w:t>
    </w:r>
  </w:p>
  <w:p w14:paraId="27CA494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D0D9">
    <w:pPr>
      <w:pStyle w:val="43"/>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718C">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17CC">
    <w:pPr>
      <w:pStyle w:val="43"/>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1E12E"/>
    <w:multiLevelType w:val="singleLevel"/>
    <w:tmpl w:val="A9D1E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zE0ZDg4NzljMGFiMDJiZWZlZjM5OTg1MzIwM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4BB"/>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6E0"/>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89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31B"/>
    <w:rsid w:val="0018235C"/>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4F7A"/>
    <w:rsid w:val="001B572D"/>
    <w:rsid w:val="001B576E"/>
    <w:rsid w:val="001B5B10"/>
    <w:rsid w:val="001B6025"/>
    <w:rsid w:val="001B69D5"/>
    <w:rsid w:val="001B6D58"/>
    <w:rsid w:val="001B6FA7"/>
    <w:rsid w:val="001B7A15"/>
    <w:rsid w:val="001B7B69"/>
    <w:rsid w:val="001B7DC1"/>
    <w:rsid w:val="001C08DB"/>
    <w:rsid w:val="001C10BD"/>
    <w:rsid w:val="001C1F01"/>
    <w:rsid w:val="001C2092"/>
    <w:rsid w:val="001C232F"/>
    <w:rsid w:val="001C2544"/>
    <w:rsid w:val="001C2A17"/>
    <w:rsid w:val="001C31F5"/>
    <w:rsid w:val="001C359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A88"/>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1FD"/>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7B"/>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2C"/>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1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5CE"/>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43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38F"/>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82"/>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5D2"/>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E3"/>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153"/>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951"/>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22D"/>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5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059"/>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B2"/>
    <w:rsid w:val="00727AC5"/>
    <w:rsid w:val="00727C65"/>
    <w:rsid w:val="007300F0"/>
    <w:rsid w:val="00730904"/>
    <w:rsid w:val="00731EDE"/>
    <w:rsid w:val="0073245C"/>
    <w:rsid w:val="00732493"/>
    <w:rsid w:val="00732FE9"/>
    <w:rsid w:val="00733772"/>
    <w:rsid w:val="00733A43"/>
    <w:rsid w:val="00733AE4"/>
    <w:rsid w:val="00733D5F"/>
    <w:rsid w:val="00734225"/>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991"/>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751"/>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322"/>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5A"/>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3540"/>
    <w:rsid w:val="00D038DC"/>
    <w:rsid w:val="00D04F01"/>
    <w:rsid w:val="00D04F8B"/>
    <w:rsid w:val="00D054EF"/>
    <w:rsid w:val="00D05637"/>
    <w:rsid w:val="00D05BA9"/>
    <w:rsid w:val="00D05EB1"/>
    <w:rsid w:val="00D0650B"/>
    <w:rsid w:val="00D068AA"/>
    <w:rsid w:val="00D06E71"/>
    <w:rsid w:val="00D06E9C"/>
    <w:rsid w:val="00D0714B"/>
    <w:rsid w:val="00D0764E"/>
    <w:rsid w:val="00D07A7C"/>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554"/>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8B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64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B54"/>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AE"/>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284"/>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1B"/>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7D8"/>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67398B"/>
    <w:rsid w:val="019F7441"/>
    <w:rsid w:val="01B37585"/>
    <w:rsid w:val="01D17056"/>
    <w:rsid w:val="01D52B5B"/>
    <w:rsid w:val="01D55165"/>
    <w:rsid w:val="01DF6BF8"/>
    <w:rsid w:val="01EC2C57"/>
    <w:rsid w:val="025F0711"/>
    <w:rsid w:val="026B2E25"/>
    <w:rsid w:val="02824D4D"/>
    <w:rsid w:val="02DC4B10"/>
    <w:rsid w:val="02DD76CE"/>
    <w:rsid w:val="02F36323"/>
    <w:rsid w:val="02F5619C"/>
    <w:rsid w:val="02FE5400"/>
    <w:rsid w:val="0326446A"/>
    <w:rsid w:val="032D5555"/>
    <w:rsid w:val="036634D2"/>
    <w:rsid w:val="039406C3"/>
    <w:rsid w:val="03DD35E4"/>
    <w:rsid w:val="04076900"/>
    <w:rsid w:val="041A5A3B"/>
    <w:rsid w:val="0420019C"/>
    <w:rsid w:val="042311BA"/>
    <w:rsid w:val="042B157A"/>
    <w:rsid w:val="043A73B1"/>
    <w:rsid w:val="04602913"/>
    <w:rsid w:val="048F763B"/>
    <w:rsid w:val="049F330E"/>
    <w:rsid w:val="04AA775C"/>
    <w:rsid w:val="04AF1889"/>
    <w:rsid w:val="04BC3FEE"/>
    <w:rsid w:val="04EA42E1"/>
    <w:rsid w:val="04F66F48"/>
    <w:rsid w:val="051E28A6"/>
    <w:rsid w:val="05251E14"/>
    <w:rsid w:val="05507636"/>
    <w:rsid w:val="05770BD6"/>
    <w:rsid w:val="05A16594"/>
    <w:rsid w:val="05A7762D"/>
    <w:rsid w:val="05C04DC2"/>
    <w:rsid w:val="05CB5D9D"/>
    <w:rsid w:val="05D11D1B"/>
    <w:rsid w:val="05D610DF"/>
    <w:rsid w:val="05E277B3"/>
    <w:rsid w:val="060E5941"/>
    <w:rsid w:val="06110FAF"/>
    <w:rsid w:val="06493CA7"/>
    <w:rsid w:val="065A6178"/>
    <w:rsid w:val="065C072B"/>
    <w:rsid w:val="065F76C6"/>
    <w:rsid w:val="066F1CF3"/>
    <w:rsid w:val="06930BB8"/>
    <w:rsid w:val="07245D42"/>
    <w:rsid w:val="07264C62"/>
    <w:rsid w:val="072D2F81"/>
    <w:rsid w:val="0779354C"/>
    <w:rsid w:val="07CB1A68"/>
    <w:rsid w:val="08061376"/>
    <w:rsid w:val="080C2E93"/>
    <w:rsid w:val="08452D77"/>
    <w:rsid w:val="086401F8"/>
    <w:rsid w:val="086A1C95"/>
    <w:rsid w:val="08751CAA"/>
    <w:rsid w:val="087E4C40"/>
    <w:rsid w:val="08A871D0"/>
    <w:rsid w:val="08D66AD6"/>
    <w:rsid w:val="08DA33A3"/>
    <w:rsid w:val="08E41D65"/>
    <w:rsid w:val="08E80F13"/>
    <w:rsid w:val="09335624"/>
    <w:rsid w:val="0944690F"/>
    <w:rsid w:val="09535675"/>
    <w:rsid w:val="095A5849"/>
    <w:rsid w:val="095F057D"/>
    <w:rsid w:val="095F13EB"/>
    <w:rsid w:val="09642282"/>
    <w:rsid w:val="09733572"/>
    <w:rsid w:val="09772C16"/>
    <w:rsid w:val="098353B5"/>
    <w:rsid w:val="09A92330"/>
    <w:rsid w:val="09B06B87"/>
    <w:rsid w:val="09C13146"/>
    <w:rsid w:val="09CF031F"/>
    <w:rsid w:val="09E04166"/>
    <w:rsid w:val="0A1C0718"/>
    <w:rsid w:val="0A212B33"/>
    <w:rsid w:val="0A3E7710"/>
    <w:rsid w:val="0A5B7E63"/>
    <w:rsid w:val="0A670BFC"/>
    <w:rsid w:val="0AA374A5"/>
    <w:rsid w:val="0AAB7649"/>
    <w:rsid w:val="0ABC5606"/>
    <w:rsid w:val="0B30404E"/>
    <w:rsid w:val="0B4C6C14"/>
    <w:rsid w:val="0B5722B0"/>
    <w:rsid w:val="0B631A88"/>
    <w:rsid w:val="0B683D45"/>
    <w:rsid w:val="0B7F3F11"/>
    <w:rsid w:val="0B884417"/>
    <w:rsid w:val="0BBD7CB7"/>
    <w:rsid w:val="0BF416C5"/>
    <w:rsid w:val="0BF6188C"/>
    <w:rsid w:val="0BF73C91"/>
    <w:rsid w:val="0C170175"/>
    <w:rsid w:val="0C571A41"/>
    <w:rsid w:val="0C5C1171"/>
    <w:rsid w:val="0C5C7E64"/>
    <w:rsid w:val="0C5E1CBC"/>
    <w:rsid w:val="0C615B50"/>
    <w:rsid w:val="0C8445DA"/>
    <w:rsid w:val="0C87121B"/>
    <w:rsid w:val="0C9E73B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87DE4"/>
    <w:rsid w:val="0E2C5C7A"/>
    <w:rsid w:val="0E5604B2"/>
    <w:rsid w:val="0E5C59AA"/>
    <w:rsid w:val="0E6D5D79"/>
    <w:rsid w:val="0E7019A5"/>
    <w:rsid w:val="0E793EDB"/>
    <w:rsid w:val="0E9D0089"/>
    <w:rsid w:val="0EB803EE"/>
    <w:rsid w:val="0EF94D4B"/>
    <w:rsid w:val="0F1467D4"/>
    <w:rsid w:val="0F4958DC"/>
    <w:rsid w:val="0F515DF7"/>
    <w:rsid w:val="0F596BA8"/>
    <w:rsid w:val="0F6248D2"/>
    <w:rsid w:val="0F693536"/>
    <w:rsid w:val="0F7B0511"/>
    <w:rsid w:val="0F7B76D9"/>
    <w:rsid w:val="0F816ACD"/>
    <w:rsid w:val="0F9718DF"/>
    <w:rsid w:val="0F9832DB"/>
    <w:rsid w:val="0FBF3FD2"/>
    <w:rsid w:val="0FBF7FF3"/>
    <w:rsid w:val="0FF70D71"/>
    <w:rsid w:val="0FF73E28"/>
    <w:rsid w:val="10646583"/>
    <w:rsid w:val="107D4B15"/>
    <w:rsid w:val="108A3C80"/>
    <w:rsid w:val="10C26171"/>
    <w:rsid w:val="10F33360"/>
    <w:rsid w:val="10FC16EA"/>
    <w:rsid w:val="110F1D40"/>
    <w:rsid w:val="11266F33"/>
    <w:rsid w:val="11432F32"/>
    <w:rsid w:val="118963A1"/>
    <w:rsid w:val="11C6522A"/>
    <w:rsid w:val="11E104CC"/>
    <w:rsid w:val="11E20309"/>
    <w:rsid w:val="12081A72"/>
    <w:rsid w:val="12255233"/>
    <w:rsid w:val="12530213"/>
    <w:rsid w:val="127723A9"/>
    <w:rsid w:val="12862074"/>
    <w:rsid w:val="12883966"/>
    <w:rsid w:val="129E45B4"/>
    <w:rsid w:val="12D21374"/>
    <w:rsid w:val="12D81596"/>
    <w:rsid w:val="13072A44"/>
    <w:rsid w:val="131A1B7F"/>
    <w:rsid w:val="134F24D1"/>
    <w:rsid w:val="135F4BE2"/>
    <w:rsid w:val="139B1A0A"/>
    <w:rsid w:val="139D25C7"/>
    <w:rsid w:val="13BF3CE4"/>
    <w:rsid w:val="141008D8"/>
    <w:rsid w:val="14125FE6"/>
    <w:rsid w:val="144C6FE7"/>
    <w:rsid w:val="14500381"/>
    <w:rsid w:val="146D271E"/>
    <w:rsid w:val="147C10A3"/>
    <w:rsid w:val="14982588"/>
    <w:rsid w:val="149A5AD9"/>
    <w:rsid w:val="14A01DD9"/>
    <w:rsid w:val="14A7619D"/>
    <w:rsid w:val="150536C3"/>
    <w:rsid w:val="150C1963"/>
    <w:rsid w:val="151447A0"/>
    <w:rsid w:val="154A6454"/>
    <w:rsid w:val="15762120"/>
    <w:rsid w:val="15FA336F"/>
    <w:rsid w:val="1606156C"/>
    <w:rsid w:val="16A8729C"/>
    <w:rsid w:val="16B33777"/>
    <w:rsid w:val="16BC70A7"/>
    <w:rsid w:val="16C6339E"/>
    <w:rsid w:val="16C84A74"/>
    <w:rsid w:val="16FE2244"/>
    <w:rsid w:val="172F2D79"/>
    <w:rsid w:val="174C29DE"/>
    <w:rsid w:val="17557BEF"/>
    <w:rsid w:val="17D349C1"/>
    <w:rsid w:val="18051945"/>
    <w:rsid w:val="1830729E"/>
    <w:rsid w:val="185310D7"/>
    <w:rsid w:val="1870062C"/>
    <w:rsid w:val="18817102"/>
    <w:rsid w:val="18830A15"/>
    <w:rsid w:val="18852B28"/>
    <w:rsid w:val="188B5321"/>
    <w:rsid w:val="19014EFC"/>
    <w:rsid w:val="198729C4"/>
    <w:rsid w:val="19932372"/>
    <w:rsid w:val="19A20DD5"/>
    <w:rsid w:val="19AE03F1"/>
    <w:rsid w:val="1A071A03"/>
    <w:rsid w:val="1A1F16AE"/>
    <w:rsid w:val="1A23520E"/>
    <w:rsid w:val="1A3B5C77"/>
    <w:rsid w:val="1A984BAD"/>
    <w:rsid w:val="1AAB4490"/>
    <w:rsid w:val="1AB8220E"/>
    <w:rsid w:val="1AC86859"/>
    <w:rsid w:val="1AE4166C"/>
    <w:rsid w:val="1AF06CFB"/>
    <w:rsid w:val="1AF11B8D"/>
    <w:rsid w:val="1B11359C"/>
    <w:rsid w:val="1B13595F"/>
    <w:rsid w:val="1B2A271F"/>
    <w:rsid w:val="1B530544"/>
    <w:rsid w:val="1B713184"/>
    <w:rsid w:val="1BA209CF"/>
    <w:rsid w:val="1BB4777D"/>
    <w:rsid w:val="1BD70D74"/>
    <w:rsid w:val="1BD75AB8"/>
    <w:rsid w:val="1BE22A26"/>
    <w:rsid w:val="1C0459C2"/>
    <w:rsid w:val="1C1B3B4A"/>
    <w:rsid w:val="1C427A2B"/>
    <w:rsid w:val="1C5866B4"/>
    <w:rsid w:val="1C88086E"/>
    <w:rsid w:val="1D266CE1"/>
    <w:rsid w:val="1D3963AF"/>
    <w:rsid w:val="1D6A673C"/>
    <w:rsid w:val="1D9247AE"/>
    <w:rsid w:val="1DB567EC"/>
    <w:rsid w:val="1DD2153D"/>
    <w:rsid w:val="1DF51A98"/>
    <w:rsid w:val="1E3D060F"/>
    <w:rsid w:val="1E3F7D2E"/>
    <w:rsid w:val="1E4134E4"/>
    <w:rsid w:val="1E5062B3"/>
    <w:rsid w:val="1E523514"/>
    <w:rsid w:val="1E714A66"/>
    <w:rsid w:val="1E802593"/>
    <w:rsid w:val="1E8B6156"/>
    <w:rsid w:val="1EA703CC"/>
    <w:rsid w:val="1EB7330C"/>
    <w:rsid w:val="1F0A0FF3"/>
    <w:rsid w:val="1F0B1D9E"/>
    <w:rsid w:val="1F32168E"/>
    <w:rsid w:val="1F367C9A"/>
    <w:rsid w:val="1F5771FF"/>
    <w:rsid w:val="1FE868A9"/>
    <w:rsid w:val="20034907"/>
    <w:rsid w:val="20173E4B"/>
    <w:rsid w:val="202C7E22"/>
    <w:rsid w:val="204E48BC"/>
    <w:rsid w:val="208921B3"/>
    <w:rsid w:val="20973DEB"/>
    <w:rsid w:val="20A51982"/>
    <w:rsid w:val="20B26522"/>
    <w:rsid w:val="20B44310"/>
    <w:rsid w:val="20C3431B"/>
    <w:rsid w:val="20F5049E"/>
    <w:rsid w:val="211116EB"/>
    <w:rsid w:val="216133FC"/>
    <w:rsid w:val="21893052"/>
    <w:rsid w:val="21D56769"/>
    <w:rsid w:val="21E52EF3"/>
    <w:rsid w:val="21F2039E"/>
    <w:rsid w:val="21FB5D7B"/>
    <w:rsid w:val="220B1C3D"/>
    <w:rsid w:val="221D1D20"/>
    <w:rsid w:val="22334A87"/>
    <w:rsid w:val="225100F7"/>
    <w:rsid w:val="22BE6801"/>
    <w:rsid w:val="23224A7F"/>
    <w:rsid w:val="233500BF"/>
    <w:rsid w:val="23377FF7"/>
    <w:rsid w:val="234815AF"/>
    <w:rsid w:val="234E00AF"/>
    <w:rsid w:val="236B425F"/>
    <w:rsid w:val="23836192"/>
    <w:rsid w:val="23901F29"/>
    <w:rsid w:val="239C0061"/>
    <w:rsid w:val="23B908A4"/>
    <w:rsid w:val="23E12CD1"/>
    <w:rsid w:val="23E95BEF"/>
    <w:rsid w:val="23F36063"/>
    <w:rsid w:val="23FD0064"/>
    <w:rsid w:val="245375B0"/>
    <w:rsid w:val="24642C0A"/>
    <w:rsid w:val="249307DC"/>
    <w:rsid w:val="24B22173"/>
    <w:rsid w:val="24B95AD9"/>
    <w:rsid w:val="24BE24DA"/>
    <w:rsid w:val="24CF5825"/>
    <w:rsid w:val="24D663E6"/>
    <w:rsid w:val="24D77F2B"/>
    <w:rsid w:val="251026CF"/>
    <w:rsid w:val="2542313F"/>
    <w:rsid w:val="258B00E2"/>
    <w:rsid w:val="25A917A6"/>
    <w:rsid w:val="25BD1F10"/>
    <w:rsid w:val="25BE27CC"/>
    <w:rsid w:val="25F74A5C"/>
    <w:rsid w:val="2628662C"/>
    <w:rsid w:val="262D45DE"/>
    <w:rsid w:val="26871DC8"/>
    <w:rsid w:val="26A53EF9"/>
    <w:rsid w:val="26A94201"/>
    <w:rsid w:val="26AC274F"/>
    <w:rsid w:val="27044A29"/>
    <w:rsid w:val="271D34C8"/>
    <w:rsid w:val="2732668B"/>
    <w:rsid w:val="276142BF"/>
    <w:rsid w:val="27783712"/>
    <w:rsid w:val="27907362"/>
    <w:rsid w:val="28333E1D"/>
    <w:rsid w:val="28454BD6"/>
    <w:rsid w:val="28455253"/>
    <w:rsid w:val="28551971"/>
    <w:rsid w:val="285B1C53"/>
    <w:rsid w:val="289F7086"/>
    <w:rsid w:val="28A644E9"/>
    <w:rsid w:val="28C32028"/>
    <w:rsid w:val="28CC490F"/>
    <w:rsid w:val="28DE40AA"/>
    <w:rsid w:val="29345E48"/>
    <w:rsid w:val="29345E77"/>
    <w:rsid w:val="294C65AD"/>
    <w:rsid w:val="29806583"/>
    <w:rsid w:val="298B3C4C"/>
    <w:rsid w:val="29E65F16"/>
    <w:rsid w:val="29F26D24"/>
    <w:rsid w:val="2A15033F"/>
    <w:rsid w:val="2A1662C1"/>
    <w:rsid w:val="2A1C7367"/>
    <w:rsid w:val="2A2815FA"/>
    <w:rsid w:val="2A6D6092"/>
    <w:rsid w:val="2A7D76B4"/>
    <w:rsid w:val="2ACD4E0E"/>
    <w:rsid w:val="2AEF03C9"/>
    <w:rsid w:val="2B437463"/>
    <w:rsid w:val="2B7807EE"/>
    <w:rsid w:val="2BA50BF7"/>
    <w:rsid w:val="2BBF00EC"/>
    <w:rsid w:val="2BC37CFD"/>
    <w:rsid w:val="2BD5237F"/>
    <w:rsid w:val="2BE536CE"/>
    <w:rsid w:val="2BE64880"/>
    <w:rsid w:val="2BE758D9"/>
    <w:rsid w:val="2C0472AB"/>
    <w:rsid w:val="2C09049E"/>
    <w:rsid w:val="2C0A653C"/>
    <w:rsid w:val="2C191F85"/>
    <w:rsid w:val="2CB20D7A"/>
    <w:rsid w:val="2CE82D6F"/>
    <w:rsid w:val="2D343236"/>
    <w:rsid w:val="2D5E1836"/>
    <w:rsid w:val="2DD15014"/>
    <w:rsid w:val="2DF72DE4"/>
    <w:rsid w:val="2E0220AF"/>
    <w:rsid w:val="2E4B082A"/>
    <w:rsid w:val="2E5D4E86"/>
    <w:rsid w:val="2E5D790B"/>
    <w:rsid w:val="2E642E71"/>
    <w:rsid w:val="2E661D51"/>
    <w:rsid w:val="2E76495E"/>
    <w:rsid w:val="2E9A3C18"/>
    <w:rsid w:val="2EBB0FEE"/>
    <w:rsid w:val="2EC63002"/>
    <w:rsid w:val="2F0A6B38"/>
    <w:rsid w:val="2F2B6BEA"/>
    <w:rsid w:val="2F5D5474"/>
    <w:rsid w:val="2F946CCB"/>
    <w:rsid w:val="2FBB190A"/>
    <w:rsid w:val="2FD25781"/>
    <w:rsid w:val="2FFD7934"/>
    <w:rsid w:val="30733ACD"/>
    <w:rsid w:val="308C3862"/>
    <w:rsid w:val="309379D8"/>
    <w:rsid w:val="30A270F7"/>
    <w:rsid w:val="30DF1478"/>
    <w:rsid w:val="30EC586F"/>
    <w:rsid w:val="319C6071"/>
    <w:rsid w:val="31AC537E"/>
    <w:rsid w:val="31E3679B"/>
    <w:rsid w:val="31E732FD"/>
    <w:rsid w:val="323F0BBC"/>
    <w:rsid w:val="32517576"/>
    <w:rsid w:val="32A64673"/>
    <w:rsid w:val="32BE5C2C"/>
    <w:rsid w:val="32E225C2"/>
    <w:rsid w:val="32FB6478"/>
    <w:rsid w:val="33263B3F"/>
    <w:rsid w:val="33264BA4"/>
    <w:rsid w:val="336963EB"/>
    <w:rsid w:val="336F1A1E"/>
    <w:rsid w:val="337B3785"/>
    <w:rsid w:val="33816EEB"/>
    <w:rsid w:val="33CE3CE5"/>
    <w:rsid w:val="33EB55CD"/>
    <w:rsid w:val="33EC4C02"/>
    <w:rsid w:val="33FE7475"/>
    <w:rsid w:val="340D2360"/>
    <w:rsid w:val="3410665D"/>
    <w:rsid w:val="34211214"/>
    <w:rsid w:val="342E63AB"/>
    <w:rsid w:val="343F2C99"/>
    <w:rsid w:val="347C213A"/>
    <w:rsid w:val="34950E68"/>
    <w:rsid w:val="34986E94"/>
    <w:rsid w:val="34AE11B4"/>
    <w:rsid w:val="34AF62C9"/>
    <w:rsid w:val="34BA575D"/>
    <w:rsid w:val="34BC02F2"/>
    <w:rsid w:val="34CB4388"/>
    <w:rsid w:val="34FA6E12"/>
    <w:rsid w:val="3515294F"/>
    <w:rsid w:val="351B37AA"/>
    <w:rsid w:val="351D4357"/>
    <w:rsid w:val="354D7158"/>
    <w:rsid w:val="358D5588"/>
    <w:rsid w:val="35D93781"/>
    <w:rsid w:val="35FF348B"/>
    <w:rsid w:val="363A3B40"/>
    <w:rsid w:val="365302AE"/>
    <w:rsid w:val="36607A0A"/>
    <w:rsid w:val="366E227C"/>
    <w:rsid w:val="366F2E0D"/>
    <w:rsid w:val="367B6A5C"/>
    <w:rsid w:val="369462C9"/>
    <w:rsid w:val="36A74ADA"/>
    <w:rsid w:val="36AD60D5"/>
    <w:rsid w:val="36B224F9"/>
    <w:rsid w:val="36B64491"/>
    <w:rsid w:val="36E44B5A"/>
    <w:rsid w:val="36EC0CC9"/>
    <w:rsid w:val="370A2B55"/>
    <w:rsid w:val="3738186C"/>
    <w:rsid w:val="373F410B"/>
    <w:rsid w:val="377A101B"/>
    <w:rsid w:val="37EE7094"/>
    <w:rsid w:val="3824179B"/>
    <w:rsid w:val="38296C89"/>
    <w:rsid w:val="383002EB"/>
    <w:rsid w:val="383011DD"/>
    <w:rsid w:val="38586797"/>
    <w:rsid w:val="3865599E"/>
    <w:rsid w:val="38BC0149"/>
    <w:rsid w:val="38C1305A"/>
    <w:rsid w:val="38D87D1C"/>
    <w:rsid w:val="391C05AB"/>
    <w:rsid w:val="39580FB2"/>
    <w:rsid w:val="39636459"/>
    <w:rsid w:val="396B7F6C"/>
    <w:rsid w:val="39B417A9"/>
    <w:rsid w:val="39FC5695"/>
    <w:rsid w:val="3A006D8E"/>
    <w:rsid w:val="3A322081"/>
    <w:rsid w:val="3A3651E5"/>
    <w:rsid w:val="3A744481"/>
    <w:rsid w:val="3A7A7DC8"/>
    <w:rsid w:val="3A8C7BEF"/>
    <w:rsid w:val="3A906246"/>
    <w:rsid w:val="3AC21656"/>
    <w:rsid w:val="3ACB2D0C"/>
    <w:rsid w:val="3B2349B7"/>
    <w:rsid w:val="3B3911ED"/>
    <w:rsid w:val="3B616CFF"/>
    <w:rsid w:val="3B6259F6"/>
    <w:rsid w:val="3B7751AF"/>
    <w:rsid w:val="3B787957"/>
    <w:rsid w:val="3B915C44"/>
    <w:rsid w:val="3B9558B0"/>
    <w:rsid w:val="3B976654"/>
    <w:rsid w:val="3BB90F12"/>
    <w:rsid w:val="3BC01EFC"/>
    <w:rsid w:val="3BC400A3"/>
    <w:rsid w:val="3BCA786A"/>
    <w:rsid w:val="3BD31E2F"/>
    <w:rsid w:val="3BF15831"/>
    <w:rsid w:val="3C105946"/>
    <w:rsid w:val="3C471448"/>
    <w:rsid w:val="3C484A13"/>
    <w:rsid w:val="3C5F759A"/>
    <w:rsid w:val="3C6C525A"/>
    <w:rsid w:val="3C71442C"/>
    <w:rsid w:val="3CCE23CB"/>
    <w:rsid w:val="3CD17D17"/>
    <w:rsid w:val="3D1D2B74"/>
    <w:rsid w:val="3D3C7F39"/>
    <w:rsid w:val="3D440F09"/>
    <w:rsid w:val="3D4504A0"/>
    <w:rsid w:val="3D8734BB"/>
    <w:rsid w:val="3D9A11D4"/>
    <w:rsid w:val="3DA16D89"/>
    <w:rsid w:val="3DA364BE"/>
    <w:rsid w:val="3DDD67A7"/>
    <w:rsid w:val="3DE041CB"/>
    <w:rsid w:val="3E0D48F6"/>
    <w:rsid w:val="3E1868B4"/>
    <w:rsid w:val="3E377251"/>
    <w:rsid w:val="3E42664B"/>
    <w:rsid w:val="3E5A7334"/>
    <w:rsid w:val="3E7B5D6B"/>
    <w:rsid w:val="3E843E66"/>
    <w:rsid w:val="3E8F51FE"/>
    <w:rsid w:val="3E926F87"/>
    <w:rsid w:val="3E9A59DE"/>
    <w:rsid w:val="3EAF4836"/>
    <w:rsid w:val="3EC33DFA"/>
    <w:rsid w:val="3EE005C1"/>
    <w:rsid w:val="3EF22D39"/>
    <w:rsid w:val="3F060E16"/>
    <w:rsid w:val="3F1D1096"/>
    <w:rsid w:val="3F2F0234"/>
    <w:rsid w:val="3F6363FE"/>
    <w:rsid w:val="3F6C67A4"/>
    <w:rsid w:val="3F756B8F"/>
    <w:rsid w:val="3F95482B"/>
    <w:rsid w:val="4019356B"/>
    <w:rsid w:val="402D35CD"/>
    <w:rsid w:val="403A613B"/>
    <w:rsid w:val="404C17AC"/>
    <w:rsid w:val="40592157"/>
    <w:rsid w:val="406E1CAE"/>
    <w:rsid w:val="40A0133A"/>
    <w:rsid w:val="40C31A53"/>
    <w:rsid w:val="40FF545D"/>
    <w:rsid w:val="410067C8"/>
    <w:rsid w:val="41232415"/>
    <w:rsid w:val="418F0D2A"/>
    <w:rsid w:val="41D01505"/>
    <w:rsid w:val="420843CC"/>
    <w:rsid w:val="42474939"/>
    <w:rsid w:val="424C3C57"/>
    <w:rsid w:val="42613FF3"/>
    <w:rsid w:val="42660D96"/>
    <w:rsid w:val="42713671"/>
    <w:rsid w:val="428667D2"/>
    <w:rsid w:val="42CD1CE0"/>
    <w:rsid w:val="42E1381E"/>
    <w:rsid w:val="42ED6459"/>
    <w:rsid w:val="42FE58DD"/>
    <w:rsid w:val="43174B3D"/>
    <w:rsid w:val="434B790E"/>
    <w:rsid w:val="4360274F"/>
    <w:rsid w:val="43977AB6"/>
    <w:rsid w:val="43A3342B"/>
    <w:rsid w:val="43C77C27"/>
    <w:rsid w:val="43C95804"/>
    <w:rsid w:val="43DD40A0"/>
    <w:rsid w:val="43DE09EE"/>
    <w:rsid w:val="44002FAD"/>
    <w:rsid w:val="440C3942"/>
    <w:rsid w:val="4430589B"/>
    <w:rsid w:val="449101DD"/>
    <w:rsid w:val="449D00C3"/>
    <w:rsid w:val="44A26814"/>
    <w:rsid w:val="44DE1391"/>
    <w:rsid w:val="45023CFE"/>
    <w:rsid w:val="450C4287"/>
    <w:rsid w:val="451B225C"/>
    <w:rsid w:val="452410C9"/>
    <w:rsid w:val="45317DFB"/>
    <w:rsid w:val="456D3CE4"/>
    <w:rsid w:val="4579042C"/>
    <w:rsid w:val="457F0571"/>
    <w:rsid w:val="45851176"/>
    <w:rsid w:val="458F3E4A"/>
    <w:rsid w:val="45C63B94"/>
    <w:rsid w:val="460E7DA5"/>
    <w:rsid w:val="46422483"/>
    <w:rsid w:val="4659254A"/>
    <w:rsid w:val="465B0637"/>
    <w:rsid w:val="465E3F0D"/>
    <w:rsid w:val="466A16E6"/>
    <w:rsid w:val="46893F2B"/>
    <w:rsid w:val="46C4686E"/>
    <w:rsid w:val="46F34946"/>
    <w:rsid w:val="47035E45"/>
    <w:rsid w:val="47261B17"/>
    <w:rsid w:val="475E7FB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31390"/>
    <w:rsid w:val="49503B2B"/>
    <w:rsid w:val="495F5B3E"/>
    <w:rsid w:val="496F77D7"/>
    <w:rsid w:val="497654FD"/>
    <w:rsid w:val="49A77176"/>
    <w:rsid w:val="49B64211"/>
    <w:rsid w:val="49F6167F"/>
    <w:rsid w:val="4A064FA0"/>
    <w:rsid w:val="4A08695A"/>
    <w:rsid w:val="4A16615C"/>
    <w:rsid w:val="4A4424D7"/>
    <w:rsid w:val="4AB82D0F"/>
    <w:rsid w:val="4AEB7664"/>
    <w:rsid w:val="4AFD7C19"/>
    <w:rsid w:val="4B0567D1"/>
    <w:rsid w:val="4B236AAE"/>
    <w:rsid w:val="4B707271"/>
    <w:rsid w:val="4B9739F7"/>
    <w:rsid w:val="4BD35F61"/>
    <w:rsid w:val="4BEE2503"/>
    <w:rsid w:val="4C172EBB"/>
    <w:rsid w:val="4C245A30"/>
    <w:rsid w:val="4C44192C"/>
    <w:rsid w:val="4C676029"/>
    <w:rsid w:val="4CB6685F"/>
    <w:rsid w:val="4CB72A04"/>
    <w:rsid w:val="4CC367FE"/>
    <w:rsid w:val="4D077F3C"/>
    <w:rsid w:val="4D123355"/>
    <w:rsid w:val="4D2A3B31"/>
    <w:rsid w:val="4D312C52"/>
    <w:rsid w:val="4D4742B5"/>
    <w:rsid w:val="4D814A59"/>
    <w:rsid w:val="4D905305"/>
    <w:rsid w:val="4D964A72"/>
    <w:rsid w:val="4D9C1254"/>
    <w:rsid w:val="4DB27765"/>
    <w:rsid w:val="4E01203E"/>
    <w:rsid w:val="4E097A9E"/>
    <w:rsid w:val="4E1F570C"/>
    <w:rsid w:val="4E793892"/>
    <w:rsid w:val="4E800872"/>
    <w:rsid w:val="4E830CA5"/>
    <w:rsid w:val="4EC569ED"/>
    <w:rsid w:val="4EC63D9A"/>
    <w:rsid w:val="4ED50EA1"/>
    <w:rsid w:val="4EEC050C"/>
    <w:rsid w:val="4F104EC3"/>
    <w:rsid w:val="4F47354A"/>
    <w:rsid w:val="4F752029"/>
    <w:rsid w:val="4F7A222E"/>
    <w:rsid w:val="4F911C54"/>
    <w:rsid w:val="4FBF25F4"/>
    <w:rsid w:val="4FE625E0"/>
    <w:rsid w:val="4FE62AD6"/>
    <w:rsid w:val="4FE86EC8"/>
    <w:rsid w:val="501C2A6A"/>
    <w:rsid w:val="501F0559"/>
    <w:rsid w:val="5021480F"/>
    <w:rsid w:val="50962ECB"/>
    <w:rsid w:val="50A42E38"/>
    <w:rsid w:val="50A4577F"/>
    <w:rsid w:val="50B73D1F"/>
    <w:rsid w:val="50BD5BC9"/>
    <w:rsid w:val="50C11EEE"/>
    <w:rsid w:val="50E97CFC"/>
    <w:rsid w:val="50FA4028"/>
    <w:rsid w:val="510D65B7"/>
    <w:rsid w:val="511157AB"/>
    <w:rsid w:val="5142540C"/>
    <w:rsid w:val="51437E3B"/>
    <w:rsid w:val="518832C8"/>
    <w:rsid w:val="51A0432A"/>
    <w:rsid w:val="51A86090"/>
    <w:rsid w:val="51B64142"/>
    <w:rsid w:val="51B7396D"/>
    <w:rsid w:val="51E23F34"/>
    <w:rsid w:val="51EE6465"/>
    <w:rsid w:val="52063FDB"/>
    <w:rsid w:val="522E4CC3"/>
    <w:rsid w:val="5244713B"/>
    <w:rsid w:val="52615633"/>
    <w:rsid w:val="52727066"/>
    <w:rsid w:val="528F177B"/>
    <w:rsid w:val="52977FD4"/>
    <w:rsid w:val="52A25790"/>
    <w:rsid w:val="52A96B6F"/>
    <w:rsid w:val="52AA0717"/>
    <w:rsid w:val="52AC6214"/>
    <w:rsid w:val="52AF2F9F"/>
    <w:rsid w:val="52B45975"/>
    <w:rsid w:val="52C75604"/>
    <w:rsid w:val="52D94AA4"/>
    <w:rsid w:val="52EA3A62"/>
    <w:rsid w:val="52F50BB8"/>
    <w:rsid w:val="53097272"/>
    <w:rsid w:val="53544462"/>
    <w:rsid w:val="53960826"/>
    <w:rsid w:val="5397158E"/>
    <w:rsid w:val="53ED1CCF"/>
    <w:rsid w:val="54013861"/>
    <w:rsid w:val="543A44C4"/>
    <w:rsid w:val="54487265"/>
    <w:rsid w:val="544D6070"/>
    <w:rsid w:val="545B7466"/>
    <w:rsid w:val="54605E1E"/>
    <w:rsid w:val="54B3506A"/>
    <w:rsid w:val="54CA0D16"/>
    <w:rsid w:val="54DD4057"/>
    <w:rsid w:val="54E7490F"/>
    <w:rsid w:val="55061018"/>
    <w:rsid w:val="550764A4"/>
    <w:rsid w:val="550B2BF6"/>
    <w:rsid w:val="55214EB5"/>
    <w:rsid w:val="55364EFD"/>
    <w:rsid w:val="553F6389"/>
    <w:rsid w:val="555D4828"/>
    <w:rsid w:val="557A4C8B"/>
    <w:rsid w:val="558931E1"/>
    <w:rsid w:val="55923347"/>
    <w:rsid w:val="55925180"/>
    <w:rsid w:val="55983B1B"/>
    <w:rsid w:val="55A8376B"/>
    <w:rsid w:val="55DC29B6"/>
    <w:rsid w:val="55DD4241"/>
    <w:rsid w:val="566B6D1E"/>
    <w:rsid w:val="569E129D"/>
    <w:rsid w:val="56CB4F9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E4C5C"/>
    <w:rsid w:val="58AE4F0C"/>
    <w:rsid w:val="58B85899"/>
    <w:rsid w:val="58E363A9"/>
    <w:rsid w:val="595E1678"/>
    <w:rsid w:val="596D5BD4"/>
    <w:rsid w:val="597E3DD8"/>
    <w:rsid w:val="59E041CA"/>
    <w:rsid w:val="59F738EE"/>
    <w:rsid w:val="59F80043"/>
    <w:rsid w:val="5A09252F"/>
    <w:rsid w:val="5A0B2778"/>
    <w:rsid w:val="5A173A76"/>
    <w:rsid w:val="5A2A7C7B"/>
    <w:rsid w:val="5A307F11"/>
    <w:rsid w:val="5A3E2560"/>
    <w:rsid w:val="5A5D3B6E"/>
    <w:rsid w:val="5A637A76"/>
    <w:rsid w:val="5A6D33BA"/>
    <w:rsid w:val="5A792B1F"/>
    <w:rsid w:val="5A874767"/>
    <w:rsid w:val="5AA85BE2"/>
    <w:rsid w:val="5AAD6F28"/>
    <w:rsid w:val="5AD63A24"/>
    <w:rsid w:val="5B2E1A1D"/>
    <w:rsid w:val="5B843A1C"/>
    <w:rsid w:val="5B873E3F"/>
    <w:rsid w:val="5B885B4D"/>
    <w:rsid w:val="5BA5225B"/>
    <w:rsid w:val="5BE268F4"/>
    <w:rsid w:val="5C02690E"/>
    <w:rsid w:val="5C044ACF"/>
    <w:rsid w:val="5C196DA7"/>
    <w:rsid w:val="5C2A048C"/>
    <w:rsid w:val="5C3B2BBF"/>
    <w:rsid w:val="5C80234E"/>
    <w:rsid w:val="5C8A680C"/>
    <w:rsid w:val="5CFA2255"/>
    <w:rsid w:val="5D0C4701"/>
    <w:rsid w:val="5D0F0395"/>
    <w:rsid w:val="5D122FB4"/>
    <w:rsid w:val="5D221076"/>
    <w:rsid w:val="5D397964"/>
    <w:rsid w:val="5D5A391C"/>
    <w:rsid w:val="5D5F10C0"/>
    <w:rsid w:val="5D891B7B"/>
    <w:rsid w:val="5DAD38EE"/>
    <w:rsid w:val="5DD1020F"/>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A92D57"/>
    <w:rsid w:val="5FCC5339"/>
    <w:rsid w:val="5FE34A5B"/>
    <w:rsid w:val="5FFE1E36"/>
    <w:rsid w:val="60232584"/>
    <w:rsid w:val="602A71D2"/>
    <w:rsid w:val="605864BB"/>
    <w:rsid w:val="607330CE"/>
    <w:rsid w:val="60747697"/>
    <w:rsid w:val="60825176"/>
    <w:rsid w:val="609F2AC4"/>
    <w:rsid w:val="60EA0710"/>
    <w:rsid w:val="60FA2EE8"/>
    <w:rsid w:val="61054A27"/>
    <w:rsid w:val="610A52BC"/>
    <w:rsid w:val="611D2366"/>
    <w:rsid w:val="61421856"/>
    <w:rsid w:val="615227C4"/>
    <w:rsid w:val="61654E3F"/>
    <w:rsid w:val="61734BA9"/>
    <w:rsid w:val="6182292A"/>
    <w:rsid w:val="619F7F92"/>
    <w:rsid w:val="61C22671"/>
    <w:rsid w:val="61F94C26"/>
    <w:rsid w:val="62000E56"/>
    <w:rsid w:val="62013F63"/>
    <w:rsid w:val="62244584"/>
    <w:rsid w:val="624F3E49"/>
    <w:rsid w:val="62632286"/>
    <w:rsid w:val="62885958"/>
    <w:rsid w:val="629E6E40"/>
    <w:rsid w:val="62F40B65"/>
    <w:rsid w:val="62FC2CFE"/>
    <w:rsid w:val="63024505"/>
    <w:rsid w:val="635B1DB5"/>
    <w:rsid w:val="63711FED"/>
    <w:rsid w:val="63880DDC"/>
    <w:rsid w:val="638D750D"/>
    <w:rsid w:val="63AC6CC0"/>
    <w:rsid w:val="64055776"/>
    <w:rsid w:val="64240056"/>
    <w:rsid w:val="643E143A"/>
    <w:rsid w:val="648B6EEF"/>
    <w:rsid w:val="64C158BF"/>
    <w:rsid w:val="64CE2EAA"/>
    <w:rsid w:val="64E5191A"/>
    <w:rsid w:val="653B5003"/>
    <w:rsid w:val="653C3090"/>
    <w:rsid w:val="65854376"/>
    <w:rsid w:val="658767BE"/>
    <w:rsid w:val="65892531"/>
    <w:rsid w:val="66183D94"/>
    <w:rsid w:val="66195831"/>
    <w:rsid w:val="662E75B1"/>
    <w:rsid w:val="66342C2E"/>
    <w:rsid w:val="663E784C"/>
    <w:rsid w:val="66551A38"/>
    <w:rsid w:val="668B6A45"/>
    <w:rsid w:val="66AD6A92"/>
    <w:rsid w:val="67003515"/>
    <w:rsid w:val="672F3F24"/>
    <w:rsid w:val="673E055F"/>
    <w:rsid w:val="675255B9"/>
    <w:rsid w:val="67551CE3"/>
    <w:rsid w:val="679636D1"/>
    <w:rsid w:val="67A22552"/>
    <w:rsid w:val="67B22DCC"/>
    <w:rsid w:val="67BE71AA"/>
    <w:rsid w:val="67D0240D"/>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711F2"/>
    <w:rsid w:val="69CC2BFF"/>
    <w:rsid w:val="69FD55B8"/>
    <w:rsid w:val="6A0B1C62"/>
    <w:rsid w:val="6A2406C8"/>
    <w:rsid w:val="6A8F2B46"/>
    <w:rsid w:val="6ADE0BD1"/>
    <w:rsid w:val="6AE96859"/>
    <w:rsid w:val="6B147746"/>
    <w:rsid w:val="6B24787C"/>
    <w:rsid w:val="6B573233"/>
    <w:rsid w:val="6B5B6274"/>
    <w:rsid w:val="6B631EBD"/>
    <w:rsid w:val="6B935D53"/>
    <w:rsid w:val="6BA45E0C"/>
    <w:rsid w:val="6BB7161F"/>
    <w:rsid w:val="6BEB1F0C"/>
    <w:rsid w:val="6BEC0B71"/>
    <w:rsid w:val="6C196F71"/>
    <w:rsid w:val="6C226FCB"/>
    <w:rsid w:val="6C2F00DC"/>
    <w:rsid w:val="6C31226F"/>
    <w:rsid w:val="6C552F0B"/>
    <w:rsid w:val="6C8C67B7"/>
    <w:rsid w:val="6C9D744C"/>
    <w:rsid w:val="6CD27DE9"/>
    <w:rsid w:val="6CFE67A8"/>
    <w:rsid w:val="6D167928"/>
    <w:rsid w:val="6D26299B"/>
    <w:rsid w:val="6D4772EC"/>
    <w:rsid w:val="6D78783D"/>
    <w:rsid w:val="6D9078AF"/>
    <w:rsid w:val="6DAA3FEF"/>
    <w:rsid w:val="6DC0172B"/>
    <w:rsid w:val="6DCB690C"/>
    <w:rsid w:val="6DD41A5B"/>
    <w:rsid w:val="6DF43C2E"/>
    <w:rsid w:val="6DF51CA3"/>
    <w:rsid w:val="6E1E4A95"/>
    <w:rsid w:val="6E600D19"/>
    <w:rsid w:val="6E721BD8"/>
    <w:rsid w:val="6E8335BD"/>
    <w:rsid w:val="6E8E12EF"/>
    <w:rsid w:val="6E972936"/>
    <w:rsid w:val="6EAA1C6A"/>
    <w:rsid w:val="6ED446C5"/>
    <w:rsid w:val="6EDE2A4F"/>
    <w:rsid w:val="6F2A7D94"/>
    <w:rsid w:val="6F8331F1"/>
    <w:rsid w:val="6FAE1A09"/>
    <w:rsid w:val="6FD75BF8"/>
    <w:rsid w:val="707723D0"/>
    <w:rsid w:val="70A703CB"/>
    <w:rsid w:val="70E93DA1"/>
    <w:rsid w:val="70F5661B"/>
    <w:rsid w:val="7115169F"/>
    <w:rsid w:val="71360107"/>
    <w:rsid w:val="713B688E"/>
    <w:rsid w:val="71AC3EEB"/>
    <w:rsid w:val="71D43752"/>
    <w:rsid w:val="71F1796A"/>
    <w:rsid w:val="71F63E6A"/>
    <w:rsid w:val="72154626"/>
    <w:rsid w:val="72262B5D"/>
    <w:rsid w:val="72283FF7"/>
    <w:rsid w:val="722E7212"/>
    <w:rsid w:val="723A0474"/>
    <w:rsid w:val="725923E4"/>
    <w:rsid w:val="72864BF7"/>
    <w:rsid w:val="729023FC"/>
    <w:rsid w:val="72DA6836"/>
    <w:rsid w:val="73C0646E"/>
    <w:rsid w:val="73E32E5F"/>
    <w:rsid w:val="742222F5"/>
    <w:rsid w:val="74476126"/>
    <w:rsid w:val="74706664"/>
    <w:rsid w:val="747F3682"/>
    <w:rsid w:val="749C4185"/>
    <w:rsid w:val="75067759"/>
    <w:rsid w:val="752E6DCD"/>
    <w:rsid w:val="7551380D"/>
    <w:rsid w:val="75600BE5"/>
    <w:rsid w:val="7564475C"/>
    <w:rsid w:val="7583797F"/>
    <w:rsid w:val="75D20F1D"/>
    <w:rsid w:val="75DA2C18"/>
    <w:rsid w:val="75E51719"/>
    <w:rsid w:val="75F54412"/>
    <w:rsid w:val="761D08E0"/>
    <w:rsid w:val="765D347C"/>
    <w:rsid w:val="76717DEA"/>
    <w:rsid w:val="76826699"/>
    <w:rsid w:val="76B1006A"/>
    <w:rsid w:val="76C058DB"/>
    <w:rsid w:val="76C87133"/>
    <w:rsid w:val="76CD08D5"/>
    <w:rsid w:val="76DB4B92"/>
    <w:rsid w:val="77052AA4"/>
    <w:rsid w:val="770B3029"/>
    <w:rsid w:val="77136511"/>
    <w:rsid w:val="77340A39"/>
    <w:rsid w:val="77351FD0"/>
    <w:rsid w:val="77472422"/>
    <w:rsid w:val="77690189"/>
    <w:rsid w:val="777F31F2"/>
    <w:rsid w:val="77CF2D34"/>
    <w:rsid w:val="77D1700D"/>
    <w:rsid w:val="77EC04CC"/>
    <w:rsid w:val="78082ECE"/>
    <w:rsid w:val="78775729"/>
    <w:rsid w:val="78802ABA"/>
    <w:rsid w:val="78A42DB0"/>
    <w:rsid w:val="78A656AB"/>
    <w:rsid w:val="78B2245C"/>
    <w:rsid w:val="78E172CC"/>
    <w:rsid w:val="78EA1D1F"/>
    <w:rsid w:val="78F90E68"/>
    <w:rsid w:val="7904172F"/>
    <w:rsid w:val="790F7E27"/>
    <w:rsid w:val="791A3E30"/>
    <w:rsid w:val="79270BDC"/>
    <w:rsid w:val="792A231A"/>
    <w:rsid w:val="79316829"/>
    <w:rsid w:val="797E66A9"/>
    <w:rsid w:val="79A97383"/>
    <w:rsid w:val="79E27E8B"/>
    <w:rsid w:val="79F850CE"/>
    <w:rsid w:val="79FD443C"/>
    <w:rsid w:val="7A1D1975"/>
    <w:rsid w:val="7A3E5150"/>
    <w:rsid w:val="7A4670D6"/>
    <w:rsid w:val="7A534B63"/>
    <w:rsid w:val="7A615382"/>
    <w:rsid w:val="7A67303B"/>
    <w:rsid w:val="7A8109A5"/>
    <w:rsid w:val="7A977274"/>
    <w:rsid w:val="7AAB1D04"/>
    <w:rsid w:val="7ABA4368"/>
    <w:rsid w:val="7AC202DC"/>
    <w:rsid w:val="7AC603A1"/>
    <w:rsid w:val="7AD05746"/>
    <w:rsid w:val="7ADD2219"/>
    <w:rsid w:val="7B257FFD"/>
    <w:rsid w:val="7B343476"/>
    <w:rsid w:val="7B5A2978"/>
    <w:rsid w:val="7B5A7E4C"/>
    <w:rsid w:val="7B667AF9"/>
    <w:rsid w:val="7B7468F8"/>
    <w:rsid w:val="7B9559F0"/>
    <w:rsid w:val="7BC8542A"/>
    <w:rsid w:val="7BE35932"/>
    <w:rsid w:val="7BEE0103"/>
    <w:rsid w:val="7C0A0FE4"/>
    <w:rsid w:val="7C1E06B9"/>
    <w:rsid w:val="7C226AC9"/>
    <w:rsid w:val="7C254906"/>
    <w:rsid w:val="7C590818"/>
    <w:rsid w:val="7C7C10F6"/>
    <w:rsid w:val="7C853BEA"/>
    <w:rsid w:val="7C881368"/>
    <w:rsid w:val="7CE27788"/>
    <w:rsid w:val="7D0357E5"/>
    <w:rsid w:val="7D0C32F1"/>
    <w:rsid w:val="7D0F408D"/>
    <w:rsid w:val="7D491C6C"/>
    <w:rsid w:val="7D5429C0"/>
    <w:rsid w:val="7D6E6D43"/>
    <w:rsid w:val="7D7069D2"/>
    <w:rsid w:val="7DB57A34"/>
    <w:rsid w:val="7DD24CD9"/>
    <w:rsid w:val="7DE60973"/>
    <w:rsid w:val="7DEF0916"/>
    <w:rsid w:val="7E1E5218"/>
    <w:rsid w:val="7E9A4E1F"/>
    <w:rsid w:val="7EA008B3"/>
    <w:rsid w:val="7EA7723A"/>
    <w:rsid w:val="7EF56FBB"/>
    <w:rsid w:val="7F0768EB"/>
    <w:rsid w:val="7F143BEC"/>
    <w:rsid w:val="7F715AF2"/>
    <w:rsid w:val="7F886E69"/>
    <w:rsid w:val="7FC0311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Closing"/>
    <w:basedOn w:val="1"/>
    <w:qFormat/>
    <w:uiPriority w:val="0"/>
    <w:pPr>
      <w:ind w:left="100" w:leftChars="2100"/>
    </w:pPr>
    <w:rPr>
      <w:rFonts w:ascii="Calibri" w:hAnsi="Calibri" w:eastAsia="微软雅黑"/>
      <w:sz w:val="28"/>
      <w:szCs w:val="28"/>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4"/>
    <w:qFormat/>
    <w:uiPriority w:val="0"/>
    <w:rPr>
      <w:rFonts w:ascii="宋体" w:hAnsi="Courier New" w:cs="Arial"/>
      <w:snapToGrid w:val="0"/>
      <w:szCs w:val="21"/>
    </w:r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0"/>
    <w:pPr>
      <w:adjustRightInd/>
      <w:snapToGrid w:val="0"/>
    </w:pPr>
    <w:rPr>
      <w:rFonts w:ascii="Arial" w:hAnsi="Arial"/>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5"/>
    <w:qFormat/>
    <w:uiPriority w:val="0"/>
    <w:rPr>
      <w:b/>
      <w:bCs/>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style01"/>
    <w:basedOn w:val="71"/>
    <w:qFormat/>
    <w:uiPriority w:val="0"/>
    <w:rPr>
      <w:rFonts w:hint="eastAsia" w:ascii="宋体" w:hAnsi="宋体" w:eastAsia="宋体"/>
      <w:color w:val="000000"/>
      <w:sz w:val="24"/>
      <w:szCs w:val="24"/>
    </w:rPr>
  </w:style>
  <w:style w:type="character" w:customStyle="1" w:styleId="964">
    <w:name w:val="不明显强调1"/>
    <w:qFormat/>
    <w:uiPriority w:val="19"/>
    <w:rPr>
      <w:i/>
      <w:iCs/>
    </w:rPr>
  </w:style>
  <w:style w:type="table" w:customStyle="1" w:styleId="96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309C3-8A3D-42C2-AD4F-93819AFFA7F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43</Pages>
  <Words>16417</Words>
  <Characters>17400</Characters>
  <Lines>159</Lines>
  <Paragraphs>44</Paragraphs>
  <TotalTime>18</TotalTime>
  <ScaleCrop>false</ScaleCrop>
  <LinksUpToDate>false</LinksUpToDate>
  <CharactersWithSpaces>17459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2023-04-13T01:42:00Z</dcterms:created>
  <dc:creator>Administrator</dc:creator>
  <cp:lastModifiedBy>朱小炮</cp:lastModifiedBy>
  <cp:lastPrinted>2024-05-20T02:15:00Z</cp:lastPrinted>
  <dcterms:modified xsi:type="dcterms:W3CDTF">2025-07-10T07:45:37Z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D0CB64A3BDD74EEC8593850BF4C0B8C0_13</vt:lpwstr>
  </property>
  <property fmtid="{D5CDD505-2E9C-101B-9397-08002B2CF9AE}" pid="5" name="KSOTemplateDocerSaveRecord">
    <vt:lpwstr>eyJoZGlkIjoiNjc0NzE0ZDg4NzljMGFiMDJiZWZlZjM5OTg1MzIwMWMiLCJ1c2VySWQiOiIzOTcxNTYwODEifQ==</vt:lpwstr>
  </property>
</Properties>
</file>