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napToGrid w:val="0"/>
        <w:spacing w:line="360" w:lineRule="auto"/>
        <w:jc w:val="center"/>
        <w:rPr>
          <w:rFonts w:hint="eastAsia" w:ascii="仿宋" w:hAnsi="仿宋" w:eastAsia="仿宋" w:cs="仿宋_GB2312"/>
          <w:b/>
          <w:bCs/>
          <w:color w:val="auto"/>
          <w:sz w:val="44"/>
          <w:szCs w:val="44"/>
          <w:highlight w:val="none"/>
          <w:lang w:eastAsia="zh-CN"/>
        </w:rPr>
      </w:pPr>
      <w:r>
        <w:rPr>
          <w:rFonts w:hint="eastAsia" w:ascii="仿宋" w:hAnsi="仿宋" w:eastAsia="仿宋" w:cs="仿宋_GB2312"/>
          <w:b/>
          <w:bCs/>
          <w:color w:val="auto"/>
          <w:sz w:val="44"/>
          <w:szCs w:val="44"/>
          <w:highlight w:val="none"/>
          <w:lang w:eastAsia="zh-CN"/>
        </w:rPr>
        <w:t>柯桥笛里人家小区物业管理服务项目</w:t>
      </w:r>
    </w:p>
    <w:p>
      <w:pPr>
        <w:snapToGrid w:val="0"/>
        <w:spacing w:line="360" w:lineRule="auto"/>
        <w:jc w:val="center"/>
        <w:rPr>
          <w:rFonts w:hint="eastAsia" w:ascii="仿宋" w:hAnsi="仿宋" w:eastAsia="仿宋" w:cs="仿宋_GB2312"/>
          <w:color w:val="auto"/>
          <w:sz w:val="30"/>
          <w:szCs w:val="30"/>
          <w:highlight w:val="none"/>
        </w:rPr>
      </w:pPr>
    </w:p>
    <w:p>
      <w:pPr>
        <w:snapToGrid w:val="0"/>
        <w:spacing w:line="360" w:lineRule="auto"/>
        <w:jc w:val="center"/>
        <w:rPr>
          <w:rFonts w:ascii="仿宋" w:hAnsi="仿宋" w:eastAsia="仿宋" w:cs="仿宋_GB2312"/>
          <w:b/>
          <w:color w:val="auto"/>
          <w:sz w:val="44"/>
          <w:szCs w:val="44"/>
          <w:highlight w:val="none"/>
        </w:rPr>
      </w:pPr>
      <w:r>
        <w:rPr>
          <w:rFonts w:hint="eastAsia" w:ascii="仿宋" w:hAnsi="仿宋" w:eastAsia="仿宋" w:cs="仿宋_GB2312"/>
          <w:color w:val="auto"/>
          <w:sz w:val="30"/>
          <w:szCs w:val="30"/>
          <w:highlight w:val="none"/>
        </w:rPr>
        <w:t>项目编号:绍柯企{202</w:t>
      </w:r>
      <w:r>
        <w:rPr>
          <w:rFonts w:hint="eastAsia" w:ascii="仿宋" w:hAnsi="仿宋" w:eastAsia="仿宋" w:cs="仿宋_GB2312"/>
          <w:color w:val="auto"/>
          <w:sz w:val="30"/>
          <w:szCs w:val="30"/>
          <w:highlight w:val="none"/>
          <w:lang w:val="en-US" w:eastAsia="zh-CN"/>
        </w:rPr>
        <w:t>5</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val="en-US" w:eastAsia="zh-CN"/>
        </w:rPr>
        <w:t>798</w:t>
      </w:r>
      <w:r>
        <w:rPr>
          <w:rFonts w:hint="eastAsia" w:ascii="仿宋" w:hAnsi="仿宋" w:eastAsia="仿宋" w:cs="仿宋_GB2312"/>
          <w:color w:val="auto"/>
          <w:sz w:val="30"/>
          <w:szCs w:val="30"/>
          <w:highlight w:val="none"/>
        </w:rPr>
        <w:t>号</w:t>
      </w:r>
    </w:p>
    <w:p>
      <w:pPr>
        <w:spacing w:line="360" w:lineRule="auto"/>
        <w:jc w:val="center"/>
        <w:rPr>
          <w:rFonts w:ascii="仿宋" w:hAnsi="仿宋" w:eastAsia="仿宋" w:cs="仿宋_GB2312"/>
          <w:b/>
          <w:color w:val="auto"/>
          <w:sz w:val="44"/>
          <w:szCs w:val="44"/>
          <w:highlight w:val="none"/>
        </w:rPr>
      </w:pPr>
    </w:p>
    <w:p>
      <w:pPr>
        <w:jc w:val="center"/>
        <w:outlineLvl w:val="0"/>
        <w:rPr>
          <w:rFonts w:hint="eastAsia" w:ascii="仿宋" w:hAnsi="仿宋" w:eastAsia="仿宋" w:cs="Arial"/>
          <w:b/>
          <w:color w:val="auto"/>
          <w:sz w:val="56"/>
          <w:szCs w:val="56"/>
          <w:highlight w:val="none"/>
          <w:lang w:eastAsia="zh-CN"/>
        </w:rPr>
      </w:pP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公</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开</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招</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标</w:t>
      </w:r>
    </w:p>
    <w:p>
      <w:pPr>
        <w:jc w:val="center"/>
        <w:outlineLvl w:val="0"/>
        <w:rPr>
          <w:rFonts w:ascii="仿宋" w:hAnsi="仿宋" w:eastAsia="仿宋"/>
          <w:b/>
          <w:color w:val="auto"/>
          <w:sz w:val="56"/>
          <w:szCs w:val="56"/>
          <w:highlight w:val="none"/>
        </w:rPr>
      </w:pPr>
      <w:r>
        <w:rPr>
          <w:rFonts w:hint="eastAsia" w:ascii="仿宋" w:hAnsi="仿宋" w:eastAsia="仿宋"/>
          <w:b/>
          <w:color w:val="auto"/>
          <w:sz w:val="56"/>
          <w:szCs w:val="56"/>
          <w:highlight w:val="none"/>
        </w:rPr>
        <w:t>文</w:t>
      </w:r>
    </w:p>
    <w:p>
      <w:pPr>
        <w:adjustRightInd/>
        <w:spacing w:line="360" w:lineRule="auto"/>
        <w:jc w:val="center"/>
        <w:rPr>
          <w:rFonts w:ascii="仿宋" w:hAnsi="仿宋" w:eastAsia="仿宋"/>
          <w:b/>
          <w:color w:val="auto"/>
          <w:sz w:val="56"/>
          <w:szCs w:val="56"/>
          <w:highlight w:val="none"/>
        </w:rPr>
      </w:pPr>
      <w:r>
        <w:rPr>
          <w:rFonts w:hint="eastAsia" w:ascii="仿宋" w:hAnsi="仿宋" w:eastAsia="仿宋"/>
          <w:b/>
          <w:color w:val="auto"/>
          <w:sz w:val="56"/>
          <w:szCs w:val="56"/>
          <w:highlight w:val="none"/>
        </w:rPr>
        <w:t>件</w:t>
      </w:r>
    </w:p>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snapToGrid w:val="0"/>
        <w:spacing w:line="360" w:lineRule="auto"/>
        <w:ind w:firstLine="640" w:firstLineChars="2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绍兴柯桥历史文化街区开发利用投资建设有限公司</w:t>
      </w:r>
    </w:p>
    <w:p>
      <w:pPr>
        <w:spacing w:line="360" w:lineRule="auto"/>
        <w:ind w:firstLine="1600" w:firstLineChars="500"/>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w:t>
      </w:r>
      <w:r>
        <w:rPr>
          <w:rFonts w:hint="eastAsia" w:ascii="仿宋" w:hAnsi="仿宋" w:eastAsia="仿宋" w:cs="仿宋_GB2312"/>
          <w:bCs/>
          <w:color w:val="auto"/>
          <w:sz w:val="32"/>
          <w:szCs w:val="32"/>
          <w:highlight w:val="none"/>
          <w:lang w:eastAsia="zh-CN"/>
        </w:rPr>
        <w:t>浙江建汇工程咨询有限公司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月</w:t>
      </w:r>
    </w:p>
    <w:p>
      <w:pPr>
        <w:spacing w:line="360" w:lineRule="auto"/>
        <w:jc w:val="center"/>
        <w:rPr>
          <w:rFonts w:ascii="仿宋" w:hAnsi="仿宋" w:eastAsia="仿宋" w:cs="仿宋_GB2312"/>
          <w:bCs/>
          <w:color w:val="auto"/>
          <w:sz w:val="32"/>
          <w:szCs w:val="32"/>
          <w:highlight w:val="none"/>
        </w:rPr>
        <w:sectPr>
          <w:footerReference r:id="rId5" w:type="first"/>
          <w:footerReference r:id="rId3" w:type="default"/>
          <w:footerReference r:id="rId4" w:type="even"/>
          <w:pgSz w:w="11907" w:h="16840"/>
          <w:pgMar w:top="1440" w:right="1157" w:bottom="1440" w:left="1157" w:header="851" w:footer="992" w:gutter="0"/>
          <w:cols w:space="720" w:num="1"/>
          <w:docGrid w:linePitch="312" w:charSpace="0"/>
        </w:sectPr>
      </w:pPr>
    </w:p>
    <w:p>
      <w:pPr>
        <w:spacing w:line="360" w:lineRule="auto"/>
        <w:jc w:val="center"/>
        <w:rPr>
          <w:rFonts w:ascii="仿宋" w:hAnsi="仿宋" w:eastAsia="仿宋" w:cs="仿宋_GB2312"/>
          <w:b/>
          <w:color w:val="auto"/>
          <w:sz w:val="48"/>
          <w:szCs w:val="48"/>
          <w:highlight w:val="none"/>
        </w:rPr>
      </w:pPr>
      <w:bookmarkStart w:id="0" w:name="_Hlt67893495"/>
      <w:bookmarkEnd w:id="0"/>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u w:val="single"/>
          <w:lang w:eastAsia="zh-CN"/>
        </w:rPr>
        <w:t>柯桥笛里人家小区物业管理服务项目</w:t>
      </w:r>
      <w:r>
        <w:rPr>
          <w:rFonts w:hint="eastAsia" w:ascii="仿宋" w:hAnsi="仿宋" w:eastAsia="仿宋"/>
          <w:color w:val="auto"/>
          <w:sz w:val="24"/>
          <w:szCs w:val="28"/>
          <w:highlight w:val="none"/>
        </w:rPr>
        <w:t>招标项目的潜在投标人应在</w:t>
      </w:r>
      <w:bookmarkStart w:id="11" w:name="OLE_LINK41"/>
      <w:r>
        <w:rPr>
          <w:rFonts w:hint="eastAsia" w:ascii="仿宋" w:hAnsi="仿宋" w:eastAsia="仿宋" w:cs="宋体"/>
          <w:color w:val="auto"/>
          <w:sz w:val="24"/>
          <w:szCs w:val="28"/>
          <w:highlight w:val="none"/>
          <w:u w:val="single"/>
        </w:rPr>
        <w:t>乐采云平台在线</w:t>
      </w:r>
      <w:bookmarkEnd w:id="11"/>
      <w:r>
        <w:rPr>
          <w:rFonts w:hint="eastAsia" w:ascii="仿宋" w:hAnsi="仿宋" w:eastAsia="仿宋"/>
          <w:color w:val="auto"/>
          <w:sz w:val="24"/>
          <w:szCs w:val="28"/>
          <w:highlight w:val="none"/>
        </w:rPr>
        <w:t>获取招标文件，并于</w:t>
      </w:r>
      <w:bookmarkStart w:id="12" w:name="OLE_LINK9"/>
      <w:r>
        <w:rPr>
          <w:rFonts w:hint="eastAsia" w:ascii="仿宋" w:hAnsi="仿宋" w:eastAsia="仿宋"/>
          <w:color w:val="auto"/>
          <w:sz w:val="24"/>
          <w:szCs w:val="28"/>
          <w:highlight w:val="none"/>
        </w:rPr>
        <w:t>202</w:t>
      </w:r>
      <w:r>
        <w:rPr>
          <w:rFonts w:hint="eastAsia" w:ascii="仿宋" w:hAnsi="仿宋" w:eastAsia="仿宋"/>
          <w:color w:val="auto"/>
          <w:sz w:val="24"/>
          <w:szCs w:val="28"/>
          <w:highlight w:val="none"/>
          <w:lang w:val="en-US" w:eastAsia="zh-CN"/>
        </w:rPr>
        <w:t>5</w:t>
      </w:r>
      <w:r>
        <w:rPr>
          <w:rFonts w:hint="eastAsia" w:ascii="仿宋" w:hAnsi="仿宋" w:eastAsia="仿宋"/>
          <w:color w:val="auto"/>
          <w:sz w:val="24"/>
          <w:szCs w:val="28"/>
          <w:highlight w:val="none"/>
        </w:rPr>
        <w:t>年</w:t>
      </w:r>
      <w:r>
        <w:rPr>
          <w:rFonts w:hint="eastAsia" w:ascii="仿宋" w:hAnsi="仿宋" w:eastAsia="仿宋"/>
          <w:color w:val="auto"/>
          <w:sz w:val="24"/>
          <w:szCs w:val="28"/>
          <w:highlight w:val="none"/>
          <w:lang w:val="en-US" w:eastAsia="zh-CN"/>
        </w:rPr>
        <w:t>7</w:t>
      </w:r>
      <w:r>
        <w:rPr>
          <w:rFonts w:hint="eastAsia" w:ascii="仿宋" w:hAnsi="仿宋" w:eastAsia="仿宋"/>
          <w:color w:val="auto"/>
          <w:sz w:val="24"/>
          <w:szCs w:val="28"/>
          <w:highlight w:val="none"/>
        </w:rPr>
        <w:t>月</w:t>
      </w:r>
      <w:r>
        <w:rPr>
          <w:rFonts w:hint="eastAsia" w:ascii="仿宋" w:hAnsi="仿宋" w:eastAsia="仿宋"/>
          <w:color w:val="auto"/>
          <w:sz w:val="24"/>
          <w:szCs w:val="28"/>
          <w:highlight w:val="none"/>
          <w:lang w:val="en-US" w:eastAsia="zh-CN"/>
        </w:rPr>
        <w:t>22</w:t>
      </w:r>
      <w:r>
        <w:rPr>
          <w:rFonts w:hint="eastAsia" w:ascii="仿宋" w:hAnsi="仿宋" w:eastAsia="仿宋"/>
          <w:color w:val="auto"/>
          <w:sz w:val="24"/>
          <w:szCs w:val="28"/>
          <w:highlight w:val="none"/>
        </w:rPr>
        <w:t>日</w:t>
      </w:r>
      <w:bookmarkEnd w:id="12"/>
      <w:r>
        <w:rPr>
          <w:rFonts w:hint="eastAsia" w:ascii="仿宋" w:hAnsi="仿宋" w:eastAsia="仿宋"/>
          <w:bCs/>
          <w:color w:val="auto"/>
          <w:sz w:val="24"/>
          <w:szCs w:val="28"/>
          <w:highlight w:val="none"/>
          <w:lang w:val="en-US" w:eastAsia="zh-CN"/>
        </w:rPr>
        <w:t>09</w:t>
      </w:r>
      <w:r>
        <w:rPr>
          <w:rFonts w:hint="eastAsia" w:ascii="仿宋" w:hAnsi="仿宋" w:eastAsia="仿宋"/>
          <w:bCs/>
          <w:color w:val="auto"/>
          <w:sz w:val="24"/>
          <w:szCs w:val="28"/>
          <w:highlight w:val="none"/>
        </w:rPr>
        <w:t>：</w:t>
      </w:r>
      <w:r>
        <w:rPr>
          <w:rFonts w:hint="eastAsia" w:ascii="仿宋" w:hAnsi="仿宋" w:eastAsia="仿宋"/>
          <w:bCs/>
          <w:color w:val="auto"/>
          <w:sz w:val="24"/>
          <w:szCs w:val="28"/>
          <w:highlight w:val="none"/>
          <w:lang w:val="en-US" w:eastAsia="zh-CN"/>
        </w:rPr>
        <w:t>30</w:t>
      </w:r>
      <w:r>
        <w:rPr>
          <w:rFonts w:hint="eastAsia" w:ascii="仿宋" w:hAnsi="仿宋" w:eastAsia="仿宋"/>
          <w:bCs/>
          <w:color w:val="auto"/>
          <w:sz w:val="24"/>
          <w:szCs w:val="28"/>
          <w:highlight w:val="none"/>
        </w:rPr>
        <w:t>分（北京时间）前递交投标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pPr>
        <w:rPr>
          <w:color w:val="auto"/>
          <w:sz w:val="24"/>
          <w:szCs w:val="28"/>
          <w:highlight w:val="none"/>
        </w:rPr>
      </w:pPr>
    </w:p>
    <w:p>
      <w:pPr>
        <w:pStyle w:val="4"/>
        <w:numPr>
          <w:ilvl w:val="0"/>
          <w:numId w:val="0"/>
        </w:numPr>
        <w:rPr>
          <w:rFonts w:ascii="黑体" w:hAnsi="黑体" w:cs="宋体"/>
          <w:color w:val="auto"/>
          <w:sz w:val="24"/>
          <w:szCs w:val="28"/>
          <w:highlight w:val="none"/>
        </w:rPr>
      </w:pPr>
      <w:bookmarkStart w:id="13" w:name="_Toc35393790"/>
      <w:bookmarkStart w:id="14" w:name="_Toc35393621"/>
      <w:bookmarkStart w:id="15" w:name="_Toc28359079"/>
      <w:bookmarkStart w:id="16" w:name="_Toc28359002"/>
      <w:bookmarkStart w:id="17" w:name="_Hlk24379207"/>
      <w:r>
        <w:rPr>
          <w:rFonts w:hint="eastAsia" w:ascii="黑体" w:hAnsi="黑体" w:cs="宋体"/>
          <w:color w:val="auto"/>
          <w:sz w:val="24"/>
          <w:szCs w:val="28"/>
          <w:highlight w:val="none"/>
        </w:rPr>
        <w:t>一、项目基本情况</w:t>
      </w:r>
      <w:bookmarkEnd w:id="13"/>
      <w:bookmarkEnd w:id="14"/>
      <w:bookmarkEnd w:id="15"/>
      <w:bookmarkEnd w:id="16"/>
    </w:p>
    <w:bookmarkEnd w:id="17"/>
    <w:p>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项目编号：绍柯企{202</w:t>
      </w:r>
      <w:r>
        <w:rPr>
          <w:rFonts w:hint="eastAsia" w:ascii="仿宋" w:hAnsi="仿宋" w:eastAsia="仿宋"/>
          <w:color w:val="auto"/>
          <w:sz w:val="24"/>
          <w:szCs w:val="28"/>
          <w:highlight w:val="none"/>
          <w:lang w:val="en-US" w:eastAsia="zh-CN"/>
        </w:rPr>
        <w:t>5</w:t>
      </w:r>
      <w:r>
        <w:rPr>
          <w:rFonts w:hint="eastAsia" w:ascii="仿宋" w:hAnsi="仿宋" w:eastAsia="仿宋"/>
          <w:color w:val="auto"/>
          <w:sz w:val="24"/>
          <w:szCs w:val="28"/>
          <w:highlight w:val="none"/>
        </w:rPr>
        <w:t>}</w:t>
      </w:r>
      <w:r>
        <w:rPr>
          <w:rFonts w:hint="eastAsia" w:ascii="仿宋" w:hAnsi="仿宋" w:eastAsia="仿宋"/>
          <w:color w:val="auto"/>
          <w:sz w:val="24"/>
          <w:szCs w:val="28"/>
          <w:highlight w:val="none"/>
          <w:lang w:val="en-US" w:eastAsia="zh-CN"/>
        </w:rPr>
        <w:t>798</w:t>
      </w:r>
      <w:r>
        <w:rPr>
          <w:rFonts w:hint="eastAsia" w:ascii="仿宋" w:hAnsi="仿宋" w:eastAsia="仿宋"/>
          <w:color w:val="auto"/>
          <w:sz w:val="24"/>
          <w:szCs w:val="28"/>
          <w:highlight w:val="none"/>
        </w:rPr>
        <w:t>号</w:t>
      </w:r>
    </w:p>
    <w:p>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项目名称：</w:t>
      </w:r>
      <w:r>
        <w:rPr>
          <w:rFonts w:hint="eastAsia" w:ascii="仿宋" w:hAnsi="仿宋" w:eastAsia="仿宋"/>
          <w:color w:val="auto"/>
          <w:sz w:val="24"/>
          <w:szCs w:val="28"/>
          <w:highlight w:val="none"/>
          <w:lang w:eastAsia="zh-CN"/>
        </w:rPr>
        <w:t>柯桥笛里人家小区物业管理服务项目</w:t>
      </w:r>
    </w:p>
    <w:p>
      <w:pPr>
        <w:spacing w:line="360" w:lineRule="auto"/>
        <w:ind w:left="420" w:leftChars="200"/>
        <w:jc w:val="left"/>
        <w:rPr>
          <w:rFonts w:hint="eastAsia"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lang w:val="en-US" w:eastAsia="zh-CN"/>
        </w:rPr>
        <w:t>793895.64</w:t>
      </w:r>
    </w:p>
    <w:p>
      <w:pPr>
        <w:spacing w:line="360" w:lineRule="auto"/>
        <w:ind w:left="420" w:leftChars="200"/>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最高限价（元）：</w:t>
      </w:r>
      <w:r>
        <w:rPr>
          <w:rFonts w:hint="eastAsia" w:ascii="仿宋" w:hAnsi="仿宋" w:eastAsia="仿宋"/>
          <w:color w:val="auto"/>
          <w:sz w:val="24"/>
          <w:szCs w:val="28"/>
          <w:highlight w:val="none"/>
          <w:lang w:val="en-US" w:eastAsia="zh-CN"/>
        </w:rPr>
        <w:t>793895.64</w:t>
      </w:r>
    </w:p>
    <w:p>
      <w:pPr>
        <w:spacing w:line="360" w:lineRule="auto"/>
        <w:ind w:left="420" w:leftChars="200"/>
        <w:jc w:val="left"/>
        <w:rPr>
          <w:rFonts w:hint="default" w:ascii="仿宋" w:hAnsi="仿宋" w:eastAsia="仿宋"/>
          <w:b/>
          <w:color w:val="auto"/>
          <w:sz w:val="24"/>
          <w:szCs w:val="28"/>
          <w:highlight w:val="none"/>
          <w:lang w:val="en-US" w:eastAsia="zh-CN"/>
        </w:rPr>
      </w:pPr>
      <w:r>
        <w:rPr>
          <w:rFonts w:hint="eastAsia" w:ascii="仿宋" w:hAnsi="仿宋" w:eastAsia="仿宋"/>
          <w:color w:val="auto"/>
          <w:sz w:val="24"/>
          <w:szCs w:val="28"/>
          <w:highlight w:val="none"/>
        </w:rPr>
        <w:t>采购需求：</w:t>
      </w:r>
      <w:r>
        <w:rPr>
          <w:rFonts w:hint="eastAsia" w:ascii="仿宋" w:hAnsi="仿宋" w:eastAsia="仿宋"/>
          <w:color w:val="auto"/>
          <w:sz w:val="24"/>
          <w:szCs w:val="28"/>
          <w:highlight w:val="none"/>
          <w:lang w:val="en-US" w:eastAsia="zh-CN"/>
        </w:rPr>
        <w:t>详见招标文件</w:t>
      </w:r>
    </w:p>
    <w:p>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ascii="仿宋" w:hAnsi="仿宋" w:eastAsia="仿宋"/>
          <w:color w:val="auto"/>
          <w:sz w:val="24"/>
          <w:szCs w:val="28"/>
          <w:highlight w:val="none"/>
          <w:lang w:eastAsia="zh-CN"/>
        </w:rPr>
        <w:t>柯桥笛里人家小区物业管理服务项目</w:t>
      </w:r>
    </w:p>
    <w:p>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数量：1</w:t>
      </w:r>
    </w:p>
    <w:p>
      <w:pPr>
        <w:spacing w:line="360" w:lineRule="auto"/>
        <w:ind w:left="420" w:leftChars="200"/>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lang w:val="en-US" w:eastAsia="zh-CN"/>
        </w:rPr>
        <w:t>793895.64</w:t>
      </w:r>
    </w:p>
    <w:p>
      <w:pPr>
        <w:spacing w:line="360" w:lineRule="auto"/>
        <w:ind w:left="420" w:leftChars="200"/>
        <w:jc w:val="left"/>
        <w:rPr>
          <w:rFonts w:ascii="仿宋" w:hAnsi="仿宋" w:eastAsia="仿宋"/>
          <w:color w:val="auto"/>
          <w:sz w:val="24"/>
          <w:szCs w:val="28"/>
          <w:highlight w:val="none"/>
        </w:rPr>
      </w:pPr>
      <w:r>
        <w:rPr>
          <w:rFonts w:ascii="仿宋" w:hAnsi="仿宋" w:eastAsia="仿宋"/>
          <w:color w:val="auto"/>
          <w:sz w:val="24"/>
          <w:szCs w:val="28"/>
          <w:highlight w:val="none"/>
        </w:rPr>
        <w:t>简要规格描述或项目基本概况介绍、用途：</w:t>
      </w:r>
      <w:r>
        <w:rPr>
          <w:rFonts w:hint="eastAsia" w:ascii="仿宋" w:hAnsi="仿宋" w:eastAsia="仿宋"/>
          <w:color w:val="auto"/>
          <w:sz w:val="24"/>
          <w:szCs w:val="28"/>
          <w:highlight w:val="none"/>
          <w:u w:val="single"/>
          <w:lang w:eastAsia="zh-CN"/>
        </w:rPr>
        <w:t>柯桥区笛里人家小区物业管理服务采购项目位于</w:t>
      </w:r>
      <w:r>
        <w:rPr>
          <w:rFonts w:hint="eastAsia" w:ascii="仿宋" w:hAnsi="仿宋" w:eastAsia="仿宋"/>
          <w:color w:val="auto"/>
          <w:sz w:val="24"/>
          <w:szCs w:val="28"/>
          <w:highlight w:val="none"/>
          <w:u w:val="single"/>
          <w:lang w:val="en-US" w:eastAsia="zh-CN"/>
        </w:rPr>
        <w:t>瓜渚东路</w:t>
      </w:r>
      <w:r>
        <w:rPr>
          <w:rFonts w:hint="eastAsia" w:ascii="仿宋" w:hAnsi="仿宋" w:eastAsia="仿宋"/>
          <w:color w:val="auto"/>
          <w:sz w:val="24"/>
          <w:szCs w:val="28"/>
          <w:highlight w:val="none"/>
          <w:u w:val="single"/>
          <w:lang w:eastAsia="zh-CN"/>
        </w:rPr>
        <w:t>以南，</w:t>
      </w:r>
      <w:r>
        <w:rPr>
          <w:rFonts w:hint="eastAsia" w:ascii="仿宋" w:hAnsi="仿宋" w:eastAsia="仿宋"/>
          <w:color w:val="auto"/>
          <w:sz w:val="24"/>
          <w:szCs w:val="28"/>
          <w:highlight w:val="none"/>
          <w:u w:val="single"/>
          <w:lang w:val="en-US" w:eastAsia="zh-CN"/>
        </w:rPr>
        <w:t>中泽路以东，</w:t>
      </w:r>
      <w:r>
        <w:rPr>
          <w:rFonts w:hint="eastAsia" w:ascii="仿宋" w:hAnsi="仿宋" w:eastAsia="仿宋"/>
          <w:color w:val="auto"/>
          <w:sz w:val="24"/>
          <w:szCs w:val="28"/>
          <w:highlight w:val="none"/>
          <w:u w:val="single"/>
          <w:lang w:eastAsia="zh-CN"/>
        </w:rPr>
        <w:t>地上为5栋22-23层，</w:t>
      </w:r>
      <w:r>
        <w:rPr>
          <w:rFonts w:hint="eastAsia" w:ascii="仿宋" w:hAnsi="仿宋" w:eastAsia="仿宋"/>
          <w:color w:val="auto"/>
          <w:sz w:val="24"/>
          <w:szCs w:val="28"/>
          <w:highlight w:val="none"/>
          <w:u w:val="single"/>
          <w:lang w:val="en-US" w:eastAsia="zh-CN"/>
        </w:rPr>
        <w:t>地下一层，</w:t>
      </w:r>
      <w:r>
        <w:rPr>
          <w:rFonts w:hint="eastAsia" w:ascii="仿宋" w:hAnsi="仿宋" w:eastAsia="仿宋"/>
          <w:color w:val="auto"/>
          <w:sz w:val="24"/>
          <w:szCs w:val="28"/>
          <w:highlight w:val="none"/>
          <w:u w:val="single"/>
          <w:lang w:eastAsia="zh-CN"/>
        </w:rPr>
        <w:t>总建筑面积约为53109.24㎡，地上部分为38686.9㎡，地下</w:t>
      </w:r>
      <w:r>
        <w:rPr>
          <w:rFonts w:hint="eastAsia" w:ascii="仿宋" w:hAnsi="仿宋" w:eastAsia="仿宋"/>
          <w:color w:val="auto"/>
          <w:sz w:val="24"/>
          <w:szCs w:val="28"/>
          <w:highlight w:val="none"/>
          <w:u w:val="single"/>
          <w:lang w:val="en-US" w:eastAsia="zh-CN"/>
        </w:rPr>
        <w:t>部分</w:t>
      </w:r>
      <w:r>
        <w:rPr>
          <w:rFonts w:hint="eastAsia" w:ascii="仿宋" w:hAnsi="仿宋" w:eastAsia="仿宋"/>
          <w:color w:val="auto"/>
          <w:sz w:val="24"/>
          <w:szCs w:val="28"/>
          <w:highlight w:val="none"/>
          <w:u w:val="single"/>
          <w:lang w:eastAsia="zh-CN"/>
        </w:rPr>
        <w:t>为14422.34㎡，其中住宅面积32479.08㎡，商业用房</w:t>
      </w:r>
      <w:r>
        <w:rPr>
          <w:rFonts w:hint="eastAsia" w:ascii="仿宋" w:hAnsi="仿宋" w:eastAsia="仿宋"/>
          <w:color w:val="auto"/>
          <w:sz w:val="24"/>
          <w:szCs w:val="28"/>
          <w:highlight w:val="none"/>
          <w:u w:val="single"/>
          <w:lang w:val="en-US" w:eastAsia="zh-CN"/>
        </w:rPr>
        <w:t>面积</w:t>
      </w:r>
      <w:r>
        <w:rPr>
          <w:rFonts w:hint="eastAsia" w:ascii="仿宋" w:hAnsi="仿宋" w:eastAsia="仿宋"/>
          <w:color w:val="auto"/>
          <w:sz w:val="24"/>
          <w:szCs w:val="28"/>
          <w:highlight w:val="none"/>
          <w:u w:val="single"/>
          <w:lang w:eastAsia="zh-CN"/>
        </w:rPr>
        <w:t>3582.14㎡，最终面积以实测面积为准，住宅总户数428户。招标内容为小区范围内的全部物业服务，包括物管服务所需的管理人员、</w:t>
      </w:r>
      <w:r>
        <w:rPr>
          <w:rFonts w:hint="eastAsia" w:ascii="仿宋" w:hAnsi="仿宋" w:eastAsia="仿宋"/>
          <w:color w:val="auto"/>
          <w:sz w:val="24"/>
          <w:szCs w:val="28"/>
          <w:highlight w:val="none"/>
          <w:u w:val="single"/>
          <w:lang w:val="en-US" w:eastAsia="zh-CN"/>
        </w:rPr>
        <w:t>客服</w:t>
      </w:r>
      <w:r>
        <w:rPr>
          <w:rFonts w:hint="eastAsia" w:ascii="仿宋" w:hAnsi="仿宋" w:eastAsia="仿宋"/>
          <w:color w:val="auto"/>
          <w:sz w:val="24"/>
          <w:szCs w:val="28"/>
          <w:highlight w:val="none"/>
          <w:u w:val="single"/>
          <w:lang w:eastAsia="zh-CN"/>
        </w:rPr>
        <w:t>、保洁、保安、机电设备、空调、车库车位、公厕及停车场管理、绿化养护、</w:t>
      </w:r>
      <w:r>
        <w:rPr>
          <w:rFonts w:hint="eastAsia" w:ascii="仿宋" w:hAnsi="仿宋" w:eastAsia="仿宋"/>
          <w:color w:val="auto"/>
          <w:sz w:val="24"/>
          <w:szCs w:val="28"/>
          <w:highlight w:val="none"/>
          <w:u w:val="single"/>
          <w:lang w:val="en-US" w:eastAsia="zh-CN"/>
        </w:rPr>
        <w:t>商业用房、</w:t>
      </w:r>
      <w:r>
        <w:rPr>
          <w:rFonts w:hint="eastAsia" w:ascii="仿宋" w:hAnsi="仿宋" w:eastAsia="仿宋"/>
          <w:color w:val="auto"/>
          <w:sz w:val="24"/>
          <w:szCs w:val="28"/>
          <w:highlight w:val="none"/>
          <w:u w:val="single"/>
          <w:lang w:eastAsia="zh-CN"/>
        </w:rPr>
        <w:t>高配房、开关站、监控、消控管理、公共设施管理、纠纷调解、物业费收缴及配合街道办或居民委员会做好其他工作等与物业相关的管理服务。具体详见招标文件。</w:t>
      </w:r>
    </w:p>
    <w:p>
      <w:pPr>
        <w:spacing w:line="360" w:lineRule="auto"/>
        <w:ind w:left="420" w:left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备注：无。</w:t>
      </w:r>
    </w:p>
    <w:p>
      <w:pPr>
        <w:spacing w:line="360" w:lineRule="auto"/>
        <w:ind w:left="420" w:left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合同履行期限：详见招标文件。</w:t>
      </w:r>
    </w:p>
    <w:p>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w:t>
      </w:r>
      <w:r>
        <w:rPr>
          <w:rFonts w:ascii="仿宋" w:hAnsi="仿宋" w:eastAsia="仿宋"/>
          <w:b/>
          <w:i/>
          <w:color w:val="auto"/>
          <w:sz w:val="24"/>
          <w:szCs w:val="28"/>
          <w:highlight w:val="none"/>
        </w:rPr>
        <w:t>否</w:t>
      </w:r>
      <w:r>
        <w:rPr>
          <w:rFonts w:hint="eastAsia" w:ascii="仿宋" w:hAnsi="仿宋" w:eastAsia="仿宋"/>
          <w:b/>
          <w:color w:val="auto"/>
          <w:sz w:val="24"/>
          <w:szCs w:val="28"/>
          <w:highlight w:val="none"/>
        </w:rPr>
        <w:t>）</w:t>
      </w:r>
      <w:r>
        <w:rPr>
          <w:rFonts w:hint="eastAsia" w:ascii="仿宋" w:hAnsi="仿宋" w:eastAsia="仿宋"/>
          <w:color w:val="auto"/>
          <w:sz w:val="24"/>
          <w:szCs w:val="28"/>
          <w:highlight w:val="none"/>
        </w:rPr>
        <w:t>接受联合体投标。</w:t>
      </w:r>
    </w:p>
    <w:p>
      <w:pPr>
        <w:pStyle w:val="4"/>
        <w:numPr>
          <w:ilvl w:val="0"/>
          <w:numId w:val="0"/>
        </w:numPr>
        <w:rPr>
          <w:rFonts w:ascii="黑体" w:hAnsi="黑体" w:cs="宋体"/>
          <w:color w:val="auto"/>
          <w:sz w:val="24"/>
          <w:szCs w:val="28"/>
          <w:highlight w:val="none"/>
        </w:rPr>
      </w:pPr>
      <w:bookmarkStart w:id="18" w:name="_Toc35393622"/>
      <w:bookmarkStart w:id="19" w:name="_Toc28359080"/>
      <w:bookmarkStart w:id="20" w:name="_Toc28359003"/>
      <w:bookmarkStart w:id="21" w:name="_Toc35393791"/>
      <w:r>
        <w:rPr>
          <w:rFonts w:hint="eastAsia" w:ascii="黑体" w:hAnsi="黑体" w:cs="宋体"/>
          <w:color w:val="auto"/>
          <w:sz w:val="24"/>
          <w:szCs w:val="28"/>
          <w:highlight w:val="none"/>
        </w:rPr>
        <w:t>二、申请人的资格要求：</w:t>
      </w:r>
      <w:bookmarkEnd w:id="18"/>
      <w:bookmarkEnd w:id="19"/>
      <w:bookmarkEnd w:id="20"/>
      <w:bookmarkEnd w:id="21"/>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i/>
          <w:iCs/>
          <w:color w:val="auto"/>
          <w:sz w:val="24"/>
          <w:szCs w:val="28"/>
          <w:highlight w:val="none"/>
          <w:u w:val="single"/>
        </w:rPr>
      </w:pPr>
      <w:bookmarkStart w:id="22" w:name="_Toc28359081"/>
      <w:bookmarkStart w:id="23" w:name="_Toc28359004"/>
      <w:r>
        <w:rPr>
          <w:rFonts w:hint="eastAsia" w:ascii="仿宋" w:hAnsi="仿宋" w:eastAsia="仿宋"/>
          <w:color w:val="auto"/>
          <w:sz w:val="24"/>
          <w:szCs w:val="28"/>
          <w:highlight w:val="none"/>
        </w:rPr>
        <w:t>本项目的特定资格要求：无</w:t>
      </w:r>
    </w:p>
    <w:p>
      <w:pPr>
        <w:pStyle w:val="4"/>
        <w:numPr>
          <w:ilvl w:val="0"/>
          <w:numId w:val="0"/>
        </w:numPr>
        <w:rPr>
          <w:rFonts w:ascii="黑体" w:hAnsi="黑体" w:cs="宋体"/>
          <w:color w:val="auto"/>
          <w:sz w:val="24"/>
          <w:szCs w:val="28"/>
          <w:highlight w:val="none"/>
        </w:rPr>
      </w:pPr>
      <w:bookmarkStart w:id="24" w:name="_Toc35393792"/>
      <w:bookmarkStart w:id="25" w:name="_Toc35393623"/>
      <w:r>
        <w:rPr>
          <w:rFonts w:hint="eastAsia" w:ascii="黑体" w:hAnsi="黑体" w:cs="宋体"/>
          <w:color w:val="auto"/>
          <w:sz w:val="24"/>
          <w:szCs w:val="28"/>
          <w:highlight w:val="none"/>
        </w:rPr>
        <w:t>三、获取招标文件</w:t>
      </w:r>
      <w:bookmarkEnd w:id="22"/>
      <w:bookmarkEnd w:id="23"/>
      <w:bookmarkEnd w:id="24"/>
      <w:bookmarkEnd w:id="25"/>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lang w:eastAsia="zh-CN"/>
        </w:rPr>
        <w:t>2025</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7</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22</w:t>
      </w:r>
      <w:r>
        <w:rPr>
          <w:rFonts w:hint="eastAsia" w:ascii="仿宋" w:hAnsi="仿宋" w:eastAsia="仿宋"/>
          <w:bCs/>
          <w:color w:val="auto"/>
          <w:sz w:val="24"/>
          <w:szCs w:val="28"/>
          <w:highlight w:val="none"/>
          <w:u w:val="single"/>
        </w:rPr>
        <w:t>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hint="eastAsia" w:ascii="仿宋" w:hAnsi="仿宋" w:eastAsia="仿宋" w:cs="宋体"/>
          <w:snapToGrid w:val="0"/>
          <w:color w:val="auto"/>
          <w:sz w:val="24"/>
          <w:szCs w:val="28"/>
          <w:highlight w:val="none"/>
        </w:rPr>
        <w:t>乐采云平台</w:t>
      </w:r>
      <w:r>
        <w:rPr>
          <w:rFonts w:ascii="仿宋" w:hAnsi="仿宋" w:eastAsia="仿宋" w:cs="宋体"/>
          <w:snapToGrid w:val="0"/>
          <w:color w:val="auto"/>
          <w:sz w:val="24"/>
          <w:szCs w:val="28"/>
          <w:highlight w:val="none"/>
        </w:rPr>
        <w:t>（</w:t>
      </w:r>
      <w:r>
        <w:rPr>
          <w:rFonts w:ascii="仿宋" w:hAnsi="仿宋" w:eastAsia="仿宋" w:cs="宋体"/>
          <w:color w:val="auto"/>
          <w:sz w:val="24"/>
          <w:szCs w:val="28"/>
          <w:highlight w:val="none"/>
        </w:rPr>
        <w:t>https://www.lecaiyun.com/</w:t>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pP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w:t>
      </w:r>
      <w:r>
        <w:rPr>
          <w:rFonts w:hint="eastAsia" w:ascii="仿宋" w:hAnsi="仿宋" w:eastAsia="仿宋" w:cs="宋体"/>
          <w:color w:val="auto"/>
          <w:sz w:val="24"/>
          <w:szCs w:val="28"/>
          <w:highlight w:val="none"/>
          <w:lang w:val="en-US" w:eastAsia="zh-CN"/>
        </w:rPr>
        <w:t>供应商</w:t>
      </w:r>
      <w:r>
        <w:rPr>
          <w:rFonts w:hint="eastAsia" w:ascii="仿宋" w:hAnsi="仿宋" w:eastAsia="仿宋" w:cs="宋体"/>
          <w:color w:val="auto"/>
          <w:sz w:val="24"/>
          <w:szCs w:val="28"/>
          <w:highlight w:val="none"/>
        </w:rPr>
        <w:t>登陆乐采云平台</w:t>
      </w:r>
      <w:r>
        <w:rPr>
          <w:rFonts w:ascii="仿宋" w:hAnsi="仿宋" w:eastAsia="仿宋" w:cs="宋体"/>
          <w:color w:val="auto"/>
          <w:sz w:val="24"/>
          <w:szCs w:val="28"/>
          <w:highlight w:val="none"/>
        </w:rPr>
        <w:t>https://www.lecaiyun.com/</w:t>
      </w:r>
      <w:r>
        <w:rPr>
          <w:rFonts w:hint="eastAsia" w:ascii="仿宋" w:hAnsi="仿宋" w:eastAsia="仿宋" w:cs="宋体"/>
          <w:color w:val="auto"/>
          <w:sz w:val="24"/>
          <w:szCs w:val="28"/>
          <w:highlight w:val="none"/>
        </w:rPr>
        <w:t>，在线申请获取采购文件（进入“项目采购”应用，在获取采购文件菜单中选择项目，申请获取</w:t>
      </w:r>
      <w:r>
        <w:rPr>
          <w:rFonts w:hint="eastAsia" w:ascii="仿宋" w:hAnsi="仿宋" w:eastAsia="仿宋" w:cs="宋体"/>
          <w:color w:val="auto"/>
          <w:sz w:val="24"/>
          <w:szCs w:val="28"/>
          <w:highlight w:val="none"/>
          <w:lang w:val="en-US" w:eastAsia="zh-CN"/>
        </w:rPr>
        <w:t>采购</w:t>
      </w:r>
      <w:r>
        <w:rPr>
          <w:rFonts w:hint="eastAsia" w:ascii="仿宋" w:hAnsi="仿宋" w:eastAsia="仿宋" w:cs="宋体"/>
          <w:color w:val="auto"/>
          <w:sz w:val="24"/>
          <w:szCs w:val="28"/>
          <w:highlight w:val="none"/>
        </w:rPr>
        <w:t>文件）。公告页面附件</w:t>
      </w:r>
      <w:r>
        <w:rPr>
          <w:rFonts w:hint="eastAsia" w:ascii="仿宋" w:hAnsi="仿宋" w:eastAsia="仿宋" w:cs="宋体"/>
          <w:color w:val="auto"/>
          <w:sz w:val="24"/>
          <w:szCs w:val="28"/>
          <w:highlight w:val="none"/>
          <w:lang w:val="en-US" w:eastAsia="zh-CN"/>
        </w:rPr>
        <w:t>招标</w:t>
      </w:r>
      <w:r>
        <w:rPr>
          <w:rFonts w:hint="eastAsia" w:ascii="仿宋" w:hAnsi="仿宋" w:eastAsia="仿宋" w:cs="宋体"/>
          <w:color w:val="auto"/>
          <w:sz w:val="24"/>
          <w:szCs w:val="28"/>
          <w:highlight w:val="none"/>
          <w:lang w:eastAsia="zh-CN"/>
        </w:rPr>
        <w:t>文件</w:t>
      </w:r>
      <w:r>
        <w:rPr>
          <w:rFonts w:hint="eastAsia" w:ascii="仿宋" w:hAnsi="仿宋" w:eastAsia="仿宋" w:cs="宋体"/>
          <w:color w:val="auto"/>
          <w:sz w:val="24"/>
          <w:szCs w:val="28"/>
          <w:highlight w:val="none"/>
        </w:rPr>
        <w:t>可以下载，仅供浏览使用；</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pPr>
        <w:pStyle w:val="4"/>
        <w:numPr>
          <w:ilvl w:val="0"/>
          <w:numId w:val="0"/>
        </w:numPr>
        <w:rPr>
          <w:rFonts w:ascii="黑体" w:hAnsi="黑体" w:cs="宋体"/>
          <w:color w:val="auto"/>
          <w:sz w:val="24"/>
          <w:szCs w:val="28"/>
          <w:highlight w:val="none"/>
        </w:rPr>
      </w:pPr>
      <w:bookmarkStart w:id="26" w:name="_Toc28359082"/>
      <w:bookmarkStart w:id="27" w:name="_Toc28359005"/>
      <w:bookmarkStart w:id="28" w:name="_Toc35393624"/>
      <w:bookmarkStart w:id="29" w:name="_Toc35393793"/>
      <w:r>
        <w:rPr>
          <w:rFonts w:hint="eastAsia" w:ascii="黑体" w:hAnsi="黑体" w:cs="宋体"/>
          <w:color w:val="auto"/>
          <w:sz w:val="24"/>
          <w:szCs w:val="28"/>
          <w:highlight w:val="none"/>
        </w:rPr>
        <w:t>四、提交投标文件</w:t>
      </w:r>
      <w:bookmarkEnd w:id="26"/>
      <w:bookmarkEnd w:id="27"/>
      <w:r>
        <w:rPr>
          <w:rFonts w:hint="eastAsia" w:ascii="黑体" w:hAnsi="黑体" w:cs="宋体"/>
          <w:color w:val="auto"/>
          <w:sz w:val="24"/>
          <w:szCs w:val="28"/>
          <w:highlight w:val="none"/>
        </w:rPr>
        <w:t>截止时间、开标时间和地点</w:t>
      </w:r>
      <w:bookmarkEnd w:id="28"/>
      <w:bookmarkEnd w:id="29"/>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 xml:space="preserve">提交投标文件截止时间： </w:t>
      </w:r>
      <w:r>
        <w:rPr>
          <w:rFonts w:hint="eastAsia" w:ascii="仿宋" w:hAnsi="仿宋" w:eastAsia="仿宋"/>
          <w:bCs/>
          <w:color w:val="auto"/>
          <w:sz w:val="24"/>
          <w:szCs w:val="28"/>
          <w:highlight w:val="none"/>
          <w:u w:val="single"/>
          <w:lang w:eastAsia="zh-CN"/>
        </w:rPr>
        <w:t>2025</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7</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22</w:t>
      </w:r>
      <w:r>
        <w:rPr>
          <w:rFonts w:hint="eastAsia" w:ascii="仿宋" w:hAnsi="仿宋" w:eastAsia="仿宋"/>
          <w:bCs/>
          <w:color w:val="auto"/>
          <w:sz w:val="24"/>
          <w:szCs w:val="28"/>
          <w:highlight w:val="none"/>
          <w:u w:val="single"/>
        </w:rPr>
        <w:t>日</w:t>
      </w:r>
      <w:r>
        <w:rPr>
          <w:rFonts w:hint="eastAsia" w:ascii="仿宋" w:hAnsi="仿宋" w:eastAsia="仿宋"/>
          <w:bCs/>
          <w:color w:val="auto"/>
          <w:sz w:val="24"/>
          <w:szCs w:val="28"/>
          <w:highlight w:val="none"/>
          <w:lang w:val="en-US" w:eastAsia="zh-CN"/>
        </w:rPr>
        <w:t>09</w:t>
      </w:r>
      <w:r>
        <w:rPr>
          <w:rFonts w:hint="eastAsia" w:ascii="仿宋" w:hAnsi="仿宋" w:eastAsia="仿宋"/>
          <w:bCs/>
          <w:color w:val="auto"/>
          <w:sz w:val="24"/>
          <w:szCs w:val="28"/>
          <w:highlight w:val="none"/>
        </w:rPr>
        <w:t>：</w:t>
      </w:r>
      <w:r>
        <w:rPr>
          <w:rFonts w:hint="eastAsia" w:ascii="仿宋" w:hAnsi="仿宋" w:eastAsia="仿宋"/>
          <w:bCs/>
          <w:color w:val="auto"/>
          <w:sz w:val="24"/>
          <w:szCs w:val="28"/>
          <w:highlight w:val="none"/>
          <w:lang w:val="en-US" w:eastAsia="zh-CN"/>
        </w:rPr>
        <w:t>30</w:t>
      </w:r>
      <w:r>
        <w:rPr>
          <w:rFonts w:hint="eastAsia" w:ascii="仿宋" w:hAnsi="仿宋" w:eastAsia="仿宋"/>
          <w:bCs/>
          <w:color w:val="auto"/>
          <w:sz w:val="24"/>
          <w:szCs w:val="28"/>
          <w:highlight w:val="none"/>
        </w:rPr>
        <w:t>（北京时间）</w:t>
      </w:r>
    </w:p>
    <w:p>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投标地点（网址）：</w:t>
      </w:r>
      <w:r>
        <w:rPr>
          <w:rFonts w:hint="eastAsia" w:ascii="仿宋" w:hAnsi="仿宋" w:eastAsia="仿宋" w:cs="宋体"/>
          <w:snapToGrid w:val="0"/>
          <w:color w:val="auto"/>
          <w:sz w:val="24"/>
          <w:szCs w:val="28"/>
          <w:highlight w:val="none"/>
        </w:rPr>
        <w:t>乐采云平台</w:t>
      </w:r>
      <w:r>
        <w:rPr>
          <w:rFonts w:ascii="仿宋" w:hAnsi="仿宋" w:eastAsia="仿宋" w:cs="宋体"/>
          <w:snapToGrid w:val="0"/>
          <w:color w:val="auto"/>
          <w:sz w:val="24"/>
          <w:szCs w:val="28"/>
          <w:highlight w:val="none"/>
        </w:rPr>
        <w:t>（</w:t>
      </w:r>
      <w:r>
        <w:rPr>
          <w:rFonts w:ascii="仿宋" w:hAnsi="仿宋" w:eastAsia="仿宋" w:cs="宋体"/>
          <w:color w:val="auto"/>
          <w:sz w:val="24"/>
          <w:szCs w:val="28"/>
          <w:highlight w:val="none"/>
        </w:rPr>
        <w:t>https://www.lecaiyun.com/</w:t>
      </w:r>
      <w:r>
        <w:rPr>
          <w:rFonts w:ascii="仿宋" w:hAnsi="仿宋" w:eastAsia="仿宋" w:cs="宋体"/>
          <w:snapToGrid w:val="0"/>
          <w:color w:val="auto"/>
          <w:sz w:val="24"/>
          <w:szCs w:val="28"/>
          <w:highlight w:val="none"/>
        </w:rPr>
        <w:t>）</w:t>
      </w:r>
    </w:p>
    <w:p>
      <w:pPr>
        <w:spacing w:line="360" w:lineRule="auto"/>
        <w:ind w:firstLine="480" w:firstLineChars="200"/>
        <w:jc w:val="left"/>
        <w:rPr>
          <w:rFonts w:hint="eastAsia" w:ascii="仿宋" w:hAnsi="仿宋" w:eastAsia="仿宋"/>
          <w:bCs/>
          <w:color w:val="auto"/>
          <w:sz w:val="24"/>
          <w:szCs w:val="28"/>
          <w:highlight w:val="none"/>
          <w:lang w:val="en-US" w:eastAsia="zh-CN"/>
        </w:rPr>
      </w:pPr>
      <w:r>
        <w:rPr>
          <w:rFonts w:ascii="仿宋" w:hAnsi="仿宋" w:eastAsia="仿宋" w:cs="宋体"/>
          <w:color w:val="auto"/>
          <w:sz w:val="24"/>
          <w:szCs w:val="28"/>
          <w:highlight w:val="none"/>
        </w:rPr>
        <w:t>开标时间：</w:t>
      </w:r>
      <w:r>
        <w:rPr>
          <w:rFonts w:hint="eastAsia" w:ascii="仿宋" w:hAnsi="仿宋" w:eastAsia="仿宋" w:cs="宋体"/>
          <w:color w:val="auto"/>
          <w:sz w:val="24"/>
          <w:szCs w:val="28"/>
          <w:highlight w:val="none"/>
          <w:u w:val="single"/>
          <w:lang w:eastAsia="zh-CN"/>
        </w:rPr>
        <w:t>2025</w:t>
      </w:r>
      <w:r>
        <w:rPr>
          <w:rFonts w:hint="eastAsia" w:ascii="仿宋" w:hAnsi="仿宋" w:eastAsia="仿宋" w:cs="宋体"/>
          <w:color w:val="auto"/>
          <w:sz w:val="24"/>
          <w:szCs w:val="28"/>
          <w:highlight w:val="none"/>
          <w:u w:val="single"/>
        </w:rPr>
        <w:t>年</w:t>
      </w:r>
      <w:r>
        <w:rPr>
          <w:rFonts w:hint="eastAsia" w:ascii="仿宋" w:hAnsi="仿宋" w:eastAsia="仿宋"/>
          <w:bCs/>
          <w:color w:val="auto"/>
          <w:sz w:val="24"/>
          <w:szCs w:val="28"/>
          <w:highlight w:val="none"/>
          <w:u w:val="single"/>
          <w:lang w:val="en-US" w:eastAsia="zh-CN"/>
        </w:rPr>
        <w:t>7</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22</w:t>
      </w:r>
      <w:r>
        <w:rPr>
          <w:rFonts w:hint="eastAsia" w:ascii="仿宋" w:hAnsi="仿宋" w:eastAsia="仿宋"/>
          <w:bCs/>
          <w:color w:val="auto"/>
          <w:sz w:val="24"/>
          <w:szCs w:val="28"/>
          <w:highlight w:val="none"/>
          <w:u w:val="single"/>
        </w:rPr>
        <w:t>日</w:t>
      </w:r>
      <w:r>
        <w:rPr>
          <w:rFonts w:hint="eastAsia" w:ascii="仿宋" w:hAnsi="仿宋" w:eastAsia="仿宋"/>
          <w:bCs/>
          <w:color w:val="auto"/>
          <w:sz w:val="24"/>
          <w:szCs w:val="28"/>
          <w:highlight w:val="none"/>
          <w:lang w:val="en-US" w:eastAsia="zh-CN"/>
        </w:rPr>
        <w:t>09</w:t>
      </w:r>
      <w:r>
        <w:rPr>
          <w:rFonts w:hint="eastAsia" w:ascii="仿宋" w:hAnsi="仿宋" w:eastAsia="仿宋"/>
          <w:bCs/>
          <w:color w:val="auto"/>
          <w:sz w:val="24"/>
          <w:szCs w:val="28"/>
          <w:highlight w:val="none"/>
        </w:rPr>
        <w:t>：</w:t>
      </w:r>
      <w:r>
        <w:rPr>
          <w:rFonts w:hint="eastAsia" w:ascii="仿宋" w:hAnsi="仿宋" w:eastAsia="仿宋"/>
          <w:bCs/>
          <w:color w:val="auto"/>
          <w:sz w:val="24"/>
          <w:szCs w:val="28"/>
          <w:highlight w:val="none"/>
          <w:lang w:val="en-US" w:eastAsia="zh-CN"/>
        </w:rPr>
        <w:t>30</w:t>
      </w:r>
      <w:r>
        <w:rPr>
          <w:rFonts w:hint="eastAsia" w:ascii="仿宋" w:hAnsi="仿宋" w:eastAsia="仿宋"/>
          <w:bCs/>
          <w:color w:val="auto"/>
          <w:sz w:val="24"/>
          <w:szCs w:val="28"/>
          <w:highlight w:val="none"/>
        </w:rPr>
        <w:t>（北京时间）</w:t>
      </w:r>
      <w:r>
        <w:rPr>
          <w:rFonts w:hint="eastAsia" w:ascii="仿宋" w:hAnsi="仿宋" w:eastAsia="仿宋"/>
          <w:bCs/>
          <w:color w:val="auto"/>
          <w:sz w:val="24"/>
          <w:szCs w:val="28"/>
          <w:highlight w:val="none"/>
          <w:lang w:val="en-US" w:eastAsia="zh-CN"/>
        </w:rPr>
        <w:t xml:space="preserve">  </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w:t>
      </w:r>
      <w:r>
        <w:rPr>
          <w:rFonts w:hint="eastAsia" w:ascii="仿宋" w:hAnsi="仿宋" w:eastAsia="仿宋"/>
          <w:color w:val="auto"/>
          <w:sz w:val="24"/>
          <w:szCs w:val="28"/>
          <w:highlight w:val="none"/>
          <w:lang w:eastAsia="zh-CN"/>
        </w:rPr>
        <w:t>浙江金柯桥文化旅游集团有限公司</w:t>
      </w:r>
      <w:r>
        <w:rPr>
          <w:rFonts w:hint="eastAsia" w:ascii="仿宋" w:hAnsi="仿宋" w:eastAsia="仿宋"/>
          <w:color w:val="auto"/>
          <w:sz w:val="24"/>
          <w:szCs w:val="28"/>
          <w:highlight w:val="none"/>
        </w:rPr>
        <w:t>办公楼2号楼202会议室（柯岩风景区内）通过</w:t>
      </w:r>
      <w:r>
        <w:rPr>
          <w:rFonts w:hint="eastAsia" w:ascii="仿宋" w:hAnsi="仿宋" w:eastAsia="仿宋" w:cs="宋体"/>
          <w:snapToGrid w:val="0"/>
          <w:color w:val="auto"/>
          <w:sz w:val="24"/>
          <w:szCs w:val="28"/>
          <w:highlight w:val="none"/>
        </w:rPr>
        <w:t>乐采云平台</w:t>
      </w:r>
      <w:r>
        <w:rPr>
          <w:rFonts w:ascii="仿宋" w:hAnsi="仿宋" w:eastAsia="仿宋" w:cs="宋体"/>
          <w:snapToGrid w:val="0"/>
          <w:color w:val="auto"/>
          <w:sz w:val="24"/>
          <w:szCs w:val="28"/>
          <w:highlight w:val="none"/>
        </w:rPr>
        <w:t>（</w:t>
      </w:r>
      <w:r>
        <w:rPr>
          <w:rFonts w:ascii="仿宋" w:hAnsi="仿宋" w:eastAsia="仿宋" w:cs="宋体"/>
          <w:color w:val="auto"/>
          <w:sz w:val="24"/>
          <w:szCs w:val="28"/>
          <w:highlight w:val="none"/>
        </w:rPr>
        <w:t>https://www.lecaiyun.com/</w:t>
      </w:r>
      <w:r>
        <w:rPr>
          <w:rFonts w:ascii="仿宋" w:hAnsi="仿宋" w:eastAsia="仿宋" w:cs="宋体"/>
          <w:snapToGrid w:val="0"/>
          <w:color w:val="auto"/>
          <w:sz w:val="24"/>
          <w:szCs w:val="28"/>
          <w:highlight w:val="none"/>
        </w:rPr>
        <w:t>）</w:t>
      </w:r>
      <w:r>
        <w:rPr>
          <w:rFonts w:hint="eastAsia" w:ascii="仿宋" w:hAnsi="仿宋" w:eastAsia="仿宋"/>
          <w:color w:val="auto"/>
          <w:sz w:val="24"/>
          <w:szCs w:val="28"/>
          <w:highlight w:val="none"/>
        </w:rPr>
        <w:t>在线开标。</w:t>
      </w:r>
    </w:p>
    <w:p>
      <w:pPr>
        <w:pStyle w:val="4"/>
        <w:numPr>
          <w:ilvl w:val="0"/>
          <w:numId w:val="0"/>
        </w:numPr>
        <w:rPr>
          <w:rFonts w:ascii="黑体" w:hAnsi="黑体" w:cs="宋体"/>
          <w:color w:val="auto"/>
          <w:sz w:val="24"/>
          <w:szCs w:val="28"/>
          <w:highlight w:val="none"/>
        </w:rPr>
      </w:pPr>
      <w:bookmarkStart w:id="30" w:name="_Toc35393794"/>
      <w:bookmarkStart w:id="31" w:name="_Toc35393625"/>
      <w:bookmarkStart w:id="32" w:name="_Toc28359007"/>
      <w:bookmarkStart w:id="33" w:name="_Toc28359084"/>
      <w:r>
        <w:rPr>
          <w:rFonts w:hint="eastAsia" w:ascii="黑体" w:hAnsi="黑体" w:cs="宋体"/>
          <w:color w:val="auto"/>
          <w:sz w:val="24"/>
          <w:szCs w:val="28"/>
          <w:highlight w:val="none"/>
        </w:rPr>
        <w:t>五、公告期限</w:t>
      </w:r>
      <w:bookmarkEnd w:id="30"/>
      <w:bookmarkEnd w:id="31"/>
      <w:bookmarkEnd w:id="32"/>
      <w:bookmarkEnd w:id="33"/>
    </w:p>
    <w:p>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w:t>
      </w:r>
      <w:r>
        <w:rPr>
          <w:rFonts w:hint="eastAsia" w:ascii="仿宋" w:hAnsi="仿宋" w:eastAsia="仿宋" w:cs="宋体"/>
          <w:color w:val="auto"/>
          <w:kern w:val="0"/>
          <w:sz w:val="24"/>
          <w:szCs w:val="28"/>
          <w:highlight w:val="none"/>
          <w:lang w:val="en-US" w:eastAsia="zh-CN"/>
        </w:rPr>
        <w:t>5</w:t>
      </w:r>
      <w:r>
        <w:rPr>
          <w:rFonts w:hint="eastAsia" w:ascii="仿宋" w:hAnsi="仿宋" w:eastAsia="仿宋" w:cs="宋体"/>
          <w:color w:val="auto"/>
          <w:kern w:val="0"/>
          <w:sz w:val="24"/>
          <w:szCs w:val="28"/>
          <w:highlight w:val="none"/>
        </w:rPr>
        <w:t>个工作日。</w:t>
      </w:r>
    </w:p>
    <w:p>
      <w:pPr>
        <w:pStyle w:val="4"/>
        <w:numPr>
          <w:ilvl w:val="0"/>
          <w:numId w:val="0"/>
        </w:numPr>
        <w:rPr>
          <w:rFonts w:ascii="黑体" w:hAnsi="黑体" w:cs="宋体"/>
          <w:color w:val="auto"/>
          <w:sz w:val="24"/>
          <w:szCs w:val="28"/>
          <w:highlight w:val="none"/>
        </w:rPr>
      </w:pPr>
      <w:bookmarkStart w:id="34" w:name="_Toc35393626"/>
      <w:bookmarkStart w:id="35" w:name="_Toc35393795"/>
      <w:r>
        <w:rPr>
          <w:rFonts w:hint="eastAsia" w:ascii="黑体" w:hAnsi="黑体" w:cs="宋体"/>
          <w:color w:val="auto"/>
          <w:sz w:val="24"/>
          <w:szCs w:val="28"/>
          <w:highlight w:val="none"/>
        </w:rPr>
        <w:t>六、其他补充事宜</w:t>
      </w:r>
      <w:bookmarkEnd w:id="34"/>
      <w:bookmarkEnd w:id="35"/>
    </w:p>
    <w:p>
      <w:pPr>
        <w:spacing w:line="360" w:lineRule="auto"/>
        <w:ind w:firstLine="480" w:firstLineChars="200"/>
        <w:jc w:val="left"/>
        <w:rPr>
          <w:rFonts w:hint="eastAsia" w:ascii="仿宋" w:hAnsi="仿宋" w:eastAsia="仿宋"/>
          <w:color w:val="auto"/>
          <w:sz w:val="24"/>
          <w:szCs w:val="28"/>
          <w:highlight w:val="none"/>
        </w:rPr>
      </w:pPr>
      <w:bookmarkStart w:id="36" w:name="_Toc28359008"/>
      <w:bookmarkStart w:id="37" w:name="_Toc35393796"/>
      <w:bookmarkStart w:id="38" w:name="_Toc35393627"/>
      <w:bookmarkStart w:id="39" w:name="_Toc28359085"/>
      <w:r>
        <w:rPr>
          <w:rFonts w:ascii="仿宋" w:hAnsi="仿宋" w:eastAsia="仿宋"/>
          <w:color w:val="auto"/>
          <w:sz w:val="24"/>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color w:val="auto"/>
          <w:sz w:val="24"/>
          <w:szCs w:val="28"/>
          <w:highlight w:val="none"/>
        </w:rPr>
        <w:t>国有企业采购</w:t>
      </w:r>
      <w:r>
        <w:rPr>
          <w:rFonts w:ascii="仿宋" w:hAnsi="仿宋" w:eastAsia="仿宋"/>
          <w:color w:val="auto"/>
          <w:sz w:val="24"/>
          <w:szCs w:val="28"/>
          <w:highlight w:val="none"/>
        </w:rPr>
        <w:t>监督管理部门投诉。质疑函范本、投诉书范本请到浙江政府采购网下载专区下载。</w:t>
      </w:r>
    </w:p>
    <w:p>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2.其他事项：/</w:t>
      </w:r>
    </w:p>
    <w:p>
      <w:pPr>
        <w:pStyle w:val="4"/>
        <w:numPr>
          <w:ilvl w:val="0"/>
          <w:numId w:val="0"/>
        </w:numPr>
        <w:rPr>
          <w:rFonts w:ascii="黑体" w:hAnsi="黑体" w:cs="宋体"/>
          <w:color w:val="auto"/>
          <w:sz w:val="24"/>
          <w:szCs w:val="28"/>
          <w:highlight w:val="none"/>
        </w:rPr>
      </w:pPr>
      <w:r>
        <w:rPr>
          <w:rFonts w:hint="eastAsia" w:ascii="黑体" w:hAnsi="黑体" w:cs="宋体"/>
          <w:color w:val="auto"/>
          <w:sz w:val="24"/>
          <w:szCs w:val="28"/>
          <w:highlight w:val="none"/>
        </w:rPr>
        <w:t>七、对本次采购提出询问、质疑、投诉，请按以下方式联系。</w:t>
      </w:r>
      <w:bookmarkEnd w:id="36"/>
      <w:bookmarkEnd w:id="37"/>
      <w:bookmarkEnd w:id="38"/>
      <w:bookmarkEnd w:id="39"/>
    </w:p>
    <w:p>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1.采购人信息</w:t>
      </w:r>
    </w:p>
    <w:p>
      <w:pPr>
        <w:widowControl/>
        <w:spacing w:line="360" w:lineRule="auto"/>
        <w:ind w:firstLine="480" w:firstLineChars="200"/>
        <w:jc w:val="left"/>
        <w:rPr>
          <w:rFonts w:hint="eastAsia" w:ascii="仿宋" w:hAnsi="仿宋" w:eastAsia="仿宋" w:cs="宋体"/>
          <w:color w:val="auto"/>
          <w:sz w:val="24"/>
          <w:szCs w:val="28"/>
          <w:highlight w:val="none"/>
          <w:lang w:eastAsia="zh-CN"/>
        </w:rPr>
      </w:pPr>
      <w:r>
        <w:rPr>
          <w:rFonts w:hint="eastAsia" w:ascii="仿宋" w:hAnsi="仿宋" w:eastAsia="仿宋" w:cs="宋体"/>
          <w:color w:val="auto"/>
          <w:sz w:val="24"/>
          <w:szCs w:val="28"/>
          <w:highlight w:val="none"/>
        </w:rPr>
        <w:t>名称：</w:t>
      </w:r>
      <w:r>
        <w:rPr>
          <w:rFonts w:hint="eastAsia" w:ascii="仿宋" w:hAnsi="仿宋" w:eastAsia="仿宋" w:cs="宋体"/>
          <w:color w:val="auto"/>
          <w:sz w:val="24"/>
          <w:szCs w:val="28"/>
          <w:highlight w:val="none"/>
          <w:lang w:eastAsia="zh-CN"/>
        </w:rPr>
        <w:t>绍兴柯桥历史文化街区开发利用投资建设有限公司</w:t>
      </w:r>
    </w:p>
    <w:p>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地址：</w:t>
      </w:r>
      <w:r>
        <w:rPr>
          <w:rFonts w:hint="eastAsia" w:ascii="仿宋" w:hAnsi="仿宋" w:eastAsia="仿宋" w:cs="宋体"/>
          <w:color w:val="auto"/>
          <w:sz w:val="24"/>
          <w:szCs w:val="28"/>
          <w:highlight w:val="none"/>
          <w:lang w:eastAsia="zh-CN"/>
        </w:rPr>
        <w:t>绍兴市柯桥区柯桥街育才路1号柯桥古镇笛里广场二楼</w:t>
      </w:r>
      <w:r>
        <w:rPr>
          <w:rFonts w:hint="eastAsia" w:ascii="仿宋" w:hAnsi="仿宋" w:eastAsia="仿宋" w:cs="宋体"/>
          <w:color w:val="auto"/>
          <w:sz w:val="24"/>
          <w:szCs w:val="28"/>
          <w:highlight w:val="none"/>
        </w:rPr>
        <w:t xml:space="preserve"> </w:t>
      </w:r>
    </w:p>
    <w:p>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 xml:space="preserve">传真：/ </w:t>
      </w:r>
    </w:p>
    <w:p>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项目联系人（询问）：</w:t>
      </w:r>
      <w:r>
        <w:rPr>
          <w:rFonts w:hint="eastAsia" w:ascii="仿宋" w:hAnsi="仿宋" w:eastAsia="仿宋"/>
          <w:color w:val="auto"/>
          <w:sz w:val="24"/>
          <w:szCs w:val="28"/>
          <w:highlight w:val="none"/>
        </w:rPr>
        <w:t>陶剑锋</w:t>
      </w:r>
    </w:p>
    <w:p>
      <w:pPr>
        <w:widowControl/>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s="宋体"/>
          <w:color w:val="auto"/>
          <w:sz w:val="24"/>
          <w:szCs w:val="28"/>
          <w:highlight w:val="none"/>
        </w:rPr>
        <w:t>项目联系方式（询问）：</w:t>
      </w:r>
      <w:r>
        <w:rPr>
          <w:rFonts w:hint="eastAsia" w:ascii="仿宋" w:hAnsi="仿宋" w:eastAsia="仿宋"/>
          <w:color w:val="auto"/>
          <w:sz w:val="24"/>
          <w:szCs w:val="28"/>
          <w:highlight w:val="none"/>
        </w:rPr>
        <w:t>0575-81119007</w:t>
      </w:r>
    </w:p>
    <w:p>
      <w:pPr>
        <w:widowControl/>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质疑联系人：宋瑜霜</w:t>
      </w:r>
    </w:p>
    <w:p>
      <w:pPr>
        <w:widowControl/>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质疑联系方式：0575-81160227</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2.采购代理机构信息</w:t>
      </w:r>
    </w:p>
    <w:p>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名称：</w:t>
      </w:r>
      <w:r>
        <w:rPr>
          <w:rFonts w:hint="eastAsia" w:ascii="仿宋" w:hAnsi="仿宋" w:eastAsia="仿宋"/>
          <w:color w:val="auto"/>
          <w:sz w:val="24"/>
          <w:szCs w:val="28"/>
          <w:highlight w:val="none"/>
        </w:rPr>
        <w:t>浙江建汇工程咨询有限公司</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地址：</w:t>
      </w:r>
      <w:r>
        <w:rPr>
          <w:rFonts w:hint="eastAsia" w:ascii="仿宋" w:hAnsi="仿宋" w:eastAsia="仿宋"/>
          <w:color w:val="auto"/>
          <w:sz w:val="24"/>
          <w:szCs w:val="28"/>
          <w:highlight w:val="none"/>
        </w:rPr>
        <w:t>绍兴市越城区解放大道177号华汇科研设计中心20楼</w:t>
      </w:r>
    </w:p>
    <w:p>
      <w:pPr>
        <w:spacing w:line="360" w:lineRule="auto"/>
        <w:ind w:firstLine="480" w:firstLineChars="200"/>
        <w:jc w:val="left"/>
        <w:rPr>
          <w:rFonts w:ascii="宋体" w:hAnsi="宋体" w:cs="宋体"/>
          <w:color w:val="auto"/>
          <w:sz w:val="24"/>
          <w:szCs w:val="28"/>
          <w:highlight w:val="none"/>
        </w:rPr>
      </w:pPr>
      <w:r>
        <w:rPr>
          <w:rFonts w:hint="eastAsia" w:ascii="仿宋" w:hAnsi="仿宋" w:eastAsia="仿宋" w:cs="宋体"/>
          <w:color w:val="auto"/>
          <w:sz w:val="24"/>
          <w:szCs w:val="28"/>
          <w:highlight w:val="none"/>
        </w:rPr>
        <w:t xml:space="preserve">传真：/ </w:t>
      </w:r>
    </w:p>
    <w:p>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项目联系人（询问）：</w:t>
      </w:r>
      <w:r>
        <w:rPr>
          <w:rFonts w:hint="eastAsia" w:ascii="仿宋" w:hAnsi="仿宋" w:eastAsia="仿宋" w:cs="宋体"/>
          <w:color w:val="auto"/>
          <w:sz w:val="24"/>
          <w:szCs w:val="28"/>
          <w:highlight w:val="none"/>
        </w:rPr>
        <w:t>叶丽娜</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项目联系方式（询问）：</w:t>
      </w:r>
      <w:r>
        <w:rPr>
          <w:rFonts w:hint="eastAsia" w:ascii="仿宋" w:hAnsi="仿宋" w:eastAsia="仿宋"/>
          <w:color w:val="auto"/>
          <w:sz w:val="24"/>
          <w:szCs w:val="28"/>
          <w:highlight w:val="none"/>
        </w:rPr>
        <w:t>0575-85559581/13867550228</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质疑联系人：</w:t>
      </w:r>
      <w:r>
        <w:rPr>
          <w:rFonts w:hint="eastAsia" w:ascii="仿宋" w:hAnsi="仿宋" w:eastAsia="仿宋" w:cs="宋体"/>
          <w:color w:val="auto"/>
          <w:sz w:val="24"/>
          <w:szCs w:val="28"/>
          <w:highlight w:val="none"/>
        </w:rPr>
        <w:t>黄丽芳</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质疑联系方式：</w:t>
      </w:r>
      <w:r>
        <w:rPr>
          <w:rFonts w:hint="eastAsia" w:ascii="仿宋" w:hAnsi="仿宋" w:eastAsia="仿宋"/>
          <w:color w:val="auto"/>
          <w:sz w:val="24"/>
          <w:szCs w:val="28"/>
          <w:highlight w:val="none"/>
        </w:rPr>
        <w:t>0575-85559581</w:t>
      </w:r>
    </w:p>
    <w:p>
      <w:pPr>
        <w:numPr>
          <w:ilvl w:val="0"/>
          <w:numId w:val="7"/>
        </w:numPr>
        <w:spacing w:line="360" w:lineRule="auto"/>
        <w:ind w:firstLine="480" w:firstLineChars="200"/>
        <w:jc w:val="left"/>
        <w:rPr>
          <w:color w:val="auto"/>
          <w:highlight w:val="none"/>
        </w:rPr>
      </w:pPr>
      <w:r>
        <w:rPr>
          <w:rFonts w:hint="eastAsia" w:ascii="仿宋" w:hAnsi="仿宋" w:eastAsia="仿宋" w:cs="宋体"/>
          <w:color w:val="auto"/>
          <w:sz w:val="24"/>
          <w:szCs w:val="28"/>
          <w:highlight w:val="none"/>
        </w:rPr>
        <w:t xml:space="preserve">同级国有企业采购监督管理部门 </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名称：浙江金柯桥文化旅游集团有限公司</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地址：绍兴市柯桥区柯岩风景区内</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传真：/</w:t>
      </w:r>
      <w:r>
        <w:rPr>
          <w:rFonts w:ascii="Calibri" w:hAnsi="Calibri" w:eastAsia="仿宋" w:cs="Calibri"/>
          <w:color w:val="auto"/>
          <w:sz w:val="24"/>
          <w:szCs w:val="28"/>
          <w:highlight w:val="none"/>
        </w:rPr>
        <w:t> </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联系人 ：浙江金柯桥文化旅游集团有限公司招标采购监督管理领导小组</w:t>
      </w:r>
    </w:p>
    <w:p>
      <w:pPr>
        <w:keepNext w:val="0"/>
        <w:keepLines w:val="0"/>
        <w:widowControl/>
        <w:suppressLineNumbers w:val="0"/>
        <w:ind w:firstLine="480" w:firstLineChars="200"/>
        <w:jc w:val="left"/>
        <w:rPr>
          <w:color w:val="auto"/>
          <w:highlight w:val="none"/>
        </w:rPr>
      </w:pPr>
      <w:r>
        <w:rPr>
          <w:rFonts w:hint="eastAsia" w:ascii="仿宋" w:hAnsi="仿宋" w:eastAsia="仿宋" w:cs="宋体"/>
          <w:color w:val="auto"/>
          <w:sz w:val="24"/>
          <w:szCs w:val="28"/>
          <w:highlight w:val="none"/>
        </w:rPr>
        <w:t>监督投诉电话：0575-84360106</w:t>
      </w:r>
    </w:p>
    <w:p>
      <w:pPr>
        <w:spacing w:line="360" w:lineRule="auto"/>
        <w:jc w:val="left"/>
        <w:rPr>
          <w:rFonts w:ascii="仿宋" w:hAnsi="仿宋" w:eastAsia="仿宋"/>
          <w:color w:val="auto"/>
          <w:sz w:val="24"/>
          <w:szCs w:val="28"/>
          <w:highlight w:val="none"/>
          <w:u w:val="single"/>
        </w:rPr>
      </w:pPr>
    </w:p>
    <w:p>
      <w:pPr>
        <w:widowControl/>
        <w:adjustRightInd/>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若对项目采购电子交易系统操作有疑问，可登录乐</w:t>
      </w:r>
      <w:r>
        <w:rPr>
          <w:rFonts w:ascii="仿宋" w:hAnsi="仿宋" w:eastAsia="仿宋" w:cs="宋体"/>
          <w:color w:val="auto"/>
          <w:kern w:val="0"/>
          <w:szCs w:val="21"/>
          <w:highlight w:val="none"/>
        </w:rPr>
        <w:t>采云（https://www.lecaiyun.com/）</w:t>
      </w:r>
      <w:r>
        <w:rPr>
          <w:rFonts w:hint="eastAsia" w:ascii="仿宋" w:hAnsi="仿宋" w:eastAsia="仿宋" w:cs="宋体"/>
          <w:color w:val="auto"/>
          <w:kern w:val="0"/>
          <w:szCs w:val="21"/>
          <w:highlight w:val="none"/>
        </w:rPr>
        <w:t>，点击右侧咨询小采，获取采小蜜智能服务管家帮助，或拨打乐采云服务热线95763获取热线服务帮助。</w:t>
      </w:r>
      <w:r>
        <w:rPr>
          <w:rFonts w:ascii="Calibri" w:hAnsi="Calibri" w:eastAsia="仿宋" w:cs="Calibri"/>
          <w:color w:val="auto"/>
          <w:kern w:val="0"/>
          <w:szCs w:val="21"/>
          <w:highlight w:val="none"/>
        </w:rPr>
        <w:t> </w:t>
      </w:r>
      <w:r>
        <w:rPr>
          <w:rFonts w:hint="eastAsia" w:ascii="仿宋" w:hAnsi="仿宋" w:eastAsia="仿宋" w:cs="宋体"/>
          <w:color w:val="auto"/>
          <w:kern w:val="0"/>
          <w:szCs w:val="21"/>
          <w:highlight w:val="none"/>
        </w:rPr>
        <w:t xml:space="preserve"> </w:t>
      </w:r>
      <w:r>
        <w:rPr>
          <w:rFonts w:ascii="Calibri" w:hAnsi="Calibri" w:eastAsia="仿宋" w:cs="Calibri"/>
          <w:color w:val="auto"/>
          <w:kern w:val="0"/>
          <w:szCs w:val="21"/>
          <w:highlight w:val="none"/>
        </w:rPr>
        <w:t> </w:t>
      </w:r>
      <w:r>
        <w:rPr>
          <w:rFonts w:hint="eastAsia" w:ascii="仿宋" w:hAnsi="仿宋" w:eastAsia="仿宋" w:cs="宋体"/>
          <w:color w:val="auto"/>
          <w:kern w:val="0"/>
          <w:szCs w:val="21"/>
          <w:highlight w:val="none"/>
        </w:rPr>
        <w:t xml:space="preserve"> </w:t>
      </w:r>
      <w:r>
        <w:rPr>
          <w:rFonts w:ascii="Calibri" w:hAnsi="Calibri" w:eastAsia="仿宋" w:cs="Calibri"/>
          <w:color w:val="auto"/>
          <w:kern w:val="0"/>
          <w:szCs w:val="21"/>
          <w:highlight w:val="none"/>
        </w:rPr>
        <w:t> </w:t>
      </w:r>
      <w:r>
        <w:rPr>
          <w:rFonts w:hint="eastAsia" w:ascii="仿宋" w:hAnsi="仿宋" w:eastAsia="仿宋" w:cs="宋体"/>
          <w:color w:val="auto"/>
          <w:kern w:val="0"/>
          <w:szCs w:val="21"/>
          <w:highlight w:val="none"/>
        </w:rPr>
        <w:t xml:space="preserve"> </w:t>
      </w:r>
      <w:r>
        <w:rPr>
          <w:rFonts w:ascii="Calibri" w:hAnsi="Calibri" w:eastAsia="仿宋" w:cs="Calibri"/>
          <w:color w:val="auto"/>
          <w:kern w:val="0"/>
          <w:szCs w:val="21"/>
          <w:highlight w:val="none"/>
        </w:rPr>
        <w:t> </w:t>
      </w:r>
    </w:p>
    <w:p>
      <w:pPr>
        <w:widowControl/>
        <w:adjustRightInd/>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CA问题联系电话（人工）：汇信CA 400-888-4636；天谷CA 400-087-8198。</w:t>
      </w:r>
    </w:p>
    <w:p>
      <w:pPr>
        <w:pStyle w:val="57"/>
        <w:jc w:val="both"/>
        <w:rPr>
          <w:color w:val="auto"/>
          <w:highlight w:val="none"/>
          <w:lang w:val="en-US"/>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1"/>
        <w:tblW w:w="918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7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7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有关本项目开展所需的人员工资、福利、劳保用品、工具、设备、利润、税金、保险及不可预见费用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投标报价高于本项目采购预算或者最高限价的;</w:t>
            </w:r>
          </w:p>
          <w:p>
            <w:pPr>
              <w:spacing w:line="360" w:lineRule="auto"/>
              <w:rPr>
                <w:rFonts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pPr>
              <w:spacing w:line="360" w:lineRule="auto"/>
              <w:rPr>
                <w:rFonts w:ascii="仿宋" w:hAnsi="仿宋" w:eastAsia="仿宋" w:cs="仿宋_GB2312"/>
                <w:color w:val="auto"/>
                <w:sz w:val="24"/>
                <w:szCs w:val="21"/>
                <w:highlight w:val="none"/>
              </w:rPr>
            </w:pPr>
            <w:r>
              <w:rPr>
                <w:rFonts w:hint="eastAsia" w:ascii="仿宋" w:hAnsi="仿宋" w:eastAsia="仿宋"/>
                <w:b/>
                <w:color w:val="auto"/>
                <w:sz w:val="24"/>
                <w:highlight w:val="none"/>
              </w:rPr>
              <w:t>▲《投标（开标）一览表》填写不完整或字迹不能辨认或有漏项的,经评标委员会认定属于重大偏差的；</w:t>
            </w:r>
          </w:p>
          <w:p>
            <w:pPr>
              <w:spacing w:line="360" w:lineRule="auto"/>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67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67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投标文件的份数</w:t>
            </w:r>
          </w:p>
        </w:tc>
        <w:tc>
          <w:tcPr>
            <w:tcW w:w="6717" w:type="dxa"/>
            <w:tcBorders>
              <w:top w:val="single" w:color="000000" w:sz="8" w:space="0"/>
              <w:left w:val="single" w:color="000000" w:sz="2" w:space="0"/>
              <w:bottom w:val="single" w:color="auto" w:sz="4" w:space="0"/>
              <w:right w:val="single" w:color="000000" w:sz="8" w:space="0"/>
            </w:tcBorders>
            <w:vAlign w:val="center"/>
          </w:tcPr>
          <w:p>
            <w:pPr>
              <w:pStyle w:val="32"/>
              <w:snapToGrid w:val="0"/>
              <w:spacing w:before="120" w:after="120" w:line="360" w:lineRule="auto"/>
              <w:rPr>
                <w:rFonts w:ascii="仿宋" w:hAnsi="仿宋" w:eastAsia="仿宋" w:cs="Times New Roman"/>
                <w:snapToGrid/>
                <w:color w:val="auto"/>
                <w:sz w:val="24"/>
                <w:szCs w:val="20"/>
                <w:highlight w:val="none"/>
              </w:rPr>
            </w:pPr>
            <w:r>
              <w:rPr>
                <w:rFonts w:ascii="仿宋" w:hAnsi="仿宋" w:eastAsia="仿宋" w:cs="Times New Roman"/>
                <w:snapToGrid/>
                <w:color w:val="auto"/>
                <w:sz w:val="24"/>
                <w:szCs w:val="20"/>
                <w:highlight w:val="none"/>
              </w:rPr>
              <w:t>本项目实行</w:t>
            </w:r>
            <w:r>
              <w:rPr>
                <w:rFonts w:hint="eastAsia" w:ascii="仿宋" w:hAnsi="仿宋" w:eastAsia="仿宋" w:cs="Times New Roman"/>
                <w:snapToGrid/>
                <w:color w:val="auto"/>
                <w:sz w:val="24"/>
                <w:szCs w:val="20"/>
                <w:highlight w:val="none"/>
              </w:rPr>
              <w:t>电子投标。供应商应准备电子投标文件参与投标：电子投标文件，按政采云平台</w:t>
            </w:r>
            <w:r>
              <w:rPr>
                <w:rFonts w:ascii="仿宋" w:hAnsi="仿宋" w:eastAsia="仿宋" w:cs="Times New Roman"/>
                <w:snapToGrid/>
                <w:color w:val="auto"/>
                <w:sz w:val="24"/>
                <w:szCs w:val="20"/>
                <w:highlight w:val="none"/>
              </w:rPr>
              <w:t>项目采购-电子招投标操作指南</w:t>
            </w:r>
            <w:r>
              <w:rPr>
                <w:rFonts w:hint="eastAsia" w:ascii="仿宋" w:hAnsi="仿宋" w:eastAsia="仿宋" w:cs="Times New Roman"/>
                <w:snapToGrid/>
                <w:color w:val="auto"/>
                <w:sz w:val="24"/>
                <w:szCs w:val="20"/>
                <w:highlight w:val="none"/>
              </w:rPr>
              <w:t>及本招标文件要求递交</w:t>
            </w:r>
            <w:r>
              <w:rPr>
                <w:rFonts w:ascii="仿宋" w:hAnsi="仿宋" w:eastAsia="仿宋" w:cs="Times New Roman"/>
                <w:snapToGrid/>
                <w:color w:val="auto"/>
                <w:sz w:val="24"/>
                <w:szCs w:val="20"/>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▲未传输递交电子投标文件的，投标无效。</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▲未在系统解密时间内完成解密的，视为投标人自行放弃投标，投标无效。</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中标单位需在领取中标通知书前提供纸质投标文件一正四副。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717" w:type="dxa"/>
            <w:tcBorders>
              <w:top w:val="single" w:color="auto" w:sz="4"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Times New Roman"/>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717"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b/>
                <w:color w:val="auto"/>
                <w:sz w:val="24"/>
                <w:highlight w:val="none"/>
              </w:rPr>
            </w:pPr>
            <w:r>
              <w:rPr>
                <w:rFonts w:hint="eastAsia" w:ascii="仿宋" w:hAnsi="仿宋" w:eastAsia="仿宋" w:cs="Times New Roman"/>
                <w:b/>
                <w:snapToGrid/>
                <w:color w:val="auto"/>
                <w:sz w:val="24"/>
                <w:szCs w:val="20"/>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演示</w:t>
            </w:r>
          </w:p>
        </w:tc>
        <w:tc>
          <w:tcPr>
            <w:tcW w:w="67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 w:hAnsi="仿宋" w:eastAsia="仿宋" w:cs="Times New Roman"/>
                <w:b/>
                <w:snapToGrid/>
                <w:color w:val="auto"/>
                <w:sz w:val="24"/>
                <w:szCs w:val="20"/>
                <w:highlight w:val="none"/>
                <w:lang w:val="en-US"/>
              </w:rPr>
            </w:pPr>
            <w:r>
              <w:rPr>
                <w:rFonts w:hint="eastAsia" w:ascii="仿宋" w:hAnsi="仿宋" w:eastAsia="仿宋" w:cs="Times New Roman"/>
                <w:b/>
                <w:bCs w:val="0"/>
                <w:color w:val="auto"/>
                <w:kern w:val="28"/>
                <w:sz w:val="24"/>
                <w:szCs w:val="24"/>
                <w:highlight w:val="none"/>
                <w:lang w:val="en-US" w:eastAsia="zh-CN" w:bidi="ar"/>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67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Times New Roman"/>
                <w:b/>
                <w:snapToGrid/>
                <w:color w:val="auto"/>
                <w:sz w:val="24"/>
                <w:szCs w:val="20"/>
                <w:highlight w:val="none"/>
                <w:lang w:val="en-US" w:eastAsia="zh-CN"/>
              </w:rPr>
            </w:pPr>
            <w:r>
              <w:rPr>
                <w:rFonts w:hint="eastAsia" w:ascii="仿宋" w:hAnsi="仿宋" w:eastAsia="仿宋" w:cs="Times New Roman"/>
                <w:b/>
                <w:snapToGrid/>
                <w:color w:val="auto"/>
                <w:sz w:val="24"/>
                <w:szCs w:val="20"/>
                <w:highlight w:val="none"/>
                <w:lang w:val="en-US" w:eastAsia="zh-CN"/>
              </w:rPr>
              <w:t>由采购人支付。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6717"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ind w:left="0" w:leftChars="0" w:firstLine="0" w:firstLineChars="0"/>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6717"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ind w:firstLine="0"/>
              <w:rPr>
                <w:rFonts w:ascii="仿宋" w:hAnsi="仿宋" w:eastAsia="仿宋" w:cs="仿宋_GB2312"/>
                <w:color w:val="auto"/>
                <w:sz w:val="24"/>
                <w:highlight w:val="none"/>
              </w:rPr>
            </w:pPr>
            <w:r>
              <w:rPr>
                <w:rFonts w:hint="eastAsia" w:ascii="仿宋" w:hAnsi="仿宋" w:eastAsia="仿宋" w:cs="Arial"/>
                <w:color w:val="auto"/>
                <w:sz w:val="24"/>
                <w:szCs w:val="21"/>
                <w:highlight w:val="none"/>
              </w:rPr>
              <w:t>合同</w:t>
            </w:r>
            <w:r>
              <w:rPr>
                <w:rFonts w:hint="eastAsia" w:ascii="仿宋" w:hAnsi="仿宋" w:eastAsia="仿宋" w:cs="Arial"/>
                <w:color w:val="auto"/>
                <w:sz w:val="24"/>
                <w:szCs w:val="21"/>
                <w:highlight w:val="none"/>
                <w:lang w:eastAsia="zh-CN"/>
              </w:rPr>
              <w:t>金额</w:t>
            </w:r>
            <w:r>
              <w:rPr>
                <w:rFonts w:hint="eastAsia" w:ascii="仿宋" w:hAnsi="仿宋" w:eastAsia="仿宋" w:cs="Arial"/>
                <w:color w:val="auto"/>
                <w:sz w:val="24"/>
                <w:szCs w:val="21"/>
                <w:highlight w:val="none"/>
              </w:rPr>
              <w:t>的</w:t>
            </w:r>
            <w:r>
              <w:rPr>
                <w:rFonts w:hint="eastAsia" w:ascii="仿宋" w:hAnsi="仿宋" w:eastAsia="仿宋" w:cs="Arial"/>
                <w:color w:val="auto"/>
                <w:sz w:val="24"/>
                <w:szCs w:val="21"/>
                <w:highlight w:val="none"/>
                <w:lang w:val="en-US" w:eastAsia="zh-CN"/>
              </w:rPr>
              <w:t>0.5</w:t>
            </w:r>
            <w:r>
              <w:rPr>
                <w:rFonts w:hint="eastAsia" w:ascii="仿宋" w:hAnsi="仿宋" w:eastAsia="仿宋" w:cs="Arial"/>
                <w:color w:val="auto"/>
                <w:sz w:val="24"/>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电子招投标说明</w:t>
            </w:r>
          </w:p>
        </w:tc>
        <w:tc>
          <w:tcPr>
            <w:tcW w:w="671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（1）</w:t>
            </w:r>
            <w:r>
              <w:rPr>
                <w:rFonts w:hint="eastAsia" w:ascii="仿宋" w:hAnsi="仿宋" w:eastAsia="仿宋"/>
                <w:color w:val="auto"/>
                <w:sz w:val="24"/>
                <w:highlight w:val="none"/>
              </w:rPr>
              <w:t>电子招投标：本项目以数据电文形式，依托“乐采云平台（www.lecaiyun.com）”进行招投标活动，不接受纸质投标文件；</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（2）</w:t>
            </w:r>
            <w:r>
              <w:rPr>
                <w:rFonts w:hint="eastAsia" w:ascii="仿宋" w:hAnsi="仿宋" w:eastAsia="仿宋"/>
                <w:color w:val="auto"/>
                <w:sz w:val="24"/>
                <w:highlight w:val="none"/>
              </w:rPr>
              <w:t>投标准备：注册账号--点击“商家入驻”，进行国企采购供应商资料填写；申领CA数字证书---申领流程详见“浙江政府采购网-下载专区-电子交易客户端-CA驱动和申领流程”；安装“乐采云电子投标客户端”----前往“浙江企业采购信息服务网-在线下载-乐采云电子投标客户端下载”进行下载并安装</w:t>
            </w:r>
            <w:r>
              <w:rPr>
                <w:rFonts w:hint="eastAsia" w:ascii="仿宋" w:hAnsi="仿宋" w:eastAsia="仿宋"/>
                <w:color w:val="auto"/>
                <w:sz w:val="24"/>
                <w:szCs w:val="28"/>
                <w:highlight w:val="none"/>
              </w:rPr>
              <w:t>。</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（3）</w:t>
            </w:r>
            <w:r>
              <w:rPr>
                <w:rFonts w:hint="eastAsia" w:ascii="仿宋" w:hAnsi="仿宋" w:eastAsia="仿宋"/>
                <w:color w:val="auto"/>
                <w:sz w:val="24"/>
                <w:highlight w:val="none"/>
              </w:rPr>
              <w:t>招标文件的获取：使用账号登录或者使用CA登录乐采云平台；进入“项目采购”应用，在获取采购文件菜单中选择项目，获取招标文件。</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（4）</w:t>
            </w:r>
            <w:r>
              <w:rPr>
                <w:rFonts w:hint="eastAsia" w:ascii="仿宋" w:hAnsi="仿宋" w:eastAsia="仿宋"/>
                <w:color w:val="auto"/>
                <w:sz w:val="24"/>
                <w:highlight w:val="none"/>
              </w:rPr>
              <w:t>投标文件的制作：在“乐采云电子投标客户端”中完成“填写基本信息”、“导入投标文件”、“标书关联”、“标书检查”、“电子签名”、“生成电子标书”等操作</w:t>
            </w:r>
            <w:r>
              <w:rPr>
                <w:rFonts w:hint="eastAsia" w:ascii="仿宋" w:hAnsi="仿宋" w:eastAsia="仿宋"/>
                <w:color w:val="auto"/>
                <w:sz w:val="24"/>
                <w:szCs w:val="28"/>
                <w:highlight w:val="none"/>
              </w:rPr>
              <w:t>。</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（5）投标文件的传输递交：投标人在投标截止时间前将加密的投标文件上传至乐采云平台。</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（6）投标文件的解密：投标人按照平台提示和招标文件的规定在开始解密后</w:t>
            </w:r>
            <w:r>
              <w:rPr>
                <w:rFonts w:hint="eastAsia" w:ascii="仿宋" w:hAnsi="仿宋" w:eastAsia="仿宋"/>
                <w:color w:val="auto"/>
                <w:sz w:val="24"/>
                <w:szCs w:val="28"/>
                <w:highlight w:val="none"/>
                <w:lang w:val="en-US" w:eastAsia="zh-CN"/>
              </w:rPr>
              <w:t>30分钟</w:t>
            </w:r>
            <w:r>
              <w:rPr>
                <w:rFonts w:hint="eastAsia" w:ascii="仿宋" w:hAnsi="仿宋" w:eastAsia="仿宋"/>
                <w:color w:val="auto"/>
                <w:sz w:val="24"/>
                <w:szCs w:val="28"/>
                <w:highlight w:val="none"/>
              </w:rPr>
              <w:t>内完成在线解密。</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（7）具体操作指南：</w:t>
            </w:r>
            <w:r>
              <w:rPr>
                <w:rFonts w:hint="eastAsia" w:ascii="仿宋" w:hAnsi="仿宋" w:eastAsia="仿宋"/>
                <w:color w:val="auto"/>
                <w:sz w:val="24"/>
                <w:highlight w:val="none"/>
              </w:rPr>
              <w:t>详见乐采云平台“服务中心-帮助文档-项目采购-电子招投标-供应商”</w:t>
            </w:r>
            <w:r>
              <w:rPr>
                <w:rFonts w:hint="eastAsia" w:ascii="仿宋" w:hAnsi="仿宋" w:eastAsia="仿宋"/>
                <w:color w:val="auto"/>
                <w:sz w:val="24"/>
                <w:szCs w:val="28"/>
                <w:highlight w:val="none"/>
              </w:rPr>
              <w:t>。</w:t>
            </w:r>
          </w:p>
        </w:tc>
      </w:tr>
    </w:tbl>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bookmarkEnd w:id="10"/>
    <w:p>
      <w:pPr>
        <w:adjustRightInd/>
        <w:spacing w:line="360" w:lineRule="auto"/>
        <w:ind w:firstLine="3845" w:firstLineChars="1197"/>
        <w:outlineLvl w:val="0"/>
        <w:rPr>
          <w:rFonts w:ascii="仿宋" w:hAnsi="仿宋" w:eastAsia="仿宋" w:cs="仿宋_GB2312"/>
          <w:b/>
          <w:color w:val="auto"/>
          <w:sz w:val="32"/>
          <w:szCs w:val="20"/>
          <w:highlight w:val="none"/>
        </w:rPr>
      </w:pPr>
      <w:bookmarkStart w:id="40" w:name="_Toc164416483"/>
      <w:bookmarkStart w:id="41" w:name="第三部分"/>
      <w:r>
        <w:rPr>
          <w:rFonts w:hint="eastAsia" w:ascii="仿宋" w:hAnsi="仿宋" w:eastAsia="仿宋" w:cs="仿宋_GB2312"/>
          <w:b/>
          <w:color w:val="auto"/>
          <w:sz w:val="32"/>
          <w:szCs w:val="20"/>
          <w:highlight w:val="none"/>
        </w:rPr>
        <w:t>一、总则</w:t>
      </w:r>
    </w:p>
    <w:p>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 xml:space="preserve"> </w:t>
      </w:r>
      <w:r>
        <w:rPr>
          <w:rFonts w:hint="eastAsia" w:ascii="仿宋" w:hAnsi="仿宋" w:eastAsia="仿宋"/>
          <w:color w:val="auto"/>
          <w:sz w:val="24"/>
          <w:highlight w:val="none"/>
        </w:rPr>
        <w:t>“负责人”系指法人企业的法定负责人，或其他组织为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 xml:space="preserve"> </w:t>
      </w:r>
      <w:r>
        <w:rPr>
          <w:rFonts w:hint="eastAsia" w:ascii="仿宋" w:hAnsi="仿宋" w:eastAsia="仿宋"/>
          <w:color w:val="auto"/>
          <w:sz w:val="24"/>
          <w:highlight w:val="none"/>
        </w:rPr>
        <w:t>“▲” 系指实质性要求条款，“★”系产品采购项目中单一产品或核心产品。</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 询问、质疑、投诉</w:t>
      </w:r>
    </w:p>
    <w:p>
      <w:pPr>
        <w:autoSpaceDE w:val="0"/>
        <w:autoSpaceDN w:val="0"/>
        <w:spacing w:line="360" w:lineRule="auto"/>
        <w:ind w:firstLine="482" w:firstLineChars="200"/>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3.1供应商询问</w:t>
      </w:r>
    </w:p>
    <w:p>
      <w:pPr>
        <w:pStyle w:val="32"/>
        <w:spacing w:line="360" w:lineRule="auto"/>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color w:val="auto"/>
          <w:sz w:val="24"/>
          <w:highlight w:val="none"/>
        </w:rPr>
        <w:t>形式</w:t>
      </w:r>
      <w:r>
        <w:rPr>
          <w:rFonts w:hint="eastAsia" w:ascii="仿宋" w:hAnsi="仿宋" w:eastAsia="仿宋"/>
          <w:b/>
          <w:color w:val="auto"/>
          <w:sz w:val="24"/>
          <w:highlight w:val="none"/>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3.2供应商质疑</w:t>
      </w:r>
    </w:p>
    <w:p>
      <w:pPr>
        <w:pStyle w:val="32"/>
        <w:spacing w:line="360" w:lineRule="auto"/>
        <w:ind w:firstLine="480" w:firstLineChars="200"/>
        <w:jc w:val="left"/>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2"/>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2"/>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w:t>
      </w:r>
    </w:p>
    <w:p>
      <w:pPr>
        <w:pStyle w:val="32"/>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w:t>
      </w:r>
    </w:p>
    <w:p>
      <w:pPr>
        <w:pStyle w:val="32"/>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（4）供应商应在法定质疑期内一次性提出针对同一采购程序环节的质疑。</w:t>
      </w:r>
    </w:p>
    <w:p>
      <w:pPr>
        <w:pStyle w:val="32"/>
        <w:snapToGri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3.2.3</w:t>
      </w:r>
      <w:r>
        <w:rPr>
          <w:rFonts w:ascii="仿宋" w:hAnsi="仿宋" w:eastAsia="仿宋"/>
          <w:color w:val="auto"/>
          <w:sz w:val="24"/>
          <w:highlight w:val="none"/>
        </w:rPr>
        <w:t>供应商提出质疑应当提交质疑函和必要的证明材料。质疑函应当包括下列内容：</w:t>
      </w:r>
    </w:p>
    <w:p>
      <w:pPr>
        <w:pStyle w:val="348"/>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3.2.3.1</w:t>
      </w:r>
      <w:r>
        <w:rPr>
          <w:rFonts w:ascii="仿宋" w:hAnsi="仿宋" w:eastAsia="仿宋" w:cs="Arial"/>
          <w:snapToGrid w:val="0"/>
          <w:color w:val="auto"/>
          <w:kern w:val="2"/>
          <w:szCs w:val="21"/>
          <w:highlight w:val="none"/>
        </w:rPr>
        <w:t>供应商的姓名或者名称、地址、邮编、联系人及联系电话；</w:t>
      </w:r>
    </w:p>
    <w:p>
      <w:pPr>
        <w:pStyle w:val="34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3.2.3.2</w:t>
      </w:r>
      <w:r>
        <w:rPr>
          <w:rFonts w:ascii="仿宋" w:hAnsi="仿宋" w:eastAsia="仿宋" w:cs="Arial"/>
          <w:snapToGrid w:val="0"/>
          <w:color w:val="auto"/>
          <w:kern w:val="2"/>
          <w:szCs w:val="21"/>
          <w:highlight w:val="none"/>
        </w:rPr>
        <w:t>质疑项目的名称、编号；</w:t>
      </w:r>
    </w:p>
    <w:p>
      <w:pPr>
        <w:pStyle w:val="34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3.2.3.3</w:t>
      </w:r>
      <w:r>
        <w:rPr>
          <w:rFonts w:ascii="仿宋" w:hAnsi="仿宋" w:eastAsia="仿宋" w:cs="Arial"/>
          <w:snapToGrid w:val="0"/>
          <w:color w:val="auto"/>
          <w:kern w:val="2"/>
          <w:szCs w:val="21"/>
          <w:highlight w:val="none"/>
        </w:rPr>
        <w:t>具体、明确的质疑事项和与质疑事项相关的请求；</w:t>
      </w:r>
    </w:p>
    <w:p>
      <w:pPr>
        <w:pStyle w:val="34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3.2.3.4</w:t>
      </w:r>
      <w:r>
        <w:rPr>
          <w:rFonts w:ascii="仿宋" w:hAnsi="仿宋" w:eastAsia="仿宋" w:cs="Arial"/>
          <w:snapToGrid w:val="0"/>
          <w:color w:val="auto"/>
          <w:kern w:val="2"/>
          <w:szCs w:val="21"/>
          <w:highlight w:val="none"/>
        </w:rPr>
        <w:t>事实依据；</w:t>
      </w:r>
    </w:p>
    <w:p>
      <w:pPr>
        <w:pStyle w:val="34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3.2.3.5</w:t>
      </w:r>
      <w:r>
        <w:rPr>
          <w:rFonts w:ascii="仿宋" w:hAnsi="仿宋" w:eastAsia="仿宋" w:cs="Arial"/>
          <w:snapToGrid w:val="0"/>
          <w:color w:val="auto"/>
          <w:kern w:val="2"/>
          <w:szCs w:val="21"/>
          <w:highlight w:val="none"/>
        </w:rPr>
        <w:t>必要的法律依据；</w:t>
      </w:r>
    </w:p>
    <w:p>
      <w:pPr>
        <w:pStyle w:val="348"/>
        <w:shd w:val="clear" w:color="auto" w:fill="FFFFFF"/>
        <w:snapToGrid w:val="0"/>
        <w:spacing w:after="240" w:afterAutospacing="0" w:line="360" w:lineRule="auto"/>
        <w:ind w:firstLine="48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3.2.3.6</w:t>
      </w:r>
      <w:r>
        <w:rPr>
          <w:rFonts w:ascii="仿宋" w:hAnsi="仿宋" w:eastAsia="仿宋" w:cs="Arial"/>
          <w:snapToGrid w:val="0"/>
          <w:color w:val="auto"/>
          <w:kern w:val="2"/>
          <w:szCs w:val="21"/>
          <w:highlight w:val="none"/>
        </w:rPr>
        <w:t>提出质疑的日期。</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质疑函范本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3.2</w:t>
      </w:r>
      <w:r>
        <w:rPr>
          <w:rFonts w:hint="eastAsia" w:ascii="仿宋" w:hAnsi="仿宋" w:eastAsia="仿宋"/>
          <w:color w:val="auto"/>
          <w:highlight w:val="none"/>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3.2</w:t>
      </w:r>
      <w:r>
        <w:rPr>
          <w:rFonts w:hint="eastAsia" w:ascii="仿宋" w:hAnsi="仿宋" w:eastAsia="仿宋"/>
          <w:color w:val="auto"/>
          <w:highlight w:val="none"/>
        </w:rPr>
        <w:t>.5询问或者质疑事项可能影响采购结果的，采购人应当暂停签订合同，已经签订合同的，应当中止履行合同。</w:t>
      </w:r>
    </w:p>
    <w:p>
      <w:pPr>
        <w:pStyle w:val="348"/>
        <w:shd w:val="clear" w:color="auto" w:fill="FFFFFF"/>
        <w:snapToGrid w:val="0"/>
        <w:spacing w:after="240" w:afterAutospacing="0" w:line="360" w:lineRule="auto"/>
        <w:ind w:firstLine="480"/>
        <w:contextualSpacing/>
        <w:rPr>
          <w:rFonts w:ascii="仿宋" w:hAnsi="仿宋" w:eastAsia="仿宋"/>
          <w:color w:val="auto"/>
          <w:kern w:val="2"/>
          <w:highlight w:val="none"/>
        </w:rPr>
      </w:pPr>
      <w:r>
        <w:rPr>
          <w:rFonts w:hint="eastAsia" w:ascii="仿宋" w:hAnsi="仿宋" w:eastAsia="仿宋"/>
          <w:color w:val="auto"/>
          <w:kern w:val="2"/>
          <w:highlight w:val="none"/>
        </w:rPr>
        <w:t>3.2.6质疑接收人：详见前附表</w:t>
      </w:r>
    </w:p>
    <w:p>
      <w:pPr>
        <w:pStyle w:val="348"/>
        <w:shd w:val="clear" w:color="auto" w:fill="FFFFFF"/>
        <w:snapToGrid w:val="0"/>
        <w:spacing w:after="240" w:afterAutospacing="0" w:line="360" w:lineRule="auto"/>
        <w:ind w:firstLine="48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3.3供应商投诉</w:t>
      </w:r>
    </w:p>
    <w:p>
      <w:pPr>
        <w:pStyle w:val="348"/>
        <w:shd w:val="clear" w:color="auto" w:fill="FFFFFF"/>
        <w:snapToGrid w:val="0"/>
        <w:spacing w:after="240" w:afterAutospacing="0" w:line="360" w:lineRule="auto"/>
        <w:ind w:firstLine="48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color w:val="auto"/>
          <w:highlight w:val="none"/>
        </w:rPr>
        <w:t>督管理部门提出投诉。</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.3供应商投诉应当有明确的请求和必要的证明材料。</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.4 以联合体形式参加国企采购活动的，其投诉应当由组成联合体的所有供应商共同提出。</w:t>
      </w:r>
    </w:p>
    <w:p>
      <w:pPr>
        <w:pStyle w:val="34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投诉书范本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103"/>
        <w:snapToGrid w:val="0"/>
        <w:spacing w:before="0"/>
        <w:ind w:firstLine="360"/>
        <w:rPr>
          <w:rFonts w:ascii="仿宋" w:hAnsi="仿宋" w:eastAsia="仿宋" w:cs="仿宋_GB2312"/>
          <w:color w:val="auto"/>
          <w:sz w:val="18"/>
          <w:szCs w:val="18"/>
          <w:highlight w:val="none"/>
        </w:rPr>
      </w:pPr>
    </w:p>
    <w:p>
      <w:pPr>
        <w:adjustRightInd/>
        <w:spacing w:line="360" w:lineRule="auto"/>
        <w:jc w:val="center"/>
        <w:outlineLvl w:val="0"/>
        <w:rPr>
          <w:rFonts w:ascii="仿宋" w:hAnsi="仿宋" w:eastAsia="仿宋" w:cs="仿宋_GB2312"/>
          <w:b/>
          <w:color w:val="auto"/>
          <w:sz w:val="32"/>
          <w:szCs w:val="20"/>
          <w:highlight w:val="none"/>
        </w:rPr>
      </w:pPr>
      <w:bookmarkStart w:id="42" w:name="_Hlt68057669"/>
      <w:bookmarkEnd w:id="42"/>
      <w:bookmarkStart w:id="43" w:name="_Hlt74714665"/>
      <w:bookmarkEnd w:id="43"/>
      <w:bookmarkStart w:id="44" w:name="_Hlt75236290"/>
      <w:bookmarkEnd w:id="44"/>
      <w:bookmarkStart w:id="45" w:name="_Hlt74729768"/>
      <w:bookmarkEnd w:id="45"/>
      <w:bookmarkStart w:id="46" w:name="_Hlt74730295"/>
      <w:bookmarkEnd w:id="46"/>
      <w:bookmarkStart w:id="47" w:name="_Hlt74707468"/>
      <w:bookmarkEnd w:id="47"/>
      <w:bookmarkStart w:id="48" w:name="_Hlt68072990"/>
      <w:bookmarkEnd w:id="48"/>
      <w:bookmarkStart w:id="49" w:name="_Toc91899879"/>
      <w:r>
        <w:rPr>
          <w:rFonts w:hint="eastAsia" w:ascii="仿宋" w:hAnsi="仿宋" w:eastAsia="仿宋" w:cs="仿宋_GB2312"/>
          <w:b/>
          <w:color w:val="auto"/>
          <w:sz w:val="32"/>
          <w:szCs w:val="20"/>
          <w:highlight w:val="none"/>
        </w:rPr>
        <w:t>二、招标文件</w:t>
      </w:r>
      <w:bookmarkEnd w:id="49"/>
      <w:r>
        <w:rPr>
          <w:rFonts w:hint="eastAsia" w:ascii="仿宋" w:hAnsi="仿宋" w:eastAsia="仿宋" w:cs="仿宋_GB2312"/>
          <w:b/>
          <w:color w:val="auto"/>
          <w:sz w:val="32"/>
          <w:szCs w:val="20"/>
          <w:highlight w:val="none"/>
        </w:rPr>
        <w:t>的构成、澄清、修改</w:t>
      </w:r>
    </w:p>
    <w:p>
      <w:pPr>
        <w:pStyle w:val="32"/>
        <w:spacing w:line="360" w:lineRule="auto"/>
        <w:ind w:firstLine="482" w:firstLineChars="200"/>
        <w:rPr>
          <w:rFonts w:ascii="仿宋" w:hAnsi="仿宋" w:eastAsia="仿宋" w:cs="仿宋_GB2312"/>
          <w:b/>
          <w:color w:val="auto"/>
          <w:sz w:val="24"/>
          <w:szCs w:val="24"/>
          <w:highlight w:val="none"/>
        </w:rPr>
      </w:pPr>
      <w:bookmarkStart w:id="50" w:name="_Toc91899880"/>
      <w:bookmarkStart w:id="51" w:name="_Hlt74730307"/>
      <w:r>
        <w:rPr>
          <w:rFonts w:hint="eastAsia" w:ascii="仿宋" w:hAnsi="仿宋" w:eastAsia="仿宋" w:cs="仿宋_GB2312"/>
          <w:b/>
          <w:color w:val="auto"/>
          <w:sz w:val="24"/>
          <w:szCs w:val="24"/>
          <w:highlight w:val="none"/>
        </w:rPr>
        <w:t>4．招标文件的构成</w:t>
      </w:r>
      <w:bookmarkEnd w:id="50"/>
    </w:p>
    <w:bookmarkEnd w:id="51"/>
    <w:p>
      <w:pPr>
        <w:pStyle w:val="32"/>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4.1 招标文件包括下列文件及附件</w:t>
      </w:r>
    </w:p>
    <w:p>
      <w:pPr>
        <w:pStyle w:val="32"/>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pPr>
        <w:pStyle w:val="32"/>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pPr>
        <w:pStyle w:val="32"/>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pPr>
        <w:pStyle w:val="32"/>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pPr>
        <w:pStyle w:val="32"/>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pPr>
        <w:pStyle w:val="32"/>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4.2与本项目有关的</w:t>
      </w:r>
      <w:r>
        <w:rPr>
          <w:rFonts w:hint="eastAsia" w:ascii="仿宋" w:hAnsi="仿宋" w:eastAsia="仿宋"/>
          <w:bCs/>
          <w:color w:val="auto"/>
          <w:sz w:val="24"/>
          <w:highlight w:val="none"/>
        </w:rPr>
        <w:t>澄清或者修改等公告</w:t>
      </w:r>
      <w:r>
        <w:rPr>
          <w:rFonts w:ascii="仿宋" w:hAnsi="仿宋" w:eastAsia="仿宋"/>
          <w:bCs/>
          <w:color w:val="auto"/>
          <w:sz w:val="24"/>
          <w:highlight w:val="none"/>
        </w:rPr>
        <w:t>、</w:t>
      </w:r>
      <w:r>
        <w:rPr>
          <w:rFonts w:hint="eastAsia" w:ascii="仿宋" w:hAnsi="仿宋" w:eastAsia="仿宋"/>
          <w:bCs/>
          <w:color w:val="auto"/>
          <w:sz w:val="24"/>
          <w:highlight w:val="none"/>
        </w:rPr>
        <w:t>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pPr>
        <w:pStyle w:val="32"/>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5. 招标文件的澄清、修改</w:t>
      </w:r>
    </w:p>
    <w:p>
      <w:pPr>
        <w:pStyle w:val="103"/>
        <w:snapToGrid w:val="0"/>
        <w:spacing w:before="0"/>
        <w:ind w:firstLine="480"/>
        <w:rPr>
          <w:rFonts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adjustRightInd/>
        <w:spacing w:line="360" w:lineRule="auto"/>
        <w:jc w:val="center"/>
        <w:outlineLvl w:val="0"/>
        <w:rPr>
          <w:rFonts w:ascii="仿宋" w:hAnsi="仿宋" w:eastAsia="仿宋" w:cs="仿宋_GB2312"/>
          <w:b/>
          <w:color w:val="auto"/>
          <w:sz w:val="32"/>
          <w:szCs w:val="20"/>
          <w:highlight w:val="none"/>
        </w:rPr>
      </w:pPr>
      <w:bookmarkStart w:id="52" w:name="_Hlt75236011"/>
      <w:bookmarkEnd w:id="52"/>
      <w:bookmarkStart w:id="53" w:name="_Toc91899884"/>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三、投标</w:t>
      </w:r>
      <w:bookmarkEnd w:id="53"/>
    </w:p>
    <w:p>
      <w:pPr>
        <w:pStyle w:val="32"/>
        <w:spacing w:line="360" w:lineRule="auto"/>
        <w:ind w:firstLine="482" w:firstLineChars="200"/>
        <w:rPr>
          <w:rFonts w:ascii="仿宋" w:hAnsi="仿宋" w:eastAsia="仿宋" w:cs="仿宋_GB2312"/>
          <w:b/>
          <w:color w:val="auto"/>
          <w:sz w:val="24"/>
          <w:szCs w:val="24"/>
          <w:highlight w:val="none"/>
        </w:rPr>
      </w:pPr>
      <w:bookmarkStart w:id="54" w:name="_Toc91899892"/>
      <w:bookmarkStart w:id="55" w:name="_Toc86216991"/>
      <w:r>
        <w:rPr>
          <w:rFonts w:hint="eastAsia" w:ascii="仿宋" w:hAnsi="仿宋" w:eastAsia="仿宋" w:cs="仿宋_GB2312"/>
          <w:b/>
          <w:color w:val="auto"/>
          <w:sz w:val="24"/>
          <w:szCs w:val="24"/>
          <w:highlight w:val="none"/>
        </w:rPr>
        <w:t>6.招标文件的获取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未按照公告</w:t>
      </w:r>
      <w:r>
        <w:rPr>
          <w:rFonts w:ascii="仿宋" w:hAnsi="仿宋" w:eastAsia="仿宋" w:cs="仿宋_GB2312"/>
          <w:b/>
          <w:color w:val="auto"/>
          <w:sz w:val="24"/>
          <w:szCs w:val="21"/>
          <w:highlight w:val="none"/>
        </w:rPr>
        <w:t>要求完成</w:t>
      </w:r>
      <w:r>
        <w:rPr>
          <w:rFonts w:hint="eastAsia" w:ascii="仿宋" w:hAnsi="仿宋" w:eastAsia="仿宋" w:cs="仿宋_GB2312"/>
          <w:b/>
          <w:color w:val="auto"/>
          <w:sz w:val="24"/>
          <w:szCs w:val="21"/>
          <w:highlight w:val="none"/>
        </w:rPr>
        <w:t>采购文件</w:t>
      </w:r>
      <w:r>
        <w:rPr>
          <w:rFonts w:ascii="仿宋" w:hAnsi="仿宋" w:eastAsia="仿宋" w:cs="仿宋_GB2312"/>
          <w:b/>
          <w:color w:val="auto"/>
          <w:sz w:val="24"/>
          <w:szCs w:val="21"/>
          <w:highlight w:val="none"/>
        </w:rPr>
        <w:t>获取的</w:t>
      </w:r>
      <w:r>
        <w:rPr>
          <w:rFonts w:hint="eastAsia" w:ascii="仿宋" w:hAnsi="仿宋" w:eastAsia="仿宋" w:cs="仿宋_GB2312"/>
          <w:b/>
          <w:color w:val="auto"/>
          <w:sz w:val="24"/>
          <w:szCs w:val="21"/>
          <w:highlight w:val="none"/>
        </w:rPr>
        <w:t>，投标无效。</w:t>
      </w:r>
    </w:p>
    <w:p>
      <w:pPr>
        <w:pStyle w:val="32"/>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7.开标前答疑会或现场考察</w:t>
      </w:r>
    </w:p>
    <w:p>
      <w:pPr>
        <w:pStyle w:val="32"/>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8.投标保证金</w:t>
      </w:r>
    </w:p>
    <w:p>
      <w:pPr>
        <w:pStyle w:val="103"/>
        <w:snapToGrid w:val="0"/>
        <w:spacing w:before="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pPr>
        <w:pStyle w:val="32"/>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9. 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2"/>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投标文件的组成</w:t>
      </w:r>
    </w:p>
    <w:p>
      <w:pPr>
        <w:pStyle w:val="32"/>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资格文件、商务技术文件、报价文件。其中电子投标文件中所需加盖公章部分均应采用电子签章（联合体投标的，投标人可加盖实体印章）。</w:t>
      </w:r>
      <w:r>
        <w:rPr>
          <w:rFonts w:hint="eastAsia" w:ascii="仿宋" w:hAnsi="仿宋" w:eastAsia="仿宋" w:cs="仿宋_GB2312"/>
          <w:color w:val="auto"/>
          <w:sz w:val="24"/>
          <w:szCs w:val="24"/>
          <w:highlight w:val="none"/>
        </w:rPr>
        <w:t>投标文件应当对招标文件提出的要求和条件作出明确响应。</w:t>
      </w:r>
    </w:p>
    <w:p>
      <w:pPr>
        <w:snapToGrid w:val="0"/>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sz w:val="24"/>
          <w:highlight w:val="none"/>
        </w:rPr>
        <w:t>10.1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p>
    <w:p>
      <w:pPr>
        <w:pStyle w:val="32"/>
        <w:spacing w:line="360" w:lineRule="auto"/>
        <w:ind w:firstLine="480" w:firstLineChars="200"/>
        <w:rPr>
          <w:rFonts w:hint="eastAsia" w:ascii="仿宋" w:hAnsi="仿宋" w:eastAsia="仿宋"/>
          <w:color w:val="auto"/>
          <w:sz w:val="24"/>
          <w:highlight w:val="none"/>
        </w:rPr>
      </w:pPr>
      <w:bookmarkStart w:id="56" w:name="_Hlt68072998"/>
      <w:bookmarkEnd w:id="56"/>
      <w:bookmarkStart w:id="57" w:name="_Hlt68073093"/>
      <w:bookmarkEnd w:id="57"/>
      <w:bookmarkStart w:id="58" w:name="_Hlt68403820"/>
      <w:bookmarkEnd w:id="58"/>
      <w:r>
        <w:rPr>
          <w:rFonts w:hint="eastAsia" w:ascii="仿宋" w:hAnsi="仿宋" w:eastAsia="仿宋"/>
          <w:color w:val="auto"/>
          <w:sz w:val="24"/>
          <w:highlight w:val="none"/>
        </w:rPr>
        <w:t>10.1.1营业执照(或事业法人登记证或其他工商等登记证明材料)复印件（投标人为自然人的，提供自然人的身份证明）；</w:t>
      </w:r>
    </w:p>
    <w:p>
      <w:pPr>
        <w:pStyle w:val="32"/>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10.1.2投标声明函；</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sz w:val="24"/>
          <w:highlight w:val="none"/>
        </w:rPr>
        <w:t>10.1.3</w:t>
      </w:r>
      <w:r>
        <w:rPr>
          <w:rFonts w:hint="eastAsia" w:ascii="仿宋" w:hAnsi="仿宋" w:eastAsia="仿宋" w:cs="宋体"/>
          <w:color w:val="auto"/>
          <w:sz w:val="24"/>
          <w:highlight w:val="none"/>
        </w:rPr>
        <w:t>法定代表人授权书及其授权代表近三个月社保证明；拟派授权代表须为投标企业在职职工，须提供缴费期限为近三个月的投标人所属社保机构养老保险交纳清单或证明（缴费单位和投标单位名称必须一致）。授权代表的社保证明需在社保机构或社保机构网站上打印，并加盖投标单位公章。如投标人代表系法定代表人，无需提供法定代表人授权委托书及社保证明；</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10.1.4法定代表人及其授权代表的身份证复印件（正反面复印件）；如投标人代表系法定代表人，只需提供其身份证复印件（正反面复印件）；</w:t>
      </w:r>
      <w:r>
        <w:rPr>
          <w:rFonts w:ascii="仿宋" w:hAnsi="仿宋" w:eastAsia="仿宋" w:cs="仿宋_GB2312"/>
          <w:color w:val="auto"/>
          <w:sz w:val="24"/>
          <w:highlight w:val="none"/>
        </w:rPr>
        <w:t xml:space="preserve"> </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10.2.1</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10.2.2技术响应表；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w:t>
      </w:r>
      <w:r>
        <w:rPr>
          <w:rFonts w:hint="eastAsia"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lang w:val="zh-CN"/>
        </w:rPr>
        <w:t>商务响应表；</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10.2.4</w:t>
      </w:r>
      <w:r>
        <w:rPr>
          <w:rFonts w:hint="eastAsia" w:ascii="仿宋" w:hAnsi="仿宋" w:eastAsia="仿宋" w:cs="仿宋_GB2312"/>
          <w:color w:val="auto"/>
          <w:kern w:val="0"/>
          <w:sz w:val="24"/>
          <w:highlight w:val="none"/>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w:t>
      </w:r>
      <w:r>
        <w:rPr>
          <w:rFonts w:hint="eastAsia"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lang w:val="zh-CN"/>
        </w:rPr>
        <w:t>项目负责人情况表；</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w:t>
      </w:r>
      <w:r>
        <w:rPr>
          <w:rFonts w:hint="eastAsia"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lang w:val="zh-CN"/>
        </w:rPr>
        <w:t>项目组人员名单；</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10.2.</w:t>
      </w:r>
      <w:r>
        <w:rPr>
          <w:rFonts w:hint="eastAsia" w:ascii="仿宋" w:hAnsi="仿宋" w:eastAsia="仿宋" w:cs="仿宋_GB2312"/>
          <w:color w:val="auto"/>
          <w:sz w:val="24"/>
          <w:highlight w:val="none"/>
        </w:rPr>
        <w:t>7</w:t>
      </w:r>
      <w:r>
        <w:rPr>
          <w:rFonts w:hint="eastAsia" w:ascii="仿宋" w:hAnsi="仿宋" w:eastAsia="仿宋" w:cs="仿宋_GB2312"/>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10.2.</w:t>
      </w:r>
      <w:r>
        <w:rPr>
          <w:rFonts w:hint="eastAsia" w:ascii="仿宋" w:hAnsi="仿宋" w:eastAsia="仿宋" w:cs="仿宋_GB2312"/>
          <w:color w:val="auto"/>
          <w:sz w:val="24"/>
          <w:highlight w:val="none"/>
        </w:rPr>
        <w:t>8</w:t>
      </w:r>
      <w:r>
        <w:rPr>
          <w:rFonts w:hint="eastAsia" w:ascii="仿宋" w:hAnsi="仿宋" w:eastAsia="仿宋" w:cs="仿宋_GB2312"/>
          <w:color w:val="auto"/>
          <w:kern w:val="0"/>
          <w:sz w:val="24"/>
          <w:highlight w:val="none"/>
          <w:lang w:val="zh-CN"/>
        </w:rPr>
        <w:t>优惠条件及特殊承诺（如有）；</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10.2.</w:t>
      </w:r>
      <w:r>
        <w:rPr>
          <w:rFonts w:hint="eastAsia" w:ascii="仿宋" w:hAnsi="仿宋" w:eastAsia="仿宋" w:cs="仿宋_GB2312"/>
          <w:color w:val="auto"/>
          <w:sz w:val="24"/>
          <w:highlight w:val="none"/>
        </w:rPr>
        <w:t>9</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10.3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10.3.1投标(开标)一览表。</w:t>
      </w:r>
    </w:p>
    <w:p>
      <w:pPr>
        <w:pStyle w:val="103"/>
        <w:snapToGrid w:val="0"/>
        <w:spacing w:before="0"/>
        <w:ind w:firstLine="482"/>
        <w:outlineLvl w:val="0"/>
        <w:rPr>
          <w:rFonts w:ascii="仿宋" w:hAnsi="仿宋" w:eastAsia="仿宋" w:cs="仿宋_GB2312"/>
          <w:b/>
          <w:color w:val="auto"/>
          <w:szCs w:val="24"/>
          <w:highlight w:val="none"/>
        </w:rPr>
      </w:pPr>
      <w:bookmarkStart w:id="59" w:name="_Toc91899887"/>
      <w:r>
        <w:rPr>
          <w:rFonts w:hint="eastAsia" w:ascii="仿宋" w:hAnsi="仿宋" w:eastAsia="仿宋" w:cs="仿宋_GB2312"/>
          <w:b/>
          <w:color w:val="auto"/>
          <w:szCs w:val="24"/>
          <w:highlight w:val="none"/>
        </w:rPr>
        <w:t>11</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宋体"/>
          <w:color w:val="auto"/>
          <w:kern w:val="0"/>
          <w:sz w:val="24"/>
          <w:highlight w:val="none"/>
          <w:lang w:val="zh-CN"/>
        </w:rPr>
        <w:t>“</w:t>
      </w:r>
      <w:r>
        <w:rPr>
          <w:rFonts w:hint="eastAsia" w:ascii="仿宋" w:hAnsi="仿宋" w:eastAsia="仿宋" w:cs="仿宋_GB2312"/>
          <w:color w:val="auto"/>
          <w:kern w:val="0"/>
          <w:sz w:val="24"/>
          <w:highlight w:val="none"/>
          <w:lang w:val="zh-CN"/>
        </w:rPr>
        <w:t>乐采云投标客户端</w:t>
      </w:r>
      <w:r>
        <w:rPr>
          <w:rFonts w:hint="eastAsia" w:ascii="仿宋" w:hAnsi="仿宋" w:eastAsia="仿宋" w:cs="宋体"/>
          <w:color w:val="auto"/>
          <w:kern w:val="0"/>
          <w:sz w:val="24"/>
          <w:highlight w:val="none"/>
          <w:lang w:val="zh-CN"/>
        </w:rPr>
        <w:t>”</w:t>
      </w:r>
      <w:r>
        <w:rPr>
          <w:rFonts w:hint="eastAsia" w:ascii="仿宋" w:hAnsi="仿宋" w:eastAsia="仿宋" w:cs="仿宋_GB2312"/>
          <w:color w:val="auto"/>
          <w:kern w:val="0"/>
          <w:sz w:val="24"/>
          <w:highlight w:val="none"/>
          <w:lang w:val="zh-CN"/>
        </w:rPr>
        <w:t>，并按照招标文件和电子交易平台的要求编制并加密投标文件。投标人未按规定加密的投标文件，电子交易平台将拒收并提示。</w:t>
      </w:r>
    </w:p>
    <w:bookmarkEnd w:id="59"/>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11.3使用</w:t>
      </w:r>
      <w:r>
        <w:rPr>
          <w:rFonts w:hint="eastAsia" w:ascii="仿宋" w:hAnsi="仿宋" w:eastAsia="仿宋" w:cs="宋体"/>
          <w:color w:val="auto"/>
          <w:kern w:val="0"/>
          <w:sz w:val="24"/>
          <w:highlight w:val="none"/>
          <w:lang w:val="zh-CN"/>
        </w:rPr>
        <w:t>“</w:t>
      </w:r>
      <w:r>
        <w:rPr>
          <w:rFonts w:hint="eastAsia" w:ascii="仿宋" w:hAnsi="仿宋" w:eastAsia="仿宋" w:cs="仿宋_GB2312"/>
          <w:color w:val="auto"/>
          <w:kern w:val="0"/>
          <w:sz w:val="24"/>
          <w:highlight w:val="none"/>
          <w:lang w:val="zh-CN"/>
        </w:rPr>
        <w:t>乐采云投标客户端</w:t>
      </w:r>
      <w:r>
        <w:rPr>
          <w:rFonts w:hint="eastAsia" w:ascii="仿宋" w:hAnsi="仿宋" w:eastAsia="仿宋" w:cs="宋体"/>
          <w:color w:val="auto"/>
          <w:kern w:val="0"/>
          <w:sz w:val="24"/>
          <w:highlight w:val="none"/>
          <w:lang w:val="zh-CN"/>
        </w:rPr>
        <w:t>”</w:t>
      </w:r>
      <w:r>
        <w:rPr>
          <w:rFonts w:hint="eastAsia" w:ascii="仿宋" w:hAnsi="仿宋" w:eastAsia="仿宋" w:cs="仿宋_GB2312"/>
          <w:color w:val="auto"/>
          <w:kern w:val="0"/>
          <w:sz w:val="24"/>
          <w:highlight w:val="none"/>
          <w:lang w:val="zh-CN"/>
        </w:rPr>
        <w:t>需要提前申领CA数字证书，申领流程请自行前往</w:t>
      </w:r>
      <w:r>
        <w:rPr>
          <w:rFonts w:hint="eastAsia" w:ascii="仿宋" w:hAnsi="仿宋" w:eastAsia="仿宋" w:cs="宋体"/>
          <w:color w:val="auto"/>
          <w:kern w:val="0"/>
          <w:sz w:val="24"/>
          <w:highlight w:val="none"/>
          <w:lang w:val="zh-CN"/>
        </w:rPr>
        <w:t>“</w:t>
      </w:r>
      <w:r>
        <w:rPr>
          <w:rFonts w:hint="eastAsia" w:ascii="仿宋" w:hAnsi="仿宋" w:eastAsia="仿宋" w:cs="仿宋_GB2312"/>
          <w:color w:val="auto"/>
          <w:kern w:val="0"/>
          <w:sz w:val="24"/>
          <w:highlight w:val="none"/>
          <w:lang w:val="zh-CN"/>
        </w:rPr>
        <w:t>乐采云平台-投标客户端-CA驱动和申领流程</w:t>
      </w:r>
      <w:r>
        <w:rPr>
          <w:rFonts w:hint="eastAsia" w:ascii="仿宋" w:hAnsi="仿宋" w:eastAsia="仿宋" w:cs="宋体"/>
          <w:color w:val="auto"/>
          <w:kern w:val="0"/>
          <w:sz w:val="24"/>
          <w:highlight w:val="none"/>
          <w:lang w:val="zh-CN"/>
        </w:rPr>
        <w:t>”</w:t>
      </w:r>
      <w:r>
        <w:rPr>
          <w:rFonts w:hint="eastAsia" w:ascii="仿宋" w:hAnsi="仿宋" w:eastAsia="仿宋" w:cs="仿宋_GB2312"/>
          <w:color w:val="auto"/>
          <w:kern w:val="0"/>
          <w:sz w:val="24"/>
          <w:highlight w:val="none"/>
          <w:lang w:val="zh-CN"/>
        </w:rPr>
        <w:t>进行查阅。</w:t>
      </w:r>
    </w:p>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12.投标文件的签署、盖章</w:t>
      </w:r>
    </w:p>
    <w:p>
      <w:pPr>
        <w:pStyle w:val="103"/>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szCs w:val="24"/>
          <w:highlight w:val="none"/>
        </w:rPr>
        <w:t>12.1投标文件按照招标文件第六部分格式要</w:t>
      </w:r>
      <w:r>
        <w:rPr>
          <w:rFonts w:hint="eastAsia" w:ascii="仿宋" w:hAnsi="仿宋" w:eastAsia="仿宋" w:cs="仿宋_GB2312"/>
          <w:color w:val="auto"/>
          <w:highlight w:val="none"/>
        </w:rPr>
        <w:t>求进行签署、盖章。</w:t>
      </w:r>
    </w:p>
    <w:p>
      <w:pPr>
        <w:pStyle w:val="103"/>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103"/>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highlight w:val="none"/>
        </w:rPr>
        <w:t>12.2为确保网上操作合法、有效和安全，投标人应当在投标截止时间前完成在“乐采云平台”的身份认证，确保在电子投标过程中能够对相关数据电文进行加密和使用电子签名。</w:t>
      </w:r>
    </w:p>
    <w:bookmarkEnd w:id="54"/>
    <w:bookmarkEnd w:id="55"/>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 投标文件的提交、补充、修改、撤回</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03"/>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13.2在投标截止时间前，除供应商补充、修改或者撤回投标文件外，任何单位和个人不得解密或提取投标文件。</w:t>
      </w:r>
    </w:p>
    <w:p>
      <w:pPr>
        <w:pStyle w:val="103"/>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13.3采购代理机构可以视情况延长投标文件提交的截止时间。在上述情况下，采购代理机构与投标人以前在投标截止期方面的全部权利、责任和义务，将适用于延长至新的投标截止期。</w:t>
      </w:r>
    </w:p>
    <w:p>
      <w:pPr>
        <w:pStyle w:val="103"/>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14.投标文件的无效处理</w:t>
      </w:r>
    </w:p>
    <w:p>
      <w:pPr>
        <w:pStyle w:val="23"/>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pPr>
        <w:pStyle w:val="103"/>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15.投标有效期</w:t>
      </w:r>
    </w:p>
    <w:p>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15.1投标有效期为从提交投标文件的截止之日起90天。</w:t>
      </w:r>
    </w:p>
    <w:p>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103"/>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15.2投标文件合格投递后，自投标截止日期起，在投标有效期内有效。投标有效期内，投标人不得撤销或更换投标文件。</w:t>
      </w:r>
    </w:p>
    <w:p>
      <w:pPr>
        <w:pStyle w:val="103"/>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15.3在原定投标有效期满之前，如果出现特殊情况，采购代理机构可以以公告形式通知投标人延长投标有效期。投标人同意延长的，不得要求或被允许修改其投标文件，投标人拒绝延长的，其投标无效。</w:t>
      </w:r>
    </w:p>
    <w:p>
      <w:pPr>
        <w:pStyle w:val="103"/>
        <w:spacing w:before="0"/>
        <w:ind w:firstLine="643"/>
        <w:rPr>
          <w:rFonts w:ascii="仿宋" w:hAnsi="仿宋" w:eastAsia="仿宋" w:cs="仿宋_GB2312"/>
          <w:b/>
          <w:color w:val="auto"/>
          <w:sz w:val="32"/>
          <w:highlight w:val="none"/>
        </w:rPr>
      </w:pPr>
      <w:bookmarkStart w:id="60" w:name="_Toc91899897"/>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四、开标</w:t>
      </w:r>
      <w:bookmarkEnd w:id="60"/>
      <w:r>
        <w:rPr>
          <w:rFonts w:hint="eastAsia" w:ascii="仿宋" w:hAnsi="仿宋" w:eastAsia="仿宋" w:cs="仿宋_GB2312"/>
          <w:b/>
          <w:color w:val="auto"/>
          <w:sz w:val="32"/>
          <w:szCs w:val="20"/>
          <w:highlight w:val="none"/>
        </w:rPr>
        <w:t>、资格审查与信用信息查询</w:t>
      </w:r>
    </w:p>
    <w:p>
      <w:pPr>
        <w:pStyle w:val="397"/>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16.开标</w:t>
      </w:r>
      <w:r>
        <w:rPr>
          <w:rFonts w:hint="eastAsia" w:ascii="仿宋_GB2312" w:eastAsia="仿宋_GB2312"/>
          <w:color w:val="auto"/>
          <w:sz w:val="24"/>
          <w:highlight w:val="none"/>
        </w:rPr>
        <w:t xml:space="preserve"> </w:t>
      </w:r>
    </w:p>
    <w:p>
      <w:pPr>
        <w:pStyle w:val="397"/>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16.1采购代理机构按照招标文件规定的时间通过电子交易平台组织开标，所有投标人均应当准时在线参加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pPr>
        <w:pStyle w:val="397"/>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16.2开标时，电子交易平台按开标时间自动提取所有投标文件。采购代理机构依托电子交易平台发起开始解密指令，投标人按照平台提示和招标文件的规定在30分钟内完成在线解密。</w:t>
      </w:r>
    </w:p>
    <w:p>
      <w:pPr>
        <w:pStyle w:val="397"/>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17、资格审查</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17.1开标后，采购人或采购代理机构将依法对投标人的资格进行审查。</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17.2采购人或采购代理机构</w:t>
      </w:r>
      <w:r>
        <w:rPr>
          <w:rFonts w:hint="eastAsia" w:ascii="仿宋" w:hAnsi="仿宋" w:eastAsia="仿宋" w:cs="仿宋_GB2312"/>
          <w:color w:val="auto"/>
          <w:sz w:val="24"/>
          <w:highlight w:val="none"/>
        </w:rPr>
        <w:t>依据法律法规和招标文件的规定，对投标人的基本资格条件、特定资格条件进行审查。</w:t>
      </w:r>
    </w:p>
    <w:p>
      <w:pPr>
        <w:pStyle w:val="103"/>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17.3投标人未按照招标文件要求提供与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103"/>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17.4对未通过资格审查的投标人，采购人或采购代理机构告知其未通过的原因。</w:t>
      </w:r>
    </w:p>
    <w:p>
      <w:pPr>
        <w:pStyle w:val="103"/>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17.5合格投标人不足3家的，不再评标。</w:t>
      </w:r>
    </w:p>
    <w:p>
      <w:pPr>
        <w:pStyle w:val="103"/>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18、信用信息查询</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18.2信用信息查询记录和证据留存的具体方式：现场查询的投标人的信用记录、查询结果经确认后将与采购文件一起存档。</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18.3信用信息的使用规则：经查询列入失信被执行人名单、重大税收违法案件当事人名单、政府采购严重违法失信行为记录名单的投标人将被拒绝参与国企采购活动。</w:t>
      </w:r>
    </w:p>
    <w:p>
      <w:pPr>
        <w:pStyle w:val="103"/>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103"/>
        <w:spacing w:before="0"/>
        <w:ind w:firstLine="0" w:firstLineChars="0"/>
        <w:rPr>
          <w:rFonts w:ascii="仿宋" w:hAnsi="仿宋" w:eastAsia="仿宋" w:cs="Arial"/>
          <w:color w:val="auto"/>
          <w:kern w:val="0"/>
          <w:szCs w:val="24"/>
          <w:highlight w:val="none"/>
        </w:rPr>
      </w:pPr>
    </w:p>
    <w:p>
      <w:pPr>
        <w:adjustRightInd/>
        <w:spacing w:line="360" w:lineRule="auto"/>
        <w:jc w:val="center"/>
        <w:outlineLvl w:val="0"/>
        <w:rPr>
          <w:rFonts w:ascii="仿宋" w:hAnsi="仿宋" w:eastAsia="仿宋" w:cs="仿宋_GB2312"/>
          <w:b/>
          <w:color w:val="auto"/>
          <w:sz w:val="32"/>
          <w:szCs w:val="20"/>
          <w:highlight w:val="none"/>
        </w:rPr>
      </w:pPr>
      <w:bookmarkStart w:id="61" w:name="_Hlt75236101"/>
      <w:bookmarkEnd w:id="61"/>
      <w:bookmarkStart w:id="62" w:name="_Toc91899902"/>
      <w:r>
        <w:rPr>
          <w:rFonts w:hint="eastAsia" w:ascii="仿宋" w:hAnsi="仿宋" w:eastAsia="仿宋" w:cs="仿宋_GB2312"/>
          <w:b/>
          <w:color w:val="auto"/>
          <w:sz w:val="32"/>
          <w:szCs w:val="20"/>
          <w:highlight w:val="none"/>
        </w:rPr>
        <w:t>五、评标</w:t>
      </w:r>
      <w:bookmarkEnd w:id="62"/>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19.</w:t>
      </w:r>
      <w:r>
        <w:rPr>
          <w:rFonts w:hint="eastAsia" w:ascii="仿宋" w:hAnsi="仿宋" w:eastAsia="仿宋" w:cs="仿宋_GB2312"/>
          <w:color w:val="auto"/>
          <w:sz w:val="24"/>
          <w:highlight w:val="none"/>
        </w:rPr>
        <w:t>详见招标文件第四部分“评标方法及评分标准”。</w:t>
      </w:r>
    </w:p>
    <w:p>
      <w:pPr>
        <w:spacing w:line="360" w:lineRule="auto"/>
        <w:rPr>
          <w:rFonts w:ascii="仿宋" w:hAnsi="仿宋" w:eastAsia="仿宋" w:cs="仿宋_GB2312"/>
          <w:b/>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20. 确定中标供应商</w:t>
      </w:r>
    </w:p>
    <w:p>
      <w:pPr>
        <w:pStyle w:val="103"/>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采购代理机构将自评审结束之日起2个工作日内将评审报告送交采购人。采购人将自收到评审报告之日起5个工作日内在评审报告推荐的中标候选人中按顺序确定中标供应商。</w:t>
      </w:r>
    </w:p>
    <w:p>
      <w:pPr>
        <w:pStyle w:val="103"/>
        <w:snapToGrid w:val="0"/>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21. 中标通知书与中标结果公告</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21.1采购代理机构将在自中标人确定之日起2个工作日内，发布招标公告的网站上公告中标结果，同时发出中标通知书（中标人可在</w:t>
      </w:r>
      <w:r>
        <w:rPr>
          <w:rFonts w:hint="eastAsia" w:ascii="仿宋" w:hAnsi="仿宋" w:eastAsia="仿宋" w:cs="仿宋_GB2312"/>
          <w:color w:val="auto"/>
          <w:sz w:val="24"/>
          <w:highlight w:val="none"/>
          <w:lang w:eastAsia="zh-CN"/>
        </w:rPr>
        <w:t>乐采云</w:t>
      </w:r>
      <w:r>
        <w:rPr>
          <w:rFonts w:hint="eastAsia" w:ascii="仿宋" w:hAnsi="仿宋" w:eastAsia="仿宋" w:cs="仿宋_GB2312"/>
          <w:color w:val="auto"/>
          <w:sz w:val="24"/>
          <w:highlight w:val="none"/>
        </w:rPr>
        <w:t>平台自行下载中标通知书）。</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21.3</w:t>
      </w:r>
      <w:r>
        <w:rPr>
          <w:rFonts w:ascii="仿宋" w:hAnsi="仿宋" w:eastAsia="仿宋" w:cs="仿宋_GB2312"/>
          <w:color w:val="auto"/>
          <w:sz w:val="24"/>
          <w:highlight w:val="none"/>
        </w:rPr>
        <w:t>公告期限为1个工作日。</w:t>
      </w:r>
    </w:p>
    <w:p>
      <w:pPr>
        <w:tabs>
          <w:tab w:val="left" w:pos="0"/>
        </w:tabs>
        <w:spacing w:line="360" w:lineRule="auto"/>
        <w:rPr>
          <w:rFonts w:ascii="仿宋" w:hAnsi="仿宋" w:eastAsia="仿宋"/>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pPr>
        <w:pStyle w:val="103"/>
        <w:snapToGrid w:val="0"/>
        <w:spacing w:before="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2.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pPr>
        <w:pStyle w:val="103"/>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pPr>
        <w:pStyle w:val="103"/>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pPr>
        <w:pStyle w:val="103"/>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pPr>
        <w:pStyle w:val="103"/>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pPr>
        <w:pStyle w:val="103"/>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pPr>
        <w:pStyle w:val="103"/>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pPr>
        <w:pStyle w:val="103"/>
        <w:snapToGrid w:val="0"/>
        <w:spacing w:before="0"/>
        <w:ind w:firstLine="480"/>
        <w:rPr>
          <w:rFonts w:ascii="仿宋" w:hAnsi="仿宋" w:eastAsia="仿宋" w:cs="仿宋_GB2312"/>
          <w:color w:val="auto"/>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23. </w:t>
      </w:r>
      <w:r>
        <w:rPr>
          <w:rFonts w:hint="eastAsia" w:ascii="仿宋" w:hAnsi="仿宋" w:eastAsia="仿宋" w:cs="仿宋_GB2312"/>
          <w:color w:val="auto"/>
          <w:highlight w:val="none"/>
        </w:rPr>
        <w:t>合同主要条款详见第五部分拟签订的合同文本。</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24. 合同的签订</w:t>
      </w:r>
    </w:p>
    <w:p>
      <w:pPr>
        <w:widowControl/>
        <w:shd w:val="clear" w:color="auto" w:fill="FFFFFF"/>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24.1</w:t>
      </w:r>
      <w:r>
        <w:rPr>
          <w:rFonts w:hint="eastAsia" w:ascii="仿宋" w:eastAsia="仿宋"/>
          <w:color w:val="auto"/>
          <w:kern w:val="0"/>
          <w:sz w:val="24"/>
          <w:highlight w:val="none"/>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103"/>
        <w:snapToGrid w:val="0"/>
        <w:spacing w:before="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24.2</w:t>
      </w:r>
      <w:r>
        <w:rPr>
          <w:rFonts w:hint="eastAsia" w:ascii="仿宋" w:eastAsia="仿宋"/>
          <w:color w:val="auto"/>
          <w:kern w:val="0"/>
          <w:highlight w:val="none"/>
        </w:rPr>
        <w:t>采购人和中标人不得向对方提出任何不合理的要求作为签订合同的条件。</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25. 履约保证金</w:t>
      </w:r>
    </w:p>
    <w:p>
      <w:pPr>
        <w:tabs>
          <w:tab w:val="left" w:pos="0"/>
        </w:tabs>
        <w:spacing w:line="360" w:lineRule="auto"/>
        <w:ind w:firstLine="480" w:firstLineChars="200"/>
        <w:rPr>
          <w:rFonts w:ascii="仿宋" w:hAnsi="仿宋" w:eastAsia="仿宋"/>
          <w:color w:val="auto"/>
          <w:sz w:val="24"/>
          <w:highlight w:val="none"/>
        </w:rPr>
      </w:pPr>
      <w:r>
        <w:rPr>
          <w:rFonts w:hint="eastAsia" w:ascii="仿宋" w:hAnsi="仿宋" w:eastAsia="仿宋" w:cs="Helvetica"/>
          <w:color w:val="auto"/>
          <w:kern w:val="0"/>
          <w:sz w:val="24"/>
          <w:highlight w:val="none"/>
          <w:lang w:eastAsia="zh-CN"/>
        </w:rPr>
        <w:t>合同金额</w:t>
      </w:r>
      <w:r>
        <w:rPr>
          <w:rFonts w:hint="eastAsia" w:ascii="仿宋" w:hAnsi="仿宋" w:eastAsia="仿宋" w:cs="Helvetica"/>
          <w:color w:val="auto"/>
          <w:kern w:val="0"/>
          <w:sz w:val="24"/>
          <w:highlight w:val="none"/>
        </w:rPr>
        <w:t>的</w:t>
      </w:r>
      <w:r>
        <w:rPr>
          <w:rFonts w:hint="eastAsia" w:ascii="仿宋" w:hAnsi="仿宋" w:eastAsia="仿宋" w:cs="Helvetica"/>
          <w:color w:val="auto"/>
          <w:kern w:val="0"/>
          <w:sz w:val="24"/>
          <w:highlight w:val="none"/>
          <w:lang w:val="en-US" w:eastAsia="zh-CN"/>
        </w:rPr>
        <w:t>0.5</w:t>
      </w:r>
      <w:r>
        <w:rPr>
          <w:rFonts w:hint="eastAsia" w:ascii="仿宋" w:hAnsi="仿宋" w:eastAsia="仿宋" w:cs="Helvetica"/>
          <w:color w:val="auto"/>
          <w:kern w:val="0"/>
          <w:sz w:val="24"/>
          <w:highlight w:val="none"/>
        </w:rPr>
        <w:t>%，服务中如扣除履约保证金或发生超过履约保证金的扣款，需要在3天内补足（含超过）履约保证金。未在规定时间内补足，采购人有权解除合同并追究相关责任。</w:t>
      </w:r>
    </w:p>
    <w:p>
      <w:pPr>
        <w:snapToGrid w:val="0"/>
        <w:spacing w:line="360" w:lineRule="auto"/>
        <w:ind w:left="120" w:leftChars="57" w:firstLine="360" w:firstLineChars="150"/>
        <w:jc w:val="center"/>
        <w:rPr>
          <w:rFonts w:ascii="仿宋" w:hAnsi="仿宋" w:eastAsia="仿宋"/>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九、合同公示与备案</w:t>
      </w:r>
    </w:p>
    <w:p>
      <w:pPr>
        <w:pStyle w:val="23"/>
        <w:spacing w:line="360" w:lineRule="auto"/>
        <w:ind w:firstLine="482"/>
        <w:rPr>
          <w:rFonts w:ascii="仿宋" w:hAnsi="仿宋" w:eastAsia="仿宋" w:cs="Helvetica"/>
          <w:b/>
          <w:color w:val="auto"/>
          <w:kern w:val="0"/>
          <w:highlight w:val="none"/>
        </w:rPr>
      </w:pPr>
      <w:r>
        <w:rPr>
          <w:rFonts w:hint="eastAsia" w:ascii="仿宋" w:hAnsi="仿宋" w:eastAsia="仿宋" w:cs="仿宋_GB2312"/>
          <w:b/>
          <w:color w:val="auto"/>
          <w:highlight w:val="none"/>
        </w:rPr>
        <w:t>26.</w:t>
      </w:r>
      <w:r>
        <w:rPr>
          <w:rFonts w:hint="eastAsia" w:ascii="仿宋" w:hAnsi="仿宋" w:eastAsia="仿宋" w:cs="Helvetica"/>
          <w:b/>
          <w:color w:val="auto"/>
          <w:kern w:val="0"/>
          <w:highlight w:val="none"/>
        </w:rPr>
        <w:t xml:space="preserve"> 合同公示</w:t>
      </w:r>
    </w:p>
    <w:p>
      <w:pPr>
        <w:pStyle w:val="23"/>
        <w:spacing w:line="360" w:lineRule="auto"/>
        <w:rPr>
          <w:rFonts w:ascii="仿宋" w:hAnsi="仿宋" w:eastAsia="仿宋" w:cs="Helvetica"/>
          <w:color w:val="auto"/>
          <w:kern w:val="0"/>
          <w:highlight w:val="none"/>
        </w:rPr>
      </w:pPr>
      <w:r>
        <w:rPr>
          <w:rFonts w:hint="eastAsia" w:ascii="仿宋" w:hAnsi="仿宋" w:eastAsia="仿宋" w:cs="Helvetica"/>
          <w:color w:val="auto"/>
          <w:kern w:val="0"/>
          <w:highlight w:val="none"/>
          <w:lang w:val="en-US" w:eastAsia="zh-CN"/>
        </w:rPr>
        <w:t>采购人</w:t>
      </w:r>
      <w:r>
        <w:rPr>
          <w:rFonts w:hint="eastAsia" w:ascii="仿宋" w:hAnsi="仿宋" w:eastAsia="仿宋" w:cs="Helvetica"/>
          <w:color w:val="auto"/>
          <w:kern w:val="0"/>
          <w:highlight w:val="none"/>
        </w:rPr>
        <w:t>将在采购合同签订之日起2个工作日内，将采购合同在浙江政府采购网公告，但采购合同中涉及国家秘密、商业秘密的内容除外。</w:t>
      </w:r>
    </w:p>
    <w:p>
      <w:pPr>
        <w:snapToGrid w:val="0"/>
        <w:spacing w:line="360" w:lineRule="auto"/>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27.合同备案</w:t>
      </w:r>
    </w:p>
    <w:p>
      <w:pPr>
        <w:pStyle w:val="23"/>
        <w:spacing w:line="360" w:lineRule="auto"/>
        <w:rPr>
          <w:rFonts w:ascii="仿宋" w:hAnsi="仿宋" w:eastAsia="仿宋" w:cs="Helvetica"/>
          <w:color w:val="auto"/>
          <w:kern w:val="0"/>
          <w:highlight w:val="none"/>
        </w:rPr>
      </w:pPr>
      <w:r>
        <w:rPr>
          <w:rFonts w:hint="eastAsia" w:ascii="仿宋" w:hAnsi="仿宋" w:eastAsia="仿宋"/>
          <w:color w:val="auto"/>
          <w:highlight w:val="none"/>
          <w:lang w:val="en-US" w:eastAsia="zh-CN"/>
        </w:rPr>
        <w:t>采购人</w:t>
      </w:r>
      <w:r>
        <w:rPr>
          <w:rFonts w:hint="eastAsia" w:ascii="仿宋" w:hAnsi="仿宋" w:eastAsia="仿宋"/>
          <w:color w:val="auto"/>
          <w:highlight w:val="none"/>
        </w:rPr>
        <w:t>原则上应于采购结果公告发布之日起10日内，将采购合同在乐采云平台上备案，最迟不得超过30日。</w:t>
      </w:r>
    </w:p>
    <w:p>
      <w:pPr>
        <w:adjustRightInd/>
        <w:spacing w:line="360" w:lineRule="auto"/>
        <w:jc w:val="center"/>
        <w:outlineLvl w:val="0"/>
        <w:rPr>
          <w:rFonts w:hint="eastAsia"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十、履约验收</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28.履约验收</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28.4国有企业向社会公众提供的公共服务项目验收时应当邀请服务对象参与并出具意见，验收结果应当向社会公告。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28.5 采购合同的履行、违约责任和解决争议的方式等适用《中华人民共和国民法典》。</w:t>
      </w:r>
    </w:p>
    <w:p>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28.6供应商在履约过程中有法律法规规定的违法违规情形的，采购人应当及时报告本级国有企业采购监督管理部门。</w:t>
      </w:r>
    </w:p>
    <w:p>
      <w:pPr>
        <w:tabs>
          <w:tab w:val="left" w:pos="0"/>
        </w:tabs>
        <w:spacing w:line="360" w:lineRule="auto"/>
        <w:jc w:val="left"/>
        <w:rPr>
          <w:rFonts w:hint="eastAsia" w:ascii="仿宋" w:hAnsi="仿宋" w:eastAsia="仿宋" w:cs="Helvetica"/>
          <w:color w:val="auto"/>
          <w:kern w:val="0"/>
          <w:sz w:val="24"/>
          <w:highlight w:val="none"/>
        </w:rPr>
        <w:sectPr>
          <w:headerReference r:id="rId7" w:type="first"/>
          <w:footerReference r:id="rId10" w:type="first"/>
          <w:headerReference r:id="rId6" w:type="default"/>
          <w:footerReference r:id="rId8" w:type="default"/>
          <w:footerReference r:id="rId9" w:type="even"/>
          <w:pgSz w:w="11906" w:h="16838"/>
          <w:pgMar w:top="680" w:right="1418" w:bottom="468" w:left="1418" w:header="851" w:footer="992" w:gutter="0"/>
          <w:cols w:space="720" w:num="1"/>
          <w:titlePg/>
          <w:docGrid w:linePitch="312" w:charSpace="0"/>
        </w:sectPr>
      </w:pPr>
    </w:p>
    <w:p>
      <w:pPr>
        <w:tabs>
          <w:tab w:val="left" w:pos="0"/>
        </w:tabs>
        <w:spacing w:line="360" w:lineRule="auto"/>
        <w:ind w:firstLine="480" w:firstLineChars="200"/>
        <w:jc w:val="left"/>
        <w:rPr>
          <w:rFonts w:ascii="仿宋" w:hAnsi="仿宋" w:eastAsia="仿宋" w:cs="Helvetica"/>
          <w:color w:val="auto"/>
          <w:kern w:val="0"/>
          <w:sz w:val="24"/>
          <w:highlight w:val="none"/>
        </w:rPr>
      </w:pPr>
    </w:p>
    <w:bookmarkEnd w:id="40"/>
    <w:bookmarkEnd w:id="41"/>
    <w:p>
      <w:pPr>
        <w:spacing w:line="360" w:lineRule="auto"/>
        <w:jc w:val="center"/>
        <w:outlineLvl w:val="0"/>
        <w:rPr>
          <w:rFonts w:ascii="仿宋" w:hAnsi="仿宋" w:eastAsia="仿宋" w:cs="仿宋_GB2312"/>
          <w:b/>
          <w:color w:val="auto"/>
          <w:sz w:val="36"/>
          <w:szCs w:val="36"/>
          <w:highlight w:val="none"/>
        </w:rPr>
      </w:pPr>
      <w:bookmarkStart w:id="63" w:name="第四部分"/>
      <w:r>
        <w:rPr>
          <w:rFonts w:hint="eastAsia" w:ascii="仿宋" w:hAnsi="仿宋" w:eastAsia="仿宋" w:cs="仿宋_GB2312"/>
          <w:b/>
          <w:color w:val="auto"/>
          <w:sz w:val="36"/>
          <w:szCs w:val="36"/>
          <w:highlight w:val="none"/>
        </w:rPr>
        <w:t>第三部分   采购需求</w:t>
      </w:r>
    </w:p>
    <w:p>
      <w:pPr>
        <w:snapToGrid w:val="0"/>
        <w:spacing w:line="360" w:lineRule="auto"/>
        <w:jc w:val="left"/>
        <w:rPr>
          <w:rFonts w:ascii="仿宋" w:hAnsi="仿宋" w:eastAsia="仿宋" w:cs="仿宋_GB2312"/>
          <w:b/>
          <w:i/>
          <w:color w:val="auto"/>
          <w:sz w:val="22"/>
          <w:szCs w:val="36"/>
          <w:highlight w:val="none"/>
        </w:rPr>
      </w:pPr>
      <w:r>
        <w:rPr>
          <w:rFonts w:hint="eastAsia" w:ascii="仿宋" w:hAnsi="仿宋" w:eastAsia="仿宋"/>
          <w:color w:val="auto"/>
          <w:sz w:val="28"/>
          <w:szCs w:val="28"/>
          <w:highlight w:val="none"/>
        </w:rPr>
        <w:t xml:space="preserve">        </w:t>
      </w:r>
      <w:r>
        <w:rPr>
          <w:rFonts w:hint="eastAsia" w:ascii="仿宋" w:hAnsi="仿宋" w:eastAsia="仿宋"/>
          <w:b/>
          <w:color w:val="auto"/>
          <w:sz w:val="32"/>
          <w:szCs w:val="32"/>
          <w:highlight w:val="none"/>
        </w:rPr>
        <w:t xml:space="preserve">  </w:t>
      </w:r>
    </w:p>
    <w:p>
      <w:pPr>
        <w:snapToGrid w:val="0"/>
        <w:spacing w:before="120" w:beforeLines="50" w:after="120" w:afterLines="50"/>
        <w:rPr>
          <w:rFonts w:ascii="仿宋" w:hAnsi="仿宋" w:eastAsia="仿宋"/>
          <w:color w:val="auto"/>
          <w:sz w:val="24"/>
          <w:highlight w:val="none"/>
        </w:rPr>
      </w:pPr>
      <w:r>
        <w:rPr>
          <w:rFonts w:hint="eastAsia" w:ascii="仿宋" w:hAnsi="仿宋" w:eastAsia="仿宋"/>
          <w:color w:val="auto"/>
          <w:sz w:val="24"/>
          <w:highlight w:val="none"/>
        </w:rPr>
        <w:t>特别说明：</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snapToGrid w:val="0"/>
        <w:spacing w:line="360" w:lineRule="auto"/>
        <w:rPr>
          <w:rFonts w:ascii="仿宋" w:hAnsi="仿宋" w:eastAsia="仿宋" w:cs="Arial"/>
          <w:color w:val="auto"/>
          <w:kern w:val="0"/>
          <w:sz w:val="24"/>
          <w:highlight w:val="none"/>
        </w:rPr>
      </w:pPr>
    </w:p>
    <w:p>
      <w:pPr>
        <w:widowControl/>
        <w:snapToGrid w:val="0"/>
        <w:spacing w:line="360" w:lineRule="auto"/>
        <w:jc w:val="center"/>
        <w:rPr>
          <w:rFonts w:ascii="仿宋" w:eastAsia="仿宋"/>
          <w:b/>
          <w:bCs/>
          <w:color w:val="auto"/>
          <w:kern w:val="0"/>
          <w:sz w:val="24"/>
          <w:highlight w:val="none"/>
        </w:rPr>
      </w:pPr>
      <w:r>
        <w:rPr>
          <w:rFonts w:hint="eastAsia" w:ascii="仿宋" w:hAnsi="仿宋" w:eastAsia="仿宋" w:cs="仿宋_GB2312"/>
          <w:b/>
          <w:color w:val="auto"/>
          <w:sz w:val="32"/>
          <w:highlight w:val="none"/>
        </w:rPr>
        <w:t>一、服务清单及要求</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1.</w:t>
      </w:r>
      <w:r>
        <w:rPr>
          <w:rFonts w:hint="eastAsia" w:ascii="仿宋" w:eastAsia="仿宋"/>
          <w:b/>
          <w:bCs/>
          <w:color w:val="auto"/>
          <w:sz w:val="24"/>
          <w:highlight w:val="none"/>
        </w:rPr>
        <w:t>项目概况：</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1.1柯桥区笛里人家小区物业管理服务采购项目为确保各类管理、技术和操作人员的专业素质和综合素质，严格按法规和标准作业程序，规范管理服务全过程；运用现代管理手段，提高管理服务质量，实现高效优质服务，致力于实施精品战略，现欲设立专业的物业管理，招标内容为小区范围内的全部物业服务，包括物管服务所需的管理人员、</w:t>
      </w:r>
      <w:r>
        <w:rPr>
          <w:rFonts w:hint="eastAsia" w:ascii="仿宋" w:eastAsia="仿宋"/>
          <w:b w:val="0"/>
          <w:bCs w:val="0"/>
          <w:color w:val="auto"/>
          <w:sz w:val="24"/>
          <w:highlight w:val="none"/>
          <w:lang w:val="en-US" w:eastAsia="zh-CN"/>
        </w:rPr>
        <w:t>客服</w:t>
      </w:r>
      <w:r>
        <w:rPr>
          <w:rFonts w:hint="eastAsia" w:ascii="仿宋" w:eastAsia="仿宋"/>
          <w:b w:val="0"/>
          <w:bCs w:val="0"/>
          <w:color w:val="auto"/>
          <w:sz w:val="24"/>
          <w:highlight w:val="none"/>
        </w:rPr>
        <w:t>、保洁、保安、机电设备、空调、车库车位、公厕及停车场管理、绿化养护、</w:t>
      </w:r>
      <w:r>
        <w:rPr>
          <w:rFonts w:hint="eastAsia" w:ascii="仿宋" w:eastAsia="仿宋"/>
          <w:b w:val="0"/>
          <w:bCs w:val="0"/>
          <w:color w:val="auto"/>
          <w:sz w:val="24"/>
          <w:highlight w:val="none"/>
          <w:lang w:val="en-US" w:eastAsia="zh-CN"/>
        </w:rPr>
        <w:t>商业用房、</w:t>
      </w:r>
      <w:r>
        <w:rPr>
          <w:rFonts w:hint="eastAsia" w:ascii="仿宋" w:eastAsia="仿宋"/>
          <w:b w:val="0"/>
          <w:bCs w:val="0"/>
          <w:color w:val="auto"/>
          <w:sz w:val="24"/>
          <w:highlight w:val="none"/>
        </w:rPr>
        <w:t>高配房、开关站、监控、消控管理、公共设施管理、纠纷调解、物业费收缴及配合街道办或居民委员会做好其他工作等与物业相关的管理服务</w:t>
      </w:r>
      <w:r>
        <w:rPr>
          <w:rFonts w:hint="eastAsia" w:ascii="仿宋" w:eastAsia="仿宋"/>
          <w:b w:val="0"/>
          <w:bCs w:val="0"/>
          <w:color w:val="auto"/>
          <w:sz w:val="24"/>
          <w:highlight w:val="none"/>
          <w:lang w:eastAsia="zh-CN"/>
        </w:rPr>
        <w:t>。</w:t>
      </w:r>
    </w:p>
    <w:p>
      <w:pPr>
        <w:widowControl/>
        <w:snapToGrid w:val="0"/>
        <w:spacing w:line="480" w:lineRule="exact"/>
        <w:jc w:val="center"/>
        <w:rPr>
          <w:rFonts w:hint="eastAsia" w:ascii="仿宋" w:eastAsia="仿宋"/>
          <w:b w:val="0"/>
          <w:bCs w:val="0"/>
          <w:color w:val="auto"/>
          <w:sz w:val="24"/>
          <w:highlight w:val="none"/>
        </w:rPr>
      </w:pPr>
      <w:r>
        <w:rPr>
          <w:rFonts w:hint="eastAsia" w:ascii="仿宋" w:eastAsia="仿宋"/>
          <w:b w:val="0"/>
          <w:bCs w:val="0"/>
          <w:color w:val="auto"/>
          <w:sz w:val="24"/>
          <w:highlight w:val="none"/>
        </w:rPr>
        <w:t>房屋基本信息</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05"/>
        <w:gridCol w:w="1200"/>
        <w:gridCol w:w="750"/>
        <w:gridCol w:w="1318"/>
        <w:gridCol w:w="1061"/>
        <w:gridCol w:w="128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2"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建筑结构</w:t>
            </w:r>
          </w:p>
        </w:tc>
        <w:tc>
          <w:tcPr>
            <w:tcW w:w="1205"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钢混</w:t>
            </w:r>
          </w:p>
        </w:tc>
        <w:tc>
          <w:tcPr>
            <w:tcW w:w="1200"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建成年份</w:t>
            </w:r>
          </w:p>
        </w:tc>
        <w:tc>
          <w:tcPr>
            <w:tcW w:w="750"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2019</w:t>
            </w:r>
          </w:p>
        </w:tc>
        <w:tc>
          <w:tcPr>
            <w:tcW w:w="1318"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地下层数</w:t>
            </w:r>
          </w:p>
        </w:tc>
        <w:tc>
          <w:tcPr>
            <w:tcW w:w="1061"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1</w:t>
            </w:r>
          </w:p>
        </w:tc>
        <w:tc>
          <w:tcPr>
            <w:tcW w:w="1286"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地上层数</w:t>
            </w:r>
          </w:p>
        </w:tc>
        <w:tc>
          <w:tcPr>
            <w:tcW w:w="1036" w:type="dxa"/>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18" w:type="dxa"/>
            <w:gridSpan w:val="8"/>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总建设面积：53109.24m²,地上部分为38686.9m²,地下部分14422.34m²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67" w:type="dxa"/>
            <w:gridSpan w:val="2"/>
            <w:noWrap w:val="0"/>
            <w:vAlign w:val="center"/>
          </w:tcPr>
          <w:p>
            <w:pPr>
              <w:widowControl/>
              <w:snapToGrid w:val="0"/>
              <w:spacing w:line="480" w:lineRule="exact"/>
              <w:jc w:val="center"/>
              <w:rPr>
                <w:rFonts w:hint="eastAsia" w:ascii="仿宋" w:eastAsia="仿宋"/>
                <w:b w:val="0"/>
                <w:bCs w:val="0"/>
                <w:color w:val="auto"/>
                <w:sz w:val="24"/>
                <w:highlight w:val="none"/>
              </w:rPr>
            </w:pPr>
            <w:r>
              <w:rPr>
                <w:rFonts w:hint="eastAsia" w:ascii="仿宋" w:eastAsia="仿宋"/>
                <w:b w:val="0"/>
                <w:bCs w:val="0"/>
                <w:color w:val="auto"/>
                <w:sz w:val="24"/>
                <w:highlight w:val="none"/>
              </w:rPr>
              <w:t>住宅面积</w:t>
            </w:r>
          </w:p>
        </w:tc>
        <w:tc>
          <w:tcPr>
            <w:tcW w:w="1950" w:type="dxa"/>
            <w:gridSpan w:val="2"/>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32479.08m²</w:t>
            </w:r>
          </w:p>
        </w:tc>
        <w:tc>
          <w:tcPr>
            <w:tcW w:w="2379" w:type="dxa"/>
            <w:gridSpan w:val="2"/>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商业面积</w:t>
            </w:r>
          </w:p>
        </w:tc>
        <w:tc>
          <w:tcPr>
            <w:tcW w:w="2322" w:type="dxa"/>
            <w:gridSpan w:val="2"/>
            <w:noWrap w:val="0"/>
            <w:vAlign w:val="center"/>
          </w:tcPr>
          <w:p>
            <w:pPr>
              <w:widowControl/>
              <w:snapToGrid w:val="0"/>
              <w:spacing w:line="48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3582.14m²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67" w:type="dxa"/>
            <w:gridSpan w:val="2"/>
            <w:noWrap w:val="0"/>
            <w:vAlign w:val="center"/>
          </w:tcPr>
          <w:p>
            <w:pPr>
              <w:widowControl/>
              <w:snapToGrid w:val="0"/>
              <w:spacing w:line="480" w:lineRule="exact"/>
              <w:jc w:val="center"/>
              <w:rPr>
                <w:rFonts w:hint="eastAsia" w:ascii="仿宋" w:eastAsia="仿宋"/>
                <w:b w:val="0"/>
                <w:bCs w:val="0"/>
                <w:color w:val="auto"/>
                <w:sz w:val="24"/>
                <w:highlight w:val="none"/>
              </w:rPr>
            </w:pPr>
            <w:r>
              <w:rPr>
                <w:rFonts w:hint="eastAsia" w:ascii="仿宋" w:eastAsia="仿宋"/>
                <w:b w:val="0"/>
                <w:bCs w:val="0"/>
                <w:color w:val="auto"/>
                <w:sz w:val="24"/>
                <w:highlight w:val="none"/>
              </w:rPr>
              <w:t>社区服务用房面积</w:t>
            </w:r>
          </w:p>
        </w:tc>
        <w:tc>
          <w:tcPr>
            <w:tcW w:w="1950" w:type="dxa"/>
            <w:gridSpan w:val="2"/>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577.58m²</w:t>
            </w:r>
          </w:p>
        </w:tc>
        <w:tc>
          <w:tcPr>
            <w:tcW w:w="2379" w:type="dxa"/>
            <w:gridSpan w:val="2"/>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pacing w:val="-20"/>
                <w:sz w:val="24"/>
                <w:highlight w:val="none"/>
              </w:rPr>
              <w:t>物业管理</w:t>
            </w:r>
            <w:r>
              <w:rPr>
                <w:rFonts w:hint="eastAsia" w:ascii="仿宋" w:eastAsia="仿宋"/>
                <w:b w:val="0"/>
                <w:bCs w:val="0"/>
                <w:color w:val="auto"/>
                <w:spacing w:val="-20"/>
                <w:sz w:val="24"/>
                <w:highlight w:val="none"/>
                <w:lang w:val="en-US" w:eastAsia="zh-CN"/>
              </w:rPr>
              <w:t>办公</w:t>
            </w:r>
            <w:r>
              <w:rPr>
                <w:rFonts w:hint="eastAsia" w:ascii="仿宋" w:eastAsia="仿宋"/>
                <w:b w:val="0"/>
                <w:bCs w:val="0"/>
                <w:color w:val="auto"/>
                <w:spacing w:val="-20"/>
                <w:sz w:val="24"/>
                <w:highlight w:val="none"/>
              </w:rPr>
              <w:t>用房面积</w:t>
            </w:r>
          </w:p>
        </w:tc>
        <w:tc>
          <w:tcPr>
            <w:tcW w:w="2322" w:type="dxa"/>
            <w:gridSpan w:val="2"/>
            <w:noWrap w:val="0"/>
            <w:vAlign w:val="center"/>
          </w:tcPr>
          <w:p>
            <w:pPr>
              <w:widowControl/>
              <w:snapToGrid w:val="0"/>
              <w:spacing w:line="48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214.64m²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67" w:type="dxa"/>
            <w:gridSpan w:val="2"/>
            <w:noWrap w:val="0"/>
            <w:vAlign w:val="center"/>
          </w:tcPr>
          <w:p>
            <w:pPr>
              <w:widowControl/>
              <w:snapToGrid w:val="0"/>
              <w:spacing w:line="480" w:lineRule="exact"/>
              <w:jc w:val="center"/>
              <w:rPr>
                <w:rFonts w:hint="eastAsia" w:ascii="仿宋" w:eastAsia="仿宋"/>
                <w:b w:val="0"/>
                <w:bCs w:val="0"/>
                <w:color w:val="auto"/>
                <w:sz w:val="24"/>
                <w:highlight w:val="none"/>
              </w:rPr>
            </w:pPr>
            <w:r>
              <w:rPr>
                <w:rFonts w:hint="eastAsia" w:ascii="仿宋" w:eastAsia="仿宋"/>
                <w:b w:val="0"/>
                <w:bCs w:val="0"/>
                <w:color w:val="auto"/>
                <w:sz w:val="24"/>
                <w:highlight w:val="none"/>
              </w:rPr>
              <w:t>配套用房面积</w:t>
            </w:r>
          </w:p>
        </w:tc>
        <w:tc>
          <w:tcPr>
            <w:tcW w:w="1950" w:type="dxa"/>
            <w:gridSpan w:val="2"/>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 xml:space="preserve">  459.78m²</w:t>
            </w:r>
          </w:p>
        </w:tc>
        <w:tc>
          <w:tcPr>
            <w:tcW w:w="2379" w:type="dxa"/>
            <w:gridSpan w:val="2"/>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pacing w:val="-20"/>
                <w:sz w:val="24"/>
                <w:highlight w:val="none"/>
              </w:rPr>
              <w:t>物业</w:t>
            </w:r>
            <w:r>
              <w:rPr>
                <w:rFonts w:hint="eastAsia" w:ascii="仿宋" w:eastAsia="仿宋"/>
                <w:b w:val="0"/>
                <w:bCs w:val="0"/>
                <w:color w:val="auto"/>
                <w:spacing w:val="-20"/>
                <w:sz w:val="24"/>
                <w:highlight w:val="none"/>
                <w:lang w:val="en-US" w:eastAsia="zh-CN"/>
              </w:rPr>
              <w:t>管理</w:t>
            </w:r>
            <w:r>
              <w:rPr>
                <w:rFonts w:hint="eastAsia" w:ascii="仿宋" w:eastAsia="仿宋"/>
                <w:b w:val="0"/>
                <w:bCs w:val="0"/>
                <w:color w:val="auto"/>
                <w:spacing w:val="-20"/>
                <w:sz w:val="24"/>
                <w:highlight w:val="none"/>
              </w:rPr>
              <w:t>经营用房面积</w:t>
            </w:r>
          </w:p>
        </w:tc>
        <w:tc>
          <w:tcPr>
            <w:tcW w:w="2322" w:type="dxa"/>
            <w:gridSpan w:val="2"/>
            <w:noWrap w:val="0"/>
            <w:vAlign w:val="center"/>
          </w:tcPr>
          <w:p>
            <w:pPr>
              <w:widowControl/>
              <w:snapToGrid w:val="0"/>
              <w:spacing w:line="48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209.01m²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67" w:type="dxa"/>
            <w:gridSpan w:val="2"/>
            <w:noWrap w:val="0"/>
            <w:vAlign w:val="center"/>
          </w:tcPr>
          <w:p>
            <w:pPr>
              <w:widowControl/>
              <w:snapToGrid w:val="0"/>
              <w:spacing w:line="480" w:lineRule="exact"/>
              <w:jc w:val="center"/>
              <w:rPr>
                <w:rFonts w:hint="eastAsia" w:ascii="仿宋" w:eastAsia="仿宋"/>
                <w:b w:val="0"/>
                <w:bCs w:val="0"/>
                <w:color w:val="auto"/>
                <w:sz w:val="24"/>
                <w:highlight w:val="none"/>
              </w:rPr>
            </w:pPr>
            <w:r>
              <w:rPr>
                <w:rFonts w:hint="eastAsia" w:ascii="仿宋" w:eastAsia="仿宋"/>
                <w:b w:val="0"/>
                <w:bCs w:val="0"/>
                <w:color w:val="auto"/>
                <w:sz w:val="24"/>
                <w:highlight w:val="none"/>
              </w:rPr>
              <w:t>汽车位</w:t>
            </w:r>
          </w:p>
        </w:tc>
        <w:tc>
          <w:tcPr>
            <w:tcW w:w="1950" w:type="dxa"/>
            <w:gridSpan w:val="2"/>
            <w:noWrap w:val="0"/>
            <w:vAlign w:val="center"/>
          </w:tcPr>
          <w:p>
            <w:pPr>
              <w:widowControl/>
              <w:snapToGrid w:val="0"/>
              <w:spacing w:line="480" w:lineRule="exact"/>
              <w:rPr>
                <w:rFonts w:hint="eastAsia" w:ascii="仿宋" w:eastAsia="仿宋"/>
                <w:b w:val="0"/>
                <w:bCs w:val="0"/>
                <w:color w:val="auto"/>
                <w:sz w:val="24"/>
                <w:highlight w:val="none"/>
                <w:lang w:val="en-US" w:eastAsia="zh-CN"/>
              </w:rPr>
            </w:pPr>
            <w:r>
              <w:rPr>
                <w:rFonts w:hint="eastAsia" w:ascii="仿宋" w:eastAsia="仿宋"/>
                <w:b w:val="0"/>
                <w:bCs w:val="0"/>
                <w:color w:val="auto"/>
                <w:sz w:val="24"/>
                <w:highlight w:val="none"/>
                <w:lang w:val="en-US" w:eastAsia="zh-CN"/>
              </w:rPr>
              <w:t>地上43地下202</w:t>
            </w:r>
          </w:p>
        </w:tc>
        <w:tc>
          <w:tcPr>
            <w:tcW w:w="2379" w:type="dxa"/>
            <w:gridSpan w:val="2"/>
            <w:noWrap w:val="0"/>
            <w:vAlign w:val="center"/>
          </w:tcPr>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地上自行车库面积</w:t>
            </w:r>
          </w:p>
        </w:tc>
        <w:tc>
          <w:tcPr>
            <w:tcW w:w="2322" w:type="dxa"/>
            <w:gridSpan w:val="2"/>
            <w:noWrap w:val="0"/>
            <w:vAlign w:val="center"/>
          </w:tcPr>
          <w:p>
            <w:pPr>
              <w:widowControl/>
              <w:snapToGrid w:val="0"/>
              <w:spacing w:line="48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1164.67m²</w:t>
            </w:r>
          </w:p>
        </w:tc>
      </w:tr>
    </w:tbl>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w:t>
      </w:r>
      <w:r>
        <w:rPr>
          <w:rFonts w:hint="eastAsia" w:ascii="仿宋" w:eastAsia="仿宋"/>
          <w:b/>
          <w:bCs/>
          <w:color w:val="auto"/>
          <w:sz w:val="24"/>
          <w:highlight w:val="none"/>
        </w:rPr>
        <w:t xml:space="preserve">物业管理服务范围： </w:t>
      </w:r>
    </w:p>
    <w:p>
      <w:pPr>
        <w:widowControl/>
        <w:snapToGrid w:val="0"/>
        <w:spacing w:line="480" w:lineRule="exact"/>
        <w:rPr>
          <w:rFonts w:hint="eastAsia" w:ascii="仿宋" w:eastAsia="仿宋"/>
          <w:b w:val="0"/>
          <w:bCs w:val="0"/>
          <w:color w:val="auto"/>
          <w:sz w:val="24"/>
          <w:highlight w:val="none"/>
        </w:rPr>
      </w:pPr>
      <w:r>
        <w:rPr>
          <w:rFonts w:hint="eastAsia" w:ascii="仿宋" w:eastAsia="仿宋"/>
          <w:b/>
          <w:bCs/>
          <w:color w:val="auto"/>
          <w:sz w:val="24"/>
          <w:highlight w:val="none"/>
          <w:lang w:val="en-US" w:eastAsia="zh-CN"/>
        </w:rPr>
        <w:t>2.1</w:t>
      </w:r>
      <w:r>
        <w:rPr>
          <w:rFonts w:hint="eastAsia" w:ascii="仿宋" w:eastAsia="仿宋"/>
          <w:b/>
          <w:bCs/>
          <w:color w:val="auto"/>
          <w:sz w:val="24"/>
          <w:highlight w:val="none"/>
        </w:rPr>
        <w:t>物业工作内容：</w:t>
      </w:r>
      <w:r>
        <w:rPr>
          <w:rFonts w:hint="eastAsia" w:ascii="仿宋" w:eastAsia="仿宋"/>
          <w:b w:val="0"/>
          <w:bCs w:val="0"/>
          <w:color w:val="auto"/>
          <w:sz w:val="24"/>
          <w:highlight w:val="none"/>
        </w:rPr>
        <w:t xml:space="preserve">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w:t>
      </w:r>
      <w:r>
        <w:rPr>
          <w:rFonts w:hint="eastAsia" w:ascii="仿宋" w:eastAsia="仿宋"/>
          <w:b w:val="0"/>
          <w:bCs w:val="0"/>
          <w:color w:val="auto"/>
          <w:sz w:val="24"/>
          <w:highlight w:val="none"/>
        </w:rPr>
        <w:t xml:space="preserve">物业管理区域内物业共用部位、共有设施设备及场所的日常管理及维修养护，并有齐全的检修养护记录；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2.1.2</w:t>
      </w:r>
      <w:r>
        <w:rPr>
          <w:rFonts w:hint="eastAsia" w:ascii="仿宋" w:eastAsia="仿宋"/>
          <w:b w:val="0"/>
          <w:bCs w:val="0"/>
          <w:color w:val="auto"/>
          <w:sz w:val="24"/>
          <w:highlight w:val="none"/>
        </w:rPr>
        <w:t xml:space="preserve">物业管理区域内物业共用部位、共有设施设备和相关场地的保洁服务；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2.1.3</w:t>
      </w:r>
      <w:r>
        <w:rPr>
          <w:rFonts w:hint="eastAsia" w:ascii="仿宋" w:eastAsia="仿宋"/>
          <w:b w:val="0"/>
          <w:bCs w:val="0"/>
          <w:color w:val="auto"/>
          <w:sz w:val="24"/>
          <w:highlight w:val="none"/>
        </w:rPr>
        <w:t xml:space="preserve">物业管理区域内公共秩序和环境卫生的维护（包括垃圾分类工作）；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2.1.4</w:t>
      </w:r>
      <w:r>
        <w:rPr>
          <w:rFonts w:hint="eastAsia" w:ascii="仿宋" w:eastAsia="仿宋"/>
          <w:b w:val="0"/>
          <w:bCs w:val="0"/>
          <w:color w:val="auto"/>
          <w:sz w:val="24"/>
          <w:highlight w:val="none"/>
        </w:rPr>
        <w:t>物业管理区域内的绿化养护和管理；</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2.1.5</w:t>
      </w:r>
      <w:r>
        <w:rPr>
          <w:rFonts w:hint="eastAsia" w:ascii="仿宋" w:eastAsia="仿宋"/>
          <w:b w:val="0"/>
          <w:bCs w:val="0"/>
          <w:color w:val="auto"/>
          <w:sz w:val="24"/>
          <w:highlight w:val="none"/>
        </w:rPr>
        <w:t xml:space="preserve">物业管理区域内车辆（机动车和非机动车）行驶、停放及经营管理；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2.1.6</w:t>
      </w:r>
      <w:r>
        <w:rPr>
          <w:rFonts w:hint="eastAsia" w:ascii="仿宋" w:eastAsia="仿宋"/>
          <w:b w:val="0"/>
          <w:bCs w:val="0"/>
          <w:color w:val="auto"/>
          <w:sz w:val="24"/>
          <w:highlight w:val="none"/>
        </w:rPr>
        <w:t xml:space="preserve">供水、供电、供气、电信等专业单位在物业管理区域内对相关管线、设施维修养护时，进行必要的协调和管理；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2.1.7</w:t>
      </w:r>
      <w:r>
        <w:rPr>
          <w:rFonts w:hint="eastAsia" w:ascii="仿宋" w:eastAsia="仿宋"/>
          <w:b w:val="0"/>
          <w:bCs w:val="0"/>
          <w:color w:val="auto"/>
          <w:sz w:val="24"/>
          <w:highlight w:val="none"/>
        </w:rPr>
        <w:t xml:space="preserve">物业管理区域的日常安全巡查服务；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2.1.8</w:t>
      </w:r>
      <w:r>
        <w:rPr>
          <w:rFonts w:hint="eastAsia" w:ascii="仿宋" w:eastAsia="仿宋"/>
          <w:b w:val="0"/>
          <w:bCs w:val="0"/>
          <w:color w:val="auto"/>
          <w:sz w:val="24"/>
          <w:highlight w:val="none"/>
        </w:rPr>
        <w:t xml:space="preserve">物业管理区域内的巡视、检查，物业维修、更新费用的账务管理，物业档案资料的保管；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2.1.9</w:t>
      </w:r>
      <w:r>
        <w:rPr>
          <w:rFonts w:hint="eastAsia" w:ascii="仿宋" w:eastAsia="仿宋"/>
          <w:b w:val="0"/>
          <w:bCs w:val="0"/>
          <w:color w:val="auto"/>
          <w:sz w:val="24"/>
          <w:highlight w:val="none"/>
        </w:rPr>
        <w:t xml:space="preserve">物业管理区域内业主、使用人装饰、装修物业的行为管理；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2.1.10</w:t>
      </w:r>
      <w:r>
        <w:rPr>
          <w:rFonts w:hint="eastAsia" w:ascii="仿宋" w:eastAsia="仿宋"/>
          <w:b w:val="0"/>
          <w:bCs w:val="0"/>
          <w:color w:val="auto"/>
          <w:sz w:val="24"/>
          <w:highlight w:val="none"/>
        </w:rPr>
        <w:t>物业管理区域内建筑及智能化的日常维修和养护。</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2.1.11</w:t>
      </w:r>
      <w:r>
        <w:rPr>
          <w:rFonts w:hint="eastAsia" w:ascii="仿宋" w:eastAsia="仿宋"/>
          <w:b w:val="0"/>
          <w:bCs w:val="0"/>
          <w:color w:val="auto"/>
          <w:sz w:val="24"/>
          <w:highlight w:val="none"/>
        </w:rPr>
        <w:t xml:space="preserve">承接项目时，对住宅小区共用部位、共用设施设备进行认真查验，验收手续齐全。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2.1.12</w:t>
      </w:r>
      <w:r>
        <w:rPr>
          <w:rFonts w:hint="eastAsia" w:ascii="仿宋" w:eastAsia="仿宋"/>
          <w:b w:val="0"/>
          <w:bCs w:val="0"/>
          <w:color w:val="auto"/>
          <w:sz w:val="24"/>
          <w:highlight w:val="none"/>
        </w:rPr>
        <w:t xml:space="preserve">实行明码标价，服务内容、服务标准、收费项目、收费标准、24小时服务电话、投诉举报电话等在经营场所醒目位置公布。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2.1.13</w:t>
      </w:r>
      <w:r>
        <w:rPr>
          <w:rFonts w:hint="eastAsia" w:ascii="仿宋" w:eastAsia="仿宋"/>
          <w:b w:val="0"/>
          <w:bCs w:val="0"/>
          <w:color w:val="auto"/>
          <w:sz w:val="24"/>
          <w:highlight w:val="none"/>
        </w:rPr>
        <w:t>根据房屋实际使用年限，检查房屋共用部位的使用状况，需要维修，属于小修范围的，及时组织修复并有记录；属于大、中修范围的，及时编制维修计划和住房专项维修资金使用计划，向</w:t>
      </w:r>
      <w:r>
        <w:rPr>
          <w:rFonts w:hint="eastAsia" w:ascii="仿宋" w:eastAsia="仿宋"/>
          <w:b w:val="0"/>
          <w:bCs w:val="0"/>
          <w:color w:val="auto"/>
          <w:sz w:val="24"/>
          <w:highlight w:val="none"/>
          <w:lang w:val="en-US" w:eastAsia="zh-CN"/>
        </w:rPr>
        <w:t>采购人</w:t>
      </w:r>
      <w:r>
        <w:rPr>
          <w:rFonts w:hint="eastAsia" w:ascii="仿宋" w:eastAsia="仿宋"/>
          <w:b w:val="0"/>
          <w:bCs w:val="0"/>
          <w:color w:val="auto"/>
          <w:sz w:val="24"/>
          <w:highlight w:val="none"/>
        </w:rPr>
        <w:t xml:space="preserve">提出报告与建议，根据采购人决定，组织维修。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2.1.14</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需做好电梯轿厢保护工作，如由于没有保护措施导致电梯破损</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 xml:space="preserve">需承担相应的责任。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2.1.15</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需做好小区出入口门禁系统管理工作。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2.1.16</w:t>
      </w:r>
      <w:r>
        <w:rPr>
          <w:rFonts w:hint="eastAsia" w:ascii="仿宋" w:eastAsia="仿宋"/>
          <w:b w:val="0"/>
          <w:bCs w:val="0"/>
          <w:color w:val="auto"/>
          <w:sz w:val="24"/>
          <w:highlight w:val="none"/>
        </w:rPr>
        <w:t>根据采购人要求需要</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 xml:space="preserve">积极配合的其他工作。 </w:t>
      </w:r>
    </w:p>
    <w:p>
      <w:pPr>
        <w:widowControl/>
        <w:snapToGrid w:val="0"/>
        <w:spacing w:line="480" w:lineRule="exact"/>
        <w:rPr>
          <w:rFonts w:hint="eastAsia" w:ascii="仿宋" w:eastAsia="仿宋"/>
          <w:b w:val="0"/>
          <w:bCs w:val="0"/>
          <w:color w:val="auto"/>
          <w:sz w:val="24"/>
          <w:highlight w:val="none"/>
        </w:rPr>
      </w:pPr>
      <w:r>
        <w:rPr>
          <w:rFonts w:hint="eastAsia" w:ascii="仿宋" w:eastAsia="仿宋"/>
          <w:b/>
          <w:bCs/>
          <w:color w:val="auto"/>
          <w:sz w:val="24"/>
          <w:highlight w:val="none"/>
          <w:lang w:val="en-US" w:eastAsia="zh-CN"/>
        </w:rPr>
        <w:t>2.2</w:t>
      </w:r>
      <w:r>
        <w:rPr>
          <w:rFonts w:hint="eastAsia" w:ascii="仿宋" w:eastAsia="仿宋"/>
          <w:b/>
          <w:bCs/>
          <w:color w:val="auto"/>
          <w:sz w:val="24"/>
          <w:highlight w:val="none"/>
        </w:rPr>
        <w:t>具体管理规范：</w:t>
      </w:r>
      <w:r>
        <w:rPr>
          <w:rFonts w:hint="eastAsia" w:ascii="仿宋" w:eastAsia="仿宋"/>
          <w:b w:val="0"/>
          <w:bCs w:val="0"/>
          <w:color w:val="auto"/>
          <w:sz w:val="24"/>
          <w:highlight w:val="none"/>
        </w:rPr>
        <w:t xml:space="preserve"> </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2.2.1</w:t>
      </w:r>
      <w:r>
        <w:rPr>
          <w:rFonts w:hint="eastAsia" w:ascii="仿宋" w:eastAsia="仿宋"/>
          <w:b/>
          <w:bCs/>
          <w:color w:val="auto"/>
          <w:sz w:val="24"/>
          <w:highlight w:val="none"/>
        </w:rPr>
        <w:t xml:space="preserve">物业管理中心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2.2.1.1</w:t>
      </w:r>
      <w:r>
        <w:rPr>
          <w:rFonts w:hint="eastAsia" w:ascii="仿宋" w:eastAsia="仿宋"/>
          <w:b w:val="0"/>
          <w:bCs w:val="0"/>
          <w:color w:val="auto"/>
          <w:sz w:val="24"/>
          <w:highlight w:val="none"/>
        </w:rPr>
        <w:t>小区实行封闭式管理，设立物业客户服务中心</w:t>
      </w:r>
      <w:r>
        <w:rPr>
          <w:rFonts w:hint="eastAsia" w:ascii="仿宋" w:eastAsia="仿宋"/>
          <w:b w:val="0"/>
          <w:bCs w:val="0"/>
          <w:color w:val="auto"/>
          <w:sz w:val="24"/>
          <w:highlight w:val="none"/>
          <w:lang w:eastAsia="zh-CN"/>
        </w:rPr>
        <w:t>。</w:t>
      </w:r>
      <w:r>
        <w:rPr>
          <w:rFonts w:hint="eastAsia" w:ascii="仿宋" w:hAnsi="仿宋" w:eastAsia="仿宋" w:cs="仿宋"/>
          <w:color w:val="auto"/>
          <w:sz w:val="24"/>
          <w:highlight w:val="none"/>
        </w:rPr>
        <w:t>人员按标文要求及工程情况配置充足，统一着装，各岗位相关负责人需在显眼位置公示。</w:t>
      </w:r>
      <w:r>
        <w:rPr>
          <w:rFonts w:hint="eastAsia" w:ascii="仿宋" w:eastAsia="仿宋"/>
          <w:b w:val="0"/>
          <w:bCs w:val="0"/>
          <w:color w:val="auto"/>
          <w:sz w:val="24"/>
          <w:highlight w:val="none"/>
        </w:rPr>
        <w:t>基础设备配置充足，</w:t>
      </w:r>
      <w:r>
        <w:rPr>
          <w:rFonts w:hint="eastAsia" w:ascii="仿宋" w:eastAsia="仿宋"/>
          <w:b w:val="0"/>
          <w:bCs w:val="0"/>
          <w:color w:val="auto"/>
          <w:sz w:val="24"/>
          <w:highlight w:val="none"/>
          <w:lang w:val="en-US" w:eastAsia="zh-CN"/>
        </w:rPr>
        <w:t>包含在</w:t>
      </w:r>
      <w:r>
        <w:rPr>
          <w:rFonts w:hint="eastAsia" w:ascii="仿宋" w:eastAsia="仿宋"/>
          <w:b w:val="0"/>
          <w:bCs w:val="0"/>
          <w:color w:val="auto"/>
          <w:sz w:val="24"/>
          <w:highlight w:val="none"/>
        </w:rPr>
        <w:t>本次报价</w:t>
      </w:r>
      <w:r>
        <w:rPr>
          <w:rFonts w:hint="eastAsia" w:ascii="仿宋" w:eastAsia="仿宋"/>
          <w:b w:val="0"/>
          <w:bCs w:val="0"/>
          <w:color w:val="auto"/>
          <w:sz w:val="24"/>
          <w:highlight w:val="none"/>
          <w:lang w:val="en-US" w:eastAsia="zh-CN"/>
        </w:rPr>
        <w:t>中</w:t>
      </w:r>
      <w:r>
        <w:rPr>
          <w:rFonts w:hint="eastAsia" w:ascii="仿宋" w:eastAsia="仿宋"/>
          <w:b w:val="0"/>
          <w:bCs w:val="0"/>
          <w:color w:val="auto"/>
          <w:sz w:val="24"/>
          <w:highlight w:val="none"/>
        </w:rPr>
        <w:t xml:space="preserve">，包括对讲机、考勤系统等物业服务基础设备，保证正常运作。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2.2.1.2</w:t>
      </w:r>
      <w:r>
        <w:rPr>
          <w:rFonts w:hint="eastAsia" w:ascii="仿宋" w:eastAsia="仿宋"/>
          <w:b w:val="0"/>
          <w:bCs w:val="0"/>
          <w:color w:val="auto"/>
          <w:sz w:val="24"/>
          <w:highlight w:val="none"/>
        </w:rPr>
        <w:t xml:space="preserve">对其他公共设施设备定期一个月检查一次并做好相关记录，发现问题及时解决。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2.2.1.3</w:t>
      </w:r>
      <w:r>
        <w:rPr>
          <w:rFonts w:hint="eastAsia" w:ascii="仿宋" w:eastAsia="仿宋"/>
          <w:b w:val="0"/>
          <w:bCs w:val="0"/>
          <w:color w:val="auto"/>
          <w:sz w:val="24"/>
          <w:highlight w:val="none"/>
        </w:rPr>
        <w:t xml:space="preserve">制定详细合理的保安、保洁、绿化、设施设备检查养护及停车管理的工作计划及考核措施，制定投诉处理制度，制定紧急事件处置和消防安全预案，预防安全事故，并在显眼位置公示。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2.2.1.4</w:t>
      </w:r>
      <w:r>
        <w:rPr>
          <w:rFonts w:hint="eastAsia" w:ascii="仿宋" w:eastAsia="仿宋"/>
          <w:b w:val="0"/>
          <w:bCs w:val="0"/>
          <w:color w:val="auto"/>
          <w:sz w:val="24"/>
          <w:highlight w:val="none"/>
        </w:rPr>
        <w:t>小区禁止对房屋进行重新改造，住户不得改变房屋结构和现状，不得私搭乱建和擅自改变房屋用途，禁止占用公共部位擅自使用，做好日常严查和监管工作，由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监管。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2.2.1.5</w:t>
      </w:r>
      <w:r>
        <w:rPr>
          <w:rFonts w:hint="eastAsia" w:ascii="仿宋" w:eastAsia="仿宋"/>
          <w:b w:val="0"/>
          <w:bCs w:val="0"/>
          <w:color w:val="auto"/>
          <w:sz w:val="24"/>
          <w:highlight w:val="none"/>
        </w:rPr>
        <w:t>创卫、垃圾分类收集、各种接待及各种收费配合工作等采购人认为</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需要配合做好的工作，</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应无条件全力配合。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2.2.1.6</w:t>
      </w:r>
      <w:r>
        <w:rPr>
          <w:rFonts w:hint="eastAsia" w:ascii="仿宋" w:eastAsia="仿宋"/>
          <w:b w:val="0"/>
          <w:bCs w:val="0"/>
          <w:color w:val="auto"/>
          <w:sz w:val="24"/>
          <w:highlight w:val="none"/>
        </w:rPr>
        <w:t xml:space="preserve">每日巡查小区房屋单元门、楼梯通道以及其他共用部位的门窗、玻璃等，做好巡查记录，并及时维修养护。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2.2.1.7</w:t>
      </w:r>
      <w:r>
        <w:rPr>
          <w:rFonts w:hint="eastAsia" w:ascii="仿宋" w:eastAsia="仿宋"/>
          <w:b w:val="0"/>
          <w:bCs w:val="0"/>
          <w:color w:val="auto"/>
          <w:sz w:val="24"/>
          <w:highlight w:val="none"/>
        </w:rPr>
        <w:t xml:space="preserve">设备房保持整洁、通风，无跑、冒、滴、漏和鼠害现象。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2.2.1.8</w:t>
      </w:r>
      <w:r>
        <w:rPr>
          <w:rFonts w:hint="eastAsia" w:ascii="仿宋" w:eastAsia="仿宋"/>
          <w:b w:val="0"/>
          <w:bCs w:val="0"/>
          <w:color w:val="auto"/>
          <w:sz w:val="24"/>
          <w:highlight w:val="none"/>
        </w:rPr>
        <w:t xml:space="preserve">路灯、楼道灯完好率不低于95%。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2.2.1.9</w:t>
      </w:r>
      <w:r>
        <w:rPr>
          <w:rFonts w:hint="eastAsia" w:ascii="仿宋" w:eastAsia="仿宋"/>
          <w:b w:val="0"/>
          <w:bCs w:val="0"/>
          <w:color w:val="auto"/>
          <w:sz w:val="24"/>
          <w:highlight w:val="none"/>
        </w:rPr>
        <w:t xml:space="preserve">做好小区内运动健身设施和娱乐场所管理，定期组织开展健康有益的宣传和文体活动。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2.2.1.10</w:t>
      </w:r>
      <w:r>
        <w:rPr>
          <w:rFonts w:hint="eastAsia" w:ascii="仿宋" w:eastAsia="仿宋"/>
          <w:b w:val="0"/>
          <w:bCs w:val="0"/>
          <w:color w:val="auto"/>
          <w:sz w:val="24"/>
          <w:highlight w:val="none"/>
        </w:rPr>
        <w:t xml:space="preserve">配套设施、场地有明显标志。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2.2.1.11</w:t>
      </w:r>
      <w:r>
        <w:rPr>
          <w:rFonts w:hint="eastAsia" w:ascii="仿宋" w:eastAsia="仿宋"/>
          <w:b w:val="0"/>
          <w:bCs w:val="0"/>
          <w:color w:val="auto"/>
          <w:sz w:val="24"/>
          <w:highlight w:val="none"/>
        </w:rPr>
        <w:t>做好空置房管理工作，每</w:t>
      </w:r>
      <w:r>
        <w:rPr>
          <w:rFonts w:hint="eastAsia" w:ascii="仿宋" w:eastAsia="仿宋"/>
          <w:b w:val="0"/>
          <w:bCs w:val="0"/>
          <w:color w:val="auto"/>
          <w:sz w:val="24"/>
          <w:highlight w:val="none"/>
          <w:lang w:val="en-US" w:eastAsia="zh-CN"/>
        </w:rPr>
        <w:t>月</w:t>
      </w:r>
      <w:r>
        <w:rPr>
          <w:rFonts w:hint="eastAsia" w:ascii="仿宋" w:eastAsia="仿宋"/>
          <w:b w:val="0"/>
          <w:bCs w:val="0"/>
          <w:color w:val="auto"/>
          <w:sz w:val="24"/>
          <w:highlight w:val="none"/>
        </w:rPr>
        <w:t xml:space="preserve">巡查一遍，并做好巡查记录，杜绝擅自闯入使用及电线偷盗等安全事故。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2.2.1.12</w:t>
      </w:r>
      <w:r>
        <w:rPr>
          <w:rFonts w:hint="eastAsia" w:ascii="仿宋" w:eastAsia="仿宋"/>
          <w:b w:val="0"/>
          <w:bCs w:val="0"/>
          <w:color w:val="auto"/>
          <w:sz w:val="24"/>
          <w:highlight w:val="none"/>
        </w:rPr>
        <w:t xml:space="preserve">做好社区用房、车棚车库、配电房等各类配套用房的日常管理和养护工作。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2.2.1.13</w:t>
      </w:r>
      <w:r>
        <w:rPr>
          <w:rFonts w:hint="eastAsia" w:ascii="仿宋" w:eastAsia="仿宋"/>
          <w:b w:val="0"/>
          <w:bCs w:val="0"/>
          <w:color w:val="auto"/>
          <w:sz w:val="24"/>
          <w:highlight w:val="none"/>
        </w:rPr>
        <w:t xml:space="preserve">加强道路维修与养护，保持道路畅通，路面平坦整齐，排水畅通；停车场内设施完好，符合停车规范要求。 </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2.2.2</w:t>
      </w:r>
      <w:r>
        <w:rPr>
          <w:rFonts w:hint="eastAsia" w:ascii="仿宋" w:eastAsia="仿宋"/>
          <w:b/>
          <w:bCs/>
          <w:color w:val="auto"/>
          <w:sz w:val="24"/>
          <w:highlight w:val="none"/>
        </w:rPr>
        <w:t>保安管理</w:t>
      </w:r>
      <w:r>
        <w:rPr>
          <w:rFonts w:hint="eastAsia" w:ascii="仿宋" w:eastAsia="仿宋"/>
          <w:b/>
          <w:bCs/>
          <w:color w:val="auto"/>
          <w:sz w:val="24"/>
          <w:highlight w:val="none"/>
          <w:lang w:val="en-US" w:eastAsia="zh-CN"/>
        </w:rPr>
        <w:t>规范</w:t>
      </w:r>
      <w:r>
        <w:rPr>
          <w:rFonts w:hint="eastAsia" w:ascii="仿宋" w:eastAsia="仿宋"/>
          <w:b/>
          <w:bCs/>
          <w:color w:val="auto"/>
          <w:sz w:val="24"/>
          <w:highlight w:val="none"/>
        </w:rPr>
        <w:t xml:space="preserve">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2.2.2.1</w:t>
      </w:r>
      <w:r>
        <w:rPr>
          <w:rFonts w:hint="eastAsia" w:ascii="仿宋" w:eastAsia="仿宋"/>
          <w:b w:val="0"/>
          <w:bCs w:val="0"/>
          <w:color w:val="auto"/>
          <w:sz w:val="24"/>
          <w:highlight w:val="none"/>
        </w:rPr>
        <w:t xml:space="preserve">做好出入口人员进出管理工作，临时进出人员需登记去向，禁止吆喝、发广告等无关人员进入小区。 </w:t>
      </w:r>
    </w:p>
    <w:p>
      <w:pPr>
        <w:widowControl/>
        <w:snapToGrid w:val="0"/>
        <w:spacing w:line="480" w:lineRule="exact"/>
        <w:rPr>
          <w:rFonts w:hint="eastAsia" w:ascii="仿宋" w:eastAsia="仿宋"/>
          <w:b w:val="0"/>
          <w:bCs w:val="0"/>
          <w:color w:val="auto"/>
          <w:sz w:val="24"/>
          <w:highlight w:val="none"/>
          <w:lang w:val="en-US" w:eastAsia="zh-CN"/>
        </w:rPr>
      </w:pPr>
      <w:r>
        <w:rPr>
          <w:rFonts w:hint="eastAsia" w:ascii="仿宋" w:eastAsia="仿宋"/>
          <w:b w:val="0"/>
          <w:bCs w:val="0"/>
          <w:color w:val="auto"/>
          <w:sz w:val="24"/>
          <w:highlight w:val="none"/>
          <w:lang w:val="en-US" w:eastAsia="zh-CN"/>
        </w:rPr>
        <w:t>2.2.2.2对进出小区的车辆实施证、卡管理，做好出入车辆管理登记，保持出入口进出有序、畅通。</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2.2.2.3及时关闭打开的单元门，注意对商业用房周边的巡逻和地上、地下安全死</w:t>
      </w:r>
      <w:r>
        <w:rPr>
          <w:rFonts w:hint="eastAsia" w:ascii="仿宋" w:eastAsia="仿宋"/>
          <w:b w:val="0"/>
          <w:bCs w:val="0"/>
          <w:color w:val="auto"/>
          <w:sz w:val="24"/>
          <w:highlight w:val="none"/>
        </w:rPr>
        <w:t>角的巡逻，采取其他必要的防盗措施，做好巡逻记录。</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2.2.2.4</w:t>
      </w:r>
      <w:r>
        <w:rPr>
          <w:rFonts w:hint="eastAsia" w:ascii="仿宋" w:eastAsia="仿宋"/>
          <w:b w:val="0"/>
          <w:bCs w:val="0"/>
          <w:color w:val="auto"/>
          <w:sz w:val="24"/>
          <w:highlight w:val="none"/>
        </w:rPr>
        <w:t xml:space="preserve">小区实行人车分流管理，保证地上、地下车辆的有序停放，确保道路及消防通道的畅通。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2.2.2.5</w:t>
      </w:r>
      <w:r>
        <w:rPr>
          <w:rFonts w:hint="eastAsia" w:ascii="仿宋" w:eastAsia="仿宋"/>
          <w:b w:val="0"/>
          <w:bCs w:val="0"/>
          <w:color w:val="auto"/>
          <w:sz w:val="24"/>
          <w:highlight w:val="none"/>
        </w:rPr>
        <w:t xml:space="preserve">采用“人防”和“技防”相结合的模式，协助公安机关做好小区内的治安方防盗工作，关注防盗死角并采取必要合理的防范措施，避免偷盗事故的发生。 </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2.2.3</w:t>
      </w:r>
      <w:r>
        <w:rPr>
          <w:rFonts w:hint="eastAsia" w:ascii="仿宋" w:eastAsia="仿宋"/>
          <w:b/>
          <w:bCs/>
          <w:color w:val="auto"/>
          <w:sz w:val="24"/>
          <w:highlight w:val="none"/>
        </w:rPr>
        <w:t xml:space="preserve">保洁管理规范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2.2.3.1</w:t>
      </w:r>
      <w:r>
        <w:rPr>
          <w:rFonts w:hint="eastAsia" w:ascii="仿宋" w:eastAsia="仿宋"/>
          <w:b w:val="0"/>
          <w:bCs w:val="0"/>
          <w:color w:val="auto"/>
          <w:sz w:val="24"/>
          <w:highlight w:val="none"/>
        </w:rPr>
        <w:t>合理配置人员</w:t>
      </w:r>
      <w:r>
        <w:rPr>
          <w:rFonts w:hint="eastAsia" w:ascii="仿宋" w:eastAsia="仿宋"/>
          <w:b w:val="0"/>
          <w:bCs w:val="0"/>
          <w:color w:val="auto"/>
          <w:sz w:val="24"/>
          <w:highlight w:val="none"/>
          <w:lang w:eastAsia="zh-CN"/>
        </w:rPr>
        <w:t>，</w:t>
      </w:r>
      <w:r>
        <w:rPr>
          <w:rFonts w:hint="eastAsia" w:ascii="仿宋" w:eastAsia="仿宋"/>
          <w:b w:val="0"/>
          <w:bCs w:val="0"/>
          <w:color w:val="auto"/>
          <w:sz w:val="24"/>
          <w:highlight w:val="none"/>
        </w:rPr>
        <w:t xml:space="preserve">各保洁员对所负责区域的公共环境卫生分上午和下午各统一清扫一次，其余时间实行长效保洁，保证垃圾入桶和垃圾桶清洁，保证绿化带无白色垃圾。保洁公共区域包括：商业用房前公共区域、门岗、地上地下停车场、自行车棚、住宅各层公共门厅和走廊、一楼外墙、电梯、公共楼梯、每幢房屋周边公共区域和绿化地带、社区用房及其他公共配套用房等小区所在范围内的所有公共部位。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2.2.3.2</w:t>
      </w:r>
      <w:r>
        <w:rPr>
          <w:rFonts w:hint="eastAsia" w:ascii="仿宋" w:eastAsia="仿宋"/>
          <w:b w:val="0"/>
          <w:bCs w:val="0"/>
          <w:color w:val="auto"/>
          <w:sz w:val="24"/>
          <w:highlight w:val="none"/>
        </w:rPr>
        <w:t>商业用房前公共区域及小区内每个单元出入口需配置合理数量的生活垃圾桶（每只楼道口放一只垃圾桶，公共部位适当放置），垃圾袋装化，生活垃圾日产日清，每日清运不少于2次，垃圾桶由</w:t>
      </w:r>
      <w:r>
        <w:rPr>
          <w:rFonts w:hint="eastAsia" w:ascii="仿宋" w:eastAsia="仿宋"/>
          <w:b w:val="0"/>
          <w:bCs w:val="0"/>
          <w:color w:val="auto"/>
          <w:sz w:val="24"/>
          <w:highlight w:val="none"/>
          <w:lang w:val="en-US" w:eastAsia="zh-CN"/>
        </w:rPr>
        <w:t>供应商提供</w:t>
      </w:r>
      <w:r>
        <w:rPr>
          <w:rFonts w:hint="eastAsia" w:ascii="仿宋" w:eastAsia="仿宋"/>
          <w:b w:val="0"/>
          <w:bCs w:val="0"/>
          <w:color w:val="auto"/>
          <w:sz w:val="24"/>
          <w:highlight w:val="none"/>
        </w:rPr>
        <w:t xml:space="preserve">。建筑垃圾和植物垃圾定点堆放，每5天清运一次。每周清洗一次垃圾库房、果壳箱、垃圾桶及其周围区域，保持垃圾入库入桶，并做好垃圾分类工作。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2.2.3.3</w:t>
      </w:r>
      <w:r>
        <w:rPr>
          <w:rFonts w:hint="eastAsia" w:ascii="仿宋" w:eastAsia="仿宋"/>
          <w:b w:val="0"/>
          <w:bCs w:val="0"/>
          <w:color w:val="auto"/>
          <w:sz w:val="24"/>
          <w:highlight w:val="none"/>
        </w:rPr>
        <w:t xml:space="preserve">小区道路、广场、停车场、绿地、商业用房前等公共场所每日清扫2次；电梯厅、楼道每日清扫2次，每周拖洗1次；一层共用大厅每日拖洗1次；楼梯扶手每日擦洗1次；共用部位玻璃每周清洁1次；路灯、楼道灯每月清洁1次。及时清除道路积水、积雪。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2.2.3.4</w:t>
      </w:r>
      <w:r>
        <w:rPr>
          <w:rFonts w:hint="eastAsia" w:ascii="仿宋" w:eastAsia="仿宋"/>
          <w:b w:val="0"/>
          <w:bCs w:val="0"/>
          <w:color w:val="auto"/>
          <w:sz w:val="24"/>
          <w:highlight w:val="none"/>
        </w:rPr>
        <w:t xml:space="preserve">公共区域的堆积物每周清理一次，让住户养成公共区域不随意堆放物品的良好习惯。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2.2.3.5</w:t>
      </w:r>
      <w:r>
        <w:rPr>
          <w:rFonts w:hint="eastAsia" w:ascii="仿宋" w:eastAsia="仿宋"/>
          <w:b w:val="0"/>
          <w:bCs w:val="0"/>
          <w:color w:val="auto"/>
          <w:sz w:val="24"/>
          <w:highlight w:val="none"/>
        </w:rPr>
        <w:t xml:space="preserve">公共信报箱、宣传栏、告示牌、指示牌等公告宣传物品每月清洁一次。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2.2.3.6</w:t>
      </w:r>
      <w:r>
        <w:rPr>
          <w:rFonts w:hint="eastAsia" w:ascii="仿宋" w:eastAsia="仿宋"/>
          <w:b w:val="0"/>
          <w:bCs w:val="0"/>
          <w:color w:val="auto"/>
          <w:sz w:val="24"/>
          <w:highlight w:val="none"/>
        </w:rPr>
        <w:t xml:space="preserve">屋顶杂物，公共水箱每季度清理一次，保持屋顶排水通畅。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2.2.3.7</w:t>
      </w:r>
      <w:r>
        <w:rPr>
          <w:rFonts w:hint="eastAsia" w:ascii="仿宋" w:eastAsia="仿宋"/>
          <w:b w:val="0"/>
          <w:bCs w:val="0"/>
          <w:color w:val="auto"/>
          <w:sz w:val="24"/>
          <w:highlight w:val="none"/>
        </w:rPr>
        <w:t xml:space="preserve">各公共部位清洁，需保质保量，保证无蜘蛛网、无积灰。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2.2.3.8</w:t>
      </w:r>
      <w:r>
        <w:rPr>
          <w:rFonts w:hint="eastAsia" w:ascii="仿宋" w:eastAsia="仿宋"/>
          <w:b w:val="0"/>
          <w:bCs w:val="0"/>
          <w:color w:val="auto"/>
          <w:sz w:val="24"/>
          <w:highlight w:val="none"/>
        </w:rPr>
        <w:t xml:space="preserve">地上、地下公共区域的卫生死角每季度清理一次，保证无堆积、无积灰、无蜘蛛网等卫生问题。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2.2.3.9</w:t>
      </w:r>
      <w:r>
        <w:rPr>
          <w:rFonts w:hint="eastAsia" w:ascii="仿宋" w:eastAsia="仿宋"/>
          <w:b w:val="0"/>
          <w:bCs w:val="0"/>
          <w:color w:val="auto"/>
          <w:sz w:val="24"/>
          <w:highlight w:val="none"/>
        </w:rPr>
        <w:t>配合所在社区做好创卫各项工作，定期除四害，达到考核标准。</w:t>
      </w:r>
    </w:p>
    <w:p>
      <w:pPr>
        <w:widowControl/>
        <w:snapToGrid w:val="0"/>
        <w:spacing w:line="480" w:lineRule="exact"/>
        <w:rPr>
          <w:rFonts w:hint="eastAsia" w:ascii="仿宋" w:eastAsia="仿宋"/>
          <w:b w:val="0"/>
          <w:bCs w:val="0"/>
          <w:color w:val="auto"/>
          <w:sz w:val="24"/>
          <w:highlight w:val="none"/>
        </w:rPr>
      </w:pPr>
      <w:r>
        <w:rPr>
          <w:rFonts w:hint="eastAsia" w:ascii="仿宋" w:eastAsia="仿宋"/>
          <w:b/>
          <w:bCs/>
          <w:color w:val="auto"/>
          <w:sz w:val="24"/>
          <w:highlight w:val="none"/>
          <w:lang w:val="en-US" w:eastAsia="zh-CN"/>
        </w:rPr>
        <w:t>2.2.4</w:t>
      </w:r>
      <w:r>
        <w:rPr>
          <w:rFonts w:hint="eastAsia" w:ascii="仿宋" w:eastAsia="仿宋"/>
          <w:b/>
          <w:bCs/>
          <w:color w:val="auto"/>
          <w:sz w:val="24"/>
          <w:highlight w:val="none"/>
        </w:rPr>
        <w:t>绿化管理规范（绿化竣工验收后的保质期内由施工单位负责）。</w:t>
      </w:r>
      <w:r>
        <w:rPr>
          <w:rFonts w:hint="eastAsia" w:ascii="仿宋" w:eastAsia="仿宋"/>
          <w:b w:val="0"/>
          <w:bCs w:val="0"/>
          <w:color w:val="auto"/>
          <w:sz w:val="24"/>
          <w:highlight w:val="none"/>
        </w:rPr>
        <w:t xml:space="preserve">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2.2.4.1</w:t>
      </w:r>
      <w:r>
        <w:rPr>
          <w:rFonts w:hint="eastAsia" w:ascii="仿宋" w:eastAsia="仿宋"/>
          <w:b w:val="0"/>
          <w:bCs w:val="0"/>
          <w:color w:val="auto"/>
          <w:sz w:val="24"/>
          <w:highlight w:val="none"/>
        </w:rPr>
        <w:t>设置专业绿化员实施公共绿化管理，按植物绿化生长规律定期修剪树木、花卉、绿篱、灌木和草坪，一年不少于三次，保持观赏效果。按季节规律浇水施肥，一年不少于一次，保证绿化存活率达到95%，发现枯死植物立即清除补种，费用由</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 xml:space="preserve">承担。定期喷洒药物，预防病虫害，做好防涝、防冻工作。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2.2.4.2</w:t>
      </w:r>
      <w:r>
        <w:rPr>
          <w:rFonts w:hint="eastAsia" w:ascii="仿宋" w:eastAsia="仿宋"/>
          <w:b w:val="0"/>
          <w:bCs w:val="0"/>
          <w:color w:val="auto"/>
          <w:sz w:val="24"/>
          <w:highlight w:val="none"/>
        </w:rPr>
        <w:t xml:space="preserve">公共绿化带杂草每季度清除一次，保证草坪和其他植物正常生长。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2.2.4.3</w:t>
      </w:r>
      <w:r>
        <w:rPr>
          <w:rFonts w:hint="eastAsia" w:ascii="仿宋" w:eastAsia="仿宋"/>
          <w:b w:val="0"/>
          <w:bCs w:val="0"/>
          <w:color w:val="auto"/>
          <w:sz w:val="24"/>
          <w:highlight w:val="none"/>
        </w:rPr>
        <w:t xml:space="preserve">保持绿化带清洁卫生，每一季度清理一次枯枝落叶，长效保洁。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2.2.4.4</w:t>
      </w:r>
      <w:r>
        <w:rPr>
          <w:rFonts w:hint="eastAsia" w:ascii="仿宋" w:eastAsia="仿宋"/>
          <w:b w:val="0"/>
          <w:bCs w:val="0"/>
          <w:color w:val="auto"/>
          <w:sz w:val="24"/>
          <w:highlight w:val="none"/>
        </w:rPr>
        <w:t xml:space="preserve">公共绿化带禁止私人种植和堆放杂物，无践踏折损及占用现象。 </w:t>
      </w:r>
    </w:p>
    <w:p>
      <w:pPr>
        <w:widowControl/>
        <w:snapToGrid w:val="0"/>
        <w:spacing w:line="480" w:lineRule="exact"/>
        <w:rPr>
          <w:rFonts w:hint="eastAsia" w:ascii="仿宋" w:eastAsia="仿宋"/>
          <w:b/>
          <w:bCs/>
          <w:color w:val="auto"/>
          <w:sz w:val="24"/>
          <w:highlight w:val="none"/>
          <w:lang w:eastAsia="zh-CN"/>
        </w:rPr>
      </w:pPr>
      <w:r>
        <w:rPr>
          <w:rFonts w:hint="eastAsia" w:ascii="仿宋" w:eastAsia="仿宋"/>
          <w:b/>
          <w:bCs/>
          <w:color w:val="auto"/>
          <w:sz w:val="24"/>
          <w:highlight w:val="none"/>
          <w:lang w:val="en-US" w:eastAsia="zh-CN"/>
        </w:rPr>
        <w:t>2.2.5</w:t>
      </w:r>
      <w:r>
        <w:rPr>
          <w:rFonts w:hint="eastAsia" w:ascii="仿宋" w:eastAsia="仿宋"/>
          <w:b/>
          <w:bCs/>
          <w:color w:val="auto"/>
          <w:sz w:val="24"/>
          <w:highlight w:val="none"/>
        </w:rPr>
        <w:t>公共设施设备管理</w:t>
      </w:r>
      <w:r>
        <w:rPr>
          <w:rFonts w:hint="eastAsia" w:ascii="仿宋" w:eastAsia="仿宋"/>
          <w:b/>
          <w:bCs/>
          <w:color w:val="auto"/>
          <w:sz w:val="24"/>
          <w:highlight w:val="none"/>
          <w:lang w:val="en-US" w:eastAsia="zh-CN"/>
        </w:rPr>
        <w:t>规范</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2.2.5.1</w:t>
      </w:r>
      <w:r>
        <w:rPr>
          <w:rFonts w:hint="eastAsia" w:ascii="仿宋" w:eastAsia="仿宋"/>
          <w:b w:val="0"/>
          <w:bCs w:val="0"/>
          <w:color w:val="auto"/>
          <w:sz w:val="24"/>
          <w:highlight w:val="none"/>
        </w:rPr>
        <w:t xml:space="preserve">安排消控室、监控室24小时值班工作，动态监控小区情况，发现问题及时联系场地保安处置。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2.2.5.2</w:t>
      </w:r>
      <w:r>
        <w:rPr>
          <w:rFonts w:hint="eastAsia" w:ascii="仿宋" w:eastAsia="仿宋"/>
          <w:b w:val="0"/>
          <w:bCs w:val="0"/>
          <w:color w:val="auto"/>
          <w:sz w:val="24"/>
          <w:highlight w:val="none"/>
        </w:rPr>
        <w:t>合理配置公共设施设备</w:t>
      </w:r>
      <w:r>
        <w:rPr>
          <w:rFonts w:hint="eastAsia" w:ascii="仿宋" w:eastAsia="仿宋"/>
          <w:b w:val="0"/>
          <w:bCs w:val="0"/>
          <w:color w:val="auto"/>
          <w:sz w:val="24"/>
          <w:highlight w:val="none"/>
          <w:lang w:val="en-US" w:eastAsia="zh-CN"/>
        </w:rPr>
        <w:t>工程</w:t>
      </w:r>
      <w:r>
        <w:rPr>
          <w:rFonts w:hint="eastAsia" w:ascii="仿宋" w:eastAsia="仿宋"/>
          <w:b w:val="0"/>
          <w:bCs w:val="0"/>
          <w:color w:val="auto"/>
          <w:sz w:val="24"/>
          <w:highlight w:val="none"/>
        </w:rPr>
        <w:t xml:space="preserve">员，重视电梯管理，按时年检，宣传禁止事项，按电梯维保规范制定合理的维修、养护管理计划。水电设施等各公共设施设备每月检查和测试一次，保证正常运转，并做好记录。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2.2.5.3</w:t>
      </w:r>
      <w:r>
        <w:rPr>
          <w:rFonts w:hint="eastAsia" w:ascii="仿宋" w:eastAsia="仿宋"/>
          <w:b w:val="0"/>
          <w:bCs w:val="0"/>
          <w:color w:val="auto"/>
          <w:sz w:val="24"/>
          <w:highlight w:val="none"/>
        </w:rPr>
        <w:t xml:space="preserve">合理安排配电房的24小时高配电工值班工作，保证正常运转，紧急事件5分钟内到场处理，并做好记录。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2.2.5.4</w:t>
      </w:r>
      <w:r>
        <w:rPr>
          <w:rFonts w:hint="eastAsia" w:ascii="仿宋" w:eastAsia="仿宋"/>
          <w:b w:val="0"/>
          <w:bCs w:val="0"/>
          <w:color w:val="auto"/>
          <w:sz w:val="24"/>
          <w:highlight w:val="none"/>
        </w:rPr>
        <w:t xml:space="preserve">做好公共用水、用电设施的日常巡查工作，楼道灯和分配器更换需及时，小修或接到维修通知时应及时到达维修现场（日间20分钟到达，夜间1小时到达），并做好报修、维修和回访记录。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2.2.5.5</w:t>
      </w:r>
      <w:r>
        <w:rPr>
          <w:rFonts w:hint="eastAsia" w:ascii="仿宋" w:eastAsia="仿宋"/>
          <w:b w:val="0"/>
          <w:bCs w:val="0"/>
          <w:color w:val="auto"/>
          <w:sz w:val="24"/>
          <w:highlight w:val="none"/>
        </w:rPr>
        <w:t>雨、污水井每月检查1次，视检查情况及时清掏；化粪池每月检查1次，每半年清掏1次，发现异常及时清掏。化粪池、隔油池清理费用由</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 xml:space="preserve">负责。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2.2.5.6</w:t>
      </w:r>
      <w:r>
        <w:rPr>
          <w:rFonts w:hint="eastAsia" w:ascii="仿宋" w:eastAsia="仿宋"/>
          <w:b w:val="0"/>
          <w:bCs w:val="0"/>
          <w:color w:val="auto"/>
          <w:sz w:val="24"/>
          <w:highlight w:val="none"/>
        </w:rPr>
        <w:t>项目照明灯具、开关等设施按国家规范已验收后的保修期由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负责。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2.2.5.7</w:t>
      </w:r>
      <w:r>
        <w:rPr>
          <w:rFonts w:hint="eastAsia" w:ascii="仿宋" w:eastAsia="仿宋"/>
          <w:b w:val="0"/>
          <w:bCs w:val="0"/>
          <w:color w:val="auto"/>
          <w:sz w:val="24"/>
          <w:highlight w:val="none"/>
        </w:rPr>
        <w:t>电梯、水泵等公共设施设备保修期后的维修、保养和检测费用，小修、日常维修、保养由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负责，中、大修由采购人和</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共同确定维修方案，费用按实结算由采购人负责。电梯检测费用纳入本次报价，由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负责。</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2.2.6</w:t>
      </w:r>
      <w:r>
        <w:rPr>
          <w:rFonts w:hint="eastAsia" w:ascii="仿宋" w:eastAsia="仿宋"/>
          <w:b/>
          <w:bCs/>
          <w:color w:val="auto"/>
          <w:sz w:val="24"/>
          <w:highlight w:val="none"/>
        </w:rPr>
        <w:t xml:space="preserve">消防等紧急事件管理规范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2.2.6.1</w:t>
      </w:r>
      <w:r>
        <w:rPr>
          <w:rFonts w:hint="eastAsia" w:ascii="仿宋" w:eastAsia="仿宋"/>
          <w:b w:val="0"/>
          <w:bCs w:val="0"/>
          <w:color w:val="auto"/>
          <w:sz w:val="24"/>
          <w:highlight w:val="none"/>
        </w:rPr>
        <w:t xml:space="preserve">制定合理规范的紧急预案和消防安全预案，保持相关标识标牌只是的清晰明确，消防设施设备可随时启用，保证消防通道畅通。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2.2.6.2</w:t>
      </w:r>
      <w:r>
        <w:rPr>
          <w:rFonts w:hint="eastAsia" w:ascii="仿宋" w:eastAsia="仿宋"/>
          <w:b w:val="0"/>
          <w:bCs w:val="0"/>
          <w:color w:val="auto"/>
          <w:sz w:val="24"/>
          <w:highlight w:val="none"/>
        </w:rPr>
        <w:t>成立义务消防队，由</w:t>
      </w:r>
      <w:r>
        <w:rPr>
          <w:rFonts w:hint="eastAsia" w:ascii="仿宋" w:eastAsia="仿宋"/>
          <w:b w:val="0"/>
          <w:bCs w:val="0"/>
          <w:color w:val="auto"/>
          <w:sz w:val="24"/>
          <w:highlight w:val="none"/>
          <w:lang w:val="en-US" w:eastAsia="zh-CN"/>
        </w:rPr>
        <w:t>物业工作人员</w:t>
      </w:r>
      <w:r>
        <w:rPr>
          <w:rFonts w:hint="eastAsia" w:ascii="仿宋" w:eastAsia="仿宋"/>
          <w:b w:val="0"/>
          <w:bCs w:val="0"/>
          <w:color w:val="auto"/>
          <w:sz w:val="24"/>
          <w:highlight w:val="none"/>
        </w:rPr>
        <w:t xml:space="preserve">组成，定期培训消防用具的基本使用方法和基本的安全疏散常识。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2.2.6.3</w:t>
      </w:r>
      <w:r>
        <w:rPr>
          <w:rFonts w:hint="eastAsia" w:ascii="仿宋" w:eastAsia="仿宋"/>
          <w:b w:val="0"/>
          <w:bCs w:val="0"/>
          <w:color w:val="auto"/>
          <w:sz w:val="24"/>
          <w:highlight w:val="none"/>
        </w:rPr>
        <w:t xml:space="preserve">容易危及人身安全的设施设备有明显警示标志，制定防范措施。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2.2.6.4</w:t>
      </w:r>
      <w:r>
        <w:rPr>
          <w:rFonts w:hint="eastAsia" w:ascii="仿宋" w:eastAsia="仿宋"/>
          <w:b w:val="0"/>
          <w:bCs w:val="0"/>
          <w:color w:val="auto"/>
          <w:sz w:val="24"/>
          <w:highlight w:val="none"/>
        </w:rPr>
        <w:t>发生火灾、治安、公共卫生等突发紧急事件时及时报告</w:t>
      </w:r>
      <w:r>
        <w:rPr>
          <w:rFonts w:hint="eastAsia" w:ascii="仿宋" w:eastAsia="仿宋"/>
          <w:b w:val="0"/>
          <w:bCs w:val="0"/>
          <w:color w:val="auto"/>
          <w:sz w:val="24"/>
          <w:highlight w:val="none"/>
          <w:lang w:val="en-US" w:eastAsia="zh-CN"/>
        </w:rPr>
        <w:t>采购人</w:t>
      </w:r>
      <w:r>
        <w:rPr>
          <w:rFonts w:hint="eastAsia" w:ascii="仿宋" w:eastAsia="仿宋"/>
          <w:b w:val="0"/>
          <w:bCs w:val="0"/>
          <w:color w:val="auto"/>
          <w:sz w:val="24"/>
          <w:highlight w:val="none"/>
        </w:rPr>
        <w:t xml:space="preserve">和有关部门，并协助采取相应措施。 </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2.2.7</w:t>
      </w:r>
      <w:r>
        <w:rPr>
          <w:rFonts w:hint="eastAsia" w:ascii="仿宋" w:eastAsia="仿宋"/>
          <w:b/>
          <w:bCs/>
          <w:color w:val="auto"/>
          <w:sz w:val="24"/>
          <w:highlight w:val="none"/>
        </w:rPr>
        <w:t xml:space="preserve">档案管理规范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2.2.7.1</w:t>
      </w:r>
      <w:r>
        <w:rPr>
          <w:rFonts w:hint="eastAsia" w:ascii="仿宋" w:eastAsia="仿宋"/>
          <w:b w:val="0"/>
          <w:bCs w:val="0"/>
          <w:color w:val="auto"/>
          <w:sz w:val="24"/>
          <w:highlight w:val="none"/>
        </w:rPr>
        <w:t xml:space="preserve">建立基本房屋档案，记录住户相关基本信息和入住、退出时间。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2.2.7.2</w:t>
      </w:r>
      <w:r>
        <w:rPr>
          <w:rFonts w:hint="eastAsia" w:ascii="仿宋" w:eastAsia="仿宋"/>
          <w:b w:val="0"/>
          <w:bCs w:val="0"/>
          <w:color w:val="auto"/>
          <w:sz w:val="24"/>
          <w:highlight w:val="none"/>
        </w:rPr>
        <w:t xml:space="preserve">管理人员及各岗位负责人要有详细的工作和巡查记录并及时归档。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2.2.7.3</w:t>
      </w:r>
      <w:r>
        <w:rPr>
          <w:rFonts w:hint="eastAsia" w:ascii="仿宋" w:eastAsia="仿宋"/>
          <w:b w:val="0"/>
          <w:bCs w:val="0"/>
          <w:color w:val="auto"/>
          <w:sz w:val="24"/>
          <w:highlight w:val="none"/>
        </w:rPr>
        <w:t xml:space="preserve">建立共用设施设备档案(设备台账)，设施设备的运行、检修、保养等记录齐全，存放有序，查阅方便。 </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2.2.8</w:t>
      </w:r>
      <w:r>
        <w:rPr>
          <w:rFonts w:hint="eastAsia" w:ascii="仿宋" w:eastAsia="仿宋"/>
          <w:b/>
          <w:bCs/>
          <w:color w:val="auto"/>
          <w:sz w:val="24"/>
          <w:highlight w:val="none"/>
        </w:rPr>
        <w:t xml:space="preserve">节能降耗管理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 xml:space="preserve">严格执行采购人的节能降耗规定，制定具体的节能降耗措施和指标，减少各种能耗开支。 </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2.2.9</w:t>
      </w:r>
      <w:r>
        <w:rPr>
          <w:rFonts w:hint="eastAsia" w:ascii="仿宋" w:eastAsia="仿宋"/>
          <w:b/>
          <w:bCs/>
          <w:color w:val="auto"/>
          <w:sz w:val="24"/>
          <w:highlight w:val="none"/>
        </w:rPr>
        <w:t xml:space="preserve">沿街商业用房管理规范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2.2.9.1</w:t>
      </w:r>
      <w:r>
        <w:rPr>
          <w:rFonts w:hint="eastAsia" w:ascii="仿宋" w:eastAsia="仿宋"/>
          <w:b w:val="0"/>
          <w:bCs w:val="0"/>
          <w:color w:val="auto"/>
          <w:sz w:val="24"/>
          <w:highlight w:val="none"/>
        </w:rPr>
        <w:t>商业用房门前公共区域环境卫生由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负责，保持长效清洁。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2.2.9.2</w:t>
      </w:r>
      <w:r>
        <w:rPr>
          <w:rFonts w:hint="eastAsia" w:ascii="仿宋" w:eastAsia="仿宋"/>
          <w:b w:val="0"/>
          <w:bCs w:val="0"/>
          <w:color w:val="auto"/>
          <w:sz w:val="24"/>
          <w:highlight w:val="none"/>
        </w:rPr>
        <w:t xml:space="preserve">禁止商业用房占用公共通道经营，保持公共通道畅通。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2.2.9.3</w:t>
      </w:r>
      <w:r>
        <w:rPr>
          <w:rFonts w:hint="eastAsia" w:ascii="仿宋" w:eastAsia="仿宋"/>
          <w:b w:val="0"/>
          <w:bCs w:val="0"/>
          <w:color w:val="auto"/>
          <w:sz w:val="24"/>
          <w:highlight w:val="none"/>
        </w:rPr>
        <w:t xml:space="preserve">商业用房装修不得改变房屋结构和破坏外墙，不得随意改变各种公共管道走向，保证安全规范经营。 </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2.2.10</w:t>
      </w:r>
      <w:r>
        <w:rPr>
          <w:rFonts w:hint="eastAsia" w:ascii="仿宋" w:eastAsia="仿宋"/>
          <w:b/>
          <w:bCs/>
          <w:color w:val="auto"/>
          <w:sz w:val="24"/>
          <w:highlight w:val="none"/>
        </w:rPr>
        <w:t xml:space="preserve">其他服务明细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2.2.10.1地下停车场车位物业费按42元/月/个的收费标准由采购人向中标人支付；拍卖或出租的车位租金由采购人收取，物业费由承租人向中标人支付；地面停车位为公共停车位，不计入报价，中标人按临时停车位向使用人收取。</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2.2.10.2</w:t>
      </w:r>
      <w:r>
        <w:rPr>
          <w:rFonts w:hint="eastAsia" w:ascii="仿宋" w:eastAsia="仿宋"/>
          <w:b w:val="0"/>
          <w:bCs w:val="0"/>
          <w:color w:val="auto"/>
          <w:sz w:val="24"/>
          <w:highlight w:val="none"/>
        </w:rPr>
        <w:t>项目公共水电费用、电梯电费等公共能耗费用由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负责，纳入本次报价。</w:t>
      </w:r>
      <w:r>
        <w:rPr>
          <w:rFonts w:hint="eastAsia" w:ascii="仿宋" w:eastAsia="仿宋"/>
          <w:b w:val="0"/>
          <w:bCs w:val="0"/>
          <w:color w:val="auto"/>
          <w:sz w:val="24"/>
          <w:highlight w:val="none"/>
          <w:lang w:val="en-US" w:eastAsia="zh-CN"/>
        </w:rPr>
        <w:t>小区</w:t>
      </w:r>
      <w:r>
        <w:rPr>
          <w:rFonts w:hint="eastAsia" w:ascii="仿宋" w:eastAsia="仿宋"/>
          <w:b w:val="0"/>
          <w:bCs w:val="0"/>
          <w:color w:val="auto"/>
          <w:sz w:val="24"/>
          <w:highlight w:val="none"/>
        </w:rPr>
        <w:t>业主装修由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负责向</w:t>
      </w:r>
      <w:r>
        <w:rPr>
          <w:rFonts w:hint="eastAsia" w:ascii="仿宋" w:eastAsia="仿宋"/>
          <w:b w:val="0"/>
          <w:bCs w:val="0"/>
          <w:color w:val="auto"/>
          <w:sz w:val="24"/>
          <w:highlight w:val="none"/>
          <w:lang w:val="en-US" w:eastAsia="zh-CN"/>
        </w:rPr>
        <w:t>小区</w:t>
      </w:r>
      <w:r>
        <w:rPr>
          <w:rFonts w:hint="eastAsia" w:ascii="仿宋" w:eastAsia="仿宋"/>
          <w:b w:val="0"/>
          <w:bCs w:val="0"/>
          <w:color w:val="auto"/>
          <w:sz w:val="24"/>
          <w:highlight w:val="none"/>
        </w:rPr>
        <w:t>业主收取装修保证金2000元，</w:t>
      </w:r>
      <w:r>
        <w:rPr>
          <w:rFonts w:hint="eastAsia" w:ascii="仿宋" w:eastAsia="仿宋"/>
          <w:b w:val="0"/>
          <w:bCs w:val="0"/>
          <w:color w:val="auto"/>
          <w:sz w:val="24"/>
          <w:highlight w:val="none"/>
          <w:lang w:val="en-US" w:eastAsia="zh-CN"/>
        </w:rPr>
        <w:t>小区</w:t>
      </w:r>
      <w:r>
        <w:rPr>
          <w:rFonts w:hint="eastAsia" w:ascii="仿宋" w:eastAsia="仿宋"/>
          <w:b w:val="0"/>
          <w:bCs w:val="0"/>
          <w:color w:val="auto"/>
          <w:sz w:val="24"/>
          <w:highlight w:val="none"/>
        </w:rPr>
        <w:t>业主装修结束一年后不产生装修纠纷，退还</w:t>
      </w:r>
      <w:r>
        <w:rPr>
          <w:rFonts w:hint="eastAsia" w:ascii="仿宋" w:eastAsia="仿宋"/>
          <w:b w:val="0"/>
          <w:bCs w:val="0"/>
          <w:color w:val="auto"/>
          <w:sz w:val="24"/>
          <w:highlight w:val="none"/>
          <w:lang w:val="en-US" w:eastAsia="zh-CN"/>
        </w:rPr>
        <w:t>小区</w:t>
      </w:r>
      <w:r>
        <w:rPr>
          <w:rFonts w:hint="eastAsia" w:ascii="仿宋" w:eastAsia="仿宋"/>
          <w:b w:val="0"/>
          <w:bCs w:val="0"/>
          <w:color w:val="auto"/>
          <w:sz w:val="24"/>
          <w:highlight w:val="none"/>
        </w:rPr>
        <w:t>业主。</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2.2.10.3</w:t>
      </w:r>
      <w:r>
        <w:rPr>
          <w:rFonts w:hint="eastAsia" w:ascii="仿宋" w:eastAsia="仿宋"/>
          <w:b w:val="0"/>
          <w:bCs w:val="0"/>
          <w:color w:val="auto"/>
          <w:sz w:val="24"/>
          <w:highlight w:val="none"/>
        </w:rPr>
        <w:t>小区生活垃圾清运费由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负责，纳入本次报价。装修过程产生的建筑垃圾清运费由</w:t>
      </w:r>
      <w:r>
        <w:rPr>
          <w:rFonts w:hint="eastAsia" w:ascii="仿宋" w:eastAsia="仿宋"/>
          <w:b w:val="0"/>
          <w:bCs w:val="0"/>
          <w:color w:val="auto"/>
          <w:sz w:val="24"/>
          <w:highlight w:val="none"/>
          <w:lang w:val="en-US" w:eastAsia="zh-CN"/>
        </w:rPr>
        <w:t>小区</w:t>
      </w:r>
      <w:r>
        <w:rPr>
          <w:rFonts w:hint="eastAsia" w:ascii="仿宋" w:eastAsia="仿宋"/>
          <w:b w:val="0"/>
          <w:bCs w:val="0"/>
          <w:color w:val="auto"/>
          <w:sz w:val="24"/>
          <w:highlight w:val="none"/>
        </w:rPr>
        <w:t>业主负责，由</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直接向</w:t>
      </w:r>
      <w:r>
        <w:rPr>
          <w:rFonts w:hint="eastAsia" w:ascii="仿宋" w:eastAsia="仿宋"/>
          <w:b w:val="0"/>
          <w:bCs w:val="0"/>
          <w:color w:val="auto"/>
          <w:sz w:val="24"/>
          <w:highlight w:val="none"/>
          <w:lang w:val="en-US" w:eastAsia="zh-CN"/>
        </w:rPr>
        <w:t>小区业主</w:t>
      </w:r>
      <w:r>
        <w:rPr>
          <w:rFonts w:hint="eastAsia" w:ascii="仿宋" w:eastAsia="仿宋"/>
          <w:b w:val="0"/>
          <w:bCs w:val="0"/>
          <w:color w:val="auto"/>
          <w:sz w:val="24"/>
          <w:highlight w:val="none"/>
        </w:rPr>
        <w:t>收取，收取标准按不超过50平米住宅300元/户，50-100平米住宅500元/户，100-150平米住宅700元/户，150平米以上住宅900元/户。</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2.2.10.4</w:t>
      </w:r>
      <w:r>
        <w:rPr>
          <w:rFonts w:hint="eastAsia" w:ascii="仿宋" w:eastAsia="仿宋"/>
          <w:b w:val="0"/>
          <w:bCs w:val="0"/>
          <w:color w:val="auto"/>
          <w:sz w:val="24"/>
          <w:highlight w:val="none"/>
        </w:rPr>
        <w:t>各工作岗位所需工作和耗材由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负责配备。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2.2.10.5</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应爱护公共财物、设施、设备，如有损坏，照价赔偿。采购人有其他重要任务时，</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需积极全力配合。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2.2.10.6</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工作人员与采购人不发生任何法律关系，但</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需根据相关法律法规规定安排工作并缴纳社会保险等一切相应费用，违法责任由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承担。</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工作人员与</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之间的劳动或劳务关系由该两方自行确立并处理，</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工作人员在上下班途中、工作、休息期间发生疾病、受伤等工伤相关事故时，所有责任由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处理和承担。</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2.2.10.7</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配合采购人以基本管理水平和住户满意度两个指标，对</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的管理现状进行检查考核，</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未按照管理内容和要求实施管理的或管理不达标的，采购人有权扣罚相应的管理费用并要求</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整改，逾期未整改的，采购人有权终止合同，由此造成对采购人的经济损失由</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 xml:space="preserve">承担赔偿责任。 </w:t>
      </w:r>
    </w:p>
    <w:p>
      <w:pPr>
        <w:widowControl/>
        <w:snapToGrid w:val="0"/>
        <w:spacing w:line="480" w:lineRule="exact"/>
        <w:rPr>
          <w:rFonts w:hint="eastAsia" w:ascii="仿宋" w:eastAsia="仿宋"/>
          <w:b w:val="0"/>
          <w:bCs w:val="0"/>
          <w:color w:val="auto"/>
          <w:sz w:val="24"/>
          <w:highlight w:val="none"/>
          <w:lang w:eastAsia="zh-CN"/>
        </w:rPr>
      </w:pPr>
      <w:r>
        <w:rPr>
          <w:rFonts w:hint="eastAsia" w:ascii="仿宋" w:eastAsia="仿宋"/>
          <w:b w:val="0"/>
          <w:bCs w:val="0"/>
          <w:color w:val="auto"/>
          <w:sz w:val="24"/>
          <w:highlight w:val="none"/>
          <w:lang w:val="en-US" w:eastAsia="zh-CN"/>
        </w:rPr>
        <w:t>2.2.10.9</w:t>
      </w:r>
      <w:r>
        <w:rPr>
          <w:rFonts w:hint="eastAsia" w:ascii="仿宋" w:eastAsia="仿宋"/>
          <w:b w:val="0"/>
          <w:bCs w:val="0"/>
          <w:color w:val="auto"/>
          <w:sz w:val="24"/>
          <w:highlight w:val="none"/>
        </w:rPr>
        <w:t>做好空置房日常管理工作</w:t>
      </w:r>
      <w:r>
        <w:rPr>
          <w:rFonts w:hint="eastAsia" w:ascii="仿宋" w:eastAsia="仿宋"/>
          <w:b w:val="0"/>
          <w:bCs w:val="0"/>
          <w:color w:val="auto"/>
          <w:sz w:val="24"/>
          <w:highlight w:val="none"/>
          <w:lang w:eastAsia="zh-CN"/>
        </w:rPr>
        <w:t>。</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2.2.10.9.1</w:t>
      </w:r>
      <w:r>
        <w:rPr>
          <w:rFonts w:hint="eastAsia" w:ascii="仿宋" w:eastAsia="仿宋"/>
          <w:b w:val="0"/>
          <w:bCs w:val="0"/>
          <w:color w:val="auto"/>
          <w:sz w:val="24"/>
          <w:highlight w:val="none"/>
        </w:rPr>
        <w:t>空置房物业管理费按中标单价向</w:t>
      </w:r>
      <w:r>
        <w:rPr>
          <w:rFonts w:hint="eastAsia" w:ascii="仿宋" w:eastAsia="仿宋"/>
          <w:b w:val="0"/>
          <w:bCs w:val="0"/>
          <w:color w:val="auto"/>
          <w:sz w:val="24"/>
          <w:highlight w:val="none"/>
          <w:lang w:val="en-US" w:eastAsia="zh-CN"/>
        </w:rPr>
        <w:t>采购人</w:t>
      </w:r>
      <w:r>
        <w:rPr>
          <w:rFonts w:hint="eastAsia" w:ascii="仿宋" w:eastAsia="仿宋"/>
          <w:b w:val="0"/>
          <w:bCs w:val="0"/>
          <w:color w:val="auto"/>
          <w:sz w:val="24"/>
          <w:highlight w:val="none"/>
        </w:rPr>
        <w:t>收取。</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2.2.10.9.2</w:t>
      </w:r>
      <w:r>
        <w:rPr>
          <w:rFonts w:hint="eastAsia" w:ascii="仿宋" w:eastAsia="仿宋"/>
          <w:b w:val="0"/>
          <w:bCs w:val="0"/>
          <w:color w:val="auto"/>
          <w:sz w:val="24"/>
          <w:highlight w:val="none"/>
        </w:rPr>
        <w:t>陆续交房的，</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凭相关部门出具的交房联系单（需有采购人认可）方可进行交房。空关房费用结算以交房联系单出具当月止。车位费用以签订车位租赁协议当月止。</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2.2.10.9.3</w:t>
      </w:r>
      <w:r>
        <w:rPr>
          <w:rFonts w:hint="eastAsia" w:ascii="仿宋" w:eastAsia="仿宋"/>
          <w:b w:val="0"/>
          <w:bCs w:val="0"/>
          <w:color w:val="auto"/>
          <w:sz w:val="24"/>
          <w:highlight w:val="none"/>
        </w:rPr>
        <w:t>因</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管理不善，致使空关房被侵占、投诉或造成严重不良影响及国有资产流失的，应由</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给</w:t>
      </w:r>
      <w:r>
        <w:rPr>
          <w:rFonts w:hint="eastAsia" w:ascii="仿宋" w:eastAsia="仿宋"/>
          <w:b w:val="0"/>
          <w:bCs w:val="0"/>
          <w:color w:val="auto"/>
          <w:sz w:val="24"/>
          <w:highlight w:val="none"/>
          <w:lang w:val="en-US" w:eastAsia="zh-CN"/>
        </w:rPr>
        <w:t>采购人</w:t>
      </w:r>
      <w:r>
        <w:rPr>
          <w:rFonts w:hint="eastAsia" w:ascii="仿宋" w:eastAsia="仿宋"/>
          <w:b w:val="0"/>
          <w:bCs w:val="0"/>
          <w:color w:val="auto"/>
          <w:sz w:val="24"/>
          <w:highlight w:val="none"/>
        </w:rPr>
        <w:t>或相关方赔偿由此造成的损失；情节严重的，追究法律责任。</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2.2.10.10</w:t>
      </w:r>
      <w:r>
        <w:rPr>
          <w:rFonts w:hint="eastAsia" w:ascii="仿宋" w:eastAsia="仿宋"/>
          <w:b w:val="0"/>
          <w:bCs w:val="0"/>
          <w:color w:val="auto"/>
          <w:sz w:val="24"/>
          <w:highlight w:val="none"/>
        </w:rPr>
        <w:t>公共部位灭火器过期后由</w:t>
      </w:r>
      <w:r>
        <w:rPr>
          <w:rFonts w:hint="eastAsia" w:ascii="仿宋" w:eastAsia="仿宋"/>
          <w:b w:val="0"/>
          <w:bCs w:val="0"/>
          <w:color w:val="auto"/>
          <w:sz w:val="24"/>
          <w:highlight w:val="none"/>
          <w:lang w:val="en-US" w:eastAsia="zh-CN"/>
        </w:rPr>
        <w:t>中标人</w:t>
      </w:r>
      <w:r>
        <w:rPr>
          <w:rFonts w:hint="eastAsia" w:ascii="仿宋" w:eastAsia="仿宋"/>
          <w:b w:val="0"/>
          <w:bCs w:val="0"/>
          <w:color w:val="auto"/>
          <w:sz w:val="24"/>
          <w:highlight w:val="none"/>
        </w:rPr>
        <w:t xml:space="preserve">购买更换。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2.2.10.11物业移交设施设备及资料等</w:t>
      </w:r>
      <w:r>
        <w:rPr>
          <w:rFonts w:hint="eastAsia" w:ascii="仿宋" w:eastAsia="仿宋"/>
          <w:b w:val="0"/>
          <w:bCs w:val="0"/>
          <w:color w:val="auto"/>
          <w:sz w:val="24"/>
          <w:highlight w:val="none"/>
        </w:rPr>
        <w:t>相关财物均归采购人所有。</w:t>
      </w:r>
    </w:p>
    <w:p>
      <w:pPr>
        <w:widowControl/>
        <w:snapToGrid w:val="0"/>
        <w:spacing w:line="480" w:lineRule="exact"/>
        <w:rPr>
          <w:rFonts w:hint="eastAsia" w:ascii="仿宋" w:hAnsi="Times New Roman" w:eastAsia="仿宋" w:cs="Times New Roman"/>
          <w:b w:val="0"/>
          <w:bCs w:val="0"/>
          <w:color w:val="auto"/>
          <w:sz w:val="24"/>
          <w:highlight w:val="none"/>
        </w:rPr>
      </w:pPr>
      <w:r>
        <w:rPr>
          <w:rFonts w:hint="eastAsia" w:ascii="仿宋" w:eastAsia="仿宋"/>
          <w:b w:val="0"/>
          <w:bCs w:val="0"/>
          <w:color w:val="auto"/>
          <w:sz w:val="24"/>
          <w:highlight w:val="none"/>
          <w:lang w:val="en-US" w:eastAsia="zh-CN"/>
        </w:rPr>
        <w:t>2.2.10.12</w:t>
      </w:r>
      <w:r>
        <w:rPr>
          <w:rFonts w:hint="eastAsia" w:ascii="仿宋" w:eastAsia="仿宋"/>
          <w:b w:val="0"/>
          <w:bCs w:val="0"/>
          <w:color w:val="auto"/>
          <w:sz w:val="24"/>
          <w:highlight w:val="none"/>
        </w:rPr>
        <w:t>本小区提供物业管理用房423.65㎡，其中：物业管理办公用房约214.64㎡，提供物业管理经营用房约209.01㎡，物业管理用房由中标人负责宣传、场地租赁等经营活动，经营收入做为物业日常服务支出补贴。物业管理用房如有出租，出租时间不得超过物业服务时限，租金需符合市场规律，且合同签订后必须到所属社区备案。若未经社区备案或者出租期限超过物业服务年限的，视为无效合同，给第三方造成的损失，由中标人承担法律责任。</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2.2.10.13</w:t>
      </w:r>
      <w:r>
        <w:rPr>
          <w:rFonts w:hint="eastAsia" w:ascii="仿宋" w:eastAsia="仿宋"/>
          <w:b w:val="0"/>
          <w:bCs w:val="0"/>
          <w:color w:val="auto"/>
          <w:sz w:val="24"/>
          <w:highlight w:val="none"/>
        </w:rPr>
        <w:t>若物业服务过程中，采购人发现物业管理人员不能满足小区物</w:t>
      </w:r>
      <w:r>
        <w:rPr>
          <w:rFonts w:hint="eastAsia" w:ascii="仿宋" w:eastAsia="仿宋"/>
          <w:b w:val="0"/>
          <w:bCs w:val="0"/>
          <w:color w:val="auto"/>
          <w:sz w:val="24"/>
          <w:highlight w:val="none"/>
          <w:lang w:val="en-US" w:eastAsia="zh-CN"/>
        </w:rPr>
        <w:t>业</w:t>
      </w:r>
      <w:r>
        <w:rPr>
          <w:rFonts w:hint="eastAsia" w:ascii="仿宋" w:eastAsia="仿宋"/>
          <w:b w:val="0"/>
          <w:bCs w:val="0"/>
          <w:color w:val="auto"/>
          <w:sz w:val="24"/>
          <w:highlight w:val="none"/>
        </w:rPr>
        <w:t>管理实际要求的，采购人有权提出增加相关人员的方案，</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必须无条件接受并按采购人提出的方案增加相关人员和设备，增加的人员和设备不再支付相关费用，投标单位在投标时应考虑该风险因素，确定投标报价。</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2.2.11</w:t>
      </w:r>
      <w:r>
        <w:rPr>
          <w:rFonts w:hint="eastAsia" w:ascii="仿宋" w:eastAsia="仿宋"/>
          <w:b/>
          <w:bCs/>
          <w:color w:val="auto"/>
          <w:sz w:val="24"/>
          <w:highlight w:val="none"/>
        </w:rPr>
        <w:t>特色服务</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由投标人</w:t>
      </w:r>
      <w:r>
        <w:rPr>
          <w:rFonts w:hint="eastAsia" w:ascii="仿宋" w:eastAsia="仿宋"/>
          <w:b w:val="0"/>
          <w:bCs w:val="0"/>
          <w:color w:val="auto"/>
          <w:sz w:val="24"/>
          <w:highlight w:val="none"/>
        </w:rPr>
        <w:t>根据小区实际情况自行考虑设置。</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2.2.12</w:t>
      </w:r>
      <w:r>
        <w:rPr>
          <w:rFonts w:hint="eastAsia" w:ascii="仿宋" w:eastAsia="仿宋"/>
          <w:b/>
          <w:bCs/>
          <w:color w:val="auto"/>
          <w:sz w:val="24"/>
          <w:highlight w:val="none"/>
        </w:rPr>
        <w:t>追责条款</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2.2.12.1</w:t>
      </w:r>
      <w:r>
        <w:rPr>
          <w:rFonts w:hint="eastAsia" w:ascii="仿宋" w:eastAsia="仿宋"/>
          <w:b w:val="0"/>
          <w:bCs w:val="0"/>
          <w:color w:val="auto"/>
          <w:sz w:val="24"/>
          <w:highlight w:val="none"/>
        </w:rPr>
        <w:t>上述工作内容和管理规范，</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必须保质保量完成，采购人将进行定期和不定期考核，具体考核标准和内容详见采购人制定的《物业服务质量考核评分标准》。投标时应承诺遵守和执行该考核标准。</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2.2.12.2</w:t>
      </w:r>
      <w:r>
        <w:rPr>
          <w:rFonts w:hint="eastAsia" w:ascii="仿宋" w:eastAsia="仿宋"/>
          <w:b w:val="0"/>
          <w:bCs w:val="0"/>
          <w:color w:val="auto"/>
          <w:sz w:val="24"/>
          <w:highlight w:val="none"/>
        </w:rPr>
        <w:t>采购人要求</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配合的特殊工作或临时工作（包括增加人员和设备及相应管理措施），其增加的相关费用</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承担，否则采购人有权给予相应的处罚，并从</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的相关收入中扣除相应费用。</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2.2.12.3</w:t>
      </w:r>
      <w:r>
        <w:rPr>
          <w:rFonts w:hint="eastAsia" w:ascii="仿宋" w:eastAsia="仿宋"/>
          <w:b w:val="0"/>
          <w:bCs w:val="0"/>
          <w:color w:val="auto"/>
          <w:sz w:val="24"/>
          <w:highlight w:val="none"/>
        </w:rPr>
        <w:t>遇小区重大活动时，</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应无条件全力配合（包括增加人员和设备及相应管理措施），其增加的相关费用</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承担，否则采购人有权给予相应的处罚，并从</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的相关收入中扣除相应费用。</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2.2.12.4</w:t>
      </w:r>
      <w:r>
        <w:rPr>
          <w:rFonts w:hint="eastAsia" w:ascii="仿宋" w:eastAsia="仿宋"/>
          <w:b w:val="0"/>
          <w:bCs w:val="0"/>
          <w:color w:val="auto"/>
          <w:sz w:val="24"/>
          <w:highlight w:val="none"/>
          <w:lang w:eastAsia="zh-CN"/>
        </w:rPr>
        <w:t>中标人</w:t>
      </w:r>
      <w:r>
        <w:rPr>
          <w:rFonts w:hint="eastAsia" w:ascii="仿宋" w:eastAsia="仿宋"/>
          <w:b w:val="0"/>
          <w:bCs w:val="0"/>
          <w:color w:val="auto"/>
          <w:sz w:val="24"/>
          <w:highlight w:val="none"/>
        </w:rPr>
        <w:t>在工作上所作的任何承诺，都必须按实履行，否则采购人有权扣除承诺相应费用并给予相应的处罚。</w:t>
      </w:r>
    </w:p>
    <w:p>
      <w:pPr>
        <w:widowControl/>
        <w:snapToGrid w:val="0"/>
        <w:spacing w:line="480" w:lineRule="exact"/>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2.3人员要求：</w:t>
      </w:r>
    </w:p>
    <w:p>
      <w:pPr>
        <w:widowControl/>
        <w:snapToGrid w:val="0"/>
        <w:spacing w:line="480" w:lineRule="exact"/>
        <w:rPr>
          <w:rFonts w:hint="eastAsia" w:ascii="仿宋" w:eastAsia="仿宋"/>
          <w:b w:val="0"/>
          <w:bCs w:val="0"/>
          <w:color w:val="auto"/>
          <w:sz w:val="24"/>
          <w:highlight w:val="none"/>
          <w:lang w:eastAsia="zh-CN"/>
        </w:rPr>
      </w:pPr>
      <w:r>
        <w:rPr>
          <w:rFonts w:hint="eastAsia" w:ascii="仿宋" w:eastAsia="仿宋"/>
          <w:b w:val="0"/>
          <w:bCs w:val="0"/>
          <w:color w:val="auto"/>
          <w:sz w:val="24"/>
          <w:highlight w:val="none"/>
          <w:lang w:val="en-US" w:eastAsia="zh-CN"/>
        </w:rPr>
        <w:t>2.3.1物业经理1名</w:t>
      </w:r>
      <w:r>
        <w:rPr>
          <w:rFonts w:hint="eastAsia" w:ascii="仿宋" w:hAnsi="仿宋" w:eastAsia="仿宋"/>
          <w:color w:val="auto"/>
          <w:sz w:val="24"/>
          <w:szCs w:val="24"/>
          <w:highlight w:val="none"/>
          <w:lang w:val="en-US" w:eastAsia="zh-CN"/>
        </w:rPr>
        <w:t>，</w:t>
      </w:r>
      <w:r>
        <w:rPr>
          <w:rFonts w:hint="eastAsia" w:ascii="仿宋" w:hAnsi="仿宋" w:eastAsia="仿宋"/>
          <w:strike w:val="0"/>
          <w:dstrike w:val="0"/>
          <w:color w:val="auto"/>
          <w:sz w:val="24"/>
          <w:szCs w:val="24"/>
          <w:highlight w:val="none"/>
          <w:lang w:val="en-US" w:eastAsia="zh-CN"/>
        </w:rPr>
        <w:t>年龄50周岁及以下，</w:t>
      </w:r>
      <w:r>
        <w:rPr>
          <w:rFonts w:hint="eastAsia" w:ascii="仿宋" w:hAnsi="仿宋" w:eastAsia="仿宋"/>
          <w:color w:val="auto"/>
          <w:sz w:val="24"/>
          <w:szCs w:val="24"/>
          <w:highlight w:val="none"/>
        </w:rPr>
        <w:t>具备</w:t>
      </w:r>
      <w:r>
        <w:rPr>
          <w:rFonts w:hint="eastAsia" w:ascii="仿宋" w:hAnsi="仿宋" w:eastAsia="仿宋"/>
          <w:color w:val="auto"/>
          <w:sz w:val="24"/>
          <w:szCs w:val="24"/>
          <w:highlight w:val="none"/>
          <w:lang w:val="en-US" w:eastAsia="zh-CN"/>
        </w:rPr>
        <w:t>住宅</w:t>
      </w:r>
      <w:r>
        <w:rPr>
          <w:rFonts w:hint="eastAsia" w:ascii="仿宋" w:hAnsi="仿宋" w:eastAsia="仿宋"/>
          <w:color w:val="auto"/>
          <w:sz w:val="24"/>
          <w:szCs w:val="24"/>
          <w:highlight w:val="none"/>
          <w:lang w:val="en-US"/>
        </w:rPr>
        <w:t>类</w:t>
      </w:r>
      <w:r>
        <w:rPr>
          <w:rFonts w:hint="eastAsia" w:ascii="仿宋" w:hAnsi="仿宋" w:eastAsia="仿宋"/>
          <w:color w:val="auto"/>
          <w:sz w:val="24"/>
          <w:szCs w:val="24"/>
          <w:highlight w:val="none"/>
        </w:rPr>
        <w:t>物业管理与服务经验</w:t>
      </w:r>
      <w:r>
        <w:rPr>
          <w:rFonts w:hint="eastAsia" w:ascii="仿宋" w:hAnsi="仿宋" w:eastAsia="仿宋"/>
          <w:color w:val="auto"/>
          <w:sz w:val="24"/>
          <w:szCs w:val="24"/>
          <w:highlight w:val="none"/>
          <w:lang w:eastAsia="zh-CN"/>
        </w:rPr>
        <w:t>，</w:t>
      </w:r>
      <w:r>
        <w:rPr>
          <w:rFonts w:hint="eastAsia" w:ascii="仿宋" w:eastAsia="仿宋"/>
          <w:b w:val="0"/>
          <w:bCs w:val="0"/>
          <w:color w:val="auto"/>
          <w:sz w:val="24"/>
          <w:highlight w:val="none"/>
          <w:lang w:val="en-US" w:eastAsia="zh-CN"/>
        </w:rPr>
        <w:t>五年及以上管理经验的人员，负</w:t>
      </w:r>
      <w:r>
        <w:rPr>
          <w:rFonts w:hint="eastAsia" w:ascii="仿宋" w:eastAsia="仿宋"/>
          <w:b w:val="0"/>
          <w:bCs w:val="0"/>
          <w:color w:val="auto"/>
          <w:sz w:val="24"/>
          <w:highlight w:val="none"/>
        </w:rPr>
        <w:t>责全面</w:t>
      </w:r>
      <w:r>
        <w:rPr>
          <w:rFonts w:hint="eastAsia" w:ascii="仿宋" w:eastAsia="仿宋"/>
          <w:b w:val="0"/>
          <w:bCs w:val="0"/>
          <w:color w:val="auto"/>
          <w:sz w:val="24"/>
          <w:highlight w:val="none"/>
          <w:lang w:val="en-US" w:eastAsia="zh-CN"/>
        </w:rPr>
        <w:t>主持物业日常工作</w:t>
      </w:r>
      <w:r>
        <w:rPr>
          <w:rFonts w:hint="eastAsia" w:ascii="仿宋" w:eastAsia="仿宋"/>
          <w:b w:val="0"/>
          <w:bCs w:val="0"/>
          <w:color w:val="auto"/>
          <w:sz w:val="24"/>
          <w:highlight w:val="none"/>
          <w:lang w:eastAsia="zh-CN"/>
        </w:rPr>
        <w:t>；</w:t>
      </w:r>
    </w:p>
    <w:p>
      <w:pPr>
        <w:widowControl/>
        <w:snapToGrid w:val="0"/>
        <w:spacing w:line="480" w:lineRule="exact"/>
        <w:rPr>
          <w:rFonts w:hint="eastAsia" w:ascii="仿宋" w:eastAsia="仿宋"/>
          <w:b w:val="0"/>
          <w:bCs w:val="0"/>
          <w:strike w:val="0"/>
          <w:dstrike w:val="0"/>
          <w:color w:val="auto"/>
          <w:sz w:val="24"/>
          <w:highlight w:val="none"/>
          <w:lang w:eastAsia="zh-CN"/>
        </w:rPr>
      </w:pPr>
      <w:r>
        <w:rPr>
          <w:rFonts w:hint="eastAsia" w:ascii="仿宋" w:eastAsia="仿宋"/>
          <w:b w:val="0"/>
          <w:bCs w:val="0"/>
          <w:strike w:val="0"/>
          <w:dstrike w:val="0"/>
          <w:color w:val="auto"/>
          <w:sz w:val="24"/>
          <w:highlight w:val="none"/>
          <w:lang w:val="en-US" w:eastAsia="zh-CN"/>
        </w:rPr>
        <w:t>2.3.2客服员</w:t>
      </w:r>
      <w:r>
        <w:rPr>
          <w:rFonts w:hint="eastAsia" w:ascii="仿宋" w:eastAsia="仿宋"/>
          <w:b w:val="0"/>
          <w:bCs w:val="0"/>
          <w:strike w:val="0"/>
          <w:dstrike w:val="0"/>
          <w:color w:val="auto"/>
          <w:sz w:val="24"/>
          <w:highlight w:val="none"/>
        </w:rPr>
        <w:t>1人</w:t>
      </w:r>
      <w:r>
        <w:rPr>
          <w:rFonts w:hint="eastAsia" w:ascii="仿宋" w:hAnsi="仿宋" w:eastAsia="仿宋"/>
          <w:strike w:val="0"/>
          <w:dstrike w:val="0"/>
          <w:color w:val="auto"/>
          <w:sz w:val="24"/>
          <w:szCs w:val="24"/>
          <w:highlight w:val="none"/>
          <w:lang w:val="en-US" w:eastAsia="zh-CN"/>
        </w:rPr>
        <w:t>，年龄50周岁及以下，有较强责任心，热心服务有较好沟通表达能力。负责出租区域的现场管理、物业费的收取，协助做好出租管理工作。</w:t>
      </w:r>
    </w:p>
    <w:p>
      <w:pPr>
        <w:widowControl/>
        <w:snapToGrid w:val="0"/>
        <w:spacing w:line="480" w:lineRule="exact"/>
        <w:rPr>
          <w:rFonts w:hint="eastAsia"/>
          <w:color w:val="auto"/>
          <w:highlight w:val="none"/>
          <w:lang w:val="en-US" w:eastAsia="zh-CN"/>
        </w:rPr>
      </w:pPr>
      <w:r>
        <w:rPr>
          <w:rFonts w:hint="eastAsia" w:ascii="仿宋" w:eastAsia="仿宋"/>
          <w:b w:val="0"/>
          <w:bCs w:val="0"/>
          <w:color w:val="auto"/>
          <w:sz w:val="24"/>
          <w:highlight w:val="none"/>
          <w:lang w:val="en-US" w:eastAsia="zh-CN"/>
        </w:rPr>
        <w:t>2.3.3工程</w:t>
      </w:r>
      <w:r>
        <w:rPr>
          <w:rFonts w:hint="eastAsia" w:ascii="仿宋" w:eastAsia="仿宋"/>
          <w:b w:val="0"/>
          <w:bCs w:val="0"/>
          <w:strike w:val="0"/>
          <w:dstrike w:val="0"/>
          <w:color w:val="auto"/>
          <w:sz w:val="24"/>
          <w:highlight w:val="none"/>
          <w:lang w:val="en-US" w:eastAsia="zh-CN"/>
        </w:rPr>
        <w:t>员</w:t>
      </w:r>
      <w:r>
        <w:rPr>
          <w:rFonts w:hint="eastAsia" w:ascii="仿宋" w:eastAsia="仿宋"/>
          <w:b w:val="0"/>
          <w:bCs w:val="0"/>
          <w:color w:val="auto"/>
          <w:sz w:val="24"/>
          <w:highlight w:val="none"/>
        </w:rPr>
        <w:t>1人</w:t>
      </w:r>
      <w:r>
        <w:rPr>
          <w:rFonts w:hint="eastAsia" w:ascii="仿宋" w:eastAsia="仿宋"/>
          <w:b w:val="0"/>
          <w:bCs w:val="0"/>
          <w:strike w:val="0"/>
          <w:dstrike w:val="0"/>
          <w:color w:val="auto"/>
          <w:sz w:val="24"/>
          <w:highlight w:val="none"/>
          <w:lang w:eastAsia="zh-CN"/>
        </w:rPr>
        <w:t>，</w:t>
      </w:r>
      <w:r>
        <w:rPr>
          <w:rFonts w:hint="eastAsia" w:ascii="仿宋" w:hAnsi="仿宋" w:eastAsia="仿宋"/>
          <w:strike w:val="0"/>
          <w:dstrike w:val="0"/>
          <w:color w:val="auto"/>
          <w:sz w:val="24"/>
          <w:szCs w:val="24"/>
          <w:highlight w:val="none"/>
          <w:lang w:val="en-US" w:eastAsia="zh-CN"/>
        </w:rPr>
        <w:t>年龄55周岁及以下，</w:t>
      </w:r>
      <w:r>
        <w:rPr>
          <w:rFonts w:hint="eastAsia" w:ascii="仿宋" w:eastAsia="仿宋"/>
          <w:b w:val="0"/>
          <w:bCs w:val="0"/>
          <w:strike w:val="0"/>
          <w:dstrike w:val="0"/>
          <w:color w:val="auto"/>
          <w:sz w:val="24"/>
          <w:highlight w:val="none"/>
          <w:lang w:val="en-US" w:eastAsia="zh-CN"/>
        </w:rPr>
        <w:t>须持有中华人民共和国特种作业操作证（作业类别：电工作业），</w:t>
      </w:r>
      <w:r>
        <w:rPr>
          <w:rFonts w:hint="eastAsia" w:ascii="仿宋" w:eastAsia="仿宋"/>
          <w:b w:val="0"/>
          <w:bCs w:val="0"/>
          <w:color w:val="auto"/>
          <w:sz w:val="24"/>
          <w:highlight w:val="none"/>
          <w:lang w:val="en-US" w:eastAsia="zh-CN"/>
        </w:rPr>
        <w:t>了解设备设施工作原理，熟练掌握安全操作规程。具有较强的对外、对内协调及沟通能力，能合理安排工作</w:t>
      </w:r>
      <w:r>
        <w:rPr>
          <w:rFonts w:hint="eastAsia" w:ascii="仿宋" w:eastAsia="仿宋"/>
          <w:b w:val="0"/>
          <w:bCs w:val="0"/>
          <w:color w:val="auto"/>
          <w:sz w:val="24"/>
          <w:highlight w:val="none"/>
          <w:lang w:eastAsia="zh-CN"/>
        </w:rPr>
        <w:t>；</w:t>
      </w:r>
      <w:r>
        <w:rPr>
          <w:rFonts w:hint="eastAsia" w:ascii="仿宋" w:hAnsi="Times New Roman" w:eastAsia="仿宋" w:cs="Times New Roman"/>
          <w:b w:val="0"/>
          <w:bCs w:val="0"/>
          <w:color w:val="auto"/>
          <w:sz w:val="24"/>
          <w:highlight w:val="none"/>
          <w:lang w:val="en-US" w:eastAsia="zh-CN"/>
        </w:rPr>
        <w:t>做好物业区域公共设施设备的维保、巡视工作；</w:t>
      </w:r>
    </w:p>
    <w:p>
      <w:pPr>
        <w:widowControl/>
        <w:snapToGrid w:val="0"/>
        <w:spacing w:line="480" w:lineRule="exact"/>
        <w:rPr>
          <w:rFonts w:hint="eastAsia" w:ascii="仿宋" w:eastAsia="仿宋"/>
          <w:b w:val="0"/>
          <w:bCs w:val="0"/>
          <w:color w:val="auto"/>
          <w:sz w:val="24"/>
          <w:highlight w:val="none"/>
          <w:lang w:val="en-US" w:eastAsia="zh-CN"/>
        </w:rPr>
      </w:pPr>
      <w:r>
        <w:rPr>
          <w:rFonts w:hint="eastAsia" w:ascii="仿宋" w:eastAsia="仿宋"/>
          <w:b w:val="0"/>
          <w:bCs w:val="0"/>
          <w:color w:val="auto"/>
          <w:sz w:val="24"/>
          <w:highlight w:val="none"/>
          <w:lang w:val="en-US" w:eastAsia="zh-CN"/>
        </w:rPr>
        <w:t>2.3.4</w:t>
      </w:r>
      <w:r>
        <w:rPr>
          <w:rFonts w:hint="eastAsia" w:ascii="仿宋" w:eastAsia="仿宋"/>
          <w:b w:val="0"/>
          <w:bCs w:val="0"/>
          <w:color w:val="auto"/>
          <w:sz w:val="24"/>
          <w:highlight w:val="none"/>
        </w:rPr>
        <w:t>专业绿化员1人</w:t>
      </w:r>
      <w:r>
        <w:rPr>
          <w:rFonts w:hint="eastAsia" w:ascii="仿宋" w:eastAsia="仿宋"/>
          <w:b w:val="0"/>
          <w:bCs w:val="0"/>
          <w:color w:val="auto"/>
          <w:sz w:val="24"/>
          <w:highlight w:val="none"/>
          <w:lang w:eastAsia="zh-CN"/>
        </w:rPr>
        <w:t>；</w:t>
      </w:r>
    </w:p>
    <w:p>
      <w:pPr>
        <w:widowControl/>
        <w:snapToGrid w:val="0"/>
        <w:spacing w:line="480" w:lineRule="exact"/>
        <w:rPr>
          <w:rFonts w:hint="eastAsia" w:ascii="仿宋" w:eastAsia="仿宋"/>
          <w:b w:val="0"/>
          <w:bCs w:val="0"/>
          <w:color w:val="auto"/>
          <w:sz w:val="24"/>
          <w:highlight w:val="none"/>
          <w:lang w:val="en-US" w:eastAsia="zh-CN"/>
        </w:rPr>
      </w:pPr>
      <w:r>
        <w:rPr>
          <w:rFonts w:hint="eastAsia" w:ascii="仿宋" w:eastAsia="仿宋"/>
          <w:b w:val="0"/>
          <w:bCs w:val="0"/>
          <w:color w:val="auto"/>
          <w:sz w:val="24"/>
          <w:highlight w:val="none"/>
          <w:lang w:val="en-US" w:eastAsia="zh-CN"/>
        </w:rPr>
        <w:t>2.3.5</w:t>
      </w:r>
      <w:r>
        <w:rPr>
          <w:rFonts w:hint="eastAsia" w:ascii="仿宋" w:eastAsia="仿宋"/>
          <w:b w:val="0"/>
          <w:bCs w:val="0"/>
          <w:color w:val="auto"/>
          <w:sz w:val="24"/>
          <w:highlight w:val="none"/>
        </w:rPr>
        <w:t>垃圾清运员1人</w:t>
      </w:r>
      <w:r>
        <w:rPr>
          <w:rFonts w:hint="eastAsia" w:ascii="仿宋" w:eastAsia="仿宋"/>
          <w:b w:val="0"/>
          <w:bCs w:val="0"/>
          <w:color w:val="auto"/>
          <w:sz w:val="24"/>
          <w:highlight w:val="none"/>
          <w:lang w:eastAsia="zh-CN"/>
        </w:rPr>
        <w:t>；</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lang w:val="en-US" w:eastAsia="zh-CN"/>
        </w:rPr>
        <w:t>2.3.6消监控员具有中华人民共和国职业资格证书（职业工种：消防设施操作员或建（构）筑物消防员），熟悉消防管理制度、应急程序和基本消防设备操作。</w:t>
      </w:r>
      <w:r>
        <w:rPr>
          <w:rFonts w:hint="eastAsia" w:ascii="仿宋" w:eastAsia="仿宋"/>
          <w:b w:val="0"/>
          <w:bCs w:val="0"/>
          <w:color w:val="auto"/>
          <w:sz w:val="24"/>
          <w:highlight w:val="none"/>
        </w:rPr>
        <w:t>监控室和消控室实行全天24小时值班，</w:t>
      </w:r>
      <w:r>
        <w:rPr>
          <w:rFonts w:hint="eastAsia" w:ascii="仿宋" w:eastAsia="仿宋"/>
          <w:b w:val="0"/>
          <w:bCs w:val="0"/>
          <w:color w:val="auto"/>
          <w:sz w:val="24"/>
          <w:highlight w:val="none"/>
          <w:lang w:val="en-US" w:eastAsia="zh-CN"/>
        </w:rPr>
        <w:t>消监控员</w:t>
      </w:r>
      <w:r>
        <w:rPr>
          <w:rFonts w:hint="eastAsia" w:ascii="仿宋" w:eastAsia="仿宋"/>
          <w:b w:val="0"/>
          <w:bCs w:val="0"/>
          <w:color w:val="auto"/>
          <w:sz w:val="24"/>
          <w:highlight w:val="none"/>
        </w:rPr>
        <w:t xml:space="preserve">每班不少于一人，不得出现脱岗、睡岗。 </w:t>
      </w:r>
    </w:p>
    <w:p>
      <w:pPr>
        <w:widowControl/>
        <w:snapToGrid w:val="0"/>
        <w:spacing w:line="480" w:lineRule="exact"/>
        <w:rPr>
          <w:rFonts w:hint="eastAsia" w:ascii="仿宋" w:eastAsia="仿宋"/>
          <w:b w:val="0"/>
          <w:bCs w:val="0"/>
          <w:color w:val="auto"/>
          <w:sz w:val="24"/>
          <w:highlight w:val="none"/>
          <w:lang w:val="en-US" w:eastAsia="zh-CN"/>
        </w:rPr>
      </w:pPr>
      <w:r>
        <w:rPr>
          <w:rFonts w:hint="eastAsia" w:ascii="仿宋" w:eastAsia="仿宋"/>
          <w:b w:val="0"/>
          <w:bCs w:val="0"/>
          <w:color w:val="auto"/>
          <w:sz w:val="24"/>
          <w:highlight w:val="none"/>
          <w:lang w:val="en-US" w:eastAsia="zh-CN"/>
        </w:rPr>
        <w:t>2.3.7</w:t>
      </w:r>
      <w:r>
        <w:rPr>
          <w:rFonts w:hint="eastAsia" w:ascii="仿宋" w:eastAsia="仿宋"/>
          <w:b w:val="0"/>
          <w:bCs w:val="0"/>
          <w:color w:val="auto"/>
          <w:sz w:val="24"/>
          <w:highlight w:val="none"/>
        </w:rPr>
        <w:t>保安</w:t>
      </w:r>
      <w:r>
        <w:rPr>
          <w:rFonts w:hint="eastAsia" w:ascii="仿宋" w:eastAsia="仿宋"/>
          <w:b w:val="0"/>
          <w:bCs w:val="0"/>
          <w:color w:val="auto"/>
          <w:sz w:val="24"/>
          <w:highlight w:val="none"/>
          <w:lang w:val="en-US" w:eastAsia="zh-CN"/>
        </w:rPr>
        <w:t>员须持有中华人民共和国保安员证或保安员的中华人民共和国职业资格证书，身高1.70M及以上，说话清楚，没有明显口音。</w:t>
      </w:r>
      <w:r>
        <w:rPr>
          <w:rFonts w:hint="eastAsia" w:ascii="仿宋" w:eastAsia="仿宋"/>
          <w:b w:val="0"/>
          <w:bCs w:val="0"/>
          <w:color w:val="auto"/>
          <w:sz w:val="24"/>
          <w:highlight w:val="none"/>
        </w:rPr>
        <w:t>年龄需在</w:t>
      </w:r>
      <w:r>
        <w:rPr>
          <w:rFonts w:hint="eastAsia" w:ascii="仿宋" w:eastAsia="仿宋"/>
          <w:b w:val="0"/>
          <w:bCs w:val="0"/>
          <w:color w:val="auto"/>
          <w:sz w:val="24"/>
          <w:highlight w:val="none"/>
          <w:lang w:val="en-US" w:eastAsia="zh-CN"/>
        </w:rPr>
        <w:t>6</w:t>
      </w:r>
      <w:r>
        <w:rPr>
          <w:rFonts w:hint="eastAsia" w:ascii="仿宋" w:eastAsia="仿宋"/>
          <w:b w:val="0"/>
          <w:bCs w:val="0"/>
          <w:color w:val="auto"/>
          <w:sz w:val="24"/>
          <w:highlight w:val="none"/>
        </w:rPr>
        <w:t>0周岁</w:t>
      </w:r>
      <w:r>
        <w:rPr>
          <w:rFonts w:hint="eastAsia" w:ascii="仿宋" w:eastAsia="仿宋"/>
          <w:b w:val="0"/>
          <w:bCs w:val="0"/>
          <w:color w:val="auto"/>
          <w:sz w:val="24"/>
          <w:highlight w:val="none"/>
          <w:lang w:val="en-US" w:eastAsia="zh-CN"/>
        </w:rPr>
        <w:t>及</w:t>
      </w:r>
      <w:r>
        <w:rPr>
          <w:rFonts w:hint="eastAsia" w:ascii="仿宋" w:eastAsia="仿宋"/>
          <w:b w:val="0"/>
          <w:bCs w:val="0"/>
          <w:color w:val="auto"/>
          <w:sz w:val="24"/>
          <w:highlight w:val="none"/>
        </w:rPr>
        <w:t>以下，身体健康，统一培训，规范着装，工作态度端正，精神饱满，定期训练。小区出入口全天24小时保证有保安值班，每班保安不少于</w:t>
      </w:r>
      <w:r>
        <w:rPr>
          <w:rFonts w:hint="eastAsia" w:ascii="仿宋" w:eastAsia="仿宋"/>
          <w:b w:val="0"/>
          <w:bCs w:val="0"/>
          <w:color w:val="auto"/>
          <w:sz w:val="24"/>
          <w:highlight w:val="none"/>
          <w:lang w:val="en-US" w:eastAsia="zh-CN"/>
        </w:rPr>
        <w:t>1</w:t>
      </w:r>
      <w:r>
        <w:rPr>
          <w:rFonts w:hint="eastAsia" w:ascii="仿宋" w:eastAsia="仿宋"/>
          <w:b w:val="0"/>
          <w:bCs w:val="0"/>
          <w:color w:val="auto"/>
          <w:sz w:val="24"/>
          <w:highlight w:val="none"/>
        </w:rPr>
        <w:t>人，共</w:t>
      </w:r>
      <w:r>
        <w:rPr>
          <w:rFonts w:hint="eastAsia" w:ascii="仿宋" w:eastAsia="仿宋"/>
          <w:b w:val="0"/>
          <w:bCs w:val="0"/>
          <w:color w:val="auto"/>
          <w:sz w:val="24"/>
          <w:highlight w:val="none"/>
          <w:lang w:val="en-US" w:eastAsia="zh-CN"/>
        </w:rPr>
        <w:t>1</w:t>
      </w:r>
      <w:r>
        <w:rPr>
          <w:rFonts w:hint="eastAsia" w:ascii="仿宋" w:eastAsia="仿宋"/>
          <w:b w:val="0"/>
          <w:bCs w:val="0"/>
          <w:color w:val="auto"/>
          <w:sz w:val="24"/>
          <w:highlight w:val="none"/>
        </w:rPr>
        <w:t>个出入口，不得出现脱岗、睡岗。</w:t>
      </w:r>
      <w:r>
        <w:rPr>
          <w:rFonts w:hint="eastAsia" w:ascii="仿宋" w:eastAsia="仿宋"/>
          <w:b w:val="0"/>
          <w:bCs w:val="0"/>
          <w:color w:val="auto"/>
          <w:sz w:val="24"/>
          <w:highlight w:val="none"/>
          <w:lang w:val="en-US" w:eastAsia="zh-CN"/>
        </w:rPr>
        <w:t>配置巡逻保安不少于1人，每两小时巡逻一次，巡逻路线设计合理，每一季度更换一次。</w:t>
      </w:r>
      <w:r>
        <w:rPr>
          <w:rFonts w:hint="eastAsia" w:ascii="仿宋" w:eastAsia="仿宋"/>
          <w:b w:val="0"/>
          <w:bCs w:val="0"/>
          <w:color w:val="auto"/>
          <w:sz w:val="24"/>
          <w:highlight w:val="none"/>
        </w:rPr>
        <w:t>成立机动队，由</w:t>
      </w:r>
      <w:r>
        <w:rPr>
          <w:rFonts w:hint="eastAsia" w:ascii="仿宋" w:eastAsia="仿宋"/>
          <w:b w:val="0"/>
          <w:bCs w:val="0"/>
          <w:color w:val="auto"/>
          <w:sz w:val="24"/>
          <w:highlight w:val="none"/>
          <w:lang w:val="en-US" w:eastAsia="zh-CN"/>
        </w:rPr>
        <w:t xml:space="preserve">物业服务中心负责人、保安队长和队员组成，处置应对紧急事件要求5分钟之内到场。 </w:t>
      </w:r>
    </w:p>
    <w:p>
      <w:pPr>
        <w:widowControl/>
        <w:snapToGrid w:val="0"/>
        <w:spacing w:line="480" w:lineRule="exact"/>
        <w:ind w:firstLine="480" w:firstLineChars="200"/>
        <w:rPr>
          <w:rFonts w:hint="eastAsia" w:ascii="仿宋" w:eastAsia="仿宋"/>
          <w:b w:val="0"/>
          <w:bCs w:val="0"/>
          <w:strike w:val="0"/>
          <w:dstrike w:val="0"/>
          <w:color w:val="auto"/>
          <w:sz w:val="24"/>
          <w:highlight w:val="none"/>
          <w:lang w:val="en-US" w:eastAsia="zh-CN"/>
        </w:rPr>
      </w:pPr>
      <w:r>
        <w:rPr>
          <w:rFonts w:hint="eastAsia" w:ascii="仿宋" w:eastAsia="仿宋"/>
          <w:b w:val="0"/>
          <w:bCs w:val="0"/>
          <w:strike w:val="0"/>
          <w:dstrike w:val="0"/>
          <w:color w:val="auto"/>
          <w:sz w:val="24"/>
          <w:highlight w:val="none"/>
          <w:lang w:val="en-US" w:eastAsia="zh-CN"/>
        </w:rPr>
        <w:t>保安主管：持有中华人民共和国保安员证或保安员的中华人民共和国职业资格证书，具有安全管理工作经验，有一定的军事技能、消防知识。有较强的沟通、组织及协调能力，熟悉物业管理的法律法规知识；具有处理突发事件的能力和经验。</w:t>
      </w:r>
    </w:p>
    <w:p>
      <w:pPr>
        <w:widowControl/>
        <w:snapToGrid w:val="0"/>
        <w:spacing w:line="480" w:lineRule="exact"/>
        <w:rPr>
          <w:rFonts w:hint="eastAsia" w:ascii="仿宋" w:eastAsia="仿宋"/>
          <w:b w:val="0"/>
          <w:bCs w:val="0"/>
          <w:color w:val="auto"/>
          <w:sz w:val="24"/>
          <w:highlight w:val="none"/>
          <w:lang w:val="en-US" w:eastAsia="zh-CN"/>
        </w:rPr>
      </w:pPr>
      <w:r>
        <w:rPr>
          <w:rFonts w:hint="eastAsia" w:ascii="仿宋" w:eastAsia="仿宋"/>
          <w:b w:val="0"/>
          <w:bCs w:val="0"/>
          <w:color w:val="auto"/>
          <w:sz w:val="24"/>
          <w:highlight w:val="none"/>
          <w:lang w:val="en-US" w:eastAsia="zh-CN"/>
        </w:rPr>
        <w:t>2.3.8保洁员不得少于5人。保洁员年龄在55周岁及以下，身体健康。</w:t>
      </w:r>
    </w:p>
    <w:p>
      <w:pPr>
        <w:widowControl/>
        <w:snapToGrid w:val="0"/>
        <w:spacing w:line="480" w:lineRule="exact"/>
        <w:rPr>
          <w:rFonts w:hint="eastAsia" w:ascii="仿宋" w:eastAsia="仿宋"/>
          <w:b w:val="0"/>
          <w:bCs w:val="0"/>
          <w:color w:val="auto"/>
          <w:sz w:val="24"/>
          <w:highlight w:val="none"/>
        </w:rPr>
      </w:pPr>
      <w:r>
        <w:rPr>
          <w:rFonts w:hint="eastAsia" w:ascii="仿宋" w:eastAsia="仿宋"/>
          <w:b/>
          <w:bCs/>
          <w:color w:val="auto"/>
          <w:sz w:val="24"/>
          <w:highlight w:val="none"/>
          <w:lang w:val="en-US" w:eastAsia="zh-CN"/>
        </w:rPr>
        <w:t>2.4</w:t>
      </w:r>
      <w:r>
        <w:rPr>
          <w:rFonts w:hint="eastAsia" w:ascii="仿宋" w:eastAsia="仿宋"/>
          <w:b/>
          <w:bCs/>
          <w:color w:val="auto"/>
          <w:sz w:val="24"/>
          <w:highlight w:val="none"/>
        </w:rPr>
        <w:t>服务质量要求：</w:t>
      </w:r>
      <w:r>
        <w:rPr>
          <w:rFonts w:hint="eastAsia" w:ascii="仿宋" w:eastAsia="仿宋"/>
          <w:b w:val="0"/>
          <w:bCs w:val="0"/>
          <w:color w:val="auto"/>
          <w:sz w:val="24"/>
          <w:highlight w:val="none"/>
        </w:rPr>
        <w:t xml:space="preserve"> </w:t>
      </w:r>
    </w:p>
    <w:p>
      <w:pPr>
        <w:widowControl/>
        <w:snapToGrid w:val="0"/>
        <w:spacing w:line="480" w:lineRule="exact"/>
        <w:rPr>
          <w:rFonts w:hint="eastAsia" w:ascii="仿宋" w:eastAsia="仿宋"/>
          <w:b w:val="0"/>
          <w:bCs w:val="0"/>
          <w:color w:val="auto"/>
          <w:sz w:val="24"/>
          <w:highlight w:val="none"/>
        </w:rPr>
      </w:pPr>
      <w:r>
        <w:rPr>
          <w:rFonts w:hint="eastAsia" w:ascii="仿宋" w:eastAsia="仿宋"/>
          <w:b w:val="0"/>
          <w:bCs w:val="0"/>
          <w:color w:val="auto"/>
          <w:sz w:val="24"/>
          <w:highlight w:val="none"/>
        </w:rPr>
        <w:t>优质服务且必须符合本招标文件所有条款要求。</w:t>
      </w:r>
    </w:p>
    <w:p>
      <w:pPr>
        <w:snapToGrid w:val="0"/>
        <w:spacing w:line="360" w:lineRule="auto"/>
        <w:ind w:firstLine="480" w:firstLineChars="200"/>
        <w:jc w:val="left"/>
        <w:rPr>
          <w:rFonts w:hint="eastAsia" w:ascii="仿宋" w:hAnsi="仿宋" w:eastAsia="仿宋" w:cs="仿宋"/>
          <w:color w:val="auto"/>
          <w:sz w:val="24"/>
          <w:szCs w:val="24"/>
          <w:highlight w:val="none"/>
        </w:rPr>
      </w:pPr>
    </w:p>
    <w:p>
      <w:pPr>
        <w:snapToGrid w:val="0"/>
        <w:spacing w:line="360" w:lineRule="auto"/>
        <w:ind w:firstLine="480" w:firstLineChars="200"/>
        <w:jc w:val="left"/>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二、商务要求</w:t>
      </w:r>
    </w:p>
    <w:p>
      <w:pPr>
        <w:widowControl/>
        <w:snapToGrid w:val="0"/>
        <w:spacing w:line="360" w:lineRule="auto"/>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pPr>
        <w:widowControl/>
        <w:snapToGrid w:val="0"/>
        <w:spacing w:line="360" w:lineRule="auto"/>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rPr>
        <w:t>一年。</w:t>
      </w:r>
      <w:r>
        <w:rPr>
          <w:rFonts w:hint="eastAsia" w:ascii="仿宋" w:eastAsia="仿宋"/>
          <w:color w:val="auto"/>
          <w:kern w:val="0"/>
          <w:sz w:val="24"/>
          <w:highlight w:val="none"/>
          <w:lang w:eastAsia="zh-CN"/>
        </w:rPr>
        <w:t>具体项目服务期从</w:t>
      </w:r>
      <w:r>
        <w:rPr>
          <w:rFonts w:hint="eastAsia" w:ascii="仿宋" w:eastAsia="仿宋"/>
          <w:color w:val="auto"/>
          <w:kern w:val="0"/>
          <w:sz w:val="24"/>
          <w:highlight w:val="none"/>
          <w:lang w:val="en-US" w:eastAsia="zh-CN"/>
        </w:rPr>
        <w:t>2025年8月1日至2026年7月31日</w:t>
      </w:r>
      <w:r>
        <w:rPr>
          <w:rFonts w:hint="eastAsia" w:ascii="仿宋" w:eastAsia="仿宋"/>
          <w:color w:val="auto"/>
          <w:kern w:val="0"/>
          <w:sz w:val="24"/>
          <w:highlight w:val="none"/>
          <w:lang w:eastAsia="zh-CN"/>
        </w:rPr>
        <w:t>。</w:t>
      </w:r>
    </w:p>
    <w:p>
      <w:pPr>
        <w:widowControl/>
        <w:snapToGrid w:val="0"/>
        <w:spacing w:line="360" w:lineRule="auto"/>
        <w:rPr>
          <w:rFonts w:hint="eastAsia" w:ascii="仿宋" w:eastAsia="仿宋"/>
          <w:b/>
          <w:bCs/>
          <w:color w:val="auto"/>
          <w:kern w:val="0"/>
          <w:sz w:val="24"/>
          <w:highlight w:val="none"/>
        </w:rPr>
      </w:pPr>
      <w:r>
        <w:rPr>
          <w:rFonts w:hint="eastAsia" w:ascii="仿宋" w:eastAsia="仿宋"/>
          <w:b/>
          <w:bCs/>
          <w:color w:val="auto"/>
          <w:kern w:val="0"/>
          <w:sz w:val="24"/>
          <w:highlight w:val="none"/>
        </w:rPr>
        <w:t>▲2.2数量调整</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w:t>
      </w:r>
      <w:r>
        <w:rPr>
          <w:rFonts w:hint="eastAsia" w:ascii="仿宋" w:hAnsi="Times New Roman" w:eastAsia="仿宋" w:cs="Times New Roman"/>
          <w:color w:val="auto"/>
          <w:kern w:val="0"/>
          <w:sz w:val="24"/>
          <w:highlight w:val="none"/>
          <w:lang w:eastAsia="zh-CN"/>
        </w:rPr>
        <w:t>中标人</w:t>
      </w:r>
      <w:r>
        <w:rPr>
          <w:rFonts w:hint="eastAsia" w:ascii="仿宋" w:hAnsi="Times New Roman" w:eastAsia="仿宋" w:cs="Times New Roman"/>
          <w:color w:val="auto"/>
          <w:kern w:val="0"/>
          <w:sz w:val="24"/>
          <w:highlight w:val="none"/>
        </w:rPr>
        <w:t>提供申请，采购人确认后实施。且最高金额不得超过总预算价</w:t>
      </w:r>
      <w:r>
        <w:rPr>
          <w:rFonts w:hint="eastAsia" w:ascii="仿宋" w:hAnsi="Times New Roman" w:eastAsia="仿宋" w:cs="Times New Roman"/>
          <w:color w:val="auto"/>
          <w:kern w:val="0"/>
          <w:sz w:val="24"/>
          <w:highlight w:val="none"/>
          <w:lang w:val="en-US" w:eastAsia="zh-CN"/>
        </w:rPr>
        <w:t>90</w:t>
      </w:r>
      <w:r>
        <w:rPr>
          <w:rFonts w:hint="eastAsia" w:ascii="仿宋" w:hAnsi="Times New Roman" w:eastAsia="仿宋" w:cs="Times New Roman"/>
          <w:color w:val="auto"/>
          <w:kern w:val="0"/>
          <w:sz w:val="24"/>
          <w:highlight w:val="none"/>
        </w:rPr>
        <w:t>万元，超出部分投标单位作为优惠费用不予收取。</w:t>
      </w:r>
    </w:p>
    <w:p>
      <w:pPr>
        <w:keepNext w:val="0"/>
        <w:keepLines w:val="0"/>
        <w:pageBreakBefore w:val="0"/>
        <w:kinsoku/>
        <w:wordWrap/>
        <w:overflowPunct/>
        <w:topLinePunct w:val="0"/>
        <w:bidi w:val="0"/>
        <w:adjustRightInd/>
        <w:spacing w:line="360" w:lineRule="auto"/>
        <w:jc w:val="left"/>
        <w:textAlignment w:val="auto"/>
        <w:rPr>
          <w:rFonts w:hint="eastAsia"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lang w:val="en-US" w:eastAsia="zh-CN"/>
        </w:rPr>
        <w:t>2.3</w:t>
      </w:r>
      <w:r>
        <w:rPr>
          <w:rFonts w:hint="eastAsia" w:ascii="仿宋" w:eastAsia="仿宋"/>
          <w:b/>
          <w:bCs/>
          <w:color w:val="auto"/>
          <w:kern w:val="0"/>
          <w:sz w:val="24"/>
          <w:highlight w:val="none"/>
        </w:rPr>
        <w:t>结算原则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2.3.1</w:t>
      </w:r>
      <w:r>
        <w:rPr>
          <w:rFonts w:hint="eastAsia" w:ascii="仿宋" w:hAnsi="Times New Roman" w:eastAsia="仿宋" w:cs="Times New Roman"/>
          <w:color w:val="auto"/>
          <w:kern w:val="0"/>
          <w:sz w:val="24"/>
          <w:highlight w:val="none"/>
        </w:rPr>
        <w:t>招标文件、招标答疑会纪要、</w:t>
      </w:r>
      <w:r>
        <w:rPr>
          <w:rFonts w:hint="eastAsia" w:ascii="仿宋" w:hAnsi="Times New Roman" w:eastAsia="仿宋" w:cs="Times New Roman"/>
          <w:color w:val="auto"/>
          <w:kern w:val="0"/>
          <w:sz w:val="24"/>
          <w:highlight w:val="none"/>
          <w:lang w:eastAsia="zh-CN"/>
        </w:rPr>
        <w:t>中标人</w:t>
      </w:r>
      <w:r>
        <w:rPr>
          <w:rFonts w:hint="eastAsia" w:ascii="仿宋" w:hAnsi="Times New Roman" w:eastAsia="仿宋" w:cs="Times New Roman"/>
          <w:color w:val="auto"/>
          <w:kern w:val="0"/>
          <w:sz w:val="24"/>
          <w:highlight w:val="none"/>
        </w:rPr>
        <w:t>的中标报价等作为结算依据；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lang w:val="en-US" w:eastAsia="zh-CN"/>
        </w:rPr>
        <w:t>2.3.2住宅、商业用房及地下车位的物业费中标单价一次性包死。</w:t>
      </w:r>
    </w:p>
    <w:p>
      <w:pPr>
        <w:keepNext w:val="0"/>
        <w:keepLines w:val="0"/>
        <w:pageBreakBefore w:val="0"/>
        <w:widowControl/>
        <w:kinsoku/>
        <w:wordWrap/>
        <w:overflowPunct/>
        <w:topLinePunct w:val="0"/>
        <w:bidi w:val="0"/>
        <w:snapToGrid w:val="0"/>
        <w:spacing w:line="360" w:lineRule="auto"/>
        <w:textAlignment w:val="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4</w:t>
      </w:r>
      <w:r>
        <w:rPr>
          <w:rFonts w:hint="eastAsia" w:ascii="仿宋" w:eastAsia="仿宋"/>
          <w:b/>
          <w:bCs/>
          <w:color w:val="auto"/>
          <w:kern w:val="0"/>
          <w:sz w:val="24"/>
          <w:highlight w:val="none"/>
        </w:rPr>
        <w:t>付款方式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采购人产权的</w:t>
      </w:r>
      <w:r>
        <w:rPr>
          <w:rFonts w:hint="eastAsia" w:ascii="仿宋" w:hAnsi="Times New Roman" w:eastAsia="仿宋" w:cs="Times New Roman"/>
          <w:color w:val="auto"/>
          <w:kern w:val="0"/>
          <w:sz w:val="24"/>
          <w:highlight w:val="none"/>
          <w:lang w:val="en-US" w:eastAsia="zh-CN"/>
        </w:rPr>
        <w:t>住宅、商业用房、车位等物业费按季度按实进行结算，当季的费用于下一季度</w:t>
      </w:r>
      <w:r>
        <w:rPr>
          <w:rFonts w:hint="eastAsia" w:ascii="仿宋" w:eastAsia="仿宋" w:cs="Times New Roman"/>
          <w:color w:val="auto"/>
          <w:kern w:val="0"/>
          <w:sz w:val="24"/>
          <w:highlight w:val="none"/>
          <w:lang w:val="en-US" w:eastAsia="zh-CN"/>
        </w:rPr>
        <w:t>收到中标人增值税发票后，</w:t>
      </w:r>
      <w:r>
        <w:rPr>
          <w:rFonts w:hint="eastAsia" w:ascii="仿宋" w:hAnsi="Times New Roman" w:eastAsia="仿宋" w:cs="Times New Roman"/>
          <w:color w:val="auto"/>
          <w:kern w:val="0"/>
          <w:sz w:val="24"/>
          <w:highlight w:val="none"/>
          <w:lang w:val="en-US" w:eastAsia="zh-CN"/>
        </w:rPr>
        <w:t>经查</w:t>
      </w:r>
      <w:r>
        <w:rPr>
          <w:rFonts w:hint="eastAsia" w:ascii="仿宋" w:eastAsia="仿宋"/>
          <w:color w:val="auto"/>
          <w:kern w:val="0"/>
          <w:sz w:val="24"/>
          <w:highlight w:val="none"/>
        </w:rPr>
        <w:t>对</w:t>
      </w:r>
      <w:r>
        <w:rPr>
          <w:rFonts w:hint="eastAsia" w:ascii="仿宋" w:eastAsia="仿宋"/>
          <w:color w:val="auto"/>
          <w:kern w:val="0"/>
          <w:sz w:val="24"/>
          <w:highlight w:val="none"/>
          <w:lang w:val="en-US" w:eastAsia="zh-CN"/>
        </w:rPr>
        <w:t>后</w:t>
      </w:r>
      <w:r>
        <w:rPr>
          <w:rFonts w:hint="eastAsia" w:ascii="仿宋" w:eastAsia="仿宋" w:cs="Times New Roman"/>
          <w:color w:val="auto"/>
          <w:kern w:val="0"/>
          <w:sz w:val="24"/>
          <w:highlight w:val="none"/>
          <w:lang w:val="en-US" w:eastAsia="zh-CN"/>
        </w:rPr>
        <w:t>按实结算</w:t>
      </w:r>
      <w:r>
        <w:rPr>
          <w:rFonts w:hint="eastAsia" w:ascii="仿宋" w:eastAsia="仿宋"/>
          <w:color w:val="auto"/>
          <w:kern w:val="0"/>
          <w:sz w:val="24"/>
          <w:highlight w:val="none"/>
        </w:rPr>
        <w:t>。合同履约保证金在合同执行完毕后无任何违反合同的行为，无息退还。</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5</w:t>
      </w:r>
      <w:r>
        <w:rPr>
          <w:rFonts w:hint="eastAsia" w:ascii="仿宋" w:eastAsia="仿宋"/>
          <w:b/>
          <w:bCs/>
          <w:color w:val="auto"/>
          <w:kern w:val="0"/>
          <w:sz w:val="24"/>
          <w:highlight w:val="none"/>
        </w:rPr>
        <w:t>履约保证</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.1合同期内如出现服务质量问题投诉等，予适当处罚，处罚金从</w:t>
      </w:r>
      <w:r>
        <w:rPr>
          <w:rFonts w:hint="eastAsia" w:ascii="仿宋" w:hAnsi="Times New Roman" w:eastAsia="仿宋" w:cs="Times New Roman"/>
          <w:color w:val="auto"/>
          <w:kern w:val="0"/>
          <w:sz w:val="24"/>
          <w:highlight w:val="none"/>
          <w:lang w:eastAsia="zh-CN"/>
        </w:rPr>
        <w:t>中标人</w:t>
      </w:r>
      <w:r>
        <w:rPr>
          <w:rFonts w:hint="eastAsia" w:ascii="仿宋" w:hAnsi="Times New Roman" w:eastAsia="仿宋" w:cs="Times New Roman"/>
          <w:color w:val="auto"/>
          <w:kern w:val="0"/>
          <w:sz w:val="24"/>
          <w:highlight w:val="none"/>
        </w:rPr>
        <w:t xml:space="preserve">相关收入中扣除。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.2中标</w:t>
      </w:r>
      <w:r>
        <w:rPr>
          <w:rFonts w:hint="eastAsia" w:ascii="仿宋" w:eastAsia="仿宋" w:cs="Times New Roman"/>
          <w:color w:val="auto"/>
          <w:kern w:val="0"/>
          <w:sz w:val="24"/>
          <w:highlight w:val="none"/>
          <w:lang w:val="en-US" w:eastAsia="zh-CN"/>
        </w:rPr>
        <w:t>人</w:t>
      </w:r>
      <w:r>
        <w:rPr>
          <w:rFonts w:hint="eastAsia" w:ascii="仿宋" w:hAnsi="Times New Roman" w:eastAsia="仿宋" w:cs="Times New Roman"/>
          <w:color w:val="auto"/>
          <w:kern w:val="0"/>
          <w:sz w:val="24"/>
          <w:highlight w:val="none"/>
        </w:rPr>
        <w:t>在合同期限内因各种原因（不可抗力除外）单方违约的，</w:t>
      </w:r>
      <w:r>
        <w:rPr>
          <w:rFonts w:hint="eastAsia" w:ascii="仿宋" w:eastAsia="仿宋" w:cs="Times New Roman"/>
          <w:color w:val="auto"/>
          <w:kern w:val="0"/>
          <w:sz w:val="24"/>
          <w:highlight w:val="none"/>
          <w:lang w:eastAsia="zh-CN"/>
        </w:rPr>
        <w:t>采购人</w:t>
      </w:r>
      <w:r>
        <w:rPr>
          <w:rFonts w:hint="eastAsia" w:ascii="仿宋" w:hAnsi="Times New Roman" w:eastAsia="仿宋" w:cs="Times New Roman"/>
          <w:color w:val="auto"/>
          <w:kern w:val="0"/>
          <w:sz w:val="24"/>
          <w:highlight w:val="none"/>
        </w:rPr>
        <w:t>不退还保证金。</w:t>
      </w:r>
    </w:p>
    <w:p>
      <w:pPr>
        <w:keepNext w:val="0"/>
        <w:keepLines w:val="0"/>
        <w:pageBreakBefore w:val="0"/>
        <w:widowControl/>
        <w:kinsoku/>
        <w:wordWrap/>
        <w:overflowPunct/>
        <w:topLinePunct w:val="0"/>
        <w:bidi w:val="0"/>
        <w:snapToGrid w:val="0"/>
        <w:spacing w:line="360" w:lineRule="auto"/>
        <w:textAlignment w:val="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6</w:t>
      </w:r>
      <w:r>
        <w:rPr>
          <w:rFonts w:hint="eastAsia" w:ascii="仿宋" w:eastAsia="仿宋"/>
          <w:b/>
          <w:bCs/>
          <w:color w:val="auto"/>
          <w:kern w:val="0"/>
          <w:sz w:val="24"/>
          <w:highlight w:val="none"/>
        </w:rPr>
        <w:t>检查、考核</w:t>
      </w:r>
    </w:p>
    <w:p>
      <w:pPr>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.1</w:t>
      </w:r>
      <w:r>
        <w:rPr>
          <w:rFonts w:hint="eastAsia" w:ascii="仿宋" w:eastAsia="仿宋"/>
          <w:color w:val="auto"/>
          <w:kern w:val="0"/>
          <w:sz w:val="24"/>
          <w:highlight w:val="none"/>
          <w:lang w:eastAsia="zh-CN"/>
        </w:rPr>
        <w:t>中标人</w:t>
      </w:r>
      <w:r>
        <w:rPr>
          <w:rFonts w:hint="eastAsia" w:ascii="仿宋" w:hAnsi="仿宋" w:eastAsia="仿宋"/>
          <w:color w:val="auto"/>
          <w:sz w:val="24"/>
          <w:highlight w:val="none"/>
        </w:rPr>
        <w:t>和采购</w:t>
      </w:r>
      <w:r>
        <w:rPr>
          <w:rFonts w:hint="eastAsia" w:ascii="仿宋" w:hAnsi="仿宋" w:eastAsia="仿宋"/>
          <w:color w:val="auto"/>
          <w:sz w:val="24"/>
          <w:highlight w:val="none"/>
          <w:lang w:val="en-US" w:eastAsia="zh-CN"/>
        </w:rPr>
        <w:t>人</w:t>
      </w:r>
      <w:r>
        <w:rPr>
          <w:rFonts w:hint="eastAsia" w:ascii="仿宋" w:hAnsi="仿宋" w:eastAsia="仿宋"/>
          <w:color w:val="auto"/>
          <w:sz w:val="24"/>
          <w:highlight w:val="none"/>
        </w:rPr>
        <w:t>定期</w:t>
      </w:r>
      <w:r>
        <w:rPr>
          <w:rFonts w:hint="eastAsia" w:ascii="仿宋" w:hAnsi="仿宋" w:eastAsia="仿宋"/>
          <w:color w:val="auto"/>
          <w:sz w:val="24"/>
          <w:highlight w:val="none"/>
          <w:lang w:eastAsia="zh-CN"/>
        </w:rPr>
        <w:t>检查</w:t>
      </w:r>
      <w:r>
        <w:rPr>
          <w:rFonts w:hint="eastAsia" w:ascii="仿宋" w:hAnsi="仿宋" w:eastAsia="仿宋"/>
          <w:strike w:val="0"/>
          <w:dstrike w:val="0"/>
          <w:color w:val="auto"/>
          <w:sz w:val="24"/>
          <w:highlight w:val="none"/>
          <w:lang w:val="en-US" w:eastAsia="zh-CN"/>
        </w:rPr>
        <w:t>物业管理服务</w:t>
      </w:r>
      <w:r>
        <w:rPr>
          <w:rFonts w:hint="eastAsia" w:ascii="仿宋" w:hAnsi="仿宋" w:eastAsia="仿宋"/>
          <w:color w:val="auto"/>
          <w:sz w:val="24"/>
          <w:highlight w:val="none"/>
        </w:rPr>
        <w:t>工作，传达采购人的意见和建议，协调双方的关系。促进此项工作良性的持续发展。</w:t>
      </w:r>
    </w:p>
    <w:p>
      <w:pPr>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.2合同期内</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提供的</w:t>
      </w:r>
      <w:r>
        <w:rPr>
          <w:rFonts w:hint="eastAsia" w:ascii="仿宋" w:hAnsi="仿宋" w:eastAsia="仿宋"/>
          <w:color w:val="auto"/>
          <w:sz w:val="24"/>
          <w:highlight w:val="none"/>
        </w:rPr>
        <w:t>服务质量进行检查，若达不到</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的标准，</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w:t>
      </w:r>
      <w:r>
        <w:rPr>
          <w:rFonts w:hint="eastAsia" w:ascii="仿宋" w:eastAsia="仿宋"/>
          <w:color w:val="auto"/>
          <w:kern w:val="0"/>
          <w:sz w:val="24"/>
          <w:highlight w:val="none"/>
          <w:lang w:eastAsia="zh-CN"/>
        </w:rPr>
        <w:t>中标人</w:t>
      </w:r>
      <w:r>
        <w:rPr>
          <w:rFonts w:hint="eastAsia" w:ascii="仿宋" w:hAnsi="仿宋" w:eastAsia="仿宋"/>
          <w:color w:val="auto"/>
          <w:sz w:val="24"/>
          <w:highlight w:val="none"/>
        </w:rPr>
        <w:t>提出限期整改，并有权给予相应罚款，限期整改仍达不到</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的标准的，采购人有权终止合同，并由服务方承担相关损失。</w:t>
      </w:r>
    </w:p>
    <w:p>
      <w:pPr>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.3如发现中标投标人将所中标标段转包，</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 xml:space="preserve">有权单方面终止合同。 </w:t>
      </w:r>
    </w:p>
    <w:p>
      <w:pPr>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按招标文件的服务质量要求对物业服务实施专业化、规范化的管理，树立项目物业服务管理高品位形象。物业管理服务机构设置合理，职能明确，员工流动率保持相关稳定。</w:t>
      </w:r>
    </w:p>
    <w:p>
      <w:pPr>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考核方式：由</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根据</w:t>
      </w:r>
      <w:r>
        <w:rPr>
          <w:rFonts w:hint="eastAsia" w:ascii="仿宋" w:hAnsi="仿宋" w:eastAsia="仿宋" w:cs="Times New Roman"/>
          <w:color w:val="auto"/>
          <w:sz w:val="24"/>
          <w:highlight w:val="none"/>
          <w:lang w:val="en-US" w:eastAsia="zh-CN"/>
        </w:rPr>
        <w:t>附件一《物业管理考核评分标准》</w:t>
      </w:r>
      <w:r>
        <w:rPr>
          <w:rFonts w:hint="eastAsia" w:ascii="仿宋" w:hAnsi="仿宋" w:eastAsia="仿宋" w:cs="Times New Roman"/>
          <w:color w:val="auto"/>
          <w:sz w:val="24"/>
          <w:highlight w:val="none"/>
          <w:lang w:eastAsia="zh-CN"/>
        </w:rPr>
        <w:t>每季度</w:t>
      </w:r>
      <w:r>
        <w:rPr>
          <w:rFonts w:hint="eastAsia" w:ascii="仿宋" w:hAnsi="仿宋" w:eastAsia="仿宋" w:cs="Times New Roman"/>
          <w:color w:val="auto"/>
          <w:sz w:val="24"/>
          <w:highlight w:val="none"/>
        </w:rPr>
        <w:t>全面考核的方式对物业进行考核。</w:t>
      </w:r>
    </w:p>
    <w:p>
      <w:pPr>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s="Times New Roman"/>
          <w:color w:val="auto"/>
          <w:sz w:val="24"/>
          <w:highlight w:val="none"/>
        </w:rPr>
        <w:t>考核标准：考核分为100分，考核分</w:t>
      </w:r>
      <w:r>
        <w:rPr>
          <w:rFonts w:hint="eastAsia" w:ascii="仿宋" w:hAnsi="仿宋" w:eastAsia="仿宋" w:cs="Times New Roman"/>
          <w:color w:val="auto"/>
          <w:sz w:val="24"/>
          <w:highlight w:val="none"/>
          <w:lang w:val="en-US" w:eastAsia="zh-CN"/>
        </w:rPr>
        <w:t>85</w:t>
      </w:r>
      <w:r>
        <w:rPr>
          <w:rFonts w:hint="eastAsia" w:ascii="仿宋" w:hAnsi="仿宋" w:eastAsia="仿宋" w:cs="Times New Roman"/>
          <w:color w:val="auto"/>
          <w:sz w:val="24"/>
          <w:highlight w:val="none"/>
        </w:rPr>
        <w:t>分（含）及以上得全额合同款；考核分在</w:t>
      </w:r>
      <w:r>
        <w:rPr>
          <w:rFonts w:hint="eastAsia" w:ascii="仿宋" w:hAnsi="仿宋" w:eastAsia="仿宋" w:cs="Times New Roman"/>
          <w:color w:val="auto"/>
          <w:sz w:val="24"/>
          <w:highlight w:val="none"/>
          <w:lang w:val="en-US" w:eastAsia="zh-CN"/>
        </w:rPr>
        <w:t>85</w:t>
      </w:r>
      <w:r>
        <w:rPr>
          <w:rFonts w:hint="eastAsia" w:ascii="仿宋" w:hAnsi="仿宋" w:eastAsia="仿宋" w:cs="Times New Roman"/>
          <w:color w:val="auto"/>
          <w:sz w:val="24"/>
          <w:highlight w:val="none"/>
        </w:rPr>
        <w:t>分至</w:t>
      </w:r>
      <w:r>
        <w:rPr>
          <w:rFonts w:hint="eastAsia" w:ascii="仿宋" w:hAnsi="仿宋" w:eastAsia="仿宋" w:cs="Times New Roman"/>
          <w:color w:val="auto"/>
          <w:sz w:val="24"/>
          <w:highlight w:val="none"/>
          <w:lang w:val="en-US" w:eastAsia="zh-CN"/>
        </w:rPr>
        <w:t>75</w:t>
      </w:r>
      <w:r>
        <w:rPr>
          <w:rFonts w:hint="eastAsia" w:ascii="仿宋" w:hAnsi="仿宋" w:eastAsia="仿宋" w:cs="Times New Roman"/>
          <w:color w:val="auto"/>
          <w:sz w:val="24"/>
          <w:highlight w:val="none"/>
        </w:rPr>
        <w:t>分（含）的，每分扣</w:t>
      </w: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00元；考核分低于</w:t>
      </w:r>
      <w:r>
        <w:rPr>
          <w:rFonts w:hint="eastAsia" w:ascii="仿宋" w:hAnsi="仿宋" w:eastAsia="仿宋" w:cs="Times New Roman"/>
          <w:color w:val="auto"/>
          <w:sz w:val="24"/>
          <w:highlight w:val="none"/>
          <w:lang w:val="en-US" w:eastAsia="zh-CN"/>
        </w:rPr>
        <w:t>75</w:t>
      </w:r>
      <w:r>
        <w:rPr>
          <w:rFonts w:hint="eastAsia" w:ascii="仿宋" w:hAnsi="仿宋" w:eastAsia="仿宋" w:cs="Times New Roman"/>
          <w:color w:val="auto"/>
          <w:sz w:val="24"/>
          <w:highlight w:val="none"/>
        </w:rPr>
        <w:t>分的，每分扣</w:t>
      </w:r>
      <w:r>
        <w:rPr>
          <w:rFonts w:hint="eastAsia" w:ascii="仿宋" w:hAnsi="仿宋" w:eastAsia="仿宋" w:cs="Times New Roman"/>
          <w:color w:val="auto"/>
          <w:sz w:val="24"/>
          <w:highlight w:val="none"/>
          <w:lang w:val="en-US" w:eastAsia="zh-CN"/>
        </w:rPr>
        <w:t>10</w:t>
      </w:r>
      <w:r>
        <w:rPr>
          <w:rFonts w:hint="eastAsia" w:ascii="仿宋" w:hAnsi="仿宋" w:eastAsia="仿宋" w:cs="Times New Roman"/>
          <w:color w:val="auto"/>
          <w:sz w:val="24"/>
          <w:highlight w:val="none"/>
        </w:rPr>
        <w:t>00元。每期将汇总结果计入全年考核分数。</w:t>
      </w:r>
      <w:r>
        <w:rPr>
          <w:rFonts w:hint="eastAsia" w:ascii="仿宋" w:hAnsi="仿宋" w:eastAsia="仿宋" w:cs="Times New Roman"/>
          <w:color w:val="auto"/>
          <w:sz w:val="24"/>
          <w:highlight w:val="none"/>
          <w:lang w:val="en-US" w:eastAsia="zh-CN"/>
        </w:rPr>
        <w:t>连续2个季度平均分在80分以下或</w:t>
      </w:r>
      <w:r>
        <w:rPr>
          <w:rFonts w:hint="eastAsia" w:ascii="仿宋" w:hAnsi="仿宋" w:eastAsia="仿宋" w:cs="Times New Roman"/>
          <w:color w:val="auto"/>
          <w:sz w:val="24"/>
          <w:highlight w:val="none"/>
          <w:lang w:eastAsia="zh-CN"/>
        </w:rPr>
        <w:t>两</w:t>
      </w:r>
      <w:r>
        <w:rPr>
          <w:rFonts w:hint="eastAsia" w:ascii="仿宋" w:hAnsi="仿宋" w:eastAsia="仿宋" w:cs="Times New Roman"/>
          <w:color w:val="auto"/>
          <w:sz w:val="24"/>
          <w:highlight w:val="none"/>
        </w:rPr>
        <w:t>次在</w:t>
      </w:r>
      <w:r>
        <w:rPr>
          <w:rFonts w:hint="eastAsia" w:ascii="仿宋" w:hAnsi="仿宋" w:eastAsia="仿宋" w:cs="Times New Roman"/>
          <w:color w:val="auto"/>
          <w:sz w:val="24"/>
          <w:highlight w:val="none"/>
          <w:lang w:val="en-US" w:eastAsia="zh-CN"/>
        </w:rPr>
        <w:t>75</w:t>
      </w:r>
      <w:r>
        <w:rPr>
          <w:rFonts w:hint="eastAsia" w:ascii="仿宋" w:hAnsi="仿宋" w:eastAsia="仿宋" w:cs="Times New Roman"/>
          <w:color w:val="auto"/>
          <w:sz w:val="24"/>
          <w:highlight w:val="none"/>
        </w:rPr>
        <w:t>分以下的，</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有权解除或终止合同，</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承担全部违约责任。</w:t>
      </w:r>
    </w:p>
    <w:p>
      <w:pPr>
        <w:keepNext w:val="0"/>
        <w:keepLines w:val="0"/>
        <w:pageBreakBefore w:val="0"/>
        <w:widowControl/>
        <w:kinsoku/>
        <w:wordWrap/>
        <w:overflowPunct/>
        <w:topLinePunct w:val="0"/>
        <w:bidi w:val="0"/>
        <w:snapToGrid w:val="0"/>
        <w:spacing w:line="360" w:lineRule="auto"/>
        <w:textAlignment w:val="auto"/>
        <w:rPr>
          <w:rFonts w:hint="eastAsia" w:ascii="仿宋" w:hAnsi="仿宋" w:eastAsia="仿宋"/>
          <w:b/>
          <w:bCs/>
          <w:color w:val="auto"/>
          <w:sz w:val="24"/>
          <w:highlight w:val="none"/>
          <w:lang w:eastAsia="zh-CN"/>
        </w:rPr>
      </w:pPr>
      <w:r>
        <w:rPr>
          <w:rFonts w:hint="eastAsia" w:ascii="仿宋" w:hAnsi="仿宋" w:eastAsia="仿宋"/>
          <w:color w:val="auto"/>
          <w:sz w:val="24"/>
          <w:highlight w:val="none"/>
        </w:rPr>
        <w:t>▲</w:t>
      </w:r>
      <w:r>
        <w:rPr>
          <w:rFonts w:hint="eastAsia" w:ascii="仿宋" w:hAnsi="仿宋" w:eastAsia="仿宋"/>
          <w:b/>
          <w:bCs/>
          <w:color w:val="auto"/>
          <w:sz w:val="24"/>
          <w:highlight w:val="none"/>
        </w:rPr>
        <w:t>2.</w:t>
      </w:r>
      <w:r>
        <w:rPr>
          <w:rFonts w:hint="eastAsia" w:ascii="仿宋" w:hAnsi="仿宋" w:eastAsia="仿宋"/>
          <w:b/>
          <w:bCs/>
          <w:color w:val="auto"/>
          <w:sz w:val="24"/>
          <w:highlight w:val="none"/>
          <w:lang w:val="en-US" w:eastAsia="zh-CN"/>
        </w:rPr>
        <w:t>7</w:t>
      </w:r>
      <w:r>
        <w:rPr>
          <w:rFonts w:hint="eastAsia" w:ascii="仿宋" w:hAnsi="仿宋" w:eastAsia="仿宋"/>
          <w:b/>
          <w:bCs/>
          <w:color w:val="auto"/>
          <w:sz w:val="24"/>
          <w:highlight w:val="none"/>
        </w:rPr>
        <w:t>其他</w:t>
      </w:r>
      <w:r>
        <w:rPr>
          <w:rFonts w:hint="eastAsia" w:ascii="仿宋" w:hAnsi="仿宋" w:eastAsia="仿宋"/>
          <w:b/>
          <w:bCs/>
          <w:color w:val="auto"/>
          <w:sz w:val="24"/>
          <w:highlight w:val="none"/>
          <w:lang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1</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必须保证完全符合本标文中规定的项目、规格和技术要求。由于</w:t>
      </w:r>
      <w:bookmarkStart w:id="64" w:name="OLE_LINK1"/>
      <w:r>
        <w:rPr>
          <w:rFonts w:hint="eastAsia" w:ascii="仿宋" w:eastAsia="仿宋"/>
          <w:color w:val="auto"/>
          <w:kern w:val="0"/>
          <w:sz w:val="24"/>
          <w:highlight w:val="none"/>
          <w:lang w:val="en-US" w:eastAsia="zh-CN"/>
        </w:rPr>
        <w:t>中标</w:t>
      </w:r>
      <w:r>
        <w:rPr>
          <w:rFonts w:hint="eastAsia" w:ascii="仿宋" w:eastAsia="仿宋"/>
          <w:color w:val="auto"/>
          <w:kern w:val="0"/>
          <w:sz w:val="24"/>
          <w:highlight w:val="none"/>
        </w:rPr>
        <w:t>人</w:t>
      </w:r>
      <w:bookmarkEnd w:id="64"/>
      <w:r>
        <w:rPr>
          <w:rFonts w:hint="eastAsia" w:ascii="仿宋" w:eastAsia="仿宋"/>
          <w:color w:val="auto"/>
          <w:kern w:val="0"/>
          <w:sz w:val="24"/>
          <w:highlight w:val="none"/>
        </w:rPr>
        <w:t>所供服务质量问题引起的所有损失由</w:t>
      </w:r>
      <w:r>
        <w:rPr>
          <w:rFonts w:hint="eastAsia" w:ascii="仿宋" w:eastAsia="仿宋"/>
          <w:color w:val="auto"/>
          <w:kern w:val="0"/>
          <w:sz w:val="24"/>
          <w:highlight w:val="none"/>
          <w:lang w:val="en-US" w:eastAsia="zh-CN"/>
        </w:rPr>
        <w:t>中标</w:t>
      </w:r>
      <w:r>
        <w:rPr>
          <w:rFonts w:hint="eastAsia" w:ascii="仿宋" w:eastAsia="仿宋"/>
          <w:color w:val="auto"/>
          <w:kern w:val="0"/>
          <w:sz w:val="24"/>
          <w:highlight w:val="none"/>
        </w:rPr>
        <w:t>人承担赔偿责任。</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在服务期间如发生人员安全事故，由中标人处理并承担全部责任。</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考核中不合格的服务项目，</w:t>
      </w:r>
      <w:r>
        <w:rPr>
          <w:rFonts w:hint="eastAsia" w:ascii="仿宋" w:eastAsia="仿宋"/>
          <w:color w:val="auto"/>
          <w:kern w:val="0"/>
          <w:sz w:val="24"/>
          <w:highlight w:val="none"/>
          <w:lang w:val="en-US" w:eastAsia="zh-CN"/>
        </w:rPr>
        <w:t>中标</w:t>
      </w:r>
      <w:r>
        <w:rPr>
          <w:rFonts w:hint="eastAsia" w:ascii="仿宋" w:eastAsia="仿宋"/>
          <w:color w:val="auto"/>
          <w:kern w:val="0"/>
          <w:sz w:val="24"/>
          <w:highlight w:val="none"/>
        </w:rPr>
        <w:t>人应按招标文件中相应的违约金支付给</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服务期内由于</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的服务质量或</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的其它责任造成的缺陷，则应由</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负责服务直至检验合格为止，并由</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承担全部费用。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4</w:t>
      </w:r>
      <w:r>
        <w:rPr>
          <w:rFonts w:hint="eastAsia" w:ascii="仿宋" w:eastAsia="仿宋"/>
          <w:color w:val="auto"/>
          <w:kern w:val="0"/>
          <w:sz w:val="24"/>
          <w:highlight w:val="none"/>
        </w:rPr>
        <w:t>因</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违约造成终止合同的，则扣除全部履约保证金，同时作违约论处。</w:t>
      </w:r>
    </w:p>
    <w:p>
      <w:pPr>
        <w:widowControl/>
        <w:snapToGrid w:val="0"/>
        <w:spacing w:line="360" w:lineRule="auto"/>
        <w:ind w:firstLine="480" w:firstLineChars="200"/>
        <w:rPr>
          <w:rFonts w:ascii="仿宋" w:hAnsi="仿宋" w:eastAsia="仿宋" w:cs="仿宋_GB2312"/>
          <w:b/>
          <w:color w:val="auto"/>
          <w:sz w:val="36"/>
          <w:szCs w:val="36"/>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5</w:t>
      </w:r>
      <w:r>
        <w:rPr>
          <w:rFonts w:hint="eastAsia" w:ascii="仿宋" w:eastAsia="仿宋"/>
          <w:color w:val="auto"/>
          <w:kern w:val="0"/>
          <w:sz w:val="24"/>
          <w:highlight w:val="none"/>
        </w:rPr>
        <w:t>因</w:t>
      </w:r>
      <w:r>
        <w:rPr>
          <w:rFonts w:hint="eastAsia" w:ascii="仿宋" w:eastAsia="仿宋"/>
          <w:color w:val="auto"/>
          <w:kern w:val="0"/>
          <w:sz w:val="24"/>
          <w:highlight w:val="none"/>
          <w:lang w:val="en-US" w:eastAsia="zh-CN"/>
        </w:rPr>
        <w:t>采购人</w:t>
      </w:r>
      <w:r>
        <w:rPr>
          <w:rFonts w:hint="eastAsia" w:ascii="仿宋" w:eastAsia="仿宋"/>
          <w:color w:val="auto"/>
          <w:kern w:val="0"/>
          <w:sz w:val="24"/>
          <w:highlight w:val="none"/>
        </w:rPr>
        <w:t>违约造成终止合同，</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应退还</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缴纳的履约保证金，同时支付给</w:t>
      </w:r>
      <w:r>
        <w:rPr>
          <w:rFonts w:hint="eastAsia" w:ascii="仿宋" w:eastAsia="仿宋"/>
          <w:color w:val="auto"/>
          <w:kern w:val="0"/>
          <w:sz w:val="24"/>
          <w:highlight w:val="none"/>
          <w:lang w:eastAsia="zh-CN"/>
        </w:rPr>
        <w:t>中标人</w:t>
      </w:r>
      <w:r>
        <w:rPr>
          <w:rFonts w:hint="eastAsia" w:ascii="仿宋" w:eastAsia="仿宋"/>
          <w:color w:val="auto"/>
          <w:kern w:val="0"/>
          <w:sz w:val="24"/>
          <w:highlight w:val="none"/>
        </w:rPr>
        <w:t>履约保证金同等金额的违约金，但属执行国家行政指令造成的合同终止，不支付违约金。</w:t>
      </w:r>
      <w:r>
        <w:rPr>
          <w:rFonts w:ascii="仿宋" w:hAnsi="仿宋" w:eastAsia="仿宋" w:cs="仿宋_GB2312"/>
          <w:b/>
          <w:color w:val="auto"/>
          <w:sz w:val="36"/>
          <w:szCs w:val="36"/>
          <w:highlight w:val="none"/>
        </w:rPr>
        <w:br w:type="page"/>
      </w:r>
      <w:r>
        <w:rPr>
          <w:rFonts w:hint="eastAsia" w:ascii="仿宋" w:hAnsi="仿宋" w:eastAsia="仿宋" w:cs="仿宋_GB2312"/>
          <w:b/>
          <w:color w:val="auto"/>
          <w:sz w:val="36"/>
          <w:szCs w:val="36"/>
          <w:highlight w:val="none"/>
          <w:lang w:val="en-US" w:eastAsia="zh-CN"/>
        </w:rPr>
        <w:t xml:space="preserve">          </w:t>
      </w:r>
      <w:r>
        <w:rPr>
          <w:rFonts w:hint="eastAsia" w:ascii="仿宋" w:hAnsi="仿宋" w:eastAsia="仿宋" w:cs="仿宋_GB2312"/>
          <w:b/>
          <w:color w:val="auto"/>
          <w:sz w:val="36"/>
          <w:szCs w:val="36"/>
          <w:highlight w:val="none"/>
        </w:rPr>
        <w:t xml:space="preserve">第四部分   </w:t>
      </w:r>
      <w:bookmarkStart w:id="65" w:name="_Toc184310284"/>
      <w:bookmarkEnd w:id="65"/>
      <w:bookmarkStart w:id="66" w:name="_Toc184310290"/>
      <w:bookmarkEnd w:id="66"/>
      <w:bookmarkStart w:id="67" w:name="_Toc184312119"/>
      <w:bookmarkEnd w:id="67"/>
      <w:bookmarkStart w:id="68" w:name="_Toc184310309"/>
      <w:bookmarkEnd w:id="68"/>
      <w:bookmarkStart w:id="69" w:name="_Toc184313297"/>
      <w:bookmarkEnd w:id="69"/>
      <w:bookmarkStart w:id="70" w:name="_Toc184310320"/>
      <w:bookmarkEnd w:id="70"/>
      <w:bookmarkStart w:id="71" w:name="_Toc184310281"/>
      <w:bookmarkEnd w:id="71"/>
      <w:bookmarkStart w:id="72" w:name="_Toc184313307"/>
      <w:bookmarkEnd w:id="72"/>
      <w:bookmarkStart w:id="73" w:name="_Toc184313251"/>
      <w:bookmarkEnd w:id="73"/>
      <w:bookmarkStart w:id="74" w:name="_Toc184308049"/>
      <w:bookmarkEnd w:id="74"/>
      <w:bookmarkStart w:id="75" w:name="_Toc184312105"/>
      <w:bookmarkEnd w:id="75"/>
      <w:bookmarkStart w:id="76" w:name="_Toc184314418"/>
      <w:bookmarkEnd w:id="76"/>
      <w:bookmarkStart w:id="77" w:name="_Toc184313280"/>
      <w:bookmarkEnd w:id="77"/>
      <w:bookmarkStart w:id="78" w:name="_Toc184308069"/>
      <w:bookmarkEnd w:id="78"/>
      <w:bookmarkStart w:id="79" w:name="_Toc184314476"/>
      <w:bookmarkEnd w:id="79"/>
      <w:bookmarkStart w:id="80" w:name="_Toc184308096"/>
      <w:bookmarkEnd w:id="80"/>
      <w:bookmarkStart w:id="81" w:name="_Toc184313271"/>
      <w:bookmarkEnd w:id="81"/>
      <w:bookmarkStart w:id="82" w:name="_Toc184313289"/>
      <w:bookmarkEnd w:id="82"/>
      <w:bookmarkStart w:id="83" w:name="_Toc184314437"/>
      <w:bookmarkEnd w:id="83"/>
      <w:bookmarkStart w:id="84" w:name="_Toc184312074"/>
      <w:bookmarkEnd w:id="84"/>
      <w:bookmarkStart w:id="85" w:name="_Toc184313290"/>
      <w:bookmarkEnd w:id="85"/>
      <w:bookmarkStart w:id="86" w:name="_Toc184313294"/>
      <w:bookmarkEnd w:id="86"/>
      <w:bookmarkStart w:id="87" w:name="_Toc184314474"/>
      <w:bookmarkEnd w:id="87"/>
      <w:bookmarkStart w:id="88" w:name="_Toc184310328"/>
      <w:bookmarkEnd w:id="88"/>
      <w:bookmarkStart w:id="89" w:name="_Toc184313279"/>
      <w:bookmarkEnd w:id="89"/>
      <w:bookmarkStart w:id="90" w:name="_Toc184310298"/>
      <w:bookmarkEnd w:id="90"/>
      <w:bookmarkStart w:id="91" w:name="_Toc184312137"/>
      <w:bookmarkEnd w:id="91"/>
      <w:bookmarkStart w:id="92" w:name="_Toc184308038"/>
      <w:bookmarkEnd w:id="92"/>
      <w:bookmarkStart w:id="93" w:name="_Toc184314442"/>
      <w:bookmarkEnd w:id="93"/>
      <w:bookmarkStart w:id="94" w:name="_Toc184312117"/>
      <w:bookmarkEnd w:id="94"/>
      <w:bookmarkStart w:id="95" w:name="_Toc184310278"/>
      <w:bookmarkEnd w:id="95"/>
      <w:bookmarkStart w:id="96" w:name="_Toc184314477"/>
      <w:bookmarkEnd w:id="96"/>
      <w:bookmarkStart w:id="97" w:name="_Toc184314411"/>
      <w:bookmarkEnd w:id="97"/>
      <w:bookmarkStart w:id="98" w:name="_Toc184308058"/>
      <w:bookmarkEnd w:id="98"/>
      <w:bookmarkStart w:id="99" w:name="_Toc184310297"/>
      <w:bookmarkEnd w:id="99"/>
      <w:bookmarkStart w:id="100" w:name="_Toc184310326"/>
      <w:bookmarkEnd w:id="100"/>
      <w:bookmarkStart w:id="101" w:name="_Toc184308082"/>
      <w:bookmarkEnd w:id="101"/>
      <w:bookmarkStart w:id="102" w:name="_Toc184313277"/>
      <w:bookmarkEnd w:id="102"/>
      <w:bookmarkStart w:id="103" w:name="_Toc184308043"/>
      <w:bookmarkEnd w:id="103"/>
      <w:bookmarkStart w:id="104" w:name="_Toc184313260"/>
      <w:bookmarkEnd w:id="104"/>
      <w:bookmarkStart w:id="105" w:name="_Toc184308060"/>
      <w:bookmarkEnd w:id="105"/>
      <w:bookmarkStart w:id="106" w:name="_Toc184310275"/>
      <w:bookmarkEnd w:id="106"/>
      <w:bookmarkStart w:id="107" w:name="_Toc184310338"/>
      <w:bookmarkEnd w:id="107"/>
      <w:bookmarkStart w:id="108" w:name="_Toc184312083"/>
      <w:bookmarkEnd w:id="108"/>
      <w:bookmarkStart w:id="109" w:name="_Toc184308037"/>
      <w:bookmarkEnd w:id="109"/>
      <w:bookmarkStart w:id="110" w:name="_Toc184310329"/>
      <w:bookmarkEnd w:id="110"/>
      <w:bookmarkStart w:id="111" w:name="_Toc184314472"/>
      <w:bookmarkEnd w:id="111"/>
      <w:bookmarkStart w:id="112" w:name="_Toc184308086"/>
      <w:bookmarkEnd w:id="112"/>
      <w:bookmarkStart w:id="113" w:name="_Toc184312072"/>
      <w:bookmarkEnd w:id="113"/>
      <w:bookmarkStart w:id="114" w:name="_Toc184314479"/>
      <w:bookmarkEnd w:id="114"/>
      <w:bookmarkStart w:id="115" w:name="_Toc184313258"/>
      <w:bookmarkEnd w:id="115"/>
      <w:bookmarkStart w:id="116" w:name="_Toc184312091"/>
      <w:bookmarkEnd w:id="116"/>
      <w:bookmarkStart w:id="117" w:name="_Toc184312084"/>
      <w:bookmarkEnd w:id="117"/>
      <w:bookmarkStart w:id="118" w:name="_Toc184312106"/>
      <w:bookmarkEnd w:id="118"/>
      <w:bookmarkStart w:id="119" w:name="_Toc184308072"/>
      <w:bookmarkEnd w:id="119"/>
      <w:bookmarkStart w:id="120" w:name="_Toc184314438"/>
      <w:bookmarkEnd w:id="120"/>
      <w:bookmarkStart w:id="121" w:name="_Toc184313265"/>
      <w:bookmarkEnd w:id="121"/>
      <w:bookmarkStart w:id="122" w:name="_Toc184308099"/>
      <w:bookmarkEnd w:id="122"/>
      <w:bookmarkStart w:id="123" w:name="_Toc184313256"/>
      <w:bookmarkEnd w:id="123"/>
      <w:bookmarkStart w:id="124" w:name="_Toc184314421"/>
      <w:bookmarkEnd w:id="124"/>
      <w:bookmarkStart w:id="125" w:name="_Toc184314422"/>
      <w:bookmarkEnd w:id="125"/>
      <w:bookmarkStart w:id="126" w:name="_Toc184314426"/>
      <w:bookmarkEnd w:id="126"/>
      <w:bookmarkStart w:id="127" w:name="_Toc184314431"/>
      <w:bookmarkEnd w:id="127"/>
      <w:bookmarkStart w:id="128" w:name="_Toc184314425"/>
      <w:bookmarkEnd w:id="128"/>
      <w:bookmarkStart w:id="129" w:name="_Toc184314464"/>
      <w:bookmarkEnd w:id="129"/>
      <w:bookmarkStart w:id="130" w:name="_Toc184314469"/>
      <w:bookmarkEnd w:id="130"/>
      <w:bookmarkStart w:id="131" w:name="_Toc184308092"/>
      <w:bookmarkEnd w:id="131"/>
      <w:bookmarkStart w:id="132" w:name="_Toc184314473"/>
      <w:bookmarkEnd w:id="132"/>
      <w:bookmarkStart w:id="133" w:name="_Toc184313274"/>
      <w:bookmarkEnd w:id="133"/>
      <w:bookmarkStart w:id="134" w:name="_Toc184314424"/>
      <w:bookmarkEnd w:id="134"/>
      <w:bookmarkStart w:id="135" w:name="_Toc184308054"/>
      <w:bookmarkEnd w:id="135"/>
      <w:bookmarkStart w:id="136" w:name="_Toc184310301"/>
      <w:bookmarkEnd w:id="136"/>
      <w:bookmarkStart w:id="137" w:name="_Toc184312085"/>
      <w:bookmarkEnd w:id="137"/>
      <w:bookmarkStart w:id="138" w:name="_Toc184314427"/>
      <w:bookmarkEnd w:id="138"/>
      <w:bookmarkStart w:id="139" w:name="_Toc184310288"/>
      <w:bookmarkEnd w:id="139"/>
      <w:bookmarkStart w:id="140" w:name="_Toc184310277"/>
      <w:bookmarkEnd w:id="140"/>
      <w:bookmarkStart w:id="141" w:name="_Toc184312138"/>
      <w:bookmarkEnd w:id="141"/>
      <w:bookmarkStart w:id="142" w:name="_Toc184313267"/>
      <w:bookmarkEnd w:id="142"/>
      <w:bookmarkStart w:id="143" w:name="_Toc184310305"/>
      <w:bookmarkEnd w:id="143"/>
      <w:bookmarkStart w:id="144" w:name="_Toc184310294"/>
      <w:bookmarkEnd w:id="144"/>
      <w:bookmarkStart w:id="145" w:name="_Toc184314420"/>
      <w:bookmarkEnd w:id="145"/>
      <w:bookmarkStart w:id="146" w:name="_Toc184313310"/>
      <w:bookmarkEnd w:id="146"/>
      <w:bookmarkStart w:id="147" w:name="_Toc184314414"/>
      <w:bookmarkEnd w:id="147"/>
      <w:bookmarkStart w:id="148" w:name="_Toc184312130"/>
      <w:bookmarkEnd w:id="148"/>
      <w:bookmarkStart w:id="149" w:name="_Toc184312093"/>
      <w:bookmarkEnd w:id="149"/>
      <w:bookmarkStart w:id="150" w:name="_Toc184313298"/>
      <w:bookmarkEnd w:id="150"/>
      <w:bookmarkStart w:id="151" w:name="_Toc184314450"/>
      <w:bookmarkEnd w:id="151"/>
      <w:bookmarkStart w:id="152" w:name="_Toc184310341"/>
      <w:bookmarkEnd w:id="152"/>
      <w:bookmarkStart w:id="153" w:name="_Toc184310315"/>
      <w:bookmarkEnd w:id="153"/>
      <w:bookmarkStart w:id="154" w:name="_Toc184314434"/>
      <w:bookmarkEnd w:id="154"/>
      <w:bookmarkStart w:id="155" w:name="_Toc184314415"/>
      <w:bookmarkEnd w:id="155"/>
      <w:bookmarkStart w:id="156" w:name="_Toc184313296"/>
      <w:bookmarkEnd w:id="156"/>
      <w:bookmarkStart w:id="157" w:name="_Toc184314452"/>
      <w:bookmarkEnd w:id="157"/>
      <w:bookmarkStart w:id="158" w:name="_Toc184312129"/>
      <w:bookmarkEnd w:id="158"/>
      <w:bookmarkStart w:id="159" w:name="_Toc184313268"/>
      <w:bookmarkEnd w:id="159"/>
      <w:bookmarkStart w:id="160" w:name="_Toc184310276"/>
      <w:bookmarkEnd w:id="160"/>
      <w:bookmarkStart w:id="161" w:name="_Toc184313302"/>
      <w:bookmarkEnd w:id="161"/>
      <w:bookmarkStart w:id="162" w:name="_Toc184308076"/>
      <w:bookmarkEnd w:id="162"/>
      <w:bookmarkStart w:id="163" w:name="_Toc184308088"/>
      <w:bookmarkEnd w:id="163"/>
      <w:bookmarkStart w:id="164" w:name="_Toc184313241"/>
      <w:bookmarkEnd w:id="164"/>
      <w:bookmarkStart w:id="165" w:name="_Toc184313254"/>
      <w:bookmarkEnd w:id="165"/>
      <w:bookmarkStart w:id="166" w:name="_Toc184308046"/>
      <w:bookmarkEnd w:id="166"/>
      <w:bookmarkStart w:id="167" w:name="_Toc184313306"/>
      <w:bookmarkEnd w:id="167"/>
      <w:bookmarkStart w:id="168" w:name="_Toc184312099"/>
      <w:bookmarkEnd w:id="168"/>
      <w:bookmarkStart w:id="169" w:name="_Toc184313300"/>
      <w:bookmarkEnd w:id="169"/>
      <w:bookmarkStart w:id="170" w:name="_Toc184310308"/>
      <w:bookmarkEnd w:id="170"/>
      <w:bookmarkStart w:id="171" w:name="_Toc184313278"/>
      <w:bookmarkEnd w:id="171"/>
      <w:bookmarkStart w:id="172" w:name="_Toc184313264"/>
      <w:bookmarkEnd w:id="172"/>
      <w:bookmarkStart w:id="173" w:name="_Toc184313309"/>
      <w:bookmarkEnd w:id="173"/>
      <w:bookmarkStart w:id="174" w:name="_Toc184312097"/>
      <w:bookmarkEnd w:id="174"/>
      <w:bookmarkStart w:id="175" w:name="_Toc184313245"/>
      <w:bookmarkEnd w:id="175"/>
      <w:bookmarkStart w:id="176" w:name="_Toc184312089"/>
      <w:bookmarkEnd w:id="176"/>
      <w:bookmarkStart w:id="177" w:name="_Toc184310344"/>
      <w:bookmarkEnd w:id="177"/>
      <w:bookmarkStart w:id="178" w:name="_Toc184312101"/>
      <w:bookmarkEnd w:id="178"/>
      <w:bookmarkStart w:id="179" w:name="_Toc184314459"/>
      <w:bookmarkEnd w:id="179"/>
      <w:bookmarkStart w:id="180" w:name="_Toc184314439"/>
      <w:bookmarkEnd w:id="180"/>
      <w:bookmarkStart w:id="181" w:name="_Toc184308055"/>
      <w:bookmarkEnd w:id="181"/>
      <w:bookmarkStart w:id="182" w:name="_Toc184313305"/>
      <w:bookmarkEnd w:id="182"/>
      <w:bookmarkStart w:id="183" w:name="_Toc184312132"/>
      <w:bookmarkEnd w:id="183"/>
      <w:bookmarkStart w:id="184" w:name="_Toc184312123"/>
      <w:bookmarkEnd w:id="184"/>
      <w:bookmarkStart w:id="185" w:name="_Toc184312094"/>
      <w:bookmarkEnd w:id="185"/>
      <w:bookmarkStart w:id="186" w:name="_Toc184312075"/>
      <w:bookmarkEnd w:id="186"/>
      <w:bookmarkStart w:id="187" w:name="_Toc184310302"/>
      <w:bookmarkEnd w:id="187"/>
      <w:bookmarkStart w:id="188" w:name="_Toc184313288"/>
      <w:bookmarkEnd w:id="188"/>
      <w:bookmarkStart w:id="189" w:name="_Toc184314447"/>
      <w:bookmarkEnd w:id="189"/>
      <w:bookmarkStart w:id="190" w:name="_Toc184312103"/>
      <w:bookmarkEnd w:id="190"/>
      <w:bookmarkStart w:id="191" w:name="_Toc184314436"/>
      <w:bookmarkEnd w:id="191"/>
      <w:bookmarkStart w:id="192" w:name="_Toc184312107"/>
      <w:bookmarkEnd w:id="192"/>
      <w:bookmarkStart w:id="193" w:name="_Toc184308089"/>
      <w:bookmarkEnd w:id="193"/>
      <w:bookmarkStart w:id="194" w:name="_Toc184308052"/>
      <w:bookmarkEnd w:id="194"/>
      <w:bookmarkStart w:id="195" w:name="_Toc184312124"/>
      <w:bookmarkEnd w:id="195"/>
      <w:bookmarkStart w:id="196" w:name="_Toc184310319"/>
      <w:bookmarkEnd w:id="196"/>
      <w:bookmarkStart w:id="197" w:name="_Toc184312122"/>
      <w:bookmarkEnd w:id="197"/>
      <w:bookmarkStart w:id="198" w:name="_Toc184313262"/>
      <w:bookmarkEnd w:id="198"/>
      <w:bookmarkStart w:id="199" w:name="_Toc184312126"/>
      <w:bookmarkEnd w:id="199"/>
      <w:bookmarkStart w:id="200" w:name="_Toc184310313"/>
      <w:bookmarkEnd w:id="200"/>
      <w:bookmarkStart w:id="201" w:name="_Toc184308073"/>
      <w:bookmarkEnd w:id="201"/>
      <w:bookmarkStart w:id="202" w:name="_Toc184313304"/>
      <w:bookmarkEnd w:id="202"/>
      <w:bookmarkStart w:id="203" w:name="_Toc184308107"/>
      <w:bookmarkEnd w:id="203"/>
      <w:bookmarkStart w:id="204" w:name="_Toc184312114"/>
      <w:bookmarkEnd w:id="204"/>
      <w:bookmarkStart w:id="205" w:name="_Toc184314461"/>
      <w:bookmarkEnd w:id="205"/>
      <w:bookmarkStart w:id="206" w:name="_Toc184313275"/>
      <w:bookmarkEnd w:id="206"/>
      <w:bookmarkStart w:id="207" w:name="_Toc184308075"/>
      <w:bookmarkEnd w:id="207"/>
      <w:bookmarkStart w:id="208" w:name="_Toc184313308"/>
      <w:bookmarkEnd w:id="208"/>
      <w:bookmarkStart w:id="209" w:name="_Toc184310299"/>
      <w:bookmarkEnd w:id="209"/>
      <w:bookmarkStart w:id="210" w:name="_Toc184314466"/>
      <w:bookmarkEnd w:id="210"/>
      <w:bookmarkStart w:id="211" w:name="_Toc184308056"/>
      <w:bookmarkEnd w:id="211"/>
      <w:bookmarkStart w:id="212" w:name="_Toc184308084"/>
      <w:bookmarkEnd w:id="212"/>
      <w:bookmarkStart w:id="213" w:name="_Toc184312125"/>
      <w:bookmarkEnd w:id="213"/>
      <w:bookmarkStart w:id="214" w:name="_Toc184312087"/>
      <w:bookmarkEnd w:id="214"/>
      <w:bookmarkStart w:id="215" w:name="_Toc184313282"/>
      <w:bookmarkEnd w:id="215"/>
      <w:bookmarkStart w:id="216" w:name="_Toc184314416"/>
      <w:bookmarkEnd w:id="216"/>
      <w:bookmarkStart w:id="217" w:name="_Toc184308062"/>
      <w:bookmarkEnd w:id="217"/>
      <w:bookmarkStart w:id="218" w:name="_Toc184310273"/>
      <w:bookmarkEnd w:id="218"/>
      <w:bookmarkStart w:id="219" w:name="_Toc184313243"/>
      <w:bookmarkEnd w:id="219"/>
      <w:bookmarkStart w:id="220" w:name="_Toc184312104"/>
      <w:bookmarkEnd w:id="220"/>
      <w:bookmarkStart w:id="221" w:name="_Toc184310312"/>
      <w:bookmarkEnd w:id="221"/>
      <w:bookmarkStart w:id="222" w:name="_Toc184308059"/>
      <w:bookmarkEnd w:id="222"/>
      <w:bookmarkStart w:id="223" w:name="_Toc184313239"/>
      <w:bookmarkEnd w:id="223"/>
      <w:bookmarkStart w:id="224" w:name="_Toc184312113"/>
      <w:bookmarkEnd w:id="224"/>
      <w:bookmarkStart w:id="225" w:name="_Toc184314428"/>
      <w:bookmarkEnd w:id="225"/>
      <w:bookmarkStart w:id="226" w:name="_Toc184308071"/>
      <w:bookmarkEnd w:id="226"/>
      <w:bookmarkStart w:id="227" w:name="_Toc184308104"/>
      <w:bookmarkEnd w:id="227"/>
      <w:bookmarkStart w:id="228" w:name="_Toc184312115"/>
      <w:bookmarkEnd w:id="228"/>
      <w:bookmarkStart w:id="229" w:name="_Toc184313270"/>
      <w:bookmarkEnd w:id="229"/>
      <w:bookmarkStart w:id="230" w:name="_Toc184314433"/>
      <w:bookmarkEnd w:id="230"/>
      <w:bookmarkStart w:id="231" w:name="_Toc184312110"/>
      <w:bookmarkEnd w:id="231"/>
      <w:bookmarkStart w:id="232" w:name="_Toc184312134"/>
      <w:bookmarkEnd w:id="232"/>
      <w:bookmarkStart w:id="233" w:name="_Toc184308108"/>
      <w:bookmarkEnd w:id="233"/>
      <w:bookmarkStart w:id="234" w:name="_Toc184314449"/>
      <w:bookmarkEnd w:id="234"/>
      <w:bookmarkStart w:id="235" w:name="_Toc184310282"/>
      <w:bookmarkEnd w:id="235"/>
      <w:bookmarkStart w:id="236" w:name="_Toc184314453"/>
      <w:bookmarkEnd w:id="236"/>
      <w:bookmarkStart w:id="237" w:name="_Toc184313285"/>
      <w:bookmarkEnd w:id="237"/>
      <w:bookmarkStart w:id="238" w:name="_Toc184313287"/>
      <w:bookmarkEnd w:id="238"/>
      <w:bookmarkStart w:id="239" w:name="_Toc184313266"/>
      <w:bookmarkEnd w:id="239"/>
      <w:bookmarkStart w:id="240" w:name="_Toc184308091"/>
      <w:bookmarkEnd w:id="240"/>
      <w:bookmarkStart w:id="241" w:name="_Toc184310310"/>
      <w:bookmarkEnd w:id="241"/>
      <w:bookmarkStart w:id="242" w:name="_Toc184308050"/>
      <w:bookmarkEnd w:id="242"/>
      <w:bookmarkStart w:id="243" w:name="_Toc184308101"/>
      <w:bookmarkEnd w:id="243"/>
      <w:bookmarkStart w:id="244" w:name="_Toc184314457"/>
      <w:bookmarkEnd w:id="244"/>
      <w:bookmarkStart w:id="245" w:name="_Toc184310283"/>
      <w:bookmarkEnd w:id="245"/>
      <w:bookmarkStart w:id="246" w:name="_Toc184310336"/>
      <w:bookmarkEnd w:id="246"/>
      <w:bookmarkStart w:id="247" w:name="_Toc184314430"/>
      <w:bookmarkEnd w:id="247"/>
      <w:bookmarkStart w:id="248" w:name="_Toc184312100"/>
      <w:bookmarkEnd w:id="248"/>
      <w:bookmarkStart w:id="249" w:name="_Toc184310330"/>
      <w:bookmarkEnd w:id="249"/>
      <w:bookmarkStart w:id="250" w:name="_Toc184310324"/>
      <w:bookmarkEnd w:id="250"/>
      <w:bookmarkStart w:id="251" w:name="_Toc184312136"/>
      <w:bookmarkEnd w:id="251"/>
      <w:bookmarkStart w:id="252" w:name="_Toc184308057"/>
      <w:bookmarkEnd w:id="252"/>
      <w:bookmarkStart w:id="253" w:name="_Toc184314440"/>
      <w:bookmarkEnd w:id="253"/>
      <w:bookmarkStart w:id="254" w:name="_Toc184314444"/>
      <w:bookmarkEnd w:id="254"/>
      <w:bookmarkStart w:id="255" w:name="_Toc184312112"/>
      <w:bookmarkEnd w:id="255"/>
      <w:bookmarkStart w:id="256" w:name="_Toc184313273"/>
      <w:bookmarkEnd w:id="256"/>
      <w:bookmarkStart w:id="257" w:name="_Toc184308105"/>
      <w:bookmarkEnd w:id="257"/>
      <w:bookmarkStart w:id="258" w:name="_Toc184313242"/>
      <w:bookmarkEnd w:id="258"/>
      <w:bookmarkStart w:id="259" w:name="_Toc184313248"/>
      <w:bookmarkEnd w:id="259"/>
      <w:bookmarkStart w:id="260" w:name="_Toc184310327"/>
      <w:bookmarkEnd w:id="260"/>
      <w:bookmarkStart w:id="261" w:name="_Toc184312128"/>
      <w:bookmarkEnd w:id="261"/>
      <w:bookmarkStart w:id="262" w:name="_Toc184308066"/>
      <w:bookmarkEnd w:id="262"/>
      <w:bookmarkStart w:id="263" w:name="_Toc184308068"/>
      <w:bookmarkEnd w:id="263"/>
      <w:bookmarkStart w:id="264" w:name="_Toc184312116"/>
      <w:bookmarkEnd w:id="264"/>
      <w:bookmarkStart w:id="265" w:name="_Toc184314432"/>
      <w:bookmarkEnd w:id="265"/>
      <w:bookmarkStart w:id="266" w:name="_Toc184310325"/>
      <w:bookmarkEnd w:id="266"/>
      <w:bookmarkStart w:id="267" w:name="_Toc184308080"/>
      <w:bookmarkEnd w:id="267"/>
      <w:bookmarkStart w:id="268" w:name="_Toc184310304"/>
      <w:bookmarkEnd w:id="268"/>
      <w:bookmarkStart w:id="269" w:name="_Toc184313269"/>
      <w:bookmarkEnd w:id="269"/>
      <w:bookmarkStart w:id="270" w:name="_Toc184312070"/>
      <w:bookmarkEnd w:id="270"/>
      <w:bookmarkStart w:id="271" w:name="_Toc184308103"/>
      <w:bookmarkEnd w:id="271"/>
      <w:bookmarkStart w:id="272" w:name="_Toc184314429"/>
      <w:bookmarkEnd w:id="272"/>
      <w:bookmarkStart w:id="273" w:name="_Toc184308102"/>
      <w:bookmarkEnd w:id="273"/>
      <w:bookmarkStart w:id="274" w:name="_Toc184308042"/>
      <w:bookmarkEnd w:id="274"/>
      <w:bookmarkStart w:id="275" w:name="_Toc184310339"/>
      <w:bookmarkEnd w:id="275"/>
      <w:bookmarkStart w:id="276" w:name="_Toc184313244"/>
      <w:bookmarkEnd w:id="276"/>
      <w:bookmarkStart w:id="277" w:name="_Toc184310286"/>
      <w:bookmarkEnd w:id="277"/>
      <w:bookmarkStart w:id="278" w:name="_Toc184308036"/>
      <w:bookmarkEnd w:id="278"/>
      <w:bookmarkStart w:id="279" w:name="_Toc184308048"/>
      <w:bookmarkEnd w:id="279"/>
      <w:bookmarkStart w:id="280" w:name="_Toc184314480"/>
      <w:bookmarkEnd w:id="280"/>
      <w:bookmarkStart w:id="281" w:name="_Toc184314463"/>
      <w:bookmarkEnd w:id="281"/>
      <w:bookmarkStart w:id="282" w:name="_Toc184308087"/>
      <w:bookmarkEnd w:id="282"/>
      <w:bookmarkStart w:id="283" w:name="_Toc184310342"/>
      <w:bookmarkEnd w:id="283"/>
      <w:bookmarkStart w:id="284" w:name="_Toc184308041"/>
      <w:bookmarkEnd w:id="284"/>
      <w:bookmarkStart w:id="285" w:name="_Toc184310333"/>
      <w:bookmarkEnd w:id="285"/>
      <w:bookmarkStart w:id="286" w:name="_Toc184308064"/>
      <w:bookmarkEnd w:id="286"/>
      <w:bookmarkStart w:id="287" w:name="_Toc184313263"/>
      <w:bookmarkEnd w:id="287"/>
      <w:bookmarkStart w:id="288" w:name="_Toc184312108"/>
      <w:bookmarkEnd w:id="288"/>
      <w:bookmarkStart w:id="289" w:name="_Toc184310316"/>
      <w:bookmarkEnd w:id="289"/>
      <w:bookmarkStart w:id="290" w:name="_Toc184314410"/>
      <w:bookmarkEnd w:id="290"/>
      <w:bookmarkStart w:id="291" w:name="_Toc184313261"/>
      <w:bookmarkEnd w:id="291"/>
      <w:bookmarkStart w:id="292" w:name="_Toc184308097"/>
      <w:bookmarkEnd w:id="292"/>
      <w:bookmarkStart w:id="293" w:name="_Toc184314471"/>
      <w:bookmarkEnd w:id="293"/>
      <w:bookmarkStart w:id="294" w:name="_Toc184312078"/>
      <w:bookmarkEnd w:id="294"/>
      <w:bookmarkStart w:id="295" w:name="_Toc184310311"/>
      <w:bookmarkEnd w:id="295"/>
      <w:bookmarkStart w:id="296" w:name="_Toc184310300"/>
      <w:bookmarkEnd w:id="296"/>
      <w:bookmarkStart w:id="297" w:name="_Toc184313246"/>
      <w:bookmarkEnd w:id="297"/>
      <w:bookmarkStart w:id="298" w:name="_Toc184312082"/>
      <w:bookmarkEnd w:id="298"/>
      <w:bookmarkStart w:id="299" w:name="_Toc184312120"/>
      <w:bookmarkEnd w:id="299"/>
      <w:bookmarkStart w:id="300" w:name="_Toc184308094"/>
      <w:bookmarkEnd w:id="300"/>
      <w:bookmarkStart w:id="301" w:name="_Toc184310307"/>
      <w:bookmarkEnd w:id="301"/>
      <w:bookmarkStart w:id="302" w:name="_Toc184313301"/>
      <w:bookmarkEnd w:id="302"/>
      <w:bookmarkStart w:id="303" w:name="_Toc184312069"/>
      <w:bookmarkEnd w:id="303"/>
      <w:bookmarkStart w:id="304" w:name="_Toc184308085"/>
      <w:bookmarkEnd w:id="304"/>
      <w:bookmarkStart w:id="305" w:name="_Toc184314458"/>
      <w:bookmarkEnd w:id="305"/>
      <w:bookmarkStart w:id="306" w:name="_Toc184312096"/>
      <w:bookmarkEnd w:id="306"/>
      <w:bookmarkStart w:id="307" w:name="_Toc184312109"/>
      <w:bookmarkEnd w:id="307"/>
      <w:bookmarkStart w:id="308" w:name="_Toc184310318"/>
      <w:bookmarkEnd w:id="308"/>
      <w:bookmarkStart w:id="309" w:name="_Toc184310306"/>
      <w:bookmarkEnd w:id="309"/>
      <w:bookmarkStart w:id="310" w:name="_Toc184313276"/>
      <w:bookmarkEnd w:id="310"/>
      <w:bookmarkStart w:id="311" w:name="_Toc184314460"/>
      <w:bookmarkEnd w:id="311"/>
      <w:bookmarkStart w:id="312" w:name="_Toc184314482"/>
      <w:bookmarkEnd w:id="312"/>
      <w:bookmarkStart w:id="313" w:name="_Toc184314419"/>
      <w:bookmarkEnd w:id="313"/>
      <w:bookmarkStart w:id="314" w:name="_Toc184314445"/>
      <w:bookmarkEnd w:id="314"/>
      <w:bookmarkStart w:id="315" w:name="_Toc184313295"/>
      <w:bookmarkEnd w:id="315"/>
      <w:bookmarkStart w:id="316" w:name="_Toc184310335"/>
      <w:bookmarkEnd w:id="316"/>
      <w:bookmarkStart w:id="317" w:name="_Toc184308040"/>
      <w:bookmarkEnd w:id="317"/>
      <w:bookmarkStart w:id="318" w:name="_Toc184310272"/>
      <w:bookmarkEnd w:id="318"/>
      <w:bookmarkStart w:id="319" w:name="_Toc184310314"/>
      <w:bookmarkEnd w:id="319"/>
      <w:bookmarkStart w:id="320" w:name="_Toc184312111"/>
      <w:bookmarkEnd w:id="320"/>
      <w:bookmarkStart w:id="321" w:name="_Toc184310289"/>
      <w:bookmarkEnd w:id="321"/>
      <w:bookmarkStart w:id="322" w:name="_Toc184314446"/>
      <w:bookmarkEnd w:id="322"/>
      <w:bookmarkStart w:id="323" w:name="_Toc184314412"/>
      <w:bookmarkEnd w:id="323"/>
      <w:bookmarkStart w:id="324" w:name="_Toc184313249"/>
      <w:bookmarkEnd w:id="324"/>
      <w:bookmarkStart w:id="325" w:name="_Toc184310293"/>
      <w:bookmarkEnd w:id="325"/>
      <w:bookmarkStart w:id="326" w:name="_Toc184308093"/>
      <w:bookmarkEnd w:id="326"/>
      <w:bookmarkStart w:id="327" w:name="_Toc184314441"/>
      <w:bookmarkEnd w:id="327"/>
      <w:bookmarkStart w:id="328" w:name="_Toc184314435"/>
      <w:bookmarkEnd w:id="328"/>
      <w:bookmarkStart w:id="329" w:name="_Toc184313259"/>
      <w:bookmarkEnd w:id="329"/>
      <w:bookmarkStart w:id="330" w:name="_Toc184313283"/>
      <w:bookmarkEnd w:id="330"/>
      <w:bookmarkStart w:id="331" w:name="_Toc184310296"/>
      <w:bookmarkEnd w:id="331"/>
      <w:bookmarkStart w:id="332" w:name="_Toc184312079"/>
      <w:bookmarkEnd w:id="332"/>
      <w:bookmarkStart w:id="333" w:name="_Toc184312135"/>
      <w:bookmarkEnd w:id="333"/>
      <w:bookmarkStart w:id="334" w:name="_Toc184312095"/>
      <w:bookmarkEnd w:id="334"/>
      <w:bookmarkStart w:id="335" w:name="_Toc184312080"/>
      <w:bookmarkEnd w:id="335"/>
      <w:bookmarkStart w:id="336" w:name="_Toc184313257"/>
      <w:bookmarkEnd w:id="336"/>
      <w:bookmarkStart w:id="337" w:name="_Toc184310274"/>
      <w:bookmarkEnd w:id="337"/>
      <w:bookmarkStart w:id="338" w:name="_Toc184310337"/>
      <w:bookmarkEnd w:id="338"/>
      <w:bookmarkStart w:id="339" w:name="_Toc184313292"/>
      <w:bookmarkEnd w:id="339"/>
      <w:bookmarkStart w:id="340" w:name="_Toc184314443"/>
      <w:bookmarkEnd w:id="340"/>
      <w:bookmarkStart w:id="341" w:name="_Toc184308067"/>
      <w:bookmarkEnd w:id="341"/>
      <w:bookmarkStart w:id="342" w:name="_Toc184314448"/>
      <w:bookmarkEnd w:id="342"/>
      <w:bookmarkStart w:id="343" w:name="_Toc184312118"/>
      <w:bookmarkEnd w:id="343"/>
      <w:bookmarkStart w:id="344" w:name="_Toc184310321"/>
      <w:bookmarkEnd w:id="344"/>
      <w:bookmarkStart w:id="345" w:name="_Toc184310331"/>
      <w:bookmarkEnd w:id="345"/>
      <w:bookmarkStart w:id="346" w:name="_Toc184313293"/>
      <w:bookmarkEnd w:id="346"/>
      <w:bookmarkStart w:id="347" w:name="_Toc184310279"/>
      <w:bookmarkEnd w:id="347"/>
      <w:bookmarkStart w:id="348" w:name="_Toc184314423"/>
      <w:bookmarkEnd w:id="348"/>
      <w:bookmarkStart w:id="349" w:name="_Toc184308063"/>
      <w:bookmarkEnd w:id="349"/>
      <w:bookmarkStart w:id="350" w:name="_Toc184310291"/>
      <w:bookmarkEnd w:id="350"/>
      <w:bookmarkStart w:id="351" w:name="_Toc184308098"/>
      <w:bookmarkEnd w:id="351"/>
      <w:bookmarkStart w:id="352" w:name="_Toc184308081"/>
      <w:bookmarkEnd w:id="352"/>
      <w:bookmarkStart w:id="353" w:name="_Toc184308047"/>
      <w:bookmarkEnd w:id="353"/>
      <w:bookmarkStart w:id="354" w:name="_Toc184313252"/>
      <w:bookmarkEnd w:id="354"/>
      <w:bookmarkStart w:id="355" w:name="_Toc184312121"/>
      <w:bookmarkEnd w:id="355"/>
      <w:bookmarkStart w:id="356" w:name="_Toc184313284"/>
      <w:bookmarkEnd w:id="356"/>
      <w:bookmarkStart w:id="357" w:name="_Toc184310332"/>
      <w:bookmarkEnd w:id="357"/>
      <w:bookmarkStart w:id="358" w:name="_Toc184308077"/>
      <w:bookmarkEnd w:id="358"/>
      <w:bookmarkStart w:id="359" w:name="_Toc184308051"/>
      <w:bookmarkEnd w:id="359"/>
      <w:bookmarkStart w:id="360" w:name="_Toc184312077"/>
      <w:bookmarkEnd w:id="360"/>
      <w:bookmarkStart w:id="361" w:name="_Toc184314462"/>
      <w:bookmarkEnd w:id="361"/>
      <w:bookmarkStart w:id="362" w:name="_Toc184312090"/>
      <w:bookmarkEnd w:id="362"/>
      <w:bookmarkStart w:id="363" w:name="_Toc184310323"/>
      <w:bookmarkEnd w:id="363"/>
      <w:bookmarkStart w:id="364" w:name="_Toc184310287"/>
      <w:bookmarkEnd w:id="364"/>
      <w:bookmarkStart w:id="365" w:name="_Toc184314470"/>
      <w:bookmarkEnd w:id="365"/>
      <w:bookmarkStart w:id="366" w:name="_Toc184312086"/>
      <w:bookmarkEnd w:id="366"/>
      <w:bookmarkStart w:id="367" w:name="_Toc184308078"/>
      <w:bookmarkEnd w:id="367"/>
      <w:bookmarkStart w:id="368" w:name="_Toc184312088"/>
      <w:bookmarkEnd w:id="368"/>
      <w:bookmarkStart w:id="369" w:name="_Toc184312139"/>
      <w:bookmarkEnd w:id="369"/>
      <w:bookmarkStart w:id="370" w:name="_Toc184310317"/>
      <w:bookmarkEnd w:id="370"/>
      <w:bookmarkStart w:id="371" w:name="_Toc184310343"/>
      <w:bookmarkEnd w:id="371"/>
      <w:bookmarkStart w:id="372" w:name="_Toc184312071"/>
      <w:bookmarkEnd w:id="372"/>
      <w:bookmarkStart w:id="373" w:name="_Toc184310295"/>
      <w:bookmarkEnd w:id="373"/>
      <w:bookmarkStart w:id="374" w:name="_Toc184308095"/>
      <w:bookmarkEnd w:id="374"/>
      <w:bookmarkStart w:id="375" w:name="_Toc184312131"/>
      <w:bookmarkEnd w:id="375"/>
      <w:bookmarkStart w:id="376" w:name="_Toc184314475"/>
      <w:bookmarkEnd w:id="376"/>
      <w:bookmarkStart w:id="377" w:name="_Toc184312127"/>
      <w:bookmarkEnd w:id="377"/>
      <w:bookmarkStart w:id="378" w:name="_Toc184314467"/>
      <w:bookmarkEnd w:id="378"/>
      <w:bookmarkStart w:id="379" w:name="_Toc184313281"/>
      <w:bookmarkEnd w:id="379"/>
      <w:bookmarkStart w:id="380" w:name="_Toc184312133"/>
      <w:bookmarkEnd w:id="380"/>
      <w:bookmarkStart w:id="381" w:name="_Toc184310340"/>
      <w:bookmarkEnd w:id="381"/>
      <w:bookmarkStart w:id="382" w:name="_Toc184314454"/>
      <w:bookmarkEnd w:id="382"/>
      <w:bookmarkStart w:id="383" w:name="_Toc184308079"/>
      <w:bookmarkEnd w:id="383"/>
      <w:bookmarkStart w:id="384" w:name="_Toc184313291"/>
      <w:bookmarkEnd w:id="384"/>
      <w:bookmarkStart w:id="385" w:name="_Toc184314455"/>
      <w:bookmarkEnd w:id="385"/>
      <w:bookmarkStart w:id="386" w:name="_Toc184313253"/>
      <w:bookmarkEnd w:id="386"/>
      <w:bookmarkStart w:id="387" w:name="_Toc184308045"/>
      <w:bookmarkEnd w:id="387"/>
      <w:bookmarkStart w:id="388" w:name="_Toc184312067"/>
      <w:bookmarkEnd w:id="388"/>
      <w:bookmarkStart w:id="389" w:name="_Toc184314451"/>
      <w:bookmarkEnd w:id="389"/>
      <w:bookmarkStart w:id="390" w:name="_Toc184310292"/>
      <w:bookmarkEnd w:id="390"/>
      <w:bookmarkStart w:id="391" w:name="_Toc184312102"/>
      <w:bookmarkEnd w:id="391"/>
      <w:bookmarkStart w:id="392" w:name="_Toc184308044"/>
      <w:bookmarkEnd w:id="392"/>
      <w:bookmarkStart w:id="393" w:name="_Toc184314481"/>
      <w:bookmarkEnd w:id="393"/>
      <w:bookmarkStart w:id="394" w:name="_Toc184312076"/>
      <w:bookmarkEnd w:id="394"/>
      <w:bookmarkStart w:id="395" w:name="_Toc184312092"/>
      <w:bookmarkEnd w:id="395"/>
      <w:bookmarkStart w:id="396" w:name="_Toc184308074"/>
      <w:bookmarkEnd w:id="396"/>
      <w:bookmarkStart w:id="397" w:name="_Toc184314465"/>
      <w:bookmarkEnd w:id="397"/>
      <w:bookmarkStart w:id="398" w:name="_Toc184314413"/>
      <w:bookmarkEnd w:id="398"/>
      <w:bookmarkStart w:id="399" w:name="_Toc184313286"/>
      <w:bookmarkEnd w:id="399"/>
      <w:bookmarkStart w:id="400" w:name="_Toc184314468"/>
      <w:bookmarkEnd w:id="400"/>
      <w:bookmarkStart w:id="401" w:name="_Toc184308070"/>
      <w:bookmarkEnd w:id="401"/>
      <w:bookmarkStart w:id="402" w:name="_Toc184312073"/>
      <w:bookmarkEnd w:id="402"/>
      <w:bookmarkStart w:id="403" w:name="_Toc184308090"/>
      <w:bookmarkEnd w:id="403"/>
      <w:bookmarkStart w:id="404" w:name="_Toc184308106"/>
      <w:bookmarkEnd w:id="404"/>
      <w:bookmarkStart w:id="405" w:name="_Toc184314417"/>
      <w:bookmarkEnd w:id="405"/>
      <w:bookmarkStart w:id="406" w:name="_Toc184314478"/>
      <w:bookmarkEnd w:id="406"/>
      <w:bookmarkStart w:id="407" w:name="_Toc184308065"/>
      <w:bookmarkEnd w:id="407"/>
      <w:bookmarkStart w:id="408" w:name="_Toc184312068"/>
      <w:bookmarkEnd w:id="408"/>
      <w:bookmarkStart w:id="409" w:name="_Toc184312081"/>
      <w:bookmarkEnd w:id="409"/>
      <w:bookmarkStart w:id="410" w:name="_Toc184313238"/>
      <w:bookmarkEnd w:id="410"/>
      <w:bookmarkStart w:id="411" w:name="_Toc184314456"/>
      <w:bookmarkEnd w:id="411"/>
      <w:bookmarkStart w:id="412" w:name="_Toc184308100"/>
      <w:bookmarkEnd w:id="412"/>
      <w:bookmarkStart w:id="413" w:name="_Toc184313299"/>
      <w:bookmarkEnd w:id="413"/>
      <w:bookmarkStart w:id="414" w:name="_Toc184308083"/>
      <w:bookmarkEnd w:id="414"/>
      <w:bookmarkStart w:id="415" w:name="_Toc184310280"/>
      <w:bookmarkEnd w:id="415"/>
      <w:bookmarkStart w:id="416" w:name="_Toc184313240"/>
      <w:bookmarkEnd w:id="416"/>
      <w:bookmarkStart w:id="417" w:name="_Toc184310303"/>
      <w:bookmarkEnd w:id="417"/>
      <w:bookmarkStart w:id="418" w:name="_Toc184308039"/>
      <w:bookmarkEnd w:id="418"/>
      <w:bookmarkStart w:id="419" w:name="_Toc184313250"/>
      <w:bookmarkEnd w:id="419"/>
      <w:bookmarkStart w:id="420" w:name="_Toc184310285"/>
      <w:bookmarkEnd w:id="420"/>
      <w:bookmarkStart w:id="421" w:name="_Toc184312098"/>
      <w:bookmarkEnd w:id="421"/>
      <w:bookmarkStart w:id="422" w:name="_Toc184308061"/>
      <w:bookmarkEnd w:id="422"/>
      <w:bookmarkStart w:id="423" w:name="_Toc184313247"/>
      <w:bookmarkEnd w:id="423"/>
      <w:bookmarkStart w:id="424" w:name="_Toc184310322"/>
      <w:bookmarkEnd w:id="424"/>
      <w:bookmarkStart w:id="425" w:name="_Toc184313255"/>
      <w:bookmarkEnd w:id="425"/>
      <w:bookmarkStart w:id="426" w:name="_Toc184310334"/>
      <w:bookmarkEnd w:id="426"/>
      <w:bookmarkStart w:id="427" w:name="_Toc184308053"/>
      <w:bookmarkEnd w:id="427"/>
      <w:bookmarkStart w:id="428" w:name="_Toc184313272"/>
      <w:bookmarkEnd w:id="428"/>
      <w:bookmarkStart w:id="429" w:name="_Toc184313303"/>
      <w:bookmarkEnd w:id="429"/>
      <w:r>
        <w:rPr>
          <w:rFonts w:hint="eastAsia" w:ascii="仿宋" w:hAnsi="仿宋" w:eastAsia="仿宋" w:cs="仿宋_GB2312"/>
          <w:b/>
          <w:color w:val="auto"/>
          <w:sz w:val="36"/>
          <w:szCs w:val="36"/>
          <w:highlight w:val="none"/>
        </w:rPr>
        <w:t>评标方法及评分标准</w:t>
      </w:r>
    </w:p>
    <w:p>
      <w:pPr>
        <w:snapToGrid w:val="0"/>
        <w:spacing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pPr>
        <w:pStyle w:val="103"/>
        <w:spacing w:before="0"/>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在国企采购活动中，评标委员会的组成人员与供应商有下列利害关系之一的，应当回避：</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3.5与供应商有其他可能影响国企采购活动公平、公正进行的关系。</w:t>
      </w:r>
    </w:p>
    <w:p>
      <w:pPr>
        <w:snapToGrid w:val="0"/>
        <w:spacing w:line="360" w:lineRule="auto"/>
        <w:ind w:left="120" w:leftChars="57" w:firstLine="482" w:firstLineChars="150"/>
        <w:jc w:val="center"/>
        <w:rPr>
          <w:rFonts w:ascii="仿宋" w:hAnsi="仿宋" w:eastAsia="仿宋"/>
          <w:b/>
          <w:color w:val="auto"/>
          <w:sz w:val="32"/>
          <w:szCs w:val="32"/>
          <w:highlight w:val="none"/>
        </w:rPr>
      </w:pPr>
    </w:p>
    <w:p>
      <w:pPr>
        <w:snapToGrid w:val="0"/>
        <w:spacing w:line="360" w:lineRule="auto"/>
        <w:ind w:left="120" w:leftChars="57" w:firstLine="482" w:firstLineChars="150"/>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pPr>
        <w:pStyle w:val="103"/>
        <w:spacing w:before="0"/>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pPr>
        <w:pStyle w:val="103"/>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103"/>
        <w:spacing w:before="0"/>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pPr>
        <w:pStyle w:val="10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pPr>
        <w:pStyle w:val="10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pPr>
        <w:pStyle w:val="10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pPr>
        <w:pStyle w:val="10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pPr>
        <w:pStyle w:val="10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pPr>
        <w:pStyle w:val="10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pPr>
        <w:pStyle w:val="103"/>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pPr>
        <w:pStyle w:val="103"/>
        <w:spacing w:before="0"/>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pPr>
        <w:pStyle w:val="103"/>
        <w:spacing w:before="0"/>
        <w:ind w:firstLine="0" w:firstLineChars="0"/>
        <w:rPr>
          <w:rFonts w:ascii="仿宋" w:hAnsi="仿宋" w:eastAsia="仿宋" w:cs="Arial"/>
          <w:color w:val="auto"/>
          <w:kern w:val="0"/>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10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b/>
          <w:color w:val="auto"/>
          <w:kern w:val="0"/>
          <w:szCs w:val="24"/>
          <w:highlight w:val="none"/>
        </w:rPr>
        <w:t xml:space="preserve"> </w:t>
      </w:r>
      <w:r>
        <w:rPr>
          <w:rFonts w:ascii="仿宋" w:hAnsi="仿宋" w:eastAsia="仿宋" w:cs="Arial"/>
          <w:color w:val="auto"/>
          <w:kern w:val="0"/>
          <w:szCs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pPr>
        <w:pStyle w:val="10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7.投标人澄清、说明或者补正。</w:t>
      </w:r>
      <w:r>
        <w:rPr>
          <w:rFonts w:ascii="仿宋" w:hAnsi="仿宋" w:eastAsia="仿宋" w:cs="Arial"/>
          <w:color w:val="auto"/>
          <w:kern w:val="0"/>
          <w:szCs w:val="24"/>
          <w:highlight w:val="none"/>
        </w:rPr>
        <w:t>对于投标文件中含义不明确、同类问题表述不一致或者有明显文字和计算错误的内容，评标委员会</w:t>
      </w:r>
      <w:r>
        <w:rPr>
          <w:rFonts w:hint="eastAsia" w:ascii="仿宋" w:hAnsi="仿宋" w:eastAsia="仿宋" w:cs="Arial"/>
          <w:color w:val="auto"/>
          <w:kern w:val="0"/>
          <w:szCs w:val="24"/>
          <w:highlight w:val="none"/>
        </w:rPr>
        <w:t>可以书面形式要求投标人通过政采云平台以书面形式</w:t>
      </w:r>
      <w:r>
        <w:rPr>
          <w:rFonts w:ascii="仿宋" w:hAnsi="仿宋" w:eastAsia="仿宋" w:cs="Arial"/>
          <w:color w:val="auto"/>
          <w:kern w:val="0"/>
          <w:szCs w:val="24"/>
          <w:highlight w:val="none"/>
        </w:rPr>
        <w:t>作出必要的澄清、说明或者补正</w:t>
      </w:r>
      <w:r>
        <w:rPr>
          <w:rFonts w:hint="eastAsia" w:ascii="仿宋" w:hAnsi="仿宋" w:eastAsia="仿宋" w:cs="Arial"/>
          <w:color w:val="auto"/>
          <w:kern w:val="0"/>
          <w:szCs w:val="24"/>
          <w:highlight w:val="none"/>
        </w:rPr>
        <w:t>，投标人应在30分钟内提交澄清说明或补正，逾期不提交的视为放弃澄清、说明或补正的权利。</w:t>
      </w:r>
      <w:r>
        <w:rPr>
          <w:rFonts w:ascii="仿宋" w:hAnsi="仿宋" w:eastAsia="仿宋" w:cs="Arial"/>
          <w:color w:val="auto"/>
          <w:kern w:val="0"/>
          <w:szCs w:val="24"/>
          <w:highlight w:val="none"/>
        </w:rPr>
        <w:t>投标人的澄清、说明或者补正不得超出投标文件的范围或者改变投标文件的实质性内容。</w:t>
      </w:r>
    </w:p>
    <w:p>
      <w:pPr>
        <w:pStyle w:val="10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pPr>
        <w:pStyle w:val="10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 xml:space="preserve"> 汇</w:t>
      </w:r>
      <w:r>
        <w:rPr>
          <w:rFonts w:hint="eastAsia" w:ascii="仿宋" w:hAnsi="仿宋" w:eastAsia="仿宋" w:cs="Arial"/>
          <w:b/>
          <w:color w:val="auto"/>
          <w:kern w:val="0"/>
          <w:szCs w:val="24"/>
          <w:highlight w:val="none"/>
        </w:rPr>
        <w:t xml:space="preserve"> </w:t>
      </w:r>
      <w:r>
        <w:rPr>
          <w:rFonts w:ascii="仿宋" w:hAnsi="仿宋" w:eastAsia="仿宋" w:cs="Arial"/>
          <w:b/>
          <w:color w:val="auto"/>
          <w:kern w:val="0"/>
          <w:szCs w:val="24"/>
          <w:highlight w:val="none"/>
        </w:rPr>
        <w:t xml:space="preserve"> 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pPr>
        <w:pStyle w:val="103"/>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10.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10.1评标委员会认为投标人的报价明显低于其他通过符合性审查投标人的报价，有可能影响产品质量或者不能诚信履约的，应当要求其在规定的时间内提供书面说明，必要时提交相关证明材料。</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10.2政采云投标客户端开标一览表内容与投标文件开标一览表(报价表)相应内容不一致的，以投标文件开标一览表(报价表)为准。</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10.3投标价格的修正原则。投标文件报价出现前后不一致的，按照下列规定修正：</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10.3.1投标文件中开标一览表(报价表)内容与投标文件中相应内容不一致的，以开标一览表(报价表)为准;</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10.3.2大写金额和小写金额不一致的，以大写金额为准;</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10.3.3单价金额小数点或者百分比有明显错位的，以开标一览表的总价为准，并修改单价;</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10.3.4总价金额与按单价汇总金额不一致的，以单价金额计算结果为准。</w:t>
      </w:r>
    </w:p>
    <w:p>
      <w:pPr>
        <w:pStyle w:val="103"/>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12.中标候选人推荐。</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12.2多家投标人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pPr>
        <w:pStyle w:val="23"/>
        <w:spacing w:line="360" w:lineRule="auto"/>
        <w:rPr>
          <w:rFonts w:ascii="仿宋" w:hAnsi="仿宋" w:eastAsia="仿宋" w:cs="仿宋_GB2312"/>
          <w:color w:val="auto"/>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color w:val="auto"/>
          <w:highlight w:val="none"/>
        </w:rPr>
        <w:t>有下列情况之一的，投标无效：</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s="仿宋_GB2312"/>
          <w:color w:val="auto"/>
          <w:sz w:val="24"/>
          <w:highlight w:val="none"/>
        </w:rPr>
        <w:t>单位负责人为同一人或者存在直接控股、管理关系的不同供应商参加同一合同项下的国企采购活动的（均无效）；</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r>
        <w:rPr>
          <w:rFonts w:ascii="仿宋" w:hAnsi="仿宋" w:eastAsia="仿宋" w:cs="仿宋_GB2312"/>
          <w:color w:val="auto"/>
          <w:sz w:val="24"/>
          <w:highlight w:val="none"/>
        </w:rPr>
        <w:t xml:space="preserve"> </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13.7投标文件重要信息前后不一致，经评标委员会询标后仍然无法评审的；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13.8投标文件未按照招标文件要求签署、盖章的；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13.9</w:t>
      </w:r>
      <w:r>
        <w:rPr>
          <w:rFonts w:hint="eastAsia" w:ascii="仿宋" w:hAnsi="仿宋" w:eastAsia="仿宋" w:cs="仿宋_GB2312"/>
          <w:color w:val="auto"/>
          <w:sz w:val="24"/>
          <w:highlight w:val="none"/>
        </w:rPr>
        <w:t>投标文件含有采购人不能接受的附加条件的；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13.10</w:t>
      </w:r>
      <w:r>
        <w:rPr>
          <w:rFonts w:hint="eastAsia" w:ascii="仿宋" w:hAnsi="仿宋" w:eastAsia="仿宋" w:cs="仿宋_GB2312"/>
          <w:color w:val="auto"/>
          <w:sz w:val="24"/>
          <w:highlight w:val="none"/>
        </w:rPr>
        <w:t>投标文件中承诺的投标有效期少于招标文件中载明的投标有效期的；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13.11</w:t>
      </w:r>
      <w:r>
        <w:rPr>
          <w:rFonts w:hint="eastAsia" w:ascii="仿宋" w:hAnsi="仿宋" w:eastAsia="仿宋" w:cs="仿宋_GB2312"/>
          <w:color w:val="auto"/>
          <w:sz w:val="24"/>
          <w:highlight w:val="none"/>
        </w:rPr>
        <w:t>投标人所投内容不符合采购需求中实质性要求的；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13.12投标文件出现不是唯一的、有选择性投标报价的;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13.13</w:t>
      </w:r>
      <w:r>
        <w:rPr>
          <w:rFonts w:hint="eastAsia" w:ascii="仿宋" w:hAnsi="仿宋" w:eastAsia="仿宋" w:cs="仿宋_GB2312"/>
          <w:color w:val="auto"/>
          <w:sz w:val="24"/>
          <w:highlight w:val="none"/>
        </w:rPr>
        <w:t>投标报价高于本项目采购预算或者最高限价的;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13.14</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13.15</w:t>
      </w:r>
      <w:r>
        <w:rPr>
          <w:rFonts w:hint="eastAsia" w:ascii="仿宋" w:hAnsi="仿宋" w:eastAsia="仿宋" w:cs="仿宋_GB2312"/>
          <w:color w:val="auto"/>
          <w:sz w:val="24"/>
          <w:highlight w:val="none"/>
        </w:rPr>
        <w:t>《投标（开标）一览表》填写不完整或字迹不能辨认或有漏项的，经评标委员会认定属于重大偏差的；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13.16</w:t>
      </w:r>
      <w:r>
        <w:rPr>
          <w:rFonts w:hint="eastAsia" w:ascii="仿宋" w:hAnsi="仿宋" w:eastAsia="仿宋" w:cs="仿宋_GB2312"/>
          <w:color w:val="auto"/>
          <w:sz w:val="24"/>
          <w:highlight w:val="none"/>
        </w:rPr>
        <w:t>投标人对根据修正原则修正后的报价不确认的；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13.17投标人提供虚假材料投标的（包括但不限于以下情节）；</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13.17.1使用伪造、变造的许可证件；</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13.17.2提供虚假的财务状况或者业绩；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13.17.3提供虚假的项目负责人或者主要技术人员简历、劳动关系证明；</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13.17.4提供虚假的信用状况；</w:t>
      </w:r>
    </w:p>
    <w:p>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17</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13.18投标人有恶意串通、妨碍其他投标人的竞争行为、损害采购人或者其他投标人的合法权益情形的；有下列情形之一的，属于或视为恶意串通，其投标无效：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13.18.1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13.18.2供应商按照采购人或者采购代理机构的授意撤换、修改投标文件或者响应文件；</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13.18.3供应商之间协商报价、技术方案等投标文件或者响应文件的实质性内容；</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13.18.4属于同一集团、协会、商会等组织成员的供应商按照该组织要求协同参加国企采购活动；</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13.18.5供应商之间事先约定由某一特定供应商中标、成交；</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13.18.6供应商之间商定部分供应商放弃参加国企采购活动或者放弃中标、成交；</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13.18.8不同投标人的投标文件由同一单位或者个人编制；</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13.18.9不同投标人委托同一单位或者个人办理投标事宜；</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13.18.10不同投标人的投标文件载明的项目管理成员或者联系人员为同一人；</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13.18.11不同投标人的投标文件异常一致或者投标报价呈规律性差异；</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13.18.12不同投标人的投标文件相互混装；</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13.19违反法律、法规及本招标文件规定的其它无效投标情形。 </w:t>
      </w:r>
    </w:p>
    <w:p>
      <w:pPr>
        <w:spacing w:line="360" w:lineRule="auto"/>
        <w:ind w:firstLine="240" w:firstLineChars="100"/>
        <w:rPr>
          <w:rFonts w:ascii="仿宋" w:hAnsi="仿宋" w:eastAsia="仿宋" w:cs="仿宋_GB2312"/>
          <w:color w:val="auto"/>
          <w:sz w:val="24"/>
          <w:szCs w:val="21"/>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r>
        <w:rPr>
          <w:rFonts w:ascii="仿宋" w:hAnsi="仿宋" w:eastAsia="仿宋" w:cs="仿宋_GB2312"/>
          <w:b/>
          <w:color w:val="auto"/>
          <w:sz w:val="32"/>
          <w:highlight w:val="none"/>
        </w:rPr>
        <w:t xml:space="preserve"> </w:t>
      </w:r>
    </w:p>
    <w:p>
      <w:pPr>
        <w:pStyle w:val="103"/>
        <w:adjustRightInd/>
        <w:spacing w:before="0"/>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 xml:space="preserve"> 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 xml:space="preserve"> </w:t>
      </w:r>
      <w:r>
        <w:rPr>
          <w:rFonts w:hint="eastAsia" w:ascii="仿宋" w:hAnsi="仿宋" w:eastAsia="仿宋" w:cs="仿宋_GB2312"/>
          <w:b/>
          <w:color w:val="auto"/>
          <w:sz w:val="24"/>
          <w:highlight w:val="none"/>
        </w:rPr>
        <w:t>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auto"/>
          <w:sz w:val="24"/>
          <w:highlight w:val="none"/>
        </w:rPr>
      </w:pPr>
    </w:p>
    <w:p>
      <w:pPr>
        <w:widowControl/>
        <w:adjustRightInd/>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pStyle w:val="23"/>
        <w:snapToGrid w:val="0"/>
        <w:spacing w:line="360" w:lineRule="auto"/>
        <w:ind w:firstLine="482"/>
        <w:rPr>
          <w:rFonts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在采购中，出现下列情形之一的，应予废标：</w:t>
      </w:r>
    </w:p>
    <w:p>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七、评审过程的保密与录像</w:t>
      </w:r>
    </w:p>
    <w:p>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17.保密。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18.录音录像。</w:t>
      </w:r>
      <w:r>
        <w:rPr>
          <w:rFonts w:hint="eastAsia" w:ascii="仿宋" w:hAnsi="仿宋" w:eastAsia="仿宋" w:cs="仿宋_GB2312"/>
          <w:color w:val="auto"/>
          <w:sz w:val="24"/>
          <w:highlight w:val="none"/>
          <w:lang w:val="en-US" w:eastAsia="zh-CN"/>
        </w:rPr>
        <w:t>采购人</w:t>
      </w:r>
      <w:r>
        <w:rPr>
          <w:rFonts w:hint="eastAsia" w:ascii="仿宋" w:hAnsi="仿宋" w:eastAsia="仿宋" w:cs="仿宋_GB2312"/>
          <w:color w:val="auto"/>
          <w:sz w:val="24"/>
          <w:highlight w:val="none"/>
        </w:rPr>
        <w:t>对评审工作现场进行全过程录音录像，录音录像资料作为采购项目文件随其他文件一并存档。</w:t>
      </w: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pStyle w:val="59"/>
        <w:rPr>
          <w:color w:val="auto"/>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八、具体评标标准</w:t>
      </w:r>
    </w:p>
    <w:p>
      <w:pPr>
        <w:widowControl/>
        <w:spacing w:line="360" w:lineRule="auto"/>
        <w:ind w:firstLine="480" w:firstLineChars="200"/>
        <w:rPr>
          <w:rFonts w:ascii="仿宋" w:hAnsi="仿宋" w:eastAsia="仿宋" w:cs="仿宋_GB2312"/>
          <w:color w:val="auto"/>
          <w:sz w:val="24"/>
          <w:highlight w:val="none"/>
        </w:rPr>
      </w:pPr>
      <w:bookmarkStart w:id="430" w:name="gxebd_pack_1_EvalFactorAccordEnd"/>
      <w:bookmarkEnd w:id="430"/>
      <w:r>
        <w:rPr>
          <w:rFonts w:hint="eastAsia" w:ascii="仿宋" w:hAnsi="仿宋" w:eastAsia="仿宋" w:cs="仿宋_GB2312"/>
          <w:color w:val="auto"/>
          <w:sz w:val="24"/>
          <w:highlight w:val="none"/>
        </w:rPr>
        <w:t>19.商务技术分（</w:t>
      </w:r>
      <w:r>
        <w:rPr>
          <w:rFonts w:hint="eastAsia" w:ascii="仿宋" w:hAnsi="仿宋" w:eastAsia="仿宋" w:cs="Arial"/>
          <w:color w:val="auto"/>
          <w:kern w:val="0"/>
          <w:sz w:val="24"/>
          <w:highlight w:val="none"/>
          <w:lang w:val="en-US" w:eastAsia="zh-CN"/>
        </w:rPr>
        <w:t>70</w:t>
      </w:r>
      <w:r>
        <w:rPr>
          <w:rFonts w:hint="eastAsia" w:ascii="仿宋" w:hAnsi="仿宋" w:eastAsia="仿宋" w:cs="仿宋_GB2312"/>
          <w:color w:val="auto"/>
          <w:sz w:val="24"/>
          <w:highlight w:val="none"/>
        </w:rPr>
        <w:t>分）</w:t>
      </w:r>
    </w:p>
    <w:tbl>
      <w:tblPr>
        <w:tblStyle w:val="61"/>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038"/>
        <w:gridCol w:w="674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noWrap w:val="0"/>
            <w:vAlign w:val="center"/>
          </w:tcPr>
          <w:p>
            <w:pPr>
              <w:widowControl/>
              <w:adjustRightInd/>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类别</w:t>
            </w:r>
          </w:p>
        </w:tc>
        <w:tc>
          <w:tcPr>
            <w:tcW w:w="1038" w:type="dxa"/>
            <w:noWrap w:val="0"/>
            <w:vAlign w:val="center"/>
          </w:tcPr>
          <w:p>
            <w:pPr>
              <w:adjustRightInd/>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w:t>
            </w:r>
          </w:p>
        </w:tc>
        <w:tc>
          <w:tcPr>
            <w:tcW w:w="6745" w:type="dxa"/>
            <w:noWrap w:val="0"/>
            <w:vAlign w:val="center"/>
          </w:tcPr>
          <w:p>
            <w:pPr>
              <w:adjustRightInd/>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c>
        <w:tc>
          <w:tcPr>
            <w:tcW w:w="726" w:type="dxa"/>
            <w:noWrap w:val="0"/>
            <w:vAlign w:val="center"/>
          </w:tcPr>
          <w:p>
            <w:pPr>
              <w:widowControl/>
              <w:adjustRightInd/>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62" w:type="dxa"/>
            <w:vMerge w:val="restart"/>
            <w:noWrap w:val="0"/>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w:t>
            </w:r>
          </w:p>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分）</w:t>
            </w:r>
          </w:p>
        </w:tc>
        <w:tc>
          <w:tcPr>
            <w:tcW w:w="1038" w:type="dxa"/>
            <w:noWrap w:val="0"/>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企业综合实力（3分）</w:t>
            </w:r>
          </w:p>
        </w:tc>
        <w:tc>
          <w:tcPr>
            <w:tcW w:w="6745" w:type="dxa"/>
            <w:noWrap w:val="0"/>
            <w:vAlign w:val="center"/>
          </w:tcPr>
          <w:p>
            <w:pPr>
              <w:tabs>
                <w:tab w:val="left" w:pos="0"/>
              </w:tabs>
              <w:snapToGrid w:val="0"/>
              <w:rPr>
                <w:rFonts w:ascii="仿宋" w:hAnsi="仿宋" w:eastAsia="仿宋" w:cs="仿宋"/>
                <w:color w:val="auto"/>
                <w:sz w:val="24"/>
                <w:highlight w:val="none"/>
              </w:rPr>
            </w:pPr>
            <w:r>
              <w:rPr>
                <w:rFonts w:hint="eastAsia" w:ascii="仿宋" w:hAnsi="仿宋" w:eastAsia="仿宋" w:cs="仿宋"/>
                <w:color w:val="auto"/>
                <w:sz w:val="24"/>
                <w:highlight w:val="none"/>
              </w:rPr>
              <w:t>供应商具有有效期内的质量管理体系认证书（</w:t>
            </w:r>
            <w:r>
              <w:rPr>
                <w:rFonts w:ascii="仿宋" w:hAnsi="仿宋" w:eastAsia="仿宋" w:cs="仿宋"/>
                <w:color w:val="auto"/>
                <w:sz w:val="24"/>
                <w:highlight w:val="none"/>
              </w:rPr>
              <w:t>ISO9001）、环境管理体系认证书（ISO14001）、职业健康安全管理体系认证证书（GB/T28001或OHSAS18001或ISO45001）的，每项得1分，最高得3分。</w:t>
            </w:r>
          </w:p>
          <w:p>
            <w:pPr>
              <w:widowControl/>
              <w:adjustRightInd/>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注：投标文件中须提供证书复印件加盖投标供应商公章，并提供国家认证认可查询平台（</w:t>
            </w:r>
            <w:r>
              <w:rPr>
                <w:rFonts w:ascii="仿宋" w:hAnsi="仿宋" w:eastAsia="仿宋" w:cs="仿宋"/>
                <w:b/>
                <w:bCs/>
                <w:color w:val="auto"/>
                <w:sz w:val="24"/>
                <w:highlight w:val="none"/>
              </w:rPr>
              <w:t>http://cx.cnca.cn/CertECloud/result/skipResultList）网上查询截图加盖公章，未提供或未在有效期限内不得分。</w:t>
            </w:r>
          </w:p>
        </w:tc>
        <w:tc>
          <w:tcPr>
            <w:tcW w:w="726" w:type="dxa"/>
            <w:noWrap w:val="0"/>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62" w:type="dxa"/>
            <w:vMerge w:val="continue"/>
            <w:noWrap w:val="0"/>
            <w:vAlign w:val="center"/>
          </w:tcPr>
          <w:p>
            <w:pPr>
              <w:widowControl/>
              <w:adjustRightInd/>
              <w:rPr>
                <w:rFonts w:hint="eastAsia" w:ascii="仿宋" w:hAnsi="仿宋" w:eastAsia="仿宋" w:cs="仿宋"/>
                <w:color w:val="auto"/>
                <w:sz w:val="24"/>
                <w:highlight w:val="none"/>
              </w:rPr>
            </w:pPr>
          </w:p>
        </w:tc>
        <w:tc>
          <w:tcPr>
            <w:tcW w:w="1038" w:type="dxa"/>
            <w:noWrap w:val="0"/>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同类业绩</w:t>
            </w:r>
          </w:p>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6745" w:type="dxa"/>
            <w:noWrap w:val="0"/>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2021年1月1日以来（以合同签订日期为准），</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承担过类似的物业管理服务的业绩的，每个项目得1分，最多得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pStyle w:val="57"/>
              <w:jc w:val="both"/>
              <w:rPr>
                <w:rFonts w:hint="eastAsia"/>
                <w:color w:val="auto"/>
                <w:highlight w:val="none"/>
              </w:rPr>
            </w:pPr>
            <w:r>
              <w:rPr>
                <w:rFonts w:hint="eastAsia" w:ascii="仿宋" w:hAnsi="仿宋" w:eastAsia="仿宋" w:cs="仿宋"/>
                <w:b/>
                <w:bCs w:val="0"/>
                <w:color w:val="auto"/>
                <w:highlight w:val="none"/>
              </w:rPr>
              <w:t>注：投标文件中提供合同复印件</w:t>
            </w:r>
            <w:r>
              <w:rPr>
                <w:rFonts w:hint="eastAsia" w:ascii="仿宋" w:hAnsi="仿宋" w:eastAsia="仿宋" w:cs="仿宋"/>
                <w:b/>
                <w:bCs w:val="0"/>
                <w:color w:val="auto"/>
                <w:highlight w:val="none"/>
                <w:lang w:val="en-US" w:eastAsia="zh-CN"/>
              </w:rPr>
              <w:t>并</w:t>
            </w:r>
            <w:r>
              <w:rPr>
                <w:rFonts w:hint="eastAsia" w:ascii="仿宋" w:hAnsi="仿宋" w:eastAsia="仿宋" w:cs="仿宋"/>
                <w:b/>
                <w:bCs w:val="0"/>
                <w:color w:val="auto"/>
                <w:highlight w:val="none"/>
              </w:rPr>
              <w:t>加盖</w:t>
            </w:r>
            <w:r>
              <w:rPr>
                <w:rFonts w:hint="eastAsia" w:ascii="仿宋" w:hAnsi="仿宋" w:eastAsia="仿宋" w:cs="仿宋"/>
                <w:b/>
                <w:bCs w:val="0"/>
                <w:color w:val="auto"/>
                <w:highlight w:val="none"/>
                <w:lang w:val="en-US" w:eastAsia="zh-CN"/>
              </w:rPr>
              <w:t>供应商</w:t>
            </w:r>
            <w:r>
              <w:rPr>
                <w:rFonts w:hint="eastAsia" w:ascii="仿宋" w:hAnsi="仿宋" w:eastAsia="仿宋" w:cs="仿宋"/>
                <w:b/>
                <w:bCs w:val="0"/>
                <w:color w:val="auto"/>
                <w:highlight w:val="none"/>
              </w:rPr>
              <w:t>公章，否则不得分。续签合同不重复计分，同一项目业绩只能算一次。</w:t>
            </w:r>
          </w:p>
        </w:tc>
        <w:tc>
          <w:tcPr>
            <w:tcW w:w="726" w:type="dxa"/>
            <w:noWrap w:val="0"/>
            <w:vAlign w:val="center"/>
          </w:tcPr>
          <w:p>
            <w:pPr>
              <w:widowControl/>
              <w:adjustRightInd/>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262" w:type="dxa"/>
            <w:vMerge w:val="continue"/>
            <w:noWrap w:val="0"/>
            <w:vAlign w:val="center"/>
          </w:tcPr>
          <w:p>
            <w:pPr>
              <w:widowControl/>
              <w:adjustRightInd/>
              <w:rPr>
                <w:rFonts w:hint="eastAsia" w:ascii="仿宋" w:hAnsi="仿宋" w:eastAsia="仿宋" w:cs="仿宋"/>
                <w:color w:val="auto"/>
                <w:sz w:val="24"/>
                <w:highlight w:val="none"/>
              </w:rPr>
            </w:pPr>
          </w:p>
        </w:tc>
        <w:tc>
          <w:tcPr>
            <w:tcW w:w="103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物业管理团队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p>
        </w:tc>
        <w:tc>
          <w:tcPr>
            <w:tcW w:w="6745" w:type="dxa"/>
            <w:noWrap w:val="0"/>
            <w:vAlign w:val="center"/>
          </w:tcPr>
          <w:p>
            <w:pPr>
              <w:numPr>
                <w:ilvl w:val="0"/>
                <w:numId w:val="8"/>
              </w:num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拟派物业经理具有本科及以上学历</w:t>
            </w:r>
            <w:bookmarkStart w:id="431" w:name="OLE_LINK4"/>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物业管理师三级及以上职业资格证书或职业技能等级证书</w:t>
            </w:r>
            <w:bookmarkEnd w:id="431"/>
            <w:r>
              <w:rPr>
                <w:rFonts w:hint="eastAsia" w:ascii="仿宋" w:hAnsi="仿宋" w:eastAsia="仿宋" w:cs="仿宋"/>
                <w:color w:val="auto"/>
                <w:sz w:val="24"/>
                <w:highlight w:val="none"/>
                <w:lang w:val="en-US" w:eastAsia="zh-CN"/>
              </w:rPr>
              <w:t>，</w:t>
            </w:r>
            <w:r>
              <w:rPr>
                <w:rFonts w:ascii="仿宋" w:hAnsi="仿宋" w:eastAsia="仿宋" w:cs="仿宋"/>
                <w:color w:val="auto"/>
                <w:sz w:val="24"/>
                <w:highlight w:val="none"/>
              </w:rPr>
              <w:t>每满足1项得2分，最高得4分。</w:t>
            </w:r>
          </w:p>
          <w:p>
            <w:pPr>
              <w:numPr>
                <w:ilvl w:val="0"/>
                <w:numId w:val="8"/>
              </w:numPr>
              <w:autoSpaceDE w:val="0"/>
              <w:autoSpaceDN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拟派工程员具有电工一级的职业资格证书或职业技能等级证书的得2分；本项最多得2分。</w:t>
            </w:r>
          </w:p>
          <w:p>
            <w:pPr>
              <w:numPr>
                <w:ilvl w:val="0"/>
                <w:numId w:val="8"/>
              </w:num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拟派保安主管</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en-US" w:eastAsia="zh-CN"/>
              </w:rPr>
              <w:t>大专</w:t>
            </w:r>
            <w:r>
              <w:rPr>
                <w:rFonts w:hint="eastAsia" w:ascii="仿宋" w:hAnsi="仿宋" w:eastAsia="仿宋" w:cs="仿宋"/>
                <w:color w:val="auto"/>
                <w:sz w:val="24"/>
                <w:highlight w:val="none"/>
              </w:rPr>
              <w:t>及以上学历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保安员三级及以上职业资格证书或职业技能等级证书，</w:t>
            </w:r>
            <w:r>
              <w:rPr>
                <w:rFonts w:ascii="仿宋" w:hAnsi="仿宋" w:eastAsia="仿宋" w:cs="仿宋"/>
                <w:color w:val="auto"/>
                <w:sz w:val="24"/>
                <w:highlight w:val="none"/>
              </w:rPr>
              <w:t>每满足1项得</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分。</w:t>
            </w:r>
          </w:p>
          <w:p>
            <w:pPr>
              <w:keepNext w:val="0"/>
              <w:keepLines w:val="0"/>
              <w:pageBreakBefore w:val="0"/>
              <w:widowControl/>
              <w:numPr>
                <w:ilvl w:val="0"/>
                <w:numId w:val="0"/>
              </w:numPr>
              <w:kinsoku/>
              <w:wordWrap/>
              <w:topLinePunct w:val="0"/>
              <w:bidi w:val="0"/>
              <w:adjustRightInd/>
              <w:spacing w:line="24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注：上述材料需提供相应证明或证书复印件</w:t>
            </w:r>
            <w:r>
              <w:rPr>
                <w:rFonts w:hint="eastAsia" w:ascii="仿宋" w:hAnsi="仿宋" w:eastAsia="仿宋" w:cs="仿宋"/>
                <w:b/>
                <w:bCs/>
                <w:color w:val="auto"/>
                <w:sz w:val="24"/>
                <w:highlight w:val="none"/>
                <w:lang w:val="en-US" w:eastAsia="zh-CN"/>
              </w:rPr>
              <w:t>及本单位近三个月社保缴纳证明并</w:t>
            </w:r>
            <w:r>
              <w:rPr>
                <w:rFonts w:hint="eastAsia" w:ascii="仿宋" w:hAnsi="仿宋" w:eastAsia="仿宋" w:cs="仿宋"/>
                <w:b/>
                <w:bCs/>
                <w:color w:val="auto"/>
                <w:sz w:val="24"/>
                <w:highlight w:val="none"/>
              </w:rPr>
              <w:t>加盖</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公章。</w:t>
            </w:r>
          </w:p>
        </w:tc>
        <w:tc>
          <w:tcPr>
            <w:tcW w:w="726" w:type="dxa"/>
            <w:noWrap w:val="0"/>
            <w:vAlign w:val="center"/>
          </w:tcPr>
          <w:p>
            <w:pPr>
              <w:widowControl/>
              <w:adjustRightInd/>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62" w:type="dxa"/>
            <w:vMerge w:val="restart"/>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技术方案（</w:t>
            </w:r>
            <w:r>
              <w:rPr>
                <w:rFonts w:hint="eastAsia" w:ascii="仿宋" w:hAnsi="仿宋" w:eastAsia="仿宋" w:cs="仿宋"/>
                <w:color w:val="auto"/>
                <w:sz w:val="24"/>
                <w:highlight w:val="none"/>
                <w:lang w:val="en-US" w:eastAsia="zh-CN"/>
              </w:rPr>
              <w:t>56分</w:t>
            </w:r>
            <w:r>
              <w:rPr>
                <w:rFonts w:hint="eastAsia" w:ascii="仿宋" w:hAnsi="仿宋" w:eastAsia="仿宋" w:cs="仿宋"/>
                <w:color w:val="auto"/>
                <w:sz w:val="24"/>
                <w:highlight w:val="none"/>
              </w:rPr>
              <w:t>）</w:t>
            </w:r>
          </w:p>
        </w:tc>
        <w:tc>
          <w:tcPr>
            <w:tcW w:w="1038" w:type="dxa"/>
            <w:noWrap w:val="0"/>
            <w:vAlign w:val="top"/>
          </w:tcPr>
          <w:p>
            <w:pPr>
              <w:keepNext w:val="0"/>
              <w:keepLines w:val="0"/>
              <w:pageBreakBefore w:val="0"/>
              <w:kinsoku/>
              <w:wordWrap/>
              <w:topLinePunct w:val="0"/>
              <w:bidi w:val="0"/>
              <w:spacing w:line="24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公司管理制度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6745" w:type="dxa"/>
            <w:noWrap w:val="0"/>
            <w:vAlign w:val="center"/>
          </w:tcPr>
          <w:p>
            <w:pPr>
              <w:keepNext w:val="0"/>
              <w:keepLines w:val="0"/>
              <w:pageBreakBefore w:val="0"/>
              <w:widowControl/>
              <w:kinsoku/>
              <w:wordWrap/>
              <w:topLinePunct w:val="0"/>
              <w:bidi w:val="0"/>
              <w:adjustRightInd/>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根据本项目情况，制定完善的物业管理制度、作业流程及物业管理工作计划及实施时间，并建立和完善档案管理制度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针对本项目日常服务管理特点和难点进行分析，整体调查分析到位、问题抓准；体现标准化服务，管理服务水平符合国家和行业标准</w:t>
            </w:r>
            <w:r>
              <w:rPr>
                <w:rFonts w:hint="eastAsia" w:ascii="仿宋" w:hAnsi="仿宋" w:eastAsia="仿宋" w:cs="仿宋"/>
                <w:color w:val="auto"/>
                <w:sz w:val="24"/>
                <w:highlight w:val="none"/>
                <w:lang w:val="en-US" w:eastAsia="zh-CN"/>
              </w:rPr>
              <w:t>等方面进行打分。</w:t>
            </w:r>
          </w:p>
          <w:p>
            <w:pPr>
              <w:keepNext w:val="0"/>
              <w:keepLines w:val="0"/>
              <w:pageBreakBefore w:val="0"/>
              <w:widowControl/>
              <w:kinsoku/>
              <w:wordWrap/>
              <w:topLinePunct w:val="0"/>
              <w:bidi w:val="0"/>
              <w:adjustRightInd/>
              <w:spacing w:line="240" w:lineRule="auto"/>
              <w:jc w:val="left"/>
              <w:rPr>
                <w:rFonts w:hint="eastAsia"/>
                <w:color w:val="auto"/>
                <w:highlight w:val="none"/>
              </w:rPr>
            </w:pPr>
            <w:r>
              <w:rPr>
                <w:rFonts w:hint="eastAsia" w:ascii="仿宋" w:hAnsi="仿宋" w:eastAsia="仿宋" w:cs="仿宋"/>
                <w:b/>
                <w:bCs/>
                <w:color w:val="auto"/>
                <w:sz w:val="24"/>
                <w:szCs w:val="24"/>
                <w:highlight w:val="none"/>
              </w:rPr>
              <w:t>内容完善可实施性强得</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分，内容基本完善可实施得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分，内容简单、一般得</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分，内容可行性较差得</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分，不符合不得分。</w:t>
            </w:r>
          </w:p>
        </w:tc>
        <w:tc>
          <w:tcPr>
            <w:tcW w:w="726" w:type="dxa"/>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p>
        </w:tc>
        <w:tc>
          <w:tcPr>
            <w:tcW w:w="1038" w:type="dxa"/>
            <w:vMerge w:val="restart"/>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项目实施方案（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c>
        <w:tc>
          <w:tcPr>
            <w:tcW w:w="6745" w:type="dxa"/>
            <w:noWrap w:val="0"/>
            <w:vAlign w:val="top"/>
          </w:tcPr>
          <w:p>
            <w:pPr>
              <w:pStyle w:val="57"/>
              <w:keepNext w:val="0"/>
              <w:keepLines w:val="0"/>
              <w:pageBreakBefore w:val="0"/>
              <w:kinsoku/>
              <w:wordWrap/>
              <w:topLinePunct w:val="0"/>
              <w:bidi w:val="0"/>
              <w:spacing w:line="240" w:lineRule="auto"/>
              <w:jc w:val="both"/>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lang w:val="en-US" w:eastAsia="zh-CN"/>
              </w:rPr>
              <w:t>1.安保方案</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分）</w:t>
            </w:r>
          </w:p>
          <w:p>
            <w:pPr>
              <w:pStyle w:val="57"/>
              <w:keepNext w:val="0"/>
              <w:keepLines w:val="0"/>
              <w:pageBreakBefore w:val="0"/>
              <w:kinsoku/>
              <w:wordWrap/>
              <w:topLinePunct w:val="0"/>
              <w:bidi w:val="0"/>
              <w:spacing w:line="240" w:lineRule="auto"/>
              <w:jc w:val="both"/>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lang w:val="en-US"/>
              </w:rPr>
              <w:t>根据本招标项目实际情况制定安保方案，</w:t>
            </w:r>
            <w:r>
              <w:rPr>
                <w:rFonts w:hint="eastAsia" w:ascii="仿宋" w:hAnsi="仿宋" w:eastAsia="仿宋" w:cs="仿宋"/>
                <w:b w:val="0"/>
                <w:color w:val="auto"/>
                <w:kern w:val="2"/>
                <w:sz w:val="24"/>
                <w:szCs w:val="24"/>
                <w:highlight w:val="none"/>
                <w:lang w:val="en-US" w:eastAsia="zh-CN"/>
              </w:rPr>
              <w:t>包括但不限于</w:t>
            </w:r>
            <w:r>
              <w:rPr>
                <w:rFonts w:hint="eastAsia" w:ascii="仿宋" w:hAnsi="仿宋" w:eastAsia="仿宋" w:cs="仿宋"/>
                <w:b w:val="0"/>
                <w:color w:val="auto"/>
                <w:kern w:val="2"/>
                <w:sz w:val="24"/>
                <w:szCs w:val="24"/>
                <w:highlight w:val="none"/>
                <w:lang w:val="en-US"/>
              </w:rPr>
              <w:t>服务能力和服务标准、服务岗位设置及工作职责、服务要求与原则、消防管理服务及车辆管理服务等</w:t>
            </w:r>
            <w:r>
              <w:rPr>
                <w:rFonts w:hint="eastAsia" w:ascii="仿宋" w:hAnsi="仿宋" w:eastAsia="仿宋" w:cs="仿宋"/>
                <w:b w:val="0"/>
                <w:color w:val="auto"/>
                <w:kern w:val="2"/>
                <w:sz w:val="24"/>
                <w:szCs w:val="24"/>
                <w:highlight w:val="none"/>
                <w:lang w:val="en-US" w:eastAsia="zh-CN"/>
              </w:rPr>
              <w:t>。</w:t>
            </w:r>
          </w:p>
          <w:p>
            <w:pPr>
              <w:pStyle w:val="2"/>
              <w:keepNext w:val="0"/>
              <w:keepLines w:val="0"/>
              <w:pageBreakBefore w:val="0"/>
              <w:numPr>
                <w:ilvl w:val="0"/>
                <w:numId w:val="0"/>
              </w:numPr>
              <w:kinsoku/>
              <w:wordWrap/>
              <w:topLinePunct w:val="0"/>
              <w:bidi w:val="0"/>
              <w:adjustRightInd/>
              <w:spacing w:line="240" w:lineRule="auto"/>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en-US"/>
              </w:rPr>
              <w:t>内容完善可实施性强得</w:t>
            </w:r>
            <w:r>
              <w:rPr>
                <w:rFonts w:hint="eastAsia" w:ascii="仿宋" w:hAnsi="仿宋" w:eastAsia="仿宋" w:cs="仿宋"/>
                <w:b/>
                <w:bCs/>
                <w:color w:val="auto"/>
                <w:kern w:val="2"/>
                <w:sz w:val="24"/>
                <w:szCs w:val="24"/>
                <w:highlight w:val="none"/>
                <w:lang w:val="en-US" w:eastAsia="zh-CN"/>
              </w:rPr>
              <w:t>5</w:t>
            </w:r>
            <w:r>
              <w:rPr>
                <w:rFonts w:hint="eastAsia" w:ascii="仿宋" w:hAnsi="仿宋" w:eastAsia="仿宋" w:cs="仿宋"/>
                <w:b/>
                <w:bCs/>
                <w:color w:val="auto"/>
                <w:kern w:val="2"/>
                <w:sz w:val="24"/>
                <w:szCs w:val="24"/>
                <w:highlight w:val="none"/>
                <w:lang w:val="en-US"/>
              </w:rPr>
              <w:t>分，内容基本完善可实施得</w:t>
            </w:r>
            <w:r>
              <w:rPr>
                <w:rFonts w:hint="eastAsia" w:ascii="仿宋" w:hAnsi="仿宋" w:eastAsia="仿宋" w:cs="仿宋"/>
                <w:b/>
                <w:bCs/>
                <w:color w:val="auto"/>
                <w:kern w:val="2"/>
                <w:sz w:val="24"/>
                <w:szCs w:val="24"/>
                <w:highlight w:val="none"/>
                <w:lang w:val="en-US" w:eastAsia="zh-CN"/>
              </w:rPr>
              <w:t>3</w:t>
            </w:r>
            <w:r>
              <w:rPr>
                <w:rFonts w:hint="eastAsia" w:ascii="仿宋" w:hAnsi="仿宋" w:eastAsia="仿宋" w:cs="仿宋"/>
                <w:b/>
                <w:bCs/>
                <w:color w:val="auto"/>
                <w:kern w:val="2"/>
                <w:sz w:val="24"/>
                <w:szCs w:val="24"/>
                <w:highlight w:val="none"/>
                <w:lang w:val="en-US"/>
              </w:rPr>
              <w:t>分，内容简单、一般得</w:t>
            </w: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lang w:val="en-US"/>
              </w:rPr>
              <w:t>分，内容可行性较差得</w:t>
            </w:r>
            <w:r>
              <w:rPr>
                <w:rFonts w:hint="eastAsia" w:ascii="仿宋" w:hAnsi="仿宋" w:eastAsia="仿宋" w:cs="仿宋"/>
                <w:b/>
                <w:bCs/>
                <w:color w:val="auto"/>
                <w:kern w:val="2"/>
                <w:sz w:val="24"/>
                <w:szCs w:val="24"/>
                <w:highlight w:val="none"/>
                <w:lang w:val="en-US" w:eastAsia="zh-CN"/>
              </w:rPr>
              <w:t>1</w:t>
            </w:r>
            <w:r>
              <w:rPr>
                <w:rFonts w:hint="eastAsia" w:ascii="仿宋" w:hAnsi="仿宋" w:eastAsia="仿宋" w:cs="仿宋"/>
                <w:b/>
                <w:bCs/>
                <w:color w:val="auto"/>
                <w:kern w:val="2"/>
                <w:sz w:val="24"/>
                <w:szCs w:val="24"/>
                <w:highlight w:val="none"/>
                <w:lang w:val="en-US"/>
              </w:rPr>
              <w:t>分，</w:t>
            </w:r>
            <w:r>
              <w:rPr>
                <w:rFonts w:hint="eastAsia" w:ascii="仿宋" w:hAnsi="仿宋" w:eastAsia="仿宋" w:cs="仿宋"/>
                <w:b/>
                <w:bCs/>
                <w:color w:val="auto"/>
                <w:sz w:val="24"/>
                <w:szCs w:val="24"/>
                <w:highlight w:val="none"/>
              </w:rPr>
              <w:t>不符合不得分。</w:t>
            </w:r>
          </w:p>
        </w:tc>
        <w:tc>
          <w:tcPr>
            <w:tcW w:w="726" w:type="dxa"/>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jc w:val="left"/>
              <w:rPr>
                <w:rFonts w:hint="eastAsia" w:ascii="仿宋" w:hAnsi="仿宋" w:eastAsia="仿宋" w:cs="仿宋"/>
                <w:color w:val="auto"/>
                <w:sz w:val="24"/>
                <w:highlight w:val="none"/>
              </w:rPr>
            </w:pPr>
          </w:p>
        </w:tc>
        <w:tc>
          <w:tcPr>
            <w:tcW w:w="1038" w:type="dxa"/>
            <w:vMerge w:val="continue"/>
            <w:noWrap w:val="0"/>
            <w:vAlign w:val="center"/>
          </w:tcPr>
          <w:p>
            <w:pPr>
              <w:keepNext w:val="0"/>
              <w:keepLines w:val="0"/>
              <w:pageBreakBefore w:val="0"/>
              <w:widowControl/>
              <w:kinsoku/>
              <w:wordWrap/>
              <w:topLinePunct w:val="0"/>
              <w:bidi w:val="0"/>
              <w:adjustRightInd/>
              <w:spacing w:line="240" w:lineRule="auto"/>
              <w:jc w:val="left"/>
              <w:rPr>
                <w:rFonts w:hint="eastAsia" w:ascii="仿宋" w:hAnsi="仿宋" w:eastAsia="仿宋" w:cs="仿宋"/>
                <w:color w:val="auto"/>
                <w:sz w:val="24"/>
                <w:highlight w:val="none"/>
              </w:rPr>
            </w:pPr>
          </w:p>
        </w:tc>
        <w:tc>
          <w:tcPr>
            <w:tcW w:w="6745" w:type="dxa"/>
            <w:noWrap w:val="0"/>
            <w:vAlign w:val="top"/>
          </w:tcPr>
          <w:p>
            <w:pPr>
              <w:pStyle w:val="57"/>
              <w:keepNext w:val="0"/>
              <w:keepLines w:val="0"/>
              <w:pageBreakBefore w:val="0"/>
              <w:kinsoku/>
              <w:wordWrap/>
              <w:topLinePunct w:val="0"/>
              <w:bidi w:val="0"/>
              <w:spacing w:line="240" w:lineRule="auto"/>
              <w:jc w:val="both"/>
              <w:rPr>
                <w:rFonts w:hint="eastAsia" w:ascii="仿宋" w:hAnsi="仿宋" w:eastAsia="仿宋" w:cs="仿宋"/>
                <w:b w:val="0"/>
                <w:bCs w:val="0"/>
                <w:color w:val="auto"/>
                <w:kern w:val="2"/>
                <w:sz w:val="24"/>
                <w:szCs w:val="24"/>
                <w:highlight w:val="none"/>
                <w:lang w:val="en-US"/>
              </w:rPr>
            </w:pPr>
            <w:r>
              <w:rPr>
                <w:rFonts w:hint="eastAsia" w:ascii="仿宋" w:hAnsi="仿宋" w:eastAsia="仿宋" w:cs="仿宋"/>
                <w:b w:val="0"/>
                <w:color w:val="auto"/>
                <w:kern w:val="2"/>
                <w:sz w:val="24"/>
                <w:szCs w:val="24"/>
                <w:highlight w:val="none"/>
                <w:lang w:val="en-US"/>
              </w:rPr>
              <w:t>2.保洁</w:t>
            </w:r>
            <w:r>
              <w:rPr>
                <w:rFonts w:hint="eastAsia" w:ascii="仿宋" w:hAnsi="仿宋" w:eastAsia="仿宋" w:cs="仿宋"/>
                <w:b w:val="0"/>
                <w:bCs w:val="0"/>
                <w:color w:val="auto"/>
                <w:kern w:val="2"/>
                <w:sz w:val="24"/>
                <w:szCs w:val="24"/>
                <w:highlight w:val="none"/>
                <w:lang w:val="en-US"/>
              </w:rPr>
              <w:t>绿化方案</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w:t>
            </w:r>
          </w:p>
          <w:p>
            <w:pPr>
              <w:pStyle w:val="57"/>
              <w:keepNext w:val="0"/>
              <w:keepLines w:val="0"/>
              <w:pageBreakBefore w:val="0"/>
              <w:kinsoku/>
              <w:wordWrap/>
              <w:topLinePunct w:val="0"/>
              <w:bidi w:val="0"/>
              <w:spacing w:line="240" w:lineRule="auto"/>
              <w:jc w:val="both"/>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rPr>
              <w:t>根据本招标项目实际情况制定保洁绿化方案，</w:t>
            </w:r>
            <w:r>
              <w:rPr>
                <w:rFonts w:hint="eastAsia" w:ascii="仿宋" w:hAnsi="仿宋" w:eastAsia="仿宋" w:cs="仿宋"/>
                <w:b w:val="0"/>
                <w:bCs w:val="0"/>
                <w:color w:val="auto"/>
                <w:sz w:val="24"/>
                <w:szCs w:val="24"/>
                <w:highlight w:val="none"/>
                <w:lang w:val="en-US" w:eastAsia="zh-CN"/>
              </w:rPr>
              <w:t>包括但不限于</w:t>
            </w:r>
            <w:r>
              <w:rPr>
                <w:rFonts w:hint="eastAsia" w:ascii="仿宋" w:hAnsi="仿宋" w:eastAsia="仿宋" w:cs="仿宋"/>
                <w:b w:val="0"/>
                <w:bCs w:val="0"/>
                <w:color w:val="auto"/>
                <w:sz w:val="24"/>
                <w:szCs w:val="24"/>
                <w:highlight w:val="none"/>
              </w:rPr>
              <w:t>服务能力和服务标准、服务流程、现场保洁服务、地面清洁服务、公共设施物品保洁服务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养护作业标准、管理方案</w:t>
            </w:r>
            <w:r>
              <w:rPr>
                <w:rFonts w:hint="eastAsia" w:ascii="仿宋" w:hAnsi="仿宋" w:eastAsia="仿宋" w:cs="仿宋"/>
                <w:b w:val="0"/>
                <w:bCs w:val="0"/>
                <w:color w:val="auto"/>
                <w:sz w:val="24"/>
                <w:szCs w:val="24"/>
                <w:highlight w:val="none"/>
                <w:lang w:val="en-US" w:eastAsia="zh-CN"/>
              </w:rPr>
              <w:t>等。</w:t>
            </w:r>
          </w:p>
          <w:p>
            <w:pPr>
              <w:keepNext w:val="0"/>
              <w:keepLines w:val="0"/>
              <w:pageBreakBefore w:val="0"/>
              <w:kinsoku/>
              <w:wordWrap/>
              <w:topLinePunct w:val="0"/>
              <w:bidi w:val="0"/>
              <w:adjustRightInd/>
              <w:spacing w:line="240" w:lineRule="auto"/>
              <w:rPr>
                <w:rFonts w:hint="eastAsia" w:ascii="仿宋" w:hAnsi="仿宋" w:eastAsia="仿宋" w:cs="仿宋"/>
                <w:b w:val="0"/>
                <w:color w:val="auto"/>
                <w:kern w:val="2"/>
                <w:szCs w:val="24"/>
                <w:highlight w:val="none"/>
                <w:lang w:val="en-US"/>
              </w:rPr>
            </w:pPr>
            <w:r>
              <w:rPr>
                <w:rFonts w:hint="eastAsia" w:ascii="仿宋" w:hAnsi="仿宋" w:eastAsia="仿宋" w:cs="仿宋"/>
                <w:b/>
                <w:bCs/>
                <w:color w:val="auto"/>
                <w:kern w:val="2"/>
                <w:sz w:val="24"/>
                <w:szCs w:val="24"/>
                <w:highlight w:val="none"/>
                <w:lang w:val="en-US"/>
              </w:rPr>
              <w:t>内容完善可实施性强得</w:t>
            </w:r>
            <w:r>
              <w:rPr>
                <w:rFonts w:hint="eastAsia" w:ascii="仿宋" w:hAnsi="仿宋" w:eastAsia="仿宋" w:cs="仿宋"/>
                <w:b/>
                <w:bCs/>
                <w:color w:val="auto"/>
                <w:kern w:val="2"/>
                <w:sz w:val="24"/>
                <w:szCs w:val="24"/>
                <w:highlight w:val="none"/>
                <w:lang w:val="en-US" w:eastAsia="zh-CN"/>
              </w:rPr>
              <w:t>5</w:t>
            </w:r>
            <w:r>
              <w:rPr>
                <w:rFonts w:hint="eastAsia" w:ascii="仿宋" w:hAnsi="仿宋" w:eastAsia="仿宋" w:cs="仿宋"/>
                <w:b/>
                <w:bCs/>
                <w:color w:val="auto"/>
                <w:kern w:val="2"/>
                <w:sz w:val="24"/>
                <w:szCs w:val="24"/>
                <w:highlight w:val="none"/>
                <w:lang w:val="en-US"/>
              </w:rPr>
              <w:t>分，内容基本完善可实施得</w:t>
            </w:r>
            <w:r>
              <w:rPr>
                <w:rFonts w:hint="eastAsia" w:ascii="仿宋" w:hAnsi="仿宋" w:eastAsia="仿宋" w:cs="仿宋"/>
                <w:b/>
                <w:bCs/>
                <w:color w:val="auto"/>
                <w:kern w:val="2"/>
                <w:sz w:val="24"/>
                <w:szCs w:val="24"/>
                <w:highlight w:val="none"/>
                <w:lang w:val="en-US" w:eastAsia="zh-CN"/>
              </w:rPr>
              <w:t>3</w:t>
            </w:r>
            <w:r>
              <w:rPr>
                <w:rFonts w:hint="eastAsia" w:ascii="仿宋" w:hAnsi="仿宋" w:eastAsia="仿宋" w:cs="仿宋"/>
                <w:b/>
                <w:bCs/>
                <w:color w:val="auto"/>
                <w:kern w:val="2"/>
                <w:sz w:val="24"/>
                <w:szCs w:val="24"/>
                <w:highlight w:val="none"/>
                <w:lang w:val="en-US"/>
              </w:rPr>
              <w:t>分，内容简单、一般得</w:t>
            </w: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lang w:val="en-US"/>
              </w:rPr>
              <w:t>分，内容可行性较差得</w:t>
            </w:r>
            <w:r>
              <w:rPr>
                <w:rFonts w:hint="eastAsia" w:ascii="仿宋" w:hAnsi="仿宋" w:eastAsia="仿宋" w:cs="仿宋"/>
                <w:b/>
                <w:bCs/>
                <w:color w:val="auto"/>
                <w:kern w:val="2"/>
                <w:sz w:val="24"/>
                <w:szCs w:val="24"/>
                <w:highlight w:val="none"/>
                <w:lang w:val="en-US" w:eastAsia="zh-CN"/>
              </w:rPr>
              <w:t>1</w:t>
            </w:r>
            <w:r>
              <w:rPr>
                <w:rFonts w:hint="eastAsia" w:ascii="仿宋" w:hAnsi="仿宋" w:eastAsia="仿宋" w:cs="仿宋"/>
                <w:b/>
                <w:bCs/>
                <w:color w:val="auto"/>
                <w:kern w:val="2"/>
                <w:sz w:val="24"/>
                <w:szCs w:val="24"/>
                <w:highlight w:val="none"/>
                <w:lang w:val="en-US"/>
              </w:rPr>
              <w:t>分，</w:t>
            </w:r>
            <w:r>
              <w:rPr>
                <w:rFonts w:hint="eastAsia" w:ascii="仿宋" w:hAnsi="仿宋" w:eastAsia="仿宋" w:cs="仿宋"/>
                <w:b/>
                <w:bCs/>
                <w:color w:val="auto"/>
                <w:sz w:val="24"/>
                <w:szCs w:val="24"/>
                <w:highlight w:val="none"/>
              </w:rPr>
              <w:t>不符合不得分。</w:t>
            </w:r>
          </w:p>
        </w:tc>
        <w:tc>
          <w:tcPr>
            <w:tcW w:w="726" w:type="dxa"/>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jc w:val="left"/>
              <w:rPr>
                <w:rFonts w:hint="eastAsia" w:ascii="仿宋" w:hAnsi="仿宋" w:eastAsia="仿宋" w:cs="仿宋"/>
                <w:color w:val="auto"/>
                <w:sz w:val="24"/>
                <w:highlight w:val="none"/>
              </w:rPr>
            </w:pPr>
          </w:p>
        </w:tc>
        <w:tc>
          <w:tcPr>
            <w:tcW w:w="1038" w:type="dxa"/>
            <w:vMerge w:val="continue"/>
            <w:noWrap w:val="0"/>
            <w:vAlign w:val="center"/>
          </w:tcPr>
          <w:p>
            <w:pPr>
              <w:keepNext w:val="0"/>
              <w:keepLines w:val="0"/>
              <w:pageBreakBefore w:val="0"/>
              <w:widowControl/>
              <w:kinsoku/>
              <w:wordWrap/>
              <w:topLinePunct w:val="0"/>
              <w:bidi w:val="0"/>
              <w:adjustRightInd/>
              <w:spacing w:line="240" w:lineRule="auto"/>
              <w:jc w:val="left"/>
              <w:rPr>
                <w:rFonts w:hint="eastAsia" w:ascii="仿宋" w:hAnsi="仿宋" w:eastAsia="仿宋" w:cs="仿宋"/>
                <w:color w:val="auto"/>
                <w:sz w:val="24"/>
                <w:highlight w:val="none"/>
              </w:rPr>
            </w:pPr>
          </w:p>
        </w:tc>
        <w:tc>
          <w:tcPr>
            <w:tcW w:w="6745" w:type="dxa"/>
            <w:noWrap w:val="0"/>
            <w:vAlign w:val="top"/>
          </w:tcPr>
          <w:p>
            <w:pPr>
              <w:keepNext w:val="0"/>
              <w:keepLines w:val="0"/>
              <w:pageBreakBefore w:val="0"/>
              <w:numPr>
                <w:ilvl w:val="0"/>
                <w:numId w:val="0"/>
              </w:numPr>
              <w:kinsoku/>
              <w:wordWrap/>
              <w:topLinePunct w:val="0"/>
              <w:bidi w:val="0"/>
              <w:spacing w:line="240" w:lineRule="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工程维修服务方案（5分）</w:t>
            </w:r>
          </w:p>
          <w:p>
            <w:pPr>
              <w:keepNext w:val="0"/>
              <w:keepLines w:val="0"/>
              <w:pageBreakBefore w:val="0"/>
              <w:kinsoku/>
              <w:wordWrap/>
              <w:topLinePunct w:val="0"/>
              <w:bidi w:val="0"/>
              <w:spacing w:line="240" w:lineRule="auto"/>
              <w:rPr>
                <w:rFonts w:hint="eastAsia" w:ascii="仿宋" w:hAnsi="仿宋" w:eastAsia="仿宋" w:cs="仿宋"/>
                <w:b/>
                <w:bCs/>
                <w:color w:val="auto"/>
                <w:kern w:val="2"/>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根据工程类管理服务由评委进行分析比较、评议、确定档次打分。</w:t>
            </w:r>
          </w:p>
          <w:p>
            <w:pPr>
              <w:keepNext w:val="0"/>
              <w:keepLines w:val="0"/>
              <w:pageBreakBefore w:val="0"/>
              <w:kinsoku/>
              <w:wordWrap/>
              <w:topLinePunct w:val="0"/>
              <w:bidi w:val="0"/>
              <w:spacing w:line="240" w:lineRule="auto"/>
              <w:rPr>
                <w:rFonts w:hint="eastAsia" w:ascii="仿宋" w:hAnsi="仿宋" w:eastAsia="仿宋" w:cs="仿宋"/>
                <w:b w:val="0"/>
                <w:color w:val="auto"/>
                <w:kern w:val="2"/>
                <w:szCs w:val="24"/>
                <w:highlight w:val="none"/>
                <w:lang w:val="en-US"/>
              </w:rPr>
            </w:pPr>
            <w:r>
              <w:rPr>
                <w:rFonts w:hint="eastAsia" w:ascii="仿宋" w:hAnsi="仿宋" w:eastAsia="仿宋" w:cs="仿宋"/>
                <w:b/>
                <w:bCs/>
                <w:color w:val="auto"/>
                <w:kern w:val="2"/>
                <w:sz w:val="24"/>
                <w:szCs w:val="24"/>
                <w:highlight w:val="none"/>
                <w:lang w:val="en-US"/>
              </w:rPr>
              <w:t>内容完善可实施性强得</w:t>
            </w:r>
            <w:r>
              <w:rPr>
                <w:rFonts w:hint="eastAsia" w:ascii="仿宋" w:hAnsi="仿宋" w:eastAsia="仿宋" w:cs="仿宋"/>
                <w:b/>
                <w:bCs/>
                <w:color w:val="auto"/>
                <w:kern w:val="2"/>
                <w:sz w:val="24"/>
                <w:szCs w:val="24"/>
                <w:highlight w:val="none"/>
                <w:lang w:val="en-US" w:eastAsia="zh-CN"/>
              </w:rPr>
              <w:t>5</w:t>
            </w:r>
            <w:r>
              <w:rPr>
                <w:rFonts w:hint="eastAsia" w:ascii="仿宋" w:hAnsi="仿宋" w:eastAsia="仿宋" w:cs="仿宋"/>
                <w:b/>
                <w:bCs/>
                <w:color w:val="auto"/>
                <w:kern w:val="2"/>
                <w:sz w:val="24"/>
                <w:szCs w:val="24"/>
                <w:highlight w:val="none"/>
                <w:lang w:val="en-US"/>
              </w:rPr>
              <w:t>分，内容基本完善可实施得</w:t>
            </w:r>
            <w:r>
              <w:rPr>
                <w:rFonts w:hint="eastAsia" w:ascii="仿宋" w:hAnsi="仿宋" w:eastAsia="仿宋" w:cs="仿宋"/>
                <w:b/>
                <w:bCs/>
                <w:color w:val="auto"/>
                <w:kern w:val="2"/>
                <w:sz w:val="24"/>
                <w:szCs w:val="24"/>
                <w:highlight w:val="none"/>
                <w:lang w:val="en-US" w:eastAsia="zh-CN"/>
              </w:rPr>
              <w:t>3</w:t>
            </w:r>
            <w:r>
              <w:rPr>
                <w:rFonts w:hint="eastAsia" w:ascii="仿宋" w:hAnsi="仿宋" w:eastAsia="仿宋" w:cs="仿宋"/>
                <w:b/>
                <w:bCs/>
                <w:color w:val="auto"/>
                <w:kern w:val="2"/>
                <w:sz w:val="24"/>
                <w:szCs w:val="24"/>
                <w:highlight w:val="none"/>
                <w:lang w:val="en-US"/>
              </w:rPr>
              <w:t>分，内容简单、一般得</w:t>
            </w: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lang w:val="en-US"/>
              </w:rPr>
              <w:t>分，内容可行性较差得</w:t>
            </w:r>
            <w:r>
              <w:rPr>
                <w:rFonts w:hint="eastAsia" w:ascii="仿宋" w:hAnsi="仿宋" w:eastAsia="仿宋" w:cs="仿宋"/>
                <w:b/>
                <w:bCs/>
                <w:color w:val="auto"/>
                <w:kern w:val="2"/>
                <w:sz w:val="24"/>
                <w:szCs w:val="24"/>
                <w:highlight w:val="none"/>
                <w:lang w:val="en-US" w:eastAsia="zh-CN"/>
              </w:rPr>
              <w:t>1</w:t>
            </w:r>
            <w:r>
              <w:rPr>
                <w:rFonts w:hint="eastAsia" w:ascii="仿宋" w:hAnsi="仿宋" w:eastAsia="仿宋" w:cs="仿宋"/>
                <w:b/>
                <w:bCs/>
                <w:color w:val="auto"/>
                <w:kern w:val="2"/>
                <w:sz w:val="24"/>
                <w:szCs w:val="24"/>
                <w:highlight w:val="none"/>
                <w:lang w:val="en-US"/>
              </w:rPr>
              <w:t>分，不符合不得分。</w:t>
            </w:r>
          </w:p>
        </w:tc>
        <w:tc>
          <w:tcPr>
            <w:tcW w:w="726" w:type="dxa"/>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jc w:val="left"/>
              <w:rPr>
                <w:rFonts w:hint="eastAsia" w:ascii="仿宋" w:hAnsi="仿宋" w:eastAsia="仿宋" w:cs="仿宋"/>
                <w:color w:val="auto"/>
                <w:sz w:val="24"/>
                <w:highlight w:val="none"/>
              </w:rPr>
            </w:pPr>
          </w:p>
        </w:tc>
        <w:tc>
          <w:tcPr>
            <w:tcW w:w="1038" w:type="dxa"/>
            <w:vMerge w:val="continue"/>
            <w:noWrap w:val="0"/>
            <w:vAlign w:val="center"/>
          </w:tcPr>
          <w:p>
            <w:pPr>
              <w:keepNext w:val="0"/>
              <w:keepLines w:val="0"/>
              <w:pageBreakBefore w:val="0"/>
              <w:widowControl/>
              <w:kinsoku/>
              <w:wordWrap/>
              <w:topLinePunct w:val="0"/>
              <w:bidi w:val="0"/>
              <w:adjustRightInd/>
              <w:spacing w:line="240" w:lineRule="auto"/>
              <w:jc w:val="left"/>
              <w:rPr>
                <w:rFonts w:hint="eastAsia" w:ascii="仿宋" w:hAnsi="仿宋" w:eastAsia="仿宋" w:cs="仿宋"/>
                <w:color w:val="auto"/>
                <w:sz w:val="24"/>
                <w:highlight w:val="none"/>
              </w:rPr>
            </w:pPr>
          </w:p>
        </w:tc>
        <w:tc>
          <w:tcPr>
            <w:tcW w:w="6745" w:type="dxa"/>
            <w:noWrap w:val="0"/>
            <w:vAlign w:val="top"/>
          </w:tcPr>
          <w:p>
            <w:pPr>
              <w:pStyle w:val="57"/>
              <w:keepNext w:val="0"/>
              <w:keepLines w:val="0"/>
              <w:pageBreakBefore w:val="0"/>
              <w:kinsoku/>
              <w:wordWrap/>
              <w:topLinePunct w:val="0"/>
              <w:bidi w:val="0"/>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color w:val="auto"/>
                <w:sz w:val="24"/>
                <w:szCs w:val="24"/>
                <w:highlight w:val="none"/>
                <w:vertAlign w:val="baseline"/>
                <w:lang w:val="en-US" w:eastAsia="zh-CN"/>
              </w:rPr>
              <w:t>4.</w:t>
            </w:r>
            <w:r>
              <w:rPr>
                <w:rFonts w:hint="eastAsia" w:ascii="仿宋" w:hAnsi="仿宋" w:eastAsia="仿宋" w:cs="仿宋"/>
                <w:b w:val="0"/>
                <w:bCs w:val="0"/>
                <w:color w:val="auto"/>
                <w:sz w:val="24"/>
                <w:szCs w:val="24"/>
                <w:highlight w:val="none"/>
              </w:rPr>
              <w:t>突发事件事件防范预案（5分）</w:t>
            </w:r>
          </w:p>
          <w:p>
            <w:pPr>
              <w:pStyle w:val="57"/>
              <w:keepNext w:val="0"/>
              <w:keepLines w:val="0"/>
              <w:pageBreakBefore w:val="0"/>
              <w:kinsoku/>
              <w:wordWrap/>
              <w:topLinePunct w:val="0"/>
              <w:bidi w:val="0"/>
              <w:spacing w:line="24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根据本招标项目实际情况制定</w:t>
            </w:r>
            <w:r>
              <w:rPr>
                <w:rFonts w:hint="eastAsia" w:ascii="仿宋" w:hAnsi="仿宋" w:eastAsia="仿宋" w:cs="仿宋"/>
                <w:b w:val="0"/>
                <w:bCs w:val="0"/>
                <w:color w:val="auto"/>
                <w:sz w:val="24"/>
                <w:szCs w:val="24"/>
                <w:highlight w:val="none"/>
              </w:rPr>
              <w:t>应对突发紧急事件防范预案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应急工作的可行性保障能力及措施等方面进行打分</w:t>
            </w:r>
            <w:r>
              <w:rPr>
                <w:rFonts w:hint="eastAsia" w:ascii="仿宋" w:hAnsi="仿宋" w:eastAsia="仿宋" w:cs="仿宋"/>
                <w:b w:val="0"/>
                <w:bCs w:val="0"/>
                <w:color w:val="auto"/>
                <w:sz w:val="24"/>
                <w:szCs w:val="24"/>
                <w:highlight w:val="none"/>
                <w:lang w:eastAsia="zh-CN"/>
              </w:rPr>
              <w:t>。</w:t>
            </w:r>
          </w:p>
          <w:p>
            <w:pPr>
              <w:keepNext w:val="0"/>
              <w:keepLines w:val="0"/>
              <w:pageBreakBefore w:val="0"/>
              <w:kinsoku/>
              <w:wordWrap/>
              <w:topLinePunct w:val="0"/>
              <w:bidi w:val="0"/>
              <w:spacing w:line="240" w:lineRule="auto"/>
              <w:rPr>
                <w:rFonts w:hint="eastAsia" w:ascii="仿宋_GB2312" w:hAnsi="仿宋" w:eastAsia="仿宋_GB2312" w:cs="仿宋"/>
                <w:b w:val="0"/>
                <w:bCs w:val="0"/>
                <w:color w:val="auto"/>
                <w:highlight w:val="none"/>
                <w:lang w:val="en-US" w:eastAsia="zh-CN"/>
              </w:rPr>
            </w:pPr>
            <w:r>
              <w:rPr>
                <w:rFonts w:hint="eastAsia" w:ascii="仿宋" w:hAnsi="仿宋" w:eastAsia="仿宋" w:cs="仿宋"/>
                <w:b/>
                <w:bCs/>
                <w:color w:val="auto"/>
                <w:sz w:val="24"/>
                <w:szCs w:val="24"/>
                <w:highlight w:val="none"/>
              </w:rPr>
              <w:t>方案科学、合理、规范和操作强得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r>
              <w:rPr>
                <w:rFonts w:hint="eastAsia" w:ascii="仿宋" w:hAnsi="仿宋" w:eastAsia="仿宋" w:cs="仿宋"/>
                <w:b/>
                <w:bCs/>
                <w:color w:val="auto"/>
                <w:kern w:val="2"/>
                <w:sz w:val="24"/>
                <w:szCs w:val="24"/>
                <w:highlight w:val="none"/>
                <w:lang w:val="en-US"/>
              </w:rPr>
              <w:t>内容基本完善可</w:t>
            </w:r>
            <w:r>
              <w:rPr>
                <w:rFonts w:hint="eastAsia" w:ascii="仿宋" w:hAnsi="仿宋" w:eastAsia="仿宋" w:cs="仿宋"/>
                <w:b/>
                <w:bCs/>
                <w:color w:val="auto"/>
                <w:kern w:val="2"/>
                <w:sz w:val="24"/>
                <w:szCs w:val="24"/>
                <w:highlight w:val="none"/>
                <w:lang w:val="en-US" w:eastAsia="zh-CN"/>
              </w:rPr>
              <w:t>操作</w:t>
            </w:r>
            <w:r>
              <w:rPr>
                <w:rFonts w:hint="eastAsia" w:ascii="仿宋" w:hAnsi="仿宋" w:eastAsia="仿宋" w:cs="仿宋"/>
                <w:b/>
                <w:bCs/>
                <w:color w:val="auto"/>
                <w:kern w:val="2"/>
                <w:sz w:val="24"/>
                <w:szCs w:val="24"/>
                <w:highlight w:val="none"/>
                <w:lang w:val="en-US"/>
              </w:rPr>
              <w:t>得4分，内容简单、一般得3分，内容</w:t>
            </w:r>
            <w:r>
              <w:rPr>
                <w:rFonts w:hint="eastAsia" w:ascii="仿宋" w:hAnsi="仿宋" w:eastAsia="仿宋" w:cs="仿宋"/>
                <w:b/>
                <w:bCs/>
                <w:color w:val="auto"/>
                <w:kern w:val="2"/>
                <w:sz w:val="24"/>
                <w:szCs w:val="24"/>
                <w:highlight w:val="none"/>
                <w:lang w:val="en-US" w:eastAsia="zh-CN"/>
              </w:rPr>
              <w:t>操作</w:t>
            </w:r>
            <w:r>
              <w:rPr>
                <w:rFonts w:hint="eastAsia" w:ascii="仿宋" w:hAnsi="仿宋" w:eastAsia="仿宋" w:cs="仿宋"/>
                <w:b/>
                <w:bCs/>
                <w:color w:val="auto"/>
                <w:kern w:val="2"/>
                <w:sz w:val="24"/>
                <w:szCs w:val="24"/>
                <w:highlight w:val="none"/>
                <w:lang w:val="en-US"/>
              </w:rPr>
              <w:t>性较差得</w:t>
            </w:r>
            <w:r>
              <w:rPr>
                <w:rFonts w:hint="eastAsia" w:ascii="仿宋" w:hAnsi="仿宋" w:eastAsia="仿宋" w:cs="仿宋"/>
                <w:b/>
                <w:bCs/>
                <w:color w:val="auto"/>
                <w:kern w:val="2"/>
                <w:sz w:val="24"/>
                <w:szCs w:val="24"/>
                <w:highlight w:val="none"/>
                <w:lang w:val="en-US" w:eastAsia="zh-CN"/>
              </w:rPr>
              <w:t>1</w:t>
            </w:r>
            <w:r>
              <w:rPr>
                <w:rFonts w:hint="eastAsia" w:ascii="仿宋" w:hAnsi="仿宋" w:eastAsia="仿宋" w:cs="仿宋"/>
                <w:b/>
                <w:bCs/>
                <w:color w:val="auto"/>
                <w:kern w:val="2"/>
                <w:sz w:val="24"/>
                <w:szCs w:val="24"/>
                <w:highlight w:val="none"/>
                <w:lang w:val="en-US"/>
              </w:rPr>
              <w:t>分，</w:t>
            </w:r>
            <w:r>
              <w:rPr>
                <w:rFonts w:hint="eastAsia" w:ascii="仿宋" w:hAnsi="仿宋" w:eastAsia="仿宋" w:cs="仿宋"/>
                <w:b/>
                <w:bCs/>
                <w:color w:val="auto"/>
                <w:sz w:val="24"/>
                <w:szCs w:val="24"/>
                <w:highlight w:val="none"/>
              </w:rPr>
              <w:t>不符合不得分。</w:t>
            </w:r>
          </w:p>
        </w:tc>
        <w:tc>
          <w:tcPr>
            <w:tcW w:w="726" w:type="dxa"/>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p>
        </w:tc>
        <w:tc>
          <w:tcPr>
            <w:tcW w:w="1038" w:type="dxa"/>
            <w:vMerge w:val="continue"/>
            <w:noWrap w:val="0"/>
            <w:vAlign w:val="center"/>
          </w:tcPr>
          <w:p>
            <w:pPr>
              <w:keepNext w:val="0"/>
              <w:keepLines w:val="0"/>
              <w:pageBreakBefore w:val="0"/>
              <w:widowControl/>
              <w:kinsoku/>
              <w:wordWrap/>
              <w:topLinePunct w:val="0"/>
              <w:bidi w:val="0"/>
              <w:adjustRightInd/>
              <w:spacing w:line="240" w:lineRule="auto"/>
              <w:jc w:val="center"/>
              <w:rPr>
                <w:rFonts w:ascii="仿宋" w:hAnsi="仿宋" w:eastAsia="仿宋" w:cs="仿宋"/>
                <w:color w:val="auto"/>
                <w:sz w:val="24"/>
                <w:highlight w:val="none"/>
              </w:rPr>
            </w:pPr>
          </w:p>
        </w:tc>
        <w:tc>
          <w:tcPr>
            <w:tcW w:w="6745" w:type="dxa"/>
            <w:noWrap w:val="0"/>
            <w:vAlign w:val="top"/>
          </w:tcPr>
          <w:p>
            <w:pPr>
              <w:pStyle w:val="57"/>
              <w:keepNext w:val="0"/>
              <w:keepLines w:val="0"/>
              <w:pageBreakBefore w:val="0"/>
              <w:numPr>
                <w:ilvl w:val="0"/>
                <w:numId w:val="0"/>
              </w:numPr>
              <w:kinsoku/>
              <w:wordWrap/>
              <w:topLinePunct w:val="0"/>
              <w:bidi w:val="0"/>
              <w:spacing w:line="240" w:lineRule="auto"/>
              <w:ind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5.节能降耗方案</w:t>
            </w:r>
            <w:r>
              <w:rPr>
                <w:rFonts w:hint="eastAsia" w:ascii="仿宋" w:hAnsi="仿宋" w:eastAsia="仿宋" w:cs="仿宋"/>
                <w:b w:val="0"/>
                <w:bCs w:val="0"/>
                <w:color w:val="auto"/>
                <w:sz w:val="24"/>
                <w:szCs w:val="24"/>
                <w:highlight w:val="none"/>
              </w:rPr>
              <w:t>（5分）</w:t>
            </w:r>
          </w:p>
          <w:p>
            <w:pPr>
              <w:pStyle w:val="57"/>
              <w:keepNext w:val="0"/>
              <w:keepLines w:val="0"/>
              <w:pageBreakBefore w:val="0"/>
              <w:numPr>
                <w:ilvl w:val="0"/>
                <w:numId w:val="0"/>
              </w:numPr>
              <w:kinsoku/>
              <w:wordWrap/>
              <w:topLinePunct w:val="0"/>
              <w:bidi w:val="0"/>
              <w:spacing w:line="240" w:lineRule="auto"/>
              <w:ind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根据本项目实际情况制定节能降耗方案，包括但不限于用水节能措施、公共场所照明节能措施、空调的节能降耗措施、电梯节能措施、地下停车场节能措施、机房照明节能措施等。</w:t>
            </w:r>
          </w:p>
          <w:p>
            <w:pPr>
              <w:keepNext w:val="0"/>
              <w:keepLines w:val="0"/>
              <w:pageBreakBefore w:val="0"/>
              <w:kinsoku/>
              <w:wordWrap/>
              <w:topLinePunct w:val="0"/>
              <w:bidi w:val="0"/>
              <w:spacing w:line="240" w:lineRule="auto"/>
              <w:rPr>
                <w:rFonts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节能降耗措施合理、科学，可操作性强得5分，方案科学、合理、规范和操作较强得4分，方案基本满足得3分，方案内容一般得1分,</w:t>
            </w:r>
            <w:r>
              <w:rPr>
                <w:rFonts w:hint="eastAsia" w:ascii="仿宋" w:hAnsi="仿宋" w:eastAsia="仿宋" w:cs="仿宋"/>
                <w:b/>
                <w:bCs/>
                <w:color w:val="auto"/>
                <w:sz w:val="24"/>
                <w:szCs w:val="24"/>
                <w:highlight w:val="none"/>
              </w:rPr>
              <w:t>不符合不得分。</w:t>
            </w:r>
          </w:p>
        </w:tc>
        <w:tc>
          <w:tcPr>
            <w:tcW w:w="726" w:type="dxa"/>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p>
        </w:tc>
        <w:tc>
          <w:tcPr>
            <w:tcW w:w="1038"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_GB2312"/>
                <w:color w:val="auto"/>
                <w:sz w:val="24"/>
                <w:highlight w:val="none"/>
              </w:rPr>
            </w:pPr>
          </w:p>
        </w:tc>
        <w:tc>
          <w:tcPr>
            <w:tcW w:w="6745" w:type="dxa"/>
            <w:noWrap w:val="0"/>
            <w:vAlign w:val="center"/>
          </w:tcPr>
          <w:p>
            <w:pPr>
              <w:keepNext w:val="0"/>
              <w:keepLines w:val="0"/>
              <w:pageBreakBefore w:val="0"/>
              <w:tabs>
                <w:tab w:val="left" w:pos="0"/>
              </w:tabs>
              <w:kinsoku/>
              <w:wordWrap/>
              <w:topLinePunct w:val="0"/>
              <w:bidi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6.交接方案（5分）</w:t>
            </w:r>
          </w:p>
          <w:p>
            <w:pPr>
              <w:keepNext w:val="0"/>
              <w:keepLines w:val="0"/>
              <w:pageBreakBefore w:val="0"/>
              <w:tabs>
                <w:tab w:val="left" w:pos="0"/>
              </w:tabs>
              <w:kinsoku/>
              <w:wordWrap/>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新老物业交接方案：根据供应商提供的进退场交接方案符合性、合理性、稳定性进行打分。</w:t>
            </w:r>
          </w:p>
          <w:p>
            <w:pPr>
              <w:pStyle w:val="2"/>
              <w:keepNext w:val="0"/>
              <w:keepLines w:val="0"/>
              <w:pageBreakBefore w:val="0"/>
              <w:kinsoku/>
              <w:wordWrap/>
              <w:topLinePunct w:val="0"/>
              <w:bidi w:val="0"/>
              <w:spacing w:line="240" w:lineRule="auto"/>
              <w:ind w:left="0" w:leftChars="0" w:firstLine="0" w:firstLineChars="0"/>
              <w:rPr>
                <w:rFonts w:hint="eastAsia" w:ascii="仿宋" w:hAnsi="仿宋" w:eastAsia="仿宋" w:cs="仿宋_GB2312"/>
                <w:color w:val="auto"/>
                <w:sz w:val="24"/>
                <w:highlight w:val="none"/>
              </w:rPr>
            </w:pPr>
            <w:r>
              <w:rPr>
                <w:rFonts w:hint="eastAsia" w:ascii="仿宋" w:hAnsi="仿宋" w:eastAsia="仿宋" w:cs="仿宋"/>
                <w:b/>
                <w:bCs/>
                <w:color w:val="auto"/>
                <w:sz w:val="24"/>
                <w:szCs w:val="24"/>
                <w:highlight w:val="none"/>
              </w:rPr>
              <w:t>内容完善可实施性强得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分，内容基本完善可实施得</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分，内容简单、一般得</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r>
              <w:rPr>
                <w:rFonts w:hint="eastAsia" w:ascii="仿宋" w:hAnsi="仿宋" w:eastAsia="仿宋" w:cs="仿宋"/>
                <w:b/>
                <w:bCs/>
                <w:color w:val="auto"/>
                <w:sz w:val="24"/>
                <w:szCs w:val="24"/>
                <w:highlight w:val="none"/>
                <w:lang w:val="en-US" w:eastAsia="zh-CN"/>
              </w:rPr>
              <w:t>内容</w:t>
            </w:r>
            <w:r>
              <w:rPr>
                <w:rFonts w:hint="eastAsia" w:ascii="仿宋" w:hAnsi="仿宋" w:eastAsia="仿宋" w:cs="仿宋"/>
                <w:b/>
                <w:bCs/>
                <w:color w:val="auto"/>
                <w:sz w:val="24"/>
                <w:szCs w:val="24"/>
                <w:highlight w:val="none"/>
              </w:rPr>
              <w:t>可行性较差得1分，不符合不得分。</w:t>
            </w:r>
          </w:p>
        </w:tc>
        <w:tc>
          <w:tcPr>
            <w:tcW w:w="726" w:type="dxa"/>
            <w:noWrap w:val="0"/>
            <w:vAlign w:val="center"/>
          </w:tcPr>
          <w:p>
            <w:pPr>
              <w:keepNext w:val="0"/>
              <w:keepLines w:val="0"/>
              <w:pageBreakBefore w:val="0"/>
              <w:tabs>
                <w:tab w:val="left" w:pos="0"/>
              </w:tabs>
              <w:kinsoku/>
              <w:wordWrap/>
              <w:topLinePunct w:val="0"/>
              <w:bidi w:val="0"/>
              <w:snapToGrid w:val="0"/>
              <w:spacing w:line="240" w:lineRule="auto"/>
              <w:jc w:val="center"/>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p>
        </w:tc>
        <w:tc>
          <w:tcPr>
            <w:tcW w:w="1038" w:type="dxa"/>
            <w:noWrap w:val="0"/>
            <w:vAlign w:val="center"/>
          </w:tcPr>
          <w:p>
            <w:pPr>
              <w:tabs>
                <w:tab w:val="left" w:pos="0"/>
              </w:tabs>
              <w:snapToGrid w:val="0"/>
              <w:spacing w:line="30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拟投入的物资情况     （</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p>
        </w:tc>
        <w:tc>
          <w:tcPr>
            <w:tcW w:w="6745" w:type="dxa"/>
            <w:noWrap w:val="0"/>
            <w:vAlign w:val="center"/>
          </w:tcPr>
          <w:p>
            <w:pPr>
              <w:tabs>
                <w:tab w:val="left" w:pos="0"/>
              </w:tabs>
              <w:snapToGrid w:val="0"/>
              <w:spacing w:line="30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拟投入本项目的物资（设备和主要工机具等）配备的全面性、合理性及先进性进行</w:t>
            </w:r>
            <w:r>
              <w:rPr>
                <w:rFonts w:hint="eastAsia" w:ascii="仿宋" w:hAnsi="仿宋" w:eastAsia="仿宋" w:cs="仿宋_GB2312"/>
                <w:color w:val="auto"/>
                <w:sz w:val="24"/>
                <w:highlight w:val="none"/>
                <w:lang w:val="en-US" w:eastAsia="zh-CN"/>
              </w:rPr>
              <w:t>打分</w:t>
            </w:r>
            <w:r>
              <w:rPr>
                <w:rFonts w:hint="eastAsia" w:ascii="仿宋" w:hAnsi="仿宋" w:eastAsia="仿宋" w:cs="仿宋_GB2312"/>
                <w:color w:val="auto"/>
                <w:sz w:val="24"/>
                <w:highlight w:val="none"/>
              </w:rPr>
              <w:t>。</w:t>
            </w:r>
          </w:p>
          <w:p>
            <w:pPr>
              <w:tabs>
                <w:tab w:val="left" w:pos="0"/>
              </w:tabs>
              <w:snapToGrid w:val="0"/>
              <w:spacing w:line="300" w:lineRule="auto"/>
              <w:rPr>
                <w:rFonts w:hint="eastAsia" w:ascii="仿宋" w:hAnsi="仿宋" w:eastAsia="仿宋" w:cs="仿宋_GB2312"/>
                <w:color w:val="auto"/>
                <w:sz w:val="24"/>
                <w:highlight w:val="none"/>
              </w:rPr>
            </w:pPr>
            <w:r>
              <w:rPr>
                <w:rFonts w:hint="eastAsia" w:ascii="仿宋" w:hAnsi="仿宋" w:eastAsia="仿宋" w:cs="仿宋"/>
                <w:b/>
                <w:bCs/>
                <w:color w:val="auto"/>
                <w:sz w:val="24"/>
                <w:highlight w:val="none"/>
              </w:rPr>
              <w:t>方案科学、合理、规范和操作强得</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分，方案基本满足得3分，方案一般得2分,</w:t>
            </w:r>
            <w:r>
              <w:rPr>
                <w:rFonts w:hint="eastAsia" w:ascii="仿宋" w:hAnsi="仿宋" w:eastAsia="仿宋" w:cs="仿宋"/>
                <w:b/>
                <w:bCs/>
                <w:color w:val="auto"/>
                <w:sz w:val="24"/>
                <w:highlight w:val="none"/>
                <w:lang w:val="en-US" w:eastAsia="zh-CN"/>
              </w:rPr>
              <w:t>方案较差得1分，</w:t>
            </w:r>
            <w:r>
              <w:rPr>
                <w:rFonts w:hint="eastAsia" w:ascii="仿宋" w:hAnsi="仿宋" w:eastAsia="仿宋" w:cs="仿宋"/>
                <w:b/>
                <w:bCs/>
                <w:color w:val="auto"/>
                <w:sz w:val="24"/>
                <w:highlight w:val="none"/>
              </w:rPr>
              <w:t>不符合不得分。须提供物业工具租赁合同或购置发票</w:t>
            </w:r>
            <w:r>
              <w:rPr>
                <w:rFonts w:hint="eastAsia" w:ascii="仿宋" w:hAnsi="仿宋" w:eastAsia="仿宋" w:cs="仿宋"/>
                <w:b/>
                <w:bCs/>
                <w:color w:val="auto"/>
                <w:sz w:val="24"/>
                <w:highlight w:val="none"/>
                <w:lang w:eastAsia="zh-CN"/>
              </w:rPr>
              <w:t>。</w:t>
            </w:r>
          </w:p>
        </w:tc>
        <w:tc>
          <w:tcPr>
            <w:tcW w:w="726" w:type="dxa"/>
            <w:noWrap w:val="0"/>
            <w:vAlign w:val="center"/>
          </w:tcPr>
          <w:p>
            <w:pPr>
              <w:tabs>
                <w:tab w:val="left" w:pos="0"/>
              </w:tabs>
              <w:snapToGrid w:val="0"/>
              <w:spacing w:line="300" w:lineRule="auto"/>
              <w:jc w:val="center"/>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p>
        </w:tc>
        <w:tc>
          <w:tcPr>
            <w:tcW w:w="1038" w:type="dxa"/>
            <w:noWrap w:val="0"/>
            <w:vAlign w:val="top"/>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人员培训管理方案（4分）</w:t>
            </w:r>
          </w:p>
        </w:tc>
        <w:tc>
          <w:tcPr>
            <w:tcW w:w="674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根据本项目情况，制定全面、有针对性、切实可行性的培训计划和培训方案。</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方案完善可实施性强得4分，方案基本完善可实施得3分，方案简单、一般得2分，方案可行性较差得1分，不符合不得分。</w:t>
            </w:r>
          </w:p>
        </w:tc>
        <w:tc>
          <w:tcPr>
            <w:tcW w:w="72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p>
        </w:tc>
        <w:tc>
          <w:tcPr>
            <w:tcW w:w="1038" w:type="dxa"/>
            <w:noWrap w:val="0"/>
            <w:vAlign w:val="center"/>
          </w:tcPr>
          <w:p>
            <w:pPr>
              <w:tabs>
                <w:tab w:val="left" w:pos="0"/>
              </w:tabs>
              <w:snapToGrid w:val="0"/>
              <w:spacing w:line="30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rPr>
              <w:t>员工福利待遇（3分）</w:t>
            </w:r>
          </w:p>
        </w:tc>
        <w:tc>
          <w:tcPr>
            <w:tcW w:w="6745" w:type="dxa"/>
            <w:noWrap w:val="0"/>
            <w:vAlign w:val="center"/>
          </w:tcPr>
          <w:p>
            <w:pPr>
              <w:tabs>
                <w:tab w:val="left" w:pos="0"/>
              </w:tabs>
              <w:snapToGrid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对服务人员福利待遇、社会保险、职业安全等保障措施和方案的优劣情况进行综合评分。</w:t>
            </w:r>
          </w:p>
          <w:p>
            <w:pPr>
              <w:tabs>
                <w:tab w:val="left" w:pos="0"/>
              </w:tabs>
              <w:snapToGrid w:val="0"/>
              <w:rPr>
                <w:rFonts w:hint="eastAsia" w:ascii="仿宋" w:hAnsi="仿宋" w:eastAsia="仿宋" w:cs="仿宋"/>
                <w:b/>
                <w:bCs/>
                <w:color w:val="auto"/>
                <w:sz w:val="24"/>
                <w:szCs w:val="24"/>
                <w:highlight w:val="none"/>
              </w:rPr>
            </w:pPr>
            <w:r>
              <w:rPr>
                <w:rFonts w:hint="eastAsia" w:ascii="仿宋" w:hAnsi="仿宋" w:eastAsia="仿宋" w:cs="仿宋_GB2312"/>
                <w:b/>
                <w:bCs/>
                <w:color w:val="auto"/>
                <w:sz w:val="24"/>
                <w:highlight w:val="none"/>
              </w:rPr>
              <w:t>内容完善可实施性强得3分，内容基本完善可实施得2分，内容简单、一般得</w:t>
            </w:r>
            <w:r>
              <w:rPr>
                <w:rFonts w:hint="eastAsia" w:ascii="仿宋" w:hAnsi="仿宋" w:eastAsia="仿宋" w:cs="仿宋_GB2312"/>
                <w:b/>
                <w:bCs/>
                <w:color w:val="auto"/>
                <w:sz w:val="24"/>
                <w:highlight w:val="none"/>
                <w:lang w:val="en-US" w:eastAsia="zh-CN"/>
              </w:rPr>
              <w:t>1</w:t>
            </w:r>
            <w:r>
              <w:rPr>
                <w:rFonts w:hint="eastAsia" w:ascii="仿宋" w:hAnsi="仿宋" w:eastAsia="仿宋" w:cs="仿宋_GB2312"/>
                <w:b/>
                <w:bCs/>
                <w:color w:val="auto"/>
                <w:sz w:val="24"/>
                <w:highlight w:val="none"/>
              </w:rPr>
              <w:t>分，</w:t>
            </w:r>
            <w:r>
              <w:rPr>
                <w:rFonts w:hint="eastAsia" w:ascii="仿宋" w:hAnsi="仿宋" w:eastAsia="仿宋" w:cs="仿宋"/>
                <w:b/>
                <w:bCs/>
                <w:color w:val="auto"/>
                <w:sz w:val="24"/>
                <w:highlight w:val="none"/>
              </w:rPr>
              <w:t>不符合不得分。</w:t>
            </w:r>
          </w:p>
        </w:tc>
        <w:tc>
          <w:tcPr>
            <w:tcW w:w="726" w:type="dxa"/>
            <w:noWrap w:val="0"/>
            <w:vAlign w:val="center"/>
          </w:tcPr>
          <w:p>
            <w:pPr>
              <w:tabs>
                <w:tab w:val="left" w:pos="0"/>
              </w:tabs>
              <w:snapToGrid w:val="0"/>
              <w:spacing w:line="30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_GB2312"/>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62" w:type="dxa"/>
            <w:vMerge w:val="continue"/>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p>
        </w:tc>
        <w:tc>
          <w:tcPr>
            <w:tcW w:w="1038" w:type="dxa"/>
            <w:noWrap w:val="0"/>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服务承诺（</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6745" w:type="dxa"/>
            <w:noWrap w:val="0"/>
            <w:vAlign w:val="top"/>
          </w:tcPr>
          <w:p>
            <w:pPr>
              <w:tabs>
                <w:tab w:val="left" w:pos="0"/>
              </w:tabs>
              <w:snapToGrid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根据本项目的服务需求，投标人对诚信服务、服务质量、管理及服从安排、应急响应时间等方面做出服务承诺。</w:t>
            </w:r>
          </w:p>
          <w:p>
            <w:pPr>
              <w:tabs>
                <w:tab w:val="left" w:pos="0"/>
              </w:tabs>
              <w:snapToGrid w:val="0"/>
              <w:rPr>
                <w:rFonts w:hint="eastAsia" w:ascii="仿宋" w:hAnsi="仿宋" w:eastAsia="仿宋" w:cs="仿宋_GB2312"/>
                <w:color w:val="auto"/>
                <w:sz w:val="24"/>
                <w:highlight w:val="none"/>
              </w:rPr>
            </w:pPr>
            <w:r>
              <w:rPr>
                <w:rFonts w:hint="eastAsia" w:ascii="仿宋" w:hAnsi="仿宋" w:eastAsia="仿宋" w:cs="仿宋_GB2312"/>
                <w:b/>
                <w:bCs/>
                <w:color w:val="auto"/>
                <w:sz w:val="24"/>
                <w:highlight w:val="none"/>
              </w:rPr>
              <w:t>方案科学、合理、规范和操作强得</w:t>
            </w:r>
            <w:r>
              <w:rPr>
                <w:rFonts w:hint="eastAsia" w:ascii="仿宋" w:hAnsi="仿宋" w:eastAsia="仿宋" w:cs="仿宋_GB2312"/>
                <w:b/>
                <w:bCs/>
                <w:color w:val="auto"/>
                <w:sz w:val="24"/>
                <w:highlight w:val="none"/>
                <w:lang w:val="en-US" w:eastAsia="zh-CN"/>
              </w:rPr>
              <w:t>4</w:t>
            </w:r>
            <w:r>
              <w:rPr>
                <w:rFonts w:hint="eastAsia" w:ascii="仿宋" w:hAnsi="仿宋" w:eastAsia="仿宋" w:cs="仿宋_GB2312"/>
                <w:b/>
                <w:bCs/>
                <w:color w:val="auto"/>
                <w:sz w:val="24"/>
                <w:highlight w:val="none"/>
              </w:rPr>
              <w:t>分，</w:t>
            </w:r>
            <w:r>
              <w:rPr>
                <w:rFonts w:hint="eastAsia" w:ascii="仿宋" w:hAnsi="仿宋" w:eastAsia="仿宋" w:cs="仿宋_GB2312"/>
                <w:b/>
                <w:bCs/>
                <w:color w:val="auto"/>
                <w:sz w:val="24"/>
                <w:highlight w:val="none"/>
                <w:lang w:val="en-US"/>
              </w:rPr>
              <w:t>内容基本完善可</w:t>
            </w:r>
            <w:r>
              <w:rPr>
                <w:rFonts w:hint="eastAsia" w:ascii="仿宋" w:hAnsi="仿宋" w:eastAsia="仿宋" w:cs="仿宋_GB2312"/>
                <w:b/>
                <w:bCs/>
                <w:color w:val="auto"/>
                <w:sz w:val="24"/>
                <w:highlight w:val="none"/>
                <w:lang w:val="en-US" w:eastAsia="zh-CN"/>
              </w:rPr>
              <w:t>操作</w:t>
            </w:r>
            <w:r>
              <w:rPr>
                <w:rFonts w:hint="eastAsia" w:ascii="仿宋" w:hAnsi="仿宋" w:eastAsia="仿宋" w:cs="仿宋_GB2312"/>
                <w:b/>
                <w:bCs/>
                <w:color w:val="auto"/>
                <w:sz w:val="24"/>
                <w:highlight w:val="none"/>
                <w:lang w:val="en-US"/>
              </w:rPr>
              <w:t>得</w:t>
            </w:r>
            <w:r>
              <w:rPr>
                <w:rFonts w:hint="eastAsia" w:ascii="仿宋" w:hAnsi="仿宋" w:eastAsia="仿宋" w:cs="仿宋_GB2312"/>
                <w:b/>
                <w:bCs/>
                <w:color w:val="auto"/>
                <w:sz w:val="24"/>
                <w:highlight w:val="none"/>
                <w:lang w:val="en-US" w:eastAsia="zh-CN"/>
              </w:rPr>
              <w:t>3</w:t>
            </w:r>
            <w:r>
              <w:rPr>
                <w:rFonts w:hint="eastAsia" w:ascii="仿宋" w:hAnsi="仿宋" w:eastAsia="仿宋" w:cs="仿宋_GB2312"/>
                <w:b/>
                <w:bCs/>
                <w:color w:val="auto"/>
                <w:sz w:val="24"/>
                <w:highlight w:val="none"/>
                <w:lang w:val="en-US"/>
              </w:rPr>
              <w:t>分，内容简单、一般得</w:t>
            </w:r>
            <w:r>
              <w:rPr>
                <w:rFonts w:hint="eastAsia" w:ascii="仿宋" w:hAnsi="仿宋" w:eastAsia="仿宋" w:cs="仿宋_GB2312"/>
                <w:b/>
                <w:bCs/>
                <w:color w:val="auto"/>
                <w:sz w:val="24"/>
                <w:highlight w:val="none"/>
                <w:lang w:val="en-US" w:eastAsia="zh-CN"/>
              </w:rPr>
              <w:t>2</w:t>
            </w:r>
            <w:r>
              <w:rPr>
                <w:rFonts w:hint="eastAsia" w:ascii="仿宋" w:hAnsi="仿宋" w:eastAsia="仿宋" w:cs="仿宋_GB2312"/>
                <w:b/>
                <w:bCs/>
                <w:color w:val="auto"/>
                <w:sz w:val="24"/>
                <w:highlight w:val="none"/>
                <w:lang w:val="en-US"/>
              </w:rPr>
              <w:t>分，内容</w:t>
            </w:r>
            <w:r>
              <w:rPr>
                <w:rFonts w:hint="eastAsia" w:ascii="仿宋" w:hAnsi="仿宋" w:eastAsia="仿宋" w:cs="仿宋_GB2312"/>
                <w:b/>
                <w:bCs/>
                <w:color w:val="auto"/>
                <w:sz w:val="24"/>
                <w:highlight w:val="none"/>
                <w:lang w:val="en-US" w:eastAsia="zh-CN"/>
              </w:rPr>
              <w:t>操作</w:t>
            </w:r>
            <w:r>
              <w:rPr>
                <w:rFonts w:hint="eastAsia" w:ascii="仿宋" w:hAnsi="仿宋" w:eastAsia="仿宋" w:cs="仿宋_GB2312"/>
                <w:b/>
                <w:bCs/>
                <w:color w:val="auto"/>
                <w:sz w:val="24"/>
                <w:highlight w:val="none"/>
                <w:lang w:val="en-US"/>
              </w:rPr>
              <w:t>性较差得</w:t>
            </w:r>
            <w:r>
              <w:rPr>
                <w:rFonts w:hint="eastAsia" w:ascii="仿宋" w:hAnsi="仿宋" w:eastAsia="仿宋" w:cs="仿宋_GB2312"/>
                <w:b/>
                <w:bCs/>
                <w:color w:val="auto"/>
                <w:sz w:val="24"/>
                <w:highlight w:val="none"/>
                <w:lang w:val="en-US" w:eastAsia="zh-CN"/>
              </w:rPr>
              <w:t>1</w:t>
            </w:r>
            <w:r>
              <w:rPr>
                <w:rFonts w:hint="eastAsia" w:ascii="仿宋" w:hAnsi="仿宋" w:eastAsia="仿宋" w:cs="仿宋_GB2312"/>
                <w:b/>
                <w:bCs/>
                <w:color w:val="auto"/>
                <w:sz w:val="24"/>
                <w:highlight w:val="none"/>
                <w:lang w:val="en-US"/>
              </w:rPr>
              <w:t>分，</w:t>
            </w:r>
            <w:r>
              <w:rPr>
                <w:rFonts w:hint="eastAsia" w:ascii="仿宋" w:hAnsi="仿宋" w:eastAsia="仿宋" w:cs="仿宋"/>
                <w:b/>
                <w:bCs/>
                <w:color w:val="auto"/>
                <w:sz w:val="24"/>
                <w:highlight w:val="none"/>
              </w:rPr>
              <w:t>不符合不得分。</w:t>
            </w:r>
          </w:p>
        </w:tc>
        <w:tc>
          <w:tcPr>
            <w:tcW w:w="726" w:type="dxa"/>
            <w:noWrap w:val="0"/>
            <w:vAlign w:val="center"/>
          </w:tcPr>
          <w:p>
            <w:pPr>
              <w:widowControl/>
              <w:adjustRightInd/>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262" w:type="dxa"/>
            <w:noWrap w:val="0"/>
            <w:vAlign w:val="center"/>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日常考核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3分</w:t>
            </w:r>
            <w:r>
              <w:rPr>
                <w:rFonts w:hint="eastAsia" w:ascii="仿宋" w:hAnsi="仿宋" w:eastAsia="仿宋" w:cs="仿宋"/>
                <w:color w:val="auto"/>
                <w:sz w:val="24"/>
                <w:highlight w:val="none"/>
                <w:lang w:eastAsia="zh-CN"/>
              </w:rPr>
              <w:t>）</w:t>
            </w:r>
          </w:p>
        </w:tc>
        <w:tc>
          <w:tcPr>
            <w:tcW w:w="1038" w:type="dxa"/>
            <w:noWrap w:val="0"/>
            <w:vAlign w:val="top"/>
          </w:tcPr>
          <w:p>
            <w:pPr>
              <w:keepNext w:val="0"/>
              <w:keepLines w:val="0"/>
              <w:pageBreakBefore w:val="0"/>
              <w:kinsoku/>
              <w:wordWrap/>
              <w:topLinePunct w:val="0"/>
              <w:bidi w:val="0"/>
              <w:spacing w:line="240" w:lineRule="auto"/>
              <w:rPr>
                <w:rFonts w:hint="eastAsia" w:ascii="仿宋" w:hAnsi="仿宋" w:eastAsia="仿宋" w:cs="仿宋_GB2312"/>
                <w:color w:val="auto"/>
                <w:sz w:val="24"/>
                <w:highlight w:val="none"/>
              </w:rPr>
            </w:pPr>
            <w:r>
              <w:rPr>
                <w:rFonts w:hint="eastAsia" w:ascii="仿宋" w:hAnsi="仿宋" w:eastAsia="仿宋" w:cs="仿宋"/>
                <w:color w:val="auto"/>
                <w:sz w:val="24"/>
                <w:szCs w:val="24"/>
                <w:highlight w:val="none"/>
                <w:vertAlign w:val="baseline"/>
                <w:lang w:val="en-US" w:eastAsia="zh-CN"/>
              </w:rPr>
              <w:t>日常考核方案（3分）</w:t>
            </w:r>
          </w:p>
        </w:tc>
        <w:tc>
          <w:tcPr>
            <w:tcW w:w="6745" w:type="dxa"/>
            <w:noWrap w:val="0"/>
            <w:vAlign w:val="top"/>
          </w:tcPr>
          <w:p>
            <w:pPr>
              <w:keepNext w:val="0"/>
              <w:keepLines w:val="0"/>
              <w:pageBreakBefore w:val="0"/>
              <w:widowControl/>
              <w:kinsoku/>
              <w:wordWrap/>
              <w:topLinePunct w:val="0"/>
              <w:bidi w:val="0"/>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投标人针对采购单位的考核文件，制定相应的管理方案。</w:t>
            </w:r>
          </w:p>
          <w:p>
            <w:pPr>
              <w:pStyle w:val="2"/>
              <w:keepNext w:val="0"/>
              <w:keepLines w:val="0"/>
              <w:pageBreakBefore w:val="0"/>
              <w:numPr>
                <w:ilvl w:val="0"/>
                <w:numId w:val="0"/>
              </w:numPr>
              <w:kinsoku/>
              <w:wordWrap/>
              <w:topLinePunct w:val="0"/>
              <w:bidi w:val="0"/>
              <w:spacing w:line="240" w:lineRule="auto"/>
              <w:ind w:left="0" w:leftChars="0" w:firstLine="0" w:firstLineChars="0"/>
              <w:rPr>
                <w:rFonts w:hint="eastAsia" w:ascii="仿宋" w:hAnsi="仿宋" w:eastAsia="仿宋" w:cs="仿宋_GB2312"/>
                <w:color w:val="auto"/>
                <w:sz w:val="24"/>
                <w:highlight w:val="none"/>
              </w:rPr>
            </w:pPr>
            <w:r>
              <w:rPr>
                <w:rFonts w:hint="eastAsia" w:ascii="仿宋" w:hAnsi="仿宋" w:eastAsia="仿宋" w:cs="仿宋"/>
                <w:b/>
                <w:bCs/>
                <w:color w:val="auto"/>
                <w:sz w:val="24"/>
                <w:szCs w:val="24"/>
                <w:highlight w:val="none"/>
              </w:rPr>
              <w:t>内容完善可实施性强得</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分，内容基本完善可实施得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分，内容简单、一般得</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分，不符合不得分。</w:t>
            </w:r>
          </w:p>
        </w:tc>
        <w:tc>
          <w:tcPr>
            <w:tcW w:w="726" w:type="dxa"/>
            <w:noWrap w:val="0"/>
            <w:vAlign w:val="center"/>
          </w:tcPr>
          <w:p>
            <w:pPr>
              <w:keepNext w:val="0"/>
              <w:keepLines w:val="0"/>
              <w:pageBreakBefore w:val="0"/>
              <w:widowControl/>
              <w:kinsoku/>
              <w:wordWrap/>
              <w:topLinePunct w:val="0"/>
              <w:bidi w:val="0"/>
              <w:adjustRightInd/>
              <w:spacing w:line="240" w:lineRule="auto"/>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val="en-US" w:eastAsia="zh-CN"/>
              </w:rPr>
              <w:t>3</w:t>
            </w:r>
          </w:p>
        </w:tc>
      </w:tr>
    </w:tbl>
    <w:p>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_GB2312"/>
          <w:color w:val="auto"/>
          <w:sz w:val="24"/>
          <w:szCs w:val="24"/>
          <w:highlight w:val="none"/>
          <w:lang w:val="en-US"/>
        </w:rPr>
      </w:pPr>
      <w:r>
        <w:rPr>
          <w:rFonts w:hint="eastAsia" w:ascii="仿宋" w:hAnsi="仿宋" w:eastAsia="仿宋" w:cs="仿宋_GB2312"/>
          <w:color w:val="auto"/>
          <w:kern w:val="2"/>
          <w:sz w:val="24"/>
          <w:szCs w:val="24"/>
          <w:highlight w:val="none"/>
          <w:lang w:val="en-US" w:eastAsia="zh-CN" w:bidi="ar"/>
        </w:rPr>
        <w:t>（计算得分时，按其算术平均值保留小数点后2位；评审小组成员个人主观打分偏离所有评审小组成员主观打分平均值30%以上的，由评审委员会启动评分畸高、畸低行为认定程序。商务技术分低于（商务技术总分的60%）42分的，视为采购人不能接受的附加条件。）</w:t>
      </w: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lang w:val="en-US" w:eastAsia="zh-CN"/>
        </w:rPr>
        <w:t>30</w:t>
      </w:r>
      <w:r>
        <w:rPr>
          <w:rFonts w:hint="eastAsia" w:ascii="仿宋" w:hAnsi="仿宋" w:eastAsia="仿宋" w:cs="仿宋_GB2312"/>
          <w:color w:val="auto"/>
          <w:sz w:val="24"/>
          <w:highlight w:val="none"/>
        </w:rPr>
        <w:t>分）</w:t>
      </w:r>
    </w:p>
    <w:tbl>
      <w:tblPr>
        <w:tblStyle w:val="6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jc w:val="center"/>
        </w:trPr>
        <w:tc>
          <w:tcPr>
            <w:tcW w:w="2092" w:type="dxa"/>
            <w:tcBorders>
              <w:top w:val="single" w:color="auto" w:sz="4" w:space="0"/>
              <w:left w:val="single" w:color="auto" w:sz="4" w:space="0"/>
              <w:bottom w:val="single" w:color="auto" w:sz="4" w:space="0"/>
              <w:right w:val="single" w:color="auto" w:sz="4" w:space="0"/>
            </w:tcBorders>
            <w:noWrap/>
            <w:vAlign w:val="bottom"/>
          </w:tcPr>
          <w:p>
            <w:pPr>
              <w:spacing w:line="32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价格分</w:t>
            </w:r>
          </w:p>
          <w:p>
            <w:pPr>
              <w:spacing w:line="32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满分基准价分值</w:t>
            </w:r>
          </w:p>
        </w:tc>
        <w:tc>
          <w:tcPr>
            <w:tcW w:w="7347"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209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价格权值=0.</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0</w:t>
            </w:r>
          </w:p>
        </w:tc>
        <w:tc>
          <w:tcPr>
            <w:tcW w:w="7347" w:type="dxa"/>
            <w:tcBorders>
              <w:top w:val="single" w:color="auto" w:sz="4" w:space="0"/>
              <w:left w:val="single" w:color="auto" w:sz="4" w:space="0"/>
              <w:bottom w:val="single" w:color="auto" w:sz="4" w:space="0"/>
              <w:right w:val="single" w:color="auto" w:sz="4" w:space="0"/>
            </w:tcBorders>
            <w:noWrap/>
            <w:vAlign w:val="center"/>
          </w:tcPr>
          <w:p>
            <w:pPr>
              <w:pStyle w:val="2"/>
              <w:ind w:left="0" w:leftChars="0" w:firstLine="0" w:firstLineChars="0"/>
              <w:rPr>
                <w:rFonts w:hint="default"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住宅物业费（含能耗）：1.5元/月/平方米</w:t>
            </w:r>
          </w:p>
          <w:p>
            <w:pPr>
              <w:pStyle w:val="2"/>
              <w:ind w:left="0" w:leftChars="0" w:firstLine="0" w:firstLineChars="0"/>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商业用房物业费（含能耗）：</w:t>
            </w:r>
            <w:r>
              <w:rPr>
                <w:rFonts w:hint="eastAsia" w:ascii="宋体" w:hAnsi="宋体" w:eastAsia="宋体" w:cs="Times New Roman"/>
                <w:b/>
                <w:bCs/>
                <w:color w:val="auto"/>
                <w:sz w:val="24"/>
                <w:highlight w:val="none"/>
                <w:lang w:val="en-US" w:eastAsia="zh-CN"/>
              </w:rPr>
              <w:tab/>
            </w:r>
            <w:r>
              <w:rPr>
                <w:rFonts w:hint="eastAsia" w:ascii="宋体" w:hAnsi="宋体" w:eastAsia="宋体" w:cs="Times New Roman"/>
                <w:b/>
                <w:bCs/>
                <w:color w:val="auto"/>
                <w:sz w:val="24"/>
                <w:highlight w:val="none"/>
                <w:lang w:val="en-US" w:eastAsia="zh-CN"/>
              </w:rPr>
              <w:t>2.5元/月/平方米</w:t>
            </w:r>
          </w:p>
          <w:p>
            <w:pPr>
              <w:pStyle w:val="2"/>
              <w:ind w:left="0" w:leftChars="0" w:firstLine="0" w:firstLineChars="0"/>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自行车棚、地下室（含能耗）及其他用房</w:t>
            </w:r>
            <w:r>
              <w:rPr>
                <w:rFonts w:hint="eastAsia" w:ascii="宋体" w:hAnsi="宋体" w:eastAsia="宋体" w:cs="Times New Roman"/>
                <w:b/>
                <w:bCs/>
                <w:color w:val="auto"/>
                <w:sz w:val="24"/>
                <w:highlight w:val="none"/>
                <w:lang w:val="en-US" w:eastAsia="zh-CN"/>
              </w:rPr>
              <w:tab/>
            </w:r>
            <w:r>
              <w:rPr>
                <w:rFonts w:hint="eastAsia" w:ascii="宋体" w:hAnsi="宋体" w:eastAsia="宋体" w:cs="Times New Roman"/>
                <w:b/>
                <w:bCs/>
                <w:color w:val="auto"/>
                <w:sz w:val="24"/>
                <w:highlight w:val="none"/>
                <w:lang w:val="en-US" w:eastAsia="zh-CN"/>
              </w:rPr>
              <w:t>,</w:t>
            </w:r>
            <w:r>
              <w:rPr>
                <w:rFonts w:hint="eastAsia" w:ascii="宋体" w:hAnsi="宋体" w:eastAsia="宋体" w:cs="Times New Roman"/>
                <w:b/>
                <w:bCs/>
                <w:color w:val="auto"/>
                <w:sz w:val="24"/>
                <w:highlight w:val="none"/>
                <w:lang w:val="en-US" w:eastAsia="zh-CN"/>
              </w:rPr>
              <w:tab/>
            </w:r>
            <w:r>
              <w:rPr>
                <w:rFonts w:hint="eastAsia" w:ascii="宋体" w:hAnsi="宋体" w:eastAsia="宋体" w:cs="Times New Roman"/>
                <w:b/>
                <w:bCs/>
                <w:color w:val="auto"/>
                <w:sz w:val="24"/>
                <w:highlight w:val="none"/>
                <w:lang w:val="en-US" w:eastAsia="zh-CN"/>
              </w:rPr>
              <w:t>不另收取费用，中标后按招标文件要求进行管理。</w:t>
            </w:r>
          </w:p>
          <w:p>
            <w:pPr>
              <w:pStyle w:val="2"/>
              <w:ind w:left="0" w:leftChars="0" w:firstLine="0" w:firstLineChars="0"/>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车位物业费：42元</w:t>
            </w:r>
            <w:r>
              <w:rPr>
                <w:rFonts w:hint="eastAsia" w:ascii="宋体" w:hAnsi="宋体" w:eastAsia="宋体" w:cs="Times New Roman"/>
                <w:b/>
                <w:bCs/>
                <w:color w:val="auto"/>
                <w:sz w:val="24"/>
                <w:highlight w:val="none"/>
                <w:lang w:val="en-US" w:eastAsia="zh-CN"/>
              </w:rPr>
              <w:tab/>
            </w:r>
            <w:r>
              <w:rPr>
                <w:rFonts w:hint="eastAsia" w:ascii="宋体" w:hAnsi="宋体" w:eastAsia="宋体" w:cs="Times New Roman"/>
                <w:b/>
                <w:bCs/>
                <w:color w:val="auto"/>
                <w:sz w:val="24"/>
                <w:highlight w:val="none"/>
                <w:lang w:val="en-US" w:eastAsia="zh-CN"/>
              </w:rPr>
              <w:t>/月/个</w:t>
            </w:r>
          </w:p>
          <w:p>
            <w:pPr>
              <w:pStyle w:val="2"/>
              <w:ind w:left="0" w:leftChars="0" w:firstLine="0" w:firstLineChars="0"/>
              <w:rPr>
                <w:color w:val="auto"/>
                <w:highlight w:val="none"/>
              </w:rPr>
            </w:pPr>
            <w:r>
              <w:rPr>
                <w:rFonts w:hint="eastAsia" w:ascii="宋体" w:hAnsi="宋体" w:eastAsia="宋体" w:cs="Times New Roman"/>
                <w:b/>
                <w:bCs/>
                <w:color w:val="auto"/>
                <w:sz w:val="24"/>
                <w:highlight w:val="none"/>
                <w:lang w:val="en-US" w:eastAsia="zh-CN"/>
              </w:rPr>
              <w:t>说明：以上报价为固定报价，投标报价响应采购文件要求。投标供应商无须另行报价。</w:t>
            </w:r>
          </w:p>
        </w:tc>
      </w:tr>
    </w:tbl>
    <w:p>
      <w:pPr>
        <w:widowControl/>
        <w:spacing w:line="360" w:lineRule="auto"/>
        <w:ind w:firstLine="482" w:firstLineChars="200"/>
        <w:rPr>
          <w:rFonts w:ascii="仿宋" w:hAnsi="仿宋" w:eastAsia="仿宋"/>
          <w:b/>
          <w:color w:val="auto"/>
          <w:sz w:val="24"/>
          <w:szCs w:val="20"/>
          <w:highlight w:val="none"/>
        </w:rPr>
      </w:pPr>
    </w:p>
    <w:p>
      <w:pPr>
        <w:widowControl/>
        <w:spacing w:line="360" w:lineRule="auto"/>
        <w:ind w:firstLine="480" w:firstLineChars="200"/>
        <w:rPr>
          <w:rFonts w:ascii="仿宋" w:hAnsi="仿宋" w:eastAsia="仿宋" w:cs="仿宋_GB2312"/>
          <w:color w:val="auto"/>
          <w:sz w:val="24"/>
          <w:highlight w:val="none"/>
        </w:rPr>
      </w:pPr>
    </w:p>
    <w:p>
      <w:pPr>
        <w:widowControl/>
        <w:spacing w:line="360" w:lineRule="auto"/>
        <w:ind w:firstLine="723" w:firstLineChars="200"/>
        <w:jc w:val="center"/>
        <w:rPr>
          <w:rFonts w:ascii="仿宋" w:hAnsi="仿宋" w:eastAsia="仿宋" w:cs="仿宋_GB2312"/>
          <w:b/>
          <w:color w:val="auto"/>
          <w:sz w:val="36"/>
          <w:szCs w:val="36"/>
          <w:highlight w:val="none"/>
        </w:rPr>
      </w:pPr>
    </w:p>
    <w:p>
      <w:pPr>
        <w:widowControl/>
        <w:spacing w:line="360" w:lineRule="auto"/>
        <w:ind w:firstLine="723" w:firstLineChars="200"/>
        <w:jc w:val="center"/>
        <w:rPr>
          <w:rFonts w:ascii="仿宋" w:hAnsi="仿宋" w:eastAsia="仿宋" w:cs="仿宋_GB2312"/>
          <w:b/>
          <w:color w:val="auto"/>
          <w:sz w:val="36"/>
          <w:szCs w:val="36"/>
          <w:highlight w:val="none"/>
        </w:rPr>
      </w:pPr>
    </w:p>
    <w:p>
      <w:pPr>
        <w:widowControl/>
        <w:spacing w:line="360" w:lineRule="auto"/>
        <w:ind w:firstLine="723" w:firstLineChars="200"/>
        <w:jc w:val="center"/>
        <w:rPr>
          <w:rFonts w:ascii="仿宋" w:hAnsi="仿宋" w:eastAsia="仿宋" w:cs="仿宋_GB2312"/>
          <w:b/>
          <w:color w:val="auto"/>
          <w:sz w:val="36"/>
          <w:szCs w:val="36"/>
          <w:highlight w:val="none"/>
        </w:rPr>
      </w:pPr>
    </w:p>
    <w:p>
      <w:pPr>
        <w:widowControl/>
        <w:spacing w:line="360" w:lineRule="auto"/>
        <w:ind w:firstLine="723" w:firstLineChars="200"/>
        <w:jc w:val="center"/>
        <w:rPr>
          <w:rFonts w:ascii="仿宋" w:hAnsi="仿宋" w:eastAsia="仿宋" w:cs="仿宋_GB2312"/>
          <w:b/>
          <w:color w:val="auto"/>
          <w:sz w:val="36"/>
          <w:szCs w:val="36"/>
          <w:highlight w:val="none"/>
        </w:rPr>
      </w:pPr>
    </w:p>
    <w:p>
      <w:pPr>
        <w:widowControl/>
        <w:spacing w:line="360" w:lineRule="auto"/>
        <w:ind w:firstLine="723" w:firstLineChars="200"/>
        <w:jc w:val="center"/>
        <w:rPr>
          <w:rFonts w:ascii="仿宋" w:hAnsi="仿宋" w:eastAsia="仿宋" w:cs="仿宋_GB2312"/>
          <w:b/>
          <w:color w:val="auto"/>
          <w:sz w:val="36"/>
          <w:szCs w:val="36"/>
          <w:highlight w:val="none"/>
        </w:rPr>
      </w:pPr>
    </w:p>
    <w:p>
      <w:pPr>
        <w:widowControl/>
        <w:spacing w:line="360" w:lineRule="auto"/>
        <w:ind w:firstLine="723" w:firstLineChars="200"/>
        <w:jc w:val="center"/>
        <w:rPr>
          <w:rFonts w:ascii="仿宋" w:hAnsi="仿宋" w:eastAsia="仿宋" w:cs="仿宋_GB2312"/>
          <w:b/>
          <w:color w:val="auto"/>
          <w:sz w:val="36"/>
          <w:szCs w:val="36"/>
          <w:highlight w:val="none"/>
        </w:rPr>
      </w:pPr>
    </w:p>
    <w:p>
      <w:pPr>
        <w:pStyle w:val="49"/>
        <w:rPr>
          <w:color w:val="auto"/>
          <w:highlight w:val="none"/>
        </w:rPr>
      </w:pPr>
      <w:bookmarkStart w:id="453" w:name="_GoBack"/>
      <w:bookmarkEnd w:id="453"/>
    </w:p>
    <w:p>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widowControl/>
        <w:spacing w:line="360" w:lineRule="auto"/>
        <w:ind w:firstLine="723" w:firstLineChars="20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bookmarkEnd w:id="63"/>
      <w:r>
        <w:rPr>
          <w:rFonts w:hint="eastAsia" w:ascii="仿宋" w:hAnsi="仿宋" w:eastAsia="仿宋" w:cs="仿宋_GB2312"/>
          <w:b/>
          <w:color w:val="auto"/>
          <w:sz w:val="36"/>
          <w:szCs w:val="36"/>
          <w:highlight w:val="none"/>
        </w:rPr>
        <w:t xml:space="preserve"> 拟签订的合同文本</w:t>
      </w:r>
    </w:p>
    <w:p>
      <w:pPr>
        <w:widowControl/>
        <w:snapToGrid w:val="0"/>
        <w:spacing w:line="480" w:lineRule="exact"/>
        <w:rPr>
          <w:rFonts w:ascii="仿宋" w:eastAsia="仿宋"/>
          <w:b/>
          <w:bCs/>
          <w:color w:val="auto"/>
          <w:kern w:val="0"/>
          <w:sz w:val="24"/>
          <w:highlight w:val="none"/>
          <w:u w:val="single"/>
        </w:rPr>
      </w:pPr>
      <w:bookmarkStart w:id="432" w:name="第五部分"/>
      <w:bookmarkStart w:id="433" w:name="_Toc86217003"/>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项目的国企采购交易结果，签署本合同。</w:t>
      </w:r>
    </w:p>
    <w:p>
      <w:pPr>
        <w:widowControl/>
        <w:numPr>
          <w:ilvl w:val="0"/>
          <w:numId w:val="9"/>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9"/>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不允许分包部分。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1.履约保证金元。[履约保证金交至采购人处，服务完成后满（   ）个月之日起5个工作日内无息退还]</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w:t>
      </w:r>
      <w:r>
        <w:rPr>
          <w:rFonts w:hint="eastAsia" w:ascii="仿宋" w:eastAsia="仿宋"/>
          <w:color w:val="auto"/>
          <w:kern w:val="0"/>
          <w:sz w:val="24"/>
          <w:highlight w:val="none"/>
          <w:lang w:eastAsia="zh-CN"/>
        </w:rPr>
        <w:t>.</w:t>
      </w:r>
      <w:r>
        <w:rPr>
          <w:rFonts w:hint="eastAsia" w:ascii="仿宋" w:eastAsia="仿宋"/>
          <w:color w:val="auto"/>
          <w:kern w:val="0"/>
          <w:sz w:val="24"/>
          <w:highlight w:val="none"/>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eastAsia="zh-CN"/>
        </w:rPr>
        <w:t>.甲方</w:t>
      </w:r>
      <w:r>
        <w:rPr>
          <w:rFonts w:hint="eastAsia" w:ascii="仿宋" w:eastAsia="仿宋"/>
          <w:color w:val="auto"/>
          <w:kern w:val="0"/>
          <w:sz w:val="24"/>
          <w:highlight w:val="none"/>
        </w:rPr>
        <w:t>有权对</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策划的活动方案提出修改意见，如</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不服从或者多次（不超过五次）修改仍未达到</w:t>
      </w:r>
      <w:r>
        <w:rPr>
          <w:rFonts w:hint="eastAsia" w:ascii="仿宋" w:eastAsia="仿宋"/>
          <w:color w:val="auto"/>
          <w:kern w:val="0"/>
          <w:sz w:val="24"/>
          <w:highlight w:val="none"/>
          <w:lang w:eastAsia="zh-CN"/>
        </w:rPr>
        <w:t>甲方</w:t>
      </w:r>
      <w:r>
        <w:rPr>
          <w:rFonts w:hint="eastAsia" w:ascii="仿宋" w:eastAsia="仿宋"/>
          <w:color w:val="auto"/>
          <w:kern w:val="0"/>
          <w:sz w:val="24"/>
          <w:highlight w:val="none"/>
        </w:rPr>
        <w:t>要求的，或</w:t>
      </w:r>
      <w:r>
        <w:rPr>
          <w:rFonts w:hint="eastAsia" w:ascii="仿宋" w:eastAsia="仿宋"/>
          <w:color w:val="auto"/>
          <w:kern w:val="0"/>
          <w:sz w:val="24"/>
          <w:highlight w:val="none"/>
          <w:lang w:eastAsia="zh-CN"/>
        </w:rPr>
        <w:t>乙方</w:t>
      </w:r>
      <w:r>
        <w:rPr>
          <w:rFonts w:hint="eastAsia" w:ascii="仿宋" w:eastAsia="仿宋"/>
          <w:color w:val="auto"/>
          <w:kern w:val="0"/>
          <w:sz w:val="24"/>
          <w:highlight w:val="none"/>
        </w:rPr>
        <w:t>未能按时提前上交活动方案的，</w:t>
      </w:r>
      <w:r>
        <w:rPr>
          <w:rFonts w:hint="eastAsia" w:ascii="仿宋" w:eastAsia="仿宋"/>
          <w:color w:val="auto"/>
          <w:kern w:val="0"/>
          <w:sz w:val="24"/>
          <w:highlight w:val="none"/>
          <w:lang w:eastAsia="zh-CN"/>
        </w:rPr>
        <w:t>甲方</w:t>
      </w:r>
      <w:r>
        <w:rPr>
          <w:rFonts w:hint="eastAsia" w:ascii="仿宋" w:eastAsia="仿宋"/>
          <w:color w:val="auto"/>
          <w:kern w:val="0"/>
          <w:sz w:val="24"/>
          <w:highlight w:val="none"/>
        </w:rPr>
        <w:t>有权终止合同并没收履约保证金。。</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十四、不可抗力事件处理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十五、诉讼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十六、合同生效及其他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3.本合同未尽事宜，遵照《民法典》有关条文执行。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napToGrid w:val="0"/>
        <w:spacing w:line="480" w:lineRule="exact"/>
        <w:ind w:firstLine="480" w:firstLineChars="200"/>
        <w:rPr>
          <w:rFonts w:ascii="仿宋" w:eastAsia="仿宋"/>
          <w:color w:val="auto"/>
          <w:kern w:val="0"/>
          <w:sz w:val="24"/>
          <w:highlight w:val="none"/>
        </w:rPr>
      </w:pPr>
    </w:p>
    <w:p>
      <w:pPr>
        <w:snapToGrid w:val="0"/>
        <w:spacing w:line="360" w:lineRule="auto"/>
        <w:jc w:val="cente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32"/>
      <w:r>
        <w:rPr>
          <w:rFonts w:hint="eastAsia" w:ascii="仿宋" w:hAnsi="仿宋" w:eastAsia="仿宋" w:cs="仿宋_GB2312"/>
          <w:b/>
          <w:color w:val="auto"/>
          <w:sz w:val="36"/>
          <w:szCs w:val="20"/>
          <w:highlight w:val="none"/>
        </w:rPr>
        <w:t xml:space="preserve"> </w:t>
      </w:r>
      <w:bookmarkEnd w:id="43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 w:hAnsi="仿宋" w:eastAsia="仿宋" w:cs="仿宋_GB2312"/>
          <w:color w:val="auto"/>
          <w:sz w:val="36"/>
          <w:szCs w:val="36"/>
          <w:highlight w:val="none"/>
          <w:lang w:val="zh-CN"/>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ind w:firstLine="600" w:firstLineChars="250"/>
        <w:jc w:val="left"/>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w:t>
      </w:r>
      <w:r>
        <w:rPr>
          <w:rFonts w:hint="eastAsia" w:ascii="仿宋" w:hAnsi="仿宋" w:eastAsia="仿宋" w:cs="宋体"/>
          <w:color w:val="auto"/>
          <w:kern w:val="0"/>
          <w:sz w:val="24"/>
          <w:highlight w:val="none"/>
        </w:rPr>
        <w:t>营业执照(或事业法人登记证或其他工商等登记证明材料)复印件（投标人为自然人的，须提供自然人的身份证明）</w:t>
      </w:r>
      <w:r>
        <w:rPr>
          <w:rFonts w:hint="eastAsia" w:ascii="仿宋" w:hAnsi="仿宋" w:eastAsia="仿宋" w:cs="仿宋_GB2312"/>
          <w:color w:val="auto"/>
          <w:kern w:val="0"/>
          <w:sz w:val="24"/>
          <w:highlight w:val="none"/>
        </w:rPr>
        <w:t>…………………………………………（页码）</w:t>
      </w:r>
    </w:p>
    <w:p>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pPr>
        <w:snapToGrid w:val="0"/>
        <w:spacing w:line="360" w:lineRule="auto"/>
        <w:rPr>
          <w:rFonts w:ascii="仿宋" w:hAnsi="仿宋" w:eastAsia="仿宋" w:cs="仿宋_GB2312"/>
          <w:color w:val="auto"/>
          <w:sz w:val="24"/>
          <w:highlight w:val="none"/>
        </w:rPr>
      </w:pPr>
    </w:p>
    <w:p>
      <w:pPr>
        <w:snapToGrid w:val="0"/>
        <w:spacing w:line="360" w:lineRule="auto"/>
        <w:ind w:firstLine="3240" w:firstLineChars="900"/>
        <w:rPr>
          <w:rFonts w:ascii="仿宋" w:hAnsi="仿宋" w:eastAsia="仿宋" w:cs="仿宋_GB2312"/>
          <w:color w:val="auto"/>
          <w:sz w:val="36"/>
          <w:szCs w:val="36"/>
          <w:highlight w:val="none"/>
        </w:rPr>
      </w:pPr>
    </w:p>
    <w:p>
      <w:pPr>
        <w:snapToGrid w:val="0"/>
        <w:spacing w:line="360" w:lineRule="auto"/>
        <w:rPr>
          <w:rFonts w:ascii="仿宋" w:hAnsi="仿宋" w:eastAsia="仿宋" w:cs="仿宋_GB2312"/>
          <w:color w:val="auto"/>
          <w:sz w:val="36"/>
          <w:szCs w:val="36"/>
          <w:highlight w:val="none"/>
        </w:rPr>
      </w:pPr>
    </w:p>
    <w:p>
      <w:pPr>
        <w:snapToGrid w:val="0"/>
        <w:spacing w:line="360" w:lineRule="auto"/>
        <w:jc w:val="center"/>
        <w:outlineLvl w:val="0"/>
        <w:rPr>
          <w:rFonts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w:t>
      </w:r>
      <w:r>
        <w:rPr>
          <w:rFonts w:hint="eastAsia" w:ascii="仿宋" w:hAnsi="仿宋" w:eastAsia="仿宋" w:cs="宋体"/>
          <w:b/>
          <w:color w:val="auto"/>
          <w:kern w:val="0"/>
          <w:sz w:val="32"/>
          <w:szCs w:val="32"/>
          <w:highlight w:val="none"/>
        </w:rPr>
        <w:t>营业执照(或事业法人登记证或其他工商等登记证明材料)复印件（投标人为自然人的，须提供自然人的身份证明）</w:t>
      </w: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0"/>
          <w:szCs w:val="30"/>
          <w:highlight w:val="none"/>
        </w:rPr>
      </w:pP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的投标，为此，我方就本次投标有关事项郑重申明如下：</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1、我方已详细审查全部招标文件，同意招标文件的各项要求。</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2、我方承诺已经具备《中华人民共和国政府采购法》第二十二条规定的条件。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5、我方保证所供货物质量符合国家强制性规范和标准，达到采购文件规定的要求。</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6、投标文件自开标日起有效期为90天。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7、我方具有履行本项目合同所必需的设备和专业技术能力。如中标，我方将保证合同顺利履行。</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8、我方中标后拟在中标后将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pPr>
        <w:snapToGrid w:val="0"/>
        <w:spacing w:line="360" w:lineRule="auto"/>
        <w:ind w:firstLine="480" w:firstLineChars="200"/>
        <w:rPr>
          <w:rFonts w:ascii="仿宋" w:hAnsi="仿宋" w:eastAsia="仿宋" w:cs="仿宋_GB2312"/>
          <w:color w:val="auto"/>
          <w:sz w:val="24"/>
          <w:highlight w:val="none"/>
        </w:rPr>
      </w:pPr>
      <w:r>
        <w:rPr>
          <w:rFonts w:hint="eastAsia" w:ascii="仿宋" w:eastAsia="仿宋" w:cs="仿宋_GB2312"/>
          <w:color w:val="auto"/>
          <w:sz w:val="24"/>
          <w:highlight w:val="none"/>
        </w:rPr>
        <w:t>9、我方承诺若违反法律、法规规定，愿接受依法处理。</w:t>
      </w: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firstLine="5040" w:firstLineChars="2100"/>
        <w:rPr>
          <w:rFonts w:ascii="仿宋" w:hAnsi="仿宋" w:eastAsia="仿宋" w:cs="仿宋_GB2312"/>
          <w:color w:val="auto"/>
          <w:kern w:val="0"/>
          <w:sz w:val="24"/>
          <w:highlight w:val="none"/>
          <w:lang w:val="zh-CN"/>
        </w:rPr>
      </w:pPr>
    </w:p>
    <w:p>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jc w:val="center"/>
        <w:outlineLvl w:val="0"/>
        <w:rPr>
          <w:rFonts w:ascii="仿宋" w:hAnsi="仿宋" w:eastAsia="仿宋" w:cs="仿宋_GB2312"/>
          <w:b/>
          <w:color w:val="auto"/>
          <w:kern w:val="0"/>
          <w:sz w:val="24"/>
          <w:highlight w:val="none"/>
          <w:lang w:val="zh-CN"/>
        </w:rPr>
      </w:pPr>
    </w:p>
    <w:p>
      <w:pP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24"/>
          <w:highlight w:val="none"/>
          <w:lang w:val="zh-CN"/>
        </w:rPr>
        <w:br w:type="page"/>
      </w:r>
      <w:r>
        <w:rPr>
          <w:rFonts w:hint="eastAsia" w:ascii="仿宋" w:hAnsi="仿宋" w:eastAsia="仿宋" w:cs="仿宋_GB2312"/>
          <w:b/>
          <w:color w:val="auto"/>
          <w:kern w:val="0"/>
          <w:sz w:val="32"/>
          <w:szCs w:val="32"/>
          <w:highlight w:val="none"/>
        </w:rPr>
        <w:t>三、法定代表人授权委托书</w:t>
      </w:r>
    </w:p>
    <w:p>
      <w:pPr>
        <w:snapToGrid w:val="0"/>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hAnsi="仿宋" w:eastAsia="仿宋" w:cs="仿宋_GB2312"/>
          <w:color w:val="auto"/>
          <w:kern w:val="0"/>
          <w:sz w:val="24"/>
          <w:highlight w:val="none"/>
          <w:u w:val="single"/>
          <w:lang w:val="zh-CN"/>
        </w:rPr>
        <w:t xml:space="preserve"> </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eastAsia="仿宋"/>
          <w:color w:val="auto"/>
          <w:sz w:val="24"/>
          <w:highlight w:val="none"/>
          <w:u w:val="single"/>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firstLine="5160" w:firstLineChars="2150"/>
        <w:rPr>
          <w:rFonts w:ascii="仿宋" w:hAnsi="仿宋" w:eastAsia="仿宋" w:cs="仿宋_GB2312"/>
          <w:color w:val="auto"/>
          <w:kern w:val="0"/>
          <w:sz w:val="24"/>
          <w:highlight w:val="none"/>
          <w:lang w:val="zh-CN"/>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四、法定代表人及其授权代表的身份证（复印件）</w:t>
      </w:r>
    </w:p>
    <w:p>
      <w:pPr>
        <w:snapToGrid w:val="0"/>
        <w:spacing w:line="360" w:lineRule="auto"/>
        <w:ind w:firstLine="576"/>
        <w:jc w:val="right"/>
        <w:rPr>
          <w:rFonts w:ascii="仿宋" w:hAnsi="仿宋" w:eastAsia="仿宋" w:cs="仿宋_GB2312"/>
          <w:color w:val="auto"/>
          <w:kern w:val="0"/>
          <w:sz w:val="24"/>
          <w:highlight w:val="none"/>
        </w:rPr>
      </w:pPr>
    </w:p>
    <w:p>
      <w:pPr>
        <w:spacing w:line="360" w:lineRule="auto"/>
        <w:ind w:firstLine="482" w:firstLineChars="200"/>
        <w:jc w:val="left"/>
        <w:rPr>
          <w:rFonts w:ascii="仿宋" w:hAnsi="仿宋" w:eastAsia="仿宋" w:cs="宋体"/>
          <w:color w:val="auto"/>
          <w:sz w:val="24"/>
          <w:highlight w:val="none"/>
        </w:rPr>
      </w:pPr>
      <w:r>
        <w:rPr>
          <w:rFonts w:hint="eastAsia" w:ascii="仿宋" w:hAnsi="仿宋" w:eastAsia="仿宋" w:cs="宋体"/>
          <w:b/>
          <w:bCs/>
          <w:color w:val="auto"/>
          <w:sz w:val="24"/>
          <w:highlight w:val="none"/>
        </w:rPr>
        <w:t>其授权代表近三个月社保证明；拟派授权代表须为投标企业在职职工，须提供缴费期限为近三个月的投标人所属社保机构养老保险交纳清单或证明（缴费单位和投标单位名称必须一致）。授权代表的社保证明需在社保机构或社保机构网站上打印，并加盖投标单位公章。</w:t>
      </w:r>
    </w:p>
    <w:p>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widowControl/>
        <w:spacing w:line="360" w:lineRule="auto"/>
        <w:ind w:firstLine="480" w:firstLineChars="200"/>
        <w:jc w:val="left"/>
        <w:rPr>
          <w:rFonts w:ascii="仿宋" w:hAnsi="仿宋" w:eastAsia="仿宋" w:cs="仿宋_GB2312"/>
          <w:color w:val="auto"/>
          <w:sz w:val="24"/>
          <w:highlight w:val="none"/>
        </w:rPr>
      </w:pPr>
    </w:p>
    <w:p>
      <w:pPr>
        <w:spacing w:line="360" w:lineRule="auto"/>
        <w:rPr>
          <w:rFonts w:hint="eastAsia" w:ascii="仿宋" w:hAnsi="仿宋" w:eastAsia="仿宋" w:cs="仿宋_GB2312"/>
          <w:b/>
          <w:color w:val="auto"/>
          <w:sz w:val="32"/>
          <w:szCs w:val="32"/>
          <w:highlight w:val="none"/>
          <w:lang w:eastAsia="zh-CN"/>
        </w:rPr>
      </w:pPr>
    </w:p>
    <w:p>
      <w:pPr>
        <w:spacing w:line="360" w:lineRule="auto"/>
        <w:rPr>
          <w:rFonts w:hint="eastAsia" w:ascii="仿宋" w:hAnsi="仿宋" w:eastAsia="仿宋" w:cs="仿宋_GB2312"/>
          <w:b/>
          <w:color w:val="auto"/>
          <w:sz w:val="32"/>
          <w:szCs w:val="32"/>
          <w:highlight w:val="none"/>
          <w:lang w:eastAsia="zh-CN"/>
        </w:rPr>
      </w:pPr>
    </w:p>
    <w:p>
      <w:pPr>
        <w:spacing w:line="360" w:lineRule="auto"/>
        <w:jc w:val="center"/>
        <w:outlineLvl w:val="0"/>
        <w:rPr>
          <w:rFonts w:hint="eastAsia" w:ascii="仿宋" w:hAnsi="仿宋" w:eastAsia="仿宋" w:cs="仿宋_GB2312"/>
          <w:b/>
          <w:color w:val="auto"/>
          <w:sz w:val="32"/>
          <w:szCs w:val="32"/>
          <w:highlight w:val="none"/>
          <w:lang w:eastAsia="zh-CN"/>
        </w:rPr>
      </w:pPr>
    </w:p>
    <w:p>
      <w:pPr>
        <w:spacing w:line="360" w:lineRule="auto"/>
        <w:jc w:val="center"/>
        <w:outlineLvl w:val="0"/>
        <w:rPr>
          <w:rFonts w:hint="eastAsia" w:ascii="仿宋" w:hAnsi="仿宋" w:eastAsia="仿宋" w:cs="仿宋_GB2312"/>
          <w:b/>
          <w:color w:val="auto"/>
          <w:sz w:val="32"/>
          <w:szCs w:val="32"/>
          <w:highlight w:val="none"/>
          <w:lang w:eastAsia="zh-CN"/>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sz w:val="32"/>
          <w:szCs w:val="32"/>
          <w:highlight w:val="none"/>
        </w:rPr>
      </w:pPr>
    </w:p>
    <w:p>
      <w:pPr>
        <w:spacing w:line="360" w:lineRule="auto"/>
        <w:jc w:val="both"/>
        <w:outlineLvl w:val="0"/>
        <w:rPr>
          <w:rFonts w:ascii="仿宋" w:hAnsi="仿宋" w:eastAsia="仿宋" w:cs="仿宋_GB2312"/>
          <w:b/>
          <w:color w:val="auto"/>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580"/>
        <w:spacing w:line="360" w:lineRule="auto"/>
        <w:rPr>
          <w:rFonts w:ascii="仿宋" w:eastAsia="仿宋" w:cs="仿宋_GB2312"/>
          <w:color w:val="auto"/>
          <w:highlight w:val="none"/>
        </w:rPr>
      </w:pPr>
      <w:r>
        <w:rPr>
          <w:rFonts w:hint="eastAsia" w:ascii="仿宋" w:eastAsia="仿宋" w:cs="仿宋_GB2312"/>
          <w:color w:val="auto"/>
          <w:highlight w:val="none"/>
        </w:rPr>
        <w:t>（1）</w:t>
      </w:r>
      <w:r>
        <w:rPr>
          <w:rFonts w:hint="eastAsia" w:ascii="仿宋" w:eastAsia="仿宋" w:cs="仿宋_GB2312"/>
          <w:color w:val="auto"/>
          <w:highlight w:val="none"/>
          <w:lang w:val="zh-CN"/>
        </w:rPr>
        <w:t>评分对应表 ……………………………………………………</w:t>
      </w:r>
      <w:r>
        <w:rPr>
          <w:rFonts w:hint="eastAsia" w:ascii="仿宋" w:eastAsia="仿宋" w:cs="仿宋_GB2312"/>
          <w:color w:val="auto"/>
          <w:highlight w:val="none"/>
        </w:rPr>
        <w:t>（页码）</w:t>
      </w:r>
    </w:p>
    <w:p>
      <w:pPr>
        <w:pStyle w:val="580"/>
        <w:spacing w:line="360" w:lineRule="auto"/>
        <w:rPr>
          <w:rFonts w:ascii="仿宋" w:eastAsia="仿宋" w:cs="仿宋_GB2312"/>
          <w:color w:val="auto"/>
          <w:highlight w:val="none"/>
        </w:rPr>
      </w:pPr>
      <w:r>
        <w:rPr>
          <w:rFonts w:hint="eastAsia" w:ascii="仿宋" w:eastAsia="仿宋" w:cs="仿宋_GB2312"/>
          <w:color w:val="auto"/>
          <w:highlight w:val="none"/>
        </w:rPr>
        <w:t>（2）</w:t>
      </w:r>
      <w:bookmarkStart w:id="434" w:name="OLE_LINK6"/>
      <w:bookmarkStart w:id="435" w:name="OLE_LINK7"/>
      <w:bookmarkStart w:id="436" w:name="OLE_LINK5"/>
      <w:r>
        <w:rPr>
          <w:rFonts w:hint="eastAsia" w:ascii="仿宋" w:eastAsia="仿宋" w:cs="仿宋_GB2312"/>
          <w:color w:val="auto"/>
          <w:highlight w:val="none"/>
        </w:rPr>
        <w:t>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34"/>
      <w:bookmarkEnd w:id="435"/>
    </w:p>
    <w:bookmarkEnd w:id="436"/>
    <w:p>
      <w:pPr>
        <w:pStyle w:val="580"/>
        <w:spacing w:line="360" w:lineRule="auto"/>
        <w:rPr>
          <w:rFonts w:ascii="仿宋" w:eastAsia="仿宋" w:cs="仿宋_GB2312"/>
          <w:color w:val="auto"/>
          <w:highlight w:val="none"/>
        </w:rPr>
      </w:pPr>
      <w:r>
        <w:rPr>
          <w:rFonts w:hint="eastAsia" w:ascii="仿宋" w:eastAsia="仿宋" w:cs="仿宋_GB2312"/>
          <w:color w:val="auto"/>
          <w:highlight w:val="none"/>
        </w:rPr>
        <w:t>（3）商务响应表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highlight w:val="none"/>
          <w:lang w:val="zh-CN"/>
        </w:rPr>
        <w:t>…</w:t>
      </w:r>
      <w:r>
        <w:rPr>
          <w:rFonts w:hint="eastAsia" w:ascii="仿宋" w:hAnsi="仿宋" w:eastAsia="仿宋" w:cs="仿宋_GB2312"/>
          <w:color w:val="auto"/>
          <w:kern w:val="0"/>
          <w:sz w:val="24"/>
          <w:highlight w:val="none"/>
        </w:rPr>
        <w:t>（页码）</w:t>
      </w:r>
    </w:p>
    <w:p>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（5）项目负责人情况表………………………………………………（页码）</w:t>
      </w:r>
    </w:p>
    <w:p>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（6）项目组人员名单…………………………………………………（页码）</w:t>
      </w:r>
    </w:p>
    <w:p>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（7）售后服务方案（如有）…………………………………………（页码）</w:t>
      </w:r>
    </w:p>
    <w:p>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pacing w:line="360" w:lineRule="auto"/>
        <w:rPr>
          <w:rFonts w:ascii="仿宋" w:hAnsi="仿宋" w:eastAsia="仿宋" w:cs="仿宋_GB2312"/>
          <w:color w:val="auto"/>
          <w:kern w:val="0"/>
          <w:sz w:val="24"/>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olor w:val="auto"/>
          <w:spacing w:val="6"/>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b/>
          <w:bCs/>
          <w:color w:val="auto"/>
          <w:spacing w:val="6"/>
          <w:sz w:val="32"/>
          <w:szCs w:val="32"/>
          <w:highlight w:val="none"/>
        </w:rPr>
        <w:t>一、评分对应表</w:t>
      </w:r>
    </w:p>
    <w:p>
      <w:pPr>
        <w:pStyle w:val="16"/>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 xml:space="preserve"> </w:t>
      </w: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24"/>
                <w:highlight w:val="none"/>
              </w:rPr>
            </w:pPr>
          </w:p>
        </w:tc>
      </w:tr>
    </w:tbl>
    <w:p>
      <w:pPr>
        <w:snapToGrid w:val="0"/>
        <w:spacing w:before="120"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r>
        <w:rPr>
          <w:rFonts w:ascii="仿宋" w:hAnsi="仿宋" w:eastAsia="仿宋" w:cs="仿宋_GB2312"/>
          <w:b/>
          <w:color w:val="auto"/>
          <w:sz w:val="24"/>
          <w:highlight w:val="none"/>
        </w:rPr>
        <w:t xml:space="preserve"> </w:t>
      </w:r>
    </w:p>
    <w:p>
      <w:pPr>
        <w:snapToGrid w:val="0"/>
        <w:spacing w:before="120" w:beforeLines="50"/>
        <w:rPr>
          <w:rFonts w:ascii="仿宋" w:hAnsi="仿宋" w:eastAsia="仿宋"/>
          <w:color w:val="auto"/>
          <w:sz w:val="30"/>
          <w:szCs w:val="30"/>
          <w:highlight w:val="none"/>
        </w:rPr>
      </w:pP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rPr>
          <w:rFonts w:ascii="仿宋" w:hAnsi="仿宋" w:eastAsia="仿宋" w:cs="仿宋_GB2312"/>
          <w:b/>
          <w:bCs/>
          <w:color w:val="auto"/>
          <w:sz w:val="32"/>
          <w:szCs w:val="32"/>
          <w:highlight w:val="none"/>
        </w:rPr>
        <w:sectPr>
          <w:headerReference r:id="rId12" w:type="first"/>
          <w:footerReference r:id="rId14" w:type="first"/>
          <w:headerReference r:id="rId11" w:type="default"/>
          <w:footerReference r:id="rId13" w:type="default"/>
          <w:pgSz w:w="11906" w:h="16838"/>
          <w:pgMar w:top="1247" w:right="1418" w:bottom="1276" w:left="1418" w:header="851" w:footer="992" w:gutter="0"/>
          <w:cols w:space="720" w:num="1"/>
          <w:titlePg/>
          <w:docGrid w:linePitch="312" w:charSpace="0"/>
        </w:sectPr>
      </w:pPr>
    </w:p>
    <w:p>
      <w:pPr>
        <w:snapToGrid w:val="0"/>
        <w:spacing w:before="50" w:after="50"/>
        <w:jc w:val="center"/>
        <w:rPr>
          <w:rFonts w:ascii="仿宋" w:hAnsi="仿宋" w:eastAsia="仿宋"/>
          <w:b/>
          <w:bCs/>
          <w:color w:val="auto"/>
          <w:spacing w:val="6"/>
          <w:sz w:val="32"/>
          <w:szCs w:val="32"/>
          <w:highlight w:val="none"/>
        </w:rPr>
      </w:pPr>
      <w:r>
        <w:rPr>
          <w:rFonts w:hint="eastAsia" w:ascii="仿宋" w:hAnsi="仿宋" w:eastAsia="仿宋"/>
          <w:color w:val="auto"/>
          <w:spacing w:val="6"/>
          <w:sz w:val="32"/>
          <w:szCs w:val="32"/>
          <w:highlight w:val="none"/>
        </w:rPr>
        <w:t>二、</w:t>
      </w:r>
      <w:r>
        <w:rPr>
          <w:rFonts w:hint="eastAsia" w:ascii="仿宋" w:hAnsi="仿宋" w:eastAsia="仿宋"/>
          <w:b/>
          <w:bCs/>
          <w:color w:val="auto"/>
          <w:spacing w:val="6"/>
          <w:sz w:val="32"/>
          <w:szCs w:val="32"/>
          <w:highlight w:val="none"/>
        </w:rPr>
        <w:t>技术响应表</w:t>
      </w:r>
    </w:p>
    <w:p>
      <w:pPr>
        <w:rPr>
          <w:rFonts w:ascii="Arial" w:hAnsi="Arial" w:eastAsia="黑体" w:cs="Arial"/>
          <w:snapToGrid w:val="0"/>
          <w:color w:val="auto"/>
          <w:kern w:val="0"/>
          <w:szCs w:val="21"/>
          <w:highlight w:val="non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bookmarkStart w:id="437" w:name="_Toc64369808"/>
            <w:r>
              <w:rPr>
                <w:rFonts w:hint="eastAsia" w:ascii="仿宋" w:hAnsi="仿宋" w:eastAsia="仿宋"/>
                <w:color w:val="auto"/>
                <w:sz w:val="24"/>
                <w:highlight w:val="none"/>
              </w:rPr>
              <w:t>序号</w:t>
            </w:r>
            <w:bookmarkEnd w:id="437"/>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bookmarkStart w:id="438" w:name="_Toc64369809"/>
            <w:bookmarkStart w:id="439" w:name="_Toc64369810"/>
            <w:r>
              <w:rPr>
                <w:rFonts w:hint="eastAsia" w:ascii="仿宋" w:hAnsi="仿宋" w:eastAsia="仿宋"/>
                <w:color w:val="auto"/>
                <w:sz w:val="24"/>
                <w:highlight w:val="none"/>
              </w:rPr>
              <w:t>采购文件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38"/>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投标文件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39"/>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bookmarkStart w:id="440" w:name="_Toc64369811"/>
            <w:r>
              <w:rPr>
                <w:rFonts w:hint="eastAsia" w:ascii="仿宋" w:hAnsi="仿宋" w:eastAsia="仿宋"/>
                <w:color w:val="auto"/>
                <w:sz w:val="24"/>
                <w:highlight w:val="none"/>
              </w:rPr>
              <w:t>偏离</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bookmarkStart w:id="441" w:name="_Toc64369812"/>
            <w:r>
              <w:rPr>
                <w:rFonts w:hint="eastAsia" w:ascii="仿宋" w:hAnsi="仿宋" w:eastAsia="仿宋"/>
                <w:color w:val="auto"/>
                <w:sz w:val="24"/>
                <w:highlight w:val="none"/>
              </w:rPr>
              <w:t>1</w:t>
            </w:r>
            <w:bookmarkEnd w:id="441"/>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bookmarkStart w:id="442" w:name="_Toc64369813"/>
            <w:r>
              <w:rPr>
                <w:rFonts w:hint="eastAsia" w:ascii="仿宋" w:hAnsi="仿宋" w:eastAsia="仿宋"/>
                <w:color w:val="auto"/>
                <w:sz w:val="24"/>
                <w:highlight w:val="none"/>
              </w:rPr>
              <w:t>2</w:t>
            </w:r>
            <w:bookmarkEnd w:id="442"/>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bookmarkStart w:id="443" w:name="_Toc64369814"/>
            <w:r>
              <w:rPr>
                <w:rFonts w:hint="eastAsia" w:ascii="仿宋" w:hAnsi="仿宋" w:eastAsia="仿宋"/>
                <w:color w:val="auto"/>
                <w:sz w:val="24"/>
                <w:highlight w:val="none"/>
              </w:rPr>
              <w:t>…</w:t>
            </w:r>
            <w:bookmarkEnd w:id="443"/>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bl>
    <w:p>
      <w:pPr>
        <w:snapToGrid w:val="0"/>
        <w:spacing w:before="120" w:beforeLines="50"/>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auto"/>
          <w:sz w:val="24"/>
          <w:highlight w:val="none"/>
        </w:rPr>
      </w:pP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pPr>
        <w:snapToGrid w:val="0"/>
        <w:spacing w:before="50" w:after="120" w:afterLines="50"/>
        <w:jc w:val="center"/>
        <w:rPr>
          <w:rFonts w:ascii="仿宋" w:eastAsia="仿宋"/>
          <w:b/>
          <w:bCs/>
          <w:color w:val="auto"/>
          <w:sz w:val="30"/>
          <w:szCs w:val="30"/>
          <w:highlight w:val="none"/>
        </w:rPr>
      </w:pPr>
    </w:p>
    <w:p>
      <w:pPr>
        <w:snapToGrid w:val="0"/>
        <w:spacing w:before="50" w:after="120" w:afterLines="50"/>
        <w:jc w:val="center"/>
        <w:rPr>
          <w:rFonts w:ascii="仿宋" w:eastAsia="仿宋"/>
          <w:b/>
          <w:color w:val="auto"/>
          <w:spacing w:val="40"/>
          <w:kern w:val="0"/>
          <w:sz w:val="36"/>
          <w:szCs w:val="36"/>
          <w:highlight w:val="none"/>
        </w:rPr>
      </w:pPr>
    </w:p>
    <w:p>
      <w:pPr>
        <w:snapToGrid w:val="0"/>
        <w:spacing w:before="50" w:after="120" w:afterLines="50"/>
        <w:jc w:val="center"/>
        <w:rPr>
          <w:rFonts w:ascii="仿宋" w:eastAsia="仿宋"/>
          <w:b/>
          <w:color w:val="auto"/>
          <w:spacing w:val="40"/>
          <w:kern w:val="0"/>
          <w:sz w:val="36"/>
          <w:szCs w:val="36"/>
          <w:highlight w:val="none"/>
        </w:rPr>
      </w:pPr>
    </w:p>
    <w:p>
      <w:pPr>
        <w:snapToGrid w:val="0"/>
        <w:spacing w:before="50" w:after="120" w:afterLines="50"/>
        <w:jc w:val="center"/>
        <w:rPr>
          <w:rFonts w:ascii="仿宋" w:eastAsia="仿宋"/>
          <w:b/>
          <w:color w:val="auto"/>
          <w:spacing w:val="40"/>
          <w:kern w:val="0"/>
          <w:sz w:val="36"/>
          <w:szCs w:val="36"/>
          <w:highlight w:val="none"/>
        </w:rPr>
      </w:pPr>
    </w:p>
    <w:p>
      <w:pPr>
        <w:snapToGrid w:val="0"/>
        <w:spacing w:before="50" w:after="120" w:afterLines="50"/>
        <w:jc w:val="center"/>
        <w:rPr>
          <w:rFonts w:ascii="仿宋" w:eastAsia="仿宋"/>
          <w:b/>
          <w:color w:val="auto"/>
          <w:spacing w:val="40"/>
          <w:kern w:val="0"/>
          <w:sz w:val="36"/>
          <w:szCs w:val="36"/>
          <w:highlight w:val="none"/>
        </w:rPr>
      </w:pPr>
    </w:p>
    <w:p>
      <w:pPr>
        <w:snapToGrid w:val="0"/>
        <w:spacing w:before="50" w:after="120" w:afterLines="50"/>
        <w:jc w:val="center"/>
        <w:rPr>
          <w:rFonts w:ascii="仿宋" w:eastAsia="仿宋"/>
          <w:b/>
          <w:color w:val="auto"/>
          <w:spacing w:val="40"/>
          <w:kern w:val="0"/>
          <w:sz w:val="36"/>
          <w:szCs w:val="36"/>
          <w:highlight w:val="none"/>
        </w:rPr>
      </w:pPr>
    </w:p>
    <w:p>
      <w:pPr>
        <w:snapToGrid w:val="0"/>
        <w:spacing w:before="50" w:after="120" w:afterLines="50"/>
        <w:jc w:val="center"/>
        <w:rPr>
          <w:rFonts w:ascii="仿宋" w:eastAsia="仿宋"/>
          <w:b/>
          <w:color w:val="auto"/>
          <w:spacing w:val="40"/>
          <w:kern w:val="0"/>
          <w:sz w:val="36"/>
          <w:szCs w:val="36"/>
          <w:highlight w:val="none"/>
        </w:rPr>
      </w:pPr>
    </w:p>
    <w:p>
      <w:pPr>
        <w:snapToGrid w:val="0"/>
        <w:spacing w:before="50" w:after="120" w:afterLines="50"/>
        <w:jc w:val="center"/>
        <w:rPr>
          <w:rFonts w:ascii="仿宋" w:eastAsia="仿宋"/>
          <w:b/>
          <w:color w:val="auto"/>
          <w:spacing w:val="40"/>
          <w:kern w:val="0"/>
          <w:sz w:val="36"/>
          <w:szCs w:val="36"/>
          <w:highlight w:val="none"/>
        </w:rPr>
      </w:pPr>
    </w:p>
    <w:p>
      <w:pPr>
        <w:snapToGrid w:val="0"/>
        <w:spacing w:before="50" w:after="120" w:afterLines="50"/>
        <w:rPr>
          <w:rFonts w:ascii="仿宋" w:eastAsia="仿宋"/>
          <w:b/>
          <w:color w:val="auto"/>
          <w:spacing w:val="40"/>
          <w:kern w:val="0"/>
          <w:sz w:val="36"/>
          <w:szCs w:val="36"/>
          <w:highlight w:val="none"/>
        </w:rPr>
      </w:pPr>
    </w:p>
    <w:p>
      <w:pPr>
        <w:pStyle w:val="16"/>
        <w:snapToGrid w:val="0"/>
        <w:jc w:val="center"/>
        <w:rPr>
          <w:rFonts w:ascii="仿宋" w:eastAsia="仿宋"/>
          <w:color w:val="auto"/>
          <w:spacing w:val="40"/>
          <w:kern w:val="0"/>
          <w:sz w:val="36"/>
          <w:szCs w:val="36"/>
          <w:highlight w:val="none"/>
        </w:rPr>
      </w:pPr>
    </w:p>
    <w:p>
      <w:pPr>
        <w:jc w:val="center"/>
        <w:rPr>
          <w:rFonts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三、商务响应表</w:t>
      </w:r>
    </w:p>
    <w:p>
      <w:pPr>
        <w:rPr>
          <w:rFonts w:ascii="Arial" w:hAnsi="Arial" w:eastAsia="黑体" w:cs="Arial"/>
          <w:snapToGrid w:val="0"/>
          <w:color w:val="auto"/>
          <w:kern w:val="0"/>
          <w:szCs w:val="21"/>
          <w:highlight w:val="non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bookmarkStart w:id="444" w:name="_Toc64369815"/>
            <w:r>
              <w:rPr>
                <w:rFonts w:hint="eastAsia" w:ascii="仿宋" w:hAnsi="仿宋" w:eastAsia="仿宋"/>
                <w:color w:val="auto"/>
                <w:sz w:val="24"/>
                <w:highlight w:val="none"/>
              </w:rPr>
              <w:t>类别</w:t>
            </w:r>
            <w:bookmarkEnd w:id="444"/>
          </w:p>
        </w:tc>
        <w:tc>
          <w:tcPr>
            <w:tcW w:w="32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仿宋" w:hAnsi="仿宋" w:eastAsia="仿宋"/>
                <w:color w:val="auto"/>
                <w:sz w:val="24"/>
                <w:highlight w:val="none"/>
              </w:rPr>
            </w:pPr>
            <w:bookmarkStart w:id="445" w:name="_Toc64369816"/>
            <w:r>
              <w:rPr>
                <w:rFonts w:hint="eastAsia" w:ascii="仿宋" w:hAnsi="仿宋" w:eastAsia="仿宋"/>
                <w:color w:val="auto"/>
                <w:sz w:val="24"/>
                <w:highlight w:val="none"/>
              </w:rPr>
              <w:t>采购文件要求</w:t>
            </w:r>
            <w:bookmarkEnd w:id="445"/>
          </w:p>
        </w:tc>
        <w:tc>
          <w:tcPr>
            <w:tcW w:w="32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仿宋" w:hAnsi="仿宋" w:eastAsia="仿宋"/>
                <w:color w:val="auto"/>
                <w:sz w:val="24"/>
                <w:highlight w:val="none"/>
              </w:rPr>
            </w:pPr>
            <w:bookmarkStart w:id="446" w:name="_Toc64369817"/>
            <w:r>
              <w:rPr>
                <w:rFonts w:hint="eastAsia" w:ascii="仿宋" w:hAnsi="仿宋" w:eastAsia="仿宋"/>
                <w:color w:val="auto"/>
                <w:sz w:val="24"/>
                <w:highlight w:val="none"/>
              </w:rPr>
              <w:t>投标文件响应</w:t>
            </w:r>
            <w:bookmarkEnd w:id="446"/>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仿宋" w:hAnsi="仿宋" w:eastAsia="仿宋"/>
                <w:color w:val="auto"/>
                <w:sz w:val="24"/>
                <w:highlight w:val="none"/>
              </w:rPr>
            </w:pPr>
            <w:bookmarkStart w:id="447" w:name="_Toc64369818"/>
            <w:r>
              <w:rPr>
                <w:rFonts w:hint="eastAsia" w:ascii="仿宋" w:hAnsi="仿宋" w:eastAsia="仿宋"/>
                <w:color w:val="auto"/>
                <w:sz w:val="24"/>
                <w:highlight w:val="none"/>
              </w:rPr>
              <w:t>偏离情况</w:t>
            </w:r>
            <w:bookmarkEnd w:id="44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color w:val="auto"/>
                <w:sz w:val="24"/>
                <w:szCs w:val="24"/>
                <w:highlight w:val="none"/>
              </w:rPr>
            </w:pPr>
          </w:p>
        </w:tc>
      </w:tr>
    </w:tbl>
    <w:p>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注：</w:t>
      </w:r>
    </w:p>
    <w:p>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pPr>
        <w:spacing w:line="360" w:lineRule="auto"/>
        <w:ind w:right="4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ascii="仿宋" w:hAnsi="仿宋" w:eastAsia="仿宋" w:cs="仿宋_GB2312"/>
          <w:color w:val="auto"/>
          <w:sz w:val="24"/>
          <w:highlight w:val="none"/>
        </w:rPr>
      </w:pPr>
    </w:p>
    <w:p>
      <w:pPr>
        <w:autoSpaceDE w:val="0"/>
        <w:autoSpaceDN w:val="0"/>
        <w:spacing w:line="360" w:lineRule="auto"/>
        <w:rPr>
          <w:rFonts w:ascii="仿宋" w:hAnsi="仿宋" w:eastAsia="仿宋" w:cs="仿宋_GB2312"/>
          <w:b/>
          <w:color w:val="auto"/>
          <w:kern w:val="0"/>
          <w:sz w:val="28"/>
          <w:szCs w:val="28"/>
          <w:highlight w:val="none"/>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rPr>
        <w:t>四、项目组织实施方案</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五、项目负责人情况表</w:t>
      </w:r>
    </w:p>
    <w:p>
      <w:pPr>
        <w:spacing w:line="360" w:lineRule="auto"/>
        <w:jc w:val="center"/>
        <w:rPr>
          <w:rFonts w:ascii="仿宋" w:hAnsi="仿宋" w:eastAsia="仿宋" w:cs="仿宋_GB2312"/>
          <w:color w:val="auto"/>
          <w:sz w:val="24"/>
          <w:highlight w:val="none"/>
        </w:rPr>
      </w:pPr>
    </w:p>
    <w:tbl>
      <w:tblPr>
        <w:tblStyle w:val="61"/>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bl>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六、项目组人员名单</w:t>
      </w:r>
    </w:p>
    <w:p>
      <w:pPr>
        <w:spacing w:line="360" w:lineRule="auto"/>
        <w:rPr>
          <w:rFonts w:ascii="仿宋" w:hAnsi="仿宋" w:eastAsia="仿宋" w:cs="仿宋_GB2312"/>
          <w:color w:val="auto"/>
          <w:sz w:val="24"/>
          <w:highlight w:val="none"/>
        </w:rPr>
      </w:pPr>
    </w:p>
    <w:tbl>
      <w:tblPr>
        <w:tblStyle w:val="61"/>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autoSpaceDE w:val="0"/>
        <w:autoSpaceDN w:val="0"/>
        <w:spacing w:line="360" w:lineRule="auto"/>
        <w:ind w:firstLine="4578" w:firstLineChars="1900"/>
        <w:rPr>
          <w:rFonts w:ascii="仿宋" w:hAnsi="仿宋" w:eastAsia="仿宋" w:cs="仿宋_GB2312"/>
          <w:b/>
          <w:color w:val="auto"/>
          <w:sz w:val="24"/>
          <w:highlight w:val="none"/>
        </w:rPr>
      </w:pP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七、售后服务方案（如有）</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rPr>
          <w:rFonts w:ascii="仿宋" w:hAnsi="仿宋" w:eastAsia="仿宋" w:cs="仿宋_GB2312"/>
          <w:color w:val="auto"/>
          <w:sz w:val="24"/>
          <w:highlight w:val="none"/>
        </w:rPr>
      </w:pPr>
    </w:p>
    <w:p>
      <w:pPr>
        <w:spacing w:line="360" w:lineRule="auto"/>
        <w:rPr>
          <w:rFonts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lang w:eastAsia="zh-CN"/>
        </w:rPr>
      </w:pPr>
    </w:p>
    <w:p>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八、</w:t>
      </w:r>
      <w:r>
        <w:rPr>
          <w:rFonts w:hint="eastAsia" w:ascii="仿宋" w:hAnsi="仿宋" w:eastAsia="仿宋" w:cs="仿宋_GB2312"/>
          <w:b/>
          <w:color w:val="auto"/>
          <w:kern w:val="0"/>
          <w:sz w:val="32"/>
          <w:szCs w:val="32"/>
          <w:highlight w:val="none"/>
          <w:lang w:val="zh-CN"/>
        </w:rPr>
        <w:t>优惠条件及特殊承诺（如有）</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120"/>
        <w:rPr>
          <w:rFonts w:ascii="仿宋" w:hAnsi="仿宋" w:eastAsia="仿宋" w:cs="仿宋_GB2312"/>
          <w:color w:val="auto"/>
          <w:kern w:val="0"/>
          <w:sz w:val="24"/>
          <w:highlight w:val="none"/>
        </w:rPr>
      </w:pPr>
    </w:p>
    <w:p>
      <w:pPr>
        <w:autoSpaceDE w:val="0"/>
        <w:autoSpaceDN w:val="0"/>
        <w:spacing w:line="360" w:lineRule="auto"/>
        <w:ind w:firstLine="120"/>
        <w:rPr>
          <w:rFonts w:ascii="仿宋" w:hAnsi="仿宋" w:eastAsia="仿宋" w:cs="仿宋_GB2312"/>
          <w:color w:val="auto"/>
          <w:sz w:val="24"/>
          <w:highlight w:val="none"/>
        </w:rPr>
      </w:pPr>
    </w:p>
    <w:p>
      <w:pPr>
        <w:spacing w:line="360" w:lineRule="auto"/>
        <w:jc w:val="center"/>
        <w:rPr>
          <w:rFonts w:hint="eastAsia" w:ascii="仿宋" w:hAnsi="仿宋" w:eastAsia="仿宋" w:cs="仿宋_GB2312"/>
          <w:b/>
          <w:bCs/>
          <w:color w:val="auto"/>
          <w:sz w:val="32"/>
          <w:szCs w:val="32"/>
          <w:highlight w:val="none"/>
          <w:lang w:eastAsia="zh-CN"/>
        </w:rPr>
      </w:pP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九、投标人认为需要的其他商务技术文件或说明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b/>
          <w:bCs/>
          <w:color w:val="auto"/>
          <w:sz w:val="30"/>
          <w:szCs w:val="30"/>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pStyle w:val="496"/>
        <w:keepNext w:val="0"/>
        <w:pageBreakBefore w:val="0"/>
        <w:tabs>
          <w:tab w:val="clear" w:pos="720"/>
        </w:tabs>
        <w:snapToGrid w:val="0"/>
        <w:jc w:val="both"/>
        <w:outlineLvl w:val="9"/>
        <w:rPr>
          <w:rFonts w:ascii="仿宋" w:hAnsi="仿宋" w:eastAsia="仿宋" w:cs="仿宋_GB2312"/>
          <w:b w:val="0"/>
          <w:color w:val="auto"/>
          <w:sz w:val="24"/>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（1）投标（开标）一览表……………………………………………………（页码）</w:t>
      </w: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pStyle w:val="496"/>
        <w:keepNext w:val="0"/>
        <w:pageBreakBefore w:val="0"/>
        <w:tabs>
          <w:tab w:val="clear" w:pos="720"/>
        </w:tabs>
        <w:snapToGrid w:val="0"/>
        <w:ind w:firstLine="640"/>
        <w:outlineLvl w:val="9"/>
        <w:rPr>
          <w:rFonts w:ascii="仿宋" w:hAnsi="仿宋" w:eastAsia="仿宋" w:cs="仿宋_GB2312"/>
          <w:color w:val="auto"/>
          <w:kern w:val="2"/>
          <w:sz w:val="32"/>
          <w:szCs w:val="32"/>
          <w:highlight w:val="none"/>
        </w:rPr>
        <w:sectPr>
          <w:footerReference r:id="rId18" w:type="first"/>
          <w:footerReference r:id="rId16" w:type="default"/>
          <w:headerReference r:id="rId15" w:type="even"/>
          <w:footerReference r:id="rId17" w:type="even"/>
          <w:pgSz w:w="11906" w:h="16838"/>
          <w:pgMar w:top="1247" w:right="1418" w:bottom="1276" w:left="1418" w:header="851" w:footer="992" w:gutter="0"/>
          <w:cols w:space="720" w:num="1"/>
          <w:titlePg/>
          <w:docGrid w:linePitch="312" w:charSpace="0"/>
        </w:sectPr>
      </w:pPr>
    </w:p>
    <w:p>
      <w:pPr>
        <w:pStyle w:val="496"/>
        <w:keepNext w:val="0"/>
        <w:pageBreakBefore w:val="0"/>
        <w:tabs>
          <w:tab w:val="clear" w:pos="720"/>
        </w:tabs>
        <w:snapToGrid w:val="0"/>
        <w:ind w:firstLine="64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一、投标(开标)一览表</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pPr>
        <w:snapToGrid w:val="0"/>
        <w:spacing w:line="360" w:lineRule="auto"/>
        <w:rPr>
          <w:rFonts w:hint="eastAsia"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zh-CN"/>
        </w:rPr>
        <w:t xml:space="preserve">项目编号：                  </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标项：</w:t>
      </w:r>
      <w:r>
        <w:rPr>
          <w:rFonts w:hint="eastAsia" w:ascii="仿宋" w:hAnsi="仿宋" w:eastAsia="仿宋" w:cs="仿宋_GB2312"/>
          <w:color w:val="auto"/>
          <w:kern w:val="0"/>
          <w:sz w:val="24"/>
          <w:highlight w:val="none"/>
          <w:lang w:val="en-US" w:eastAsia="zh-CN"/>
        </w:rPr>
        <w:t>1</w:t>
      </w:r>
    </w:p>
    <w:tbl>
      <w:tblPr>
        <w:tblStyle w:val="61"/>
        <w:tblpPr w:leftFromText="180" w:rightFromText="180" w:vertAnchor="text" w:horzAnchor="page" w:tblpX="1136" w:tblpY="35"/>
        <w:tblOverlap w:val="never"/>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14"/>
        <w:gridCol w:w="5"/>
        <w:gridCol w:w="1627"/>
        <w:gridCol w:w="1896"/>
        <w:gridCol w:w="120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771" w:type="dxa"/>
            <w:noWrap w:val="0"/>
            <w:vAlign w:val="center"/>
          </w:tcPr>
          <w:p>
            <w:pPr>
              <w:widowControl/>
              <w:spacing w:line="2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714" w:type="dxa"/>
            <w:noWrap w:val="0"/>
            <w:vAlign w:val="center"/>
          </w:tcPr>
          <w:p>
            <w:pPr>
              <w:widowControl/>
              <w:spacing w:line="2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项目内容</w:t>
            </w:r>
          </w:p>
        </w:tc>
        <w:tc>
          <w:tcPr>
            <w:tcW w:w="1632" w:type="dxa"/>
            <w:gridSpan w:val="2"/>
            <w:noWrap w:val="0"/>
            <w:vAlign w:val="center"/>
          </w:tcPr>
          <w:p>
            <w:pPr>
              <w:widowControl/>
              <w:spacing w:line="2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面积</w:t>
            </w:r>
          </w:p>
          <w:p>
            <w:pPr>
              <w:widowControl/>
              <w:spacing w:line="2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（数量）</w:t>
            </w:r>
          </w:p>
        </w:tc>
        <w:tc>
          <w:tcPr>
            <w:tcW w:w="1896" w:type="dxa"/>
            <w:noWrap w:val="0"/>
            <w:vAlign w:val="center"/>
          </w:tcPr>
          <w:p>
            <w:pPr>
              <w:widowControl/>
              <w:spacing w:line="26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单价</w:t>
            </w:r>
          </w:p>
        </w:tc>
        <w:tc>
          <w:tcPr>
            <w:tcW w:w="1200" w:type="dxa"/>
            <w:noWrap w:val="0"/>
            <w:vAlign w:val="center"/>
          </w:tcPr>
          <w:p>
            <w:pPr>
              <w:jc w:val="center"/>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服务期</w:t>
            </w:r>
          </w:p>
        </w:tc>
        <w:tc>
          <w:tcPr>
            <w:tcW w:w="2328" w:type="dxa"/>
            <w:noWrap w:val="0"/>
            <w:vAlign w:val="center"/>
          </w:tcPr>
          <w:p>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71" w:type="dxa"/>
            <w:noWrap w:val="0"/>
            <w:vAlign w:val="center"/>
          </w:tcPr>
          <w:p>
            <w:pPr>
              <w:widowControl/>
              <w:spacing w:line="26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01</w:t>
            </w:r>
          </w:p>
        </w:tc>
        <w:tc>
          <w:tcPr>
            <w:tcW w:w="1714" w:type="dxa"/>
            <w:noWrap w:val="0"/>
            <w:vAlign w:val="center"/>
          </w:tcPr>
          <w:p>
            <w:pPr>
              <w:widowControl/>
              <w:spacing w:line="26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住宅物业费</w:t>
            </w:r>
            <w:r>
              <w:rPr>
                <w:rFonts w:hint="eastAsia" w:ascii="仿宋" w:hAnsi="仿宋" w:eastAsia="仿宋" w:cs="仿宋"/>
                <w:color w:val="auto"/>
                <w:szCs w:val="21"/>
                <w:highlight w:val="none"/>
              </w:rPr>
              <w:t>（含能耗）</w:t>
            </w:r>
          </w:p>
        </w:tc>
        <w:tc>
          <w:tcPr>
            <w:tcW w:w="1632" w:type="dxa"/>
            <w:gridSpan w:val="2"/>
            <w:noWrap w:val="0"/>
            <w:vAlign w:val="center"/>
          </w:tcPr>
          <w:p>
            <w:pPr>
              <w:widowControl/>
              <w:spacing w:line="2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32479.08</w:t>
            </w:r>
            <w:r>
              <w:rPr>
                <w:rFonts w:hint="eastAsia" w:ascii="仿宋" w:hAnsi="仿宋" w:eastAsia="仿宋" w:cs="仿宋"/>
                <w:color w:val="auto"/>
                <w:szCs w:val="21"/>
                <w:highlight w:val="none"/>
              </w:rPr>
              <w:t>㎡</w:t>
            </w:r>
          </w:p>
        </w:tc>
        <w:tc>
          <w:tcPr>
            <w:tcW w:w="1896" w:type="dxa"/>
            <w:noWrap w:val="0"/>
            <w:vAlign w:val="center"/>
          </w:tcPr>
          <w:p>
            <w:pPr>
              <w:widowControl/>
              <w:spacing w:line="260" w:lineRule="exact"/>
              <w:jc w:val="center"/>
              <w:rPr>
                <w:rFonts w:hint="default" w:ascii="仿宋" w:hAnsi="仿宋" w:eastAsia="仿宋" w:cs="仿宋"/>
                <w:color w:val="auto"/>
                <w:kern w:val="0"/>
                <w:szCs w:val="21"/>
                <w:highlight w:val="none"/>
                <w:u w:val="dotted"/>
                <w:lang w:val="en-US" w:eastAsia="zh-CN"/>
              </w:rPr>
            </w:pPr>
            <w:r>
              <w:rPr>
                <w:rFonts w:hint="eastAsia" w:ascii="仿宋" w:hAnsi="仿宋" w:eastAsia="仿宋" w:cs="仿宋"/>
                <w:color w:val="auto"/>
                <w:kern w:val="0"/>
                <w:szCs w:val="21"/>
                <w:highlight w:val="none"/>
                <w:u w:val="dotted"/>
                <w:lang w:val="en-US" w:eastAsia="zh-CN"/>
              </w:rPr>
              <w:t>1.5</w:t>
            </w:r>
            <w:r>
              <w:rPr>
                <w:rFonts w:hint="eastAsia" w:ascii="仿宋" w:hAnsi="仿宋" w:eastAsia="仿宋" w:cs="仿宋"/>
                <w:color w:val="auto"/>
                <w:kern w:val="0"/>
                <w:szCs w:val="21"/>
                <w:highlight w:val="none"/>
              </w:rPr>
              <w:t>元/月/平方米</w:t>
            </w:r>
          </w:p>
        </w:tc>
        <w:tc>
          <w:tcPr>
            <w:tcW w:w="1200" w:type="dxa"/>
            <w:vMerge w:val="restart"/>
            <w:noWrap w:val="0"/>
            <w:vAlign w:val="center"/>
          </w:tcPr>
          <w:p>
            <w:pPr>
              <w:widowControl/>
              <w:spacing w:line="260" w:lineRule="exact"/>
              <w:jc w:val="center"/>
              <w:rPr>
                <w:rFonts w:hint="default" w:ascii="仿宋" w:hAnsi="仿宋" w:eastAsia="仿宋" w:cs="仿宋"/>
                <w:color w:val="auto"/>
                <w:kern w:val="0"/>
                <w:szCs w:val="21"/>
                <w:highlight w:val="none"/>
                <w:u w:val="dotted"/>
                <w:lang w:val="en-US" w:eastAsia="zh-CN"/>
              </w:rPr>
            </w:pPr>
            <w:r>
              <w:rPr>
                <w:rFonts w:hint="eastAsia" w:ascii="仿宋" w:hAnsi="仿宋" w:eastAsia="仿宋" w:cs="仿宋"/>
                <w:color w:val="auto"/>
                <w:kern w:val="0"/>
                <w:szCs w:val="21"/>
                <w:highlight w:val="none"/>
                <w:lang w:val="en-US" w:eastAsia="zh-CN"/>
              </w:rPr>
              <w:t>12个月</w:t>
            </w:r>
          </w:p>
        </w:tc>
        <w:tc>
          <w:tcPr>
            <w:tcW w:w="2328" w:type="dxa"/>
            <w:noWrap w:val="0"/>
            <w:vAlign w:val="center"/>
          </w:tcPr>
          <w:p>
            <w:pPr>
              <w:widowControl/>
              <w:spacing w:line="260" w:lineRule="exact"/>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771" w:type="dxa"/>
            <w:noWrap w:val="0"/>
            <w:vAlign w:val="center"/>
          </w:tcPr>
          <w:p>
            <w:pPr>
              <w:widowControl/>
              <w:spacing w:line="26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02</w:t>
            </w:r>
          </w:p>
        </w:tc>
        <w:tc>
          <w:tcPr>
            <w:tcW w:w="1714" w:type="dxa"/>
            <w:noWrap w:val="0"/>
            <w:vAlign w:val="center"/>
          </w:tcPr>
          <w:p>
            <w:pPr>
              <w:widowControl/>
              <w:spacing w:line="26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商业用房物业费</w:t>
            </w:r>
            <w:r>
              <w:rPr>
                <w:rFonts w:hint="eastAsia" w:ascii="仿宋" w:hAnsi="仿宋" w:eastAsia="仿宋" w:cs="仿宋"/>
                <w:color w:val="auto"/>
                <w:szCs w:val="21"/>
                <w:highlight w:val="none"/>
              </w:rPr>
              <w:t>（含能耗）</w:t>
            </w:r>
          </w:p>
        </w:tc>
        <w:tc>
          <w:tcPr>
            <w:tcW w:w="1632" w:type="dxa"/>
            <w:gridSpan w:val="2"/>
            <w:noWrap w:val="0"/>
            <w:vAlign w:val="center"/>
          </w:tcPr>
          <w:p>
            <w:pPr>
              <w:widowControl/>
              <w:spacing w:line="2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3582.14</w:t>
            </w:r>
            <w:r>
              <w:rPr>
                <w:rFonts w:hint="eastAsia" w:ascii="仿宋" w:hAnsi="仿宋" w:eastAsia="仿宋" w:cs="仿宋"/>
                <w:color w:val="auto"/>
                <w:szCs w:val="21"/>
                <w:highlight w:val="none"/>
              </w:rPr>
              <w:t>㎡</w:t>
            </w:r>
          </w:p>
        </w:tc>
        <w:tc>
          <w:tcPr>
            <w:tcW w:w="1896" w:type="dxa"/>
            <w:noWrap w:val="0"/>
            <w:vAlign w:val="center"/>
          </w:tcPr>
          <w:p>
            <w:pPr>
              <w:widowControl/>
              <w:spacing w:line="260" w:lineRule="exact"/>
              <w:jc w:val="center"/>
              <w:rPr>
                <w:rFonts w:hint="default" w:ascii="仿宋" w:hAnsi="仿宋" w:eastAsia="仿宋" w:cs="仿宋"/>
                <w:color w:val="auto"/>
                <w:kern w:val="0"/>
                <w:szCs w:val="21"/>
                <w:highlight w:val="none"/>
                <w:u w:val="dotted"/>
                <w:lang w:val="en-US" w:eastAsia="zh-CN"/>
              </w:rPr>
            </w:pPr>
            <w:r>
              <w:rPr>
                <w:rFonts w:hint="eastAsia" w:ascii="仿宋" w:hAnsi="仿宋" w:eastAsia="仿宋" w:cs="仿宋"/>
                <w:color w:val="auto"/>
                <w:kern w:val="0"/>
                <w:szCs w:val="21"/>
                <w:highlight w:val="none"/>
                <w:u w:val="dotted"/>
                <w:lang w:val="en-US" w:eastAsia="zh-CN"/>
              </w:rPr>
              <w:t>2.5</w:t>
            </w:r>
            <w:r>
              <w:rPr>
                <w:rFonts w:hint="eastAsia" w:ascii="仿宋" w:hAnsi="仿宋" w:eastAsia="仿宋" w:cs="仿宋"/>
                <w:color w:val="auto"/>
                <w:kern w:val="0"/>
                <w:szCs w:val="21"/>
                <w:highlight w:val="none"/>
              </w:rPr>
              <w:t>元/月/平方米</w:t>
            </w:r>
          </w:p>
        </w:tc>
        <w:tc>
          <w:tcPr>
            <w:tcW w:w="1200" w:type="dxa"/>
            <w:vMerge w:val="continue"/>
            <w:noWrap w:val="0"/>
            <w:vAlign w:val="center"/>
          </w:tcPr>
          <w:p>
            <w:pPr>
              <w:jc w:val="center"/>
              <w:rPr>
                <w:rFonts w:hint="default" w:ascii="仿宋" w:hAnsi="仿宋" w:eastAsia="仿宋" w:cs="仿宋"/>
                <w:color w:val="auto"/>
                <w:kern w:val="0"/>
                <w:szCs w:val="21"/>
                <w:highlight w:val="none"/>
                <w:u w:val="dotted"/>
                <w:lang w:val="en-US" w:eastAsia="zh-CN"/>
              </w:rPr>
            </w:pPr>
          </w:p>
        </w:tc>
        <w:tc>
          <w:tcPr>
            <w:tcW w:w="2328" w:type="dxa"/>
            <w:noWrap w:val="0"/>
            <w:vAlign w:val="center"/>
          </w:tcPr>
          <w:p>
            <w:pPr>
              <w:widowControl/>
              <w:spacing w:line="260" w:lineRule="exact"/>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771" w:type="dxa"/>
            <w:noWrap w:val="0"/>
            <w:vAlign w:val="center"/>
          </w:tcPr>
          <w:p>
            <w:pPr>
              <w:widowControl/>
              <w:spacing w:line="260" w:lineRule="exact"/>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Cs w:val="21"/>
                <w:highlight w:val="none"/>
              </w:rPr>
              <w:t>03</w:t>
            </w:r>
          </w:p>
        </w:tc>
        <w:tc>
          <w:tcPr>
            <w:tcW w:w="1714" w:type="dxa"/>
            <w:noWrap w:val="0"/>
            <w:vAlign w:val="center"/>
          </w:tcPr>
          <w:p>
            <w:pPr>
              <w:widowControl/>
              <w:spacing w:line="260" w:lineRule="exact"/>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color w:val="auto"/>
                <w:szCs w:val="21"/>
                <w:highlight w:val="none"/>
              </w:rPr>
              <w:t>自行车棚、地下室（含能耗）及其他用房</w:t>
            </w:r>
          </w:p>
        </w:tc>
        <w:tc>
          <w:tcPr>
            <w:tcW w:w="1632" w:type="dxa"/>
            <w:gridSpan w:val="2"/>
            <w:noWrap w:val="0"/>
            <w:vAlign w:val="center"/>
          </w:tcPr>
          <w:p>
            <w:pPr>
              <w:widowControl/>
              <w:spacing w:line="260" w:lineRule="exact"/>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w:t>
            </w:r>
          </w:p>
        </w:tc>
        <w:tc>
          <w:tcPr>
            <w:tcW w:w="1896" w:type="dxa"/>
            <w:noWrap w:val="0"/>
            <w:vAlign w:val="center"/>
          </w:tcPr>
          <w:p>
            <w:pPr>
              <w:widowControl/>
              <w:spacing w:line="260" w:lineRule="exact"/>
              <w:jc w:val="center"/>
              <w:rPr>
                <w:rFonts w:hint="eastAsia" w:ascii="仿宋" w:hAnsi="仿宋" w:eastAsia="仿宋" w:cs="仿宋"/>
                <w:color w:val="auto"/>
                <w:kern w:val="0"/>
                <w:sz w:val="21"/>
                <w:szCs w:val="21"/>
                <w:highlight w:val="none"/>
                <w:u w:val="dotted"/>
                <w:lang w:val="en-US" w:eastAsia="zh-CN" w:bidi="ar-SA"/>
              </w:rPr>
            </w:pPr>
            <w:r>
              <w:rPr>
                <w:rFonts w:hint="eastAsia" w:ascii="仿宋" w:hAnsi="仿宋" w:eastAsia="仿宋" w:cs="仿宋"/>
                <w:color w:val="auto"/>
                <w:kern w:val="0"/>
                <w:szCs w:val="21"/>
                <w:highlight w:val="none"/>
              </w:rPr>
              <w:t>/</w:t>
            </w:r>
          </w:p>
        </w:tc>
        <w:tc>
          <w:tcPr>
            <w:tcW w:w="1200" w:type="dxa"/>
            <w:vMerge w:val="continue"/>
            <w:noWrap w:val="0"/>
            <w:vAlign w:val="center"/>
          </w:tcPr>
          <w:p>
            <w:pPr>
              <w:jc w:val="center"/>
              <w:rPr>
                <w:rFonts w:hint="default" w:ascii="仿宋" w:hAnsi="仿宋" w:eastAsia="仿宋" w:cs="仿宋"/>
                <w:color w:val="auto"/>
                <w:kern w:val="0"/>
                <w:sz w:val="21"/>
                <w:szCs w:val="21"/>
                <w:highlight w:val="none"/>
                <w:u w:val="dotted"/>
                <w:lang w:val="en-US" w:eastAsia="zh-CN" w:bidi="ar-SA"/>
              </w:rPr>
            </w:pPr>
          </w:p>
        </w:tc>
        <w:tc>
          <w:tcPr>
            <w:tcW w:w="2328" w:type="dxa"/>
            <w:noWrap w:val="0"/>
            <w:vAlign w:val="center"/>
          </w:tcPr>
          <w:p>
            <w:pPr>
              <w:widowControl/>
              <w:spacing w:line="26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不另收取费用，中标后按招标文件要求进行管理。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71" w:type="dxa"/>
            <w:noWrap w:val="0"/>
            <w:vAlign w:val="center"/>
          </w:tcPr>
          <w:p>
            <w:pPr>
              <w:widowControl/>
              <w:spacing w:line="26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04</w:t>
            </w:r>
          </w:p>
        </w:tc>
        <w:tc>
          <w:tcPr>
            <w:tcW w:w="1714" w:type="dxa"/>
            <w:noWrap w:val="0"/>
            <w:vAlign w:val="center"/>
          </w:tcPr>
          <w:p>
            <w:pPr>
              <w:widowControl/>
              <w:spacing w:line="26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车位物业费</w:t>
            </w:r>
          </w:p>
        </w:tc>
        <w:tc>
          <w:tcPr>
            <w:tcW w:w="1632" w:type="dxa"/>
            <w:gridSpan w:val="2"/>
            <w:noWrap w:val="0"/>
            <w:vAlign w:val="center"/>
          </w:tcPr>
          <w:p>
            <w:pPr>
              <w:widowControl/>
              <w:spacing w:line="2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202</w:t>
            </w:r>
          </w:p>
        </w:tc>
        <w:tc>
          <w:tcPr>
            <w:tcW w:w="1896" w:type="dxa"/>
            <w:noWrap w:val="0"/>
            <w:vAlign w:val="center"/>
          </w:tcPr>
          <w:p>
            <w:pPr>
              <w:widowControl/>
              <w:spacing w:line="260" w:lineRule="exact"/>
              <w:jc w:val="center"/>
              <w:rPr>
                <w:rFonts w:hint="eastAsia" w:ascii="仿宋" w:hAnsi="仿宋" w:eastAsia="仿宋" w:cs="仿宋"/>
                <w:color w:val="auto"/>
                <w:kern w:val="0"/>
                <w:szCs w:val="21"/>
                <w:highlight w:val="none"/>
                <w:u w:val="dotted"/>
                <w:lang w:val="en-US" w:eastAsia="zh-CN"/>
              </w:rPr>
            </w:pPr>
            <w:r>
              <w:rPr>
                <w:rFonts w:hint="eastAsia" w:ascii="仿宋" w:hAnsi="仿宋" w:eastAsia="仿宋" w:cs="仿宋"/>
                <w:color w:val="auto"/>
                <w:kern w:val="0"/>
                <w:szCs w:val="21"/>
                <w:highlight w:val="none"/>
                <w:lang w:val="en-US" w:eastAsia="zh-CN"/>
              </w:rPr>
              <w:t>42元</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lang w:val="en-US" w:eastAsia="zh-CN"/>
              </w:rPr>
              <w:t>个</w:t>
            </w:r>
          </w:p>
        </w:tc>
        <w:tc>
          <w:tcPr>
            <w:tcW w:w="1200" w:type="dxa"/>
            <w:vMerge w:val="continue"/>
            <w:noWrap w:val="0"/>
            <w:vAlign w:val="center"/>
          </w:tcPr>
          <w:p>
            <w:pPr>
              <w:jc w:val="center"/>
              <w:rPr>
                <w:rFonts w:hint="default" w:ascii="仿宋" w:hAnsi="仿宋" w:eastAsia="仿宋" w:cs="仿宋"/>
                <w:color w:val="auto"/>
                <w:kern w:val="0"/>
                <w:szCs w:val="21"/>
                <w:highlight w:val="none"/>
                <w:u w:val="dotted"/>
                <w:lang w:val="en-US" w:eastAsia="zh-CN"/>
              </w:rPr>
            </w:pPr>
          </w:p>
        </w:tc>
        <w:tc>
          <w:tcPr>
            <w:tcW w:w="2328" w:type="dxa"/>
            <w:noWrap w:val="0"/>
            <w:vAlign w:val="center"/>
          </w:tcPr>
          <w:p>
            <w:pPr>
              <w:widowControl/>
              <w:spacing w:line="260" w:lineRule="exact"/>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停车位按临时停车位向使用人收取。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2490" w:type="dxa"/>
            <w:gridSpan w:val="3"/>
            <w:noWrap w:val="0"/>
            <w:vAlign w:val="center"/>
          </w:tcPr>
          <w:p>
            <w:pPr>
              <w:pStyle w:val="32"/>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报价</w:t>
            </w:r>
          </w:p>
        </w:tc>
        <w:tc>
          <w:tcPr>
            <w:tcW w:w="7051" w:type="dxa"/>
            <w:gridSpan w:val="4"/>
            <w:noWrap w:val="0"/>
            <w:vAlign w:val="center"/>
          </w:tcPr>
          <w:p>
            <w:pPr>
              <w:pStyle w:val="32"/>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793895.64元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2490" w:type="dxa"/>
            <w:gridSpan w:val="3"/>
            <w:noWrap w:val="0"/>
            <w:vAlign w:val="center"/>
          </w:tcPr>
          <w:p>
            <w:pPr>
              <w:pStyle w:val="3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7051" w:type="dxa"/>
            <w:gridSpan w:val="4"/>
            <w:noWrap w:val="0"/>
            <w:vAlign w:val="center"/>
          </w:tcPr>
          <w:p>
            <w:pPr>
              <w:pStyle w:val="3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p>
        </w:tc>
      </w:tr>
    </w:tbl>
    <w:p>
      <w:pPr>
        <w:snapToGrid w:val="0"/>
        <w:spacing w:line="360" w:lineRule="auto"/>
        <w:ind w:left="480"/>
        <w:rPr>
          <w:rFonts w:hint="eastAsia" w:ascii="仿宋" w:hAnsi="仿宋" w:eastAsia="仿宋" w:cs="仿宋_GB2312"/>
          <w:b/>
          <w:color w:val="auto"/>
          <w:kern w:val="0"/>
          <w:sz w:val="24"/>
          <w:highlight w:val="none"/>
          <w:lang w:val="zh-CN"/>
        </w:rPr>
      </w:pPr>
    </w:p>
    <w:p>
      <w:pPr>
        <w:snapToGrid w:val="0"/>
        <w:spacing w:line="360" w:lineRule="auto"/>
        <w:ind w:left="480"/>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360" w:lineRule="auto"/>
        <w:ind w:left="-2" w:leftChars="-1"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pPr>
        <w:snapToGrid w:val="0"/>
        <w:spacing w:line="360" w:lineRule="auto"/>
        <w:ind w:left="480"/>
        <w:rPr>
          <w:rFonts w:hint="eastAsia" w:ascii="仿宋" w:hAnsi="仿宋" w:eastAsia="仿宋"/>
          <w:color w:val="auto"/>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3、特别提示：采购代理机构将对项目名称和项目编号，中标供应商名称、地址和中标金额，主要中标标的的名称、规格型号、数量、单价、服务要求等予以公示。</w:t>
      </w:r>
    </w:p>
    <w:p>
      <w:pPr>
        <w:snapToGrid w:val="0"/>
        <w:spacing w:line="360" w:lineRule="auto"/>
        <w:ind w:firstLine="602" w:firstLineChars="200"/>
        <w:jc w:val="left"/>
        <w:rPr>
          <w:rFonts w:hint="eastAsia" w:ascii="仿宋" w:hAnsi="仿宋" w:eastAsia="仿宋" w:cs="仿宋_GB2312"/>
          <w:b/>
          <w:bCs/>
          <w:color w:val="auto"/>
          <w:kern w:val="0"/>
          <w:sz w:val="30"/>
          <w:szCs w:val="30"/>
          <w:highlight w:val="none"/>
          <w:lang w:val="en-US" w:eastAsia="zh-CN"/>
        </w:rPr>
      </w:pPr>
      <w:r>
        <w:rPr>
          <w:rFonts w:hint="eastAsia" w:ascii="仿宋" w:hAnsi="仿宋" w:eastAsia="仿宋" w:cs="仿宋_GB2312"/>
          <w:b/>
          <w:bCs/>
          <w:color w:val="auto"/>
          <w:kern w:val="0"/>
          <w:sz w:val="30"/>
          <w:szCs w:val="30"/>
          <w:highlight w:val="none"/>
          <w:lang w:val="en-US" w:eastAsia="zh-CN"/>
        </w:rPr>
        <w:t>4、系统中的投标报价填写预算金额</w:t>
      </w:r>
      <w:bookmarkStart w:id="448" w:name="OLE_LINK3"/>
      <w:r>
        <w:rPr>
          <w:rFonts w:hint="eastAsia" w:ascii="仿宋" w:hAnsi="仿宋" w:eastAsia="仿宋" w:cs="仿宋_GB2312"/>
          <w:b/>
          <w:bCs/>
          <w:color w:val="auto"/>
          <w:kern w:val="0"/>
          <w:sz w:val="30"/>
          <w:szCs w:val="30"/>
          <w:highlight w:val="none"/>
          <w:lang w:val="en-US" w:eastAsia="zh-CN"/>
        </w:rPr>
        <w:t>793895.64</w:t>
      </w:r>
      <w:bookmarkEnd w:id="448"/>
      <w:r>
        <w:rPr>
          <w:rFonts w:hint="eastAsia" w:ascii="仿宋" w:hAnsi="仿宋" w:eastAsia="仿宋" w:cs="仿宋_GB2312"/>
          <w:b/>
          <w:bCs/>
          <w:color w:val="auto"/>
          <w:kern w:val="0"/>
          <w:sz w:val="30"/>
          <w:szCs w:val="30"/>
          <w:highlight w:val="none"/>
          <w:lang w:val="en-US" w:eastAsia="zh-CN"/>
        </w:rPr>
        <w:t>元，报价以投标单位的电子投标文件为准。</w:t>
      </w:r>
    </w:p>
    <w:p>
      <w:pPr>
        <w:snapToGrid w:val="0"/>
        <w:spacing w:line="360" w:lineRule="auto"/>
        <w:ind w:firstLine="602" w:firstLineChars="200"/>
        <w:jc w:val="left"/>
        <w:rPr>
          <w:rFonts w:hint="eastAsia" w:ascii="仿宋" w:hAnsi="仿宋" w:eastAsia="仿宋" w:cs="仿宋_GB2312"/>
          <w:b/>
          <w:bCs/>
          <w:color w:val="auto"/>
          <w:kern w:val="0"/>
          <w:sz w:val="30"/>
          <w:szCs w:val="30"/>
          <w:highlight w:val="none"/>
          <w:lang w:val="en-US"/>
        </w:rPr>
      </w:pPr>
      <w:r>
        <w:rPr>
          <w:rFonts w:hint="eastAsia" w:ascii="仿宋" w:hAnsi="仿宋" w:eastAsia="仿宋" w:cs="仿宋_GB2312"/>
          <w:b/>
          <w:bCs/>
          <w:color w:val="auto"/>
          <w:kern w:val="0"/>
          <w:sz w:val="30"/>
          <w:szCs w:val="30"/>
          <w:highlight w:val="none"/>
          <w:lang w:val="en-US" w:eastAsia="zh-CN"/>
        </w:rPr>
        <w:t>5、</w:t>
      </w:r>
      <w:r>
        <w:rPr>
          <w:rFonts w:hint="eastAsia" w:ascii="仿宋" w:hAnsi="仿宋" w:eastAsia="仿宋" w:cs="仿宋_GB2312"/>
          <w:b/>
          <w:bCs/>
          <w:color w:val="auto"/>
          <w:kern w:val="0"/>
          <w:sz w:val="30"/>
          <w:szCs w:val="30"/>
          <w:highlight w:val="none"/>
          <w:lang w:val="en-US"/>
        </w:rPr>
        <w:t>说明：本项目无需再报价，本表只需盖章确认即可。</w:t>
      </w:r>
    </w:p>
    <w:p>
      <w:pPr>
        <w:snapToGrid w:val="0"/>
        <w:spacing w:line="360" w:lineRule="auto"/>
        <w:rPr>
          <w:rFonts w:hint="eastAsia" w:ascii="仿宋" w:hAnsi="仿宋" w:eastAsia="仿宋" w:cs="仿宋_GB2312"/>
          <w:color w:val="auto"/>
          <w:kern w:val="0"/>
          <w:sz w:val="24"/>
          <w:highlight w:val="none"/>
          <w:lang w:val="zh-CN"/>
        </w:rPr>
      </w:pPr>
    </w:p>
    <w:p>
      <w:pPr>
        <w:snapToGrid w:val="0"/>
        <w:spacing w:line="360" w:lineRule="auto"/>
        <w:rPr>
          <w:rFonts w:hint="eastAsia" w:ascii="仿宋" w:hAnsi="仿宋" w:eastAsia="仿宋" w:cs="仿宋_GB2312"/>
          <w:color w:val="auto"/>
          <w:kern w:val="0"/>
          <w:sz w:val="24"/>
          <w:highlight w:val="none"/>
          <w:lang w:val="zh-CN"/>
        </w:rPr>
      </w:pPr>
    </w:p>
    <w:p>
      <w:pPr>
        <w:snapToGrid w:val="0"/>
        <w:spacing w:line="360" w:lineRule="auto"/>
        <w:jc w:val="righ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                                                                                   日期：  年   月   日</w:t>
      </w:r>
    </w:p>
    <w:p>
      <w:pPr>
        <w:pStyle w:val="2"/>
        <w:rPr>
          <w:rFonts w:hint="eastAsia"/>
          <w:color w:val="auto"/>
          <w:highlight w:val="none"/>
          <w:lang w:val="zh-CN"/>
        </w:rPr>
      </w:pPr>
    </w:p>
    <w:p>
      <w:pPr>
        <w:wordWrap/>
        <w:ind w:right="960"/>
        <w:jc w:val="both"/>
        <w:rPr>
          <w:rFonts w:hint="eastAsia" w:ascii="仿宋" w:hAnsi="仿宋" w:eastAsia="仿宋" w:cs="仿宋_GB2312"/>
          <w:color w:val="auto"/>
          <w:sz w:val="24"/>
          <w:highlight w:val="none"/>
          <w:lang w:val="en-US" w:eastAsia="zh-CN"/>
        </w:rPr>
      </w:pPr>
    </w:p>
    <w:p>
      <w:pPr>
        <w:pageBreakBefore w:val="0"/>
        <w:kinsoku/>
        <w:wordWrap/>
        <w:topLinePunct w:val="0"/>
        <w:bidi w:val="0"/>
        <w:spacing w:line="360" w:lineRule="auto"/>
        <w:ind w:left="0" w:leftChars="0" w:right="960" w:firstLine="0" w:firstLineChars="0"/>
        <w:jc w:val="left"/>
        <w:rPr>
          <w:rFonts w:hint="default" w:ascii="仿宋" w:hAnsi="仿宋" w:eastAsia="仿宋" w:cs="仿宋"/>
          <w:b/>
          <w:bCs/>
          <w:i w:val="0"/>
          <w:iCs w:val="0"/>
          <w:color w:val="auto"/>
          <w:kern w:val="0"/>
          <w:sz w:val="36"/>
          <w:szCs w:val="36"/>
          <w:highlight w:val="none"/>
          <w:u w:val="none"/>
          <w:lang w:val="en-US" w:eastAsia="zh-CN" w:bidi="ar"/>
        </w:rPr>
      </w:pPr>
      <w:r>
        <w:rPr>
          <w:rFonts w:hint="eastAsia" w:ascii="仿宋" w:hAnsi="仿宋" w:eastAsia="仿宋" w:cs="仿宋"/>
          <w:color w:val="auto"/>
          <w:sz w:val="24"/>
          <w:highlight w:val="none"/>
          <w:lang w:val="en-US" w:eastAsia="zh-CN"/>
        </w:rPr>
        <w:t>附件一：</w:t>
      </w:r>
    </w:p>
    <w:p>
      <w:pPr>
        <w:pageBreakBefore w:val="0"/>
        <w:kinsoku/>
        <w:wordWrap/>
        <w:topLinePunct w:val="0"/>
        <w:bidi w:val="0"/>
        <w:spacing w:line="360" w:lineRule="auto"/>
        <w:ind w:left="0" w:leftChars="0" w:right="960" w:firstLine="0" w:firstLineChars="0"/>
        <w:jc w:val="center"/>
        <w:rPr>
          <w:rFonts w:hint="eastAsia" w:ascii="仿宋" w:hAnsi="仿宋" w:eastAsia="仿宋" w:cs="仿宋"/>
          <w:b/>
          <w:bCs/>
          <w:i w:val="0"/>
          <w:iCs w:val="0"/>
          <w:color w:val="auto"/>
          <w:kern w:val="0"/>
          <w:sz w:val="36"/>
          <w:szCs w:val="36"/>
          <w:highlight w:val="none"/>
          <w:u w:val="none"/>
          <w:lang w:val="en-US" w:eastAsia="zh-CN" w:bidi="ar"/>
        </w:rPr>
      </w:pPr>
      <w:r>
        <w:rPr>
          <w:rFonts w:hint="eastAsia" w:ascii="仿宋" w:hAnsi="仿宋" w:eastAsia="仿宋" w:cs="仿宋"/>
          <w:b/>
          <w:bCs/>
          <w:i w:val="0"/>
          <w:iCs w:val="0"/>
          <w:color w:val="auto"/>
          <w:kern w:val="0"/>
          <w:sz w:val="36"/>
          <w:szCs w:val="36"/>
          <w:highlight w:val="none"/>
          <w:u w:val="none"/>
          <w:lang w:val="en-US" w:eastAsia="zh-CN" w:bidi="ar"/>
        </w:rPr>
        <w:t>物业管理考核评分标准</w:t>
      </w:r>
    </w:p>
    <w:p>
      <w:pPr>
        <w:pStyle w:val="331"/>
        <w:ind w:left="0" w:leftChars="0" w:firstLine="0" w:firstLineChars="0"/>
        <w:jc w:val="right"/>
        <w:rPr>
          <w:rFonts w:hint="eastAsia" w:ascii="宋体" w:hAnsi="宋体" w:eastAsia="宋体" w:cs="宋体"/>
          <w:b/>
          <w:bCs/>
          <w:i w:val="0"/>
          <w:iCs w:val="0"/>
          <w:color w:val="auto"/>
          <w:kern w:val="0"/>
          <w:sz w:val="36"/>
          <w:szCs w:val="36"/>
          <w:highlight w:val="none"/>
          <w:u w:val="none"/>
          <w:lang w:val="en-US" w:eastAsia="zh-CN" w:bidi="ar"/>
        </w:rPr>
      </w:pPr>
      <w:r>
        <w:rPr>
          <w:rStyle w:val="629"/>
          <w:color w:val="auto"/>
          <w:highlight w:val="none"/>
          <w:lang w:val="en-US" w:eastAsia="zh-CN" w:bidi="ar"/>
        </w:rPr>
        <w:t>得分:</w:t>
      </w:r>
      <w:r>
        <w:rPr>
          <w:rStyle w:val="630"/>
          <w:color w:val="auto"/>
          <w:highlight w:val="none"/>
          <w:lang w:val="en-US" w:eastAsia="zh-CN" w:bidi="ar"/>
        </w:rPr>
        <w:t xml:space="preserve">          </w:t>
      </w:r>
      <w:r>
        <w:rPr>
          <w:rStyle w:val="629"/>
          <w:color w:val="auto"/>
          <w:highlight w:val="none"/>
          <w:lang w:val="en-US" w:eastAsia="zh-CN" w:bidi="ar"/>
        </w:rPr>
        <w:t xml:space="preserve"> 日期：</w:t>
      </w:r>
      <w:r>
        <w:rPr>
          <w:rStyle w:val="629"/>
          <w:rFonts w:hint="eastAsia"/>
          <w:color w:val="auto"/>
          <w:highlight w:val="none"/>
          <w:u w:val="single"/>
          <w:lang w:val="en-US" w:eastAsia="zh-CN" w:bidi="ar"/>
        </w:rPr>
        <w:t xml:space="preserve">        </w:t>
      </w:r>
      <w:r>
        <w:rPr>
          <w:rStyle w:val="629"/>
          <w:rFonts w:hint="eastAsia"/>
          <w:color w:val="auto"/>
          <w:highlight w:val="none"/>
          <w:u w:val="none"/>
          <w:lang w:val="en-US" w:eastAsia="zh-CN" w:bidi="ar"/>
        </w:rPr>
        <w:t>年</w:t>
      </w:r>
      <w:r>
        <w:rPr>
          <w:rStyle w:val="629"/>
          <w:rFonts w:hint="eastAsia"/>
          <w:color w:val="auto"/>
          <w:highlight w:val="none"/>
          <w:u w:val="single"/>
          <w:lang w:val="en-US" w:eastAsia="zh-CN" w:bidi="ar"/>
        </w:rPr>
        <w:t xml:space="preserve">    </w:t>
      </w:r>
      <w:r>
        <w:rPr>
          <w:rStyle w:val="629"/>
          <w:rFonts w:hint="eastAsia"/>
          <w:color w:val="auto"/>
          <w:highlight w:val="none"/>
          <w:u w:val="none"/>
          <w:lang w:val="en-US" w:eastAsia="zh-CN" w:bidi="ar"/>
        </w:rPr>
        <w:t xml:space="preserve">月 </w:t>
      </w:r>
      <w:r>
        <w:rPr>
          <w:rStyle w:val="629"/>
          <w:rFonts w:hint="eastAsia"/>
          <w:color w:val="auto"/>
          <w:highlight w:val="none"/>
          <w:u w:val="single"/>
          <w:lang w:val="en-US" w:eastAsia="zh-CN" w:bidi="ar"/>
        </w:rPr>
        <w:t xml:space="preserve">    </w:t>
      </w:r>
      <w:r>
        <w:rPr>
          <w:rStyle w:val="629"/>
          <w:rFonts w:hint="eastAsia"/>
          <w:color w:val="auto"/>
          <w:highlight w:val="none"/>
          <w:u w:val="none"/>
          <w:lang w:val="en-US" w:eastAsia="zh-CN" w:bidi="ar"/>
        </w:rPr>
        <w:t>日</w:t>
      </w:r>
      <w:r>
        <w:rPr>
          <w:rStyle w:val="629"/>
          <w:color w:val="auto"/>
          <w:highlight w:val="none"/>
          <w:lang w:val="en-US" w:eastAsia="zh-CN" w:bidi="ar"/>
        </w:rPr>
        <w:t xml:space="preserve">  </w:t>
      </w:r>
    </w:p>
    <w:tbl>
      <w:tblPr>
        <w:tblStyle w:val="61"/>
        <w:tblW w:w="9795" w:type="dxa"/>
        <w:tblInd w:w="-232" w:type="dxa"/>
        <w:tblLayout w:type="fixed"/>
        <w:tblCellMar>
          <w:top w:w="0" w:type="dxa"/>
          <w:left w:w="108" w:type="dxa"/>
          <w:bottom w:w="0" w:type="dxa"/>
          <w:right w:w="108" w:type="dxa"/>
        </w:tblCellMar>
      </w:tblPr>
      <w:tblGrid>
        <w:gridCol w:w="912"/>
        <w:gridCol w:w="3693"/>
        <w:gridCol w:w="687"/>
        <w:gridCol w:w="3828"/>
        <w:gridCol w:w="675"/>
      </w:tblGrid>
      <w:tr>
        <w:tblPrEx>
          <w:tblCellMar>
            <w:top w:w="0" w:type="dxa"/>
            <w:left w:w="108" w:type="dxa"/>
            <w:bottom w:w="0" w:type="dxa"/>
            <w:right w:w="108" w:type="dxa"/>
          </w:tblCellMar>
        </w:tblPrEx>
        <w:trPr>
          <w:trHeight w:val="0" w:hRule="atLeast"/>
        </w:trPr>
        <w:tc>
          <w:tcPr>
            <w:tcW w:w="460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评分要求</w:t>
            </w:r>
          </w:p>
        </w:tc>
        <w:tc>
          <w:tcPr>
            <w:tcW w:w="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分值</w:t>
            </w:r>
          </w:p>
        </w:tc>
        <w:tc>
          <w:tcPr>
            <w:tcW w:w="3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评分细则</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得分</w:t>
            </w:r>
          </w:p>
        </w:tc>
      </w:tr>
      <w:tr>
        <w:tblPrEx>
          <w:tblCellMar>
            <w:top w:w="0" w:type="dxa"/>
            <w:left w:w="108" w:type="dxa"/>
            <w:bottom w:w="0" w:type="dxa"/>
            <w:right w:w="108" w:type="dxa"/>
          </w:tblCellMar>
        </w:tblPrEx>
        <w:trPr>
          <w:trHeight w:val="0" w:hRule="atLeast"/>
        </w:trPr>
        <w:tc>
          <w:tcPr>
            <w:tcW w:w="912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一、综合管理(16分)</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组织机构及制度建设</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小区内设置物业管理处，设有管理处主任，配置办公设备,</w:t>
            </w:r>
            <w:r>
              <w:rPr>
                <w:rStyle w:val="631"/>
                <w:rFonts w:hint="eastAsia" w:ascii="仿宋" w:hAnsi="仿宋" w:eastAsia="仿宋" w:cs="仿宋"/>
                <w:color w:val="auto"/>
                <w:sz w:val="21"/>
                <w:szCs w:val="21"/>
                <w:highlight w:val="none"/>
                <w:lang w:val="en-US" w:eastAsia="zh-CN" w:bidi="ar"/>
              </w:rPr>
              <w:t xml:space="preserve"> 办公场所干净整齐</w:t>
            </w:r>
          </w:p>
        </w:tc>
        <w:tc>
          <w:tcPr>
            <w:tcW w:w="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b/>
                <w:bCs/>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物业服务中心建立健全财务管理、档案管理、岗位考核等各项管理制度</w:t>
            </w:r>
          </w:p>
        </w:tc>
        <w:tc>
          <w:tcPr>
            <w:tcW w:w="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2"/>
                <w:sz w:val="21"/>
                <w:szCs w:val="21"/>
                <w:highlight w:val="none"/>
                <w:u w:val="none"/>
                <w:lang w:val="en-US" w:eastAsia="zh-CN" w:bidi="ar-SA"/>
              </w:rPr>
              <w:t>制度、考核办法建立健全2分，主要检查：财务制度、岗位考核制度等每发现一处不完整规范扣0.2分；未制定考核办法扣0.5分</w:t>
            </w:r>
          </w:p>
        </w:tc>
        <w:tc>
          <w:tcPr>
            <w:tcW w:w="675"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人员情况</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人员出勤数量、年龄、形象符合要求</w:t>
            </w:r>
          </w:p>
        </w:tc>
        <w:tc>
          <w:tcPr>
            <w:tcW w:w="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人员出勤每缺一人扣1分，年龄、形象每人0.5分</w:t>
            </w:r>
          </w:p>
        </w:tc>
        <w:tc>
          <w:tcPr>
            <w:tcW w:w="675"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专业技术人员持证上岗；员工统一着装，佩戴明显标志，行为规范，服务热情</w:t>
            </w:r>
          </w:p>
        </w:tc>
        <w:tc>
          <w:tcPr>
            <w:tcW w:w="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专业技术人员有上岗证书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分；着装及标志符合1分，行为规范、文明用语1分</w:t>
            </w:r>
          </w:p>
        </w:tc>
        <w:tc>
          <w:tcPr>
            <w:tcW w:w="675"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90"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工作配合和</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协调</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服从现地管理处领导，与其他单位的关系和谐融洽</w:t>
            </w:r>
          </w:p>
        </w:tc>
        <w:tc>
          <w:tcPr>
            <w:tcW w:w="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资源节约</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消耗品管理到位，无浪费；各项节能措施落实到位</w:t>
            </w:r>
          </w:p>
        </w:tc>
        <w:tc>
          <w:tcPr>
            <w:tcW w:w="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二、安全保卫（29分）</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保安值班</w:t>
            </w: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着装上岗，风纪严整，专于值守，无脱岗</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未统一着装每人扣0.5分，脱岗每人扣1分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严格出入管理，按制度查验登记，文明服务、礼貌待人</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未按规定出入管理及按制度查验登记扣2分，未文明服务、礼貌待人扣2分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值班记录完整，自己清楚，无漏记错记</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交接班手续完备，记录清楚，交接事项清楚</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按制度要求开展场区和周边巡视工作，发现问题及时报告和处理</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应急管理</w:t>
            </w: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有火警、治安等突发应急工作预案</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定期开展演练，员工能按预案熟练处置突发情况</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责任区卫生及设备操作</w:t>
            </w: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安保人员办公区域及设备及时清扫，保持整洁</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严格按照操作规程进行设备操作</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分，基本符合</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分，不符合0分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三、卫生保洁（29分）</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室外区域</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按标准做好区域保洁，道路做到地表目视无杂物、无垃圾、无污渍、无积雪积冰</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景观设施及标识宣传牌表面无污迹</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设施完整、干净整洁、有序使用</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每日按时收集清运出场，垃圾处理符合合同要求</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定期开展杀虫灭鼠及消毒消杀工作</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未开展工作得0分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室内区域</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按标准做好区域保洁工作，地面、楼梯扶手栏杆、玻璃门窗洁净光亮，无屑土、无污痕污渍</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天花板、墙壁、开关面板无灰尘和蜘蛛网。玻璃屋顶清洁透亮，下水口通畅</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卫生间定时保洁消毒，做到无异味。台面、镜面无水渍，小便斗、蹲便池无黄渍</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每日定时收集办公垃圾</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环境美化</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室内绿色植物摆放布置和养护管理，保持生长良好；株型完美，绿植盆体表面无积尘，盆内无杂物</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重大节日或大型活动期间办公区的环境美化</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各种景观设备维护管理</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四、其他设备设施管理（26分）</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配电及照明设备</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认真进行日常巡视，做好设备运行台账，保持设备整洁</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运行台账得1分，设备整洁</w:t>
            </w:r>
            <w:r>
              <w:rPr>
                <w:rFonts w:hint="eastAsia" w:ascii="仿宋" w:hAnsi="仿宋" w:eastAsia="仿宋" w:cs="仿宋"/>
                <w:color w:val="auto"/>
                <w:sz w:val="21"/>
                <w:szCs w:val="21"/>
                <w:highlight w:val="none"/>
              </w:rPr>
              <w:t>每发现一处扣0.2分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及时完成设备消缺工作，制定并实施设备维修养护计划，确保供电可靠</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消防设施设备</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消防通道畅通，消防设施设备完好无损，可随时起用</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分，每发现一处扣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消防器材机器标志完好、有效</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分，每发现一处扣0.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消防设施设备及器材运行及巡检等记录台账完整</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分，每发现一处扣0.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给排水系统管理</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认真进行设备巡视，发现问题及故障应及时排除，维修，如需临时停水、限水时，应组织做好相应准备，以确保不影响正常的生产、生活和办公</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制定并实施设备维修养护计划，确保维修养护质量，并做好设备维修保养记录</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及时清淘化粪池、隔油池，保证化粪池、隔油池使用功能正常</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每季度对污水系统及雨水排水系统的检查井、坑、管道、沟进行检查、疏通、清理，保证排污、排水系统畅通</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9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房屋设施</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及时修理门窗、锁具、窗帘、洁具、电器、家具等设备，保证正常使用</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分，每发现一处扣0.2分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0" w:hRule="atLeast"/>
        </w:trPr>
        <w:tc>
          <w:tcPr>
            <w:tcW w:w="460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auto"/>
                <w:sz w:val="21"/>
                <w:szCs w:val="21"/>
                <w:highlight w:val="none"/>
                <w:u w:val="none"/>
              </w:rPr>
            </w:pPr>
          </w:p>
        </w:tc>
      </w:tr>
    </w:tbl>
    <w:p>
      <w:pPr>
        <w:pStyle w:val="56"/>
        <w:spacing w:line="240" w:lineRule="exact"/>
        <w:rPr>
          <w:rFonts w:hint="eastAsia" w:ascii="宋体" w:hAnsi="宋体" w:eastAsia="宋体" w:cs="宋体"/>
          <w:color w:val="auto"/>
          <w:sz w:val="21"/>
          <w:szCs w:val="21"/>
          <w:highlight w:val="none"/>
        </w:rPr>
      </w:pPr>
      <w:r>
        <w:rPr>
          <w:rStyle w:val="64"/>
          <w:rFonts w:hint="eastAsia" w:ascii="宋体" w:hAnsi="宋体" w:eastAsia="宋体" w:cs="宋体"/>
          <w:b w:val="0"/>
          <w:color w:val="auto"/>
          <w:sz w:val="21"/>
          <w:szCs w:val="21"/>
          <w:highlight w:val="none"/>
        </w:rPr>
        <w:t>考评小组成员签字：</w:t>
      </w:r>
    </w:p>
    <w:p>
      <w:pPr>
        <w:wordWrap/>
        <w:ind w:left="0" w:leftChars="0" w:right="960" w:firstLine="420" w:firstLineChars="175"/>
        <w:jc w:val="right"/>
        <w:rPr>
          <w:rFonts w:hint="eastAsia" w:ascii="仿宋" w:hAnsi="仿宋" w:eastAsia="仿宋" w:cs="仿宋_GB2312"/>
          <w:color w:val="auto"/>
          <w:sz w:val="24"/>
          <w:highlight w:val="none"/>
          <w:lang w:val="en-US" w:eastAsia="zh-CN"/>
        </w:rPr>
      </w:pPr>
    </w:p>
    <w:p>
      <w:pPr>
        <w:rPr>
          <w:rFonts w:ascii="仿宋" w:hAnsi="仿宋" w:eastAsia="仿宋"/>
          <w:b/>
          <w:color w:val="auto"/>
          <w:kern w:val="0"/>
          <w:sz w:val="24"/>
          <w:highlight w:val="none"/>
        </w:rPr>
      </w:pPr>
    </w:p>
    <w:sectPr>
      <w:footerReference r:id="rId21" w:type="first"/>
      <w:footerReference r:id="rId19" w:type="default"/>
      <w:footerReference r:id="rId20"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Arial (W1)">
    <w:altName w:val="Arial"/>
    <w:panose1 w:val="00000000000000000000"/>
    <w:charset w:val="00"/>
    <w:family w:val="swiss"/>
    <w:pitch w:val="default"/>
    <w:sig w:usb0="00000000" w:usb1="00000000" w:usb2="00000008"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ldine401 BT">
    <w:altName w:val="Courier New"/>
    <w:panose1 w:val="00000000000000000000"/>
    <w:charset w:val="00"/>
    <w:family w:val="roman"/>
    <w:pitch w:val="default"/>
    <w:sig w:usb0="00000000" w:usb1="00000000" w:usb2="00000000" w:usb3="00000000" w:csb0="00000011" w:csb1="00000000"/>
  </w:font>
  <w:font w:name="Futura Hv">
    <w:altName w:val="Arial"/>
    <w:panose1 w:val="00000000000000000000"/>
    <w:charset w:val="00"/>
    <w:family w:val="swiss"/>
    <w:pitch w:val="default"/>
    <w:sig w:usb0="00000000" w:usb1="00000000" w:usb2="00000000" w:usb3="00000000" w:csb0="0000009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right"/>
    </w:pPr>
    <w:r>
      <w:fldChar w:fldCharType="begin"/>
    </w:r>
    <w:r>
      <w:instrText xml:space="preserve"> PAGE   \* MERGEFORMAT </w:instrText>
    </w:r>
    <w:r>
      <w:fldChar w:fldCharType="separate"/>
    </w:r>
    <w:r>
      <w:rPr>
        <w:lang w:val="zh-CN"/>
      </w:rPr>
      <w:t>14</w:t>
    </w:r>
    <w:r>
      <w:fldChar w:fldCharType="end"/>
    </w:r>
  </w:p>
  <w:p>
    <w:pPr>
      <w:pStyle w:val="3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separate"/>
    </w:r>
    <w:r>
      <w:fldChar w:fldCharType="end"/>
    </w:r>
  </w:p>
  <w:p>
    <w:pPr>
      <w:pStyle w:val="38"/>
      <w:ind w:right="36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separate"/>
    </w:r>
    <w:r>
      <w:fldChar w:fldCharType="end"/>
    </w:r>
  </w:p>
  <w:p>
    <w:pPr>
      <w:pStyle w:val="38"/>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49" w:name="_Toc131845147"/>
    <w:bookmarkStart w:id="450" w:name="_Toc36110187"/>
    <w:bookmarkStart w:id="451" w:name="_Toc164085800"/>
    <w:bookmarkStart w:id="452" w:name="_Toc91899912"/>
    <w:r>
      <w:rPr>
        <w:rFonts w:hint="eastAsia" w:ascii="仿宋_GB2312" w:eastAsia="仿宋_GB2312"/>
        <w:kern w:val="0"/>
        <w:szCs w:val="21"/>
      </w:rPr>
      <w:t xml:space="preserve"> 页</w:t>
    </w:r>
    <w:bookmarkEnd w:id="449"/>
    <w:bookmarkEnd w:id="450"/>
    <w:bookmarkEnd w:id="451"/>
    <w:bookmarkEnd w:id="4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separate"/>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separate"/>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绍兴市柯桥区国有企业采购公开招标文件</w:t>
    </w:r>
  </w:p>
  <w:p>
    <w:pPr>
      <w:pStyle w:val="57"/>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绍兴市柯桥区国有企业采购公开招标文件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w:t>
    </w:r>
    <w:r>
      <w:t xml:space="preserve">  </w:t>
    </w:r>
    <w:r>
      <w:rPr>
        <w:rFonts w:hint="eastAsia"/>
      </w:rPr>
      <w:t xml:space="preserve">                                                        绍兴市柯桥区国有企业采购公开招标文件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477E"/>
    <w:multiLevelType w:val="singleLevel"/>
    <w:tmpl w:val="86B5477E"/>
    <w:lvl w:ilvl="0" w:tentative="0">
      <w:start w:val="1"/>
      <w:numFmt w:val="decimal"/>
      <w:suff w:val="nothing"/>
      <w:lvlText w:val="%1、"/>
      <w:lvlJc w:val="left"/>
    </w:lvl>
  </w:abstractNum>
  <w:abstractNum w:abstractNumId="1">
    <w:nsid w:val="B7B8CFF4"/>
    <w:multiLevelType w:val="singleLevel"/>
    <w:tmpl w:val="B7B8CFF4"/>
    <w:lvl w:ilvl="0" w:tentative="0">
      <w:start w:val="3"/>
      <w:numFmt w:val="decimal"/>
      <w:lvlText w:val="%1."/>
      <w:lvlJc w:val="left"/>
      <w:pPr>
        <w:tabs>
          <w:tab w:val="left" w:pos="312"/>
        </w:tabs>
      </w:pPr>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547"/>
      <w:lvlText w:val=""/>
      <w:lvlJc w:val="left"/>
      <w:pPr>
        <w:tabs>
          <w:tab w:val="left" w:pos="1260"/>
        </w:tabs>
        <w:ind w:left="1260" w:hanging="420"/>
      </w:pPr>
      <w:rPr>
        <w:rFonts w:hint="default" w:ascii="Wingdings" w:hAnsi="Wingdings"/>
      </w:rPr>
    </w:lvl>
    <w:lvl w:ilvl="2" w:tentative="0">
      <w:start w:val="1"/>
      <w:numFmt w:val="bullet"/>
      <w:pStyle w:val="473"/>
      <w:lvlText w:val=""/>
      <w:lvlJc w:val="left"/>
      <w:pPr>
        <w:tabs>
          <w:tab w:val="left" w:pos="1680"/>
        </w:tabs>
        <w:ind w:left="1680" w:hanging="420"/>
      </w:pPr>
      <w:rPr>
        <w:rFonts w:hint="default" w:ascii="Wingdings" w:hAnsi="Wingdings"/>
      </w:rPr>
    </w:lvl>
    <w:lvl w:ilvl="3" w:tentative="0">
      <w:start w:val="1"/>
      <w:numFmt w:val="bullet"/>
      <w:pStyle w:val="469"/>
      <w:lvlText w:val=""/>
      <w:lvlJc w:val="left"/>
      <w:pPr>
        <w:tabs>
          <w:tab w:val="left" w:pos="2100"/>
        </w:tabs>
        <w:ind w:left="2100" w:hanging="420"/>
      </w:pPr>
      <w:rPr>
        <w:rFonts w:hint="default" w:ascii="Wingdings" w:hAnsi="Wingdings"/>
      </w:rPr>
    </w:lvl>
    <w:lvl w:ilvl="4" w:tentative="0">
      <w:start w:val="1"/>
      <w:numFmt w:val="bullet"/>
      <w:pStyle w:val="591"/>
      <w:lvlText w:val=""/>
      <w:lvlJc w:val="left"/>
      <w:pPr>
        <w:tabs>
          <w:tab w:val="left" w:pos="2520"/>
        </w:tabs>
        <w:ind w:left="2520" w:hanging="420"/>
      </w:pPr>
      <w:rPr>
        <w:rFonts w:hint="default" w:ascii="Wingdings" w:hAnsi="Wingdings"/>
      </w:rPr>
    </w:lvl>
    <w:lvl w:ilvl="5" w:tentative="0">
      <w:start w:val="1"/>
      <w:numFmt w:val="bullet"/>
      <w:pStyle w:val="451"/>
      <w:lvlText w:val=""/>
      <w:lvlJc w:val="left"/>
      <w:pPr>
        <w:tabs>
          <w:tab w:val="left" w:pos="2940"/>
        </w:tabs>
        <w:ind w:left="2940" w:hanging="420"/>
      </w:pPr>
      <w:rPr>
        <w:rFonts w:hint="default" w:ascii="Wingdings" w:hAnsi="Wingdings"/>
      </w:rPr>
    </w:lvl>
    <w:lvl w:ilvl="6" w:tentative="0">
      <w:start w:val="1"/>
      <w:numFmt w:val="bullet"/>
      <w:pStyle w:val="501"/>
      <w:lvlText w:val=""/>
      <w:lvlJc w:val="left"/>
      <w:pPr>
        <w:tabs>
          <w:tab w:val="left" w:pos="3360"/>
        </w:tabs>
        <w:ind w:left="3360" w:hanging="420"/>
      </w:pPr>
      <w:rPr>
        <w:rFonts w:hint="default" w:ascii="Wingdings" w:hAnsi="Wingdings"/>
      </w:rPr>
    </w:lvl>
    <w:lvl w:ilvl="7" w:tentative="0">
      <w:start w:val="1"/>
      <w:numFmt w:val="bullet"/>
      <w:pStyle w:val="618"/>
      <w:lvlText w:val=""/>
      <w:lvlJc w:val="left"/>
      <w:pPr>
        <w:tabs>
          <w:tab w:val="left" w:pos="3780"/>
        </w:tabs>
        <w:ind w:left="3780" w:hanging="420"/>
      </w:pPr>
      <w:rPr>
        <w:rFonts w:hint="default" w:ascii="Wingdings" w:hAnsi="Wingdings"/>
      </w:rPr>
    </w:lvl>
    <w:lvl w:ilvl="8" w:tentative="0">
      <w:start w:val="1"/>
      <w:numFmt w:val="bullet"/>
      <w:pStyle w:val="28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527"/>
      <w:lvlText w:val="%1"/>
      <w:lvlJc w:val="left"/>
      <w:pPr>
        <w:tabs>
          <w:tab w:val="left" w:pos="480"/>
        </w:tabs>
        <w:ind w:left="480" w:hanging="480"/>
      </w:pPr>
      <w:rPr>
        <w:rFonts w:hint="eastAsia"/>
        <w:sz w:val="44"/>
        <w:szCs w:val="44"/>
      </w:rPr>
    </w:lvl>
    <w:lvl w:ilvl="1" w:tentative="0">
      <w:start w:val="1"/>
      <w:numFmt w:val="decimal"/>
      <w:pStyle w:val="41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11"/>
      <w:lvlText w:val="%1.%2.%3.%4.%5"/>
      <w:lvlJc w:val="left"/>
      <w:pPr>
        <w:tabs>
          <w:tab w:val="left" w:pos="1080"/>
        </w:tabs>
        <w:ind w:left="1080" w:hanging="1080"/>
      </w:pPr>
      <w:rPr>
        <w:rFonts w:hint="default"/>
      </w:rPr>
    </w:lvl>
    <w:lvl w:ilvl="5" w:tentative="0">
      <w:start w:val="1"/>
      <w:numFmt w:val="decimal"/>
      <w:pStyle w:val="3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47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zE0MTljNGU1YjY2ZmRkZmZhMzg2YWQwZjZlMmYifQ=="/>
    <w:docVar w:name="KSO_WPS_MARK_KEY" w:val="04e44b7c-b816-47f1-ab2f-f61cb714c8e4"/>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279E"/>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01"/>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BDC"/>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443"/>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5CF"/>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0C19"/>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B60"/>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D7F97"/>
    <w:rsid w:val="001E1713"/>
    <w:rsid w:val="001E17E3"/>
    <w:rsid w:val="001E1D36"/>
    <w:rsid w:val="001E2052"/>
    <w:rsid w:val="001E257C"/>
    <w:rsid w:val="001E31AF"/>
    <w:rsid w:val="001E35EE"/>
    <w:rsid w:val="001E4B2C"/>
    <w:rsid w:val="001E507F"/>
    <w:rsid w:val="001E59FB"/>
    <w:rsid w:val="001E608A"/>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6E13"/>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5114"/>
    <w:rsid w:val="00236690"/>
    <w:rsid w:val="0023669D"/>
    <w:rsid w:val="00237FA2"/>
    <w:rsid w:val="002403D5"/>
    <w:rsid w:val="00240F67"/>
    <w:rsid w:val="00241144"/>
    <w:rsid w:val="00241606"/>
    <w:rsid w:val="00242510"/>
    <w:rsid w:val="00242F79"/>
    <w:rsid w:val="0024415B"/>
    <w:rsid w:val="002442FF"/>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88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107"/>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BE8"/>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2DF3"/>
    <w:rsid w:val="002F43E5"/>
    <w:rsid w:val="002F4BA9"/>
    <w:rsid w:val="002F541B"/>
    <w:rsid w:val="002F56B5"/>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2E6"/>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21C"/>
    <w:rsid w:val="003705EA"/>
    <w:rsid w:val="00370A56"/>
    <w:rsid w:val="0037223C"/>
    <w:rsid w:val="00372842"/>
    <w:rsid w:val="003729A5"/>
    <w:rsid w:val="00372C89"/>
    <w:rsid w:val="00372E26"/>
    <w:rsid w:val="00372E9A"/>
    <w:rsid w:val="003735B9"/>
    <w:rsid w:val="00374607"/>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596"/>
    <w:rsid w:val="003E7940"/>
    <w:rsid w:val="003E7F7A"/>
    <w:rsid w:val="003F01BD"/>
    <w:rsid w:val="003F0486"/>
    <w:rsid w:val="003F048E"/>
    <w:rsid w:val="003F0AF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EA"/>
    <w:rsid w:val="00483EF9"/>
    <w:rsid w:val="00484D4D"/>
    <w:rsid w:val="0048664F"/>
    <w:rsid w:val="004868AD"/>
    <w:rsid w:val="00486A43"/>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5C8"/>
    <w:rsid w:val="004C5F4B"/>
    <w:rsid w:val="004C612E"/>
    <w:rsid w:val="004C61B8"/>
    <w:rsid w:val="004C6C0A"/>
    <w:rsid w:val="004C6C6D"/>
    <w:rsid w:val="004C77FF"/>
    <w:rsid w:val="004C7DB0"/>
    <w:rsid w:val="004D0223"/>
    <w:rsid w:val="004D10D5"/>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196E"/>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2B56"/>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B83"/>
    <w:rsid w:val="005C7CF2"/>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76F"/>
    <w:rsid w:val="006D6E4E"/>
    <w:rsid w:val="006D72C1"/>
    <w:rsid w:val="006D7882"/>
    <w:rsid w:val="006D7A8E"/>
    <w:rsid w:val="006E00E3"/>
    <w:rsid w:val="006E045C"/>
    <w:rsid w:val="006E065E"/>
    <w:rsid w:val="006E0EDB"/>
    <w:rsid w:val="006E17AC"/>
    <w:rsid w:val="006E189B"/>
    <w:rsid w:val="006E1D26"/>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63A2"/>
    <w:rsid w:val="0072655C"/>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1A6"/>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989"/>
    <w:rsid w:val="00755BCF"/>
    <w:rsid w:val="00756100"/>
    <w:rsid w:val="00756C5F"/>
    <w:rsid w:val="00756D69"/>
    <w:rsid w:val="00757029"/>
    <w:rsid w:val="007602D4"/>
    <w:rsid w:val="007607D0"/>
    <w:rsid w:val="00760D96"/>
    <w:rsid w:val="00760E0B"/>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7C7"/>
    <w:rsid w:val="007D2882"/>
    <w:rsid w:val="007D2C31"/>
    <w:rsid w:val="007D31A8"/>
    <w:rsid w:val="007D3D74"/>
    <w:rsid w:val="007D445F"/>
    <w:rsid w:val="007D44B4"/>
    <w:rsid w:val="007D4DED"/>
    <w:rsid w:val="007D513B"/>
    <w:rsid w:val="007D5BA2"/>
    <w:rsid w:val="007D5ED3"/>
    <w:rsid w:val="007D6A5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19F"/>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723"/>
    <w:rsid w:val="00861948"/>
    <w:rsid w:val="00861D4B"/>
    <w:rsid w:val="00862011"/>
    <w:rsid w:val="00862A15"/>
    <w:rsid w:val="00862CC9"/>
    <w:rsid w:val="00862D8E"/>
    <w:rsid w:val="00862EF2"/>
    <w:rsid w:val="008650A5"/>
    <w:rsid w:val="00865C3D"/>
    <w:rsid w:val="00866453"/>
    <w:rsid w:val="0086707F"/>
    <w:rsid w:val="0086734F"/>
    <w:rsid w:val="00867501"/>
    <w:rsid w:val="00867D8E"/>
    <w:rsid w:val="008700C0"/>
    <w:rsid w:val="0087069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962"/>
    <w:rsid w:val="008D4A3E"/>
    <w:rsid w:val="008D54C0"/>
    <w:rsid w:val="008D5A61"/>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3C6C"/>
    <w:rsid w:val="00933E97"/>
    <w:rsid w:val="00934C8E"/>
    <w:rsid w:val="00935194"/>
    <w:rsid w:val="00936EA5"/>
    <w:rsid w:val="00937114"/>
    <w:rsid w:val="0094015D"/>
    <w:rsid w:val="009418D4"/>
    <w:rsid w:val="00941B13"/>
    <w:rsid w:val="009441DB"/>
    <w:rsid w:val="00944834"/>
    <w:rsid w:val="00944E9B"/>
    <w:rsid w:val="00946128"/>
    <w:rsid w:val="0094633F"/>
    <w:rsid w:val="009475C1"/>
    <w:rsid w:val="009477CB"/>
    <w:rsid w:val="00947BA5"/>
    <w:rsid w:val="00950805"/>
    <w:rsid w:val="00950C0D"/>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332"/>
    <w:rsid w:val="00992DC6"/>
    <w:rsid w:val="00993135"/>
    <w:rsid w:val="00993AC7"/>
    <w:rsid w:val="00993BAD"/>
    <w:rsid w:val="00993E49"/>
    <w:rsid w:val="009942F5"/>
    <w:rsid w:val="0099461F"/>
    <w:rsid w:val="00994ADC"/>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1FD3"/>
    <w:rsid w:val="009C22FD"/>
    <w:rsid w:val="009C27F7"/>
    <w:rsid w:val="009C383D"/>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3E11"/>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13C"/>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C3E"/>
    <w:rsid w:val="00A22C4D"/>
    <w:rsid w:val="00A23442"/>
    <w:rsid w:val="00A249D2"/>
    <w:rsid w:val="00A254AB"/>
    <w:rsid w:val="00A25674"/>
    <w:rsid w:val="00A266CC"/>
    <w:rsid w:val="00A26DB4"/>
    <w:rsid w:val="00A27229"/>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54E"/>
    <w:rsid w:val="00A60799"/>
    <w:rsid w:val="00A61B7F"/>
    <w:rsid w:val="00A61B91"/>
    <w:rsid w:val="00A62666"/>
    <w:rsid w:val="00A629CA"/>
    <w:rsid w:val="00A63016"/>
    <w:rsid w:val="00A63335"/>
    <w:rsid w:val="00A63685"/>
    <w:rsid w:val="00A642E7"/>
    <w:rsid w:val="00A645AC"/>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D6"/>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D03"/>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159A"/>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6FFE"/>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2640"/>
    <w:rsid w:val="00B83E76"/>
    <w:rsid w:val="00B83FA0"/>
    <w:rsid w:val="00B8443A"/>
    <w:rsid w:val="00B86289"/>
    <w:rsid w:val="00B863B3"/>
    <w:rsid w:val="00B869D3"/>
    <w:rsid w:val="00B86E44"/>
    <w:rsid w:val="00B87359"/>
    <w:rsid w:val="00B87B3F"/>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1F"/>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00"/>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7AC"/>
    <w:rsid w:val="00C07C11"/>
    <w:rsid w:val="00C07E10"/>
    <w:rsid w:val="00C10015"/>
    <w:rsid w:val="00C119C1"/>
    <w:rsid w:val="00C12ECB"/>
    <w:rsid w:val="00C1334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6F"/>
    <w:rsid w:val="00C30B0B"/>
    <w:rsid w:val="00C316B4"/>
    <w:rsid w:val="00C332D4"/>
    <w:rsid w:val="00C33D47"/>
    <w:rsid w:val="00C33E51"/>
    <w:rsid w:val="00C33EF8"/>
    <w:rsid w:val="00C34A50"/>
    <w:rsid w:val="00C34C45"/>
    <w:rsid w:val="00C34C47"/>
    <w:rsid w:val="00C3701A"/>
    <w:rsid w:val="00C405C8"/>
    <w:rsid w:val="00C40C2F"/>
    <w:rsid w:val="00C415AC"/>
    <w:rsid w:val="00C41BD4"/>
    <w:rsid w:val="00C42679"/>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6C0C"/>
    <w:rsid w:val="00C776BA"/>
    <w:rsid w:val="00C776CE"/>
    <w:rsid w:val="00C77E23"/>
    <w:rsid w:val="00C81716"/>
    <w:rsid w:val="00C81FE1"/>
    <w:rsid w:val="00C822EB"/>
    <w:rsid w:val="00C832CB"/>
    <w:rsid w:val="00C84085"/>
    <w:rsid w:val="00C840E0"/>
    <w:rsid w:val="00C85E17"/>
    <w:rsid w:val="00C868A7"/>
    <w:rsid w:val="00C87164"/>
    <w:rsid w:val="00C87BD0"/>
    <w:rsid w:val="00C905E5"/>
    <w:rsid w:val="00C90754"/>
    <w:rsid w:val="00C90B95"/>
    <w:rsid w:val="00C90BC4"/>
    <w:rsid w:val="00C90CA9"/>
    <w:rsid w:val="00C90E2C"/>
    <w:rsid w:val="00C91EBE"/>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5F"/>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790"/>
    <w:rsid w:val="00CE3A51"/>
    <w:rsid w:val="00CE41F9"/>
    <w:rsid w:val="00CE4ED0"/>
    <w:rsid w:val="00CE5553"/>
    <w:rsid w:val="00CE56B8"/>
    <w:rsid w:val="00CE59F6"/>
    <w:rsid w:val="00CE66CD"/>
    <w:rsid w:val="00CE6BA9"/>
    <w:rsid w:val="00CE71C3"/>
    <w:rsid w:val="00CF0AF0"/>
    <w:rsid w:val="00CF1047"/>
    <w:rsid w:val="00CF157E"/>
    <w:rsid w:val="00CF1834"/>
    <w:rsid w:val="00CF1AAA"/>
    <w:rsid w:val="00CF1CE0"/>
    <w:rsid w:val="00CF1EC2"/>
    <w:rsid w:val="00CF2ACF"/>
    <w:rsid w:val="00CF345B"/>
    <w:rsid w:val="00CF46B9"/>
    <w:rsid w:val="00CF475F"/>
    <w:rsid w:val="00CF4FEB"/>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D6E"/>
    <w:rsid w:val="00D43BC9"/>
    <w:rsid w:val="00D43DEF"/>
    <w:rsid w:val="00D44259"/>
    <w:rsid w:val="00D45DDC"/>
    <w:rsid w:val="00D4752E"/>
    <w:rsid w:val="00D47DC2"/>
    <w:rsid w:val="00D5064C"/>
    <w:rsid w:val="00D50C94"/>
    <w:rsid w:val="00D5251C"/>
    <w:rsid w:val="00D525B8"/>
    <w:rsid w:val="00D52F56"/>
    <w:rsid w:val="00D539DA"/>
    <w:rsid w:val="00D54A50"/>
    <w:rsid w:val="00D5538D"/>
    <w:rsid w:val="00D5556D"/>
    <w:rsid w:val="00D55AEE"/>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0BF"/>
    <w:rsid w:val="00D70170"/>
    <w:rsid w:val="00D70552"/>
    <w:rsid w:val="00D70C42"/>
    <w:rsid w:val="00D70D42"/>
    <w:rsid w:val="00D71285"/>
    <w:rsid w:val="00D71ABC"/>
    <w:rsid w:val="00D71FA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392"/>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006"/>
    <w:rsid w:val="00DB6D32"/>
    <w:rsid w:val="00DB6F96"/>
    <w:rsid w:val="00DB71B9"/>
    <w:rsid w:val="00DC0281"/>
    <w:rsid w:val="00DC1395"/>
    <w:rsid w:val="00DC32FC"/>
    <w:rsid w:val="00DC3D89"/>
    <w:rsid w:val="00DC41B1"/>
    <w:rsid w:val="00DC4567"/>
    <w:rsid w:val="00DC4F47"/>
    <w:rsid w:val="00DC5BD0"/>
    <w:rsid w:val="00DC5BE2"/>
    <w:rsid w:val="00DC628E"/>
    <w:rsid w:val="00DC6747"/>
    <w:rsid w:val="00DC6AF3"/>
    <w:rsid w:val="00DC7608"/>
    <w:rsid w:val="00DC761E"/>
    <w:rsid w:val="00DC7CFC"/>
    <w:rsid w:val="00DD015C"/>
    <w:rsid w:val="00DD09F2"/>
    <w:rsid w:val="00DD100E"/>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3598"/>
    <w:rsid w:val="00DE4106"/>
    <w:rsid w:val="00DE466B"/>
    <w:rsid w:val="00DE472B"/>
    <w:rsid w:val="00DE48F4"/>
    <w:rsid w:val="00DE5563"/>
    <w:rsid w:val="00DE5D48"/>
    <w:rsid w:val="00DE6A47"/>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DF7C0C"/>
    <w:rsid w:val="00E00956"/>
    <w:rsid w:val="00E00C1E"/>
    <w:rsid w:val="00E00F5F"/>
    <w:rsid w:val="00E014E7"/>
    <w:rsid w:val="00E0232F"/>
    <w:rsid w:val="00E026A9"/>
    <w:rsid w:val="00E02B52"/>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458A"/>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477ED"/>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449"/>
    <w:rsid w:val="00E9078A"/>
    <w:rsid w:val="00E912ED"/>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C2B"/>
    <w:rsid w:val="00EA7308"/>
    <w:rsid w:val="00EB031B"/>
    <w:rsid w:val="00EB0444"/>
    <w:rsid w:val="00EB089C"/>
    <w:rsid w:val="00EB0AA8"/>
    <w:rsid w:val="00EB0C65"/>
    <w:rsid w:val="00EB1624"/>
    <w:rsid w:val="00EB169F"/>
    <w:rsid w:val="00EB1AE9"/>
    <w:rsid w:val="00EB1BD0"/>
    <w:rsid w:val="00EB1E7E"/>
    <w:rsid w:val="00EB2635"/>
    <w:rsid w:val="00EB2961"/>
    <w:rsid w:val="00EB2E1A"/>
    <w:rsid w:val="00EB2F17"/>
    <w:rsid w:val="00EB2F8A"/>
    <w:rsid w:val="00EB3268"/>
    <w:rsid w:val="00EB3298"/>
    <w:rsid w:val="00EB3CE6"/>
    <w:rsid w:val="00EB3E92"/>
    <w:rsid w:val="00EB526B"/>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E02"/>
    <w:rsid w:val="00F06340"/>
    <w:rsid w:val="00F0665D"/>
    <w:rsid w:val="00F06D42"/>
    <w:rsid w:val="00F07134"/>
    <w:rsid w:val="00F0724D"/>
    <w:rsid w:val="00F07378"/>
    <w:rsid w:val="00F10B81"/>
    <w:rsid w:val="00F117A4"/>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2668"/>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362"/>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202A51"/>
    <w:rsid w:val="01204575"/>
    <w:rsid w:val="016F430C"/>
    <w:rsid w:val="017C3169"/>
    <w:rsid w:val="019E3806"/>
    <w:rsid w:val="01A22C15"/>
    <w:rsid w:val="01B3097E"/>
    <w:rsid w:val="01D35B6E"/>
    <w:rsid w:val="02B839E8"/>
    <w:rsid w:val="02E55632"/>
    <w:rsid w:val="03451142"/>
    <w:rsid w:val="034C108A"/>
    <w:rsid w:val="03953B71"/>
    <w:rsid w:val="03972DDE"/>
    <w:rsid w:val="03B27F7D"/>
    <w:rsid w:val="03B804CE"/>
    <w:rsid w:val="03CA6453"/>
    <w:rsid w:val="03DD35E4"/>
    <w:rsid w:val="04A909F8"/>
    <w:rsid w:val="05415899"/>
    <w:rsid w:val="05706B86"/>
    <w:rsid w:val="057332A8"/>
    <w:rsid w:val="061F2A86"/>
    <w:rsid w:val="065A6178"/>
    <w:rsid w:val="067A0837"/>
    <w:rsid w:val="0701280C"/>
    <w:rsid w:val="07423164"/>
    <w:rsid w:val="07430EE0"/>
    <w:rsid w:val="07630621"/>
    <w:rsid w:val="076D7F6D"/>
    <w:rsid w:val="088A2BC5"/>
    <w:rsid w:val="088E2D60"/>
    <w:rsid w:val="094C087F"/>
    <w:rsid w:val="095938C5"/>
    <w:rsid w:val="09E318C3"/>
    <w:rsid w:val="0A054338"/>
    <w:rsid w:val="0A4505E1"/>
    <w:rsid w:val="0A5B7E63"/>
    <w:rsid w:val="0A6A456E"/>
    <w:rsid w:val="0ACE0DDF"/>
    <w:rsid w:val="0BD872DC"/>
    <w:rsid w:val="0C87121B"/>
    <w:rsid w:val="0CC148DE"/>
    <w:rsid w:val="0CD60C01"/>
    <w:rsid w:val="0DAF1953"/>
    <w:rsid w:val="0DF702FE"/>
    <w:rsid w:val="0E1C2D3A"/>
    <w:rsid w:val="0F611BEA"/>
    <w:rsid w:val="0F7F297F"/>
    <w:rsid w:val="0F816ACD"/>
    <w:rsid w:val="0FA75F7B"/>
    <w:rsid w:val="0FE86367"/>
    <w:rsid w:val="0FF15409"/>
    <w:rsid w:val="100D5912"/>
    <w:rsid w:val="10150A56"/>
    <w:rsid w:val="10635C65"/>
    <w:rsid w:val="108F3CE3"/>
    <w:rsid w:val="10FC16EA"/>
    <w:rsid w:val="115E01DA"/>
    <w:rsid w:val="118963A1"/>
    <w:rsid w:val="118C11EC"/>
    <w:rsid w:val="11B04970"/>
    <w:rsid w:val="123A3009"/>
    <w:rsid w:val="125A4E46"/>
    <w:rsid w:val="127723A9"/>
    <w:rsid w:val="12CC5FD8"/>
    <w:rsid w:val="13072A44"/>
    <w:rsid w:val="132B7010"/>
    <w:rsid w:val="13923F34"/>
    <w:rsid w:val="13CD54BA"/>
    <w:rsid w:val="14090752"/>
    <w:rsid w:val="14722445"/>
    <w:rsid w:val="152E483E"/>
    <w:rsid w:val="15CF5AE0"/>
    <w:rsid w:val="16846E3B"/>
    <w:rsid w:val="168D7A89"/>
    <w:rsid w:val="168F2CA9"/>
    <w:rsid w:val="16B71091"/>
    <w:rsid w:val="16EE0D8C"/>
    <w:rsid w:val="16F30CAF"/>
    <w:rsid w:val="170F26A3"/>
    <w:rsid w:val="17204B67"/>
    <w:rsid w:val="17644309"/>
    <w:rsid w:val="182818DB"/>
    <w:rsid w:val="187C3F0A"/>
    <w:rsid w:val="187E2BFE"/>
    <w:rsid w:val="18C354F3"/>
    <w:rsid w:val="199649B5"/>
    <w:rsid w:val="19AF5A77"/>
    <w:rsid w:val="1A423D37"/>
    <w:rsid w:val="1AB5464E"/>
    <w:rsid w:val="1B2A271F"/>
    <w:rsid w:val="1BAA61BB"/>
    <w:rsid w:val="1BDA7737"/>
    <w:rsid w:val="1C1045CE"/>
    <w:rsid w:val="1C813270"/>
    <w:rsid w:val="1CA262B8"/>
    <w:rsid w:val="1D266CE1"/>
    <w:rsid w:val="1D291BD0"/>
    <w:rsid w:val="1D3963AF"/>
    <w:rsid w:val="1D796AC8"/>
    <w:rsid w:val="1DD47C35"/>
    <w:rsid w:val="1E022140"/>
    <w:rsid w:val="1E217115"/>
    <w:rsid w:val="1E27258E"/>
    <w:rsid w:val="1E2C754D"/>
    <w:rsid w:val="1E714A66"/>
    <w:rsid w:val="1EA64672"/>
    <w:rsid w:val="1EB7510C"/>
    <w:rsid w:val="1F6B41EE"/>
    <w:rsid w:val="1FE868A9"/>
    <w:rsid w:val="21304ECB"/>
    <w:rsid w:val="21CA3032"/>
    <w:rsid w:val="21F97421"/>
    <w:rsid w:val="22307C5C"/>
    <w:rsid w:val="22D80519"/>
    <w:rsid w:val="2393640A"/>
    <w:rsid w:val="23E76373"/>
    <w:rsid w:val="240B5FA0"/>
    <w:rsid w:val="2493685C"/>
    <w:rsid w:val="2574470D"/>
    <w:rsid w:val="262025D5"/>
    <w:rsid w:val="262B2D33"/>
    <w:rsid w:val="2677791D"/>
    <w:rsid w:val="26D703BB"/>
    <w:rsid w:val="27157103"/>
    <w:rsid w:val="272E321E"/>
    <w:rsid w:val="27D70CD3"/>
    <w:rsid w:val="28A53B05"/>
    <w:rsid w:val="28B22E8E"/>
    <w:rsid w:val="28CC03F4"/>
    <w:rsid w:val="296D15DA"/>
    <w:rsid w:val="299D7ED2"/>
    <w:rsid w:val="2A0232B1"/>
    <w:rsid w:val="2A0C2A72"/>
    <w:rsid w:val="2A257269"/>
    <w:rsid w:val="2A4E66C5"/>
    <w:rsid w:val="2A775DC1"/>
    <w:rsid w:val="2B1343D9"/>
    <w:rsid w:val="2B925E78"/>
    <w:rsid w:val="2C0B1233"/>
    <w:rsid w:val="2C975B60"/>
    <w:rsid w:val="2CC96161"/>
    <w:rsid w:val="2D5F7CE0"/>
    <w:rsid w:val="2DC4079D"/>
    <w:rsid w:val="2DD15014"/>
    <w:rsid w:val="2ECE02F6"/>
    <w:rsid w:val="2F0F4AC5"/>
    <w:rsid w:val="2F55205B"/>
    <w:rsid w:val="2FA1739E"/>
    <w:rsid w:val="2FD21E67"/>
    <w:rsid w:val="2FD25781"/>
    <w:rsid w:val="308256C4"/>
    <w:rsid w:val="315C2359"/>
    <w:rsid w:val="319C6071"/>
    <w:rsid w:val="31A240F4"/>
    <w:rsid w:val="31E256D2"/>
    <w:rsid w:val="3212546F"/>
    <w:rsid w:val="32221084"/>
    <w:rsid w:val="3268696E"/>
    <w:rsid w:val="32A73A3B"/>
    <w:rsid w:val="3325518D"/>
    <w:rsid w:val="33697983"/>
    <w:rsid w:val="341C695A"/>
    <w:rsid w:val="342E63AB"/>
    <w:rsid w:val="344D7F0F"/>
    <w:rsid w:val="34897199"/>
    <w:rsid w:val="34BB3D03"/>
    <w:rsid w:val="34E95B28"/>
    <w:rsid w:val="35731BF7"/>
    <w:rsid w:val="360D70C5"/>
    <w:rsid w:val="360E004B"/>
    <w:rsid w:val="362F030A"/>
    <w:rsid w:val="365302AE"/>
    <w:rsid w:val="365D5300"/>
    <w:rsid w:val="3688760B"/>
    <w:rsid w:val="369D4A54"/>
    <w:rsid w:val="37533157"/>
    <w:rsid w:val="37730057"/>
    <w:rsid w:val="378E6859"/>
    <w:rsid w:val="37DE3B35"/>
    <w:rsid w:val="38544D86"/>
    <w:rsid w:val="38D5369C"/>
    <w:rsid w:val="38E736EE"/>
    <w:rsid w:val="3A0E667B"/>
    <w:rsid w:val="3A556411"/>
    <w:rsid w:val="3A590A0B"/>
    <w:rsid w:val="3A7221EE"/>
    <w:rsid w:val="3A7642F7"/>
    <w:rsid w:val="3AA259AE"/>
    <w:rsid w:val="3B191D2F"/>
    <w:rsid w:val="3B1C4808"/>
    <w:rsid w:val="3B840582"/>
    <w:rsid w:val="3BAC4AE1"/>
    <w:rsid w:val="3BC266F5"/>
    <w:rsid w:val="3BD038FF"/>
    <w:rsid w:val="3C5F759A"/>
    <w:rsid w:val="3E101D1C"/>
    <w:rsid w:val="3E444130"/>
    <w:rsid w:val="3E4757A3"/>
    <w:rsid w:val="3F4F2A01"/>
    <w:rsid w:val="3F696545"/>
    <w:rsid w:val="3F85268B"/>
    <w:rsid w:val="3FC217B1"/>
    <w:rsid w:val="400B1FA5"/>
    <w:rsid w:val="40733E05"/>
    <w:rsid w:val="40BB2DD0"/>
    <w:rsid w:val="41044197"/>
    <w:rsid w:val="4135001C"/>
    <w:rsid w:val="41532745"/>
    <w:rsid w:val="421329E3"/>
    <w:rsid w:val="42CE2CD4"/>
    <w:rsid w:val="42E1381E"/>
    <w:rsid w:val="42F51EF4"/>
    <w:rsid w:val="432C1A3B"/>
    <w:rsid w:val="43D40BE7"/>
    <w:rsid w:val="44185E43"/>
    <w:rsid w:val="44F05BEE"/>
    <w:rsid w:val="45A35C3F"/>
    <w:rsid w:val="46911E82"/>
    <w:rsid w:val="485D5E1A"/>
    <w:rsid w:val="487F54BA"/>
    <w:rsid w:val="489D100D"/>
    <w:rsid w:val="48E95BC1"/>
    <w:rsid w:val="499C726F"/>
    <w:rsid w:val="4A4E2219"/>
    <w:rsid w:val="4A617FE4"/>
    <w:rsid w:val="4AA96E84"/>
    <w:rsid w:val="4B29302C"/>
    <w:rsid w:val="4B2B6C32"/>
    <w:rsid w:val="4B320DE7"/>
    <w:rsid w:val="4B5B32AE"/>
    <w:rsid w:val="4B6840DD"/>
    <w:rsid w:val="4B814C98"/>
    <w:rsid w:val="4BCA1568"/>
    <w:rsid w:val="4BD27A09"/>
    <w:rsid w:val="4BDB662F"/>
    <w:rsid w:val="4C1910FC"/>
    <w:rsid w:val="4C754CEE"/>
    <w:rsid w:val="4C9A71E7"/>
    <w:rsid w:val="4CA84173"/>
    <w:rsid w:val="4D3921DD"/>
    <w:rsid w:val="4D7C16A5"/>
    <w:rsid w:val="4DC009AB"/>
    <w:rsid w:val="4E657666"/>
    <w:rsid w:val="4FEB1689"/>
    <w:rsid w:val="50383BBB"/>
    <w:rsid w:val="50483F54"/>
    <w:rsid w:val="50611D05"/>
    <w:rsid w:val="50A7016E"/>
    <w:rsid w:val="50E96A32"/>
    <w:rsid w:val="512E32C8"/>
    <w:rsid w:val="513F624E"/>
    <w:rsid w:val="514A096A"/>
    <w:rsid w:val="51A0432A"/>
    <w:rsid w:val="51D61B83"/>
    <w:rsid w:val="51F162C1"/>
    <w:rsid w:val="5211655A"/>
    <w:rsid w:val="522B7D04"/>
    <w:rsid w:val="528E65E4"/>
    <w:rsid w:val="52A96B6F"/>
    <w:rsid w:val="52C34116"/>
    <w:rsid w:val="532A16EF"/>
    <w:rsid w:val="53721AA0"/>
    <w:rsid w:val="546E07B0"/>
    <w:rsid w:val="5477163A"/>
    <w:rsid w:val="54C61062"/>
    <w:rsid w:val="550764A4"/>
    <w:rsid w:val="55222FC6"/>
    <w:rsid w:val="55294385"/>
    <w:rsid w:val="55512DB6"/>
    <w:rsid w:val="5590781D"/>
    <w:rsid w:val="55FA7A9F"/>
    <w:rsid w:val="567622D9"/>
    <w:rsid w:val="56AB562A"/>
    <w:rsid w:val="57181281"/>
    <w:rsid w:val="576F0018"/>
    <w:rsid w:val="579D6934"/>
    <w:rsid w:val="57F329F7"/>
    <w:rsid w:val="583A3AEF"/>
    <w:rsid w:val="58403763"/>
    <w:rsid w:val="58AE4F0C"/>
    <w:rsid w:val="58F65830"/>
    <w:rsid w:val="59345076"/>
    <w:rsid w:val="593E59C0"/>
    <w:rsid w:val="59973972"/>
    <w:rsid w:val="5998330F"/>
    <w:rsid w:val="5A2A7C7B"/>
    <w:rsid w:val="5A8614A0"/>
    <w:rsid w:val="5AA22D3A"/>
    <w:rsid w:val="5AA905E5"/>
    <w:rsid w:val="5ADE375F"/>
    <w:rsid w:val="5B161C80"/>
    <w:rsid w:val="5B1C46F8"/>
    <w:rsid w:val="5B2D55FA"/>
    <w:rsid w:val="5B3630C5"/>
    <w:rsid w:val="5B617577"/>
    <w:rsid w:val="5B7A14B4"/>
    <w:rsid w:val="5BFC633D"/>
    <w:rsid w:val="5C2D3F91"/>
    <w:rsid w:val="5C80234E"/>
    <w:rsid w:val="5DEF3225"/>
    <w:rsid w:val="5E020D8E"/>
    <w:rsid w:val="5E261785"/>
    <w:rsid w:val="5E304F6C"/>
    <w:rsid w:val="5E4F1BB0"/>
    <w:rsid w:val="5E6C2155"/>
    <w:rsid w:val="5E8B1BDC"/>
    <w:rsid w:val="5EC02BB2"/>
    <w:rsid w:val="5F090799"/>
    <w:rsid w:val="5F5A401E"/>
    <w:rsid w:val="5F697A43"/>
    <w:rsid w:val="5FC61F30"/>
    <w:rsid w:val="5FCC5339"/>
    <w:rsid w:val="60086481"/>
    <w:rsid w:val="60B7783F"/>
    <w:rsid w:val="60C54BF7"/>
    <w:rsid w:val="61054A27"/>
    <w:rsid w:val="611C26A2"/>
    <w:rsid w:val="611D2366"/>
    <w:rsid w:val="615F2BE3"/>
    <w:rsid w:val="6172681E"/>
    <w:rsid w:val="61ED495B"/>
    <w:rsid w:val="62666C48"/>
    <w:rsid w:val="628030DA"/>
    <w:rsid w:val="62885958"/>
    <w:rsid w:val="62B43532"/>
    <w:rsid w:val="62C57AF6"/>
    <w:rsid w:val="62D022B3"/>
    <w:rsid w:val="62F35718"/>
    <w:rsid w:val="63A96660"/>
    <w:rsid w:val="64047D3A"/>
    <w:rsid w:val="641461CF"/>
    <w:rsid w:val="6495321D"/>
    <w:rsid w:val="64CE2EAA"/>
    <w:rsid w:val="64CF20F6"/>
    <w:rsid w:val="662E75B1"/>
    <w:rsid w:val="66342C2E"/>
    <w:rsid w:val="663E784C"/>
    <w:rsid w:val="66401039"/>
    <w:rsid w:val="669D73FD"/>
    <w:rsid w:val="66E86231"/>
    <w:rsid w:val="671F1A48"/>
    <w:rsid w:val="67784648"/>
    <w:rsid w:val="67BA6C59"/>
    <w:rsid w:val="680B06FB"/>
    <w:rsid w:val="6895357A"/>
    <w:rsid w:val="689E3550"/>
    <w:rsid w:val="692606FF"/>
    <w:rsid w:val="69FD7F6E"/>
    <w:rsid w:val="6A994C5B"/>
    <w:rsid w:val="6AF107D9"/>
    <w:rsid w:val="6AFE3611"/>
    <w:rsid w:val="6B950FB3"/>
    <w:rsid w:val="6B956310"/>
    <w:rsid w:val="6BA75B7B"/>
    <w:rsid w:val="6BBF1117"/>
    <w:rsid w:val="6BE977B5"/>
    <w:rsid w:val="6BFD39ED"/>
    <w:rsid w:val="6C450AD1"/>
    <w:rsid w:val="6C47029F"/>
    <w:rsid w:val="6C4A3C12"/>
    <w:rsid w:val="6C7855F1"/>
    <w:rsid w:val="6D211930"/>
    <w:rsid w:val="6D372F2F"/>
    <w:rsid w:val="6D9C21B2"/>
    <w:rsid w:val="6DA73E46"/>
    <w:rsid w:val="6E3851B0"/>
    <w:rsid w:val="6E5F098F"/>
    <w:rsid w:val="6E8E12EF"/>
    <w:rsid w:val="6EAD55EF"/>
    <w:rsid w:val="6FB645DF"/>
    <w:rsid w:val="707E49DA"/>
    <w:rsid w:val="708A2063"/>
    <w:rsid w:val="70BC465B"/>
    <w:rsid w:val="71B42DA0"/>
    <w:rsid w:val="71D43752"/>
    <w:rsid w:val="71E83D7D"/>
    <w:rsid w:val="72200435"/>
    <w:rsid w:val="72E256EB"/>
    <w:rsid w:val="73D50144"/>
    <w:rsid w:val="742842E9"/>
    <w:rsid w:val="744F471E"/>
    <w:rsid w:val="74812690"/>
    <w:rsid w:val="748506DC"/>
    <w:rsid w:val="749C4185"/>
    <w:rsid w:val="74C04A73"/>
    <w:rsid w:val="74E1073D"/>
    <w:rsid w:val="75070EA6"/>
    <w:rsid w:val="7545641B"/>
    <w:rsid w:val="756E7D31"/>
    <w:rsid w:val="75900235"/>
    <w:rsid w:val="75B60D88"/>
    <w:rsid w:val="75DA2C18"/>
    <w:rsid w:val="76267EF3"/>
    <w:rsid w:val="76332285"/>
    <w:rsid w:val="76A95873"/>
    <w:rsid w:val="78BB4A14"/>
    <w:rsid w:val="78DA451C"/>
    <w:rsid w:val="78E00535"/>
    <w:rsid w:val="78EF592C"/>
    <w:rsid w:val="78F32945"/>
    <w:rsid w:val="79623D93"/>
    <w:rsid w:val="79F4306E"/>
    <w:rsid w:val="7A25120F"/>
    <w:rsid w:val="7A67303B"/>
    <w:rsid w:val="7AAB1D04"/>
    <w:rsid w:val="7ABA4368"/>
    <w:rsid w:val="7AEC5B68"/>
    <w:rsid w:val="7B257FFD"/>
    <w:rsid w:val="7B321F7A"/>
    <w:rsid w:val="7B566C76"/>
    <w:rsid w:val="7C0E57A2"/>
    <w:rsid w:val="7C4A70A4"/>
    <w:rsid w:val="7CFE115A"/>
    <w:rsid w:val="7D955B15"/>
    <w:rsid w:val="7DC15B2F"/>
    <w:rsid w:val="7E211ED6"/>
    <w:rsid w:val="7E4D4360"/>
    <w:rsid w:val="7E9B3E99"/>
    <w:rsid w:val="7F66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8"/>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7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3"/>
    <w:qFormat/>
    <w:uiPriority w:val="0"/>
    <w:pPr>
      <w:jc w:val="left"/>
    </w:pPr>
  </w:style>
  <w:style w:type="paragraph" w:styleId="20">
    <w:name w:val="Salutation"/>
    <w:basedOn w:val="1"/>
    <w:next w:val="1"/>
    <w:link w:val="84"/>
    <w:qFormat/>
    <w:uiPriority w:val="0"/>
    <w:rPr>
      <w:rFonts w:ascii="仿宋_GB2312" w:eastAsia="仿宋_GB2312"/>
      <w:sz w:val="28"/>
      <w:szCs w:val="20"/>
    </w:rPr>
  </w:style>
  <w:style w:type="paragraph" w:styleId="21">
    <w:name w:val="Body Text 3"/>
    <w:basedOn w:val="1"/>
    <w:link w:val="85"/>
    <w:qFormat/>
    <w:uiPriority w:val="0"/>
    <w:pPr>
      <w:jc w:val="center"/>
    </w:pPr>
    <w:rPr>
      <w:szCs w:val="20"/>
    </w:rPr>
  </w:style>
  <w:style w:type="paragraph" w:styleId="22">
    <w:name w:val="Body Text"/>
    <w:basedOn w:val="1"/>
    <w:next w:val="1"/>
    <w:link w:val="86"/>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next w:val="24"/>
    <w:link w:val="87"/>
    <w:qFormat/>
    <w:uiPriority w:val="0"/>
    <w:pPr>
      <w:spacing w:line="480" w:lineRule="exact"/>
      <w:ind w:firstLine="480" w:firstLineChars="200"/>
    </w:pPr>
    <w:rPr>
      <w:rFonts w:ascii="宋体" w:hAnsi="宋体"/>
      <w:sz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9"/>
    <w:qFormat/>
    <w:uiPriority w:val="0"/>
    <w:rPr>
      <w:rFonts w:ascii="宋体" w:hAnsi="Courier New" w:cs="Arial"/>
      <w:snapToGrid w:val="0"/>
      <w:szCs w:val="21"/>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0"/>
    <w:qFormat/>
    <w:uiPriority w:val="0"/>
    <w:pPr>
      <w:ind w:left="100" w:leftChars="2500"/>
    </w:pPr>
    <w:rPr>
      <w:rFonts w:ascii="宋体"/>
      <w:sz w:val="24"/>
      <w:szCs w:val="21"/>
      <w:lang w:val="zh-CN"/>
    </w:rPr>
  </w:style>
  <w:style w:type="paragraph" w:styleId="36">
    <w:name w:val="Body Text Indent 2"/>
    <w:basedOn w:val="1"/>
    <w:link w:val="91"/>
    <w:qFormat/>
    <w:uiPriority w:val="0"/>
    <w:pPr>
      <w:spacing w:line="360" w:lineRule="auto"/>
      <w:ind w:firstLine="601"/>
      <w:textAlignment w:val="baseline"/>
    </w:pPr>
    <w:rPr>
      <w:rFonts w:ascii="宋体"/>
      <w:kern w:val="0"/>
      <w:sz w:val="28"/>
      <w:szCs w:val="20"/>
    </w:rPr>
  </w:style>
  <w:style w:type="paragraph" w:styleId="37">
    <w:name w:val="Balloon Text"/>
    <w:basedOn w:val="1"/>
    <w:link w:val="92"/>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2"/>
    <w:link w:val="95"/>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next w:val="1"/>
    <w:link w:val="98"/>
    <w:qFormat/>
    <w:uiPriority w:val="0"/>
    <w:pPr>
      <w:ind w:firstLine="420"/>
    </w:pPr>
    <w:rPr>
      <w:rFonts w:hAnsi="Times New Roman" w:cs="Times New Roman"/>
      <w:snapToGrid/>
      <w:szCs w:val="20"/>
    </w:rPr>
  </w:style>
  <w:style w:type="paragraph" w:styleId="60">
    <w:name w:val="Body Text First Indent 2"/>
    <w:basedOn w:val="23"/>
    <w:next w:val="59"/>
    <w:link w:val="99"/>
    <w:qFormat/>
    <w:uiPriority w:val="0"/>
    <w:pPr>
      <w:adjustRightInd/>
      <w:spacing w:after="120" w:line="240" w:lineRule="auto"/>
      <w:ind w:left="420" w:leftChars="200" w:firstLine="210"/>
    </w:pPr>
    <w:rPr>
      <w:sz w:val="21"/>
    </w:rPr>
  </w:style>
  <w:style w:type="table" w:styleId="62">
    <w:name w:val="Table Grid"/>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1 字符"/>
    <w:link w:val="3"/>
    <w:qFormat/>
    <w:uiPriority w:val="0"/>
    <w:rPr>
      <w:b/>
      <w:bCs/>
      <w:kern w:val="44"/>
      <w:sz w:val="44"/>
      <w:szCs w:val="44"/>
    </w:rPr>
  </w:style>
  <w:style w:type="paragraph" w:styleId="73">
    <w:name w:val="List Paragraph"/>
    <w:basedOn w:val="1"/>
    <w:qFormat/>
    <w:uiPriority w:val="34"/>
    <w:pPr>
      <w:spacing w:line="360" w:lineRule="auto"/>
      <w:ind w:firstLine="200" w:firstLineChars="200"/>
    </w:pPr>
    <w:rPr>
      <w:rFonts w:eastAsia="楷体_GB2312" w:cs="Lucida Sans"/>
      <w:sz w:val="24"/>
    </w:rPr>
  </w:style>
  <w:style w:type="paragraph" w:customStyle="1" w:styleId="74">
    <w:name w:val="首行缩进"/>
    <w:basedOn w:val="1"/>
    <w:qFormat/>
    <w:uiPriority w:val="0"/>
    <w:pPr>
      <w:spacing w:line="360" w:lineRule="auto"/>
      <w:ind w:firstLine="480" w:firstLineChars="200"/>
    </w:pPr>
    <w:rPr>
      <w:rFonts w:ascii="宋体"/>
      <w:sz w:val="24"/>
      <w:szCs w:val="20"/>
    </w:rPr>
  </w:style>
  <w:style w:type="character" w:customStyle="1" w:styleId="75">
    <w:name w:val="标题 4 字符"/>
    <w:link w:val="6"/>
    <w:qFormat/>
    <w:uiPriority w:val="0"/>
    <w:rPr>
      <w:rFonts w:ascii="Arial" w:hAnsi="Arial" w:eastAsia="黑体"/>
      <w:b/>
      <w:bCs/>
      <w:kern w:val="2"/>
      <w:sz w:val="28"/>
      <w:szCs w:val="28"/>
      <w:lang w:val="zh-CN"/>
    </w:rPr>
  </w:style>
  <w:style w:type="character" w:customStyle="1" w:styleId="76">
    <w:name w:val="标题 5 字符"/>
    <w:link w:val="7"/>
    <w:qFormat/>
    <w:uiPriority w:val="0"/>
    <w:rPr>
      <w:b/>
      <w:bCs/>
      <w:kern w:val="2"/>
      <w:sz w:val="28"/>
      <w:szCs w:val="28"/>
    </w:rPr>
  </w:style>
  <w:style w:type="character" w:customStyle="1" w:styleId="77">
    <w:name w:val="标题 6 字符"/>
    <w:link w:val="8"/>
    <w:qFormat/>
    <w:uiPriority w:val="0"/>
    <w:rPr>
      <w:rFonts w:ascii="Arial" w:hAnsi="Arial" w:eastAsia="黑体"/>
      <w:b/>
      <w:bCs/>
      <w:kern w:val="2"/>
      <w:sz w:val="24"/>
      <w:szCs w:val="24"/>
    </w:rPr>
  </w:style>
  <w:style w:type="character" w:customStyle="1" w:styleId="78">
    <w:name w:val="标题 7 字符"/>
    <w:link w:val="9"/>
    <w:qFormat/>
    <w:uiPriority w:val="0"/>
    <w:rPr>
      <w:b/>
      <w:bCs/>
      <w:kern w:val="2"/>
      <w:sz w:val="24"/>
      <w:szCs w:val="24"/>
    </w:rPr>
  </w:style>
  <w:style w:type="character" w:customStyle="1" w:styleId="79">
    <w:name w:val="标题 8 字符"/>
    <w:link w:val="10"/>
    <w:qFormat/>
    <w:uiPriority w:val="0"/>
    <w:rPr>
      <w:rFonts w:ascii="Arial" w:hAnsi="Arial" w:eastAsia="黑体"/>
      <w:kern w:val="2"/>
      <w:sz w:val="24"/>
      <w:szCs w:val="24"/>
    </w:rPr>
  </w:style>
  <w:style w:type="character" w:customStyle="1" w:styleId="80">
    <w:name w:val="标题 9 字符"/>
    <w:link w:val="11"/>
    <w:qFormat/>
    <w:uiPriority w:val="0"/>
    <w:rPr>
      <w:rFonts w:ascii="Arial" w:hAnsi="Arial" w:eastAsia="黑体"/>
      <w:kern w:val="2"/>
      <w:sz w:val="21"/>
      <w:szCs w:val="21"/>
    </w:rPr>
  </w:style>
  <w:style w:type="character" w:customStyle="1" w:styleId="81">
    <w:name w:val="正文缩进 字符1"/>
    <w:link w:val="2"/>
    <w:qFormat/>
    <w:uiPriority w:val="0"/>
    <w:rPr>
      <w:rFonts w:ascii="宋体" w:eastAsia="宋体"/>
      <w:snapToGrid w:val="0"/>
      <w:color w:val="000000"/>
      <w:kern w:val="28"/>
      <w:sz w:val="28"/>
      <w:lang w:val="en-US" w:eastAsia="zh-CN" w:bidi="ar-SA"/>
    </w:rPr>
  </w:style>
  <w:style w:type="character" w:customStyle="1" w:styleId="82">
    <w:name w:val="题注 字符"/>
    <w:link w:val="16"/>
    <w:qFormat/>
    <w:uiPriority w:val="0"/>
    <w:rPr>
      <w:b/>
      <w:kern w:val="2"/>
      <w:sz w:val="28"/>
    </w:rPr>
  </w:style>
  <w:style w:type="character" w:customStyle="1" w:styleId="83">
    <w:name w:val="批注文字 字符"/>
    <w:link w:val="19"/>
    <w:qFormat/>
    <w:uiPriority w:val="0"/>
    <w:rPr>
      <w:kern w:val="2"/>
      <w:sz w:val="21"/>
      <w:szCs w:val="24"/>
    </w:rPr>
  </w:style>
  <w:style w:type="character" w:customStyle="1" w:styleId="84">
    <w:name w:val="称呼 字符"/>
    <w:link w:val="20"/>
    <w:qFormat/>
    <w:uiPriority w:val="0"/>
    <w:rPr>
      <w:rFonts w:ascii="仿宋_GB2312" w:eastAsia="仿宋_GB2312"/>
      <w:kern w:val="2"/>
      <w:sz w:val="28"/>
    </w:rPr>
  </w:style>
  <w:style w:type="character" w:customStyle="1" w:styleId="85">
    <w:name w:val="正文文本 3 字符"/>
    <w:link w:val="21"/>
    <w:qFormat/>
    <w:uiPriority w:val="0"/>
    <w:rPr>
      <w:kern w:val="2"/>
      <w:sz w:val="21"/>
    </w:rPr>
  </w:style>
  <w:style w:type="character" w:customStyle="1" w:styleId="86">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87">
    <w:name w:val="正文文本缩进 字符1"/>
    <w:link w:val="23"/>
    <w:qFormat/>
    <w:uiPriority w:val="0"/>
    <w:rPr>
      <w:rFonts w:ascii="宋体" w:hAnsi="宋体"/>
      <w:kern w:val="2"/>
      <w:sz w:val="24"/>
      <w:szCs w:val="24"/>
    </w:rPr>
  </w:style>
  <w:style w:type="character" w:customStyle="1" w:styleId="88">
    <w:name w:val="HTML 地址 字符"/>
    <w:link w:val="29"/>
    <w:qFormat/>
    <w:uiPriority w:val="0"/>
    <w:rPr>
      <w:rFonts w:ascii="宋体" w:hAnsi="宋体"/>
      <w:i/>
      <w:iCs/>
      <w:sz w:val="24"/>
      <w:szCs w:val="24"/>
    </w:rPr>
  </w:style>
  <w:style w:type="character" w:customStyle="1" w:styleId="89">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90">
    <w:name w:val="日期 字符"/>
    <w:link w:val="35"/>
    <w:qFormat/>
    <w:uiPriority w:val="0"/>
    <w:rPr>
      <w:rFonts w:ascii="宋体"/>
      <w:kern w:val="2"/>
      <w:sz w:val="24"/>
      <w:szCs w:val="21"/>
      <w:lang w:val="zh-CN"/>
    </w:rPr>
  </w:style>
  <w:style w:type="character" w:customStyle="1" w:styleId="91">
    <w:name w:val="正文文本缩进 2 字符"/>
    <w:link w:val="36"/>
    <w:qFormat/>
    <w:uiPriority w:val="0"/>
    <w:rPr>
      <w:rFonts w:ascii="宋体"/>
      <w:sz w:val="28"/>
    </w:rPr>
  </w:style>
  <w:style w:type="character" w:customStyle="1" w:styleId="92">
    <w:name w:val="批注框文本 字符"/>
    <w:link w:val="37"/>
    <w:semiHidden/>
    <w:qFormat/>
    <w:uiPriority w:val="0"/>
    <w:rPr>
      <w:kern w:val="2"/>
      <w:sz w:val="18"/>
      <w:szCs w:val="18"/>
    </w:rPr>
  </w:style>
  <w:style w:type="character" w:customStyle="1" w:styleId="93">
    <w:name w:val="签名 字符"/>
    <w:link w:val="40"/>
    <w:qFormat/>
    <w:uiPriority w:val="0"/>
    <w:rPr>
      <w:rFonts w:eastAsia="仿宋_GB2312"/>
      <w:sz w:val="24"/>
    </w:rPr>
  </w:style>
  <w:style w:type="character" w:customStyle="1" w:styleId="94">
    <w:name w:val="副标题 字符"/>
    <w:link w:val="45"/>
    <w:qFormat/>
    <w:uiPriority w:val="0"/>
    <w:rPr>
      <w:rFonts w:ascii="Arial" w:hAnsi="Arial" w:eastAsia="隶书"/>
      <w:b/>
      <w:bCs/>
      <w:kern w:val="28"/>
      <w:sz w:val="44"/>
      <w:szCs w:val="32"/>
      <w:lang w:val="en-US" w:eastAsia="zh-CN" w:bidi="ar-SA"/>
    </w:rPr>
  </w:style>
  <w:style w:type="character" w:customStyle="1" w:styleId="95">
    <w:name w:val="脚注文本 字符"/>
    <w:link w:val="48"/>
    <w:qFormat/>
    <w:uiPriority w:val="0"/>
    <w:rPr>
      <w:color w:val="0000FF"/>
      <w:sz w:val="21"/>
    </w:rPr>
  </w:style>
  <w:style w:type="character" w:customStyle="1" w:styleId="96">
    <w:name w:val="正文文本缩进 3 字符"/>
    <w:link w:val="51"/>
    <w:qFormat/>
    <w:uiPriority w:val="0"/>
    <w:rPr>
      <w:kern w:val="2"/>
      <w:sz w:val="24"/>
    </w:rPr>
  </w:style>
  <w:style w:type="character" w:customStyle="1" w:styleId="97">
    <w:name w:val="HTML 预设格式 字符"/>
    <w:link w:val="55"/>
    <w:qFormat/>
    <w:uiPriority w:val="0"/>
    <w:rPr>
      <w:rFonts w:ascii="黑体" w:hAnsi="Courier New" w:eastAsia="黑体"/>
    </w:rPr>
  </w:style>
  <w:style w:type="character" w:customStyle="1" w:styleId="98">
    <w:name w:val="正文文本首行缩进 字符"/>
    <w:link w:val="59"/>
    <w:qFormat/>
    <w:uiPriority w:val="0"/>
    <w:rPr>
      <w:rFonts w:ascii="宋体"/>
      <w:kern w:val="2"/>
      <w:sz w:val="24"/>
      <w:lang w:val="zh-CN"/>
    </w:rPr>
  </w:style>
  <w:style w:type="character" w:customStyle="1" w:styleId="99">
    <w:name w:val="正文文本首行缩进 2 字符"/>
    <w:link w:val="60"/>
    <w:qFormat/>
    <w:uiPriority w:val="0"/>
    <w:rPr>
      <w:rFonts w:ascii="宋体" w:hAnsi="宋体"/>
      <w:kern w:val="2"/>
      <w:sz w:val="21"/>
      <w:szCs w:val="24"/>
    </w:rPr>
  </w:style>
  <w:style w:type="character" w:customStyle="1" w:styleId="100">
    <w:name w:val="正文缩进 Char"/>
    <w:qFormat/>
    <w:uiPriority w:val="0"/>
    <w:rPr>
      <w:rFonts w:eastAsia="宋体"/>
      <w:kern w:val="2"/>
      <w:sz w:val="21"/>
      <w:lang w:val="en-US" w:eastAsia="zh-CN"/>
    </w:rPr>
  </w:style>
  <w:style w:type="character" w:customStyle="1" w:styleId="101">
    <w:name w:val="big1"/>
    <w:qFormat/>
    <w:uiPriority w:val="0"/>
    <w:rPr>
      <w:rFonts w:hint="eastAsia" w:ascii="宋体" w:hAnsi="宋体" w:eastAsia="宋体"/>
      <w:color w:val="333333"/>
      <w:sz w:val="22"/>
      <w:szCs w:val="22"/>
    </w:rPr>
  </w:style>
  <w:style w:type="character" w:customStyle="1" w:styleId="102">
    <w:name w:val="正文2 Char Char"/>
    <w:link w:val="103"/>
    <w:qFormat/>
    <w:uiPriority w:val="0"/>
    <w:rPr>
      <w:rFonts w:eastAsia="宋体"/>
      <w:kern w:val="2"/>
      <w:sz w:val="24"/>
      <w:lang w:val="en-US" w:eastAsia="zh-CN" w:bidi="ar-SA"/>
    </w:rPr>
  </w:style>
  <w:style w:type="paragraph" w:customStyle="1" w:styleId="103">
    <w:name w:val="正文2"/>
    <w:basedOn w:val="1"/>
    <w:link w:val="102"/>
    <w:qFormat/>
    <w:uiPriority w:val="0"/>
    <w:pPr>
      <w:spacing w:before="156" w:line="360" w:lineRule="auto"/>
      <w:ind w:firstLine="510" w:firstLineChars="200"/>
    </w:pPr>
    <w:rPr>
      <w:sz w:val="24"/>
      <w:szCs w:val="20"/>
    </w:rPr>
  </w:style>
  <w:style w:type="character" w:customStyle="1" w:styleId="104">
    <w:name w:val="纯文本 字符"/>
    <w:qFormat/>
    <w:uiPriority w:val="0"/>
    <w:rPr>
      <w:rFonts w:ascii="宋体" w:hAnsi="Courier New" w:eastAsia="宋体" w:cs="Arial"/>
      <w:snapToGrid/>
      <w:kern w:val="2"/>
      <w:sz w:val="21"/>
      <w:szCs w:val="21"/>
      <w:lang w:val="en-US" w:eastAsia="zh-CN" w:bidi="ar-SA"/>
    </w:rPr>
  </w:style>
  <w:style w:type="character" w:customStyle="1" w:styleId="105">
    <w:name w:val="Heading 7 Char"/>
    <w:qFormat/>
    <w:locked/>
    <w:uiPriority w:val="0"/>
    <w:rPr>
      <w:rFonts w:ascii="宋体" w:hAnsi="宋体" w:eastAsia="宋体"/>
      <w:b/>
      <w:bCs/>
      <w:kern w:val="2"/>
      <w:sz w:val="24"/>
      <w:szCs w:val="24"/>
      <w:lang w:val="en-US" w:eastAsia="zh-CN" w:bidi="ar-SA"/>
    </w:rPr>
  </w:style>
  <w:style w:type="character" w:customStyle="1" w:styleId="106">
    <w:name w:val="bookmark-item"/>
    <w:qFormat/>
    <w:uiPriority w:val="0"/>
  </w:style>
  <w:style w:type="character" w:customStyle="1" w:styleId="107">
    <w:name w:val="仿宋正文 Char"/>
    <w:link w:val="108"/>
    <w:qFormat/>
    <w:uiPriority w:val="0"/>
    <w:rPr>
      <w:rFonts w:ascii="仿宋_GB2312" w:eastAsia="仿宋_GB2312"/>
      <w:kern w:val="2"/>
      <w:sz w:val="24"/>
      <w:lang w:val="en-US" w:eastAsia="zh-CN" w:bidi="ar-SA"/>
    </w:rPr>
  </w:style>
  <w:style w:type="paragraph" w:customStyle="1" w:styleId="108">
    <w:name w:val="仿宋正文"/>
    <w:basedOn w:val="1"/>
    <w:link w:val="107"/>
    <w:qFormat/>
    <w:uiPriority w:val="0"/>
    <w:pPr>
      <w:adjustRightInd/>
      <w:spacing w:line="360" w:lineRule="auto"/>
      <w:ind w:firstLine="480" w:firstLineChars="200"/>
    </w:pPr>
    <w:rPr>
      <w:rFonts w:ascii="仿宋_GB2312" w:eastAsia="仿宋_GB2312"/>
      <w:sz w:val="24"/>
      <w:szCs w:val="20"/>
    </w:rPr>
  </w:style>
  <w:style w:type="character" w:customStyle="1" w:styleId="109">
    <w:name w:val="Footer-Even Char1"/>
    <w:qFormat/>
    <w:uiPriority w:val="0"/>
    <w:rPr>
      <w:rFonts w:eastAsia="宋体"/>
      <w:kern w:val="2"/>
      <w:sz w:val="18"/>
      <w:szCs w:val="18"/>
      <w:lang w:val="en-US" w:eastAsia="zh-CN" w:bidi="ar-SA"/>
    </w:rPr>
  </w:style>
  <w:style w:type="character" w:customStyle="1" w:styleId="110">
    <w:name w:val="正文 项目 Char"/>
    <w:qFormat/>
    <w:uiPriority w:val="0"/>
    <w:rPr>
      <w:rFonts w:ascii="仿宋_GB2312" w:hAnsi="仿宋_GB2312" w:eastAsia="仿宋_GB2312"/>
      <w:kern w:val="2"/>
      <w:sz w:val="24"/>
      <w:lang w:bidi="ar-SA"/>
    </w:rPr>
  </w:style>
  <w:style w:type="character" w:customStyle="1" w:styleId="111">
    <w:name w:val="正文（缩进2汉字） Char"/>
    <w:link w:val="112"/>
    <w:qFormat/>
    <w:uiPriority w:val="0"/>
    <w:rPr>
      <w:rFonts w:ascii="宋体"/>
    </w:rPr>
  </w:style>
  <w:style w:type="paragraph" w:customStyle="1" w:styleId="112">
    <w:name w:val="正文（缩进2汉字）"/>
    <w:basedOn w:val="1"/>
    <w:link w:val="11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13">
    <w:name w:val="页眉 Char1"/>
    <w:qFormat/>
    <w:uiPriority w:val="0"/>
    <w:rPr>
      <w:rFonts w:eastAsia="宋体"/>
      <w:kern w:val="2"/>
      <w:sz w:val="18"/>
      <w:szCs w:val="18"/>
      <w:lang w:val="en-US" w:eastAsia="zh-CN" w:bidi="ar-SA"/>
    </w:rPr>
  </w:style>
  <w:style w:type="character" w:customStyle="1" w:styleId="114">
    <w:name w:val="正文首行缩进两字 Char"/>
    <w:qFormat/>
    <w:uiPriority w:val="0"/>
    <w:rPr>
      <w:sz w:val="24"/>
      <w:szCs w:val="24"/>
      <w:lang w:val="en-US" w:eastAsia="zh-CN" w:bidi="ar-SA"/>
    </w:rPr>
  </w:style>
  <w:style w:type="character" w:customStyle="1" w:styleId="115">
    <w:name w:val="样式4 Char"/>
    <w:qFormat/>
    <w:uiPriority w:val="0"/>
    <w:rPr>
      <w:rFonts w:ascii="仿宋_GB2312" w:hAnsi="仿宋" w:eastAsia="仿宋_GB2312"/>
      <w:b/>
      <w:kern w:val="2"/>
      <w:sz w:val="32"/>
      <w:szCs w:val="32"/>
      <w:lang w:bidi="ar-SA"/>
    </w:rPr>
  </w:style>
  <w:style w:type="character" w:customStyle="1" w:styleId="116">
    <w:name w:val="px14"/>
    <w:qFormat/>
    <w:uiPriority w:val="0"/>
    <w:rPr>
      <w:rFonts w:ascii="仿宋_GB2312" w:eastAsia="微软雅黑" w:cs="Times New Roman"/>
      <w:b/>
      <w:kern w:val="2"/>
      <w:sz w:val="32"/>
      <w:szCs w:val="32"/>
      <w:lang w:val="en-US" w:eastAsia="zh-CN" w:bidi="ar-SA"/>
    </w:rPr>
  </w:style>
  <w:style w:type="character" w:customStyle="1" w:styleId="11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18">
    <w:name w:val="hui"/>
    <w:qFormat/>
    <w:uiPriority w:val="0"/>
  </w:style>
  <w:style w:type="character" w:customStyle="1" w:styleId="119">
    <w:name w:val="b11_01b Char"/>
    <w:link w:val="120"/>
    <w:qFormat/>
    <w:uiPriority w:val="0"/>
    <w:rPr>
      <w:rFonts w:ascii="Verdana" w:hAnsi="Verdana"/>
      <w:b/>
      <w:bCs/>
      <w:color w:val="4A82CA"/>
      <w:sz w:val="17"/>
      <w:szCs w:val="17"/>
    </w:rPr>
  </w:style>
  <w:style w:type="paragraph" w:customStyle="1" w:styleId="120">
    <w:name w:val="b11_01b"/>
    <w:basedOn w:val="1"/>
    <w:next w:val="1"/>
    <w:link w:val="11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1">
    <w:name w:val="myp1111"/>
    <w:qFormat/>
    <w:uiPriority w:val="0"/>
    <w:rPr>
      <w:rFonts w:hint="default" w:ascii="ˎ̥" w:hAnsi="ˎ̥"/>
      <w:color w:val="000000"/>
      <w:sz w:val="20"/>
      <w:szCs w:val="20"/>
      <w:u w:val="none"/>
    </w:rPr>
  </w:style>
  <w:style w:type="character" w:customStyle="1" w:styleId="122">
    <w:name w:val="Char Char5"/>
    <w:qFormat/>
    <w:uiPriority w:val="0"/>
    <w:rPr>
      <w:rFonts w:ascii="宋体" w:hAnsi="Courier New" w:eastAsia="宋体"/>
      <w:kern w:val="2"/>
      <w:sz w:val="21"/>
      <w:lang w:val="en-US" w:eastAsia="zh-CN"/>
    </w:rPr>
  </w:style>
  <w:style w:type="character" w:customStyle="1" w:styleId="123">
    <w:name w:val="Bold"/>
    <w:qFormat/>
    <w:uiPriority w:val="0"/>
    <w:rPr>
      <w:rFonts w:ascii="Arial" w:hAnsi="Arial" w:eastAsia="黑体" w:cs="Times New Roman"/>
      <w:b/>
      <w:kern w:val="2"/>
      <w:sz w:val="32"/>
      <w:szCs w:val="32"/>
      <w:lang w:val="en-US" w:eastAsia="zh-CN" w:bidi="ar-SA"/>
    </w:rPr>
  </w:style>
  <w:style w:type="character" w:customStyle="1" w:styleId="124">
    <w:name w:val="正文 项目2 Char"/>
    <w:qFormat/>
    <w:uiPriority w:val="0"/>
    <w:rPr>
      <w:lang w:bidi="ar-SA"/>
    </w:rPr>
  </w:style>
  <w:style w:type="character" w:customStyle="1" w:styleId="125">
    <w:name w:val="Char Char"/>
    <w:qFormat/>
    <w:uiPriority w:val="0"/>
    <w:rPr>
      <w:rFonts w:ascii="宋体" w:hAnsi="Courier New" w:eastAsia="宋体"/>
      <w:kern w:val="2"/>
      <w:sz w:val="21"/>
      <w:lang w:val="en-US" w:eastAsia="zh-CN" w:bidi="ar-SA"/>
    </w:rPr>
  </w:style>
  <w:style w:type="character" w:customStyle="1" w:styleId="126">
    <w:name w:val="hei16b1"/>
    <w:qFormat/>
    <w:uiPriority w:val="0"/>
    <w:rPr>
      <w:rFonts w:hint="default" w:ascii="Arial" w:hAnsi="Arial" w:cs="Arial"/>
      <w:b/>
      <w:bCs/>
      <w:color w:val="000000"/>
      <w:sz w:val="24"/>
      <w:szCs w:val="24"/>
    </w:rPr>
  </w:style>
  <w:style w:type="character" w:customStyle="1" w:styleId="127">
    <w:name w:val="Char Char2"/>
    <w:qFormat/>
    <w:uiPriority w:val="0"/>
    <w:rPr>
      <w:rFonts w:eastAsia="宋体"/>
      <w:b/>
      <w:bCs/>
      <w:kern w:val="2"/>
      <w:sz w:val="21"/>
      <w:szCs w:val="24"/>
      <w:lang w:val="en-US" w:eastAsia="zh-CN" w:bidi="ar-SA"/>
    </w:rPr>
  </w:style>
  <w:style w:type="character" w:customStyle="1" w:styleId="128">
    <w:name w:val="Comment Text Char"/>
    <w:semiHidden/>
    <w:qFormat/>
    <w:locked/>
    <w:uiPriority w:val="0"/>
    <w:rPr>
      <w:rFonts w:ascii="宋体" w:hAnsi="宋体" w:eastAsia="宋体"/>
      <w:kern w:val="2"/>
      <w:sz w:val="24"/>
      <w:lang w:val="en-US" w:eastAsia="zh-CN" w:bidi="ar-SA"/>
    </w:rPr>
  </w:style>
  <w:style w:type="character" w:customStyle="1" w:styleId="129">
    <w:name w:val="链接"/>
    <w:qFormat/>
    <w:uiPriority w:val="0"/>
    <w:rPr>
      <w:color w:val="0000FF"/>
      <w:sz w:val="21"/>
      <w:szCs w:val="21"/>
      <w:u w:val="single"/>
    </w:rPr>
  </w:style>
  <w:style w:type="character" w:customStyle="1" w:styleId="130">
    <w:name w:val="tw4winTerm"/>
    <w:qFormat/>
    <w:uiPriority w:val="0"/>
    <w:rPr>
      <w:color w:val="0000FF"/>
    </w:rPr>
  </w:style>
  <w:style w:type="character" w:customStyle="1" w:styleId="131">
    <w:name w:val="PI Char"/>
    <w:qFormat/>
    <w:uiPriority w:val="0"/>
    <w:rPr>
      <w:rFonts w:ascii="宋体" w:hAnsi="宋体" w:eastAsia="宋体"/>
      <w:kern w:val="2"/>
      <w:sz w:val="24"/>
      <w:szCs w:val="24"/>
      <w:lang w:val="en-US" w:eastAsia="zh-CN" w:bidi="ar-SA"/>
    </w:rPr>
  </w:style>
  <w:style w:type="character" w:customStyle="1" w:styleId="132">
    <w:name w:val="unnamed11"/>
    <w:qFormat/>
    <w:uiPriority w:val="0"/>
    <w:rPr>
      <w:sz w:val="20"/>
      <w:szCs w:val="20"/>
    </w:rPr>
  </w:style>
  <w:style w:type="character" w:customStyle="1" w:styleId="133">
    <w:name w:val="dandyren_title1"/>
    <w:qFormat/>
    <w:uiPriority w:val="0"/>
    <w:rPr>
      <w:b/>
      <w:bCs/>
      <w:color w:val="FF6633"/>
      <w:sz w:val="18"/>
      <w:szCs w:val="18"/>
    </w:rPr>
  </w:style>
  <w:style w:type="character" w:customStyle="1" w:styleId="134">
    <w:name w:val="Body Text(ch) Char Char"/>
    <w:qFormat/>
    <w:uiPriority w:val="0"/>
    <w:rPr>
      <w:rFonts w:ascii="宋体"/>
      <w:kern w:val="2"/>
      <w:sz w:val="24"/>
      <w:szCs w:val="21"/>
      <w:lang w:val="zh-CN"/>
    </w:rPr>
  </w:style>
  <w:style w:type="character" w:customStyle="1" w:styleId="135">
    <w:name w:val="公文正文 Char"/>
    <w:qFormat/>
    <w:uiPriority w:val="0"/>
    <w:rPr>
      <w:rFonts w:ascii="仿宋_GB2312" w:eastAsia="仿宋_GB2312"/>
      <w:kern w:val="2"/>
      <w:sz w:val="24"/>
      <w:szCs w:val="24"/>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blue1"/>
    <w:qFormat/>
    <w:uiPriority w:val="0"/>
  </w:style>
  <w:style w:type="character" w:customStyle="1" w:styleId="138">
    <w:name w:val="插图说明 Char"/>
    <w:qFormat/>
    <w:uiPriority w:val="0"/>
    <w:rPr>
      <w:rFonts w:eastAsia="黑体"/>
      <w:sz w:val="24"/>
      <w:lang w:val="en-US" w:eastAsia="zh-CN"/>
    </w:rPr>
  </w:style>
  <w:style w:type="character" w:customStyle="1" w:styleId="139">
    <w:name w:val="标题4-dyf Char"/>
    <w:link w:val="140"/>
    <w:qFormat/>
    <w:uiPriority w:val="0"/>
    <w:rPr>
      <w:rFonts w:ascii="Cambria" w:hAnsi="Cambria"/>
      <w:b/>
      <w:bCs/>
      <w:color w:val="000000"/>
      <w:kern w:val="2"/>
      <w:sz w:val="21"/>
      <w:szCs w:val="21"/>
    </w:rPr>
  </w:style>
  <w:style w:type="paragraph" w:customStyle="1" w:styleId="140">
    <w:name w:val="标题4-dyf"/>
    <w:basedOn w:val="6"/>
    <w:link w:val="13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1">
    <w:name w:val="普通文字 Char3"/>
    <w:qFormat/>
    <w:uiPriority w:val="0"/>
    <w:rPr>
      <w:rFonts w:ascii="宋体" w:hAnsi="Courier New" w:eastAsia="宋体"/>
      <w:kern w:val="2"/>
      <w:sz w:val="21"/>
      <w:lang w:val="en-US" w:eastAsia="zh-CN" w:bidi="ar-SA"/>
    </w:rPr>
  </w:style>
  <w:style w:type="character" w:customStyle="1" w:styleId="142">
    <w:name w:val="Font Style82"/>
    <w:qFormat/>
    <w:uiPriority w:val="99"/>
    <w:rPr>
      <w:rFonts w:ascii="宋体" w:eastAsia="宋体" w:cs="宋体"/>
      <w:color w:val="000000"/>
      <w:sz w:val="14"/>
      <w:szCs w:val="14"/>
    </w:rPr>
  </w:style>
  <w:style w:type="character" w:customStyle="1" w:styleId="143">
    <w:name w:val="solutionfonts"/>
    <w:qFormat/>
    <w:uiPriority w:val="0"/>
  </w:style>
  <w:style w:type="character" w:customStyle="1" w:styleId="144">
    <w:name w:val="Char Char6"/>
    <w:qFormat/>
    <w:uiPriority w:val="0"/>
    <w:rPr>
      <w:rFonts w:eastAsia="宋体"/>
      <w:kern w:val="2"/>
      <w:sz w:val="21"/>
      <w:szCs w:val="24"/>
      <w:lang w:val="en-US" w:eastAsia="zh-CN" w:bidi="ar-SA"/>
    </w:rPr>
  </w:style>
  <w:style w:type="character" w:customStyle="1" w:styleId="145">
    <w:name w:val="unnamed31"/>
    <w:qFormat/>
    <w:uiPriority w:val="0"/>
    <w:rPr>
      <w:rFonts w:ascii="Tahoma" w:hAnsi="Tahoma" w:eastAsia="宋体"/>
      <w:b/>
      <w:kern w:val="2"/>
      <w:sz w:val="24"/>
      <w:szCs w:val="32"/>
      <w:u w:val="none"/>
      <w:lang w:val="en-US" w:eastAsia="zh-CN" w:bidi="ar-SA"/>
    </w:rPr>
  </w:style>
  <w:style w:type="character" w:customStyle="1" w:styleId="146">
    <w:name w:val="正文 编号 Char"/>
    <w:qFormat/>
    <w:uiPriority w:val="0"/>
    <w:rPr>
      <w:rFonts w:ascii="仿宋_GB2312" w:hAnsi="仿宋_GB2312" w:eastAsia="仿宋_GB2312"/>
      <w:kern w:val="2"/>
      <w:sz w:val="24"/>
      <w:lang w:bidi="ar-SA"/>
    </w:rPr>
  </w:style>
  <w:style w:type="character" w:customStyle="1" w:styleId="147">
    <w:name w:val="标书1 Char"/>
    <w:qFormat/>
    <w:uiPriority w:val="0"/>
    <w:rPr>
      <w:rFonts w:eastAsia="宋体"/>
      <w:b/>
      <w:bCs/>
      <w:kern w:val="44"/>
      <w:sz w:val="44"/>
      <w:szCs w:val="44"/>
      <w:lang w:val="en-US" w:eastAsia="zh-CN" w:bidi="ar-SA"/>
    </w:rPr>
  </w:style>
  <w:style w:type="character" w:customStyle="1" w:styleId="148">
    <w:name w:val="pt141"/>
    <w:qFormat/>
    <w:uiPriority w:val="0"/>
    <w:rPr>
      <w:color w:val="330066"/>
      <w:sz w:val="22"/>
      <w:szCs w:val="22"/>
    </w:rPr>
  </w:style>
  <w:style w:type="character" w:customStyle="1" w:styleId="14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0">
    <w:name w:val="font21"/>
    <w:qFormat/>
    <w:uiPriority w:val="0"/>
    <w:rPr>
      <w:rFonts w:hint="eastAsia" w:ascii="宋体" w:hAnsi="宋体" w:eastAsia="宋体"/>
      <w:kern w:val="2"/>
      <w:sz w:val="28"/>
      <w:szCs w:val="28"/>
      <w:lang w:val="en-US" w:eastAsia="zh-CN" w:bidi="ar-SA"/>
    </w:rPr>
  </w:style>
  <w:style w:type="character" w:customStyle="1" w:styleId="151">
    <w:name w:val="f141"/>
    <w:qFormat/>
    <w:uiPriority w:val="0"/>
    <w:rPr>
      <w:rFonts w:ascii="Tahoma" w:hAnsi="Tahoma" w:eastAsia="宋体"/>
      <w:b/>
      <w:kern w:val="2"/>
      <w:sz w:val="21"/>
      <w:szCs w:val="21"/>
      <w:lang w:val="en-US" w:eastAsia="zh-CN" w:bidi="ar-SA"/>
    </w:rPr>
  </w:style>
  <w:style w:type="character" w:customStyle="1" w:styleId="152">
    <w:name w:val="样式 标题 4h4H4Fab-4T5Ref Heading 1rh1Heading sqlsect 1.2.3.... Char"/>
    <w:link w:val="153"/>
    <w:qFormat/>
    <w:uiPriority w:val="0"/>
    <w:rPr>
      <w:rFonts w:ascii="微软雅黑" w:hAnsi="微软雅黑" w:eastAsia="微软雅黑"/>
      <w:b/>
      <w:bCs/>
      <w:kern w:val="2"/>
      <w:sz w:val="24"/>
      <w:szCs w:val="28"/>
    </w:rPr>
  </w:style>
  <w:style w:type="paragraph" w:customStyle="1" w:styleId="153">
    <w:name w:val="样式 标题 4h4H4Fab-4T5Ref Heading 1rh1Heading sqlsect 1.2.3...."/>
    <w:basedOn w:val="6"/>
    <w:link w:val="15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4">
    <w:name w:val="副标题 Char1"/>
    <w:qFormat/>
    <w:uiPriority w:val="0"/>
    <w:rPr>
      <w:rFonts w:ascii="Cambria" w:hAnsi="Cambria" w:eastAsia="宋体" w:cs="Times New Roman"/>
      <w:b/>
      <w:bCs/>
      <w:snapToGrid w:val="0"/>
      <w:kern w:val="28"/>
      <w:sz w:val="32"/>
      <w:szCs w:val="32"/>
    </w:rPr>
  </w:style>
  <w:style w:type="character" w:customStyle="1" w:styleId="155">
    <w:name w:val="纯文本 Char Char Char"/>
    <w:qFormat/>
    <w:uiPriority w:val="0"/>
    <w:rPr>
      <w:rFonts w:ascii="宋体" w:hAnsi="Courier New" w:eastAsia="宋体"/>
      <w:kern w:val="2"/>
      <w:sz w:val="21"/>
      <w:lang w:val="en-US" w:eastAsia="zh-CN" w:bidi="ar-SA"/>
    </w:rPr>
  </w:style>
  <w:style w:type="character" w:customStyle="1" w:styleId="156">
    <w:name w:val="样式8 Char"/>
    <w:qFormat/>
    <w:uiPriority w:val="0"/>
    <w:rPr>
      <w:rFonts w:ascii="仿宋_GB2312" w:hAnsi="宋体" w:eastAsia="仿宋_GB2312"/>
      <w:b/>
      <w:bCs/>
      <w:kern w:val="2"/>
      <w:sz w:val="24"/>
      <w:szCs w:val="24"/>
    </w:rPr>
  </w:style>
  <w:style w:type="character" w:customStyle="1" w:styleId="157">
    <w:name w:val="tw4winExternal"/>
    <w:qFormat/>
    <w:uiPriority w:val="0"/>
    <w:rPr>
      <w:rFonts w:ascii="Courier New" w:hAnsi="Courier New" w:cs="Courier New"/>
      <w:color w:val="808080"/>
    </w:rPr>
  </w:style>
  <w:style w:type="character" w:customStyle="1" w:styleId="158">
    <w:name w:val="Char Char7"/>
    <w:semiHidden/>
    <w:qFormat/>
    <w:uiPriority w:val="0"/>
    <w:rPr>
      <w:rFonts w:eastAsia="宋体"/>
      <w:kern w:val="2"/>
      <w:sz w:val="21"/>
      <w:szCs w:val="24"/>
      <w:lang w:val="en-US" w:eastAsia="zh-CN" w:bidi="ar-SA"/>
    </w:rPr>
  </w:style>
  <w:style w:type="character" w:customStyle="1" w:styleId="159">
    <w:name w:val="Balloon Text Char"/>
    <w:semiHidden/>
    <w:qFormat/>
    <w:locked/>
    <w:uiPriority w:val="0"/>
    <w:rPr>
      <w:rFonts w:eastAsia="宋体"/>
      <w:kern w:val="2"/>
      <w:sz w:val="18"/>
      <w:szCs w:val="18"/>
      <w:lang w:val="en-US" w:eastAsia="zh-CN" w:bidi="ar-SA"/>
    </w:rPr>
  </w:style>
  <w:style w:type="character" w:customStyle="1" w:styleId="160">
    <w:name w:val="DO_NOT_TRANSLATE"/>
    <w:qFormat/>
    <w:uiPriority w:val="0"/>
    <w:rPr>
      <w:rFonts w:ascii="Courier New" w:hAnsi="Courier New" w:cs="Courier New"/>
      <w:color w:val="800000"/>
    </w:rPr>
  </w:style>
  <w:style w:type="character" w:customStyle="1" w:styleId="161">
    <w:name w:val="标题 2 Char"/>
    <w:qFormat/>
    <w:uiPriority w:val="0"/>
    <w:rPr>
      <w:rFonts w:ascii="Arial" w:hAnsi="Arial" w:eastAsia="黑体"/>
      <w:b/>
      <w:kern w:val="2"/>
      <w:sz w:val="32"/>
      <w:lang w:val="en-US" w:eastAsia="zh-CN"/>
    </w:rPr>
  </w:style>
  <w:style w:type="character" w:customStyle="1" w:styleId="162">
    <w:name w:val="正文2 Char"/>
    <w:qFormat/>
    <w:uiPriority w:val="0"/>
    <w:rPr>
      <w:rFonts w:eastAsia="宋体"/>
      <w:kern w:val="2"/>
      <w:sz w:val="24"/>
      <w:lang w:val="en-US" w:eastAsia="zh-CN" w:bidi="ar-SA"/>
    </w:rPr>
  </w:style>
  <w:style w:type="character" w:customStyle="1" w:styleId="163">
    <w:name w:val="myp11"/>
    <w:qFormat/>
    <w:uiPriority w:val="0"/>
    <w:rPr>
      <w:rFonts w:ascii="仿宋_GB2312" w:eastAsia="微软雅黑"/>
      <w:b/>
      <w:kern w:val="2"/>
      <w:sz w:val="32"/>
      <w:szCs w:val="32"/>
      <w:lang w:val="en-US" w:eastAsia="zh-CN" w:bidi="ar-SA"/>
    </w:rPr>
  </w:style>
  <w:style w:type="character" w:customStyle="1" w:styleId="164">
    <w:name w:val="正文1 Char"/>
    <w:qFormat/>
    <w:uiPriority w:val="0"/>
    <w:rPr>
      <w:rFonts w:ascii="宋体" w:eastAsia="宋体"/>
      <w:snapToGrid w:val="0"/>
      <w:color w:val="000000"/>
      <w:kern w:val="28"/>
      <w:sz w:val="28"/>
      <w:lang w:val="en-US" w:eastAsia="zh-CN" w:bidi="ar-SA"/>
    </w:rPr>
  </w:style>
  <w:style w:type="character" w:customStyle="1" w:styleId="165">
    <w:name w:val="普通文字 Char Char1"/>
    <w:qFormat/>
    <w:uiPriority w:val="0"/>
    <w:rPr>
      <w:rFonts w:ascii="宋体" w:hAnsi="Courier New"/>
      <w:kern w:val="2"/>
      <w:sz w:val="21"/>
    </w:rPr>
  </w:style>
  <w:style w:type="character" w:customStyle="1" w:styleId="166">
    <w:name w:val="正文缩进 字符"/>
    <w:qFormat/>
    <w:uiPriority w:val="0"/>
    <w:rPr>
      <w:rFonts w:ascii="宋体" w:eastAsia="宋体"/>
      <w:snapToGrid/>
      <w:color w:val="000000"/>
      <w:kern w:val="28"/>
      <w:sz w:val="28"/>
      <w:lang w:val="en-US" w:eastAsia="zh-CN" w:bidi="ar-SA"/>
    </w:rPr>
  </w:style>
  <w:style w:type="character" w:customStyle="1" w:styleId="167">
    <w:name w:val="h Char Char1"/>
    <w:qFormat/>
    <w:uiPriority w:val="0"/>
    <w:rPr>
      <w:rFonts w:eastAsia="宋体"/>
      <w:kern w:val="2"/>
      <w:sz w:val="18"/>
      <w:szCs w:val="18"/>
      <w:lang w:val="en-US" w:eastAsia="zh-CN" w:bidi="ar-SA"/>
    </w:rPr>
  </w:style>
  <w:style w:type="character" w:customStyle="1" w:styleId="168">
    <w:name w:val="正文1 Char1"/>
    <w:qFormat/>
    <w:uiPriority w:val="0"/>
    <w:rPr>
      <w:rFonts w:ascii="仿宋_GB2312" w:hAnsi="Courier New" w:eastAsia="仿宋_GB2312"/>
      <w:kern w:val="28"/>
      <w:sz w:val="24"/>
      <w:szCs w:val="24"/>
    </w:rPr>
  </w:style>
  <w:style w:type="character" w:customStyle="1" w:styleId="169">
    <w:name w:val="gray6"/>
    <w:qFormat/>
    <w:uiPriority w:val="0"/>
  </w:style>
  <w:style w:type="character" w:customStyle="1" w:styleId="170">
    <w:name w:val="页眉 Char"/>
    <w:qFormat/>
    <w:uiPriority w:val="99"/>
    <w:rPr>
      <w:rFonts w:eastAsia="仿宋_GB2312"/>
      <w:kern w:val="2"/>
      <w:sz w:val="18"/>
      <w:lang w:val="en-US" w:eastAsia="zh-CN"/>
    </w:rPr>
  </w:style>
  <w:style w:type="character" w:customStyle="1" w:styleId="171">
    <w:name w:val="content"/>
    <w:qFormat/>
    <w:uiPriority w:val="0"/>
  </w:style>
  <w:style w:type="character" w:customStyle="1" w:styleId="172">
    <w:name w:val="Header Char"/>
    <w:semiHidden/>
    <w:qFormat/>
    <w:locked/>
    <w:uiPriority w:val="0"/>
    <w:rPr>
      <w:rFonts w:eastAsia="宋体"/>
      <w:kern w:val="2"/>
      <w:sz w:val="18"/>
      <w:szCs w:val="18"/>
      <w:lang w:val="en-US" w:eastAsia="zh-CN" w:bidi="ar-SA"/>
    </w:rPr>
  </w:style>
  <w:style w:type="character" w:customStyle="1" w:styleId="173">
    <w:name w:val="纯文本 Char1"/>
    <w:link w:val="174"/>
    <w:qFormat/>
    <w:uiPriority w:val="0"/>
    <w:rPr>
      <w:rFonts w:ascii="宋体" w:hAnsi="Courier New"/>
    </w:rPr>
  </w:style>
  <w:style w:type="paragraph" w:customStyle="1" w:styleId="174">
    <w:name w:val="纯文本1"/>
    <w:basedOn w:val="1"/>
    <w:link w:val="173"/>
    <w:qFormat/>
    <w:uiPriority w:val="0"/>
    <w:pPr>
      <w:adjustRightInd/>
    </w:pPr>
    <w:rPr>
      <w:rFonts w:ascii="宋体" w:hAnsi="Courier New"/>
      <w:kern w:val="0"/>
      <w:sz w:val="20"/>
      <w:szCs w:val="20"/>
    </w:rPr>
  </w:style>
  <w:style w:type="character" w:customStyle="1" w:styleId="175">
    <w:name w:val="带编号样式 Char"/>
    <w:qFormat/>
    <w:uiPriority w:val="0"/>
    <w:rPr>
      <w:rFonts w:ascii="仿宋_GB2312" w:eastAsia="仿宋_GB2312"/>
      <w:color w:val="000000"/>
      <w:sz w:val="24"/>
      <w:lang w:bidi="ar-SA"/>
    </w:rPr>
  </w:style>
  <w:style w:type="character" w:customStyle="1" w:styleId="176">
    <w:name w:val="ca-131"/>
    <w:qFormat/>
    <w:uiPriority w:val="0"/>
    <w:rPr>
      <w:rFonts w:hint="eastAsia" w:ascii="仿宋_GB2312" w:eastAsia="仿宋_GB2312"/>
      <w:b/>
      <w:bCs/>
      <w:color w:val="000000"/>
      <w:spacing w:val="-20"/>
      <w:sz w:val="24"/>
      <w:szCs w:val="24"/>
    </w:rPr>
  </w:style>
  <w:style w:type="character" w:customStyle="1" w:styleId="177">
    <w:name w:val="正文首行缩进 Char Char Char Char Char Char"/>
    <w:qFormat/>
    <w:uiPriority w:val="0"/>
    <w:rPr>
      <w:rFonts w:ascii="宋体" w:eastAsia="宋体"/>
      <w:kern w:val="2"/>
      <w:sz w:val="24"/>
      <w:lang w:val="zh-CN" w:bidi="ar-SA"/>
    </w:rPr>
  </w:style>
  <w:style w:type="character" w:customStyle="1" w:styleId="178">
    <w:name w:val="Char Char12"/>
    <w:qFormat/>
    <w:uiPriority w:val="0"/>
    <w:rPr>
      <w:rFonts w:ascii="仿宋_GB2312" w:eastAsia="仿宋_GB2312"/>
      <w:b/>
      <w:bCs/>
      <w:kern w:val="2"/>
      <w:sz w:val="24"/>
      <w:szCs w:val="24"/>
      <w:lang w:val="zh-CN" w:eastAsia="zh-CN" w:bidi="ar-SA"/>
    </w:rPr>
  </w:style>
  <w:style w:type="character" w:customStyle="1" w:styleId="179">
    <w:name w:val="标题 2 Char Char"/>
    <w:qFormat/>
    <w:uiPriority w:val="0"/>
    <w:rPr>
      <w:rFonts w:ascii="楷体_GB2312" w:hAnsi="Arial" w:eastAsia="楷体_GB2312"/>
      <w:b/>
      <w:bCs/>
      <w:kern w:val="2"/>
      <w:sz w:val="24"/>
      <w:szCs w:val="32"/>
      <w:lang w:val="en-US" w:eastAsia="zh-CN" w:bidi="ar-SA"/>
    </w:rPr>
  </w:style>
  <w:style w:type="character" w:customStyle="1" w:styleId="180">
    <w:name w:val="tw4winError"/>
    <w:qFormat/>
    <w:uiPriority w:val="0"/>
    <w:rPr>
      <w:rFonts w:ascii="Courier New" w:hAnsi="Courier New" w:cs="Courier New"/>
      <w:color w:val="00FF00"/>
      <w:sz w:val="40"/>
      <w:szCs w:val="40"/>
    </w:rPr>
  </w:style>
  <w:style w:type="character" w:customStyle="1" w:styleId="181">
    <w:name w:val="Char Char4"/>
    <w:qFormat/>
    <w:uiPriority w:val="0"/>
    <w:rPr>
      <w:rFonts w:eastAsia="宋体"/>
      <w:b/>
      <w:sz w:val="24"/>
      <w:lang w:val="en-GB" w:eastAsia="zh-CN" w:bidi="ar-SA"/>
    </w:rPr>
  </w:style>
  <w:style w:type="character" w:customStyle="1" w:styleId="182">
    <w:name w:val="Char Char10"/>
    <w:semiHidden/>
    <w:qFormat/>
    <w:uiPriority w:val="0"/>
    <w:rPr>
      <w:rFonts w:ascii="宋体" w:hAnsi="宋体"/>
      <w:kern w:val="2"/>
      <w:sz w:val="21"/>
      <w:szCs w:val="24"/>
    </w:rPr>
  </w:style>
  <w:style w:type="character" w:customStyle="1" w:styleId="183">
    <w:name w:val="Ò³Ã¼ Char Char"/>
    <w:qFormat/>
    <w:uiPriority w:val="0"/>
    <w:rPr>
      <w:rFonts w:eastAsia="宋体"/>
      <w:kern w:val="2"/>
      <w:sz w:val="18"/>
      <w:lang w:val="en-US" w:eastAsia="zh-CN" w:bidi="ar-SA"/>
    </w:rPr>
  </w:style>
  <w:style w:type="character" w:customStyle="1" w:styleId="184">
    <w:name w:val="页脚 Char1"/>
    <w:qFormat/>
    <w:uiPriority w:val="0"/>
    <w:rPr>
      <w:rFonts w:eastAsia="宋体"/>
      <w:kern w:val="2"/>
      <w:sz w:val="18"/>
      <w:szCs w:val="18"/>
      <w:lang w:val="en-US" w:eastAsia="zh-CN" w:bidi="ar-SA"/>
    </w:rPr>
  </w:style>
  <w:style w:type="character" w:customStyle="1" w:styleId="185">
    <w:name w:val="c7 style3"/>
    <w:qFormat/>
    <w:uiPriority w:val="0"/>
  </w:style>
  <w:style w:type="character" w:customStyle="1" w:styleId="186">
    <w:name w:val="标准正文格式 Char"/>
    <w:qFormat/>
    <w:uiPriority w:val="0"/>
    <w:rPr>
      <w:rFonts w:ascii="宋体" w:eastAsia="仿宋_GB2312" w:cs="宋体"/>
      <w:color w:val="000000"/>
      <w:sz w:val="24"/>
      <w:lang w:val="en-US" w:eastAsia="zh-CN" w:bidi="ar-SA"/>
    </w:rPr>
  </w:style>
  <w:style w:type="character" w:customStyle="1" w:styleId="187">
    <w:name w:val="javascript"/>
    <w:qFormat/>
    <w:uiPriority w:val="0"/>
  </w:style>
  <w:style w:type="character" w:customStyle="1" w:styleId="188">
    <w:name w:val="Char Char11"/>
    <w:qFormat/>
    <w:locked/>
    <w:uiPriority w:val="0"/>
    <w:rPr>
      <w:rFonts w:ascii="宋体" w:hAnsi="宋体" w:eastAsia="宋体"/>
      <w:b/>
      <w:kern w:val="2"/>
      <w:sz w:val="24"/>
      <w:szCs w:val="24"/>
      <w:lang w:val="en-US" w:eastAsia="zh-CN" w:bidi="ar-SA"/>
    </w:rPr>
  </w:style>
  <w:style w:type="character" w:customStyle="1" w:styleId="189">
    <w:name w:val="Char Char51"/>
    <w:qFormat/>
    <w:uiPriority w:val="0"/>
    <w:rPr>
      <w:rFonts w:ascii="宋体" w:hAnsi="Courier New" w:eastAsia="宋体"/>
      <w:kern w:val="2"/>
      <w:sz w:val="21"/>
      <w:lang w:val="en-US" w:eastAsia="zh-CN"/>
    </w:rPr>
  </w:style>
  <w:style w:type="character" w:customStyle="1" w:styleId="190">
    <w:name w:val="标题 3 Char2"/>
    <w:qFormat/>
    <w:uiPriority w:val="0"/>
    <w:rPr>
      <w:rFonts w:eastAsia="宋体"/>
      <w:b/>
      <w:bCs/>
      <w:kern w:val="2"/>
      <w:sz w:val="32"/>
      <w:szCs w:val="32"/>
      <w:lang w:val="en-US" w:eastAsia="zh-CN" w:bidi="ar-SA"/>
    </w:rPr>
  </w:style>
  <w:style w:type="character" w:customStyle="1" w:styleId="191">
    <w:name w:val="h Char Char"/>
    <w:qFormat/>
    <w:uiPriority w:val="0"/>
    <w:rPr>
      <w:rFonts w:eastAsia="宋体"/>
      <w:kern w:val="2"/>
      <w:sz w:val="18"/>
      <w:lang w:val="en-US" w:eastAsia="zh-CN" w:bidi="ar-SA"/>
    </w:rPr>
  </w:style>
  <w:style w:type="character" w:customStyle="1" w:styleId="192">
    <w:name w:val="普通文字 Char1"/>
    <w:qFormat/>
    <w:uiPriority w:val="0"/>
    <w:rPr>
      <w:rFonts w:ascii="宋体" w:hAnsi="Courier New" w:eastAsia="宋体"/>
      <w:kern w:val="2"/>
      <w:sz w:val="21"/>
      <w:lang w:val="en-US" w:eastAsia="zh-CN"/>
    </w:rPr>
  </w:style>
  <w:style w:type="character" w:customStyle="1" w:styleId="193">
    <w:name w:val="Char Char3"/>
    <w:qFormat/>
    <w:uiPriority w:val="0"/>
    <w:rPr>
      <w:rFonts w:eastAsia="宋体"/>
      <w:kern w:val="2"/>
      <w:sz w:val="21"/>
      <w:szCs w:val="24"/>
      <w:lang w:val="en-US" w:eastAsia="zh-CN" w:bidi="ar-SA"/>
    </w:rPr>
  </w:style>
  <w:style w:type="character" w:customStyle="1" w:styleId="194">
    <w:name w:val="正文文本缩进 字符"/>
    <w:qFormat/>
    <w:uiPriority w:val="0"/>
    <w:rPr>
      <w:rFonts w:ascii="宋体" w:hAnsi="宋体"/>
      <w:kern w:val="2"/>
      <w:sz w:val="24"/>
      <w:szCs w:val="24"/>
    </w:rPr>
  </w:style>
  <w:style w:type="character" w:customStyle="1" w:styleId="195">
    <w:name w:val="No Spacing Char"/>
    <w:link w:val="196"/>
    <w:qFormat/>
    <w:uiPriority w:val="1"/>
    <w:rPr>
      <w:rFonts w:ascii="Calibri" w:hAnsi="Calibri"/>
      <w:sz w:val="22"/>
      <w:szCs w:val="22"/>
      <w:lang w:val="en-US" w:eastAsia="zh-CN" w:bidi="ar-SA"/>
    </w:rPr>
  </w:style>
  <w:style w:type="paragraph" w:customStyle="1" w:styleId="196">
    <w:name w:val="无间隔1"/>
    <w:link w:val="195"/>
    <w:qFormat/>
    <w:uiPriority w:val="1"/>
    <w:rPr>
      <w:rFonts w:ascii="Calibri" w:hAnsi="Calibri" w:eastAsia="宋体" w:cs="Times New Roman"/>
      <w:sz w:val="22"/>
      <w:szCs w:val="22"/>
      <w:lang w:val="en-US" w:eastAsia="zh-CN" w:bidi="ar-SA"/>
    </w:rPr>
  </w:style>
  <w:style w:type="character" w:customStyle="1" w:styleId="197">
    <w:name w:val="h3 Char"/>
    <w:qFormat/>
    <w:uiPriority w:val="0"/>
    <w:rPr>
      <w:rFonts w:eastAsia="宋体"/>
      <w:b/>
      <w:kern w:val="2"/>
      <w:sz w:val="32"/>
      <w:lang w:val="en-US" w:eastAsia="zh-CN" w:bidi="ar-SA"/>
    </w:rPr>
  </w:style>
  <w:style w:type="character" w:customStyle="1" w:styleId="198">
    <w:name w:val="Char Char8"/>
    <w:qFormat/>
    <w:uiPriority w:val="0"/>
    <w:rPr>
      <w:rFonts w:eastAsia="宋体"/>
      <w:b/>
      <w:sz w:val="24"/>
      <w:lang w:val="en-GB" w:eastAsia="zh-CN"/>
    </w:rPr>
  </w:style>
  <w:style w:type="character" w:customStyle="1" w:styleId="199">
    <w:name w:val="批注文字 Char"/>
    <w:qFormat/>
    <w:uiPriority w:val="99"/>
    <w:rPr>
      <w:kern w:val="2"/>
      <w:sz w:val="21"/>
      <w:szCs w:val="24"/>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style91"/>
    <w:qFormat/>
    <w:uiPriority w:val="0"/>
    <w:rPr>
      <w:color w:val="333333"/>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mdeck"/>
    <w:qFormat/>
    <w:uiPriority w:val="0"/>
    <w:rPr>
      <w:rFonts w:ascii="仿宋_GB2312" w:eastAsia="微软雅黑"/>
      <w:b/>
      <w:kern w:val="2"/>
      <w:sz w:val="32"/>
      <w:szCs w:val="32"/>
      <w:lang w:val="en-US" w:eastAsia="zh-CN" w:bidi="ar-SA"/>
    </w:rPr>
  </w:style>
  <w:style w:type="character" w:customStyle="1" w:styleId="204">
    <w:name w:val="哈哈正文 Char"/>
    <w:link w:val="205"/>
    <w:qFormat/>
    <w:uiPriority w:val="0"/>
    <w:rPr>
      <w:rFonts w:ascii="宋体" w:hAnsi="宋体" w:eastAsia="宋体"/>
      <w:kern w:val="2"/>
      <w:sz w:val="24"/>
      <w:lang w:bidi="ar-SA"/>
    </w:rPr>
  </w:style>
  <w:style w:type="paragraph" w:customStyle="1" w:styleId="205">
    <w:name w:val="哈哈正文"/>
    <w:basedOn w:val="1"/>
    <w:link w:val="204"/>
    <w:qFormat/>
    <w:uiPriority w:val="0"/>
    <w:pPr>
      <w:adjustRightInd/>
      <w:spacing w:line="360" w:lineRule="auto"/>
      <w:ind w:firstLine="200" w:firstLineChars="200"/>
    </w:pPr>
    <w:rPr>
      <w:rFonts w:ascii="宋体" w:hAnsi="宋体"/>
      <w:sz w:val="24"/>
      <w:szCs w:val="20"/>
    </w:rPr>
  </w:style>
  <w:style w:type="character" w:customStyle="1" w:styleId="206">
    <w:name w:val="Char Char81"/>
    <w:qFormat/>
    <w:uiPriority w:val="0"/>
    <w:rPr>
      <w:rFonts w:eastAsia="宋体"/>
      <w:b/>
      <w:sz w:val="24"/>
      <w:lang w:val="en-GB" w:eastAsia="zh-CN"/>
    </w:rPr>
  </w:style>
  <w:style w:type="character" w:customStyle="1" w:styleId="207">
    <w:name w:val="此正文 Char"/>
    <w:link w:val="208"/>
    <w:qFormat/>
    <w:uiPriority w:val="0"/>
    <w:rPr>
      <w:kern w:val="2"/>
      <w:sz w:val="24"/>
      <w:szCs w:val="24"/>
    </w:rPr>
  </w:style>
  <w:style w:type="paragraph" w:customStyle="1" w:styleId="208">
    <w:name w:val="此正文"/>
    <w:basedOn w:val="1"/>
    <w:link w:val="207"/>
    <w:qFormat/>
    <w:uiPriority w:val="0"/>
    <w:pPr>
      <w:adjustRightInd/>
      <w:spacing w:line="360" w:lineRule="auto"/>
      <w:ind w:firstLine="200" w:firstLineChars="200"/>
    </w:pPr>
    <w:rPr>
      <w:sz w:val="24"/>
    </w:rPr>
  </w:style>
  <w:style w:type="character" w:customStyle="1" w:styleId="209">
    <w:name w:val="批注主题 Char"/>
    <w:qFormat/>
    <w:uiPriority w:val="0"/>
    <w:rPr>
      <w:rFonts w:eastAsia="宋体"/>
      <w:b/>
      <w:bCs/>
      <w:kern w:val="2"/>
      <w:sz w:val="21"/>
      <w:szCs w:val="24"/>
      <w:lang w:val="en-US" w:eastAsia="zh-CN" w:bidi="ar-SA"/>
    </w:rPr>
  </w:style>
  <w:style w:type="character" w:customStyle="1" w:styleId="210">
    <w:name w:val="Footer-Even Char"/>
    <w:qFormat/>
    <w:uiPriority w:val="0"/>
    <w:rPr>
      <w:rFonts w:eastAsia="宋体"/>
      <w:kern w:val="2"/>
      <w:sz w:val="18"/>
      <w:lang w:val="en-US" w:eastAsia="zh-CN" w:bidi="ar-SA"/>
    </w:rPr>
  </w:style>
  <w:style w:type="character" w:customStyle="1" w:styleId="211">
    <w:name w:val="普通文字 Char1 Char"/>
    <w:qFormat/>
    <w:uiPriority w:val="0"/>
    <w:rPr>
      <w:rFonts w:ascii="宋体" w:hAnsi="Courier New" w:eastAsia="宋体"/>
      <w:kern w:val="2"/>
      <w:sz w:val="21"/>
      <w:szCs w:val="24"/>
      <w:lang w:val="en-US" w:eastAsia="zh-CN" w:bidi="ar-SA"/>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Used by Word for text of Help footnotes Char Char"/>
    <w:semiHidden/>
    <w:qFormat/>
    <w:uiPriority w:val="0"/>
    <w:rPr>
      <w:rFonts w:ascii="Times New Roman" w:hAnsi="Times New Roman" w:eastAsia="宋体" w:cs="Times New Roman"/>
      <w:sz w:val="20"/>
      <w:szCs w:val="20"/>
    </w:rPr>
  </w:style>
  <w:style w:type="character" w:customStyle="1" w:styleId="214">
    <w:name w:val="Document Map Char"/>
    <w:semiHidden/>
    <w:qFormat/>
    <w:locked/>
    <w:uiPriority w:val="0"/>
    <w:rPr>
      <w:rFonts w:eastAsia="宋体"/>
      <w:kern w:val="2"/>
      <w:sz w:val="21"/>
      <w:szCs w:val="24"/>
      <w:lang w:val="en-US" w:eastAsia="zh-CN" w:bidi="ar-SA"/>
    </w:rPr>
  </w:style>
  <w:style w:type="character" w:customStyle="1" w:styleId="215">
    <w:name w:val="正文文本缩进 Char"/>
    <w:qFormat/>
    <w:uiPriority w:val="0"/>
    <w:rPr>
      <w:rFonts w:ascii="宋体" w:hAnsi="宋体"/>
      <w:kern w:val="2"/>
      <w:sz w:val="24"/>
      <w:szCs w:val="24"/>
    </w:rPr>
  </w:style>
  <w:style w:type="character" w:customStyle="1" w:styleId="216">
    <w:name w:val="文本正文 Char Char"/>
    <w:qFormat/>
    <w:locked/>
    <w:uiPriority w:val="0"/>
    <w:rPr>
      <w:sz w:val="24"/>
      <w:lang w:bidi="ar-SA"/>
    </w:rPr>
  </w:style>
  <w:style w:type="character" w:customStyle="1" w:styleId="21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8">
    <w:name w:val="样式7 Char"/>
    <w:qFormat/>
    <w:uiPriority w:val="0"/>
    <w:rPr>
      <w:rFonts w:ascii="仿宋_GB2312" w:hAnsi="仿宋" w:eastAsia="仿宋_GB2312"/>
      <w:b/>
      <w:kern w:val="2"/>
      <w:sz w:val="24"/>
      <w:szCs w:val="24"/>
    </w:rPr>
  </w:style>
  <w:style w:type="character" w:customStyle="1" w:styleId="219">
    <w:name w:val="表正文 Char"/>
    <w:qFormat/>
    <w:uiPriority w:val="0"/>
    <w:rPr>
      <w:rFonts w:ascii="宋体" w:eastAsia="宋体"/>
      <w:snapToGrid w:val="0"/>
      <w:color w:val="000000"/>
      <w:kern w:val="28"/>
      <w:sz w:val="28"/>
      <w:lang w:val="en-US" w:eastAsia="zh-CN" w:bidi="ar-SA"/>
    </w:rPr>
  </w:style>
  <w:style w:type="character" w:customStyle="1" w:styleId="220">
    <w:name w:val="样式3 Char"/>
    <w:qFormat/>
    <w:uiPriority w:val="0"/>
    <w:rPr>
      <w:lang w:val="zh-CN"/>
    </w:rPr>
  </w:style>
  <w:style w:type="character" w:customStyle="1" w:styleId="221">
    <w:name w:val="样式2 Char"/>
    <w:qFormat/>
    <w:uiPriority w:val="0"/>
    <w:rPr>
      <w:rFonts w:ascii="仿宋_GB2312" w:hAnsi="仿宋" w:eastAsia="仿宋_GB2312" w:cs="仿宋_GB2312"/>
      <w:b/>
      <w:bCs/>
      <w:sz w:val="32"/>
      <w:szCs w:val="30"/>
      <w:lang w:val="zh-CN"/>
    </w:rPr>
  </w:style>
  <w:style w:type="character" w:customStyle="1" w:styleId="222">
    <w:name w:val="pt9"/>
    <w:qFormat/>
    <w:uiPriority w:val="0"/>
    <w:rPr>
      <w:rFonts w:ascii="仿宋_GB2312" w:eastAsia="微软雅黑"/>
      <w:b/>
      <w:kern w:val="2"/>
      <w:sz w:val="32"/>
      <w:szCs w:val="32"/>
      <w:lang w:val="en-US" w:eastAsia="zh-CN" w:bidi="ar-SA"/>
    </w:rPr>
  </w:style>
  <w:style w:type="character" w:customStyle="1" w:styleId="223">
    <w:name w:val="冯广丽 Char"/>
    <w:link w:val="224"/>
    <w:qFormat/>
    <w:uiPriority w:val="0"/>
    <w:rPr>
      <w:rFonts w:ascii="宋体" w:hAnsi="宋体"/>
      <w:kern w:val="2"/>
      <w:sz w:val="24"/>
      <w:szCs w:val="22"/>
    </w:rPr>
  </w:style>
  <w:style w:type="paragraph" w:customStyle="1" w:styleId="224">
    <w:name w:val="冯广丽"/>
    <w:basedOn w:val="1"/>
    <w:link w:val="223"/>
    <w:qFormat/>
    <w:uiPriority w:val="0"/>
    <w:pPr>
      <w:adjustRightInd/>
      <w:spacing w:line="360" w:lineRule="auto"/>
      <w:ind w:firstLine="480" w:firstLineChars="200"/>
    </w:pPr>
    <w:rPr>
      <w:rFonts w:ascii="宋体" w:hAnsi="宋体"/>
      <w:sz w:val="24"/>
      <w:szCs w:val="22"/>
    </w:rPr>
  </w:style>
  <w:style w:type="character" w:customStyle="1" w:styleId="225">
    <w:name w:val="二级标题 Char Char"/>
    <w:qFormat/>
    <w:uiPriority w:val="0"/>
    <w:rPr>
      <w:rFonts w:ascii="宋体" w:hAnsi="宋体" w:eastAsia="宋体"/>
      <w:b/>
      <w:snapToGrid w:val="0"/>
      <w:kern w:val="2"/>
      <w:sz w:val="24"/>
      <w:szCs w:val="24"/>
      <w:lang w:val="en-US" w:eastAsia="zh-CN" w:bidi="ar-SA"/>
    </w:rPr>
  </w:style>
  <w:style w:type="character" w:customStyle="1" w:styleId="226">
    <w:name w:val="表正文 Char1"/>
    <w:qFormat/>
    <w:uiPriority w:val="0"/>
    <w:rPr>
      <w:rFonts w:ascii="宋体" w:eastAsia="宋体"/>
      <w:snapToGrid w:val="0"/>
      <w:color w:val="000000"/>
      <w:kern w:val="28"/>
      <w:sz w:val="28"/>
    </w:rPr>
  </w:style>
  <w:style w:type="character" w:customStyle="1" w:styleId="227">
    <w:name w:val="Table Text Char1"/>
    <w:qFormat/>
    <w:uiPriority w:val="0"/>
    <w:rPr>
      <w:rFonts w:eastAsia="宋体"/>
      <w:sz w:val="24"/>
      <w:szCs w:val="24"/>
      <w:lang w:val="en-US" w:eastAsia="zh-CN" w:bidi="ar-SA"/>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shadow11"/>
    <w:qFormat/>
    <w:uiPriority w:val="0"/>
    <w:rPr>
      <w:color w:val="000000"/>
      <w:sz w:val="21"/>
    </w:rPr>
  </w:style>
  <w:style w:type="character" w:customStyle="1" w:styleId="230">
    <w:name w:val="large1"/>
    <w:qFormat/>
    <w:uiPriority w:val="0"/>
    <w:rPr>
      <w:rFonts w:hint="eastAsia" w:ascii="宋体" w:hAnsi="宋体" w:eastAsia="宋体"/>
      <w:sz w:val="21"/>
      <w:szCs w:val="21"/>
    </w:rPr>
  </w:style>
  <w:style w:type="character" w:customStyle="1" w:styleId="231">
    <w:name w:val="样式 样式 标题 4h4H4Fab-4T5Ref Heading 1rh1Heading sqlsect 1.2.3.... +... Char"/>
    <w:link w:val="232"/>
    <w:qFormat/>
    <w:uiPriority w:val="0"/>
    <w:rPr>
      <w:rFonts w:ascii="微软雅黑" w:hAnsi="微软雅黑" w:eastAsia="微软雅黑"/>
      <w:b/>
      <w:bCs/>
      <w:kern w:val="2"/>
      <w:sz w:val="24"/>
      <w:szCs w:val="28"/>
    </w:rPr>
  </w:style>
  <w:style w:type="paragraph" w:customStyle="1" w:styleId="232">
    <w:name w:val="样式 样式 标题 4h4H4Fab-4T5Ref Heading 1rh1Heading sqlsect 1.2.3.... +..."/>
    <w:basedOn w:val="153"/>
    <w:link w:val="231"/>
    <w:qFormat/>
    <w:uiPriority w:val="0"/>
  </w:style>
  <w:style w:type="character" w:customStyle="1" w:styleId="233">
    <w:name w:val="Char Char21"/>
    <w:qFormat/>
    <w:uiPriority w:val="0"/>
    <w:rPr>
      <w:rFonts w:eastAsia="宋体"/>
      <w:b/>
      <w:bCs/>
      <w:kern w:val="2"/>
      <w:sz w:val="21"/>
      <w:szCs w:val="24"/>
      <w:lang w:val="en-US" w:eastAsia="zh-CN" w:bidi="ar-SA"/>
    </w:rPr>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h3 Char1"/>
    <w:qFormat/>
    <w:uiPriority w:val="0"/>
    <w:rPr>
      <w:rFonts w:eastAsia="宋体"/>
      <w:b/>
      <w:bCs/>
      <w:kern w:val="2"/>
      <w:sz w:val="32"/>
      <w:szCs w:val="32"/>
      <w:lang w:bidi="ar-SA"/>
    </w:rPr>
  </w:style>
  <w:style w:type="character" w:customStyle="1" w:styleId="237">
    <w:name w:val="FA正文 Char Char"/>
    <w:qFormat/>
    <w:uiPriority w:val="0"/>
    <w:rPr>
      <w:rFonts w:hAnsi="宋体"/>
      <w:kern w:val="2"/>
      <w:sz w:val="24"/>
      <w:lang w:bidi="ar-SA"/>
    </w:rPr>
  </w:style>
  <w:style w:type="character" w:customStyle="1" w:styleId="238">
    <w:name w:val="zbggmain style9"/>
    <w:qFormat/>
    <w:uiPriority w:val="0"/>
  </w:style>
  <w:style w:type="character" w:customStyle="1" w:styleId="239">
    <w:name w:val="首行缩进 Char"/>
    <w:qFormat/>
    <w:uiPriority w:val="0"/>
    <w:rPr>
      <w:rFonts w:ascii="宋体" w:eastAsia="宋体"/>
      <w:kern w:val="2"/>
      <w:sz w:val="24"/>
      <w:lang w:val="en-US" w:eastAsia="zh-CN" w:bidi="ar-SA"/>
    </w:rPr>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rPr>
  </w:style>
  <w:style w:type="character" w:customStyle="1" w:styleId="242">
    <w:name w:val="样式 宋体"/>
    <w:qFormat/>
    <w:uiPriority w:val="0"/>
    <w:rPr>
      <w:rFonts w:ascii="宋体" w:hAnsi="宋体"/>
      <w:sz w:val="24"/>
    </w:rPr>
  </w:style>
  <w:style w:type="character" w:customStyle="1" w:styleId="243">
    <w:name w:val="标题 Char"/>
    <w:qFormat/>
    <w:uiPriority w:val="0"/>
    <w:rPr>
      <w:rFonts w:eastAsia="宋体"/>
      <w:b/>
      <w:sz w:val="24"/>
      <w:lang w:val="en-GB" w:eastAsia="zh-CN" w:bidi="ar-SA"/>
    </w:rPr>
  </w:style>
  <w:style w:type="character" w:customStyle="1" w:styleId="244">
    <w:name w:val="Char Char61"/>
    <w:qFormat/>
    <w:uiPriority w:val="0"/>
    <w:rPr>
      <w:rFonts w:eastAsia="宋体"/>
      <w:kern w:val="2"/>
      <w:sz w:val="21"/>
      <w:szCs w:val="24"/>
      <w:lang w:val="en-US" w:eastAsia="zh-CN" w:bidi="ar-SA"/>
    </w:rPr>
  </w:style>
  <w:style w:type="character" w:customStyle="1" w:styleId="245">
    <w:name w:val="message1"/>
    <w:qFormat/>
    <w:uiPriority w:val="0"/>
    <w:rPr>
      <w:rFonts w:hint="default" w:ascii="Tahoma" w:hAnsi="Tahoma" w:cs="Tahoma"/>
      <w:sz w:val="18"/>
      <w:szCs w:val="18"/>
    </w:rPr>
  </w:style>
  <w:style w:type="character" w:customStyle="1" w:styleId="246">
    <w:name w:val="Heading 2 Hidden Char"/>
    <w:qFormat/>
    <w:uiPriority w:val="0"/>
    <w:rPr>
      <w:rFonts w:ascii="仿宋_GB2312" w:eastAsia="仿宋_GB2312"/>
      <w:b/>
      <w:bCs/>
      <w:kern w:val="2"/>
      <w:sz w:val="24"/>
      <w:szCs w:val="24"/>
      <w:lang w:val="zh-CN" w:eastAsia="zh-CN" w:bidi="ar-SA"/>
    </w:rPr>
  </w:style>
  <w:style w:type="character" w:customStyle="1" w:styleId="247">
    <w:name w:val="tw4winInternal"/>
    <w:qFormat/>
    <w:uiPriority w:val="0"/>
    <w:rPr>
      <w:rFonts w:ascii="Courier New" w:hAnsi="Courier New" w:cs="Courier New"/>
      <w:color w:val="FF0000"/>
    </w:rPr>
  </w:style>
  <w:style w:type="character" w:customStyle="1" w:styleId="248">
    <w:name w:val="Footer Char"/>
    <w:qFormat/>
    <w:locked/>
    <w:uiPriority w:val="0"/>
    <w:rPr>
      <w:rFonts w:eastAsia="宋体"/>
      <w:kern w:val="2"/>
      <w:sz w:val="18"/>
      <w:lang w:val="en-US" w:eastAsia="zh-CN" w:bidi="ar-SA"/>
    </w:rPr>
  </w:style>
  <w:style w:type="character" w:customStyle="1" w:styleId="249">
    <w:name w:val="Char Char41"/>
    <w:qFormat/>
    <w:uiPriority w:val="0"/>
    <w:rPr>
      <w:rFonts w:eastAsia="宋体"/>
      <w:b/>
      <w:sz w:val="24"/>
      <w:lang w:val="en-GB" w:eastAsia="zh-CN" w:bidi="ar-SA"/>
    </w:rPr>
  </w:style>
  <w:style w:type="character" w:customStyle="1" w:styleId="250">
    <w:name w:val="页脚 Char"/>
    <w:qFormat/>
    <w:uiPriority w:val="99"/>
    <w:rPr>
      <w:rFonts w:eastAsia="仿宋_GB2312"/>
      <w:kern w:val="2"/>
      <w:sz w:val="18"/>
      <w:lang w:val="en-US" w:eastAsia="zh-CN"/>
    </w:rPr>
  </w:style>
  <w:style w:type="character" w:customStyle="1" w:styleId="251">
    <w:name w:val="gf正文1 Char"/>
    <w:qFormat/>
    <w:uiPriority w:val="0"/>
    <w:rPr>
      <w:rFonts w:ascii="宋体" w:hAnsi="宋体" w:eastAsia="宋体" w:cs="宋体"/>
      <w:kern w:val="2"/>
      <w:sz w:val="24"/>
      <w:szCs w:val="24"/>
      <w:lang w:val="en-US" w:eastAsia="zh-CN" w:bidi="ar-SA"/>
    </w:rPr>
  </w:style>
  <w:style w:type="character" w:customStyle="1" w:styleId="252">
    <w:name w:val="正文缩进 Char1"/>
    <w:qFormat/>
    <w:uiPriority w:val="0"/>
    <w:rPr>
      <w:rFonts w:ascii="宋体" w:eastAsia="宋体"/>
      <w:snapToGrid w:val="0"/>
      <w:color w:val="000000"/>
      <w:kern w:val="28"/>
      <w:sz w:val="28"/>
      <w:lang w:val="en-US"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正文文本 Char"/>
    <w:qFormat/>
    <w:uiPriority w:val="0"/>
    <w:rPr>
      <w:rFonts w:eastAsia="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style36"/>
    <w:qFormat/>
    <w:uiPriority w:val="0"/>
  </w:style>
  <w:style w:type="character" w:customStyle="1" w:styleId="257">
    <w:name w:val="hui3"/>
    <w:qFormat/>
    <w:uiPriority w:val="0"/>
    <w:rPr>
      <w:color w:val="333333"/>
    </w:rPr>
  </w:style>
  <w:style w:type="character" w:customStyle="1" w:styleId="258">
    <w:name w:val="方案正文 Char"/>
    <w:qFormat/>
    <w:uiPriority w:val="0"/>
    <w:rPr>
      <w:rFonts w:ascii="仿宋_GB2312" w:eastAsia="仿宋_GB2312"/>
      <w:b/>
      <w:color w:val="000000"/>
      <w:kern w:val="2"/>
      <w:sz w:val="24"/>
      <w:lang w:val="en-US" w:eastAsia="zh-CN" w:bidi="ar-SA"/>
    </w:rPr>
  </w:style>
  <w:style w:type="character" w:customStyle="1" w:styleId="259">
    <w:name w:val="列出段落 Char"/>
    <w:qFormat/>
    <w:uiPriority w:val="34"/>
    <w:rPr>
      <w:rFonts w:eastAsia="楷体_GB2312" w:cs="Lucida Sans"/>
      <w:kern w:val="2"/>
      <w:sz w:val="24"/>
      <w:szCs w:val="24"/>
      <w:lang w:val="en-US" w:eastAsia="zh-CN" w:bidi="ar-SA"/>
    </w:rPr>
  </w:style>
  <w:style w:type="character" w:customStyle="1" w:styleId="260">
    <w:name w:val="apple-converted-space"/>
    <w:qFormat/>
    <w:uiPriority w:val="0"/>
  </w:style>
  <w:style w:type="character" w:customStyle="1" w:styleId="261">
    <w:name w:val="样式6 Char"/>
    <w:qFormat/>
    <w:uiPriority w:val="0"/>
    <w:rPr>
      <w:rFonts w:ascii="仿宋_GB2312" w:hAnsi="宋体" w:eastAsia="仿宋_GB2312"/>
      <w:b/>
      <w:bCs/>
      <w:kern w:val="2"/>
      <w:sz w:val="24"/>
      <w:szCs w:val="24"/>
      <w:lang w:val="en-US" w:eastAsia="zh-CN" w:bidi="ar-SA"/>
    </w:rPr>
  </w:style>
  <w:style w:type="character" w:customStyle="1" w:styleId="262">
    <w:name w:val="文档结构图 Char"/>
    <w:qFormat/>
    <w:uiPriority w:val="0"/>
    <w:rPr>
      <w:rFonts w:eastAsia="宋体"/>
      <w:kern w:val="2"/>
      <w:sz w:val="21"/>
      <w:szCs w:val="24"/>
      <w:lang w:val="en-US" w:eastAsia="zh-CN" w:bidi="ar-SA"/>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正文非缩进 Char3"/>
    <w:qFormat/>
    <w:uiPriority w:val="0"/>
    <w:rPr>
      <w:rFonts w:ascii="宋体" w:eastAsia="宋体"/>
      <w:snapToGrid w:val="0"/>
      <w:color w:val="000000"/>
      <w:kern w:val="28"/>
      <w:sz w:val="28"/>
      <w:lang w:val="en-US" w:eastAsia="zh-CN" w:bidi="ar-SA"/>
    </w:rPr>
  </w:style>
  <w:style w:type="character" w:customStyle="1" w:styleId="265">
    <w:name w:val="md"/>
    <w:qFormat/>
    <w:uiPriority w:val="0"/>
  </w:style>
  <w:style w:type="character" w:customStyle="1" w:styleId="266">
    <w:name w:val="dectext1"/>
    <w:qFormat/>
    <w:uiPriority w:val="0"/>
    <w:rPr>
      <w:rFonts w:ascii="宋体" w:hAnsi="宋体" w:eastAsia="宋体"/>
      <w:color w:val="333333"/>
      <w:sz w:val="21"/>
      <w:szCs w:val="21"/>
      <w:u w:val="none"/>
    </w:rPr>
  </w:style>
  <w:style w:type="character" w:customStyle="1" w:styleId="267">
    <w:name w:val="样式5 Char"/>
    <w:qFormat/>
    <w:uiPriority w:val="0"/>
    <w:rPr>
      <w:rFonts w:ascii="仿宋_GB2312" w:hAnsi="仿宋" w:eastAsia="仿宋_GB2312"/>
      <w:kern w:val="2"/>
      <w:sz w:val="24"/>
      <w:szCs w:val="24"/>
    </w:rPr>
  </w:style>
  <w:style w:type="character" w:customStyle="1" w:styleId="268">
    <w:name w:val="t21"/>
    <w:qFormat/>
    <w:uiPriority w:val="0"/>
    <w:rPr>
      <w:rFonts w:ascii="仿宋_GB2312" w:eastAsia="微软雅黑"/>
      <w:b/>
      <w:kern w:val="2"/>
      <w:sz w:val="23"/>
      <w:szCs w:val="23"/>
      <w:lang w:val="en-US" w:eastAsia="zh-CN" w:bidi="ar-SA"/>
    </w:rPr>
  </w:style>
  <w:style w:type="character" w:customStyle="1" w:styleId="269">
    <w:name w:val="冯 Char"/>
    <w:link w:val="270"/>
    <w:qFormat/>
    <w:uiPriority w:val="0"/>
    <w:rPr>
      <w:rFonts w:ascii="宋体" w:hAnsi="宋体"/>
      <w:color w:val="000000"/>
      <w:sz w:val="24"/>
      <w:szCs w:val="24"/>
    </w:rPr>
  </w:style>
  <w:style w:type="paragraph" w:customStyle="1" w:styleId="270">
    <w:name w:val="冯"/>
    <w:basedOn w:val="1"/>
    <w:link w:val="269"/>
    <w:qFormat/>
    <w:uiPriority w:val="0"/>
    <w:pPr>
      <w:widowControl/>
      <w:adjustRightInd/>
      <w:spacing w:line="360" w:lineRule="auto"/>
      <w:ind w:firstLine="480" w:firstLineChars="200"/>
    </w:pPr>
    <w:rPr>
      <w:rFonts w:ascii="宋体" w:hAnsi="宋体"/>
      <w:color w:val="000000"/>
      <w:kern w:val="0"/>
      <w:sz w:val="24"/>
    </w:rPr>
  </w:style>
  <w:style w:type="character" w:customStyle="1" w:styleId="271">
    <w:name w:val="Normal Indent Char Char"/>
    <w:qFormat/>
    <w:uiPriority w:val="0"/>
    <w:rPr>
      <w:rFonts w:eastAsia="宋体"/>
      <w:kern w:val="2"/>
      <w:sz w:val="21"/>
      <w:lang w:val="en-US" w:eastAsia="zh-CN" w:bidi="ar-SA"/>
    </w:rPr>
  </w:style>
  <w:style w:type="character" w:customStyle="1" w:styleId="272">
    <w:name w:val="表格 Char Char"/>
    <w:qFormat/>
    <w:uiPriority w:val="0"/>
    <w:rPr>
      <w:rFonts w:ascii="宋体" w:hAnsi="宋体" w:eastAsia="宋体"/>
      <w:lang w:bidi="ar-SA"/>
    </w:rPr>
  </w:style>
  <w:style w:type="character" w:customStyle="1" w:styleId="273">
    <w:name w:val="font12gray1"/>
    <w:qFormat/>
    <w:uiPriority w:val="0"/>
    <w:rPr>
      <w:rFonts w:ascii="仿宋_GB2312" w:eastAsia="微软雅黑"/>
      <w:b/>
      <w:spacing w:val="300"/>
      <w:kern w:val="2"/>
      <w:sz w:val="18"/>
      <w:szCs w:val="18"/>
      <w:lang w:val="en-US" w:eastAsia="zh-CN" w:bidi="ar-SA"/>
    </w:rPr>
  </w:style>
  <w:style w:type="character" w:customStyle="1" w:styleId="274">
    <w:name w:val="txt"/>
    <w:qFormat/>
    <w:uiPriority w:val="0"/>
    <w:rPr>
      <w:rFonts w:ascii="仿宋_GB2312" w:eastAsia="微软雅黑"/>
      <w:b/>
      <w:kern w:val="2"/>
      <w:sz w:val="32"/>
      <w:szCs w:val="32"/>
      <w:lang w:val="en-US" w:eastAsia="zh-CN" w:bidi="ar-SA"/>
    </w:rPr>
  </w:style>
  <w:style w:type="character" w:customStyle="1" w:styleId="275">
    <w:name w:val="tw4winJump"/>
    <w:qFormat/>
    <w:uiPriority w:val="0"/>
    <w:rPr>
      <w:rFonts w:ascii="Courier New" w:hAnsi="Courier New" w:cs="Courier New"/>
      <w:color w:val="008080"/>
    </w:rPr>
  </w:style>
  <w:style w:type="character" w:customStyle="1" w:styleId="276">
    <w:name w:val="Item List Char"/>
    <w:link w:val="277"/>
    <w:qFormat/>
    <w:uiPriority w:val="0"/>
    <w:rPr>
      <w:rFonts w:ascii="Arial"/>
      <w:bCs/>
      <w:sz w:val="21"/>
      <w:szCs w:val="21"/>
      <w:lang w:val="en-US" w:eastAsia="zh-CN" w:bidi="ar-SA"/>
    </w:rPr>
  </w:style>
  <w:style w:type="paragraph" w:customStyle="1" w:styleId="277">
    <w:name w:val="Item List"/>
    <w:link w:val="2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8">
    <w:name w:val="Char Char121"/>
    <w:qFormat/>
    <w:uiPriority w:val="0"/>
    <w:rPr>
      <w:rFonts w:ascii="仿宋_GB2312" w:eastAsia="仿宋_GB2312"/>
      <w:b/>
      <w:bCs/>
      <w:kern w:val="2"/>
      <w:sz w:val="24"/>
      <w:szCs w:val="24"/>
      <w:lang w:val="zh-CN" w:eastAsia="zh-CN" w:bidi="ar-SA"/>
    </w:rPr>
  </w:style>
  <w:style w:type="character" w:customStyle="1" w:styleId="279">
    <w:name w:val="纯文本 Char_0"/>
    <w:link w:val="280"/>
    <w:qFormat/>
    <w:uiPriority w:val="0"/>
    <w:rPr>
      <w:rFonts w:ascii="宋体" w:hAnsi="Courier New"/>
      <w:kern w:val="2"/>
      <w:sz w:val="21"/>
      <w:szCs w:val="21"/>
    </w:rPr>
  </w:style>
  <w:style w:type="paragraph" w:customStyle="1" w:styleId="280">
    <w:name w:val="纯文本_0_0"/>
    <w:basedOn w:val="281"/>
    <w:link w:val="279"/>
    <w:qFormat/>
    <w:uiPriority w:val="0"/>
    <w:rPr>
      <w:rFonts w:ascii="宋体" w:hAnsi="Courier New"/>
      <w:szCs w:val="21"/>
    </w:rPr>
  </w:style>
  <w:style w:type="paragraph" w:customStyle="1" w:styleId="2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28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284">
    <w:name w:val="Char1 Char Char Char1"/>
    <w:basedOn w:val="1"/>
    <w:qFormat/>
    <w:uiPriority w:val="0"/>
    <w:pPr>
      <w:adjustRightInd/>
      <w:ind w:firstLine="200" w:firstLineChars="200"/>
    </w:pPr>
    <w:rPr>
      <w:rFonts w:ascii="Tahoma" w:hAnsi="Tahoma"/>
      <w:sz w:val="24"/>
      <w:szCs w:val="20"/>
    </w:rPr>
  </w:style>
  <w:style w:type="paragraph" w:customStyle="1" w:styleId="285">
    <w:name w:val="Char2"/>
    <w:basedOn w:val="1"/>
    <w:qFormat/>
    <w:uiPriority w:val="0"/>
    <w:rPr>
      <w:rFonts w:ascii="仿宋_GB2312" w:eastAsia="仿宋_GB2312"/>
      <w:b/>
      <w:sz w:val="32"/>
      <w:szCs w:val="32"/>
    </w:rPr>
  </w:style>
  <w:style w:type="paragraph" w:customStyle="1" w:styleId="286">
    <w:name w:val="标书表格字体格式"/>
    <w:next w:val="287"/>
    <w:qFormat/>
    <w:uiPriority w:val="0"/>
    <w:rPr>
      <w:rFonts w:ascii="Times New Roman" w:hAnsi="Times New Roman" w:eastAsia="宋体" w:cs="Times New Roman"/>
      <w:kern w:val="2"/>
      <w:sz w:val="21"/>
      <w:szCs w:val="24"/>
      <w:lang w:val="en-US" w:eastAsia="zh-CN" w:bidi="ar-SA"/>
    </w:rPr>
  </w:style>
  <w:style w:type="paragraph" w:customStyle="1" w:styleId="28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291">
    <w:name w:val="WW-正文文字缩进 2"/>
    <w:basedOn w:val="1"/>
    <w:qFormat/>
    <w:uiPriority w:val="0"/>
    <w:pPr>
      <w:suppressAutoHyphens/>
      <w:adjustRightInd/>
      <w:ind w:firstLine="420"/>
    </w:pPr>
    <w:rPr>
      <w:kern w:val="1"/>
      <w:szCs w:val="20"/>
    </w:rPr>
  </w:style>
  <w:style w:type="paragraph" w:customStyle="1" w:styleId="292">
    <w:name w:val="正文 首行缩进:  2 字符 Char"/>
    <w:basedOn w:val="1"/>
    <w:qFormat/>
    <w:uiPriority w:val="0"/>
    <w:pPr>
      <w:adjustRightInd/>
      <w:spacing w:line="360" w:lineRule="auto"/>
      <w:ind w:firstLine="480"/>
    </w:pPr>
    <w:rPr>
      <w:rFonts w:cs="宋体"/>
      <w:sz w:val="24"/>
      <w:szCs w:val="20"/>
    </w:rPr>
  </w:style>
  <w:style w:type="paragraph" w:customStyle="1" w:styleId="29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2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9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9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默认段落字体 Para Char Char Char1 Char"/>
    <w:basedOn w:val="1"/>
    <w:qFormat/>
    <w:uiPriority w:val="0"/>
    <w:pPr>
      <w:spacing w:line="240" w:lineRule="atLeast"/>
      <w:ind w:left="420" w:firstLine="420"/>
    </w:pPr>
    <w:rPr>
      <w:sz w:val="24"/>
    </w:rPr>
  </w:style>
  <w:style w:type="paragraph" w:customStyle="1" w:styleId="30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304">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0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307">
    <w:name w:val="Char19"/>
    <w:basedOn w:val="1"/>
    <w:qFormat/>
    <w:uiPriority w:val="0"/>
    <w:pPr>
      <w:adjustRightInd/>
    </w:pPr>
    <w:rPr>
      <w:szCs w:val="20"/>
    </w:rPr>
  </w:style>
  <w:style w:type="paragraph" w:customStyle="1" w:styleId="308">
    <w:name w:val="文章标题"/>
    <w:next w:val="30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09">
    <w:name w:val="封面公司名"/>
    <w:qFormat/>
    <w:uiPriority w:val="0"/>
    <w:pPr>
      <w:jc w:val="center"/>
    </w:pPr>
    <w:rPr>
      <w:rFonts w:ascii="Arial" w:hAnsi="Arial" w:eastAsia="楷体_GB2312" w:cs="宋体"/>
      <w:bCs/>
      <w:kern w:val="2"/>
      <w:sz w:val="28"/>
      <w:lang w:val="en-US" w:eastAsia="zh-CN" w:bidi="ar-SA"/>
    </w:rPr>
  </w:style>
  <w:style w:type="paragraph" w:customStyle="1" w:styleId="310">
    <w:name w:val="Char Char1 Char Char Char Char Char Char"/>
    <w:basedOn w:val="1"/>
    <w:qFormat/>
    <w:uiPriority w:val="0"/>
    <w:rPr>
      <w:rFonts w:ascii="仿宋_GB2312" w:eastAsia="仿宋_GB2312"/>
      <w:b/>
      <w:sz w:val="32"/>
      <w:szCs w:val="20"/>
    </w:rPr>
  </w:style>
  <w:style w:type="paragraph" w:customStyle="1" w:styleId="31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314">
    <w:name w:val="样式1 + (中宋体"/>
    <w:basedOn w:val="315"/>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1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19">
    <w:name w:val="数字标题6"/>
    <w:basedOn w:val="8"/>
    <w:next w:val="1"/>
    <w:qFormat/>
    <w:uiPriority w:val="0"/>
    <w:pPr>
      <w:numPr>
        <w:numId w:val="5"/>
      </w:numPr>
      <w:tabs>
        <w:tab w:val="left" w:pos="1080"/>
        <w:tab w:val="clear" w:pos="1152"/>
      </w:tabs>
    </w:pPr>
    <w:rPr>
      <w:rFonts w:ascii="Times New Roman" w:hAnsi="Times New Roman" w:eastAsia="宋体"/>
      <w:i/>
    </w:rPr>
  </w:style>
  <w:style w:type="paragraph" w:customStyle="1" w:styleId="3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321">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2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23">
    <w:name w:val="表格（小）"/>
    <w:basedOn w:val="1"/>
    <w:qFormat/>
    <w:uiPriority w:val="0"/>
    <w:pPr>
      <w:adjustRightInd/>
      <w:snapToGrid w:val="0"/>
      <w:spacing w:line="300" w:lineRule="auto"/>
    </w:pPr>
    <w:rPr>
      <w:rFonts w:eastAsia="仿宋"/>
      <w:szCs w:val="21"/>
    </w:rPr>
  </w:style>
  <w:style w:type="paragraph" w:customStyle="1" w:styleId="32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25">
    <w:name w:val="表格"/>
    <w:basedOn w:val="1"/>
    <w:qFormat/>
    <w:uiPriority w:val="0"/>
    <w:pPr>
      <w:snapToGrid w:val="0"/>
      <w:ind w:firstLine="42" w:firstLineChars="21"/>
    </w:pPr>
    <w:rPr>
      <w:rFonts w:ascii="宋体" w:hAnsi="宋体"/>
      <w:kern w:val="0"/>
      <w:sz w:val="20"/>
      <w:szCs w:val="20"/>
    </w:rPr>
  </w:style>
  <w:style w:type="paragraph" w:customStyle="1" w:styleId="32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Char3 Char Char Char"/>
    <w:basedOn w:val="1"/>
    <w:qFormat/>
    <w:uiPriority w:val="0"/>
    <w:pPr>
      <w:widowControl/>
      <w:adjustRightInd/>
      <w:spacing w:after="160" w:line="240" w:lineRule="exact"/>
      <w:jc w:val="left"/>
    </w:pPr>
    <w:rPr>
      <w:szCs w:val="20"/>
    </w:rPr>
  </w:style>
  <w:style w:type="paragraph" w:customStyle="1" w:styleId="329">
    <w:name w:val="Char Char Char1 Char"/>
    <w:basedOn w:val="1"/>
    <w:qFormat/>
    <w:uiPriority w:val="0"/>
    <w:rPr>
      <w:szCs w:val="20"/>
    </w:rPr>
  </w:style>
  <w:style w:type="paragraph" w:customStyle="1" w:styleId="3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3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w:basedOn w:val="1"/>
    <w:qFormat/>
    <w:uiPriority w:val="0"/>
    <w:rPr>
      <w:rFonts w:ascii="仿宋_GB2312" w:eastAsia="仿宋_GB2312"/>
      <w:b/>
      <w:sz w:val="32"/>
      <w:szCs w:val="32"/>
    </w:rPr>
  </w:style>
  <w:style w:type="paragraph" w:customStyle="1" w:styleId="335">
    <w:name w:val="有符号正文"/>
    <w:basedOn w:val="1"/>
    <w:qFormat/>
    <w:uiPriority w:val="0"/>
    <w:pPr>
      <w:adjustRightInd/>
      <w:spacing w:line="400" w:lineRule="exact"/>
      <w:ind w:firstLine="200" w:firstLineChars="200"/>
    </w:pPr>
    <w:rPr>
      <w:rFonts w:ascii="Arial" w:hAnsi="Arial"/>
    </w:rPr>
  </w:style>
  <w:style w:type="paragraph" w:customStyle="1" w:styleId="336">
    <w:name w:val="Char Char Char Char Char Char Char Char"/>
    <w:basedOn w:val="1"/>
    <w:qFormat/>
    <w:uiPriority w:val="0"/>
    <w:pPr>
      <w:tabs>
        <w:tab w:val="left" w:pos="360"/>
      </w:tabs>
    </w:pPr>
    <w:rPr>
      <w:sz w:val="24"/>
      <w:szCs w:val="20"/>
    </w:rPr>
  </w:style>
  <w:style w:type="paragraph" w:customStyle="1" w:styleId="33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38">
    <w:name w:val="Char Char1 Char"/>
    <w:basedOn w:val="1"/>
    <w:qFormat/>
    <w:uiPriority w:val="0"/>
    <w:rPr>
      <w:rFonts w:ascii="仿宋_GB2312" w:eastAsia="仿宋_GB2312"/>
      <w:b/>
      <w:sz w:val="32"/>
      <w:szCs w:val="32"/>
    </w:rPr>
  </w:style>
  <w:style w:type="paragraph" w:customStyle="1" w:styleId="3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34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41">
    <w:name w:val="Char1 Char Char Char2"/>
    <w:basedOn w:val="1"/>
    <w:qFormat/>
    <w:uiPriority w:val="0"/>
    <w:pPr>
      <w:adjustRightInd/>
      <w:ind w:firstLine="200" w:firstLineChars="200"/>
    </w:pPr>
    <w:rPr>
      <w:rFonts w:ascii="Tahoma" w:hAnsi="Tahoma"/>
      <w:sz w:val="24"/>
      <w:szCs w:val="20"/>
    </w:rPr>
  </w:style>
  <w:style w:type="paragraph" w:customStyle="1" w:styleId="342">
    <w:name w:val="带编号样式"/>
    <w:basedOn w:val="343"/>
    <w:qFormat/>
    <w:uiPriority w:val="0"/>
    <w:pPr>
      <w:tabs>
        <w:tab w:val="left" w:pos="840"/>
      </w:tabs>
      <w:snapToGrid w:val="0"/>
      <w:ind w:left="840" w:hanging="420" w:firstLineChars="0"/>
    </w:pPr>
    <w:rPr>
      <w:rFonts w:ascii="仿宋_GB2312" w:eastAsia="仿宋_GB2312"/>
      <w:color w:val="000000"/>
    </w:rPr>
  </w:style>
  <w:style w:type="paragraph" w:customStyle="1" w:styleId="343">
    <w:name w:val="文本正文 Char"/>
    <w:basedOn w:val="1"/>
    <w:qFormat/>
    <w:uiPriority w:val="0"/>
    <w:pPr>
      <w:spacing w:line="360" w:lineRule="auto"/>
      <w:ind w:firstLine="200" w:firstLineChars="200"/>
    </w:pPr>
    <w:rPr>
      <w:kern w:val="0"/>
      <w:sz w:val="24"/>
      <w:szCs w:val="20"/>
    </w:rPr>
  </w:style>
  <w:style w:type="paragraph" w:customStyle="1" w:styleId="34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4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46">
    <w:name w:val="Char Char11 Char Char Char Char Char Char Char Char Char"/>
    <w:basedOn w:val="1"/>
    <w:qFormat/>
    <w:uiPriority w:val="0"/>
    <w:pPr>
      <w:spacing w:line="360" w:lineRule="auto"/>
    </w:pPr>
    <w:rPr>
      <w:szCs w:val="20"/>
    </w:rPr>
  </w:style>
  <w:style w:type="paragraph" w:customStyle="1" w:styleId="3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9">
    <w:name w:val="Char Char Char Char Char Char Char Char Char Char"/>
    <w:basedOn w:val="1"/>
    <w:qFormat/>
    <w:uiPriority w:val="0"/>
    <w:rPr>
      <w:rFonts w:ascii="仿宋_GB2312" w:eastAsia="仿宋_GB2312"/>
      <w:b/>
      <w:sz w:val="32"/>
      <w:szCs w:val="32"/>
    </w:rPr>
  </w:style>
  <w:style w:type="paragraph" w:customStyle="1" w:styleId="35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52">
    <w:name w:val="0"/>
    <w:basedOn w:val="1"/>
    <w:qFormat/>
    <w:uiPriority w:val="0"/>
    <w:pPr>
      <w:widowControl/>
    </w:pPr>
    <w:rPr>
      <w:kern w:val="0"/>
      <w:sz w:val="24"/>
      <w:szCs w:val="20"/>
    </w:rPr>
  </w:style>
  <w:style w:type="paragraph" w:customStyle="1" w:styleId="353">
    <w:name w:val="正文文字表格居中"/>
    <w:basedOn w:val="1"/>
    <w:next w:val="54"/>
    <w:qFormat/>
    <w:uiPriority w:val="0"/>
    <w:pPr>
      <w:snapToGrid w:val="0"/>
      <w:spacing w:line="360" w:lineRule="auto"/>
    </w:pPr>
    <w:rPr>
      <w:rFonts w:ascii="宋体"/>
      <w:b/>
      <w:sz w:val="24"/>
      <w:szCs w:val="20"/>
    </w:rPr>
  </w:style>
  <w:style w:type="paragraph" w:customStyle="1" w:styleId="35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5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57">
    <w:name w:val="样式 标题 4PIM 4H4h4bulletblbbH41H42H43H44H45H46H47H48...1"/>
    <w:basedOn w:val="6"/>
    <w:qFormat/>
    <w:uiPriority w:val="0"/>
    <w:pPr>
      <w:widowControl/>
      <w:jc w:val="left"/>
    </w:pPr>
    <w:rPr>
      <w:rFonts w:cs="宋体"/>
      <w:sz w:val="24"/>
      <w:szCs w:val="20"/>
    </w:rPr>
  </w:style>
  <w:style w:type="paragraph" w:customStyle="1" w:styleId="358">
    <w:name w:val="_Style 354"/>
    <w:qFormat/>
    <w:uiPriority w:val="0"/>
    <w:rPr>
      <w:rFonts w:ascii="Times New Roman" w:hAnsi="Times New Roman" w:eastAsia="宋体" w:cs="Times New Roman"/>
      <w:kern w:val="2"/>
      <w:sz w:val="21"/>
      <w:lang w:val="en-US" w:eastAsia="zh-CN" w:bidi="ar-SA"/>
    </w:rPr>
  </w:style>
  <w:style w:type="paragraph" w:customStyle="1" w:styleId="35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Char2 Char Char"/>
    <w:basedOn w:val="1"/>
    <w:qFormat/>
    <w:uiPriority w:val="0"/>
    <w:pPr>
      <w:adjustRightInd/>
    </w:pPr>
    <w:rPr>
      <w:rFonts w:ascii="Tahoma" w:hAnsi="Tahoma"/>
      <w:sz w:val="24"/>
      <w:szCs w:val="20"/>
    </w:rPr>
  </w:style>
  <w:style w:type="paragraph" w:customStyle="1" w:styleId="3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4">
    <w:name w:val="Char211"/>
    <w:basedOn w:val="1"/>
    <w:qFormat/>
    <w:uiPriority w:val="0"/>
    <w:rPr>
      <w:rFonts w:ascii="仿宋_GB2312" w:eastAsia="仿宋_GB2312"/>
      <w:b/>
      <w:sz w:val="32"/>
      <w:szCs w:val="32"/>
    </w:rPr>
  </w:style>
  <w:style w:type="paragraph" w:customStyle="1" w:styleId="36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6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文档正文"/>
    <w:basedOn w:val="1"/>
    <w:qFormat/>
    <w:uiPriority w:val="0"/>
    <w:pPr>
      <w:spacing w:line="480" w:lineRule="atLeast"/>
      <w:ind w:firstLine="567"/>
      <w:textAlignment w:val="baseline"/>
    </w:pPr>
    <w:rPr>
      <w:kern w:val="0"/>
      <w:sz w:val="24"/>
      <w:szCs w:val="20"/>
    </w:rPr>
  </w:style>
  <w:style w:type="paragraph" w:customStyle="1" w:styleId="368">
    <w:name w:val="正文段"/>
    <w:basedOn w:val="1"/>
    <w:qFormat/>
    <w:uiPriority w:val="0"/>
    <w:pPr>
      <w:widowControl/>
      <w:snapToGrid w:val="0"/>
      <w:spacing w:after="156" w:afterLines="50"/>
      <w:ind w:firstLine="200" w:firstLineChars="200"/>
    </w:pPr>
    <w:rPr>
      <w:kern w:val="0"/>
      <w:sz w:val="24"/>
      <w:szCs w:val="20"/>
    </w:rPr>
  </w:style>
  <w:style w:type="paragraph" w:customStyle="1" w:styleId="3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7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7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2">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7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Char1 Char Char Char5"/>
    <w:basedOn w:val="1"/>
    <w:qFormat/>
    <w:uiPriority w:val="0"/>
    <w:pPr>
      <w:adjustRightInd/>
      <w:ind w:firstLine="200" w:firstLineChars="200"/>
    </w:pPr>
    <w:rPr>
      <w:rFonts w:ascii="Tahoma" w:hAnsi="Tahoma"/>
      <w:sz w:val="24"/>
      <w:szCs w:val="20"/>
    </w:rPr>
  </w:style>
  <w:style w:type="paragraph" w:customStyle="1" w:styleId="37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7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378">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379">
    <w:name w:val="Char Char1"/>
    <w:basedOn w:val="1"/>
    <w:qFormat/>
    <w:uiPriority w:val="0"/>
    <w:pPr>
      <w:widowControl/>
      <w:spacing w:after="160" w:line="240" w:lineRule="exact"/>
      <w:jc w:val="left"/>
    </w:pPr>
    <w:rPr>
      <w:rFonts w:eastAsia="仿宋_GB2312"/>
      <w:sz w:val="28"/>
    </w:rPr>
  </w:style>
  <w:style w:type="paragraph" w:customStyle="1" w:styleId="380">
    <w:name w:val="列出段落2"/>
    <w:basedOn w:val="1"/>
    <w:qFormat/>
    <w:uiPriority w:val="0"/>
    <w:pPr>
      <w:adjustRightInd/>
      <w:ind w:firstLine="420" w:firstLineChars="200"/>
    </w:pPr>
    <w:rPr>
      <w:rFonts w:ascii="宋体" w:hAnsi="宋体"/>
      <w:sz w:val="24"/>
    </w:rPr>
  </w:style>
  <w:style w:type="paragraph" w:customStyle="1" w:styleId="3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38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4">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8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87">
    <w:name w:val="MM Topic 1"/>
    <w:basedOn w:val="3"/>
    <w:qFormat/>
    <w:uiPriority w:val="0"/>
    <w:pPr>
      <w:numPr>
        <w:numId w:val="0"/>
      </w:numPr>
      <w:tabs>
        <w:tab w:val="left" w:pos="840"/>
      </w:tabs>
      <w:adjustRightInd/>
      <w:ind w:left="840" w:hanging="420"/>
    </w:pPr>
  </w:style>
  <w:style w:type="paragraph" w:customStyle="1" w:styleId="38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89">
    <w:name w:val="Bulleted List"/>
    <w:basedOn w:val="1"/>
    <w:qFormat/>
    <w:uiPriority w:val="0"/>
    <w:pPr>
      <w:tabs>
        <w:tab w:val="left" w:pos="1260"/>
      </w:tabs>
      <w:adjustRightInd/>
      <w:ind w:left="1260" w:hanging="420"/>
    </w:pPr>
  </w:style>
  <w:style w:type="paragraph" w:customStyle="1" w:styleId="390">
    <w:name w:val="Table Text"/>
    <w:basedOn w:val="1"/>
    <w:qFormat/>
    <w:uiPriority w:val="0"/>
    <w:pPr>
      <w:widowControl/>
      <w:spacing w:before="60" w:after="60"/>
      <w:jc w:val="left"/>
    </w:pPr>
    <w:rPr>
      <w:kern w:val="0"/>
      <w:sz w:val="24"/>
    </w:rPr>
  </w:style>
  <w:style w:type="paragraph" w:customStyle="1" w:styleId="391">
    <w:name w:val="样式7"/>
    <w:basedOn w:val="392"/>
    <w:next w:val="1"/>
    <w:qFormat/>
    <w:uiPriority w:val="0"/>
    <w:pPr>
      <w:spacing w:after="156" w:afterLines="50"/>
      <w:jc w:val="left"/>
      <w:outlineLvl w:val="3"/>
    </w:pPr>
    <w:rPr>
      <w:sz w:val="24"/>
      <w:szCs w:val="24"/>
    </w:rPr>
  </w:style>
  <w:style w:type="paragraph" w:customStyle="1" w:styleId="39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39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39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3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9">
    <w:name w:val="标准小四"/>
    <w:basedOn w:val="1"/>
    <w:qFormat/>
    <w:uiPriority w:val="0"/>
    <w:pPr>
      <w:spacing w:line="360" w:lineRule="auto"/>
      <w:ind w:firstLine="480" w:firstLineChars="200"/>
    </w:pPr>
    <w:rPr>
      <w:rFonts w:ascii="Arial" w:hAnsi="Arial"/>
      <w:sz w:val="24"/>
      <w:szCs w:val="21"/>
    </w:rPr>
  </w:style>
  <w:style w:type="paragraph" w:customStyle="1" w:styleId="40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2">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404">
    <w:name w:val="三级条标题"/>
    <w:basedOn w:val="405"/>
    <w:next w:val="333"/>
    <w:qFormat/>
    <w:uiPriority w:val="0"/>
    <w:pPr>
      <w:tabs>
        <w:tab w:val="left" w:pos="1260"/>
        <w:tab w:val="left" w:pos="1680"/>
        <w:tab w:val="left" w:pos="2100"/>
        <w:tab w:val="left" w:pos="2520"/>
      </w:tabs>
      <w:ind w:left="2520"/>
      <w:outlineLvl w:val="4"/>
    </w:pPr>
  </w:style>
  <w:style w:type="paragraph" w:customStyle="1" w:styleId="405">
    <w:name w:val="二级条标题"/>
    <w:basedOn w:val="406"/>
    <w:next w:val="333"/>
    <w:qFormat/>
    <w:uiPriority w:val="0"/>
    <w:pPr>
      <w:tabs>
        <w:tab w:val="left" w:pos="1260"/>
        <w:tab w:val="left" w:pos="1680"/>
        <w:tab w:val="left" w:pos="2100"/>
      </w:tabs>
      <w:ind w:left="0"/>
      <w:outlineLvl w:val="3"/>
    </w:pPr>
  </w:style>
  <w:style w:type="paragraph" w:customStyle="1" w:styleId="406">
    <w:name w:val="一级条标题"/>
    <w:basedOn w:val="407"/>
    <w:next w:val="333"/>
    <w:qFormat/>
    <w:uiPriority w:val="0"/>
    <w:pPr>
      <w:tabs>
        <w:tab w:val="left" w:pos="1260"/>
        <w:tab w:val="left" w:pos="1680"/>
      </w:tabs>
      <w:spacing w:before="0" w:beforeLines="0" w:after="0" w:afterLines="0"/>
      <w:ind w:left="1680"/>
      <w:outlineLvl w:val="2"/>
    </w:pPr>
  </w:style>
  <w:style w:type="paragraph" w:customStyle="1" w:styleId="407">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08">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0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10">
    <w:name w:val="4"/>
    <w:basedOn w:val="1"/>
    <w:next w:val="36"/>
    <w:qFormat/>
    <w:uiPriority w:val="0"/>
    <w:pPr>
      <w:spacing w:after="120" w:line="480" w:lineRule="auto"/>
      <w:ind w:left="420" w:leftChars="200"/>
    </w:pPr>
    <w:rPr>
      <w:sz w:val="24"/>
      <w:szCs w:val="20"/>
    </w:rPr>
  </w:style>
  <w:style w:type="paragraph" w:customStyle="1" w:styleId="411">
    <w:name w:val="数字标题5"/>
    <w:basedOn w:val="7"/>
    <w:next w:val="1"/>
    <w:qFormat/>
    <w:uiPriority w:val="0"/>
    <w:pPr>
      <w:numPr>
        <w:numId w:val="5"/>
      </w:numPr>
      <w:tabs>
        <w:tab w:val="left" w:pos="1080"/>
        <w:tab w:val="clear" w:pos="1008"/>
      </w:tabs>
    </w:pPr>
  </w:style>
  <w:style w:type="paragraph" w:customStyle="1" w:styleId="41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4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4">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15">
    <w:name w:val="Char3"/>
    <w:basedOn w:val="1"/>
    <w:qFormat/>
    <w:uiPriority w:val="0"/>
    <w:pPr>
      <w:adjustRightInd/>
    </w:pPr>
    <w:rPr>
      <w:rFonts w:ascii="仿宋_GB2312" w:eastAsia="仿宋_GB2312"/>
      <w:b/>
      <w:sz w:val="32"/>
      <w:szCs w:val="32"/>
    </w:rPr>
  </w:style>
  <w:style w:type="paragraph" w:customStyle="1" w:styleId="41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17">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21">
    <w:name w:val="Char Char11 Char Char Char"/>
    <w:basedOn w:val="1"/>
    <w:qFormat/>
    <w:uiPriority w:val="0"/>
    <w:pPr>
      <w:spacing w:line="360" w:lineRule="auto"/>
    </w:pPr>
    <w:rPr>
      <w:szCs w:val="20"/>
    </w:rPr>
  </w:style>
  <w:style w:type="paragraph" w:customStyle="1" w:styleId="42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2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2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styleId="4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0">
    <w:name w:val="Char Char Char Char Char Char Char Char1"/>
    <w:basedOn w:val="1"/>
    <w:qFormat/>
    <w:uiPriority w:val="0"/>
    <w:pPr>
      <w:tabs>
        <w:tab w:val="left" w:pos="360"/>
      </w:tabs>
    </w:pPr>
    <w:rPr>
      <w:sz w:val="24"/>
      <w:szCs w:val="20"/>
    </w:rPr>
  </w:style>
  <w:style w:type="paragraph" w:customStyle="1" w:styleId="431">
    <w:name w:val="数字标题3"/>
    <w:basedOn w:val="5"/>
    <w:next w:val="1"/>
    <w:qFormat/>
    <w:uiPriority w:val="0"/>
    <w:pPr>
      <w:numPr>
        <w:numId w:val="0"/>
      </w:numPr>
      <w:spacing w:line="240" w:lineRule="auto"/>
    </w:pPr>
    <w:rPr>
      <w:sz w:val="28"/>
      <w:szCs w:val="28"/>
    </w:rPr>
  </w:style>
  <w:style w:type="paragraph" w:customStyle="1" w:styleId="43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33">
    <w:name w:val="默认段落字体 Para Char"/>
    <w:basedOn w:val="1"/>
    <w:qFormat/>
    <w:uiPriority w:val="0"/>
    <w:rPr>
      <w:rFonts w:ascii="Tahoma" w:hAnsi="Tahoma"/>
      <w:sz w:val="24"/>
      <w:szCs w:val="20"/>
    </w:rPr>
  </w:style>
  <w:style w:type="paragraph" w:customStyle="1" w:styleId="434">
    <w:name w:val="Char1 Char Char Char"/>
    <w:basedOn w:val="1"/>
    <w:qFormat/>
    <w:uiPriority w:val="0"/>
    <w:rPr>
      <w:rFonts w:ascii="Tahoma" w:hAnsi="Tahoma"/>
      <w:sz w:val="24"/>
      <w:szCs w:val="20"/>
    </w:rPr>
  </w:style>
  <w:style w:type="paragraph" w:customStyle="1" w:styleId="435">
    <w:name w:val="Char Char Char Char Char Char Char"/>
    <w:basedOn w:val="1"/>
    <w:qFormat/>
    <w:uiPriority w:val="0"/>
    <w:rPr>
      <w:rFonts w:ascii="仿宋_GB2312" w:eastAsia="仿宋_GB2312"/>
      <w:b/>
      <w:sz w:val="32"/>
      <w:szCs w:val="32"/>
    </w:rPr>
  </w:style>
  <w:style w:type="paragraph" w:customStyle="1" w:styleId="436">
    <w:name w:val="Char Char1 Char Char Char"/>
    <w:basedOn w:val="1"/>
    <w:qFormat/>
    <w:uiPriority w:val="0"/>
    <w:rPr>
      <w:rFonts w:ascii="仿宋_GB2312" w:eastAsia="仿宋_GB2312"/>
      <w:b/>
      <w:sz w:val="32"/>
      <w:szCs w:val="20"/>
    </w:rPr>
  </w:style>
  <w:style w:type="paragraph" w:customStyle="1" w:styleId="437">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4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39">
    <w:name w:val="样式 样式2 + 左侧:  1 字符 右侧:  1 字符"/>
    <w:basedOn w:val="44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4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4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4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4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45">
    <w:name w:val="Char Char Char Char Char Char Char1"/>
    <w:basedOn w:val="1"/>
    <w:qFormat/>
    <w:uiPriority w:val="0"/>
    <w:rPr>
      <w:rFonts w:ascii="仿宋_GB2312" w:eastAsia="仿宋_GB2312"/>
      <w:b/>
      <w:sz w:val="32"/>
      <w:szCs w:val="32"/>
    </w:rPr>
  </w:style>
  <w:style w:type="paragraph" w:customStyle="1" w:styleId="44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47">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48">
    <w:name w:val="表格内文"/>
    <w:basedOn w:val="1"/>
    <w:qFormat/>
    <w:uiPriority w:val="0"/>
    <w:pPr>
      <w:adjustRightInd/>
      <w:spacing w:line="360" w:lineRule="auto"/>
    </w:pPr>
    <w:rPr>
      <w:rFonts w:ascii="宋体" w:hAnsi="宋体" w:cs="宋体"/>
      <w:color w:val="000000"/>
      <w:szCs w:val="20"/>
    </w:rPr>
  </w:style>
  <w:style w:type="paragraph" w:customStyle="1" w:styleId="44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5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51">
    <w:name w:val="四级条标题"/>
    <w:basedOn w:val="404"/>
    <w:next w:val="333"/>
    <w:qFormat/>
    <w:uiPriority w:val="0"/>
    <w:pPr>
      <w:numPr>
        <w:ilvl w:val="5"/>
        <w:numId w:val="4"/>
      </w:numPr>
      <w:tabs>
        <w:tab w:val="clear" w:pos="2520"/>
      </w:tabs>
      <w:outlineLvl w:val="5"/>
    </w:pPr>
  </w:style>
  <w:style w:type="paragraph" w:customStyle="1" w:styleId="45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3">
    <w:name w:val="表格标题2"/>
    <w:basedOn w:val="448"/>
    <w:qFormat/>
    <w:uiPriority w:val="0"/>
    <w:rPr>
      <w:b/>
    </w:rPr>
  </w:style>
  <w:style w:type="paragraph" w:customStyle="1" w:styleId="4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55">
    <w:name w:val="Char12"/>
    <w:basedOn w:val="1"/>
    <w:qFormat/>
    <w:uiPriority w:val="0"/>
    <w:rPr>
      <w:rFonts w:ascii="仿宋_GB2312" w:eastAsia="仿宋_GB2312"/>
      <w:b/>
      <w:sz w:val="32"/>
      <w:szCs w:val="32"/>
    </w:rPr>
  </w:style>
  <w:style w:type="paragraph" w:customStyle="1" w:styleId="4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58">
    <w:name w:val="bullet"/>
    <w:basedOn w:val="1"/>
    <w:qFormat/>
    <w:uiPriority w:val="0"/>
    <w:pPr>
      <w:tabs>
        <w:tab w:val="left" w:pos="840"/>
      </w:tabs>
      <w:adjustRightInd/>
      <w:ind w:left="840" w:hanging="420"/>
    </w:pPr>
  </w:style>
  <w:style w:type="paragraph" w:customStyle="1" w:styleId="459">
    <w:name w:val="样式3"/>
    <w:basedOn w:val="440"/>
    <w:qFormat/>
    <w:uiPriority w:val="0"/>
    <w:pPr>
      <w:spacing w:before="312" w:beforeLines="100"/>
      <w:jc w:val="left"/>
    </w:pPr>
  </w:style>
  <w:style w:type="paragraph" w:customStyle="1" w:styleId="46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62">
    <w:name w:val="Char31"/>
    <w:basedOn w:val="1"/>
    <w:qFormat/>
    <w:uiPriority w:val="0"/>
    <w:pPr>
      <w:adjustRightInd/>
      <w:ind w:firstLine="200" w:firstLineChars="200"/>
    </w:pPr>
    <w:rPr>
      <w:rFonts w:ascii="Tahoma" w:hAnsi="Tahoma"/>
      <w:sz w:val="24"/>
      <w:szCs w:val="20"/>
    </w:rPr>
  </w:style>
  <w:style w:type="paragraph" w:customStyle="1" w:styleId="463">
    <w:name w:val="Char Char Char Char Char Char Char Char Char Char Char Char1 Char"/>
    <w:basedOn w:val="1"/>
    <w:qFormat/>
    <w:uiPriority w:val="0"/>
    <w:rPr>
      <w:rFonts w:ascii="Tahoma" w:hAnsi="Tahoma" w:cs="仿宋_GB2312"/>
      <w:sz w:val="24"/>
      <w:szCs w:val="20"/>
    </w:rPr>
  </w:style>
  <w:style w:type="paragraph" w:customStyle="1" w:styleId="464">
    <w:name w:val="Char Char11 Char Char Char Char Char Char Char Char Char1"/>
    <w:basedOn w:val="1"/>
    <w:qFormat/>
    <w:uiPriority w:val="0"/>
    <w:pPr>
      <w:spacing w:line="360" w:lineRule="auto"/>
    </w:pPr>
    <w:rPr>
      <w:szCs w:val="20"/>
    </w:rPr>
  </w:style>
  <w:style w:type="paragraph" w:customStyle="1" w:styleId="46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6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469">
    <w:name w:val="MM Topic 4"/>
    <w:basedOn w:val="6"/>
    <w:qFormat/>
    <w:uiPriority w:val="0"/>
    <w:pPr>
      <w:numPr>
        <w:numId w:val="4"/>
      </w:numPr>
      <w:tabs>
        <w:tab w:val="left" w:pos="2100"/>
        <w:tab w:val="clear" w:pos="864"/>
      </w:tabs>
      <w:adjustRightInd/>
    </w:pPr>
    <w:rPr>
      <w:lang w:val="en-US"/>
    </w:rPr>
  </w:style>
  <w:style w:type="paragraph" w:customStyle="1" w:styleId="47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472">
    <w:name w:val="Char Char Char1 Char1"/>
    <w:basedOn w:val="1"/>
    <w:qFormat/>
    <w:uiPriority w:val="0"/>
    <w:rPr>
      <w:szCs w:val="20"/>
    </w:rPr>
  </w:style>
  <w:style w:type="paragraph" w:customStyle="1" w:styleId="473">
    <w:name w:val="MM Topic 3"/>
    <w:basedOn w:val="5"/>
    <w:qFormat/>
    <w:uiPriority w:val="0"/>
    <w:pPr>
      <w:numPr>
        <w:numId w:val="4"/>
      </w:numPr>
      <w:tabs>
        <w:tab w:val="left" w:pos="1680"/>
        <w:tab w:val="clear" w:pos="900"/>
      </w:tabs>
      <w:adjustRightInd/>
    </w:pPr>
  </w:style>
  <w:style w:type="paragraph" w:customStyle="1" w:styleId="47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7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7">
    <w:name w:val="正文（标题三）"/>
    <w:basedOn w:val="1"/>
    <w:qFormat/>
    <w:uiPriority w:val="0"/>
    <w:pPr>
      <w:spacing w:line="360" w:lineRule="auto"/>
      <w:ind w:firstLine="200" w:firstLineChars="200"/>
    </w:pPr>
    <w:rPr>
      <w:sz w:val="24"/>
    </w:rPr>
  </w:style>
  <w:style w:type="paragraph" w:customStyle="1" w:styleId="478">
    <w:name w:val="Char Char Char Char Char Char Char Char Char Char1"/>
    <w:basedOn w:val="1"/>
    <w:qFormat/>
    <w:uiPriority w:val="0"/>
    <w:rPr>
      <w:rFonts w:ascii="仿宋_GB2312" w:eastAsia="仿宋_GB2312"/>
      <w:b/>
      <w:sz w:val="32"/>
      <w:szCs w:val="32"/>
    </w:rPr>
  </w:style>
  <w:style w:type="paragraph" w:customStyle="1" w:styleId="479">
    <w:name w:val="正文 项目2"/>
    <w:basedOn w:val="385"/>
    <w:qFormat/>
    <w:uiPriority w:val="0"/>
    <w:pPr>
      <w:numPr>
        <w:ilvl w:val="0"/>
        <w:numId w:val="6"/>
      </w:numPr>
      <w:tabs>
        <w:tab w:val="clear" w:pos="840"/>
      </w:tabs>
      <w:spacing w:after="0"/>
    </w:pPr>
  </w:style>
  <w:style w:type="paragraph" w:customStyle="1" w:styleId="480">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48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8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8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4">
    <w:name w:val="Char Char13"/>
    <w:basedOn w:val="1"/>
    <w:qFormat/>
    <w:uiPriority w:val="0"/>
    <w:pPr>
      <w:widowControl/>
      <w:spacing w:after="160" w:line="240" w:lineRule="exact"/>
      <w:jc w:val="left"/>
    </w:pPr>
    <w:rPr>
      <w:rFonts w:eastAsia="仿宋_GB2312"/>
      <w:sz w:val="28"/>
    </w:rPr>
  </w:style>
  <w:style w:type="paragraph" w:customStyle="1" w:styleId="485">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4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87">
    <w:name w:val="表文字"/>
    <w:qFormat/>
    <w:uiPriority w:val="0"/>
    <w:rPr>
      <w:rFonts w:ascii="宋体" w:hAnsi="Times New Roman" w:eastAsia="宋体" w:cs="Times New Roman"/>
      <w:kern w:val="2"/>
      <w:lang w:val="en-US" w:eastAsia="zh-CN" w:bidi="ar-SA"/>
    </w:rPr>
  </w:style>
  <w:style w:type="paragraph" w:customStyle="1" w:styleId="488">
    <w:name w:val="左对齐表格文字"/>
    <w:basedOn w:val="1"/>
    <w:qFormat/>
    <w:uiPriority w:val="0"/>
    <w:pPr>
      <w:adjustRightInd/>
      <w:ind w:firstLine="200" w:firstLineChars="200"/>
      <w:jc w:val="right"/>
    </w:pPr>
  </w:style>
  <w:style w:type="paragraph" w:customStyle="1" w:styleId="489">
    <w:name w:val="Char Char111"/>
    <w:basedOn w:val="1"/>
    <w:qFormat/>
    <w:uiPriority w:val="0"/>
    <w:pPr>
      <w:spacing w:line="360" w:lineRule="auto"/>
    </w:pPr>
    <w:rPr>
      <w:szCs w:val="20"/>
    </w:rPr>
  </w:style>
  <w:style w:type="paragraph" w:customStyle="1" w:styleId="4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9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4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9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9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9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7">
    <w:name w:val="标题五"/>
    <w:basedOn w:val="1"/>
    <w:qFormat/>
    <w:uiPriority w:val="0"/>
    <w:pPr>
      <w:adjustRightInd/>
      <w:spacing w:before="156" w:beforeLines="50" w:line="360" w:lineRule="auto"/>
    </w:pPr>
    <w:rPr>
      <w:b/>
      <w:sz w:val="24"/>
    </w:rPr>
  </w:style>
  <w:style w:type="paragraph" w:customStyle="1" w:styleId="49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00">
    <w:name w:val="单元格居中"/>
    <w:basedOn w:val="1"/>
    <w:qFormat/>
    <w:uiPriority w:val="0"/>
    <w:pPr>
      <w:adjustRightInd/>
      <w:spacing w:line="360" w:lineRule="auto"/>
      <w:jc w:val="center"/>
    </w:pPr>
    <w:rPr>
      <w:sz w:val="24"/>
    </w:rPr>
  </w:style>
  <w:style w:type="paragraph" w:customStyle="1" w:styleId="501">
    <w:name w:val="五级条标题"/>
    <w:basedOn w:val="451"/>
    <w:next w:val="333"/>
    <w:qFormat/>
    <w:uiPriority w:val="0"/>
    <w:pPr>
      <w:numPr>
        <w:ilvl w:val="6"/>
      </w:numPr>
      <w:tabs>
        <w:tab w:val="clear" w:pos="2940"/>
      </w:tabs>
      <w:outlineLvl w:val="6"/>
    </w:pPr>
  </w:style>
  <w:style w:type="paragraph" w:customStyle="1" w:styleId="5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3">
    <w:name w:val="彩色列表 - 强调文字颜色 11"/>
    <w:basedOn w:val="1"/>
    <w:qFormat/>
    <w:uiPriority w:val="0"/>
    <w:pPr>
      <w:adjustRightInd/>
      <w:ind w:firstLine="420" w:firstLineChars="200"/>
    </w:pPr>
    <w:rPr>
      <w:rFonts w:ascii="Calibri" w:hAnsi="Calibri"/>
      <w:szCs w:val="22"/>
    </w:rPr>
  </w:style>
  <w:style w:type="paragraph" w:customStyle="1" w:styleId="5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5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9">
    <w:name w:val="Char1 Char Char Char3"/>
    <w:basedOn w:val="1"/>
    <w:qFormat/>
    <w:uiPriority w:val="0"/>
    <w:pPr>
      <w:adjustRightInd/>
      <w:ind w:firstLine="200" w:firstLineChars="200"/>
    </w:pPr>
    <w:rPr>
      <w:rFonts w:ascii="Tahoma" w:hAnsi="Tahoma"/>
      <w:sz w:val="24"/>
      <w:szCs w:val="20"/>
    </w:rPr>
  </w:style>
  <w:style w:type="paragraph" w:customStyle="1" w:styleId="51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1">
    <w:name w:val="Char Char1 Char Char1 Char Char1"/>
    <w:basedOn w:val="1"/>
    <w:qFormat/>
    <w:uiPriority w:val="0"/>
    <w:pPr>
      <w:tabs>
        <w:tab w:val="left" w:pos="840"/>
      </w:tabs>
      <w:ind w:left="840" w:hanging="420"/>
    </w:pPr>
    <w:rPr>
      <w:rFonts w:ascii="Tahoma" w:hAnsi="Tahoma"/>
      <w:sz w:val="24"/>
    </w:rPr>
  </w:style>
  <w:style w:type="paragraph" w:customStyle="1" w:styleId="512">
    <w:name w:val="EB_表格"/>
    <w:basedOn w:val="1"/>
    <w:qFormat/>
    <w:uiPriority w:val="0"/>
    <w:pPr>
      <w:adjustRightInd/>
      <w:spacing w:line="300" w:lineRule="auto"/>
      <w:jc w:val="center"/>
    </w:pPr>
  </w:style>
  <w:style w:type="paragraph" w:customStyle="1" w:styleId="513">
    <w:name w:val="Char1 Char Char Char4"/>
    <w:basedOn w:val="1"/>
    <w:qFormat/>
    <w:uiPriority w:val="0"/>
    <w:pPr>
      <w:adjustRightInd/>
      <w:ind w:firstLine="200" w:firstLineChars="200"/>
    </w:pPr>
    <w:rPr>
      <w:rFonts w:ascii="Tahoma" w:hAnsi="Tahoma"/>
      <w:sz w:val="24"/>
      <w:szCs w:val="20"/>
    </w:rPr>
  </w:style>
  <w:style w:type="paragraph" w:customStyle="1" w:styleId="51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15">
    <w:name w:val="Char Char Char Char Char Char Char Char Char Char Char Char1 Char1"/>
    <w:basedOn w:val="1"/>
    <w:qFormat/>
    <w:uiPriority w:val="0"/>
    <w:rPr>
      <w:rFonts w:ascii="Tahoma" w:hAnsi="Tahoma" w:cs="仿宋_GB2312"/>
      <w:sz w:val="24"/>
      <w:szCs w:val="20"/>
    </w:rPr>
  </w:style>
  <w:style w:type="paragraph" w:customStyle="1" w:styleId="516">
    <w:name w:val="Char Char Char Char Char Char Char Char Char Char Char1 Char"/>
    <w:basedOn w:val="1"/>
    <w:qFormat/>
    <w:uiPriority w:val="0"/>
    <w:pPr>
      <w:adjustRightInd/>
    </w:pPr>
    <w:rPr>
      <w:rFonts w:ascii="Tahoma" w:hAnsi="Tahoma"/>
      <w:sz w:val="24"/>
    </w:rPr>
  </w:style>
  <w:style w:type="paragraph" w:customStyle="1" w:styleId="5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8">
    <w:name w:val="Char Char1 Char Char Char Char Char Char1"/>
    <w:basedOn w:val="1"/>
    <w:qFormat/>
    <w:uiPriority w:val="0"/>
    <w:rPr>
      <w:rFonts w:ascii="仿宋_GB2312" w:eastAsia="仿宋_GB2312"/>
      <w:b/>
      <w:sz w:val="32"/>
      <w:szCs w:val="20"/>
    </w:rPr>
  </w:style>
  <w:style w:type="paragraph" w:customStyle="1" w:styleId="5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1">
    <w:name w:val="正文21"/>
    <w:basedOn w:val="1"/>
    <w:qFormat/>
    <w:uiPriority w:val="0"/>
    <w:pPr>
      <w:adjustRightInd/>
      <w:spacing w:before="156" w:line="360" w:lineRule="auto"/>
      <w:ind w:firstLine="510" w:firstLineChars="200"/>
    </w:pPr>
    <w:rPr>
      <w:sz w:val="24"/>
      <w:szCs w:val="20"/>
    </w:rPr>
  </w:style>
  <w:style w:type="paragraph" w:customStyle="1" w:styleId="522">
    <w:name w:val="默认段落样式"/>
    <w:basedOn w:val="103"/>
    <w:qFormat/>
    <w:uiPriority w:val="0"/>
    <w:pPr>
      <w:spacing w:before="0"/>
      <w:ind w:firstLine="480"/>
      <w:outlineLvl w:val="2"/>
    </w:pPr>
    <w:rPr>
      <w:rFonts w:ascii="仿宋_GB2312" w:hAnsi="宋体" w:eastAsia="仿宋_GB2312"/>
      <w:color w:val="000000"/>
      <w:szCs w:val="24"/>
    </w:rPr>
  </w:style>
  <w:style w:type="paragraph" w:customStyle="1" w:styleId="523">
    <w:name w:val="_Style 519"/>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2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2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7">
    <w:name w:val="数字标题1"/>
    <w:basedOn w:val="3"/>
    <w:next w:val="1"/>
    <w:qFormat/>
    <w:uiPriority w:val="0"/>
    <w:pPr>
      <w:numPr>
        <w:numId w:val="5"/>
      </w:numPr>
      <w:tabs>
        <w:tab w:val="left" w:pos="480"/>
        <w:tab w:val="clear" w:pos="432"/>
      </w:tabs>
    </w:pPr>
  </w:style>
  <w:style w:type="paragraph" w:customStyle="1" w:styleId="528">
    <w:name w:val="默认段落字体 Para Char Char Char Char Char Char Char"/>
    <w:basedOn w:val="1"/>
    <w:qFormat/>
    <w:uiPriority w:val="0"/>
    <w:rPr>
      <w:rFonts w:eastAsia="仿宋_GB2312"/>
      <w:sz w:val="28"/>
      <w:szCs w:val="20"/>
    </w:rPr>
  </w:style>
  <w:style w:type="paragraph" w:customStyle="1" w:styleId="529">
    <w:name w:val="四号　首行缩进"/>
    <w:basedOn w:val="1"/>
    <w:qFormat/>
    <w:uiPriority w:val="0"/>
    <w:pPr>
      <w:adjustRightInd/>
      <w:spacing w:line="360" w:lineRule="auto"/>
    </w:pPr>
    <w:rPr>
      <w:rFonts w:ascii="宋体" w:hAnsi="宋体"/>
      <w:szCs w:val="20"/>
    </w:rPr>
  </w:style>
  <w:style w:type="paragraph" w:customStyle="1" w:styleId="530">
    <w:name w:val="Char Char1 Char Char Char1"/>
    <w:basedOn w:val="1"/>
    <w:qFormat/>
    <w:uiPriority w:val="0"/>
    <w:rPr>
      <w:rFonts w:ascii="仿宋_GB2312" w:eastAsia="仿宋_GB2312"/>
      <w:b/>
      <w:sz w:val="32"/>
      <w:szCs w:val="32"/>
    </w:rPr>
  </w:style>
  <w:style w:type="paragraph" w:customStyle="1" w:styleId="531">
    <w:name w:val="样式 正文文本缩进 + 段前: 2 字符"/>
    <w:basedOn w:val="1"/>
    <w:qFormat/>
    <w:uiPriority w:val="0"/>
    <w:pPr>
      <w:adjustRightInd/>
      <w:ind w:left="420" w:leftChars="200"/>
      <w:jc w:val="left"/>
    </w:pPr>
    <w:rPr>
      <w:sz w:val="28"/>
      <w:szCs w:val="20"/>
      <w:lang w:eastAsia="zh-TW"/>
    </w:rPr>
  </w:style>
  <w:style w:type="paragraph" w:customStyle="1" w:styleId="532">
    <w:name w:val="MM Empty"/>
    <w:basedOn w:val="1"/>
    <w:qFormat/>
    <w:uiPriority w:val="0"/>
    <w:pPr>
      <w:adjustRightInd/>
    </w:pPr>
  </w:style>
  <w:style w:type="paragraph" w:customStyle="1" w:styleId="53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5">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3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4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4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43">
    <w:name w:val="Char3 Char Char Char1"/>
    <w:basedOn w:val="1"/>
    <w:qFormat/>
    <w:uiPriority w:val="0"/>
    <w:pPr>
      <w:widowControl/>
      <w:adjustRightInd/>
      <w:spacing w:after="160" w:line="240" w:lineRule="exact"/>
      <w:jc w:val="left"/>
    </w:pPr>
    <w:rPr>
      <w:szCs w:val="20"/>
    </w:rPr>
  </w:style>
  <w:style w:type="paragraph" w:customStyle="1" w:styleId="54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45">
    <w:name w:val="Char Char11 Char Char Char1"/>
    <w:basedOn w:val="1"/>
    <w:qFormat/>
    <w:uiPriority w:val="0"/>
    <w:pPr>
      <w:spacing w:line="360" w:lineRule="auto"/>
    </w:pPr>
    <w:rPr>
      <w:szCs w:val="20"/>
    </w:rPr>
  </w:style>
  <w:style w:type="paragraph" w:customStyle="1" w:styleId="54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7">
    <w:name w:val="MM Topic 2"/>
    <w:basedOn w:val="4"/>
    <w:qFormat/>
    <w:uiPriority w:val="0"/>
    <w:pPr>
      <w:numPr>
        <w:ilvl w:val="1"/>
        <w:numId w:val="4"/>
      </w:numPr>
      <w:tabs>
        <w:tab w:val="clear" w:pos="432"/>
      </w:tabs>
    </w:pPr>
    <w:rPr>
      <w:rFonts w:ascii="Arial" w:hAnsi="Arial" w:eastAsia="黑体"/>
      <w:lang w:val="en-US"/>
    </w:rPr>
  </w:style>
  <w:style w:type="paragraph" w:customStyle="1" w:styleId="54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9">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5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5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5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560">
    <w:name w:val="_Style 12"/>
    <w:basedOn w:val="18"/>
    <w:qFormat/>
    <w:uiPriority w:val="0"/>
    <w:pPr>
      <w:snapToGrid w:val="0"/>
      <w:spacing w:line="360" w:lineRule="auto"/>
    </w:pPr>
  </w:style>
  <w:style w:type="paragraph" w:customStyle="1" w:styleId="56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6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65">
    <w:name w:val="P1"/>
    <w:basedOn w:val="1"/>
    <w:qFormat/>
    <w:uiPriority w:val="0"/>
    <w:pPr>
      <w:adjustRightInd/>
      <w:spacing w:line="288" w:lineRule="auto"/>
      <w:ind w:firstLine="425" w:firstLineChars="200"/>
    </w:pPr>
  </w:style>
  <w:style w:type="paragraph" w:customStyle="1" w:styleId="56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Char Char14"/>
    <w:basedOn w:val="1"/>
    <w:qFormat/>
    <w:uiPriority w:val="0"/>
    <w:pPr>
      <w:spacing w:line="360" w:lineRule="auto"/>
    </w:pPr>
    <w:rPr>
      <w:rFonts w:ascii="Tahoma" w:hAnsi="Tahoma"/>
      <w:sz w:val="24"/>
      <w:szCs w:val="20"/>
    </w:rPr>
  </w:style>
  <w:style w:type="paragraph" w:customStyle="1" w:styleId="56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7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单元格左对齐"/>
    <w:basedOn w:val="1"/>
    <w:qFormat/>
    <w:uiPriority w:val="0"/>
    <w:pPr>
      <w:adjustRightInd/>
      <w:spacing w:line="360" w:lineRule="auto"/>
    </w:pPr>
    <w:rPr>
      <w:sz w:val="24"/>
    </w:rPr>
  </w:style>
  <w:style w:type="paragraph" w:customStyle="1" w:styleId="57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75">
    <w:name w:val="Char21"/>
    <w:basedOn w:val="1"/>
    <w:qFormat/>
    <w:uiPriority w:val="0"/>
    <w:pPr>
      <w:adjustRightInd/>
      <w:ind w:firstLine="200" w:firstLineChars="200"/>
    </w:pPr>
    <w:rPr>
      <w:rFonts w:ascii="仿宋_GB2312" w:eastAsia="仿宋_GB2312"/>
      <w:b/>
      <w:sz w:val="32"/>
      <w:szCs w:val="32"/>
    </w:rPr>
  </w:style>
  <w:style w:type="paragraph" w:customStyle="1" w:styleId="57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7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8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1">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582">
    <w:name w:val="FA正文"/>
    <w:basedOn w:val="1"/>
    <w:qFormat/>
    <w:uiPriority w:val="0"/>
    <w:pPr>
      <w:spacing w:line="360" w:lineRule="auto"/>
      <w:ind w:firstLine="480" w:firstLineChars="200"/>
    </w:pPr>
    <w:rPr>
      <w:rFonts w:hAnsi="宋体"/>
      <w:sz w:val="24"/>
      <w:szCs w:val="20"/>
    </w:rPr>
  </w:style>
  <w:style w:type="paragraph" w:customStyle="1" w:styleId="583">
    <w:name w:val="Char Char Char Char2"/>
    <w:basedOn w:val="1"/>
    <w:qFormat/>
    <w:uiPriority w:val="0"/>
    <w:rPr>
      <w:rFonts w:ascii="Tahoma" w:hAnsi="Tahoma"/>
      <w:sz w:val="24"/>
      <w:szCs w:val="20"/>
    </w:rPr>
  </w:style>
  <w:style w:type="paragraph" w:customStyle="1" w:styleId="58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87">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588">
    <w:name w:val="彩色列表 - 强调文字颜色 12"/>
    <w:basedOn w:val="1"/>
    <w:qFormat/>
    <w:uiPriority w:val="0"/>
    <w:pPr>
      <w:adjustRightInd/>
      <w:ind w:firstLine="420" w:firstLineChars="200"/>
    </w:pPr>
    <w:rPr>
      <w:rFonts w:ascii="Calibri" w:hAnsi="Calibri"/>
      <w:szCs w:val="22"/>
    </w:rPr>
  </w:style>
  <w:style w:type="paragraph" w:customStyle="1" w:styleId="589">
    <w:name w:val="List Paragraph1"/>
    <w:basedOn w:val="1"/>
    <w:qFormat/>
    <w:uiPriority w:val="34"/>
    <w:pPr>
      <w:spacing w:line="360" w:lineRule="auto"/>
      <w:ind w:firstLine="200" w:firstLineChars="200"/>
    </w:pPr>
    <w:rPr>
      <w:rFonts w:eastAsia="楷体_GB2312" w:cs="Lucida Sans"/>
      <w:sz w:val="24"/>
    </w:rPr>
  </w:style>
  <w:style w:type="paragraph" w:customStyle="1" w:styleId="590">
    <w:name w:val="Char13"/>
    <w:basedOn w:val="1"/>
    <w:qFormat/>
    <w:uiPriority w:val="0"/>
    <w:rPr>
      <w:rFonts w:ascii="仿宋_GB2312" w:eastAsia="仿宋_GB2312"/>
      <w:b/>
      <w:sz w:val="32"/>
      <w:szCs w:val="32"/>
    </w:rPr>
  </w:style>
  <w:style w:type="paragraph" w:customStyle="1" w:styleId="591">
    <w:name w:val="MM Topic 5"/>
    <w:basedOn w:val="7"/>
    <w:qFormat/>
    <w:uiPriority w:val="0"/>
    <w:pPr>
      <w:numPr>
        <w:numId w:val="4"/>
      </w:numPr>
      <w:tabs>
        <w:tab w:val="left" w:pos="2520"/>
        <w:tab w:val="clear" w:pos="1008"/>
      </w:tabs>
      <w:adjustRightInd/>
    </w:pPr>
  </w:style>
  <w:style w:type="paragraph" w:customStyle="1" w:styleId="592">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5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4">
    <w:name w:val="CM14"/>
    <w:basedOn w:val="373"/>
    <w:next w:val="373"/>
    <w:qFormat/>
    <w:uiPriority w:val="0"/>
    <w:pPr>
      <w:spacing w:after="68"/>
    </w:pPr>
    <w:rPr>
      <w:rFonts w:ascii="FHLHE E+ Futura Bk" w:eastAsia="FHLHE E+ Futura Bk" w:cs="Times New Roman"/>
      <w:color w:val="auto"/>
    </w:rPr>
  </w:style>
  <w:style w:type="paragraph" w:customStyle="1" w:styleId="59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8">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99">
    <w:name w:val="Char2 Char Char1"/>
    <w:basedOn w:val="1"/>
    <w:qFormat/>
    <w:uiPriority w:val="0"/>
    <w:pPr>
      <w:adjustRightInd/>
    </w:pPr>
    <w:rPr>
      <w:rFonts w:ascii="Tahoma" w:hAnsi="Tahoma"/>
      <w:sz w:val="24"/>
      <w:szCs w:val="20"/>
    </w:rPr>
  </w:style>
  <w:style w:type="paragraph" w:customStyle="1" w:styleId="600">
    <w:name w:val="Char Char Char"/>
    <w:basedOn w:val="1"/>
    <w:qFormat/>
    <w:uiPriority w:val="0"/>
    <w:rPr>
      <w:rFonts w:ascii="Tahoma" w:hAnsi="Tahoma"/>
      <w:sz w:val="24"/>
      <w:szCs w:val="20"/>
    </w:rPr>
  </w:style>
  <w:style w:type="paragraph" w:customStyle="1" w:styleId="6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2">
    <w:name w:val="索引 11"/>
    <w:basedOn w:val="1"/>
    <w:next w:val="1"/>
    <w:qFormat/>
    <w:uiPriority w:val="0"/>
    <w:pPr>
      <w:adjustRightInd/>
      <w:spacing w:line="360" w:lineRule="auto"/>
    </w:pPr>
    <w:rPr>
      <w:rFonts w:ascii="仿宋_GB2312" w:eastAsia="仿宋_GB2312"/>
      <w:sz w:val="24"/>
      <w:szCs w:val="20"/>
    </w:rPr>
  </w:style>
  <w:style w:type="paragraph" w:customStyle="1" w:styleId="603">
    <w:name w:val="正文文字 2"/>
    <w:basedOn w:val="373"/>
    <w:next w:val="373"/>
    <w:qFormat/>
    <w:uiPriority w:val="0"/>
    <w:rPr>
      <w:rFonts w:ascii="宋体" w:eastAsia="宋体" w:cs="Times New Roman"/>
      <w:color w:val="auto"/>
    </w:rPr>
  </w:style>
  <w:style w:type="paragraph" w:customStyle="1" w:styleId="60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05">
    <w:name w:val="Char2 Char Char Char1"/>
    <w:basedOn w:val="1"/>
    <w:qFormat/>
    <w:uiPriority w:val="0"/>
    <w:rPr>
      <w:rFonts w:ascii="仿宋_GB2312" w:eastAsia="仿宋_GB2312"/>
      <w:b/>
      <w:sz w:val="32"/>
      <w:szCs w:val="32"/>
    </w:rPr>
  </w:style>
  <w:style w:type="paragraph" w:customStyle="1" w:styleId="60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607">
    <w:name w:val="a1"/>
    <w:basedOn w:val="1"/>
    <w:qFormat/>
    <w:uiPriority w:val="0"/>
    <w:pPr>
      <w:widowControl/>
      <w:spacing w:line="300" w:lineRule="atLeast"/>
      <w:jc w:val="left"/>
    </w:pPr>
    <w:rPr>
      <w:rFonts w:ascii="宋体" w:hAnsi="宋体"/>
      <w:kern w:val="0"/>
      <w:sz w:val="18"/>
      <w:szCs w:val="20"/>
    </w:rPr>
  </w:style>
  <w:style w:type="paragraph" w:customStyle="1" w:styleId="608">
    <w:name w:val="默认段落字体 Para Char Char Char Char"/>
    <w:basedOn w:val="1"/>
    <w:qFormat/>
    <w:uiPriority w:val="0"/>
    <w:pPr>
      <w:spacing w:line="360" w:lineRule="auto"/>
    </w:pPr>
    <w:rPr>
      <w:szCs w:val="20"/>
    </w:rPr>
  </w:style>
  <w:style w:type="paragraph" w:customStyle="1" w:styleId="609">
    <w:name w:val="Thf"/>
    <w:basedOn w:val="567"/>
    <w:qFormat/>
    <w:uiPriority w:val="0"/>
    <w:pPr>
      <w:ind w:left="0"/>
    </w:pPr>
  </w:style>
  <w:style w:type="paragraph" w:customStyle="1" w:styleId="610">
    <w:name w:val="Char Char4 Char Char"/>
    <w:basedOn w:val="1"/>
    <w:qFormat/>
    <w:uiPriority w:val="0"/>
    <w:pPr>
      <w:widowControl/>
      <w:adjustRightInd/>
      <w:spacing w:after="160" w:line="240" w:lineRule="exact"/>
      <w:jc w:val="left"/>
    </w:pPr>
  </w:style>
  <w:style w:type="paragraph" w:customStyle="1" w:styleId="611">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12">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6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封面"/>
    <w:basedOn w:val="1"/>
    <w:qFormat/>
    <w:uiPriority w:val="0"/>
    <w:pPr>
      <w:spacing w:line="360" w:lineRule="atLeast"/>
      <w:jc w:val="right"/>
      <w:textAlignment w:val="baseline"/>
    </w:pPr>
    <w:rPr>
      <w:rFonts w:ascii="Symbol" w:hAnsi="Symbol"/>
      <w:kern w:val="0"/>
      <w:szCs w:val="20"/>
    </w:rPr>
  </w:style>
  <w:style w:type="paragraph" w:customStyle="1" w:styleId="61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1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61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6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21">
    <w:name w:val="列表内容"/>
    <w:basedOn w:val="1"/>
    <w:next w:val="1"/>
    <w:qFormat/>
    <w:uiPriority w:val="0"/>
    <w:pPr>
      <w:widowControl/>
      <w:tabs>
        <w:tab w:val="left" w:pos="840"/>
      </w:tabs>
      <w:ind w:left="840" w:hanging="420"/>
      <w:jc w:val="left"/>
    </w:pPr>
    <w:rPr>
      <w:kern w:val="0"/>
      <w:sz w:val="18"/>
    </w:rPr>
  </w:style>
  <w:style w:type="paragraph" w:customStyle="1" w:styleId="62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623">
    <w:name w:val="图中文字"/>
    <w:basedOn w:val="1"/>
    <w:qFormat/>
    <w:uiPriority w:val="0"/>
    <w:pPr>
      <w:snapToGrid w:val="0"/>
      <w:spacing w:line="0" w:lineRule="atLeast"/>
      <w:ind w:firstLine="200" w:firstLineChars="200"/>
      <w:jc w:val="center"/>
    </w:pPr>
    <w:rPr>
      <w:sz w:val="24"/>
      <w:szCs w:val="20"/>
    </w:rPr>
  </w:style>
  <w:style w:type="paragraph" w:customStyle="1" w:styleId="62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5">
    <w:name w:val="p0"/>
    <w:basedOn w:val="1"/>
    <w:qFormat/>
    <w:uiPriority w:val="0"/>
    <w:pPr>
      <w:widowControl/>
      <w:adjustRightInd/>
    </w:pPr>
    <w:rPr>
      <w:kern w:val="0"/>
      <w:szCs w:val="21"/>
    </w:rPr>
  </w:style>
  <w:style w:type="paragraph" w:customStyle="1" w:styleId="626">
    <w:name w:val="注释"/>
    <w:basedOn w:val="1"/>
    <w:qFormat/>
    <w:uiPriority w:val="0"/>
    <w:pPr>
      <w:adjustRightInd/>
      <w:spacing w:line="360" w:lineRule="auto"/>
      <w:ind w:firstLine="480"/>
    </w:pPr>
    <w:rPr>
      <w:sz w:val="24"/>
    </w:rPr>
  </w:style>
  <w:style w:type="paragraph" w:customStyle="1" w:styleId="62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2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character" w:customStyle="1" w:styleId="629">
    <w:name w:val="font31"/>
    <w:basedOn w:val="63"/>
    <w:qFormat/>
    <w:uiPriority w:val="0"/>
    <w:rPr>
      <w:rFonts w:hint="eastAsia" w:ascii="宋体" w:hAnsi="宋体" w:eastAsia="宋体" w:cs="宋体"/>
      <w:color w:val="000000"/>
      <w:sz w:val="22"/>
      <w:szCs w:val="22"/>
      <w:u w:val="none"/>
    </w:rPr>
  </w:style>
  <w:style w:type="character" w:customStyle="1" w:styleId="630">
    <w:name w:val="font61"/>
    <w:basedOn w:val="63"/>
    <w:qFormat/>
    <w:uiPriority w:val="0"/>
    <w:rPr>
      <w:rFonts w:hint="eastAsia" w:ascii="宋体" w:hAnsi="宋体" w:eastAsia="宋体" w:cs="宋体"/>
      <w:color w:val="000000"/>
      <w:sz w:val="22"/>
      <w:szCs w:val="22"/>
      <w:u w:val="single"/>
    </w:rPr>
  </w:style>
  <w:style w:type="character" w:customStyle="1" w:styleId="631">
    <w:name w:val="font51"/>
    <w:basedOn w:val="63"/>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27674</Words>
  <Characters>29918</Characters>
  <Lines>166</Lines>
  <Paragraphs>47</Paragraphs>
  <TotalTime>7</TotalTime>
  <ScaleCrop>false</ScaleCrop>
  <LinksUpToDate>false</LinksUpToDate>
  <CharactersWithSpaces>30983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大象_不会跳</cp:lastModifiedBy>
  <cp:lastPrinted>2023-06-16T03:05:00Z</cp:lastPrinted>
  <dcterms:modified xsi:type="dcterms:W3CDTF">2025-07-11T04:25:24Z</dcterms:modified>
  <dc:title>绍兴市柯桥区政府采购招标文件示范文本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4B1AF45188A2481FB648A61E4109A514_13</vt:lpwstr>
  </property>
  <property fmtid="{D5CDD505-2E9C-101B-9397-08002B2CF9AE}" pid="4" name="KSOTemplateDocerSaveRecord">
    <vt:lpwstr>eyJoZGlkIjoiNjNhYzZjZmM5MGQ1ZGFjMzFlODg5MDRiMzgyMTViMjMiLCJ1c2VySWQiOiIzMjUxNTkxNzAifQ==</vt:lpwstr>
  </property>
</Properties>
</file>