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CD7CF">
      <w:pPr>
        <w:spacing w:line="360" w:lineRule="auto"/>
        <w:jc w:val="center"/>
        <w:rPr>
          <w:rFonts w:ascii="宋体" w:hAnsi="宋体" w:cs="宋体"/>
          <w:b/>
          <w:color w:val="auto"/>
          <w:sz w:val="24"/>
          <w:highlight w:val="none"/>
        </w:rPr>
      </w:pPr>
      <w:bookmarkStart w:id="387" w:name="_GoBack"/>
    </w:p>
    <w:p w14:paraId="019E9D27">
      <w:pPr>
        <w:adjustRightInd/>
        <w:spacing w:line="360" w:lineRule="auto"/>
        <w:jc w:val="center"/>
        <w:rPr>
          <w:rFonts w:hint="eastAsia" w:ascii="宋体" w:hAnsi="宋体" w:cs="宋体"/>
          <w:color w:val="auto"/>
          <w:sz w:val="44"/>
          <w:szCs w:val="44"/>
          <w:highlight w:val="none"/>
          <w:lang w:eastAsia="zh-CN"/>
        </w:rPr>
      </w:pPr>
    </w:p>
    <w:p w14:paraId="4CEED927">
      <w:pPr>
        <w:adjustRightInd/>
        <w:spacing w:line="360" w:lineRule="auto"/>
        <w:jc w:val="center"/>
        <w:rPr>
          <w:rFonts w:hint="eastAsia" w:ascii="宋体" w:hAnsi="宋体" w:eastAsia="宋体" w:cs="宋体"/>
          <w:color w:val="auto"/>
          <w:sz w:val="44"/>
          <w:szCs w:val="44"/>
          <w:highlight w:val="none"/>
          <w:lang w:eastAsia="zh-CN"/>
        </w:rPr>
      </w:pPr>
      <w:r>
        <w:rPr>
          <w:rFonts w:hint="eastAsia" w:ascii="宋体" w:hAnsi="宋体" w:cs="宋体"/>
          <w:color w:val="auto"/>
          <w:sz w:val="44"/>
          <w:szCs w:val="44"/>
          <w:highlight w:val="none"/>
          <w:lang w:eastAsia="zh-CN"/>
        </w:rPr>
        <w:t>瓜沥镇山三村环境卫生保洁采购项目</w:t>
      </w:r>
    </w:p>
    <w:p w14:paraId="06C44934">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交易文件</w:t>
      </w:r>
    </w:p>
    <w:p w14:paraId="775A5059">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6E4BA52">
      <w:pPr>
        <w:adjustRightInd/>
        <w:spacing w:line="360" w:lineRule="auto"/>
        <w:jc w:val="center"/>
        <w:rPr>
          <w:rFonts w:hint="eastAsia" w:ascii="宋体" w:hAnsi="宋体" w:eastAsia="宋体" w:cs="宋体"/>
          <w:b/>
          <w:color w:val="auto"/>
          <w:sz w:val="44"/>
          <w:szCs w:val="44"/>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2025-GLQTCG-11</w:t>
      </w:r>
    </w:p>
    <w:p w14:paraId="29D904DA">
      <w:pPr>
        <w:spacing w:line="360" w:lineRule="auto"/>
        <w:jc w:val="center"/>
        <w:rPr>
          <w:rFonts w:ascii="宋体" w:hAnsi="宋体" w:cs="宋体"/>
          <w:b/>
          <w:color w:val="auto"/>
          <w:sz w:val="44"/>
          <w:szCs w:val="44"/>
          <w:highlight w:val="none"/>
        </w:rPr>
      </w:pPr>
    </w:p>
    <w:p w14:paraId="76E0EEDF">
      <w:pPr>
        <w:spacing w:line="360" w:lineRule="auto"/>
        <w:jc w:val="center"/>
        <w:rPr>
          <w:rFonts w:ascii="宋体" w:hAnsi="宋体" w:cs="宋体"/>
          <w:b/>
          <w:color w:val="auto"/>
          <w:sz w:val="44"/>
          <w:szCs w:val="44"/>
          <w:highlight w:val="none"/>
        </w:rPr>
      </w:pPr>
    </w:p>
    <w:p w14:paraId="5BE7BCA1">
      <w:pPr>
        <w:spacing w:line="360" w:lineRule="auto"/>
        <w:jc w:val="center"/>
        <w:rPr>
          <w:rFonts w:ascii="宋体" w:hAnsi="宋体" w:cs="宋体"/>
          <w:color w:val="auto"/>
          <w:sz w:val="24"/>
          <w:highlight w:val="none"/>
        </w:rPr>
      </w:pPr>
    </w:p>
    <w:p w14:paraId="4513C85F">
      <w:pPr>
        <w:spacing w:line="360" w:lineRule="auto"/>
        <w:jc w:val="center"/>
        <w:rPr>
          <w:rFonts w:ascii="宋体" w:hAnsi="宋体" w:cs="宋体"/>
          <w:color w:val="auto"/>
          <w:sz w:val="24"/>
          <w:highlight w:val="none"/>
        </w:rPr>
      </w:pPr>
    </w:p>
    <w:p w14:paraId="628324B7">
      <w:pPr>
        <w:spacing w:line="360" w:lineRule="auto"/>
        <w:rPr>
          <w:rFonts w:ascii="宋体" w:hAnsi="宋体" w:cs="宋体"/>
          <w:color w:val="auto"/>
          <w:sz w:val="32"/>
          <w:szCs w:val="32"/>
          <w:highlight w:val="none"/>
        </w:rPr>
      </w:pPr>
    </w:p>
    <w:p w14:paraId="5A2C0653">
      <w:pPr>
        <w:spacing w:line="360" w:lineRule="auto"/>
        <w:jc w:val="center"/>
        <w:rPr>
          <w:rFonts w:ascii="宋体" w:hAnsi="宋体" w:cs="宋体"/>
          <w:bCs/>
          <w:color w:val="auto"/>
          <w:sz w:val="32"/>
          <w:szCs w:val="32"/>
          <w:highlight w:val="none"/>
        </w:rPr>
      </w:pPr>
    </w:p>
    <w:p w14:paraId="47509AC7">
      <w:pPr>
        <w:spacing w:line="360" w:lineRule="auto"/>
        <w:jc w:val="center"/>
        <w:rPr>
          <w:rFonts w:ascii="宋体" w:hAnsi="宋体" w:cs="宋体"/>
          <w:bCs/>
          <w:color w:val="auto"/>
          <w:sz w:val="32"/>
          <w:szCs w:val="32"/>
          <w:highlight w:val="none"/>
        </w:rPr>
      </w:pPr>
    </w:p>
    <w:p w14:paraId="64A08F53">
      <w:pPr>
        <w:spacing w:line="360" w:lineRule="auto"/>
        <w:jc w:val="center"/>
        <w:rPr>
          <w:rFonts w:ascii="宋体" w:hAnsi="宋体" w:cs="宋体"/>
          <w:bCs/>
          <w:color w:val="auto"/>
          <w:sz w:val="32"/>
          <w:szCs w:val="32"/>
          <w:highlight w:val="none"/>
        </w:rPr>
      </w:pPr>
    </w:p>
    <w:p w14:paraId="24BFA090">
      <w:pPr>
        <w:spacing w:line="360" w:lineRule="auto"/>
        <w:jc w:val="center"/>
        <w:rPr>
          <w:rFonts w:ascii="宋体" w:hAnsi="宋体" w:cs="宋体"/>
          <w:bCs/>
          <w:color w:val="auto"/>
          <w:sz w:val="32"/>
          <w:szCs w:val="32"/>
          <w:highlight w:val="none"/>
        </w:rPr>
      </w:pPr>
    </w:p>
    <w:p w14:paraId="4AA9BEF5">
      <w:pPr>
        <w:spacing w:line="360" w:lineRule="auto"/>
        <w:jc w:val="center"/>
        <w:rPr>
          <w:rFonts w:hint="eastAsia" w:ascii="宋体" w:hAnsi="宋体" w:cs="宋体"/>
          <w:bCs/>
          <w:color w:val="auto"/>
          <w:sz w:val="32"/>
          <w:szCs w:val="32"/>
          <w:highlight w:val="none"/>
        </w:rPr>
      </w:pPr>
    </w:p>
    <w:p w14:paraId="50873DD1">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杭州萧山瓜沥山三股份经济联合社</w:t>
      </w:r>
    </w:p>
    <w:p w14:paraId="584165D2">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浙江泛亚工程咨询有限公司</w:t>
      </w:r>
    </w:p>
    <w:p w14:paraId="3AFC735F">
      <w:pPr>
        <w:spacing w:line="360" w:lineRule="auto"/>
        <w:jc w:val="center"/>
        <w:rPr>
          <w:rFonts w:ascii="宋体" w:hAnsi="宋体" w:cs="宋体"/>
          <w:color w:val="auto"/>
          <w:sz w:val="24"/>
          <w:highlight w:val="none"/>
        </w:rPr>
      </w:pPr>
      <w:r>
        <w:rPr>
          <w:rFonts w:hint="eastAsia" w:ascii="宋体" w:hAnsi="宋体" w:cs="宋体"/>
          <w:bCs/>
          <w:color w:val="auto"/>
          <w:sz w:val="32"/>
          <w:szCs w:val="32"/>
          <w:highlight w:val="none"/>
          <w:lang w:eastAsia="zh-CN"/>
        </w:rPr>
        <w:t>二〇二五年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lang w:eastAsia="zh-CN"/>
        </w:rPr>
        <w:t>月</w:t>
      </w:r>
      <w:r>
        <w:rPr>
          <w:rFonts w:hint="eastAsia" w:ascii="宋体" w:hAnsi="宋体" w:cs="宋体"/>
          <w:color w:val="auto"/>
          <w:sz w:val="24"/>
          <w:highlight w:val="none"/>
        </w:rPr>
        <w:br w:type="page"/>
      </w:r>
      <w:bookmarkStart w:id="0" w:name="_Hlt67893495"/>
      <w:bookmarkEnd w:id="0"/>
    </w:p>
    <w:p w14:paraId="45FF2AB4">
      <w:pPr>
        <w:spacing w:line="360" w:lineRule="auto"/>
        <w:jc w:val="center"/>
        <w:rPr>
          <w:rFonts w:ascii="宋体" w:hAnsi="宋体" w:cs="宋体"/>
          <w:color w:val="auto"/>
          <w:sz w:val="24"/>
          <w:highlight w:val="none"/>
        </w:rPr>
      </w:pPr>
    </w:p>
    <w:p w14:paraId="7BD3420B">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194EF5F">
      <w:pPr>
        <w:spacing w:line="360" w:lineRule="auto"/>
        <w:rPr>
          <w:rFonts w:ascii="宋体" w:hAnsi="宋体" w:cs="宋体"/>
          <w:color w:val="auto"/>
          <w:sz w:val="32"/>
          <w:szCs w:val="32"/>
          <w:highlight w:val="none"/>
        </w:rPr>
      </w:pPr>
    </w:p>
    <w:p w14:paraId="0CE2B483">
      <w:pPr>
        <w:spacing w:line="360" w:lineRule="auto"/>
        <w:rPr>
          <w:rFonts w:ascii="宋体" w:hAnsi="宋体" w:cs="宋体"/>
          <w:color w:val="auto"/>
          <w:sz w:val="32"/>
          <w:szCs w:val="32"/>
          <w:highlight w:val="none"/>
        </w:rPr>
      </w:pPr>
    </w:p>
    <w:p w14:paraId="14430C5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14:paraId="0A1EE57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响应人须知</w:t>
      </w:r>
    </w:p>
    <w:p w14:paraId="19D0671F">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 xml:space="preserve">第三部分      </w:t>
      </w:r>
      <w:r>
        <w:rPr>
          <w:rFonts w:hint="eastAsia" w:ascii="宋体" w:hAnsi="宋体" w:cs="宋体"/>
          <w:color w:val="auto"/>
          <w:sz w:val="32"/>
          <w:szCs w:val="32"/>
          <w:highlight w:val="none"/>
          <w:lang w:eastAsia="zh-CN"/>
        </w:rPr>
        <w:t>交易需求</w:t>
      </w:r>
    </w:p>
    <w:p w14:paraId="205101E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6057A1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2B6D14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799808E">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FC78110">
      <w:pPr>
        <w:spacing w:line="360" w:lineRule="auto"/>
        <w:ind w:firstLine="549" w:firstLineChars="229"/>
        <w:rPr>
          <w:rFonts w:ascii="宋体" w:hAnsi="宋体" w:cs="宋体"/>
          <w:color w:val="auto"/>
          <w:sz w:val="24"/>
          <w:highlight w:val="none"/>
        </w:rPr>
      </w:pPr>
    </w:p>
    <w:p w14:paraId="758F15B1">
      <w:pPr>
        <w:spacing w:line="360" w:lineRule="auto"/>
        <w:ind w:firstLine="549" w:firstLineChars="229"/>
        <w:rPr>
          <w:rFonts w:ascii="宋体" w:hAnsi="宋体" w:cs="宋体"/>
          <w:color w:val="auto"/>
          <w:sz w:val="24"/>
          <w:highlight w:val="none"/>
        </w:rPr>
      </w:pPr>
    </w:p>
    <w:p w14:paraId="067C9D3E">
      <w:pPr>
        <w:spacing w:line="360" w:lineRule="auto"/>
        <w:ind w:firstLine="549" w:firstLineChars="229"/>
        <w:rPr>
          <w:rFonts w:ascii="宋体" w:hAnsi="宋体" w:cs="宋体"/>
          <w:color w:val="auto"/>
          <w:sz w:val="24"/>
          <w:highlight w:val="none"/>
        </w:rPr>
      </w:pPr>
    </w:p>
    <w:p w14:paraId="33ADA369">
      <w:pPr>
        <w:spacing w:line="360" w:lineRule="auto"/>
        <w:ind w:firstLine="549" w:firstLineChars="229"/>
        <w:rPr>
          <w:rFonts w:ascii="宋体" w:hAnsi="宋体" w:cs="宋体"/>
          <w:color w:val="auto"/>
          <w:sz w:val="24"/>
          <w:highlight w:val="none"/>
        </w:rPr>
      </w:pPr>
    </w:p>
    <w:p w14:paraId="54944626">
      <w:pPr>
        <w:spacing w:line="360" w:lineRule="auto"/>
        <w:ind w:firstLine="549" w:firstLineChars="229"/>
        <w:rPr>
          <w:rFonts w:ascii="宋体" w:hAnsi="宋体" w:cs="宋体"/>
          <w:color w:val="auto"/>
          <w:sz w:val="24"/>
          <w:highlight w:val="none"/>
        </w:rPr>
      </w:pPr>
    </w:p>
    <w:p w14:paraId="619993A5">
      <w:pPr>
        <w:spacing w:line="360" w:lineRule="auto"/>
        <w:ind w:firstLine="549" w:firstLineChars="229"/>
        <w:rPr>
          <w:rFonts w:ascii="宋体" w:hAnsi="宋体" w:cs="宋体"/>
          <w:color w:val="auto"/>
          <w:sz w:val="24"/>
          <w:highlight w:val="none"/>
        </w:rPr>
      </w:pPr>
    </w:p>
    <w:p w14:paraId="21FD33D9">
      <w:pPr>
        <w:spacing w:line="360" w:lineRule="auto"/>
        <w:ind w:firstLine="549" w:firstLineChars="229"/>
        <w:rPr>
          <w:rFonts w:ascii="宋体" w:hAnsi="宋体" w:cs="宋体"/>
          <w:color w:val="auto"/>
          <w:sz w:val="24"/>
          <w:highlight w:val="none"/>
        </w:rPr>
      </w:pPr>
    </w:p>
    <w:p w14:paraId="3F6E3B2A">
      <w:pPr>
        <w:spacing w:line="360" w:lineRule="auto"/>
        <w:ind w:firstLine="549" w:firstLineChars="229"/>
        <w:rPr>
          <w:rFonts w:ascii="宋体" w:hAnsi="宋体" w:cs="宋体"/>
          <w:color w:val="auto"/>
          <w:sz w:val="24"/>
          <w:highlight w:val="none"/>
        </w:rPr>
      </w:pPr>
    </w:p>
    <w:p w14:paraId="31A0F503">
      <w:pPr>
        <w:spacing w:line="360" w:lineRule="auto"/>
        <w:ind w:firstLine="549" w:firstLineChars="229"/>
        <w:rPr>
          <w:rFonts w:ascii="宋体" w:hAnsi="宋体" w:cs="宋体"/>
          <w:color w:val="auto"/>
          <w:sz w:val="24"/>
          <w:highlight w:val="none"/>
        </w:rPr>
      </w:pPr>
    </w:p>
    <w:p w14:paraId="1345DCD6">
      <w:pPr>
        <w:spacing w:line="360" w:lineRule="auto"/>
        <w:ind w:firstLine="549" w:firstLineChars="229"/>
        <w:rPr>
          <w:rFonts w:ascii="宋体" w:hAnsi="宋体" w:cs="宋体"/>
          <w:color w:val="auto"/>
          <w:sz w:val="24"/>
          <w:highlight w:val="none"/>
        </w:rPr>
      </w:pPr>
    </w:p>
    <w:p w14:paraId="610C6E80">
      <w:pPr>
        <w:spacing w:line="360" w:lineRule="auto"/>
        <w:ind w:firstLine="549" w:firstLineChars="229"/>
        <w:rPr>
          <w:rFonts w:ascii="宋体" w:hAnsi="宋体" w:cs="宋体"/>
          <w:color w:val="auto"/>
          <w:sz w:val="24"/>
          <w:highlight w:val="none"/>
        </w:rPr>
      </w:pPr>
    </w:p>
    <w:p w14:paraId="059FCCC7">
      <w:pPr>
        <w:spacing w:line="360" w:lineRule="auto"/>
        <w:ind w:firstLine="549" w:firstLineChars="229"/>
        <w:rPr>
          <w:rFonts w:ascii="宋体" w:hAnsi="宋体" w:cs="宋体"/>
          <w:color w:val="auto"/>
          <w:sz w:val="24"/>
          <w:highlight w:val="none"/>
        </w:rPr>
      </w:pPr>
    </w:p>
    <w:p w14:paraId="5A23D746">
      <w:pPr>
        <w:spacing w:line="360" w:lineRule="auto"/>
        <w:rPr>
          <w:rFonts w:ascii="宋体" w:hAnsi="宋体" w:cs="宋体"/>
          <w:color w:val="auto"/>
          <w:sz w:val="24"/>
          <w:highlight w:val="none"/>
        </w:rPr>
      </w:pPr>
    </w:p>
    <w:p w14:paraId="0F94DFF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交易公告</w:t>
      </w:r>
    </w:p>
    <w:p w14:paraId="1333379C">
      <w:pPr>
        <w:pBdr>
          <w:top w:val="single" w:color="auto" w:sz="4" w:space="1"/>
          <w:left w:val="single" w:color="auto" w:sz="4" w:space="4"/>
          <w:bottom w:val="single" w:color="auto" w:sz="4" w:space="6"/>
          <w:right w:val="single" w:color="auto" w:sz="4" w:space="4"/>
        </w:pBdr>
        <w:jc w:val="left"/>
        <w:rPr>
          <w:rFonts w:ascii="宋体" w:hAnsi="宋体" w:cs="宋体"/>
          <w:color w:val="auto"/>
          <w:sz w:val="24"/>
          <w:highlight w:val="none"/>
        </w:rPr>
      </w:pPr>
      <w:r>
        <w:rPr>
          <w:rFonts w:hint="eastAsia" w:ascii="宋体" w:hAnsi="宋体" w:cs="宋体"/>
          <w:color w:val="auto"/>
          <w:sz w:val="24"/>
          <w:highlight w:val="none"/>
        </w:rPr>
        <w:t>项目概况</w:t>
      </w:r>
    </w:p>
    <w:p w14:paraId="3A9CF980">
      <w:pPr>
        <w:pBdr>
          <w:top w:val="single" w:color="auto" w:sz="4" w:space="1"/>
          <w:left w:val="single" w:color="auto" w:sz="4" w:space="4"/>
          <w:bottom w:val="single" w:color="auto" w:sz="4" w:space="6"/>
          <w:right w:val="single" w:color="auto" w:sz="4" w:space="4"/>
        </w:pBdr>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lang w:eastAsia="zh-CN"/>
        </w:rPr>
        <w:t>瓜沥镇山三村环境卫生保洁采购项目</w:t>
      </w:r>
      <w:r>
        <w:rPr>
          <w:rFonts w:hint="eastAsia" w:ascii="宋体" w:hAnsi="宋体" w:cs="宋体"/>
          <w:color w:val="auto"/>
          <w:sz w:val="24"/>
          <w:highlight w:val="none"/>
        </w:rPr>
        <w:t>招标项目的潜在响应人应在乐采云平台（www.lecaiyun.com）</w:t>
      </w:r>
      <w:r>
        <w:rPr>
          <w:color w:val="auto"/>
          <w:highlight w:val="none"/>
        </w:rPr>
        <w:fldChar w:fldCharType="begin"/>
      </w:r>
      <w:r>
        <w:rPr>
          <w:color w:val="auto"/>
          <w:highlight w:val="none"/>
        </w:rPr>
        <w:instrText xml:space="preserve"> HYPERLINK "https://www.zcygov.cn/）获取（下载）交易文件，并于2023年5月%20%20日9点30分00秒"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获取（下载）交易文件，并于</w:t>
      </w:r>
      <w:r>
        <w:rPr>
          <w:rStyle w:val="77"/>
          <w:rFonts w:hint="eastAsia" w:ascii="宋体" w:hAnsi="宋体" w:eastAsia="宋体" w:cs="宋体"/>
          <w:snapToGrid/>
          <w:color w:val="auto"/>
          <w:kern w:val="2"/>
          <w:sz w:val="24"/>
          <w:szCs w:val="24"/>
          <w:highlight w:val="none"/>
        </w:rPr>
        <w:t>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21</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w:t>
      </w:r>
      <w:r>
        <w:rPr>
          <w:rStyle w:val="77"/>
          <w:rFonts w:hint="eastAsia" w:ascii="宋体" w:hAnsi="宋体" w:eastAsia="宋体" w:cs="宋体"/>
          <w:snapToGrid/>
          <w:color w:val="auto"/>
          <w:kern w:val="2"/>
          <w:sz w:val="24"/>
          <w:szCs w:val="24"/>
          <w:highlight w:val="none"/>
        </w:rPr>
        <w:t>0分</w:t>
      </w:r>
      <w:r>
        <w:rPr>
          <w:rStyle w:val="77"/>
          <w:rFonts w:hint="eastAsia" w:ascii="宋体" w:hAnsi="宋体" w:eastAsia="宋体" w:cs="宋体"/>
          <w:bCs/>
          <w:snapToGrid/>
          <w:color w:val="auto"/>
          <w:kern w:val="2"/>
          <w:sz w:val="24"/>
          <w:szCs w:val="24"/>
          <w:highlight w:val="none"/>
        </w:rPr>
        <w:t>00</w:t>
      </w:r>
      <w:r>
        <w:rPr>
          <w:rStyle w:val="77"/>
          <w:rFonts w:hint="eastAsia" w:ascii="宋体" w:hAnsi="宋体" w:eastAsia="宋体" w:cs="宋体"/>
          <w:bCs/>
          <w:snapToGrid/>
          <w:color w:val="auto"/>
          <w:kern w:val="2"/>
          <w:sz w:val="24"/>
          <w:szCs w:val="24"/>
          <w:highlight w:val="none"/>
        </w:rPr>
        <w:t>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w:t>
      </w:r>
    </w:p>
    <w:p w14:paraId="592DE6C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E74126F">
      <w:pPr>
        <w:spacing w:line="360" w:lineRule="auto"/>
        <w:ind w:firstLine="480"/>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2025-GLQTCG-11</w:t>
      </w:r>
    </w:p>
    <w:p w14:paraId="041E391E">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bCs/>
          <w:color w:val="auto"/>
          <w:sz w:val="24"/>
          <w:highlight w:val="none"/>
          <w:lang w:eastAsia="zh-CN"/>
        </w:rPr>
        <w:t>瓜沥镇山三村环境卫生保洁采购项目</w:t>
      </w:r>
    </w:p>
    <w:p w14:paraId="3A0BEF38">
      <w:pPr>
        <w:pStyle w:val="15"/>
        <w:spacing w:line="360" w:lineRule="auto"/>
        <w:ind w:firstLine="480"/>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预算金额（元）：</w:t>
      </w:r>
      <w:r>
        <w:rPr>
          <w:rFonts w:hint="eastAsia" w:hAnsi="宋体" w:cs="宋体"/>
          <w:b w:val="0"/>
          <w:bCs/>
          <w:color w:val="auto"/>
          <w:sz w:val="24"/>
          <w:highlight w:val="none"/>
          <w:lang w:eastAsia="zh-CN"/>
        </w:rPr>
        <w:t>250000.00</w:t>
      </w:r>
    </w:p>
    <w:p w14:paraId="6C21EC10">
      <w:pPr>
        <w:pStyle w:val="15"/>
        <w:spacing w:line="360" w:lineRule="auto"/>
        <w:ind w:firstLine="480"/>
        <w:rPr>
          <w:rFonts w:hint="default" w:hAnsi="宋体" w:cs="宋体"/>
          <w:b w:val="0"/>
          <w:bCs/>
          <w:color w:val="auto"/>
          <w:sz w:val="24"/>
          <w:highlight w:val="none"/>
          <w:lang w:val="en-US" w:eastAsia="zh-CN"/>
        </w:rPr>
      </w:pPr>
      <w:r>
        <w:rPr>
          <w:rFonts w:hint="eastAsia" w:ascii="宋体" w:hAnsi="宋体" w:cs="宋体"/>
          <w:b/>
          <w:color w:val="auto"/>
          <w:sz w:val="24"/>
          <w:highlight w:val="none"/>
        </w:rPr>
        <w:t>最高限价（元）：</w:t>
      </w:r>
      <w:r>
        <w:rPr>
          <w:rFonts w:hint="eastAsia" w:hAnsi="宋体" w:cs="宋体"/>
          <w:b w:val="0"/>
          <w:bCs/>
          <w:color w:val="auto"/>
          <w:sz w:val="24"/>
          <w:highlight w:val="none"/>
          <w:lang w:val="en-US" w:eastAsia="zh-CN"/>
        </w:rPr>
        <w:t>250000.00</w:t>
      </w:r>
    </w:p>
    <w:p w14:paraId="74817D35">
      <w:pPr>
        <w:pStyle w:val="15"/>
        <w:spacing w:line="360" w:lineRule="auto"/>
        <w:ind w:firstLine="480"/>
        <w:rPr>
          <w:rFonts w:hAnsi="宋体" w:cs="宋体"/>
          <w:bCs/>
          <w:color w:val="auto"/>
          <w:kern w:val="2"/>
          <w:sz w:val="24"/>
          <w:szCs w:val="24"/>
          <w:highlight w:val="none"/>
        </w:rPr>
      </w:pPr>
      <w:r>
        <w:rPr>
          <w:rFonts w:hint="eastAsia" w:hAnsi="宋体" w:cs="宋体"/>
          <w:b/>
          <w:color w:val="auto"/>
          <w:sz w:val="24"/>
          <w:highlight w:val="none"/>
          <w:lang w:eastAsia="zh-CN"/>
        </w:rPr>
        <w:t>交易需求</w:t>
      </w:r>
      <w:r>
        <w:rPr>
          <w:rFonts w:hint="eastAsia" w:hAnsi="宋体" w:cs="宋体"/>
          <w:b/>
          <w:color w:val="auto"/>
          <w:sz w:val="24"/>
          <w:highlight w:val="none"/>
        </w:rPr>
        <w:t>：</w:t>
      </w:r>
      <w:r>
        <w:rPr>
          <w:rFonts w:hint="eastAsia" w:hAnsi="宋体" w:cs="宋体"/>
          <w:bCs/>
          <w:color w:val="auto"/>
          <w:sz w:val="24"/>
          <w:highlight w:val="none"/>
          <w:lang w:eastAsia="zh-CN"/>
        </w:rPr>
        <w:t>瓜沥镇山三村环境卫生保洁采购项目</w:t>
      </w:r>
      <w:r>
        <w:rPr>
          <w:rFonts w:hint="eastAsia" w:hAnsi="宋体" w:cs="宋体"/>
          <w:bCs/>
          <w:color w:val="auto"/>
          <w:sz w:val="24"/>
          <w:highlight w:val="none"/>
        </w:rPr>
        <w:t xml:space="preserve"> </w:t>
      </w:r>
      <w:r>
        <w:rPr>
          <w:rFonts w:hint="eastAsia" w:hAnsi="宋体" w:cs="宋体"/>
          <w:bCs/>
          <w:snapToGrid/>
          <w:color w:val="auto"/>
          <w:kern w:val="2"/>
          <w:sz w:val="24"/>
          <w:szCs w:val="24"/>
          <w:highlight w:val="none"/>
        </w:rPr>
        <w:t>主要内容：</w:t>
      </w:r>
      <w:r>
        <w:rPr>
          <w:rFonts w:hint="eastAsia" w:ascii="宋体" w:hAnsi="宋体" w:cs="宋体"/>
          <w:color w:val="auto"/>
          <w:sz w:val="24"/>
          <w:highlight w:val="none"/>
          <w:shd w:val="clear" w:color="auto" w:fill="auto"/>
          <w:lang w:val="en-US" w:eastAsia="zh-CN"/>
        </w:rPr>
        <w:t>为</w:t>
      </w:r>
      <w:r>
        <w:rPr>
          <w:rFonts w:hint="eastAsia" w:ascii="宋体" w:hAnsi="宋体" w:cs="宋体"/>
          <w:color w:val="auto"/>
          <w:sz w:val="24"/>
          <w:highlight w:val="none"/>
          <w:shd w:val="clear" w:color="auto" w:fill="auto"/>
          <w:lang w:eastAsia="zh-CN"/>
        </w:rPr>
        <w:t>瓜沥镇山三村</w:t>
      </w:r>
      <w:r>
        <w:rPr>
          <w:rFonts w:hint="eastAsia" w:ascii="宋体" w:hAnsi="宋体" w:cs="宋体"/>
          <w:color w:val="auto"/>
          <w:sz w:val="24"/>
          <w:highlight w:val="none"/>
          <w:shd w:val="clear" w:color="auto" w:fill="auto"/>
          <w:lang w:val="en-US" w:eastAsia="zh-CN"/>
        </w:rPr>
        <w:t>提供</w:t>
      </w:r>
      <w:r>
        <w:rPr>
          <w:rFonts w:hint="eastAsia" w:hAnsi="宋体" w:cs="宋体"/>
          <w:bCs/>
          <w:color w:val="auto"/>
          <w:sz w:val="24"/>
          <w:highlight w:val="none"/>
          <w:lang w:eastAsia="zh-CN"/>
        </w:rPr>
        <w:t>环境卫生</w:t>
      </w:r>
      <w:r>
        <w:rPr>
          <w:rFonts w:hint="eastAsia" w:ascii="宋体" w:hAnsi="宋体" w:cs="宋体"/>
          <w:color w:val="auto"/>
          <w:sz w:val="24"/>
          <w:highlight w:val="none"/>
          <w:shd w:val="clear" w:color="auto" w:fill="auto"/>
          <w:lang w:eastAsia="zh-CN"/>
        </w:rPr>
        <w:t>保洁</w:t>
      </w:r>
      <w:r>
        <w:rPr>
          <w:rFonts w:hint="eastAsia" w:ascii="宋体" w:hAnsi="宋体" w:cs="宋体"/>
          <w:color w:val="auto"/>
          <w:sz w:val="24"/>
          <w:highlight w:val="none"/>
          <w:shd w:val="clear" w:color="auto" w:fill="auto"/>
          <w:lang w:val="en-US" w:eastAsia="zh-CN"/>
        </w:rPr>
        <w:t>服务</w:t>
      </w:r>
      <w:r>
        <w:rPr>
          <w:rFonts w:hint="eastAsia" w:hAnsi="宋体" w:cs="宋体"/>
          <w:color w:val="auto"/>
          <w:sz w:val="24"/>
          <w:highlight w:val="none"/>
          <w:shd w:val="clear" w:color="auto" w:fill="auto"/>
          <w:lang w:val="en-US" w:eastAsia="zh-CN"/>
        </w:rPr>
        <w:t>，</w:t>
      </w:r>
      <w:r>
        <w:rPr>
          <w:rFonts w:hint="eastAsia" w:hAnsi="宋体" w:cs="宋体"/>
          <w:bCs/>
          <w:color w:val="auto"/>
          <w:kern w:val="2"/>
          <w:sz w:val="24"/>
          <w:szCs w:val="24"/>
          <w:highlight w:val="none"/>
        </w:rPr>
        <w:t>详见交易文件第三部分</w:t>
      </w:r>
      <w:r>
        <w:rPr>
          <w:rFonts w:hint="eastAsia" w:hAnsi="宋体" w:cs="宋体"/>
          <w:bCs/>
          <w:color w:val="auto"/>
          <w:kern w:val="2"/>
          <w:sz w:val="24"/>
          <w:szCs w:val="24"/>
          <w:highlight w:val="none"/>
          <w:lang w:eastAsia="zh-CN"/>
        </w:rPr>
        <w:t>交易需求</w:t>
      </w:r>
      <w:r>
        <w:rPr>
          <w:rFonts w:hint="eastAsia" w:hAnsi="宋体" w:cs="宋体"/>
          <w:bCs/>
          <w:color w:val="auto"/>
          <w:kern w:val="2"/>
          <w:sz w:val="24"/>
          <w:szCs w:val="24"/>
          <w:highlight w:val="none"/>
        </w:rPr>
        <w:t>。</w:t>
      </w:r>
    </w:p>
    <w:p w14:paraId="570869E3">
      <w:pPr>
        <w:pStyle w:val="58"/>
        <w:spacing w:before="0" w:beforeAutospacing="0" w:after="0" w:afterAutospacing="0" w:line="360" w:lineRule="auto"/>
        <w:ind w:firstLine="482" w:firstLineChars="200"/>
        <w:rPr>
          <w:rFonts w:ascii="宋体" w:hAnsi="宋体" w:cs="宋体"/>
          <w:color w:val="auto"/>
          <w:highlight w:val="none"/>
        </w:rPr>
      </w:pPr>
      <w:r>
        <w:rPr>
          <w:rFonts w:hint="eastAsia" w:ascii="宋体" w:hAnsi="宋体" w:cs="宋体"/>
          <w:b/>
          <w:color w:val="auto"/>
          <w:highlight w:val="none"/>
        </w:rPr>
        <w:t>合同履约期限：</w:t>
      </w:r>
      <w:r>
        <w:rPr>
          <w:rFonts w:hint="eastAsia" w:cs="宋体"/>
          <w:color w:val="auto"/>
          <w:sz w:val="24"/>
          <w:highlight w:val="none"/>
          <w:shd w:val="clear" w:color="auto" w:fill="auto"/>
          <w:lang w:val="en-US" w:eastAsia="zh-CN"/>
        </w:rPr>
        <w:t>1年（具体时间按合同签订时间为准）</w:t>
      </w:r>
      <w:r>
        <w:rPr>
          <w:rFonts w:hint="eastAsia" w:cs="宋体"/>
          <w:color w:val="auto"/>
          <w:sz w:val="24"/>
          <w:highlight w:val="none"/>
          <w:shd w:val="clear" w:color="auto" w:fill="auto"/>
          <w:lang w:eastAsia="zh-CN"/>
        </w:rPr>
        <w:t>。</w:t>
      </w:r>
    </w:p>
    <w:p w14:paraId="5006592C">
      <w:pPr>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本项目接受联合体投标：（√）</w:t>
      </w:r>
      <w:r>
        <w:rPr>
          <w:rFonts w:hint="eastAsia" w:ascii="宋体" w:hAnsi="宋体" w:cs="宋体"/>
          <w:b/>
          <w:bCs w:val="0"/>
          <w:color w:val="auto"/>
          <w:sz w:val="24"/>
          <w:highlight w:val="none"/>
        </w:rPr>
        <w:t>否</w:t>
      </w:r>
      <w:r>
        <w:rPr>
          <w:rFonts w:hint="eastAsia" w:ascii="宋体" w:hAnsi="宋体" w:cs="宋体"/>
          <w:b/>
          <w:bCs w:val="0"/>
          <w:color w:val="auto"/>
          <w:kern w:val="0"/>
          <w:sz w:val="24"/>
          <w:highlight w:val="none"/>
        </w:rPr>
        <w:t>。</w:t>
      </w:r>
    </w:p>
    <w:p w14:paraId="569B052C">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302954A3">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8CD34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2.本项目的特定资格要求：</w:t>
      </w:r>
      <w:r>
        <w:rPr>
          <w:rFonts w:hint="eastAsia" w:ascii="宋体" w:hAnsi="宋体" w:cs="宋体"/>
          <w:snapToGrid w:val="0"/>
          <w:color w:val="auto"/>
          <w:kern w:val="28"/>
          <w:sz w:val="24"/>
          <w:szCs w:val="20"/>
          <w:highlight w:val="none"/>
          <w:lang w:val="en-US" w:eastAsia="zh-CN"/>
        </w:rPr>
        <w:t>无</w:t>
      </w:r>
      <w:r>
        <w:rPr>
          <w:rFonts w:hint="eastAsia" w:ascii="宋体" w:hAnsi="宋体" w:cs="宋体"/>
          <w:color w:val="auto"/>
          <w:sz w:val="24"/>
          <w:highlight w:val="none"/>
        </w:rPr>
        <w:t>；</w:t>
      </w:r>
    </w:p>
    <w:p w14:paraId="0C8DA9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3.单位负责人为同一人或者存在直接控股、管理关系的不同</w:t>
      </w:r>
      <w:r>
        <w:rPr>
          <w:rFonts w:hint="eastAsia" w:ascii="宋体" w:hAnsi="宋体" w:cs="宋体"/>
          <w:color w:val="auto"/>
          <w:sz w:val="24"/>
          <w:highlight w:val="none"/>
          <w:lang w:eastAsia="zh-CN"/>
        </w:rPr>
        <w:t>响应人</w:t>
      </w:r>
      <w:r>
        <w:rPr>
          <w:rFonts w:hint="eastAsia" w:ascii="宋体" w:hAnsi="宋体" w:cs="宋体"/>
          <w:color w:val="auto"/>
          <w:sz w:val="24"/>
          <w:highlight w:val="none"/>
        </w:rPr>
        <w:t>，不得参加同一合同项下的采购活动；为采购项目提供整体设计、规范编制或者项目管理、监理、检测等服务后不得再参加该采购项目的其他采购活动。</w:t>
      </w:r>
    </w:p>
    <w:p w14:paraId="1D121E6C">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三、获取交易文件 </w:t>
      </w:r>
    </w:p>
    <w:p w14:paraId="5F99853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Style w:val="77"/>
          <w:rFonts w:hint="eastAsia" w:ascii="宋体" w:hAnsi="宋体" w:eastAsia="宋体" w:cs="宋体"/>
          <w:snapToGrid/>
          <w:color w:val="auto"/>
          <w:kern w:val="2"/>
          <w:sz w:val="24"/>
          <w:szCs w:val="24"/>
          <w:highlight w:val="none"/>
          <w:u w:val="single"/>
        </w:rPr>
        <w:t>202</w:t>
      </w:r>
      <w:r>
        <w:rPr>
          <w:rStyle w:val="77"/>
          <w:rFonts w:hint="eastAsia" w:ascii="宋体" w:hAnsi="宋体" w:cs="宋体"/>
          <w:snapToGrid/>
          <w:color w:val="auto"/>
          <w:kern w:val="2"/>
          <w:sz w:val="24"/>
          <w:szCs w:val="24"/>
          <w:highlight w:val="none"/>
          <w:u w:val="single"/>
          <w:lang w:val="en-US" w:eastAsia="zh-CN"/>
        </w:rPr>
        <w:t>5</w:t>
      </w:r>
      <w:r>
        <w:rPr>
          <w:rStyle w:val="77"/>
          <w:rFonts w:hint="eastAsia" w:ascii="宋体" w:hAnsi="宋体" w:eastAsia="宋体" w:cs="宋体"/>
          <w:snapToGrid/>
          <w:color w:val="auto"/>
          <w:kern w:val="2"/>
          <w:sz w:val="24"/>
          <w:szCs w:val="24"/>
          <w:highlight w:val="none"/>
          <w:u w:val="single"/>
        </w:rPr>
        <w:t>年</w:t>
      </w:r>
      <w:r>
        <w:rPr>
          <w:rStyle w:val="77"/>
          <w:rFonts w:hint="eastAsia" w:ascii="宋体" w:hAnsi="宋体" w:cs="宋体"/>
          <w:snapToGrid/>
          <w:color w:val="auto"/>
          <w:kern w:val="2"/>
          <w:sz w:val="24"/>
          <w:szCs w:val="24"/>
          <w:highlight w:val="none"/>
          <w:u w:val="single"/>
          <w:lang w:val="en-US" w:eastAsia="zh-CN"/>
        </w:rPr>
        <w:t>7</w:t>
      </w:r>
      <w:r>
        <w:rPr>
          <w:rStyle w:val="77"/>
          <w:rFonts w:hint="eastAsia" w:ascii="宋体" w:hAnsi="宋体" w:eastAsia="宋体" w:cs="宋体"/>
          <w:snapToGrid/>
          <w:color w:val="auto"/>
          <w:kern w:val="2"/>
          <w:sz w:val="24"/>
          <w:szCs w:val="24"/>
          <w:highlight w:val="none"/>
          <w:u w:val="single"/>
        </w:rPr>
        <w:t>月</w:t>
      </w:r>
      <w:r>
        <w:rPr>
          <w:rStyle w:val="77"/>
          <w:rFonts w:hint="eastAsia" w:ascii="宋体" w:hAnsi="宋体" w:cs="宋体"/>
          <w:snapToGrid/>
          <w:color w:val="auto"/>
          <w:kern w:val="2"/>
          <w:sz w:val="24"/>
          <w:szCs w:val="24"/>
          <w:highlight w:val="none"/>
          <w:u w:val="single"/>
          <w:lang w:val="en-US" w:eastAsia="zh-CN"/>
        </w:rPr>
        <w:t>21</w:t>
      </w:r>
      <w:r>
        <w:rPr>
          <w:rStyle w:val="77"/>
          <w:rFonts w:hint="eastAsia" w:ascii="宋体" w:hAnsi="宋体" w:eastAsia="宋体" w:cs="宋体"/>
          <w:snapToGrid/>
          <w:color w:val="auto"/>
          <w:kern w:val="2"/>
          <w:sz w:val="24"/>
          <w:szCs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42D15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乐采云平台（www.lecaiyun.com） </w:t>
      </w:r>
    </w:p>
    <w:p w14:paraId="753ECF6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lang w:eastAsia="zh-CN"/>
        </w:rPr>
        <w:t>响应人</w:t>
      </w:r>
      <w:r>
        <w:rPr>
          <w:rFonts w:hint="eastAsia" w:ascii="宋体" w:hAnsi="宋体" w:cs="宋体"/>
          <w:color w:val="auto"/>
          <w:sz w:val="24"/>
          <w:highlight w:val="none"/>
        </w:rPr>
        <w:t>登录乐采云平台（www.lecaiyun.com）在线申请获取</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（进入“项目采购”应用，在获取</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菜单中选择项目，申请获取</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 xml:space="preserve">）。 </w:t>
      </w:r>
    </w:p>
    <w:p w14:paraId="6885FF1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429F4E54">
      <w:pPr>
        <w:spacing w:line="360" w:lineRule="auto"/>
        <w:rPr>
          <w:rFonts w:ascii="宋体" w:hAnsi="宋体" w:cs="宋体"/>
          <w:b/>
          <w:color w:val="auto"/>
          <w:sz w:val="24"/>
          <w:highlight w:val="none"/>
        </w:rPr>
      </w:pPr>
      <w:r>
        <w:rPr>
          <w:rFonts w:hint="eastAsia" w:ascii="宋体" w:hAnsi="宋体" w:cs="宋体"/>
          <w:b/>
          <w:color w:val="auto"/>
          <w:sz w:val="24"/>
          <w:highlight w:val="none"/>
        </w:rPr>
        <w:t>四、提交</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截止时间、开标时间和地点</w:t>
      </w:r>
    </w:p>
    <w:p w14:paraId="3A5A590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截止时间：</w:t>
      </w:r>
      <w:r>
        <w:rPr>
          <w:rFonts w:hint="eastAsia" w:ascii="宋体" w:hAnsi="宋体" w:cs="宋体"/>
          <w:b w:val="0"/>
          <w:bCs/>
          <w:color w:val="auto"/>
          <w:sz w:val="24"/>
          <w:highlight w:val="none"/>
          <w:u w:val="single"/>
        </w:rPr>
        <w:t>2025年</w:t>
      </w:r>
      <w:r>
        <w:rPr>
          <w:rFonts w:hint="eastAsia" w:ascii="宋体" w:hAnsi="宋体" w:cs="宋体"/>
          <w:b w:val="0"/>
          <w:bCs/>
          <w:color w:val="auto"/>
          <w:sz w:val="24"/>
          <w:highlight w:val="none"/>
          <w:u w:val="single"/>
          <w:lang w:val="en-US" w:eastAsia="zh-CN"/>
        </w:rPr>
        <w:t>7月21</w:t>
      </w:r>
      <w:r>
        <w:rPr>
          <w:rFonts w:hint="eastAsia" w:ascii="宋体" w:hAnsi="宋体" w:cs="宋体"/>
          <w:b w:val="0"/>
          <w:bCs/>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9BDBF20">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rPr>
        <w:t>投标地点（网址）：</w:t>
      </w:r>
      <w:r>
        <w:rPr>
          <w:rFonts w:hint="eastAsia" w:ascii="宋体" w:hAnsi="宋体" w:cs="宋体"/>
          <w:color w:val="auto"/>
          <w:sz w:val="24"/>
          <w:highlight w:val="none"/>
        </w:rPr>
        <w:t>乐采云平台（www.lecaiyun.com）</w:t>
      </w:r>
      <w:r>
        <w:rPr>
          <w:rFonts w:hint="eastAsia" w:ascii="宋体" w:hAnsi="宋体" w:cs="宋体"/>
          <w:color w:val="auto"/>
          <w:sz w:val="24"/>
          <w:highlight w:val="none"/>
          <w:lang w:eastAsia="zh-CN"/>
        </w:rPr>
        <w:t>。</w:t>
      </w:r>
    </w:p>
    <w:p w14:paraId="23E2766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val="0"/>
          <w:bCs/>
          <w:color w:val="auto"/>
          <w:sz w:val="24"/>
          <w:highlight w:val="none"/>
          <w:u w:val="single"/>
        </w:rPr>
        <w:t>2025年</w:t>
      </w:r>
      <w:r>
        <w:rPr>
          <w:rFonts w:hint="eastAsia" w:ascii="宋体" w:hAnsi="宋体" w:cs="宋体"/>
          <w:b w:val="0"/>
          <w:bCs/>
          <w:color w:val="auto"/>
          <w:sz w:val="24"/>
          <w:highlight w:val="none"/>
          <w:u w:val="single"/>
          <w:lang w:val="en-US" w:eastAsia="zh-CN"/>
        </w:rPr>
        <w:t>7月21</w:t>
      </w:r>
      <w:r>
        <w:rPr>
          <w:rFonts w:hint="eastAsia" w:ascii="宋体" w:hAnsi="宋体" w:cs="宋体"/>
          <w:b w:val="0"/>
          <w:bCs/>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0分</w:t>
      </w:r>
      <w:r>
        <w:rPr>
          <w:rFonts w:hint="eastAsia" w:ascii="宋体" w:hAnsi="宋体" w:cs="宋体"/>
          <w:bCs/>
          <w:color w:val="auto"/>
          <w:sz w:val="24"/>
          <w:highlight w:val="none"/>
          <w:u w:val="single"/>
        </w:rPr>
        <w:t xml:space="preserve">  </w:t>
      </w:r>
    </w:p>
    <w:p w14:paraId="2EA258F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乐采云平台（www.lecaiyun.com）</w:t>
      </w:r>
      <w:r>
        <w:rPr>
          <w:rFonts w:hint="eastAsia" w:ascii="宋体" w:hAnsi="宋体" w:cs="宋体"/>
          <w:color w:val="auto"/>
          <w:sz w:val="24"/>
          <w:szCs w:val="28"/>
          <w:highlight w:val="none"/>
        </w:rPr>
        <w:t>。</w:t>
      </w:r>
    </w:p>
    <w:p w14:paraId="0BB3B6F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F77CB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0AC2E5E2">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3976CC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响应人</w:t>
      </w:r>
      <w:r>
        <w:rPr>
          <w:rFonts w:hint="eastAsia" w:ascii="宋体" w:hAnsi="宋体" w:cs="宋体"/>
          <w:color w:val="auto"/>
          <w:sz w:val="24"/>
          <w:highlight w:val="none"/>
        </w:rPr>
        <w:t>认为交易文件使自己的权益受到损害的，可以自获取交易文件之日或者交易文件公告期限届满之日（公告期限届满后获取交易文件的，以公告期限届满之日为准）起3个工作日内，以书面形式向</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和采购代理机构提出质疑。质疑函范本请到浙江政府采购网下载专区下载。</w:t>
      </w:r>
    </w:p>
    <w:p w14:paraId="76F96D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2.其他事项：电子招投标的说明：①电子招投标：本项目以数据电文形式，依托“乐采云平台（https://www.lecaiyun.com/） ”进行招投标活动，不接受纸质响应文件；②投标准备：注册账号--点击“商家入驻”，进行政府采购</w:t>
      </w:r>
      <w:r>
        <w:rPr>
          <w:rFonts w:hint="eastAsia" w:ascii="宋体" w:hAnsi="宋体" w:cs="宋体"/>
          <w:color w:val="auto"/>
          <w:sz w:val="24"/>
          <w:highlight w:val="none"/>
          <w:lang w:eastAsia="zh-CN"/>
        </w:rPr>
        <w:t>响应人</w:t>
      </w:r>
      <w:r>
        <w:rPr>
          <w:rFonts w:hint="eastAsia" w:ascii="宋体" w:hAnsi="宋体" w:cs="宋体"/>
          <w:color w:val="auto"/>
          <w:sz w:val="24"/>
          <w:highlight w:val="none"/>
        </w:rPr>
        <w:t>资料填写；申领CA数字证书---申领流程详见“浙江政府采购网-下载专区-电子交易客户端-CA驱动和申领流程”；安装“政采云电子交易客户端”----前往“浙江政府采购网-下载专区-电子交易客户端”进行下载并安装；③公开竞争文件的获取：使用账号登录或者使用CA登录乐采云平台；进入“项目采购”应用，在获取公开竞争文件菜单中选择项目，获取公开竞争文件；④响应文件的制作：在“政采云电子交易客户端”中完成“填写基本信息”“导入响应文件”“标书关联”“标书检查”“电子签名”“生成电子标书”等操作；⑤</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、代理机构将依托乐采云平台完成本项目的电子交易活动，平台不接受未按上述方式获取公开竞争文件的响应人进行投标活动； ⑥对未按上述方式获取公开竞争文件的响应人对该文件提出的异议，</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w:t>
      </w:r>
      <w:r>
        <w:rPr>
          <w:rFonts w:hint="eastAsia" w:ascii="宋体" w:hAnsi="宋体" w:cs="宋体"/>
          <w:color w:val="auto"/>
          <w:sz w:val="24"/>
          <w:highlight w:val="none"/>
          <w:lang w:eastAsia="zh-CN"/>
        </w:rPr>
        <w:t>响应人</w:t>
      </w:r>
      <w:r>
        <w:rPr>
          <w:rFonts w:hint="eastAsia" w:ascii="宋体" w:hAnsi="宋体" w:cs="宋体"/>
          <w:color w:val="auto"/>
          <w:sz w:val="24"/>
          <w:highlight w:val="none"/>
        </w:rPr>
        <w:t>”。</w:t>
      </w:r>
    </w:p>
    <w:p w14:paraId="7B875EC8">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七、对本次采购提出询问、质疑，请按以下方式联系</w:t>
      </w:r>
    </w:p>
    <w:p w14:paraId="7A2A358A">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信息</w:t>
      </w:r>
    </w:p>
    <w:p w14:paraId="49FC7A3B">
      <w:pPr>
        <w:widowControl/>
        <w:shd w:val="clear" w:color="auto" w:fill="auto"/>
        <w:spacing w:line="360" w:lineRule="auto"/>
        <w:ind w:firstLine="480" w:firstLineChars="200"/>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 xml:space="preserve">名称：杭州萧山瓜沥山三股份经济联合社         </w:t>
      </w:r>
    </w:p>
    <w:p w14:paraId="2F5F6257">
      <w:pPr>
        <w:widowControl/>
        <w:shd w:val="clear" w:color="auto" w:fill="auto"/>
        <w:spacing w:line="360" w:lineRule="auto"/>
        <w:ind w:firstLine="480" w:firstLineChars="200"/>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地址：杭州萧山瓜沥山三村</w:t>
      </w:r>
    </w:p>
    <w:p w14:paraId="491C8D34">
      <w:pPr>
        <w:widowControl/>
        <w:shd w:val="clear" w:color="auto" w:fill="auto"/>
        <w:spacing w:line="360" w:lineRule="auto"/>
        <w:ind w:firstLine="480" w:firstLineChars="200"/>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联系人：</w:t>
      </w:r>
      <w:r>
        <w:rPr>
          <w:rFonts w:hint="eastAsia" w:ascii="宋体" w:hAnsi="宋体" w:cs="宋体"/>
          <w:color w:val="auto"/>
          <w:sz w:val="24"/>
          <w:szCs w:val="28"/>
          <w:highlight w:val="none"/>
          <w:lang w:eastAsia="zh-CN"/>
        </w:rPr>
        <w:t>李锋</w:t>
      </w:r>
      <w:r>
        <w:rPr>
          <w:rFonts w:hint="eastAsia" w:ascii="宋体" w:hAnsi="宋体" w:cs="宋体"/>
          <w:color w:val="auto"/>
          <w:sz w:val="24"/>
          <w:szCs w:val="28"/>
          <w:highlight w:val="none"/>
        </w:rPr>
        <w:t xml:space="preserve">        </w:t>
      </w:r>
    </w:p>
    <w:p w14:paraId="08E2371A">
      <w:pPr>
        <w:widowControl/>
        <w:shd w:val="clear" w:color="auto" w:fill="auto"/>
        <w:spacing w:line="360" w:lineRule="auto"/>
        <w:ind w:firstLine="480" w:firstLineChars="200"/>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 xml:space="preserve">联系方式：13588341501  </w:t>
      </w:r>
    </w:p>
    <w:p w14:paraId="6150B02B">
      <w:pPr>
        <w:widowControl/>
        <w:shd w:val="clear" w:color="auto" w:fill="auto"/>
        <w:spacing w:line="360" w:lineRule="auto"/>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2.</w:t>
      </w:r>
      <w:r>
        <w:rPr>
          <w:rFonts w:hint="eastAsia" w:ascii="宋体" w:hAnsi="宋体" w:cs="宋体"/>
          <w:color w:val="auto"/>
          <w:sz w:val="24"/>
          <w:szCs w:val="28"/>
          <w:highlight w:val="none"/>
          <w:lang w:eastAsia="zh-CN"/>
        </w:rPr>
        <w:t>交易代理机构</w:t>
      </w:r>
      <w:r>
        <w:rPr>
          <w:rFonts w:hint="eastAsia" w:ascii="宋体" w:hAnsi="宋体" w:cs="宋体"/>
          <w:color w:val="auto"/>
          <w:sz w:val="24"/>
          <w:szCs w:val="28"/>
          <w:highlight w:val="none"/>
        </w:rPr>
        <w:t>信息</w:t>
      </w:r>
    </w:p>
    <w:p w14:paraId="6E1A7EA3">
      <w:pPr>
        <w:widowControl/>
        <w:shd w:val="clear" w:color="auto" w:fill="auto"/>
        <w:spacing w:line="360" w:lineRule="auto"/>
        <w:ind w:left="0" w:leftChars="0" w:firstLine="420" w:firstLineChars="0"/>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 xml:space="preserve">名称：浙江泛亚工程咨询有限公司 </w:t>
      </w:r>
    </w:p>
    <w:p w14:paraId="5EC44228">
      <w:pPr>
        <w:widowControl/>
        <w:shd w:val="clear" w:color="auto" w:fill="auto"/>
        <w:spacing w:line="360" w:lineRule="auto"/>
        <w:ind w:left="0" w:leftChars="0" w:firstLine="420" w:firstLineChars="0"/>
        <w:jc w:val="left"/>
        <w:rPr>
          <w:rFonts w:hint="eastAsia" w:ascii="宋体" w:hAnsi="宋体" w:eastAsia="宋体" w:cs="宋体"/>
          <w:color w:val="auto"/>
          <w:sz w:val="24"/>
          <w:szCs w:val="28"/>
          <w:highlight w:val="none"/>
          <w:lang w:eastAsia="zh-CN"/>
        </w:rPr>
      </w:pPr>
      <w:r>
        <w:rPr>
          <w:rFonts w:hint="eastAsia" w:ascii="宋体" w:hAnsi="宋体" w:cs="宋体"/>
          <w:color w:val="auto"/>
          <w:sz w:val="24"/>
          <w:szCs w:val="28"/>
          <w:highlight w:val="none"/>
        </w:rPr>
        <w:t>项目</w:t>
      </w:r>
      <w:r>
        <w:rPr>
          <w:rFonts w:hint="eastAsia" w:ascii="宋体" w:hAnsi="宋体" w:eastAsia="宋体" w:cs="宋体"/>
          <w:color w:val="auto"/>
          <w:sz w:val="24"/>
          <w:szCs w:val="28"/>
          <w:highlight w:val="none"/>
        </w:rPr>
        <w:t>联系人（询问）：</w:t>
      </w:r>
      <w:r>
        <w:rPr>
          <w:rFonts w:hint="eastAsia" w:ascii="宋体" w:hAnsi="宋体" w:eastAsia="宋体" w:cs="宋体"/>
          <w:color w:val="auto"/>
          <w:sz w:val="24"/>
          <w:szCs w:val="28"/>
          <w:highlight w:val="none"/>
          <w:lang w:eastAsia="zh-CN"/>
        </w:rPr>
        <w:t>杨佩瑾</w:t>
      </w:r>
    </w:p>
    <w:p w14:paraId="213560B0">
      <w:pPr>
        <w:widowControl/>
        <w:shd w:val="clear" w:color="auto" w:fill="auto"/>
        <w:spacing w:line="360" w:lineRule="auto"/>
        <w:ind w:left="0" w:leftChars="0" w:firstLine="420" w:firstLineChars="0"/>
        <w:jc w:val="left"/>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项目联系方式（询问）：</w:t>
      </w:r>
      <w:r>
        <w:rPr>
          <w:rFonts w:hint="eastAsia" w:ascii="宋体" w:hAnsi="宋体" w:eastAsia="宋体" w:cs="宋体"/>
          <w:color w:val="auto"/>
          <w:sz w:val="24"/>
          <w:szCs w:val="28"/>
          <w:highlight w:val="none"/>
          <w:lang w:val="en-US" w:eastAsia="zh-CN"/>
        </w:rPr>
        <w:t>15068827539</w:t>
      </w:r>
    </w:p>
    <w:p w14:paraId="267F7AAE">
      <w:pPr>
        <w:widowControl/>
        <w:shd w:val="clear" w:color="auto" w:fill="auto"/>
        <w:spacing w:line="360" w:lineRule="auto"/>
        <w:ind w:left="0" w:leftChars="0" w:firstLine="420" w:firstLineChars="0"/>
        <w:jc w:val="left"/>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质疑联系人：</w:t>
      </w:r>
      <w:r>
        <w:rPr>
          <w:rFonts w:hint="eastAsia" w:ascii="宋体" w:hAnsi="宋体" w:eastAsia="宋体" w:cs="宋体"/>
          <w:color w:val="auto"/>
          <w:sz w:val="24"/>
          <w:szCs w:val="28"/>
          <w:highlight w:val="none"/>
          <w:lang w:eastAsia="zh-CN"/>
        </w:rPr>
        <w:t>李芳芳</w:t>
      </w:r>
    </w:p>
    <w:p w14:paraId="79C4B8A2">
      <w:pPr>
        <w:widowControl/>
        <w:shd w:val="clear" w:color="auto" w:fill="auto"/>
        <w:spacing w:line="360" w:lineRule="auto"/>
        <w:ind w:left="0" w:leftChars="0" w:firstLine="420" w:firstLineChars="0"/>
        <w:jc w:val="left"/>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质疑联系方式：</w:t>
      </w:r>
      <w:r>
        <w:rPr>
          <w:rFonts w:hint="eastAsia" w:ascii="宋体" w:hAnsi="宋体" w:eastAsia="宋体" w:cs="宋体"/>
          <w:color w:val="auto"/>
          <w:sz w:val="24"/>
          <w:szCs w:val="28"/>
          <w:highlight w:val="none"/>
          <w:lang w:val="en-US" w:eastAsia="zh-CN"/>
        </w:rPr>
        <w:t>13605802875</w:t>
      </w:r>
    </w:p>
    <w:p w14:paraId="64FAA50D">
      <w:pPr>
        <w:widowControl/>
        <w:shd w:val="clear" w:color="auto" w:fill="auto"/>
        <w:spacing w:line="360" w:lineRule="auto"/>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 xml:space="preserve">3. </w:t>
      </w:r>
      <w:r>
        <w:rPr>
          <w:rFonts w:hint="eastAsia" w:ascii="宋体" w:hAnsi="宋体" w:cs="宋体"/>
          <w:color w:val="auto"/>
          <w:sz w:val="24"/>
          <w:szCs w:val="28"/>
          <w:highlight w:val="none"/>
          <w:lang w:eastAsia="zh-CN"/>
        </w:rPr>
        <w:t>发包人交易</w:t>
      </w:r>
      <w:r>
        <w:rPr>
          <w:rFonts w:hint="eastAsia" w:ascii="宋体" w:hAnsi="宋体" w:cs="宋体"/>
          <w:color w:val="auto"/>
          <w:sz w:val="24"/>
          <w:szCs w:val="28"/>
          <w:highlight w:val="none"/>
        </w:rPr>
        <w:t xml:space="preserve">监督管理部门  </w:t>
      </w:r>
    </w:p>
    <w:p w14:paraId="4A52178D">
      <w:pPr>
        <w:widowControl/>
        <w:shd w:val="clear" w:color="auto" w:fill="auto"/>
        <w:spacing w:line="360" w:lineRule="auto"/>
        <w:ind w:left="0" w:leftChars="0" w:firstLine="420" w:firstLineChars="0"/>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名称：瓜沥镇招投标管理办公室</w:t>
      </w:r>
    </w:p>
    <w:p w14:paraId="0F0AB2CE">
      <w:pPr>
        <w:widowControl/>
        <w:shd w:val="clear" w:color="auto" w:fill="auto"/>
        <w:spacing w:line="360" w:lineRule="auto"/>
        <w:ind w:left="0" w:leftChars="0" w:firstLine="420" w:firstLineChars="0"/>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地址：杭州</w:t>
      </w:r>
      <w:r>
        <w:rPr>
          <w:rFonts w:hint="eastAsia" w:ascii="宋体" w:hAnsi="宋体" w:cs="宋体"/>
          <w:color w:val="auto"/>
          <w:sz w:val="24"/>
          <w:szCs w:val="28"/>
          <w:highlight w:val="none"/>
          <w:lang w:val="en-US" w:eastAsia="zh-CN"/>
        </w:rPr>
        <w:t>市</w:t>
      </w:r>
      <w:r>
        <w:rPr>
          <w:rFonts w:hint="eastAsia" w:ascii="宋体" w:hAnsi="宋体" w:cs="宋体"/>
          <w:color w:val="auto"/>
          <w:sz w:val="24"/>
          <w:szCs w:val="28"/>
          <w:highlight w:val="none"/>
        </w:rPr>
        <w:t>萧山</w:t>
      </w:r>
      <w:r>
        <w:rPr>
          <w:rFonts w:hint="eastAsia" w:ascii="宋体" w:hAnsi="宋体" w:cs="宋体"/>
          <w:color w:val="auto"/>
          <w:sz w:val="24"/>
          <w:szCs w:val="28"/>
          <w:highlight w:val="none"/>
          <w:lang w:val="en-US" w:eastAsia="zh-CN"/>
        </w:rPr>
        <w:t>区</w:t>
      </w:r>
      <w:r>
        <w:rPr>
          <w:rFonts w:hint="eastAsia" w:ascii="宋体" w:hAnsi="宋体" w:cs="宋体"/>
          <w:color w:val="auto"/>
          <w:sz w:val="24"/>
          <w:szCs w:val="28"/>
          <w:highlight w:val="none"/>
        </w:rPr>
        <w:t>瓜沥镇政通路100号</w:t>
      </w:r>
    </w:p>
    <w:p w14:paraId="2551F580">
      <w:pPr>
        <w:widowControl/>
        <w:shd w:val="clear" w:color="auto" w:fill="auto"/>
        <w:spacing w:line="360" w:lineRule="auto"/>
        <w:ind w:left="0" w:leftChars="0" w:firstLine="420" w:firstLineChars="0"/>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联系人：许天钢</w:t>
      </w:r>
    </w:p>
    <w:p w14:paraId="41DE5A4E">
      <w:pPr>
        <w:shd w:val="clear" w:color="auto" w:fill="auto"/>
        <w:spacing w:line="360" w:lineRule="auto"/>
        <w:ind w:left="0" w:leftChars="0" w:firstLine="420" w:firstLineChars="0"/>
        <w:jc w:val="left"/>
        <w:rPr>
          <w:rFonts w:hint="eastAsia" w:ascii="宋体" w:hAnsi="宋体" w:cs="宋体"/>
          <w:color w:val="auto"/>
          <w:sz w:val="24"/>
          <w:szCs w:val="28"/>
          <w:highlight w:val="none"/>
          <w:u w:val="single"/>
        </w:rPr>
      </w:pPr>
      <w:r>
        <w:rPr>
          <w:rFonts w:hint="eastAsia" w:ascii="宋体" w:hAnsi="宋体" w:cs="宋体"/>
          <w:color w:val="auto"/>
          <w:sz w:val="24"/>
          <w:szCs w:val="28"/>
          <w:highlight w:val="none"/>
        </w:rPr>
        <w:t>监督投诉电话：0571-57152632</w:t>
      </w:r>
    </w:p>
    <w:p w14:paraId="5CAEA489">
      <w:pPr>
        <w:spacing w:line="360" w:lineRule="auto"/>
        <w:jc w:val="left"/>
        <w:rPr>
          <w:rFonts w:ascii="宋体" w:hAnsi="宋体" w:cs="宋体"/>
          <w:color w:val="auto"/>
          <w:sz w:val="24"/>
          <w:highlight w:val="none"/>
        </w:rPr>
      </w:pPr>
      <w:r>
        <w:rPr>
          <w:rFonts w:hint="eastAsia" w:ascii="宋体" w:hAnsi="宋体" w:cs="宋体"/>
          <w:color w:val="auto"/>
          <w:sz w:val="24"/>
          <w:szCs w:val="28"/>
          <w:highlight w:val="none"/>
        </w:rPr>
        <w:t>  </w:t>
      </w:r>
      <w:r>
        <w:rPr>
          <w:rFonts w:hint="eastAsia" w:ascii="宋体" w:hAnsi="宋体" w:cs="宋体"/>
          <w:color w:val="auto"/>
          <w:sz w:val="24"/>
          <w:highlight w:val="none"/>
        </w:rPr>
        <w:t>若对项目采购电子交易系统操作有疑问，可登录</w:t>
      </w:r>
      <w:r>
        <w:rPr>
          <w:rFonts w:hint="eastAsia" w:ascii="宋体" w:hAnsi="宋体" w:cs="宋体"/>
          <w:color w:val="auto"/>
          <w:sz w:val="24"/>
          <w:highlight w:val="none"/>
          <w:lang w:eastAsia="zh-CN"/>
        </w:rPr>
        <w:t>乐采云平台（www.lecaiyun.com）</w:t>
      </w:r>
      <w:r>
        <w:rPr>
          <w:rFonts w:hint="eastAsia" w:ascii="宋体" w:hAnsi="宋体" w:cs="宋体"/>
          <w:color w:val="auto"/>
          <w:sz w:val="24"/>
          <w:highlight w:val="none"/>
        </w:rPr>
        <w:t>，点击右侧咨询小采，获取采小蜜智能服务管家帮助，或拨打政采云服务热线400-881-7190获取热线服务帮助。</w:t>
      </w:r>
    </w:p>
    <w:p w14:paraId="249EEB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r>
        <w:rPr>
          <w:rFonts w:hint="eastAsia" w:hAnsi="宋体" w:cs="宋体"/>
          <w:color w:val="auto"/>
          <w:sz w:val="24"/>
          <w:highlight w:val="none"/>
        </w:rPr>
        <w:t xml:space="preserve"> </w:t>
      </w:r>
    </w:p>
    <w:p w14:paraId="090C9D45">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0122A9D">
      <w:pPr>
        <w:adjustRightInd/>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响应人须知</w:t>
      </w:r>
      <w:bookmarkEnd w:id="9"/>
    </w:p>
    <w:p w14:paraId="02A5296C">
      <w:pPr>
        <w:snapToGrid w:val="0"/>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640"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5"/>
        <w:gridCol w:w="1614"/>
        <w:gridCol w:w="7371"/>
      </w:tblGrid>
      <w:tr w14:paraId="0657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9" w:hRule="atLeast"/>
          <w:tblHeader/>
        </w:trPr>
        <w:tc>
          <w:tcPr>
            <w:tcW w:w="655" w:type="dxa"/>
            <w:vAlign w:val="center"/>
          </w:tcPr>
          <w:p w14:paraId="254D96A2">
            <w:pP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4" w:type="dxa"/>
            <w:vAlign w:val="center"/>
          </w:tcPr>
          <w:p w14:paraId="12482BE5">
            <w:pPr>
              <w:snapToGrid w:val="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7371" w:type="dxa"/>
            <w:vAlign w:val="center"/>
          </w:tcPr>
          <w:p w14:paraId="736680D4">
            <w:pPr>
              <w:snapToGrid w:val="0"/>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174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2" w:hRule="atLeast"/>
          <w:tblHeader/>
        </w:trPr>
        <w:tc>
          <w:tcPr>
            <w:tcW w:w="655" w:type="dxa"/>
            <w:vAlign w:val="center"/>
          </w:tcPr>
          <w:p w14:paraId="418D6547">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614" w:type="dxa"/>
            <w:vAlign w:val="center"/>
          </w:tcPr>
          <w:p w14:paraId="121A8D54">
            <w:pPr>
              <w:snapToGrid w:val="0"/>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7371" w:type="dxa"/>
            <w:vAlign w:val="center"/>
          </w:tcPr>
          <w:p w14:paraId="35E15204">
            <w:pPr>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)A</w:t>
            </w: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75E5AF0">
            <w:pPr>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bCs/>
                <w:color w:val="auto"/>
                <w:sz w:val="24"/>
                <w:highlight w:val="none"/>
              </w:rPr>
              <w:t>√</w:t>
            </w:r>
            <w:r>
              <w:rPr>
                <w:rFonts w:hint="eastAsia" w:ascii="宋体" w:hAnsi="宋体" w:cs="宋体"/>
                <w:color w:val="auto"/>
                <w:kern w:val="0"/>
                <w:sz w:val="24"/>
                <w:highlight w:val="none"/>
              </w:rPr>
              <w:t>)B</w:t>
            </w:r>
            <w:r>
              <w:rPr>
                <w:rFonts w:hint="eastAsia" w:ascii="宋体" w:hAnsi="宋体" w:cs="宋体"/>
                <w:color w:val="auto"/>
                <w:sz w:val="24"/>
                <w:highlight w:val="none"/>
              </w:rPr>
              <w:t>服务类。</w:t>
            </w:r>
          </w:p>
        </w:tc>
      </w:tr>
      <w:tr w14:paraId="340B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3" w:hRule="atLeast"/>
          <w:tblHeader/>
        </w:trPr>
        <w:tc>
          <w:tcPr>
            <w:tcW w:w="655" w:type="dxa"/>
            <w:vAlign w:val="center"/>
          </w:tcPr>
          <w:p w14:paraId="512671B2">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614" w:type="dxa"/>
            <w:vAlign w:val="center"/>
          </w:tcPr>
          <w:p w14:paraId="0F978FDB">
            <w:pPr>
              <w:snapToGrid w:val="0"/>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7371" w:type="dxa"/>
            <w:vAlign w:val="center"/>
          </w:tcPr>
          <w:p w14:paraId="2EAF311E">
            <w:pPr>
              <w:rPr>
                <w:rFonts w:ascii="宋体" w:hAnsi="宋体" w:cs="宋体"/>
                <w:color w:val="auto"/>
                <w:sz w:val="24"/>
                <w:szCs w:val="32"/>
                <w:highlight w:val="none"/>
              </w:rPr>
            </w:pPr>
            <w:r>
              <w:rPr>
                <w:rFonts w:hint="eastAsia" w:ascii="宋体" w:hAnsi="宋体" w:cs="宋体"/>
                <w:color w:val="auto"/>
                <w:kern w:val="0"/>
                <w:sz w:val="24"/>
                <w:highlight w:val="none"/>
              </w:rPr>
              <w:t>(</w:t>
            </w:r>
            <w:r>
              <w:rPr>
                <w:rFonts w:hint="eastAsia" w:ascii="宋体" w:hAnsi="宋体" w:cs="宋体"/>
                <w:bCs/>
                <w:color w:val="auto"/>
                <w:sz w:val="24"/>
                <w:highlight w:val="none"/>
              </w:rPr>
              <w:t>√</w:t>
            </w:r>
            <w:r>
              <w:rPr>
                <w:rFonts w:hint="eastAsia" w:ascii="宋体" w:hAnsi="宋体" w:cs="宋体"/>
                <w:color w:val="auto"/>
                <w:kern w:val="0"/>
                <w:sz w:val="24"/>
                <w:highlight w:val="none"/>
              </w:rPr>
              <w:t>)</w:t>
            </w:r>
            <w:r>
              <w:rPr>
                <w:rFonts w:hint="eastAsia" w:ascii="宋体" w:hAnsi="宋体" w:cs="宋体"/>
                <w:color w:val="auto"/>
                <w:sz w:val="24"/>
                <w:szCs w:val="32"/>
                <w:highlight w:val="none"/>
              </w:rPr>
              <w:t>本项目不允许采购进口产品。</w:t>
            </w:r>
          </w:p>
          <w:p w14:paraId="57FAFFED">
            <w:pPr>
              <w:rPr>
                <w:rFonts w:ascii="宋体" w:hAnsi="宋体" w:cs="宋体"/>
                <w:color w:val="auto"/>
                <w:sz w:val="24"/>
                <w:szCs w:val="32"/>
                <w:highlight w:val="none"/>
              </w:rPr>
            </w:pPr>
            <w:r>
              <w:rPr>
                <w:rFonts w:hint="eastAsia" w:ascii="宋体" w:hAnsi="宋体" w:cs="宋体"/>
                <w:color w:val="auto"/>
                <w:kern w:val="0"/>
                <w:sz w:val="24"/>
                <w:highlight w:val="none"/>
              </w:rPr>
              <w:t>(  )</w:t>
            </w:r>
            <w:r>
              <w:rPr>
                <w:rFonts w:hint="eastAsia" w:ascii="宋体" w:hAnsi="宋体" w:cs="宋体"/>
                <w:color w:val="auto"/>
                <w:sz w:val="24"/>
                <w:szCs w:val="32"/>
                <w:highlight w:val="none"/>
              </w:rPr>
              <w:t>可以就</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采购进口产品。</w:t>
            </w:r>
          </w:p>
          <w:p w14:paraId="606FCDBD">
            <w:pPr>
              <w:pStyle w:val="3"/>
              <w:keepNext w:val="0"/>
              <w:keepLines w:val="0"/>
              <w:spacing w:line="240" w:lineRule="auto"/>
              <w:ind w:left="0" w:firstLine="0"/>
              <w:rPr>
                <w:rFonts w:ascii="宋体" w:hAnsi="宋体" w:eastAsia="宋体" w:cs="宋体"/>
                <w:color w:val="auto"/>
                <w:highlight w:val="none"/>
                <w:lang w:val="en-US"/>
              </w:rPr>
            </w:pPr>
            <w:r>
              <w:rPr>
                <w:rFonts w:hint="eastAsia" w:ascii="宋体" w:hAnsi="宋体" w:eastAsia="宋体" w:cs="宋体"/>
                <w:color w:val="auto"/>
                <w:kern w:val="0"/>
                <w:sz w:val="24"/>
                <w:highlight w:val="none"/>
                <w:lang w:val="en-US"/>
              </w:rPr>
              <w:t>进口产品是指通过中国海关保关验放进入中国境内且产自境关外的产品。</w:t>
            </w:r>
          </w:p>
        </w:tc>
      </w:tr>
      <w:tr w14:paraId="6706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tblHeader/>
        </w:trPr>
        <w:tc>
          <w:tcPr>
            <w:tcW w:w="655" w:type="dxa"/>
            <w:vAlign w:val="center"/>
          </w:tcPr>
          <w:p w14:paraId="7669F351">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614" w:type="dxa"/>
            <w:vAlign w:val="center"/>
          </w:tcPr>
          <w:p w14:paraId="4573B2C5">
            <w:pPr>
              <w:snapToGrid w:val="0"/>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7371" w:type="dxa"/>
            <w:vAlign w:val="center"/>
          </w:tcPr>
          <w:p w14:paraId="31A9BB59">
            <w:pPr>
              <w:snapToGrid w:val="0"/>
              <w:rPr>
                <w:rFonts w:ascii="宋体" w:hAnsi="宋体" w:cs="宋体"/>
                <w:color w:val="auto"/>
                <w:sz w:val="24"/>
                <w:highlight w:val="none"/>
              </w:rPr>
            </w:pPr>
            <w:r>
              <w:rPr>
                <w:rFonts w:hint="eastAsia" w:ascii="宋体" w:hAnsi="宋体" w:cs="宋体"/>
                <w:b/>
                <w:color w:val="auto"/>
                <w:sz w:val="24"/>
                <w:highlight w:val="none"/>
              </w:rPr>
              <w:t>（  ）</w:t>
            </w:r>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78D57A8F">
            <w:pPr>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kern w:val="0"/>
                <w:sz w:val="24"/>
                <w:highlight w:val="none"/>
              </w:rPr>
              <w:t>B</w:t>
            </w:r>
            <w:r>
              <w:rPr>
                <w:rFonts w:hint="eastAsia" w:ascii="宋体" w:hAnsi="宋体" w:cs="宋体"/>
                <w:color w:val="auto"/>
                <w:sz w:val="24"/>
                <w:highlight w:val="none"/>
              </w:rPr>
              <w:t>不同意分包。</w:t>
            </w:r>
          </w:p>
        </w:tc>
      </w:tr>
      <w:tr w14:paraId="0B25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8" w:hRule="atLeast"/>
          <w:tblHeader/>
        </w:trPr>
        <w:tc>
          <w:tcPr>
            <w:tcW w:w="655" w:type="dxa"/>
            <w:vAlign w:val="center"/>
          </w:tcPr>
          <w:p w14:paraId="5927DAA1">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614" w:type="dxa"/>
            <w:vAlign w:val="center"/>
          </w:tcPr>
          <w:p w14:paraId="3BB2D812">
            <w:pPr>
              <w:snapToGrid w:val="0"/>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7371" w:type="dxa"/>
            <w:vAlign w:val="center"/>
          </w:tcPr>
          <w:p w14:paraId="0E625B1F">
            <w:pPr>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F55D724">
            <w:pPr>
              <w:rPr>
                <w:rFonts w:ascii="宋体" w:hAnsi="宋体" w:cs="宋体"/>
                <w:color w:val="auto"/>
                <w:sz w:val="24"/>
                <w:szCs w:val="20"/>
                <w:highlight w:val="none"/>
              </w:rPr>
            </w:pPr>
            <w:r>
              <w:rPr>
                <w:rFonts w:hint="eastAsia" w:ascii="宋体" w:hAnsi="宋体" w:cs="宋体"/>
                <w:b/>
                <w:color w:val="auto"/>
                <w:sz w:val="24"/>
                <w:highlight w:val="none"/>
              </w:rPr>
              <w:t>（  ）</w:t>
            </w: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；其他说明：</w:t>
            </w:r>
          </w:p>
        </w:tc>
      </w:tr>
      <w:tr w14:paraId="67F9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2" w:hRule="atLeast"/>
          <w:tblHeader/>
        </w:trPr>
        <w:tc>
          <w:tcPr>
            <w:tcW w:w="655" w:type="dxa"/>
            <w:vAlign w:val="center"/>
          </w:tcPr>
          <w:p w14:paraId="1719C39F">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1614" w:type="dxa"/>
            <w:vAlign w:val="center"/>
          </w:tcPr>
          <w:p w14:paraId="2A33A46D">
            <w:pPr>
              <w:snapToGrid w:val="0"/>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7371" w:type="dxa"/>
            <w:vAlign w:val="center"/>
          </w:tcPr>
          <w:p w14:paraId="0E41FF0E">
            <w:pPr>
              <w:rPr>
                <w:rFonts w:ascii="宋体" w:hAnsi="宋体" w:cs="宋体"/>
                <w:bCs/>
                <w:color w:val="auto"/>
                <w:sz w:val="24"/>
                <w:highlight w:val="none"/>
              </w:rPr>
            </w:pPr>
            <w:r>
              <w:rPr>
                <w:rFonts w:hint="eastAsia" w:ascii="宋体" w:hAnsi="宋体" w:cs="宋体"/>
                <w:bCs/>
                <w:color w:val="auto"/>
                <w:sz w:val="24"/>
                <w:highlight w:val="none"/>
              </w:rPr>
              <w:t>（√）A不要求提供。</w:t>
            </w:r>
          </w:p>
          <w:p w14:paraId="6E55885A">
            <w:pPr>
              <w:rPr>
                <w:rFonts w:ascii="宋体" w:hAnsi="宋体" w:cs="宋体"/>
                <w:b/>
                <w:color w:val="auto"/>
                <w:sz w:val="24"/>
                <w:highlight w:val="none"/>
              </w:rPr>
            </w:pPr>
            <w:r>
              <w:rPr>
                <w:rFonts w:hint="eastAsia" w:ascii="宋体" w:hAnsi="宋体" w:cs="宋体"/>
                <w:bCs/>
                <w:color w:val="auto"/>
                <w:sz w:val="24"/>
                <w:highlight w:val="none"/>
              </w:rPr>
              <w:t>▲交易文件要求提供样品，响应人没有提供样品或样品不全的，投标无效。</w:t>
            </w:r>
          </w:p>
        </w:tc>
      </w:tr>
      <w:tr w14:paraId="6283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3" w:hRule="atLeast"/>
          <w:tblHeader/>
        </w:trPr>
        <w:tc>
          <w:tcPr>
            <w:tcW w:w="655" w:type="dxa"/>
            <w:vAlign w:val="center"/>
          </w:tcPr>
          <w:p w14:paraId="364F9080">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1614" w:type="dxa"/>
            <w:vAlign w:val="center"/>
          </w:tcPr>
          <w:p w14:paraId="469E9EAE">
            <w:pPr>
              <w:snapToGrid w:val="0"/>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7371" w:type="dxa"/>
            <w:vAlign w:val="center"/>
          </w:tcPr>
          <w:p w14:paraId="388C9261">
            <w:pPr>
              <w:snapToGrid w:val="0"/>
              <w:rPr>
                <w:rFonts w:ascii="宋体" w:hAnsi="宋体" w:cs="宋体"/>
                <w:b/>
                <w:color w:val="auto"/>
                <w:kern w:val="0"/>
                <w:sz w:val="24"/>
                <w:highlight w:val="none"/>
                <w:lang w:val="zh-CN"/>
              </w:rPr>
            </w:pPr>
            <w:r>
              <w:rPr>
                <w:rFonts w:hint="eastAsia" w:ascii="宋体" w:hAnsi="宋体" w:cs="宋体"/>
                <w:color w:val="auto"/>
                <w:sz w:val="24"/>
                <w:highlight w:val="none"/>
              </w:rPr>
              <w:t>不组织</w:t>
            </w:r>
            <w:r>
              <w:rPr>
                <w:rFonts w:hint="eastAsia" w:ascii="宋体" w:hAnsi="宋体" w:cs="宋体"/>
                <w:bCs/>
                <w:color w:val="auto"/>
                <w:sz w:val="24"/>
                <w:highlight w:val="none"/>
              </w:rPr>
              <w:t>。</w:t>
            </w:r>
          </w:p>
        </w:tc>
      </w:tr>
      <w:tr w14:paraId="46AD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52" w:hRule="atLeast"/>
          <w:tblHeader/>
        </w:trPr>
        <w:tc>
          <w:tcPr>
            <w:tcW w:w="655" w:type="dxa"/>
            <w:vMerge w:val="restart"/>
            <w:vAlign w:val="center"/>
          </w:tcPr>
          <w:p w14:paraId="18D93209">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1614" w:type="dxa"/>
            <w:vMerge w:val="restart"/>
            <w:vAlign w:val="center"/>
          </w:tcPr>
          <w:p w14:paraId="13742D3D">
            <w:pPr>
              <w:snapToGrid w:val="0"/>
              <w:jc w:val="center"/>
              <w:rPr>
                <w:rFonts w:ascii="宋体" w:hAnsi="宋体" w:cs="宋体"/>
                <w:b/>
                <w:color w:val="auto"/>
                <w:sz w:val="24"/>
                <w:highlight w:val="none"/>
              </w:rPr>
            </w:pPr>
            <w:r>
              <w:rPr>
                <w:rFonts w:hint="eastAsia" w:ascii="宋体" w:hAnsi="宋体" w:cs="宋体"/>
                <w:b/>
                <w:color w:val="auto"/>
                <w:sz w:val="24"/>
                <w:highlight w:val="none"/>
              </w:rPr>
              <w:t>响应人应当提供的资格、资信证明文件</w:t>
            </w:r>
          </w:p>
        </w:tc>
        <w:tc>
          <w:tcPr>
            <w:tcW w:w="7371" w:type="dxa"/>
            <w:vAlign w:val="center"/>
          </w:tcPr>
          <w:p w14:paraId="35974594">
            <w:pPr>
              <w:rPr>
                <w:rFonts w:ascii="宋体" w:hAnsi="宋体" w:cs="宋体"/>
                <w:color w:val="auto"/>
                <w:sz w:val="24"/>
                <w:highlight w:val="none"/>
              </w:rPr>
            </w:pPr>
            <w:r>
              <w:rPr>
                <w:rFonts w:hint="eastAsia" w:ascii="宋体" w:hAnsi="宋体" w:cs="宋体"/>
                <w:color w:val="auto"/>
                <w:sz w:val="24"/>
                <w:highlight w:val="none"/>
              </w:rPr>
              <w:t>（1）资格证明文件：见交易文件第二部分10.1。</w:t>
            </w:r>
          </w:p>
          <w:p w14:paraId="15597F0D">
            <w:pPr>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响应人未提供有效的资格证明文件的，视为响应人不具备交易文件中规定的资格要求，投标无效。</w:t>
            </w:r>
          </w:p>
        </w:tc>
      </w:tr>
      <w:tr w14:paraId="5F0B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tblHeader/>
        </w:trPr>
        <w:tc>
          <w:tcPr>
            <w:tcW w:w="655" w:type="dxa"/>
            <w:vMerge w:val="continue"/>
            <w:vAlign w:val="center"/>
          </w:tcPr>
          <w:p w14:paraId="797C21B9">
            <w:pPr>
              <w:snapToGrid w:val="0"/>
              <w:jc w:val="center"/>
              <w:rPr>
                <w:rFonts w:ascii="宋体" w:hAnsi="宋体" w:cs="宋体"/>
                <w:color w:val="auto"/>
                <w:sz w:val="24"/>
                <w:highlight w:val="none"/>
              </w:rPr>
            </w:pPr>
          </w:p>
        </w:tc>
        <w:tc>
          <w:tcPr>
            <w:tcW w:w="1614" w:type="dxa"/>
            <w:vMerge w:val="continue"/>
            <w:vAlign w:val="center"/>
          </w:tcPr>
          <w:p w14:paraId="4890CEF2">
            <w:pPr>
              <w:snapToGrid w:val="0"/>
              <w:jc w:val="center"/>
              <w:rPr>
                <w:rFonts w:ascii="宋体" w:hAnsi="宋体" w:cs="宋体"/>
                <w:b/>
                <w:color w:val="auto"/>
                <w:sz w:val="24"/>
                <w:highlight w:val="none"/>
              </w:rPr>
            </w:pPr>
          </w:p>
        </w:tc>
        <w:tc>
          <w:tcPr>
            <w:tcW w:w="7371" w:type="dxa"/>
            <w:vAlign w:val="center"/>
          </w:tcPr>
          <w:p w14:paraId="0BCA8CDB">
            <w:pPr>
              <w:rPr>
                <w:rFonts w:ascii="宋体" w:hAnsi="宋体" w:cs="宋体"/>
                <w:color w:val="auto"/>
                <w:sz w:val="24"/>
                <w:highlight w:val="none"/>
              </w:rPr>
            </w:pPr>
            <w:r>
              <w:rPr>
                <w:rFonts w:hint="eastAsia" w:ascii="宋体" w:hAnsi="宋体" w:cs="宋体"/>
                <w:color w:val="auto"/>
                <w:sz w:val="24"/>
                <w:highlight w:val="none"/>
              </w:rPr>
              <w:t>（2）资信证明文件：根据交易文件第四部分评标标准提供。</w:t>
            </w:r>
          </w:p>
        </w:tc>
      </w:tr>
      <w:tr w14:paraId="1CF8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80" w:hRule="atLeast"/>
          <w:tblHeader/>
        </w:trPr>
        <w:tc>
          <w:tcPr>
            <w:tcW w:w="655" w:type="dxa"/>
            <w:vAlign w:val="center"/>
          </w:tcPr>
          <w:p w14:paraId="3B440324">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1614" w:type="dxa"/>
            <w:vAlign w:val="center"/>
          </w:tcPr>
          <w:p w14:paraId="646B249F">
            <w:pPr>
              <w:snapToGrid w:val="0"/>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7371" w:type="dxa"/>
            <w:vAlign w:val="center"/>
          </w:tcPr>
          <w:p w14:paraId="3F1F7DBB">
            <w:pPr>
              <w:snapToGrid w:val="0"/>
              <w:rPr>
                <w:rFonts w:ascii="宋体" w:hAnsi="宋体" w:cs="宋体"/>
                <w:color w:val="auto"/>
                <w:sz w:val="24"/>
                <w:szCs w:val="24"/>
                <w:highlight w:val="none"/>
              </w:rPr>
            </w:pP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拟采购的产品属于品目清单范围的，</w:t>
            </w: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及其委托的采购代理机构将依据国家确定的认证机构出具的、处于有效期之内的节能产品、环境标志产品认证证书，对获得证书的产品实施政府优先采购或强制采购。</w:t>
            </w:r>
          </w:p>
        </w:tc>
      </w:tr>
      <w:tr w14:paraId="673D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3" w:hRule="atLeast"/>
          <w:tblHeader/>
        </w:trPr>
        <w:tc>
          <w:tcPr>
            <w:tcW w:w="655" w:type="dxa"/>
            <w:vAlign w:val="center"/>
          </w:tcPr>
          <w:p w14:paraId="64DEE623">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1614" w:type="dxa"/>
            <w:vAlign w:val="center"/>
          </w:tcPr>
          <w:p w14:paraId="6A9D30F1">
            <w:pPr>
              <w:snapToGrid w:val="0"/>
              <w:jc w:val="center"/>
              <w:rPr>
                <w:rFonts w:ascii="宋体" w:hAnsi="宋体" w:cs="宋体"/>
                <w:bCs/>
                <w:color w:val="auto"/>
                <w:sz w:val="24"/>
                <w:highlight w:val="none"/>
              </w:rPr>
            </w:pPr>
            <w:r>
              <w:rPr>
                <w:rFonts w:hint="eastAsia" w:ascii="宋体" w:hAnsi="宋体" w:cs="宋体"/>
                <w:b/>
                <w:color w:val="auto"/>
                <w:sz w:val="24"/>
                <w:highlight w:val="none"/>
              </w:rPr>
              <w:t>报价要求</w:t>
            </w:r>
          </w:p>
        </w:tc>
        <w:tc>
          <w:tcPr>
            <w:tcW w:w="7371" w:type="dxa"/>
            <w:vAlign w:val="center"/>
          </w:tcPr>
          <w:p w14:paraId="2F3B9733">
            <w:pPr>
              <w:autoSpaceDE w:val="0"/>
              <w:autoSpaceDN w:val="0"/>
              <w:adjustRightInd w:val="0"/>
              <w:spacing w:line="360" w:lineRule="auto"/>
              <w:jc w:val="left"/>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val="en-US" w:eastAsia="zh-CN"/>
              </w:rPr>
              <w:t>有关本项目实施所需的所有费用（含税费）均计入报价。开标一览表（报价表）是报价的唯一载体。</w:t>
            </w:r>
            <w:r>
              <w:rPr>
                <w:rFonts w:hint="eastAsia" w:ascii="宋体" w:hAnsi="宋体" w:cs="宋体"/>
                <w:color w:val="auto"/>
                <w:sz w:val="24"/>
                <w:szCs w:val="24"/>
                <w:highlight w:val="none"/>
                <w:shd w:val="clear" w:color="auto" w:fill="auto"/>
                <w:lang w:val="en-US" w:eastAsia="zh-CN"/>
              </w:rPr>
              <w:t>响应文件</w:t>
            </w:r>
            <w:r>
              <w:rPr>
                <w:rFonts w:hint="eastAsia" w:ascii="宋体" w:hAnsi="宋体" w:eastAsia="宋体" w:cs="宋体"/>
                <w:color w:val="auto"/>
                <w:sz w:val="24"/>
                <w:szCs w:val="24"/>
                <w:highlight w:val="none"/>
                <w:shd w:val="clear" w:color="auto" w:fill="auto"/>
                <w:lang w:val="en-US" w:eastAsia="zh-CN"/>
              </w:rPr>
              <w:t>中价格全部采用人民币报价。本项目采用投标总价进行报价。</w:t>
            </w:r>
            <w:r>
              <w:rPr>
                <w:rFonts w:hint="eastAsia" w:ascii="宋体" w:hAnsi="宋体" w:cs="宋体"/>
                <w:color w:val="auto"/>
                <w:sz w:val="24"/>
                <w:szCs w:val="24"/>
                <w:highlight w:val="none"/>
                <w:shd w:val="clear" w:color="auto" w:fill="auto"/>
                <w:lang w:val="en-US" w:eastAsia="zh-CN"/>
              </w:rPr>
              <w:t>响应人</w:t>
            </w:r>
            <w:r>
              <w:rPr>
                <w:rFonts w:hint="eastAsia" w:ascii="宋体" w:hAnsi="宋体" w:eastAsia="宋体" w:cs="宋体"/>
                <w:color w:val="auto"/>
                <w:sz w:val="24"/>
                <w:szCs w:val="24"/>
                <w:highlight w:val="none"/>
                <w:shd w:val="clear" w:color="auto" w:fill="auto"/>
                <w:lang w:val="en-US" w:eastAsia="zh-CN"/>
              </w:rPr>
              <w:t>按</w:t>
            </w:r>
            <w:r>
              <w:rPr>
                <w:rFonts w:hint="eastAsia" w:ascii="宋体" w:hAnsi="宋体" w:cs="宋体"/>
                <w:color w:val="auto"/>
                <w:sz w:val="24"/>
                <w:szCs w:val="24"/>
                <w:highlight w:val="none"/>
                <w:shd w:val="clear" w:color="auto" w:fill="auto"/>
                <w:lang w:val="en-US" w:eastAsia="zh-CN"/>
              </w:rPr>
              <w:t>交易文件</w:t>
            </w:r>
            <w:r>
              <w:rPr>
                <w:rFonts w:hint="eastAsia" w:ascii="宋体" w:hAnsi="宋体" w:eastAsia="宋体" w:cs="宋体"/>
                <w:color w:val="auto"/>
                <w:sz w:val="24"/>
                <w:szCs w:val="24"/>
                <w:highlight w:val="none"/>
                <w:shd w:val="clear" w:color="auto" w:fill="auto"/>
                <w:lang w:val="en-US" w:eastAsia="zh-CN"/>
              </w:rPr>
              <w:t>规定的质量要求，结合作业地段实际和企业自身实力自主报价，总报价应包括</w:t>
            </w:r>
            <w:r>
              <w:rPr>
                <w:rFonts w:hint="eastAsia" w:ascii="宋体" w:hAnsi="宋体" w:eastAsia="宋体" w:cs="宋体"/>
                <w:color w:val="auto"/>
                <w:sz w:val="24"/>
                <w:szCs w:val="24"/>
                <w:highlight w:val="none"/>
                <w:shd w:val="clear" w:color="auto" w:fill="auto"/>
                <w:lang w:eastAsia="zh-CN"/>
              </w:rPr>
              <w:t>保洁</w:t>
            </w:r>
            <w:r>
              <w:rPr>
                <w:rFonts w:hint="eastAsia" w:ascii="宋体" w:hAnsi="宋体" w:eastAsia="宋体" w:cs="宋体"/>
                <w:color w:val="auto"/>
                <w:sz w:val="24"/>
                <w:szCs w:val="24"/>
                <w:highlight w:val="none"/>
                <w:shd w:val="clear" w:color="auto" w:fill="auto"/>
              </w:rPr>
              <w:t>人员的全部工资</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各类基本社会保险、各类补贴津贴、工会经费、加班费、奖金、服装费、</w:t>
            </w:r>
            <w:r>
              <w:rPr>
                <w:rFonts w:hint="eastAsia" w:ascii="宋体" w:hAnsi="宋体" w:eastAsia="宋体" w:cs="宋体"/>
                <w:color w:val="auto"/>
                <w:sz w:val="24"/>
                <w:szCs w:val="24"/>
                <w:highlight w:val="none"/>
                <w:shd w:val="clear" w:color="auto" w:fill="auto"/>
                <w:lang w:eastAsia="zh-CN"/>
              </w:rPr>
              <w:t>保洁</w:t>
            </w:r>
            <w:r>
              <w:rPr>
                <w:rFonts w:hint="eastAsia" w:ascii="宋体" w:hAnsi="宋体" w:eastAsia="宋体" w:cs="宋体"/>
                <w:color w:val="auto"/>
                <w:sz w:val="24"/>
                <w:szCs w:val="24"/>
                <w:highlight w:val="none"/>
                <w:shd w:val="clear" w:color="auto" w:fill="auto"/>
              </w:rPr>
              <w:t>服务费和其它福利待遇及因公出差</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保洁设施设备（如车辆、保洁工具耗材）及维护</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辖区内所有垃圾清运费（含村上级主管部门下发的大件垃圾、建筑垃圾等）、安全责任相关费用、作业人员服装、管理费、税金等运营并达到合同标准而需实际发生的各类成本有关本项目所需的一切费用</w:t>
            </w:r>
            <w:r>
              <w:rPr>
                <w:rFonts w:hint="eastAsia" w:ascii="宋体" w:hAnsi="宋体" w:eastAsia="宋体" w:cs="宋体"/>
                <w:color w:val="auto"/>
                <w:sz w:val="24"/>
                <w:szCs w:val="24"/>
                <w:highlight w:val="none"/>
                <w:shd w:val="clear" w:color="auto" w:fill="auto"/>
                <w:lang w:val="en-US" w:eastAsia="zh-CN"/>
              </w:rPr>
              <w:t>（含税）均计入投标总报价。</w:t>
            </w:r>
          </w:p>
          <w:p w14:paraId="223DC5A6">
            <w:pPr>
              <w:autoSpaceDE w:val="0"/>
              <w:autoSpaceDN w:val="0"/>
              <w:adjustRightInd w:val="0"/>
              <w:spacing w:line="360" w:lineRule="auto"/>
              <w:jc w:val="left"/>
              <w:rPr>
                <w:rFonts w:hint="default" w:ascii="宋体" w:hAnsi="宋体" w:eastAsia="宋体" w:cs="宋体"/>
                <w:strike/>
                <w:dstrike w:val="0"/>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①</w:t>
            </w:r>
            <w:r>
              <w:rPr>
                <w:rFonts w:hint="eastAsia" w:ascii="宋体" w:hAnsi="宋体" w:eastAsia="宋体" w:cs="宋体"/>
                <w:b/>
                <w:bCs/>
                <w:color w:val="auto"/>
                <w:sz w:val="24"/>
                <w:szCs w:val="24"/>
                <w:highlight w:val="none"/>
                <w:shd w:val="clear" w:color="auto" w:fill="auto"/>
                <w:lang w:val="en-US" w:eastAsia="zh-CN"/>
              </w:rPr>
              <w:t>其中保洁人员工资每人每月人工费用不得低于杭州市政府最新规定的最低工资及社会保障费用</w:t>
            </w:r>
            <w:r>
              <w:rPr>
                <w:rFonts w:hint="eastAsia" w:ascii="宋体" w:hAnsi="宋体" w:eastAsia="宋体" w:cs="宋体"/>
                <w:color w:val="auto"/>
                <w:sz w:val="24"/>
                <w:szCs w:val="24"/>
                <w:highlight w:val="none"/>
                <w:shd w:val="clear" w:color="auto" w:fill="auto"/>
                <w:lang w:val="en-US" w:eastAsia="zh-CN"/>
              </w:rPr>
              <w:t>。如评标委员会认为</w:t>
            </w:r>
            <w:r>
              <w:rPr>
                <w:rFonts w:hint="eastAsia" w:ascii="宋体" w:hAnsi="宋体" w:cs="宋体"/>
                <w:color w:val="auto"/>
                <w:sz w:val="24"/>
                <w:szCs w:val="24"/>
                <w:highlight w:val="none"/>
                <w:shd w:val="clear" w:color="auto" w:fill="auto"/>
                <w:lang w:val="en-US" w:eastAsia="zh-CN"/>
              </w:rPr>
              <w:t>响应人</w:t>
            </w:r>
            <w:r>
              <w:rPr>
                <w:rFonts w:hint="eastAsia" w:ascii="宋体" w:hAnsi="宋体" w:eastAsia="宋体" w:cs="宋体"/>
                <w:color w:val="auto"/>
                <w:sz w:val="24"/>
                <w:szCs w:val="24"/>
                <w:highlight w:val="none"/>
                <w:shd w:val="clear" w:color="auto" w:fill="auto"/>
                <w:lang w:val="en-US" w:eastAsia="zh-CN"/>
              </w:rPr>
              <w:t>的报价明显低于其他通过符合性审查</w:t>
            </w:r>
            <w:r>
              <w:rPr>
                <w:rFonts w:hint="eastAsia" w:ascii="宋体" w:hAnsi="宋体" w:cs="宋体"/>
                <w:color w:val="auto"/>
                <w:sz w:val="24"/>
                <w:szCs w:val="24"/>
                <w:highlight w:val="none"/>
                <w:shd w:val="clear" w:color="auto" w:fill="auto"/>
                <w:lang w:val="en-US" w:eastAsia="zh-CN"/>
              </w:rPr>
              <w:t>响应人</w:t>
            </w:r>
            <w:r>
              <w:rPr>
                <w:rFonts w:hint="eastAsia" w:ascii="宋体" w:hAnsi="宋体" w:eastAsia="宋体" w:cs="宋体"/>
                <w:color w:val="auto"/>
                <w:sz w:val="24"/>
                <w:szCs w:val="24"/>
                <w:highlight w:val="none"/>
                <w:shd w:val="clear" w:color="auto" w:fill="auto"/>
                <w:lang w:val="en-US" w:eastAsia="zh-CN"/>
              </w:rPr>
              <w:t>的报价，有可能影响产品质量或者不能诚信履约的，应当要求其在合理的时间内提供书面说明，必要时提交相关证明材料</w:t>
            </w:r>
            <w:r>
              <w:rPr>
                <w:rFonts w:hint="eastAsia" w:ascii="宋体" w:hAnsi="宋体" w:eastAsia="宋体" w:cs="宋体"/>
                <w:b/>
                <w:bCs/>
                <w:color w:val="auto"/>
                <w:sz w:val="24"/>
                <w:szCs w:val="24"/>
                <w:highlight w:val="none"/>
                <w:shd w:val="clear" w:color="auto" w:fill="auto"/>
                <w:lang w:val="en-US" w:eastAsia="zh-CN"/>
              </w:rPr>
              <w:t>。(保洁服务期内的人工费用应根据最新的杭州市最低工资标准作及时调整，因人工费上涨引起费用增加的风险应考虑在投标总价内，</w:t>
            </w:r>
            <w:r>
              <w:rPr>
                <w:rFonts w:hint="eastAsia" w:ascii="宋体" w:hAnsi="宋体" w:cs="宋体"/>
                <w:b/>
                <w:bCs/>
                <w:color w:val="auto"/>
                <w:sz w:val="24"/>
                <w:szCs w:val="24"/>
                <w:highlight w:val="none"/>
                <w:shd w:val="clear" w:color="auto" w:fill="auto"/>
                <w:lang w:val="en-US" w:eastAsia="zh-CN"/>
              </w:rPr>
              <w:t>发包人</w:t>
            </w:r>
            <w:r>
              <w:rPr>
                <w:rFonts w:hint="eastAsia" w:ascii="宋体" w:hAnsi="宋体" w:eastAsia="宋体" w:cs="宋体"/>
                <w:b/>
                <w:bCs/>
                <w:color w:val="auto"/>
                <w:sz w:val="24"/>
                <w:szCs w:val="24"/>
                <w:highlight w:val="none"/>
                <w:shd w:val="clear" w:color="auto" w:fill="auto"/>
                <w:lang w:val="en-US" w:eastAsia="zh-CN"/>
              </w:rPr>
              <w:t>不另行支付)。</w:t>
            </w:r>
          </w:p>
          <w:p w14:paraId="4FB5318C">
            <w:pPr>
              <w:autoSpaceDE w:val="0"/>
              <w:autoSpaceDN w:val="0"/>
              <w:adjustRightInd w:val="0"/>
              <w:spacing w:line="360" w:lineRule="auto"/>
              <w:jc w:val="left"/>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②交易文件</w:t>
            </w:r>
            <w:r>
              <w:rPr>
                <w:rFonts w:hint="eastAsia" w:ascii="宋体" w:hAnsi="宋体" w:eastAsia="宋体" w:cs="宋体"/>
                <w:color w:val="auto"/>
                <w:sz w:val="24"/>
                <w:szCs w:val="24"/>
                <w:highlight w:val="none"/>
                <w:shd w:val="clear" w:color="auto" w:fill="auto"/>
                <w:lang w:val="en-US" w:eastAsia="zh-CN"/>
              </w:rPr>
              <w:t>未列明，而</w:t>
            </w:r>
            <w:r>
              <w:rPr>
                <w:rFonts w:hint="eastAsia" w:ascii="宋体" w:hAnsi="宋体" w:cs="宋体"/>
                <w:color w:val="auto"/>
                <w:sz w:val="24"/>
                <w:szCs w:val="24"/>
                <w:highlight w:val="none"/>
                <w:shd w:val="clear" w:color="auto" w:fill="auto"/>
                <w:lang w:val="en-US" w:eastAsia="zh-CN"/>
              </w:rPr>
              <w:t>响应人</w:t>
            </w:r>
            <w:r>
              <w:rPr>
                <w:rFonts w:hint="eastAsia" w:ascii="宋体" w:hAnsi="宋体" w:eastAsia="宋体" w:cs="宋体"/>
                <w:color w:val="auto"/>
                <w:sz w:val="24"/>
                <w:szCs w:val="24"/>
                <w:highlight w:val="none"/>
                <w:shd w:val="clear" w:color="auto" w:fill="auto"/>
                <w:lang w:val="en-US" w:eastAsia="zh-CN"/>
              </w:rPr>
              <w:t>认为必需的费用也需列入报价。</w:t>
            </w:r>
          </w:p>
          <w:p w14:paraId="20EF19A3">
            <w:pPr>
              <w:rPr>
                <w:rFonts w:ascii="宋体" w:hAnsi="宋体" w:cs="宋体"/>
                <w:b/>
                <w:bCs w:val="0"/>
                <w:color w:val="auto"/>
                <w:kern w:val="0"/>
                <w:sz w:val="24"/>
                <w:szCs w:val="24"/>
                <w:highlight w:val="none"/>
                <w:lang w:val="zh-CN"/>
              </w:rPr>
            </w:pPr>
            <w:r>
              <w:rPr>
                <w:rFonts w:hint="eastAsia" w:ascii="宋体" w:hAnsi="宋体" w:cs="宋体"/>
                <w:bCs/>
                <w:color w:val="auto"/>
                <w:kern w:val="0"/>
                <w:sz w:val="24"/>
                <w:szCs w:val="24"/>
                <w:highlight w:val="none"/>
                <w:lang w:val="en-US" w:eastAsia="zh-CN"/>
              </w:rPr>
              <w:t>2.</w:t>
            </w:r>
            <w:r>
              <w:rPr>
                <w:rFonts w:hint="eastAsia" w:ascii="宋体" w:hAnsi="宋体" w:cs="宋体"/>
                <w:b/>
                <w:bCs w:val="0"/>
                <w:color w:val="auto"/>
                <w:kern w:val="0"/>
                <w:sz w:val="24"/>
                <w:szCs w:val="24"/>
                <w:highlight w:val="none"/>
                <w:lang w:val="zh-CN"/>
              </w:rPr>
              <w:t>响应报价出现下列情形的，投标无效：</w:t>
            </w:r>
          </w:p>
          <w:p w14:paraId="073B5AA3">
            <w:pPr>
              <w:ind w:firstLine="482" w:firstLineChars="200"/>
              <w:rPr>
                <w:rFonts w:ascii="宋体" w:hAnsi="宋体" w:cs="宋体"/>
                <w:b/>
                <w:bCs w:val="0"/>
                <w:color w:val="auto"/>
                <w:kern w:val="0"/>
                <w:sz w:val="24"/>
                <w:szCs w:val="24"/>
                <w:highlight w:val="none"/>
                <w:lang w:val="zh-CN"/>
              </w:rPr>
            </w:pPr>
            <w:r>
              <w:rPr>
                <w:rFonts w:hint="eastAsia" w:ascii="宋体" w:hAnsi="宋体" w:cs="宋体"/>
                <w:b/>
                <w:bCs w:val="0"/>
                <w:color w:val="auto"/>
                <w:kern w:val="0"/>
                <w:sz w:val="24"/>
                <w:szCs w:val="24"/>
                <w:highlight w:val="none"/>
                <w:lang w:val="zh-CN"/>
              </w:rPr>
              <w:t>响应文件出现不是唯一的、有选择性响应报价的；</w:t>
            </w:r>
          </w:p>
          <w:p w14:paraId="6906761E">
            <w:pPr>
              <w:ind w:firstLine="482" w:firstLineChars="200"/>
              <w:rPr>
                <w:rFonts w:ascii="宋体" w:hAnsi="宋体" w:cs="宋体"/>
                <w:b/>
                <w:bCs w:val="0"/>
                <w:color w:val="auto"/>
                <w:kern w:val="0"/>
                <w:sz w:val="24"/>
                <w:szCs w:val="24"/>
                <w:highlight w:val="none"/>
                <w:lang w:val="zh-CN"/>
              </w:rPr>
            </w:pPr>
            <w:r>
              <w:rPr>
                <w:rFonts w:hint="eastAsia" w:ascii="宋体" w:hAnsi="宋体" w:cs="宋体"/>
                <w:b/>
                <w:bCs w:val="0"/>
                <w:color w:val="auto"/>
                <w:kern w:val="0"/>
                <w:sz w:val="24"/>
                <w:szCs w:val="24"/>
                <w:highlight w:val="none"/>
                <w:lang w:val="zh-CN"/>
              </w:rPr>
              <w:t>响应报价超过交易文件中规定的预算金额或者最高限价的；</w:t>
            </w:r>
          </w:p>
          <w:p w14:paraId="557EF4AF">
            <w:pPr>
              <w:ind w:firstLine="482" w:firstLineChars="200"/>
              <w:rPr>
                <w:rFonts w:ascii="宋体" w:hAnsi="宋体" w:cs="宋体"/>
                <w:b/>
                <w:bCs w:val="0"/>
                <w:color w:val="auto"/>
                <w:kern w:val="0"/>
                <w:sz w:val="24"/>
                <w:szCs w:val="24"/>
                <w:highlight w:val="none"/>
              </w:rPr>
            </w:pPr>
            <w:r>
              <w:rPr>
                <w:rFonts w:hint="eastAsia" w:ascii="宋体" w:hAnsi="宋体" w:cs="宋体"/>
                <w:b/>
                <w:bCs w:val="0"/>
                <w:color w:val="auto"/>
                <w:kern w:val="0"/>
                <w:sz w:val="24"/>
                <w:szCs w:val="24"/>
                <w:highlight w:val="none"/>
              </w:rPr>
              <w:t>报价明显低于其他通过符合性审查响应人的报价，有可能影响产品质量或者不能诚信履约的，未能按要求提供书面说明或者提交相关证明材料证明其报价合理性的；</w:t>
            </w:r>
          </w:p>
          <w:p w14:paraId="0DD459D1">
            <w:pPr>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响应人对根据修正原则修正后的报价不确认的。</w:t>
            </w:r>
          </w:p>
          <w:p w14:paraId="259F2C63">
            <w:pPr>
              <w:ind w:firstLine="480" w:firstLineChars="200"/>
              <w:rPr>
                <w:rFonts w:ascii="宋体" w:hAnsi="宋体" w:cs="宋体"/>
                <w:bCs/>
                <w:color w:val="auto"/>
                <w:sz w:val="24"/>
                <w:szCs w:val="24"/>
                <w:highlight w:val="none"/>
              </w:rPr>
            </w:pPr>
            <w:r>
              <w:rPr>
                <w:rFonts w:hint="eastAsia" w:ascii="宋体" w:hAnsi="宋体" w:cs="宋体"/>
                <w:bCs/>
                <w:color w:val="auto"/>
                <w:kern w:val="0"/>
                <w:sz w:val="24"/>
                <w:szCs w:val="24"/>
                <w:highlight w:val="none"/>
              </w:rPr>
              <w:t>资格文件、商务技术文件与报价文件未分开制作</w:t>
            </w:r>
            <w:r>
              <w:rPr>
                <w:rFonts w:hint="eastAsia" w:ascii="宋体" w:hAnsi="宋体" w:cs="宋体"/>
                <w:bCs/>
                <w:color w:val="auto"/>
                <w:sz w:val="24"/>
                <w:szCs w:val="24"/>
                <w:highlight w:val="none"/>
              </w:rPr>
              <w:t>。</w:t>
            </w:r>
          </w:p>
        </w:tc>
      </w:tr>
      <w:tr w14:paraId="7489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1" w:hRule="atLeast"/>
          <w:tblHeader/>
        </w:trPr>
        <w:tc>
          <w:tcPr>
            <w:tcW w:w="655" w:type="dxa"/>
            <w:vAlign w:val="center"/>
          </w:tcPr>
          <w:p w14:paraId="76F5F3B6">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1614" w:type="dxa"/>
            <w:vAlign w:val="center"/>
          </w:tcPr>
          <w:p w14:paraId="4D405F69">
            <w:pPr>
              <w:snapToGrid w:val="0"/>
              <w:jc w:val="center"/>
              <w:rPr>
                <w:rFonts w:ascii="宋体" w:hAnsi="宋体" w:cs="宋体"/>
                <w:b/>
                <w:color w:val="auto"/>
                <w:sz w:val="24"/>
                <w:highlight w:val="none"/>
              </w:rPr>
            </w:pPr>
            <w:r>
              <w:rPr>
                <w:rFonts w:hint="eastAsia" w:ascii="宋体" w:hAnsi="宋体" w:cs="宋体"/>
                <w:b/>
                <w:color w:val="auto"/>
                <w:sz w:val="24"/>
                <w:highlight w:val="none"/>
              </w:rPr>
              <w:t>备份投标</w:t>
            </w:r>
          </w:p>
          <w:p w14:paraId="72E23B87">
            <w:pPr>
              <w:snapToGrid w:val="0"/>
              <w:jc w:val="center"/>
              <w:rPr>
                <w:rFonts w:ascii="宋体" w:hAnsi="宋体" w:cs="宋体"/>
                <w:b/>
                <w:color w:val="auto"/>
                <w:sz w:val="24"/>
                <w:highlight w:val="none"/>
              </w:rPr>
            </w:pPr>
            <w:r>
              <w:rPr>
                <w:rFonts w:hint="eastAsia" w:ascii="宋体" w:hAnsi="宋体" w:cs="宋体"/>
                <w:b/>
                <w:color w:val="auto"/>
                <w:sz w:val="24"/>
                <w:highlight w:val="none"/>
              </w:rPr>
              <w:t>文件</w:t>
            </w:r>
          </w:p>
        </w:tc>
        <w:tc>
          <w:tcPr>
            <w:tcW w:w="7371" w:type="dxa"/>
            <w:vAlign w:val="center"/>
          </w:tcPr>
          <w:p w14:paraId="776ACC65">
            <w:pPr>
              <w:pStyle w:val="33"/>
              <w:rPr>
                <w:rFonts w:hAnsi="宋体" w:cs="宋体"/>
                <w:color w:val="auto"/>
                <w:kern w:val="28"/>
                <w:sz w:val="24"/>
                <w:szCs w:val="24"/>
                <w:highlight w:val="none"/>
              </w:rPr>
            </w:pPr>
            <w:r>
              <w:rPr>
                <w:rFonts w:hint="eastAsia" w:hAnsi="宋体" w:cs="宋体"/>
                <w:color w:val="auto"/>
                <w:kern w:val="28"/>
                <w:sz w:val="24"/>
                <w:szCs w:val="24"/>
                <w:highlight w:val="none"/>
              </w:rPr>
              <w:t>备份文件是否收取：不收取</w:t>
            </w:r>
            <w:r>
              <w:rPr>
                <w:rFonts w:hint="eastAsia" w:hAnsi="宋体" w:cs="宋体"/>
                <w:bCs/>
                <w:color w:val="auto"/>
                <w:sz w:val="24"/>
                <w:highlight w:val="none"/>
              </w:rPr>
              <w:t>。</w:t>
            </w:r>
          </w:p>
        </w:tc>
      </w:tr>
      <w:tr w14:paraId="04D2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9" w:hRule="atLeast"/>
          <w:tblHeader/>
        </w:trPr>
        <w:tc>
          <w:tcPr>
            <w:tcW w:w="655" w:type="dxa"/>
            <w:vAlign w:val="center"/>
          </w:tcPr>
          <w:p w14:paraId="6FC847CB">
            <w:pPr>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1614" w:type="dxa"/>
            <w:vAlign w:val="center"/>
          </w:tcPr>
          <w:p w14:paraId="0A29B002">
            <w:pPr>
              <w:snapToGrid w:val="0"/>
              <w:jc w:val="center"/>
              <w:rPr>
                <w:rFonts w:ascii="宋体" w:hAnsi="宋体" w:cs="宋体"/>
                <w:b/>
                <w:color w:val="auto"/>
                <w:sz w:val="24"/>
                <w:highlight w:val="none"/>
              </w:rPr>
            </w:pPr>
            <w:r>
              <w:rPr>
                <w:rFonts w:hint="eastAsia" w:ascii="宋体" w:hAnsi="宋体" w:cs="宋体"/>
                <w:b/>
                <w:color w:val="auto"/>
                <w:sz w:val="24"/>
                <w:highlight w:val="none"/>
              </w:rPr>
              <w:t>采购机构代理</w:t>
            </w:r>
          </w:p>
          <w:p w14:paraId="683738B3">
            <w:pPr>
              <w:snapToGrid w:val="0"/>
              <w:jc w:val="center"/>
              <w:rPr>
                <w:rFonts w:ascii="宋体" w:hAnsi="宋体" w:cs="宋体"/>
                <w:b/>
                <w:color w:val="auto"/>
                <w:sz w:val="24"/>
                <w:highlight w:val="none"/>
              </w:rPr>
            </w:pPr>
            <w:r>
              <w:rPr>
                <w:rFonts w:hint="eastAsia" w:ascii="宋体" w:hAnsi="宋体" w:cs="宋体"/>
                <w:b/>
                <w:color w:val="auto"/>
                <w:sz w:val="24"/>
                <w:highlight w:val="none"/>
              </w:rPr>
              <w:t>费用</w:t>
            </w:r>
          </w:p>
        </w:tc>
        <w:tc>
          <w:tcPr>
            <w:tcW w:w="7371" w:type="dxa"/>
            <w:vAlign w:val="center"/>
          </w:tcPr>
          <w:p w14:paraId="1249D848">
            <w:pPr>
              <w:snapToGrid w:val="0"/>
              <w:spacing w:line="320" w:lineRule="exact"/>
              <w:rPr>
                <w:rFonts w:hint="eastAsia" w:ascii="宋体" w:hAnsi="宋体" w:cs="宋体"/>
                <w:color w:val="auto"/>
                <w:sz w:val="24"/>
                <w:highlight w:val="none"/>
              </w:rPr>
            </w:pPr>
            <w:r>
              <w:rPr>
                <w:rFonts w:hint="eastAsia" w:ascii="宋体" w:hAnsi="宋体" w:cs="宋体"/>
                <w:color w:val="auto"/>
                <w:sz w:val="24"/>
                <w:highlight w:val="none"/>
                <w:lang w:val="zh-CN"/>
              </w:rPr>
              <w:t>本项目的代理费由</w:t>
            </w:r>
            <w:r>
              <w:rPr>
                <w:rFonts w:hint="eastAsia" w:ascii="宋体" w:hAnsi="宋体" w:cs="宋体"/>
                <w:color w:val="auto"/>
                <w:sz w:val="24"/>
                <w:highlight w:val="none"/>
                <w:lang w:eastAsia="zh-CN"/>
              </w:rPr>
              <w:t>成交人</w:t>
            </w:r>
            <w:r>
              <w:rPr>
                <w:rFonts w:hint="eastAsia" w:ascii="宋体" w:hAnsi="宋体" w:cs="宋体"/>
                <w:color w:val="auto"/>
                <w:sz w:val="24"/>
                <w:highlight w:val="none"/>
              </w:rPr>
              <w:t>支付。按《发改价格〔2011〕534号、计价格[2002]1980号》文件中招标代理服务费收费标准（</w:t>
            </w:r>
            <w:r>
              <w:rPr>
                <w:rFonts w:hint="eastAsia" w:ascii="宋体" w:hAnsi="宋体" w:cs="宋体"/>
                <w:color w:val="auto"/>
                <w:sz w:val="24"/>
                <w:highlight w:val="none"/>
                <w:lang w:eastAsia="zh-CN"/>
              </w:rPr>
              <w:t>服务</w:t>
            </w:r>
            <w:r>
              <w:rPr>
                <w:rFonts w:hint="eastAsia" w:ascii="宋体" w:hAnsi="宋体" w:cs="宋体"/>
                <w:color w:val="auto"/>
                <w:sz w:val="24"/>
                <w:highlight w:val="none"/>
              </w:rPr>
              <w:t>类，以中标价为计费基数）计</w:t>
            </w:r>
            <w:r>
              <w:rPr>
                <w:rFonts w:hint="eastAsia" w:ascii="宋体" w:hAnsi="宋体" w:cs="宋体"/>
                <w:color w:val="auto"/>
                <w:sz w:val="24"/>
                <w:highlight w:val="none"/>
                <w:lang w:eastAsia="zh-CN"/>
              </w:rPr>
              <w:t>取</w:t>
            </w:r>
            <w:r>
              <w:rPr>
                <w:rFonts w:hint="eastAsia" w:ascii="宋体" w:hAnsi="宋体" w:cs="宋体"/>
                <w:color w:val="auto"/>
                <w:sz w:val="24"/>
                <w:highlight w:val="none"/>
              </w:rPr>
              <w:t>，在领取</w:t>
            </w:r>
            <w:r>
              <w:rPr>
                <w:rFonts w:hint="eastAsia" w:ascii="宋体" w:hAnsi="宋体" w:cs="宋体"/>
                <w:color w:val="auto"/>
                <w:sz w:val="24"/>
                <w:highlight w:val="none"/>
                <w:lang w:eastAsia="zh-CN"/>
              </w:rPr>
              <w:t>成交通知书</w:t>
            </w:r>
            <w:r>
              <w:rPr>
                <w:rFonts w:hint="eastAsia" w:ascii="宋体" w:hAnsi="宋体" w:cs="宋体"/>
                <w:color w:val="auto"/>
                <w:sz w:val="24"/>
                <w:highlight w:val="none"/>
              </w:rPr>
              <w:t>时由中标人一次性向</w:t>
            </w:r>
            <w:r>
              <w:rPr>
                <w:rFonts w:hint="eastAsia" w:ascii="宋体" w:hAnsi="宋体" w:cs="宋体"/>
                <w:color w:val="auto"/>
                <w:sz w:val="24"/>
                <w:highlight w:val="none"/>
                <w:lang w:eastAsia="zh-CN"/>
              </w:rPr>
              <w:t>代理机构</w:t>
            </w:r>
            <w:r>
              <w:rPr>
                <w:rFonts w:hint="eastAsia" w:ascii="宋体" w:hAnsi="宋体" w:cs="宋体"/>
                <w:color w:val="auto"/>
                <w:sz w:val="24"/>
                <w:highlight w:val="none"/>
              </w:rPr>
              <w:t>付清。</w:t>
            </w:r>
          </w:p>
          <w:p w14:paraId="23252CEF">
            <w:pPr>
              <w:snapToGrid w:val="0"/>
              <w:spacing w:line="320" w:lineRule="exact"/>
              <w:rPr>
                <w:rFonts w:hint="eastAsia" w:ascii="宋体" w:hAnsi="宋体" w:cs="宋体"/>
                <w:color w:val="auto"/>
                <w:sz w:val="24"/>
                <w:highlight w:val="none"/>
              </w:rPr>
            </w:pPr>
            <w:r>
              <w:rPr>
                <w:rFonts w:hint="eastAsia" w:ascii="宋体" w:hAnsi="宋体" w:cs="宋体"/>
                <w:color w:val="auto"/>
                <w:sz w:val="24"/>
                <w:highlight w:val="none"/>
                <w:lang w:eastAsia="zh-CN"/>
              </w:rPr>
              <w:t>交易</w:t>
            </w:r>
            <w:r>
              <w:rPr>
                <w:rFonts w:hint="eastAsia" w:ascii="宋体" w:hAnsi="宋体" w:cs="宋体"/>
                <w:color w:val="auto"/>
                <w:sz w:val="24"/>
                <w:highlight w:val="none"/>
              </w:rPr>
              <w:t>代理收费按照差额定率累计法记取。具体标准为:</w:t>
            </w:r>
          </w:p>
          <w:p w14:paraId="21A13E9D">
            <w:pPr>
              <w:snapToGrid w:val="0"/>
              <w:spacing w:line="320" w:lineRule="exact"/>
              <w:rPr>
                <w:rFonts w:hint="eastAsia" w:ascii="宋体" w:hAnsi="宋体" w:cs="宋体"/>
                <w:color w:val="auto"/>
                <w:sz w:val="24"/>
                <w:highlight w:val="none"/>
              </w:rPr>
            </w:pPr>
            <w:r>
              <w:rPr>
                <w:rFonts w:hint="eastAsia" w:ascii="宋体" w:hAnsi="宋体" w:cs="宋体"/>
                <w:color w:val="auto"/>
                <w:sz w:val="24"/>
                <w:highlight w:val="none"/>
              </w:rPr>
              <w:t>中标金额为100万元及以下：中标金额×1.5%；</w:t>
            </w:r>
          </w:p>
          <w:p w14:paraId="7741B8C3">
            <w:pPr>
              <w:pStyle w:val="33"/>
              <w:rPr>
                <w:rFonts w:hAnsi="宋体" w:cs="宋体"/>
                <w:color w:val="auto"/>
                <w:sz w:val="24"/>
                <w:highlight w:val="none"/>
              </w:rPr>
            </w:pPr>
            <w:r>
              <w:rPr>
                <w:rFonts w:hint="eastAsia" w:ascii="宋体" w:hAnsi="宋体" w:cs="宋体"/>
                <w:color w:val="auto"/>
                <w:sz w:val="24"/>
                <w:highlight w:val="none"/>
              </w:rPr>
              <w:t>结算方式及时间为：在领取</w:t>
            </w:r>
            <w:r>
              <w:rPr>
                <w:rFonts w:hint="eastAsia" w:ascii="宋体" w:hAnsi="宋体" w:cs="宋体"/>
                <w:color w:val="auto"/>
                <w:sz w:val="24"/>
                <w:highlight w:val="none"/>
                <w:lang w:eastAsia="zh-CN"/>
              </w:rPr>
              <w:t>成交通知书</w:t>
            </w:r>
            <w:r>
              <w:rPr>
                <w:rFonts w:hint="eastAsia" w:ascii="宋体" w:hAnsi="宋体" w:cs="宋体"/>
                <w:color w:val="auto"/>
                <w:sz w:val="24"/>
                <w:highlight w:val="none"/>
              </w:rPr>
              <w:t>时由中标</w:t>
            </w:r>
            <w:r>
              <w:rPr>
                <w:rFonts w:hint="eastAsia" w:ascii="宋体" w:hAnsi="宋体" w:cs="宋体"/>
                <w:color w:val="auto"/>
                <w:sz w:val="24"/>
                <w:highlight w:val="none"/>
                <w:lang w:eastAsia="zh-CN"/>
              </w:rPr>
              <w:t>人</w:t>
            </w:r>
            <w:r>
              <w:rPr>
                <w:rFonts w:hint="eastAsia" w:ascii="宋体" w:hAnsi="宋体" w:cs="宋体"/>
                <w:color w:val="auto"/>
                <w:sz w:val="24"/>
                <w:highlight w:val="none"/>
              </w:rPr>
              <w:t>一次性向</w:t>
            </w:r>
            <w:r>
              <w:rPr>
                <w:rFonts w:hint="eastAsia" w:ascii="宋体" w:hAnsi="宋体" w:cs="宋体"/>
                <w:color w:val="auto"/>
                <w:sz w:val="24"/>
                <w:highlight w:val="none"/>
                <w:lang w:eastAsia="zh-CN"/>
              </w:rPr>
              <w:t>代理机构</w:t>
            </w:r>
            <w:r>
              <w:rPr>
                <w:rFonts w:hint="eastAsia" w:ascii="宋体" w:hAnsi="宋体" w:cs="宋体"/>
                <w:color w:val="auto"/>
                <w:sz w:val="24"/>
                <w:highlight w:val="none"/>
              </w:rPr>
              <w:t>付清。该费用考虑在投标总报价中，不必单列。</w:t>
            </w:r>
          </w:p>
        </w:tc>
      </w:tr>
      <w:tr w14:paraId="2EED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4" w:hRule="atLeast"/>
          <w:tblHeader/>
        </w:trPr>
        <w:tc>
          <w:tcPr>
            <w:tcW w:w="655" w:type="dxa"/>
            <w:vAlign w:val="center"/>
          </w:tcPr>
          <w:p w14:paraId="30D2A24D">
            <w:pPr>
              <w:snapToGrid w:val="0"/>
              <w:jc w:val="center"/>
              <w:rPr>
                <w:rFonts w:ascii="宋体" w:hAnsi="宋体" w:cs="宋体"/>
                <w:b/>
                <w:color w:val="auto"/>
                <w:sz w:val="24"/>
                <w:highlight w:val="none"/>
              </w:rPr>
            </w:pPr>
            <w:r>
              <w:rPr>
                <w:rFonts w:hint="eastAsia" w:ascii="宋体" w:hAnsi="宋体" w:cs="宋体"/>
                <w:bCs/>
                <w:color w:val="auto"/>
                <w:sz w:val="24"/>
                <w:highlight w:val="none"/>
              </w:rPr>
              <w:t>12</w:t>
            </w:r>
          </w:p>
        </w:tc>
        <w:tc>
          <w:tcPr>
            <w:tcW w:w="1614" w:type="dxa"/>
            <w:vAlign w:val="center"/>
          </w:tcPr>
          <w:p w14:paraId="69A477AF">
            <w:pPr>
              <w:snapToGrid w:val="0"/>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7371" w:type="dxa"/>
            <w:vAlign w:val="center"/>
          </w:tcPr>
          <w:p w14:paraId="4D559C0B">
            <w:pPr>
              <w:pStyle w:val="33"/>
              <w:ind w:hanging="4"/>
              <w:rPr>
                <w:rFonts w:hint="eastAsia" w:hAnsi="宋体" w:eastAsia="宋体" w:cs="宋体"/>
                <w:color w:val="auto"/>
                <w:sz w:val="24"/>
                <w:highlight w:val="none"/>
                <w:lang w:eastAsia="zh-CN"/>
              </w:rPr>
            </w:pPr>
            <w:r>
              <w:rPr>
                <w:rFonts w:hint="eastAsia" w:hAnsi="宋体" w:cs="宋体"/>
                <w:color w:val="auto"/>
                <w:sz w:val="24"/>
                <w:highlight w:val="none"/>
                <w:lang w:val="en-US" w:eastAsia="zh-CN"/>
              </w:rPr>
              <w:t>合同价的1%。</w:t>
            </w:r>
          </w:p>
        </w:tc>
      </w:tr>
      <w:tr w14:paraId="06F7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5" w:hRule="atLeast"/>
          <w:tblHeader/>
        </w:trPr>
        <w:tc>
          <w:tcPr>
            <w:tcW w:w="655" w:type="dxa"/>
            <w:vAlign w:val="center"/>
          </w:tcPr>
          <w:p w14:paraId="401988A9">
            <w:pPr>
              <w:snapToGrid w:val="0"/>
              <w:jc w:val="center"/>
              <w:rPr>
                <w:rFonts w:ascii="宋体" w:hAnsi="宋体" w:cs="宋体"/>
                <w:bCs/>
                <w:color w:val="auto"/>
                <w:sz w:val="24"/>
                <w:highlight w:val="none"/>
              </w:rPr>
            </w:pPr>
            <w:r>
              <w:rPr>
                <w:rFonts w:hint="eastAsia" w:ascii="宋体" w:hAnsi="宋体" w:cs="宋体"/>
                <w:bCs/>
                <w:color w:val="auto"/>
                <w:sz w:val="24"/>
                <w:highlight w:val="none"/>
              </w:rPr>
              <w:t>13</w:t>
            </w:r>
          </w:p>
        </w:tc>
        <w:tc>
          <w:tcPr>
            <w:tcW w:w="1614" w:type="dxa"/>
            <w:vAlign w:val="center"/>
          </w:tcPr>
          <w:p w14:paraId="129FD52A">
            <w:pPr>
              <w:snapToGrid w:val="0"/>
              <w:jc w:val="center"/>
              <w:rPr>
                <w:rFonts w:ascii="宋体" w:hAnsi="宋体" w:cs="宋体"/>
                <w:b/>
                <w:color w:val="auto"/>
                <w:sz w:val="24"/>
                <w:highlight w:val="none"/>
              </w:rPr>
            </w:pPr>
            <w:r>
              <w:rPr>
                <w:rFonts w:hint="eastAsia" w:ascii="宋体" w:hAnsi="宋体" w:cs="宋体"/>
                <w:b/>
                <w:color w:val="auto"/>
                <w:sz w:val="24"/>
                <w:highlight w:val="none"/>
              </w:rPr>
              <w:t>资格审查和信用信息审查</w:t>
            </w:r>
          </w:p>
        </w:tc>
        <w:tc>
          <w:tcPr>
            <w:tcW w:w="7371" w:type="dxa"/>
            <w:vAlign w:val="center"/>
          </w:tcPr>
          <w:p w14:paraId="066A2E6D">
            <w:pPr>
              <w:pStyle w:val="33"/>
              <w:ind w:hanging="4"/>
              <w:rPr>
                <w:rFonts w:hAnsi="宋体" w:cs="宋体"/>
                <w:color w:val="auto"/>
                <w:sz w:val="24"/>
                <w:highlight w:val="none"/>
              </w:rPr>
            </w:pPr>
            <w:r>
              <w:rPr>
                <w:rFonts w:hint="eastAsia" w:hAnsi="宋体" w:cs="宋体"/>
                <w:color w:val="auto"/>
                <w:sz w:val="24"/>
                <w:highlight w:val="none"/>
              </w:rPr>
              <w:t>本项目由</w:t>
            </w:r>
            <w:r>
              <w:rPr>
                <w:rFonts w:hint="eastAsia" w:hAnsi="宋体" w:cs="宋体"/>
                <w:color w:val="auto"/>
                <w:sz w:val="24"/>
                <w:highlight w:val="none"/>
                <w:lang w:eastAsia="zh-CN"/>
              </w:rPr>
              <w:t>发包人</w:t>
            </w:r>
            <w:r>
              <w:rPr>
                <w:rFonts w:hint="eastAsia" w:hAnsi="宋体" w:cs="宋体"/>
                <w:color w:val="auto"/>
                <w:sz w:val="24"/>
                <w:highlight w:val="none"/>
              </w:rPr>
              <w:t>进行资格文件及信用信息查询。</w:t>
            </w:r>
          </w:p>
        </w:tc>
      </w:tr>
      <w:tr w14:paraId="72FBC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83" w:hRule="atLeast"/>
          <w:tblHeader/>
        </w:trPr>
        <w:tc>
          <w:tcPr>
            <w:tcW w:w="655" w:type="dxa"/>
            <w:vAlign w:val="center"/>
          </w:tcPr>
          <w:p w14:paraId="5D4E8345">
            <w:pPr>
              <w:snapToGrid w:val="0"/>
              <w:jc w:val="center"/>
              <w:rPr>
                <w:rFonts w:ascii="宋体" w:hAnsi="宋体" w:cs="宋体"/>
                <w:bCs/>
                <w:color w:val="auto"/>
                <w:sz w:val="24"/>
                <w:highlight w:val="none"/>
              </w:rPr>
            </w:pPr>
            <w:r>
              <w:rPr>
                <w:rFonts w:hint="eastAsia" w:ascii="宋体" w:hAnsi="宋体" w:cs="宋体"/>
                <w:bCs/>
                <w:color w:val="auto"/>
                <w:sz w:val="24"/>
                <w:highlight w:val="none"/>
              </w:rPr>
              <w:t>14</w:t>
            </w:r>
          </w:p>
        </w:tc>
        <w:tc>
          <w:tcPr>
            <w:tcW w:w="1614" w:type="dxa"/>
            <w:vAlign w:val="center"/>
          </w:tcPr>
          <w:p w14:paraId="60768D5D">
            <w:pPr>
              <w:snapToGrid w:val="0"/>
              <w:jc w:val="center"/>
              <w:rPr>
                <w:rFonts w:ascii="宋体" w:hAnsi="宋体" w:cs="宋体"/>
                <w:b/>
                <w:color w:val="auto"/>
                <w:sz w:val="24"/>
                <w:highlight w:val="none"/>
              </w:rPr>
            </w:pPr>
            <w:r>
              <w:rPr>
                <w:rFonts w:hint="eastAsia" w:ascii="宋体" w:hAnsi="宋体" w:cs="宋体"/>
                <w:b/>
                <w:color w:val="auto"/>
                <w:sz w:val="24"/>
                <w:highlight w:val="none"/>
              </w:rPr>
              <w:t>质疑接收人及答复</w:t>
            </w:r>
          </w:p>
        </w:tc>
        <w:tc>
          <w:tcPr>
            <w:tcW w:w="7371" w:type="dxa"/>
            <w:vAlign w:val="center"/>
          </w:tcPr>
          <w:p w14:paraId="793700B9">
            <w:pPr>
              <w:snapToGrid w:val="0"/>
              <w:rPr>
                <w:rFonts w:ascii="宋体" w:hAnsi="宋体" w:cs="宋体"/>
                <w:color w:val="auto"/>
                <w:sz w:val="24"/>
                <w:highlight w:val="none"/>
                <w:u w:val="single"/>
              </w:rPr>
            </w:pPr>
            <w:r>
              <w:rPr>
                <w:rFonts w:hint="eastAsia" w:ascii="宋体" w:hAnsi="宋体" w:cs="宋体"/>
                <w:color w:val="auto"/>
                <w:sz w:val="24"/>
                <w:highlight w:val="none"/>
                <w:lang w:eastAsia="zh-CN"/>
              </w:rPr>
              <w:t>发包人</w:t>
            </w:r>
            <w:r>
              <w:rPr>
                <w:rFonts w:hint="eastAsia" w:ascii="宋体" w:hAnsi="宋体" w:cs="宋体"/>
                <w:color w:val="auto"/>
                <w:sz w:val="24"/>
                <w:highlight w:val="none"/>
              </w:rPr>
              <w:t>质疑接收人：</w:t>
            </w:r>
            <w:r>
              <w:rPr>
                <w:rFonts w:hint="eastAsia" w:ascii="宋体" w:hAnsi="宋体" w:cs="宋体"/>
                <w:color w:val="auto"/>
                <w:sz w:val="24"/>
                <w:highlight w:val="none"/>
                <w:u w:val="single"/>
              </w:rPr>
              <w:t xml:space="preserve"> 许天钢</w:t>
            </w:r>
            <w:r>
              <w:rPr>
                <w:rFonts w:hint="eastAsia" w:ascii="宋体" w:hAnsi="宋体" w:cs="宋体"/>
                <w:color w:val="auto"/>
                <w:sz w:val="24"/>
                <w:highlight w:val="none"/>
                <w:u w:val="single"/>
                <w:lang w:val="en-US" w:eastAsia="zh-CN"/>
              </w:rPr>
              <w:t xml:space="preserve"> </w:t>
            </w:r>
            <w:r>
              <w:rPr>
                <w:rFonts w:hint="eastAsia" w:ascii="宋体" w:hAnsi="宋体"/>
                <w:color w:val="auto"/>
                <w:sz w:val="24"/>
                <w:szCs w:val="28"/>
                <w:highlight w:val="none"/>
                <w:u w:val="single"/>
                <w:lang w:val="en-US" w:eastAsia="zh-CN"/>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0571-57152632</w:t>
            </w:r>
            <w:r>
              <w:rPr>
                <w:rFonts w:hint="eastAsia" w:ascii="宋体" w:hAnsi="宋体"/>
                <w:color w:val="auto"/>
                <w:sz w:val="24"/>
                <w:highlight w:val="none"/>
                <w:u w:val="single"/>
              </w:rPr>
              <w:t xml:space="preserve"> </w:t>
            </w:r>
          </w:p>
          <w:p w14:paraId="28C9613F">
            <w:pPr>
              <w:snapToGrid w:val="0"/>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萧山区瓜沥镇政通路100号</w:t>
            </w:r>
          </w:p>
          <w:p w14:paraId="0A36C032">
            <w:pPr>
              <w:snapToGrid w:val="0"/>
              <w:rPr>
                <w:rFonts w:ascii="宋体" w:hAnsi="宋体" w:cs="宋体"/>
                <w:color w:val="auto"/>
                <w:sz w:val="24"/>
                <w:highlight w:val="none"/>
                <w:u w:val="single"/>
              </w:rPr>
            </w:pPr>
            <w:r>
              <w:rPr>
                <w:rFonts w:hint="eastAsia" w:ascii="宋体" w:hAnsi="宋体" w:cs="宋体"/>
                <w:color w:val="auto"/>
                <w:sz w:val="24"/>
                <w:highlight w:val="none"/>
              </w:rPr>
              <w:t>采购机构质疑接收人：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李芳芳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15068827539</w:t>
            </w:r>
            <w:r>
              <w:rPr>
                <w:rFonts w:hint="eastAsia" w:ascii="宋体" w:hAnsi="宋体" w:cs="宋体"/>
                <w:color w:val="auto"/>
                <w:sz w:val="24"/>
                <w:highlight w:val="none"/>
                <w:u w:val="single"/>
              </w:rPr>
              <w:t xml:space="preserve"> </w:t>
            </w:r>
          </w:p>
          <w:p w14:paraId="13E83584">
            <w:pPr>
              <w:snapToGrid w:val="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地址：</w:t>
            </w:r>
            <w:r>
              <w:rPr>
                <w:rFonts w:hint="eastAsia" w:ascii="宋体" w:hAnsi="宋体" w:cs="宋体"/>
                <w:color w:val="auto"/>
                <w:sz w:val="24"/>
                <w:highlight w:val="none"/>
                <w:u w:val="single"/>
                <w:lang w:eastAsia="zh-CN"/>
              </w:rPr>
              <w:t>杭州市西湖区天目山路</w:t>
            </w:r>
            <w:r>
              <w:rPr>
                <w:rFonts w:hint="eastAsia" w:ascii="宋体" w:hAnsi="宋体" w:cs="宋体"/>
                <w:color w:val="auto"/>
                <w:sz w:val="24"/>
                <w:highlight w:val="none"/>
                <w:u w:val="single"/>
                <w:lang w:val="en-US" w:eastAsia="zh-CN"/>
              </w:rPr>
              <w:t>181号天际大厦804室</w:t>
            </w:r>
          </w:p>
          <w:p w14:paraId="447A87ED">
            <w:pPr>
              <w:snapToGrid w:val="0"/>
              <w:jc w:val="left"/>
              <w:rPr>
                <w:rFonts w:ascii="宋体" w:hAnsi="宋体" w:cs="宋体"/>
                <w:color w:val="auto"/>
                <w:sz w:val="24"/>
                <w:highlight w:val="none"/>
                <w:u w:val="single"/>
              </w:rPr>
            </w:pPr>
            <w:r>
              <w:rPr>
                <w:rFonts w:hint="eastAsia" w:ascii="宋体" w:hAnsi="宋体" w:cs="宋体"/>
                <w:color w:val="auto"/>
                <w:sz w:val="24"/>
                <w:highlight w:val="none"/>
              </w:rPr>
              <w:t>邮箱：</w:t>
            </w:r>
            <w:r>
              <w:rPr>
                <w:rFonts w:hint="eastAsia" w:ascii="宋体" w:hAnsi="宋体" w:cs="宋体"/>
                <w:color w:val="auto"/>
                <w:sz w:val="24"/>
                <w:highlight w:val="none"/>
                <w:u w:val="single"/>
                <w:lang w:val="en-US" w:eastAsia="zh-CN"/>
              </w:rPr>
              <w:t>535429422</w:t>
            </w:r>
            <w:r>
              <w:rPr>
                <w:rFonts w:hint="eastAsia" w:ascii="宋体" w:hAnsi="宋体" w:cs="宋体"/>
                <w:color w:val="auto"/>
                <w:sz w:val="24"/>
                <w:highlight w:val="none"/>
                <w:u w:val="single"/>
              </w:rPr>
              <w:t xml:space="preserve">@qq.com </w:t>
            </w:r>
          </w:p>
          <w:p w14:paraId="61F25600">
            <w:pPr>
              <w:snapToGrid w:val="0"/>
              <w:rPr>
                <w:rFonts w:ascii="宋体" w:hAnsi="宋体" w:cs="宋体"/>
                <w:b/>
                <w:color w:val="auto"/>
                <w:sz w:val="24"/>
                <w:highlight w:val="none"/>
              </w:rPr>
            </w:pPr>
            <w:r>
              <w:rPr>
                <w:rFonts w:hint="eastAsia" w:ascii="宋体" w:hAnsi="宋体" w:cs="宋体"/>
                <w:b/>
                <w:color w:val="auto"/>
                <w:sz w:val="24"/>
                <w:highlight w:val="none"/>
              </w:rPr>
              <w:t>如通过邮箱方式发送质疑，须提交符合法规及交易文件要求的质疑文件（参考附件1），盖章扫描后发送，质疑的受理按答复主体划分以</w:t>
            </w:r>
            <w:r>
              <w:rPr>
                <w:rFonts w:hint="eastAsia" w:ascii="宋体" w:hAnsi="宋体" w:cs="宋体"/>
                <w:b/>
                <w:color w:val="auto"/>
                <w:sz w:val="24"/>
                <w:highlight w:val="none"/>
                <w:lang w:eastAsia="zh-CN"/>
              </w:rPr>
              <w:t>发包人</w:t>
            </w:r>
            <w:r>
              <w:rPr>
                <w:rFonts w:hint="eastAsia" w:ascii="宋体" w:hAnsi="宋体" w:cs="宋体"/>
                <w:b/>
                <w:color w:val="auto"/>
                <w:sz w:val="24"/>
                <w:highlight w:val="none"/>
              </w:rPr>
              <w:t>或采购机构邮箱回复确认受理为准。</w:t>
            </w:r>
          </w:p>
          <w:p w14:paraId="5F2078A2">
            <w:pPr>
              <w:snapToGrid w:val="0"/>
              <w:rPr>
                <w:rFonts w:ascii="宋体" w:hAnsi="宋体" w:cs="宋体"/>
                <w:color w:val="auto"/>
                <w:sz w:val="24"/>
                <w:highlight w:val="none"/>
              </w:rPr>
            </w:pPr>
            <w:r>
              <w:rPr>
                <w:rFonts w:hint="eastAsia" w:ascii="宋体" w:hAnsi="宋体" w:cs="宋体"/>
                <w:color w:val="auto"/>
                <w:sz w:val="24"/>
                <w:highlight w:val="none"/>
              </w:rPr>
              <w:t>本项目涉及资格条件、</w:t>
            </w:r>
            <w:r>
              <w:rPr>
                <w:rFonts w:hint="eastAsia" w:ascii="宋体" w:hAnsi="宋体" w:cs="宋体"/>
                <w:color w:val="auto"/>
                <w:sz w:val="24"/>
                <w:highlight w:val="none"/>
                <w:lang w:eastAsia="zh-CN"/>
              </w:rPr>
              <w:t>交易需求</w:t>
            </w:r>
            <w:r>
              <w:rPr>
                <w:rFonts w:hint="eastAsia" w:ascii="宋体" w:hAnsi="宋体" w:cs="宋体"/>
                <w:color w:val="auto"/>
                <w:sz w:val="24"/>
                <w:highlight w:val="none"/>
              </w:rPr>
              <w:t>、评分办法及采购过程中有关现场考察或开标前答疑会事项由</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进行答复。</w:t>
            </w:r>
          </w:p>
          <w:p w14:paraId="251CB6DE">
            <w:pPr>
              <w:pStyle w:val="33"/>
              <w:ind w:hanging="4"/>
              <w:rPr>
                <w:rFonts w:hAnsi="宋体" w:cs="宋体"/>
                <w:color w:val="auto"/>
                <w:sz w:val="24"/>
                <w:highlight w:val="none"/>
              </w:rPr>
            </w:pPr>
            <w:r>
              <w:rPr>
                <w:rFonts w:hint="eastAsia" w:hAnsi="宋体" w:cs="宋体"/>
                <w:color w:val="auto"/>
                <w:sz w:val="24"/>
                <w:highlight w:val="none"/>
              </w:rPr>
              <w:t>涉及流程组织等相关事项，由采购机构进行答复。</w:t>
            </w:r>
          </w:p>
        </w:tc>
      </w:tr>
      <w:tr w14:paraId="547D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8" w:hRule="atLeast"/>
          <w:tblHeader/>
        </w:trPr>
        <w:tc>
          <w:tcPr>
            <w:tcW w:w="655" w:type="dxa"/>
            <w:vAlign w:val="center"/>
          </w:tcPr>
          <w:p w14:paraId="2BFB4F0B">
            <w:pPr>
              <w:snapToGrid w:val="0"/>
              <w:jc w:val="center"/>
              <w:rPr>
                <w:rFonts w:ascii="宋体" w:hAnsi="宋体" w:cs="宋体"/>
                <w:color w:val="auto"/>
                <w:sz w:val="24"/>
                <w:highlight w:val="none"/>
              </w:rPr>
            </w:pPr>
            <w:r>
              <w:rPr>
                <w:rFonts w:hint="eastAsia" w:ascii="宋体" w:hAnsi="宋体" w:cs="宋体"/>
                <w:color w:val="auto"/>
                <w:sz w:val="24"/>
                <w:highlight w:val="none"/>
              </w:rPr>
              <w:t>15</w:t>
            </w:r>
          </w:p>
        </w:tc>
        <w:tc>
          <w:tcPr>
            <w:tcW w:w="1614" w:type="dxa"/>
            <w:vAlign w:val="center"/>
          </w:tcPr>
          <w:p w14:paraId="1D656CB3">
            <w:pPr>
              <w:snapToGrid w:val="0"/>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7371" w:type="dxa"/>
            <w:vAlign w:val="center"/>
          </w:tcPr>
          <w:p w14:paraId="1C045A0B">
            <w:pPr>
              <w:rPr>
                <w:rFonts w:ascii="宋体" w:hAnsi="宋体" w:cs="宋体"/>
                <w:snapToGrid w:val="0"/>
                <w:color w:val="auto"/>
                <w:kern w:val="28"/>
                <w:sz w:val="24"/>
                <w:highlight w:val="none"/>
              </w:rPr>
            </w:pPr>
            <w:r>
              <w:rPr>
                <w:rFonts w:hint="eastAsia" w:ascii="宋体" w:hAnsi="宋体" w:cs="宋体"/>
                <w:b/>
                <w:color w:val="auto"/>
                <w:sz w:val="24"/>
                <w:highlight w:val="none"/>
              </w:rPr>
              <w:t>本项目通用总则条款与前附表等专用特别规定有冲突之处，以专用条款（特别规定）为准</w:t>
            </w:r>
            <w:r>
              <w:rPr>
                <w:rFonts w:hint="eastAsia" w:hAnsi="宋体" w:cs="宋体"/>
                <w:color w:val="auto"/>
                <w:sz w:val="24"/>
                <w:highlight w:val="none"/>
              </w:rPr>
              <w:t>。</w:t>
            </w:r>
          </w:p>
        </w:tc>
      </w:tr>
      <w:bookmarkEnd w:id="10"/>
    </w:tbl>
    <w:p w14:paraId="4F1934D0">
      <w:pPr>
        <w:adjustRightInd/>
        <w:spacing w:line="360" w:lineRule="auto"/>
        <w:jc w:val="center"/>
        <w:outlineLvl w:val="0"/>
        <w:rPr>
          <w:rFonts w:ascii="宋体" w:hAnsi="宋体" w:cs="宋体"/>
          <w:b/>
          <w:color w:val="auto"/>
          <w:sz w:val="32"/>
          <w:szCs w:val="20"/>
          <w:highlight w:val="none"/>
        </w:rPr>
      </w:pPr>
      <w:bookmarkStart w:id="11" w:name="_Toc164416483"/>
      <w:bookmarkStart w:id="12" w:name="第三部分"/>
    </w:p>
    <w:p w14:paraId="753F52B0">
      <w:pPr>
        <w:rPr>
          <w:color w:val="auto"/>
          <w:highlight w:val="none"/>
        </w:rPr>
      </w:pPr>
      <w:r>
        <w:rPr>
          <w:color w:val="auto"/>
          <w:highlight w:val="none"/>
        </w:rPr>
        <w:br w:type="page"/>
      </w:r>
    </w:p>
    <w:p w14:paraId="7B68D6F2">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22405D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1D9EA8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本交易文件适用于该项目的招标、投标、开标、资格审查及信用信息查询、评标、定标、合同、验收等行为（法律、法规另有规定的，从其规定）。</w:t>
      </w:r>
    </w:p>
    <w:p w14:paraId="5B64FD35">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756501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”系指交易公告中载明的本项目的</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w:t>
      </w:r>
    </w:p>
    <w:p w14:paraId="788747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“采购机构”系指交易公告中载明的本项目的采购机构。</w:t>
      </w:r>
    </w:p>
    <w:p w14:paraId="4B423D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“响应人”系指是指响应招标、参加投标竞争的法人、其他组织或者自然人。</w:t>
      </w:r>
    </w:p>
    <w:p w14:paraId="26CC6D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8171D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投标时须提供《业务专用章使用说明函》（附件2）。</w:t>
      </w:r>
    </w:p>
    <w:p w14:paraId="1119CB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2.6“电子交易平台”是指本项目采购活动所依托的政府采购云平台（https://www.zcygov.cn/）。</w:t>
      </w:r>
    </w:p>
    <w:p w14:paraId="6E594A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14:paraId="1B52D7D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  3. 询问、质疑</w:t>
      </w:r>
    </w:p>
    <w:p w14:paraId="174E3D8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3.1响应人询问</w:t>
      </w:r>
    </w:p>
    <w:p w14:paraId="4E9C34E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对采购活动事项有疑问的，可以提出询问，发包人或者采购代理机构应当在三个工作日内对响应人依法提出的询问作出答复，但答复的内容不得涉及商业秘密。响应人提出的询问超出发包人对采购代理机构委托授权范围的，采购代理机构应当告知响应人向发包人提出。</w:t>
      </w:r>
    </w:p>
    <w:p w14:paraId="5832DE3D">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3.2响应人质疑</w:t>
      </w:r>
    </w:p>
    <w:p w14:paraId="07113BBC">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3.2</w:t>
      </w:r>
      <w:r>
        <w:rPr>
          <w:rFonts w:hint="eastAsia" w:hAnsi="宋体" w:cs="宋体"/>
          <w:color w:val="auto"/>
          <w:sz w:val="24"/>
          <w:highlight w:val="none"/>
        </w:rPr>
        <w:t>.1提出质疑的</w:t>
      </w:r>
      <w:r>
        <w:rPr>
          <w:rFonts w:hint="eastAsia" w:hAnsi="宋体" w:cs="宋体"/>
          <w:color w:val="auto"/>
          <w:sz w:val="24"/>
          <w:highlight w:val="none"/>
          <w:lang w:eastAsia="zh-CN"/>
        </w:rPr>
        <w:t>响应人</w:t>
      </w:r>
      <w:r>
        <w:rPr>
          <w:rFonts w:hint="eastAsia" w:hAnsi="宋体" w:cs="宋体"/>
          <w:color w:val="auto"/>
          <w:sz w:val="24"/>
          <w:highlight w:val="none"/>
        </w:rPr>
        <w:t>应当是参与所质疑项目采购活动的</w:t>
      </w:r>
      <w:r>
        <w:rPr>
          <w:rFonts w:hint="eastAsia" w:hAnsi="宋体" w:cs="宋体"/>
          <w:color w:val="auto"/>
          <w:sz w:val="24"/>
          <w:highlight w:val="none"/>
          <w:lang w:eastAsia="zh-CN"/>
        </w:rPr>
        <w:t>响应人</w:t>
      </w:r>
      <w:r>
        <w:rPr>
          <w:rFonts w:hint="eastAsia" w:hAnsi="宋体" w:cs="宋体"/>
          <w:color w:val="auto"/>
          <w:sz w:val="24"/>
          <w:highlight w:val="none"/>
        </w:rPr>
        <w:t>。潜在</w:t>
      </w:r>
      <w:r>
        <w:rPr>
          <w:rFonts w:hint="eastAsia" w:hAnsi="宋体" w:cs="宋体"/>
          <w:color w:val="auto"/>
          <w:sz w:val="24"/>
          <w:highlight w:val="none"/>
          <w:lang w:eastAsia="zh-CN"/>
        </w:rPr>
        <w:t>响应人</w:t>
      </w:r>
      <w:r>
        <w:rPr>
          <w:rFonts w:hint="eastAsia" w:hAnsi="宋体" w:cs="宋体"/>
          <w:color w:val="auto"/>
          <w:sz w:val="24"/>
          <w:highlight w:val="none"/>
        </w:rPr>
        <w:t>已依法获取其可质疑的交易文件的，可以对该文件提出质疑。</w:t>
      </w:r>
    </w:p>
    <w:p w14:paraId="631A9DF6">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3.2</w:t>
      </w:r>
      <w:r>
        <w:rPr>
          <w:rFonts w:hint="eastAsia" w:hAnsi="宋体" w:cs="宋体"/>
          <w:color w:val="auto"/>
          <w:sz w:val="24"/>
          <w:highlight w:val="none"/>
        </w:rPr>
        <w:t>.2</w:t>
      </w:r>
      <w:r>
        <w:rPr>
          <w:rFonts w:hint="eastAsia" w:hAnsi="宋体" w:cs="宋体"/>
          <w:color w:val="auto"/>
          <w:sz w:val="24"/>
          <w:highlight w:val="none"/>
          <w:lang w:eastAsia="zh-CN"/>
        </w:rPr>
        <w:t>响应人</w:t>
      </w:r>
      <w:r>
        <w:rPr>
          <w:rFonts w:hint="eastAsia" w:hAnsi="宋体" w:cs="宋体"/>
          <w:color w:val="auto"/>
          <w:sz w:val="24"/>
          <w:highlight w:val="none"/>
        </w:rPr>
        <w:t>认为交易文件、采购过程和中标结果使自己的权益受到损害的，可以在知道或者应知其权益受到损害之日起三个工作日内，以书面形式向</w:t>
      </w:r>
      <w:r>
        <w:rPr>
          <w:rFonts w:hint="eastAsia" w:hAnsi="宋体" w:cs="宋体"/>
          <w:color w:val="auto"/>
          <w:sz w:val="24"/>
          <w:highlight w:val="none"/>
          <w:lang w:eastAsia="zh-CN"/>
        </w:rPr>
        <w:t>发包人</w:t>
      </w:r>
      <w:r>
        <w:rPr>
          <w:rFonts w:hint="eastAsia" w:hAnsi="宋体" w:cs="宋体"/>
          <w:color w:val="auto"/>
          <w:sz w:val="24"/>
          <w:highlight w:val="none"/>
        </w:rPr>
        <w:t>或者采购机构提出质疑，否则，</w:t>
      </w:r>
      <w:r>
        <w:rPr>
          <w:rFonts w:hint="eastAsia" w:hAnsi="宋体" w:cs="宋体"/>
          <w:color w:val="auto"/>
          <w:sz w:val="24"/>
          <w:highlight w:val="none"/>
          <w:lang w:eastAsia="zh-CN"/>
        </w:rPr>
        <w:t>发包人</w:t>
      </w:r>
      <w:r>
        <w:rPr>
          <w:rFonts w:hint="eastAsia" w:hAnsi="宋体" w:cs="宋体"/>
          <w:color w:val="auto"/>
          <w:sz w:val="24"/>
          <w:highlight w:val="none"/>
        </w:rPr>
        <w:t>或者采购机构不予受理：</w:t>
      </w:r>
    </w:p>
    <w:p w14:paraId="092BE576">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3.2.2.1对交易文件提出质疑的，质疑期限为</w:t>
      </w:r>
      <w:r>
        <w:rPr>
          <w:rFonts w:hint="eastAsia" w:hAnsi="宋体" w:cs="宋体"/>
          <w:snapToGrid/>
          <w:color w:val="auto"/>
          <w:kern w:val="2"/>
          <w:sz w:val="24"/>
          <w:highlight w:val="none"/>
          <w:lang w:eastAsia="zh-CN"/>
        </w:rPr>
        <w:t>响应人</w:t>
      </w:r>
      <w:r>
        <w:rPr>
          <w:rFonts w:hint="eastAsia" w:hAnsi="宋体" w:cs="宋体"/>
          <w:snapToGrid/>
          <w:color w:val="auto"/>
          <w:kern w:val="2"/>
          <w:sz w:val="24"/>
          <w:highlight w:val="none"/>
        </w:rPr>
        <w:t>获得交易文件之日或者交易文件公告期限届满之日起计算。</w:t>
      </w:r>
    </w:p>
    <w:p w14:paraId="260BFCF5">
      <w:pPr>
        <w:pStyle w:val="33"/>
        <w:spacing w:line="360" w:lineRule="auto"/>
        <w:ind w:firstLine="480" w:firstLineChars="200"/>
        <w:rPr>
          <w:rFonts w:hAnsi="宋体" w:cs="宋体"/>
          <w:color w:val="auto"/>
          <w:sz w:val="24"/>
          <w:highlight w:val="none"/>
        </w:rPr>
      </w:pPr>
      <w:r>
        <w:rPr>
          <w:rFonts w:hint="eastAsia" w:hAnsi="宋体" w:cs="宋体"/>
          <w:color w:val="auto"/>
          <w:sz w:val="24"/>
          <w:highlight w:val="none"/>
        </w:rPr>
        <w:t>3.2.2.2对采购过程提出质疑的，质疑期限为各采购程序环节结束之日起计算。对同一采购程序环节的质疑，</w:t>
      </w:r>
      <w:r>
        <w:rPr>
          <w:rFonts w:hint="eastAsia" w:hAnsi="宋体" w:cs="宋体"/>
          <w:color w:val="auto"/>
          <w:sz w:val="24"/>
          <w:highlight w:val="none"/>
          <w:lang w:eastAsia="zh-CN"/>
        </w:rPr>
        <w:t>响应人</w:t>
      </w:r>
      <w:r>
        <w:rPr>
          <w:rFonts w:hint="eastAsia" w:hAnsi="宋体" w:cs="宋体"/>
          <w:color w:val="auto"/>
          <w:sz w:val="24"/>
          <w:highlight w:val="none"/>
        </w:rPr>
        <w:t>须一次性提出。</w:t>
      </w:r>
    </w:p>
    <w:p w14:paraId="443A79DA">
      <w:pPr>
        <w:pStyle w:val="33"/>
        <w:spacing w:line="360" w:lineRule="auto"/>
        <w:ind w:firstLine="480" w:firstLineChars="200"/>
        <w:rPr>
          <w:rFonts w:hAnsi="宋体" w:cs="宋体"/>
          <w:color w:val="auto"/>
          <w:sz w:val="24"/>
          <w:highlight w:val="none"/>
        </w:rPr>
      </w:pPr>
      <w:r>
        <w:rPr>
          <w:rFonts w:hint="eastAsia" w:hAnsi="宋体" w:cs="宋体"/>
          <w:color w:val="auto"/>
          <w:sz w:val="24"/>
          <w:highlight w:val="none"/>
        </w:rPr>
        <w:t>3.2.2.3对采购结果提出质疑的，质疑期限自采购结果公告期限届满之日起计算。</w:t>
      </w:r>
    </w:p>
    <w:p w14:paraId="280BDC9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3.2.3</w:t>
      </w:r>
      <w:r>
        <w:rPr>
          <w:rFonts w:hint="eastAsia" w:hAnsi="宋体" w:cs="宋体"/>
          <w:color w:val="auto"/>
          <w:sz w:val="24"/>
          <w:highlight w:val="none"/>
          <w:lang w:eastAsia="zh-CN"/>
        </w:rPr>
        <w:t>响应人</w:t>
      </w:r>
      <w:r>
        <w:rPr>
          <w:rFonts w:hint="eastAsia" w:hAnsi="宋体" w:cs="宋体"/>
          <w:color w:val="auto"/>
          <w:sz w:val="24"/>
          <w:highlight w:val="none"/>
        </w:rPr>
        <w:t>提出质疑应当提交质疑函和必要的证明材料。质疑函应当包括下列内容：</w:t>
      </w:r>
    </w:p>
    <w:p w14:paraId="754B7B2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3.2.3.1响应人的姓名或者名称、地址、邮编、联系人及联系电话；</w:t>
      </w:r>
    </w:p>
    <w:p w14:paraId="6D1949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3.2.3.2质疑项目的名称、编号；</w:t>
      </w:r>
    </w:p>
    <w:p w14:paraId="202F7D02">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3.2.3.3具体、明确的质疑事项和与质疑事项相关的请求；</w:t>
      </w:r>
    </w:p>
    <w:p w14:paraId="08053D6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3.2.3.4事实依据；</w:t>
      </w:r>
    </w:p>
    <w:p w14:paraId="50943262">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3.2.3.5必要的法律依据；</w:t>
      </w:r>
    </w:p>
    <w:p w14:paraId="21B21354">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3.2.3.6提出质疑的日期。</w:t>
      </w:r>
    </w:p>
    <w:p w14:paraId="3C9C1F34">
      <w:pPr>
        <w:pStyle w:val="890"/>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lang w:eastAsia="zh-CN"/>
        </w:rPr>
        <w:t>响应人</w:t>
      </w:r>
      <w:r>
        <w:rPr>
          <w:rFonts w:hint="eastAsia"/>
          <w:color w:val="auto"/>
          <w:highlight w:val="none"/>
        </w:rPr>
        <w:t>提交的质疑函需一式三份。</w:t>
      </w:r>
      <w:r>
        <w:rPr>
          <w:rFonts w:hint="eastAsia"/>
          <w:color w:val="auto"/>
          <w:highlight w:val="none"/>
          <w:lang w:eastAsia="zh-CN"/>
        </w:rPr>
        <w:t>响应人</w:t>
      </w:r>
      <w:r>
        <w:rPr>
          <w:rFonts w:hint="eastAsia"/>
          <w:color w:val="auto"/>
          <w:highlight w:val="none"/>
        </w:rPr>
        <w:t>为自然人的，应当由本人签字；</w:t>
      </w:r>
      <w:r>
        <w:rPr>
          <w:rFonts w:hint="eastAsia"/>
          <w:color w:val="auto"/>
          <w:highlight w:val="none"/>
          <w:lang w:eastAsia="zh-CN"/>
        </w:rPr>
        <w:t>响应人</w:t>
      </w:r>
      <w:r>
        <w:rPr>
          <w:rFonts w:hint="eastAsia"/>
          <w:color w:val="auto"/>
          <w:highlight w:val="none"/>
        </w:rPr>
        <w:t>为法人或者其他组织的，应当由法定代表人、主要负责人，或者其授权代表签字或者盖章，并加盖公章。</w:t>
      </w:r>
    </w:p>
    <w:p w14:paraId="72E55A9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质疑函范本及制作说明详见附件1。</w:t>
      </w:r>
    </w:p>
    <w:p w14:paraId="6B01CCF3">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3.2</w:t>
      </w:r>
      <w:r>
        <w:rPr>
          <w:rFonts w:hint="eastAsia"/>
          <w:color w:val="auto"/>
          <w:highlight w:val="none"/>
        </w:rPr>
        <w:t>.4</w:t>
      </w:r>
      <w:r>
        <w:rPr>
          <w:rFonts w:hint="eastAsia"/>
          <w:color w:val="auto"/>
          <w:highlight w:val="none"/>
          <w:lang w:eastAsia="zh-CN"/>
        </w:rPr>
        <w:t>发包人</w:t>
      </w:r>
      <w:r>
        <w:rPr>
          <w:rFonts w:hint="eastAsia"/>
          <w:color w:val="auto"/>
          <w:highlight w:val="none"/>
        </w:rPr>
        <w:t>或者采购机构应当在收到</w:t>
      </w:r>
      <w:r>
        <w:rPr>
          <w:rFonts w:hint="eastAsia"/>
          <w:color w:val="auto"/>
          <w:highlight w:val="none"/>
          <w:lang w:eastAsia="zh-CN"/>
        </w:rPr>
        <w:t>响应人</w:t>
      </w:r>
      <w:r>
        <w:rPr>
          <w:rFonts w:hint="eastAsia"/>
          <w:color w:val="auto"/>
          <w:highlight w:val="none"/>
        </w:rPr>
        <w:t>的书面质疑后七个工作日内作出答复，并以书面形式通知质疑</w:t>
      </w:r>
      <w:r>
        <w:rPr>
          <w:rFonts w:hint="eastAsia"/>
          <w:color w:val="auto"/>
          <w:highlight w:val="none"/>
          <w:lang w:eastAsia="zh-CN"/>
        </w:rPr>
        <w:t>响应人</w:t>
      </w:r>
      <w:r>
        <w:rPr>
          <w:rFonts w:hint="eastAsia"/>
          <w:color w:val="auto"/>
          <w:highlight w:val="none"/>
        </w:rPr>
        <w:t>和其他与质疑处理结果有利害关系的采购当事人，但答复的内容不得涉及商业秘密。</w:t>
      </w:r>
    </w:p>
    <w:p w14:paraId="4C8AB1F7">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3.2</w:t>
      </w:r>
      <w:r>
        <w:rPr>
          <w:rFonts w:hint="eastAsia"/>
          <w:color w:val="auto"/>
          <w:highlight w:val="none"/>
        </w:rPr>
        <w:t>.5询问或者质疑事项可能影响采购结果的，</w:t>
      </w:r>
      <w:r>
        <w:rPr>
          <w:rFonts w:hint="eastAsia"/>
          <w:color w:val="auto"/>
          <w:highlight w:val="none"/>
          <w:lang w:eastAsia="zh-CN"/>
        </w:rPr>
        <w:t>发包人</w:t>
      </w:r>
      <w:r>
        <w:rPr>
          <w:rFonts w:hint="eastAsia"/>
          <w:color w:val="auto"/>
          <w:highlight w:val="none"/>
        </w:rPr>
        <w:t>应当暂停签订合同，已经签订合同的，应当中止履行合同。</w:t>
      </w:r>
    </w:p>
    <w:p w14:paraId="2F945113">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二、交易文件的构成、澄清、修改</w:t>
      </w:r>
    </w:p>
    <w:p w14:paraId="7264DDD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4．交易文件的构成</w:t>
      </w:r>
    </w:p>
    <w:p w14:paraId="4512A14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4.1 交易文件包括下列文件及附件：</w:t>
      </w:r>
    </w:p>
    <w:p w14:paraId="00E70AA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4.1.1交易公告；</w:t>
      </w:r>
    </w:p>
    <w:p w14:paraId="380D625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4.1.2响应人须知；</w:t>
      </w:r>
    </w:p>
    <w:p w14:paraId="79BAF75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4.1.3</w:t>
      </w:r>
      <w:r>
        <w:rPr>
          <w:rFonts w:hint="eastAsia" w:hAnsi="宋体" w:cs="宋体"/>
          <w:color w:val="auto"/>
          <w:sz w:val="24"/>
          <w:szCs w:val="24"/>
          <w:highlight w:val="none"/>
          <w:lang w:eastAsia="zh-CN"/>
        </w:rPr>
        <w:t>交易需求</w:t>
      </w:r>
      <w:r>
        <w:rPr>
          <w:rFonts w:hint="eastAsia" w:hAnsi="宋体" w:cs="宋体"/>
          <w:color w:val="auto"/>
          <w:sz w:val="24"/>
          <w:szCs w:val="24"/>
          <w:highlight w:val="none"/>
        </w:rPr>
        <w:t>；</w:t>
      </w:r>
    </w:p>
    <w:p w14:paraId="3025A87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4.1.4评标办法；</w:t>
      </w:r>
    </w:p>
    <w:p w14:paraId="5A7388FB">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4.1.5拟签订的合同文本；</w:t>
      </w:r>
    </w:p>
    <w:p w14:paraId="07680FF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4.1.6</w:t>
      </w:r>
      <w:r>
        <w:rPr>
          <w:rFonts w:hint="eastAsia" w:hAnsi="宋体" w:cs="宋体"/>
          <w:color w:val="auto"/>
          <w:sz w:val="24"/>
          <w:szCs w:val="24"/>
          <w:highlight w:val="none"/>
        </w:rPr>
        <w:t>应提交的有关格式范例。</w:t>
      </w:r>
    </w:p>
    <w:p w14:paraId="6673D0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4.2与本项目有关的</w:t>
      </w:r>
      <w:r>
        <w:rPr>
          <w:rFonts w:hint="eastAsia" w:ascii="宋体" w:hAnsi="宋体" w:cs="宋体"/>
          <w:bCs/>
          <w:color w:val="auto"/>
          <w:sz w:val="24"/>
          <w:highlight w:val="none"/>
        </w:rPr>
        <w:t>澄清或者修改的内容为交易文件的组成部分</w:t>
      </w:r>
      <w:r>
        <w:rPr>
          <w:rFonts w:hint="eastAsia" w:ascii="宋体" w:hAnsi="宋体" w:cs="宋体"/>
          <w:color w:val="auto"/>
          <w:sz w:val="24"/>
          <w:highlight w:val="none"/>
        </w:rPr>
        <w:t>。</w:t>
      </w:r>
    </w:p>
    <w:p w14:paraId="0A9E9C4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 交易文件的澄清、修改</w:t>
      </w:r>
    </w:p>
    <w:p w14:paraId="71C5FBF5">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5.1已获取交易文件的潜在响应人，若有问题需要澄清，应于投标截止时间前，以书面形式向采购机构提出。</w:t>
      </w:r>
    </w:p>
    <w:p w14:paraId="7771FD16">
      <w:pPr>
        <w:pStyle w:val="134"/>
        <w:snapToGrid w:val="0"/>
        <w:spacing w:before="0"/>
        <w:ind w:firstLine="480"/>
        <w:rPr>
          <w:rFonts w:ascii="宋体" w:hAnsi="宋体" w:cs="宋体"/>
          <w:color w:val="auto"/>
          <w:sz w:val="18"/>
          <w:szCs w:val="18"/>
          <w:highlight w:val="none"/>
        </w:rPr>
      </w:pPr>
      <w:r>
        <w:rPr>
          <w:rFonts w:hint="eastAsia" w:ascii="宋体" w:hAnsi="宋体" w:cs="宋体"/>
          <w:color w:val="auto"/>
          <w:highlight w:val="none"/>
        </w:rPr>
        <w:t>5.2 采购机构对交易文件进行澄清或修改的，将同时通过电子交易平台通知已获取交易文件的潜在响应人。依法应当公告的，将按规定公告，同时视情况延长投标截止时间和开标时间。该澄清或者修改的内容为交易文件的组成部分。</w:t>
      </w:r>
    </w:p>
    <w:p w14:paraId="28FCB99D">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9D8530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交易文件的获取</w:t>
      </w:r>
    </w:p>
    <w:p w14:paraId="47D860A9">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详见交易公告中获取交易文件的时间期限、地点、方式及交易文件售价。</w:t>
      </w:r>
    </w:p>
    <w:p w14:paraId="591064A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7.开标前答疑会或现场考察</w:t>
      </w:r>
    </w:p>
    <w:p w14:paraId="461F497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eastAsia="zh-CN"/>
        </w:rPr>
        <w:t>发包人</w:t>
      </w:r>
      <w:r>
        <w:rPr>
          <w:rFonts w:hint="eastAsia" w:hAnsi="宋体" w:cs="宋体"/>
          <w:color w:val="auto"/>
          <w:sz w:val="24"/>
          <w:szCs w:val="24"/>
          <w:highlight w:val="none"/>
        </w:rPr>
        <w:t>组织潜在响应人现场考察或者召开开标前答疑会的，潜在响应人按第二部分响应人须知前附表的规定参加现场考察或者开标前答疑会。</w:t>
      </w:r>
    </w:p>
    <w:p w14:paraId="4488E8CB">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8.投标保证金</w:t>
      </w:r>
    </w:p>
    <w:p w14:paraId="31628490">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98B28D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 xml:space="preserve">9. </w:t>
      </w:r>
      <w:r>
        <w:rPr>
          <w:rFonts w:hint="eastAsia" w:hAnsi="宋体" w:cs="宋体"/>
          <w:b/>
          <w:color w:val="auto"/>
          <w:sz w:val="24"/>
          <w:szCs w:val="24"/>
          <w:highlight w:val="none"/>
          <w:lang w:eastAsia="zh-CN"/>
        </w:rPr>
        <w:t>响应文件</w:t>
      </w:r>
      <w:r>
        <w:rPr>
          <w:rFonts w:hint="eastAsia" w:hAnsi="宋体" w:cs="宋体"/>
          <w:b/>
          <w:color w:val="auto"/>
          <w:sz w:val="24"/>
          <w:szCs w:val="24"/>
          <w:highlight w:val="none"/>
        </w:rPr>
        <w:t>的语言</w:t>
      </w:r>
    </w:p>
    <w:p w14:paraId="0D6B67CA">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及响应人与采购有关的来往通知、函件和文件均应使用中文。</w:t>
      </w:r>
    </w:p>
    <w:p w14:paraId="0A8023E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 xml:space="preserve">10. </w:t>
      </w:r>
      <w:r>
        <w:rPr>
          <w:rFonts w:hint="eastAsia" w:hAnsi="宋体" w:cs="宋体"/>
          <w:b/>
          <w:color w:val="auto"/>
          <w:sz w:val="24"/>
          <w:szCs w:val="24"/>
          <w:highlight w:val="none"/>
          <w:lang w:eastAsia="zh-CN"/>
        </w:rPr>
        <w:t>响应文件</w:t>
      </w:r>
      <w:r>
        <w:rPr>
          <w:rFonts w:hint="eastAsia" w:hAnsi="宋体" w:cs="宋体"/>
          <w:b/>
          <w:color w:val="auto"/>
          <w:sz w:val="24"/>
          <w:szCs w:val="24"/>
          <w:highlight w:val="none"/>
        </w:rPr>
        <w:t>的组成</w:t>
      </w:r>
    </w:p>
    <w:p w14:paraId="29A4F9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C9298C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10.1.1符合参加采购活动应当具备的一般条件的承诺函；</w:t>
      </w:r>
    </w:p>
    <w:p w14:paraId="40ACB2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10.1.2本项目的特定资格要求。</w:t>
      </w:r>
    </w:p>
    <w:p w14:paraId="17B407F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10.</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03CB40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10.2.1投标函；</w:t>
      </w:r>
      <w:r>
        <w:rPr>
          <w:rFonts w:hint="eastAsia" w:ascii="宋体" w:hAnsi="宋体" w:cs="宋体"/>
          <w:color w:val="auto"/>
          <w:sz w:val="24"/>
          <w:highlight w:val="none"/>
          <w:lang w:val="zh-CN"/>
        </w:rPr>
        <w:t xml:space="preserve"> </w:t>
      </w:r>
    </w:p>
    <w:p w14:paraId="644070D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10.2.2授权委托书或法定代表人（单位负责人、自然人本人）身份证明；</w:t>
      </w:r>
    </w:p>
    <w:p w14:paraId="18911DE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10.2.3联合协议；</w:t>
      </w:r>
    </w:p>
    <w:p w14:paraId="7B1C38C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10.2.4分包意向协议；</w:t>
      </w:r>
    </w:p>
    <w:p w14:paraId="641AEFB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10.2.5符合性审查资料；</w:t>
      </w:r>
    </w:p>
    <w:p w14:paraId="340D034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10.2.6评标标准相应的商务技术资料；</w:t>
      </w:r>
    </w:p>
    <w:p w14:paraId="6018593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10.2.7投标标的清单；</w:t>
      </w:r>
    </w:p>
    <w:p w14:paraId="2AEE382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10.2.8商务技术偏离表；</w:t>
      </w:r>
    </w:p>
    <w:p w14:paraId="12D484D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10.</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采购响应人廉洁自律承诺书；</w:t>
      </w:r>
    </w:p>
    <w:p w14:paraId="7865C9A3">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10.</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98E668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10.3.1开标一览表（报价表）。</w:t>
      </w:r>
    </w:p>
    <w:p w14:paraId="5070CB08">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含有</w:t>
      </w:r>
      <w:r>
        <w:rPr>
          <w:rFonts w:hint="eastAsia" w:ascii="宋体" w:hAnsi="宋体" w:cs="宋体"/>
          <w:b/>
          <w:color w:val="auto"/>
          <w:sz w:val="24"/>
          <w:highlight w:val="none"/>
          <w:lang w:eastAsia="zh-CN"/>
        </w:rPr>
        <w:t>发包人</w:t>
      </w:r>
      <w:r>
        <w:rPr>
          <w:rFonts w:hint="eastAsia" w:ascii="宋体" w:hAnsi="宋体" w:cs="宋体"/>
          <w:b/>
          <w:color w:val="auto"/>
          <w:sz w:val="24"/>
          <w:highlight w:val="none"/>
        </w:rPr>
        <w:t>不能接受的附加条件的，投标无效；</w:t>
      </w:r>
    </w:p>
    <w:p w14:paraId="2EA13854">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响应人提供虚假材料投标的，投标无效。</w:t>
      </w:r>
    </w:p>
    <w:p w14:paraId="6815326F">
      <w:pPr>
        <w:pStyle w:val="134"/>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11</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lang w:eastAsia="zh-CN"/>
        </w:rPr>
        <w:t>响应文件</w:t>
      </w:r>
      <w:r>
        <w:rPr>
          <w:rFonts w:hint="eastAsia" w:ascii="宋体" w:hAnsi="宋体" w:cs="宋体"/>
          <w:b/>
          <w:color w:val="auto"/>
          <w:szCs w:val="24"/>
          <w:highlight w:val="none"/>
        </w:rPr>
        <w:t>的编制</w:t>
      </w:r>
    </w:p>
    <w:p w14:paraId="077218A0">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11.1响应文件分为资格文件、商务技术文件、报价文件三部分。各响应人在编制响应文件时请按照交易文件第六部分规定的格式进行，混乱的编排导致响应文件被误读或评标委员会查找不到有效文件是响应人的风险。</w:t>
      </w:r>
    </w:p>
    <w:p w14:paraId="0A47F8F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11.2响应人进行电子投标应安装客户端软件—“政采云电子交易客户端”，并按照交易文件和电子交易平台的要求编制并加密响应文件。响应人未按规定加密的响应文件，电子交易平台将拒收并提示。</w:t>
      </w:r>
    </w:p>
    <w:p w14:paraId="792409D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11.3使用“政采云电子交易客户端”需要提前申领CA数字证书，申领流程请自行前往“浙江政府采购网-下载专区-电子交易客户端-CA驱动和申领流程”进行查阅。</w:t>
      </w:r>
    </w:p>
    <w:p w14:paraId="5DCCF378">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12.</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的签署、盖章</w:t>
      </w:r>
    </w:p>
    <w:p w14:paraId="705587AA">
      <w:pPr>
        <w:pStyle w:val="134"/>
        <w:snapToGrid w:val="0"/>
        <w:spacing w:before="0"/>
        <w:ind w:firstLine="480"/>
        <w:rPr>
          <w:rFonts w:ascii="宋体" w:hAnsi="宋体" w:cs="宋体"/>
          <w:b/>
          <w:color w:val="auto"/>
          <w:highlight w:val="none"/>
        </w:rPr>
      </w:pPr>
      <w:r>
        <w:rPr>
          <w:rFonts w:hint="eastAsia" w:ascii="宋体" w:hAnsi="宋体" w:cs="宋体"/>
          <w:color w:val="auto"/>
          <w:szCs w:val="24"/>
          <w:highlight w:val="none"/>
        </w:rPr>
        <w:t>12.1</w:t>
      </w:r>
      <w:r>
        <w:rPr>
          <w:rFonts w:hint="eastAsia" w:ascii="宋体" w:hAnsi="宋体" w:cs="宋体"/>
          <w:color w:val="auto"/>
          <w:szCs w:val="24"/>
          <w:highlight w:val="none"/>
          <w:lang w:eastAsia="zh-CN"/>
        </w:rPr>
        <w:t>响应文件</w:t>
      </w:r>
      <w:r>
        <w:rPr>
          <w:rFonts w:hint="eastAsia" w:ascii="宋体" w:hAnsi="宋体" w:cs="宋体"/>
          <w:color w:val="auto"/>
          <w:szCs w:val="24"/>
          <w:highlight w:val="none"/>
        </w:rPr>
        <w:t>按照交易文件第六部分格式要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▲响应人的</w:t>
      </w:r>
      <w:r>
        <w:rPr>
          <w:rFonts w:hint="eastAsia" w:ascii="宋体" w:hAnsi="宋体" w:cs="宋体"/>
          <w:b/>
          <w:color w:val="auto"/>
          <w:highlight w:val="none"/>
          <w:lang w:eastAsia="zh-CN"/>
        </w:rPr>
        <w:t>响应文件</w:t>
      </w:r>
      <w:r>
        <w:rPr>
          <w:rFonts w:hint="eastAsia" w:ascii="宋体" w:hAnsi="宋体" w:cs="宋体"/>
          <w:b/>
          <w:color w:val="auto"/>
          <w:highlight w:val="none"/>
        </w:rPr>
        <w:t>未按照交易文件要求签署、盖章的，其投标无效</w:t>
      </w:r>
      <w:r>
        <w:rPr>
          <w:rFonts w:hint="eastAsia" w:ascii="宋体" w:hAnsi="宋体" w:cs="宋体"/>
          <w:color w:val="auto"/>
          <w:szCs w:val="24"/>
          <w:highlight w:val="none"/>
        </w:rPr>
        <w:t>。</w:t>
      </w:r>
    </w:p>
    <w:p w14:paraId="3049D80D">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12.2为确保网上操作合法、有效和安全，响应人应当在投标截止时间前完成在“政府采购云平台”的身份认证，确保在电子投标过程中能够对相关数据电文进行加密和使用电子签名。</w:t>
      </w:r>
    </w:p>
    <w:p w14:paraId="062B5B2F">
      <w:pPr>
        <w:pStyle w:val="134"/>
        <w:snapToGrid w:val="0"/>
        <w:spacing w:before="0"/>
        <w:ind w:firstLine="480"/>
        <w:rPr>
          <w:rFonts w:ascii="宋体" w:hAnsi="宋体" w:cs="宋体"/>
          <w:color w:val="auto"/>
          <w:szCs w:val="24"/>
          <w:highlight w:val="none"/>
        </w:rPr>
      </w:pPr>
      <w:r>
        <w:rPr>
          <w:rFonts w:hint="eastAsia" w:ascii="宋体" w:hAnsi="宋体" w:cs="宋体"/>
          <w:color w:val="auto"/>
          <w:highlight w:val="none"/>
        </w:rPr>
        <w:t>12.3交易文件对</w:t>
      </w:r>
      <w:r>
        <w:rPr>
          <w:rFonts w:hint="eastAsia" w:ascii="宋体" w:hAnsi="宋体" w:cs="宋体"/>
          <w:color w:val="auto"/>
          <w:highlight w:val="none"/>
          <w:lang w:eastAsia="zh-CN"/>
        </w:rPr>
        <w:t>响应文件</w:t>
      </w:r>
      <w:r>
        <w:rPr>
          <w:rFonts w:hint="eastAsia" w:ascii="宋体" w:hAnsi="宋体" w:cs="宋体"/>
          <w:color w:val="auto"/>
          <w:highlight w:val="none"/>
        </w:rPr>
        <w:t>签署、盖章的要求适用于电子签名。</w:t>
      </w:r>
    </w:p>
    <w:p w14:paraId="0D1B5CFF">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 xml:space="preserve">13. </w:t>
      </w:r>
      <w:r>
        <w:rPr>
          <w:rFonts w:hint="eastAsia" w:ascii="宋体" w:hAnsi="宋体" w:cs="宋体"/>
          <w:b/>
          <w:color w:val="auto"/>
          <w:szCs w:val="24"/>
          <w:highlight w:val="none"/>
          <w:lang w:eastAsia="zh-CN"/>
        </w:rPr>
        <w:t>响应文件</w:t>
      </w:r>
      <w:r>
        <w:rPr>
          <w:rFonts w:hint="eastAsia" w:ascii="宋体" w:hAnsi="宋体" w:cs="宋体"/>
          <w:b/>
          <w:color w:val="auto"/>
          <w:szCs w:val="24"/>
          <w:highlight w:val="none"/>
        </w:rPr>
        <w:t>的提交、补充、修改、撤回</w:t>
      </w:r>
    </w:p>
    <w:p w14:paraId="3F7D0F1F">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 xml:space="preserve">13.1 </w:t>
      </w:r>
      <w:r>
        <w:rPr>
          <w:rFonts w:hint="eastAsia" w:ascii="宋体" w:hAnsi="宋体" w:cs="宋体"/>
          <w:color w:val="auto"/>
          <w:szCs w:val="24"/>
          <w:highlight w:val="none"/>
          <w:lang w:eastAsia="zh-CN"/>
        </w:rPr>
        <w:t>响应人</w:t>
      </w:r>
      <w:r>
        <w:rPr>
          <w:rFonts w:hint="eastAsia" w:ascii="宋体" w:hAnsi="宋体" w:cs="宋体"/>
          <w:color w:val="auto"/>
          <w:szCs w:val="24"/>
          <w:highlight w:val="none"/>
        </w:rPr>
        <w:t>应当在投标截止时间前完成</w:t>
      </w:r>
      <w:r>
        <w:rPr>
          <w:rFonts w:hint="eastAsia" w:ascii="宋体" w:hAnsi="宋体" w:cs="宋体"/>
          <w:color w:val="auto"/>
          <w:szCs w:val="24"/>
          <w:highlight w:val="none"/>
          <w:lang w:eastAsia="zh-CN"/>
        </w:rPr>
        <w:t>响应文件</w:t>
      </w:r>
      <w:r>
        <w:rPr>
          <w:rFonts w:hint="eastAsia" w:ascii="宋体" w:hAnsi="宋体" w:cs="宋体"/>
          <w:color w:val="auto"/>
          <w:szCs w:val="24"/>
          <w:highlight w:val="none"/>
        </w:rPr>
        <w:t>的传输递交，并可以补充、修改或者撤回</w:t>
      </w:r>
      <w:r>
        <w:rPr>
          <w:rFonts w:hint="eastAsia" w:ascii="宋体" w:hAnsi="宋体" w:cs="宋体"/>
          <w:color w:val="auto"/>
          <w:szCs w:val="24"/>
          <w:highlight w:val="none"/>
          <w:lang w:eastAsia="zh-CN"/>
        </w:rPr>
        <w:t>响应文件</w:t>
      </w:r>
      <w:r>
        <w:rPr>
          <w:rFonts w:hint="eastAsia" w:ascii="宋体" w:hAnsi="宋体" w:cs="宋体"/>
          <w:color w:val="auto"/>
          <w:szCs w:val="24"/>
          <w:highlight w:val="none"/>
        </w:rPr>
        <w:t>。补充或者修改</w:t>
      </w:r>
      <w:r>
        <w:rPr>
          <w:rFonts w:hint="eastAsia" w:ascii="宋体" w:hAnsi="宋体" w:cs="宋体"/>
          <w:color w:val="auto"/>
          <w:szCs w:val="24"/>
          <w:highlight w:val="none"/>
          <w:lang w:eastAsia="zh-CN"/>
        </w:rPr>
        <w:t>响应文件</w:t>
      </w:r>
      <w:r>
        <w:rPr>
          <w:rFonts w:hint="eastAsia" w:ascii="宋体" w:hAnsi="宋体" w:cs="宋体"/>
          <w:color w:val="auto"/>
          <w:szCs w:val="24"/>
          <w:highlight w:val="none"/>
        </w:rPr>
        <w:t>的，应当先行撤回原文件，补充、修改后重新传输递交。投标截止时间前未完成传输的，视为撤回</w:t>
      </w:r>
      <w:r>
        <w:rPr>
          <w:rFonts w:hint="eastAsia" w:ascii="宋体" w:hAnsi="宋体" w:cs="宋体"/>
          <w:color w:val="auto"/>
          <w:szCs w:val="24"/>
          <w:highlight w:val="none"/>
          <w:lang w:eastAsia="zh-CN"/>
        </w:rPr>
        <w:t>响应文件</w:t>
      </w:r>
      <w:r>
        <w:rPr>
          <w:rFonts w:hint="eastAsia" w:ascii="宋体" w:hAnsi="宋体" w:cs="宋体"/>
          <w:color w:val="auto"/>
          <w:szCs w:val="24"/>
          <w:highlight w:val="none"/>
        </w:rPr>
        <w:t>。投标截止时间后递交的</w:t>
      </w:r>
      <w:r>
        <w:rPr>
          <w:rFonts w:hint="eastAsia" w:ascii="宋体" w:hAnsi="宋体" w:cs="宋体"/>
          <w:color w:val="auto"/>
          <w:szCs w:val="24"/>
          <w:highlight w:val="none"/>
          <w:lang w:eastAsia="zh-CN"/>
        </w:rPr>
        <w:t>响应文件</w:t>
      </w:r>
      <w:r>
        <w:rPr>
          <w:rFonts w:hint="eastAsia" w:ascii="宋体" w:hAnsi="宋体" w:cs="宋体"/>
          <w:color w:val="auto"/>
          <w:szCs w:val="24"/>
          <w:highlight w:val="none"/>
        </w:rPr>
        <w:t>，电子交易平台将拒收。</w:t>
      </w:r>
    </w:p>
    <w:p w14:paraId="5C237A3D">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13.2电子交易平台收到</w:t>
      </w:r>
      <w:r>
        <w:rPr>
          <w:rFonts w:hint="eastAsia" w:ascii="宋体" w:hAnsi="宋体" w:cs="宋体"/>
          <w:color w:val="auto"/>
          <w:szCs w:val="24"/>
          <w:highlight w:val="none"/>
          <w:lang w:eastAsia="zh-CN"/>
        </w:rPr>
        <w:t>响应文件</w:t>
      </w:r>
      <w:r>
        <w:rPr>
          <w:rFonts w:hint="eastAsia" w:ascii="宋体" w:hAnsi="宋体" w:cs="宋体"/>
          <w:color w:val="auto"/>
          <w:szCs w:val="24"/>
          <w:highlight w:val="none"/>
        </w:rPr>
        <w:t>，将妥善保存并即时向</w:t>
      </w:r>
      <w:r>
        <w:rPr>
          <w:rFonts w:hint="eastAsia" w:ascii="宋体" w:hAnsi="宋体" w:cs="宋体"/>
          <w:color w:val="auto"/>
          <w:szCs w:val="24"/>
          <w:highlight w:val="none"/>
          <w:lang w:eastAsia="zh-CN"/>
        </w:rPr>
        <w:t>响应人</w:t>
      </w:r>
      <w:r>
        <w:rPr>
          <w:rFonts w:hint="eastAsia" w:ascii="宋体" w:hAnsi="宋体" w:cs="宋体"/>
          <w:color w:val="auto"/>
          <w:szCs w:val="24"/>
          <w:highlight w:val="none"/>
        </w:rPr>
        <w:t>发出确认回执通知。在投标截止时间前，除</w:t>
      </w:r>
      <w:r>
        <w:rPr>
          <w:rFonts w:hint="eastAsia" w:ascii="宋体" w:hAnsi="宋体" w:cs="宋体"/>
          <w:color w:val="auto"/>
          <w:szCs w:val="24"/>
          <w:highlight w:val="none"/>
          <w:lang w:eastAsia="zh-CN"/>
        </w:rPr>
        <w:t>响应人</w:t>
      </w:r>
      <w:r>
        <w:rPr>
          <w:rFonts w:hint="eastAsia" w:ascii="宋体" w:hAnsi="宋体" w:cs="宋体"/>
          <w:color w:val="auto"/>
          <w:szCs w:val="24"/>
          <w:highlight w:val="none"/>
        </w:rPr>
        <w:t>补充、修改或者撤回</w:t>
      </w:r>
      <w:r>
        <w:rPr>
          <w:rFonts w:hint="eastAsia" w:ascii="宋体" w:hAnsi="宋体" w:cs="宋体"/>
          <w:color w:val="auto"/>
          <w:szCs w:val="24"/>
          <w:highlight w:val="none"/>
          <w:lang w:eastAsia="zh-CN"/>
        </w:rPr>
        <w:t>响应文件</w:t>
      </w:r>
      <w:r>
        <w:rPr>
          <w:rFonts w:hint="eastAsia" w:ascii="宋体" w:hAnsi="宋体" w:cs="宋体"/>
          <w:color w:val="auto"/>
          <w:szCs w:val="24"/>
          <w:highlight w:val="none"/>
        </w:rPr>
        <w:t>外，任何单位和个人不得解密或提取</w:t>
      </w:r>
      <w:r>
        <w:rPr>
          <w:rFonts w:hint="eastAsia" w:ascii="宋体" w:hAnsi="宋体" w:cs="宋体"/>
          <w:color w:val="auto"/>
          <w:szCs w:val="24"/>
          <w:highlight w:val="none"/>
          <w:lang w:eastAsia="zh-CN"/>
        </w:rPr>
        <w:t>响应文件</w:t>
      </w:r>
      <w:r>
        <w:rPr>
          <w:rFonts w:hint="eastAsia" w:ascii="宋体" w:hAnsi="宋体" w:cs="宋体"/>
          <w:color w:val="auto"/>
          <w:szCs w:val="24"/>
          <w:highlight w:val="none"/>
        </w:rPr>
        <w:t>。</w:t>
      </w:r>
    </w:p>
    <w:p w14:paraId="5E9ED117">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13.3</w:t>
      </w:r>
      <w:r>
        <w:rPr>
          <w:rFonts w:hint="eastAsia" w:ascii="宋体" w:hAnsi="宋体" w:cs="宋体"/>
          <w:color w:val="auto"/>
          <w:szCs w:val="24"/>
          <w:highlight w:val="none"/>
          <w:lang w:eastAsia="zh-CN"/>
        </w:rPr>
        <w:t>发包人</w:t>
      </w:r>
      <w:r>
        <w:rPr>
          <w:rFonts w:hint="eastAsia" w:ascii="宋体" w:hAnsi="宋体" w:cs="宋体"/>
          <w:color w:val="auto"/>
          <w:szCs w:val="24"/>
          <w:highlight w:val="none"/>
        </w:rPr>
        <w:t>、采购机构可以视情况延长</w:t>
      </w:r>
      <w:r>
        <w:rPr>
          <w:rFonts w:hint="eastAsia" w:ascii="宋体" w:hAnsi="宋体" w:cs="宋体"/>
          <w:color w:val="auto"/>
          <w:szCs w:val="24"/>
          <w:highlight w:val="none"/>
          <w:lang w:eastAsia="zh-CN"/>
        </w:rPr>
        <w:t>响应文件</w:t>
      </w:r>
      <w:r>
        <w:rPr>
          <w:rFonts w:hint="eastAsia" w:ascii="宋体" w:hAnsi="宋体" w:cs="宋体"/>
          <w:color w:val="auto"/>
          <w:szCs w:val="24"/>
          <w:highlight w:val="none"/>
        </w:rPr>
        <w:t>提交的截止时间。在上述情况下，采购机构与响应人以前在投标截止期方面的全部权利、责任和义务，将适用于延长至新的投标截止期。</w:t>
      </w:r>
    </w:p>
    <w:p w14:paraId="77213AD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14.备份</w:t>
      </w:r>
      <w:r>
        <w:rPr>
          <w:rFonts w:hint="eastAsia" w:hAnsi="宋体" w:cs="宋体"/>
          <w:b/>
          <w:color w:val="auto"/>
          <w:sz w:val="24"/>
          <w:szCs w:val="24"/>
          <w:highlight w:val="none"/>
          <w:lang w:eastAsia="zh-CN"/>
        </w:rPr>
        <w:t>响应文件</w:t>
      </w:r>
      <w:r>
        <w:rPr>
          <w:rFonts w:hint="eastAsia" w:hAnsi="宋体" w:cs="宋体"/>
          <w:b/>
          <w:color w:val="auto"/>
          <w:sz w:val="24"/>
          <w:szCs w:val="24"/>
          <w:highlight w:val="none"/>
        </w:rPr>
        <w:t>（本项目不接收备份文件，本条不适用。）</w:t>
      </w:r>
    </w:p>
    <w:p w14:paraId="1AFD450B">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14.1响应人在电子交易平台传输递交</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后，还可以在投标截止时间前直接提交或者以邮政快递方式递交备份</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1份，</w:t>
      </w:r>
      <w:r>
        <w:rPr>
          <w:rFonts w:hint="eastAsia" w:hAnsi="宋体" w:cs="宋体"/>
          <w:b/>
          <w:color w:val="auto"/>
          <w:sz w:val="24"/>
          <w:szCs w:val="24"/>
          <w:highlight w:val="none"/>
        </w:rPr>
        <w:t>但</w:t>
      </w:r>
      <w:r>
        <w:rPr>
          <w:rFonts w:hint="eastAsia" w:hAnsi="宋体" w:cs="宋体"/>
          <w:b/>
          <w:color w:val="auto"/>
          <w:sz w:val="24"/>
          <w:szCs w:val="24"/>
          <w:highlight w:val="none"/>
          <w:lang w:eastAsia="zh-CN"/>
        </w:rPr>
        <w:t>发包人</w:t>
      </w:r>
      <w:r>
        <w:rPr>
          <w:rFonts w:hint="eastAsia" w:hAnsi="宋体" w:cs="宋体"/>
          <w:b/>
          <w:color w:val="auto"/>
          <w:sz w:val="24"/>
          <w:szCs w:val="24"/>
          <w:highlight w:val="none"/>
        </w:rPr>
        <w:t>、采购机构不强制或变相强制响应人提交备份</w:t>
      </w:r>
      <w:r>
        <w:rPr>
          <w:rFonts w:hint="eastAsia" w:hAnsi="宋体" w:cs="宋体"/>
          <w:b/>
          <w:color w:val="auto"/>
          <w:sz w:val="24"/>
          <w:szCs w:val="24"/>
          <w:highlight w:val="none"/>
          <w:lang w:eastAsia="zh-CN"/>
        </w:rPr>
        <w:t>响应文件</w:t>
      </w:r>
      <w:r>
        <w:rPr>
          <w:rFonts w:hint="eastAsia" w:hAnsi="宋体" w:cs="宋体"/>
          <w:b/>
          <w:color w:val="auto"/>
          <w:sz w:val="24"/>
          <w:szCs w:val="24"/>
          <w:highlight w:val="none"/>
        </w:rPr>
        <w:t>。</w:t>
      </w:r>
    </w:p>
    <w:p w14:paraId="42E04355">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14.2备份</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应当密封包装并在包装上加盖公章并注明投标项目名称，响应人名称(联合体投标的，包装物封面需注明联合体投标，并注明联合体成员各方的名称和联合协议中约定的牵头人的名称)。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w:t>
      </w:r>
      <w:r>
        <w:rPr>
          <w:rFonts w:hint="eastAsia" w:hAnsi="宋体" w:cs="宋体"/>
          <w:b/>
          <w:color w:val="auto"/>
          <w:sz w:val="24"/>
          <w:szCs w:val="24"/>
          <w:highlight w:val="none"/>
          <w:lang w:eastAsia="zh-CN"/>
        </w:rPr>
        <w:t>响应文件</w:t>
      </w:r>
      <w:r>
        <w:rPr>
          <w:rFonts w:hint="eastAsia" w:hAnsi="宋体" w:cs="宋体"/>
          <w:b/>
          <w:color w:val="auto"/>
          <w:sz w:val="24"/>
          <w:szCs w:val="24"/>
          <w:highlight w:val="none"/>
        </w:rPr>
        <w:t>将被视为无效或者被拒绝接收。</w:t>
      </w:r>
    </w:p>
    <w:p w14:paraId="4B2B6689">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14.3直接提交备份</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的，响应人应于投标截止时间前在交易公告中载明的开标地点将备份</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提交给采购机构，采购机构将拒绝接受逾期送达的备份</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w:t>
      </w:r>
    </w:p>
    <w:p w14:paraId="258D04DF">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14.4以邮政快递方式递交备份</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的，响应人应先将备份</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按要求密封和标记，再进行邮政快递包装后邮寄。备份</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须在投标截止时间之前送达</w:t>
      </w:r>
      <w:r>
        <w:rPr>
          <w:rFonts w:hint="eastAsia" w:hAnsi="宋体" w:cs="宋体"/>
          <w:snapToGrid/>
          <w:color w:val="auto"/>
          <w:sz w:val="24"/>
          <w:szCs w:val="24"/>
          <w:highlight w:val="none"/>
        </w:rPr>
        <w:t>交易文件第二部分响应人须知前附表规定的备份</w:t>
      </w:r>
      <w:r>
        <w:rPr>
          <w:rFonts w:hint="eastAsia" w:hAnsi="宋体" w:cs="宋体"/>
          <w:snapToGrid/>
          <w:color w:val="auto"/>
          <w:sz w:val="24"/>
          <w:szCs w:val="24"/>
          <w:highlight w:val="none"/>
          <w:lang w:eastAsia="zh-CN"/>
        </w:rPr>
        <w:t>响应文件</w:t>
      </w:r>
      <w:r>
        <w:rPr>
          <w:rFonts w:hint="eastAsia" w:hAnsi="宋体" w:cs="宋体"/>
          <w:snapToGrid/>
          <w:color w:val="auto"/>
          <w:sz w:val="24"/>
          <w:szCs w:val="24"/>
          <w:highlight w:val="none"/>
        </w:rPr>
        <w:t>送达地点；</w:t>
      </w:r>
      <w:r>
        <w:rPr>
          <w:rFonts w:hint="eastAsia" w:hAnsi="宋体" w:cs="宋体"/>
          <w:color w:val="auto"/>
          <w:sz w:val="24"/>
          <w:szCs w:val="24"/>
          <w:highlight w:val="none"/>
        </w:rPr>
        <w:t>送达时间以签收人签收时间为准。采购机构将拒绝接受逾期送达的备份</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。邮寄过程中，电子备份</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发生泄露、遗失、损坏或延期送达等情况的，由响应人自行负责。</w:t>
      </w:r>
    </w:p>
    <w:p w14:paraId="7BEC4749">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14.5响应人仅提交备份</w:t>
      </w:r>
      <w:r>
        <w:rPr>
          <w:rFonts w:hint="eastAsia" w:hAnsi="宋体" w:cs="宋体"/>
          <w:b/>
          <w:color w:val="auto"/>
          <w:sz w:val="24"/>
          <w:szCs w:val="24"/>
          <w:highlight w:val="none"/>
          <w:lang w:eastAsia="zh-CN"/>
        </w:rPr>
        <w:t>响应文件</w:t>
      </w:r>
      <w:r>
        <w:rPr>
          <w:rFonts w:hint="eastAsia" w:hAnsi="宋体" w:cs="宋体"/>
          <w:b/>
          <w:color w:val="auto"/>
          <w:sz w:val="24"/>
          <w:szCs w:val="24"/>
          <w:highlight w:val="none"/>
        </w:rPr>
        <w:t>，未在电子交易平台传输递交</w:t>
      </w:r>
      <w:r>
        <w:rPr>
          <w:rFonts w:hint="eastAsia" w:hAnsi="宋体" w:cs="宋体"/>
          <w:b/>
          <w:color w:val="auto"/>
          <w:sz w:val="24"/>
          <w:szCs w:val="24"/>
          <w:highlight w:val="none"/>
          <w:lang w:eastAsia="zh-CN"/>
        </w:rPr>
        <w:t>响应文件</w:t>
      </w:r>
      <w:r>
        <w:rPr>
          <w:rFonts w:hint="eastAsia" w:hAnsi="宋体" w:cs="宋体"/>
          <w:b/>
          <w:color w:val="auto"/>
          <w:sz w:val="24"/>
          <w:szCs w:val="24"/>
          <w:highlight w:val="none"/>
        </w:rPr>
        <w:t>的，投标无效。</w:t>
      </w:r>
    </w:p>
    <w:p w14:paraId="3B4C16E7">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15.</w:t>
      </w:r>
      <w:r>
        <w:rPr>
          <w:rFonts w:hint="eastAsia" w:ascii="宋体" w:hAnsi="宋体" w:cs="宋体"/>
          <w:b/>
          <w:color w:val="auto"/>
          <w:szCs w:val="24"/>
          <w:highlight w:val="none"/>
          <w:lang w:eastAsia="zh-CN"/>
        </w:rPr>
        <w:t>响应文件</w:t>
      </w:r>
      <w:r>
        <w:rPr>
          <w:rFonts w:hint="eastAsia" w:ascii="宋体" w:hAnsi="宋体" w:cs="宋体"/>
          <w:b/>
          <w:color w:val="auto"/>
          <w:szCs w:val="24"/>
          <w:highlight w:val="none"/>
        </w:rPr>
        <w:t>的无效处理</w:t>
      </w:r>
    </w:p>
    <w:p w14:paraId="3FF405FB">
      <w:pPr>
        <w:pStyle w:val="16"/>
        <w:spacing w:line="360" w:lineRule="auto"/>
        <w:ind w:firstLine="360" w:firstLineChars="150"/>
        <w:rPr>
          <w:rFonts w:cs="宋体"/>
          <w:color w:val="auto"/>
          <w:szCs w:val="21"/>
          <w:highlight w:val="none"/>
        </w:rPr>
      </w:pPr>
      <w:r>
        <w:rPr>
          <w:rFonts w:hint="eastAsia" w:cs="宋体"/>
          <w:color w:val="auto"/>
          <w:szCs w:val="21"/>
          <w:highlight w:val="none"/>
        </w:rPr>
        <w:t>有交易文件第四部分</w:t>
      </w:r>
      <w:r>
        <w:rPr>
          <w:rFonts w:hint="eastAsia" w:cs="宋体"/>
          <w:color w:val="auto"/>
          <w:highlight w:val="none"/>
        </w:rPr>
        <w:t>4.2规定</w:t>
      </w:r>
      <w:r>
        <w:rPr>
          <w:rFonts w:hint="eastAsia" w:cs="宋体"/>
          <w:color w:val="auto"/>
          <w:szCs w:val="21"/>
          <w:highlight w:val="none"/>
        </w:rPr>
        <w:t>的情形之一的，投标无效</w:t>
      </w:r>
      <w:r>
        <w:rPr>
          <w:rFonts w:hint="eastAsia" w:cs="宋体"/>
          <w:color w:val="auto"/>
          <w:highlight w:val="none"/>
        </w:rPr>
        <w:t>。</w:t>
      </w:r>
    </w:p>
    <w:p w14:paraId="1A3EB326">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16.投标有效期</w:t>
      </w:r>
    </w:p>
    <w:p w14:paraId="5D52A600">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16.1投标有效期为从提交</w:t>
      </w:r>
      <w:r>
        <w:rPr>
          <w:rFonts w:hint="eastAsia" w:ascii="宋体" w:hAnsi="宋体" w:cs="宋体"/>
          <w:color w:val="auto"/>
          <w:sz w:val="24"/>
          <w:szCs w:val="20"/>
          <w:highlight w:val="none"/>
          <w:lang w:eastAsia="zh-CN"/>
        </w:rPr>
        <w:t>响应文件</w:t>
      </w:r>
      <w:r>
        <w:rPr>
          <w:rFonts w:hint="eastAsia" w:ascii="宋体" w:hAnsi="宋体" w:cs="宋体"/>
          <w:color w:val="auto"/>
          <w:sz w:val="24"/>
          <w:szCs w:val="20"/>
          <w:highlight w:val="none"/>
        </w:rPr>
        <w:t>的截止之日起90天。▲</w:t>
      </w:r>
      <w:r>
        <w:rPr>
          <w:rFonts w:hint="eastAsia" w:ascii="宋体" w:hAnsi="宋体" w:cs="宋体"/>
          <w:b/>
          <w:color w:val="auto"/>
          <w:sz w:val="24"/>
          <w:szCs w:val="20"/>
          <w:highlight w:val="none"/>
        </w:rPr>
        <w:t>响应人的</w:t>
      </w:r>
      <w:r>
        <w:rPr>
          <w:rFonts w:hint="eastAsia" w:ascii="宋体" w:hAnsi="宋体" w:cs="宋体"/>
          <w:b/>
          <w:color w:val="auto"/>
          <w:sz w:val="24"/>
          <w:szCs w:val="20"/>
          <w:highlight w:val="none"/>
          <w:lang w:eastAsia="zh-CN"/>
        </w:rPr>
        <w:t>响应文件</w:t>
      </w:r>
      <w:r>
        <w:rPr>
          <w:rFonts w:hint="eastAsia" w:ascii="宋体" w:hAnsi="宋体" w:cs="宋体"/>
          <w:b/>
          <w:color w:val="auto"/>
          <w:sz w:val="24"/>
          <w:szCs w:val="20"/>
          <w:highlight w:val="none"/>
        </w:rPr>
        <w:t>中承</w:t>
      </w:r>
      <w:r>
        <w:rPr>
          <w:rFonts w:hint="eastAsia" w:ascii="宋体" w:hAnsi="宋体" w:cs="宋体"/>
          <w:b/>
          <w:color w:val="auto"/>
          <w:sz w:val="24"/>
          <w:szCs w:val="21"/>
          <w:highlight w:val="none"/>
        </w:rPr>
        <w:t>诺的投标有效期少于交易文件中载明的投标有效期的，投标无效。</w:t>
      </w:r>
    </w:p>
    <w:p w14:paraId="1EDC4412">
      <w:pPr>
        <w:pStyle w:val="134"/>
        <w:spacing w:before="0"/>
        <w:ind w:firstLine="480"/>
        <w:rPr>
          <w:rFonts w:ascii="宋体" w:hAnsi="宋体" w:cs="宋体"/>
          <w:color w:val="auto"/>
          <w:highlight w:val="none"/>
        </w:rPr>
      </w:pPr>
      <w:r>
        <w:rPr>
          <w:rFonts w:hint="eastAsia" w:ascii="宋体" w:hAnsi="宋体" w:cs="宋体"/>
          <w:color w:val="auto"/>
          <w:highlight w:val="none"/>
        </w:rPr>
        <w:t>16.2</w:t>
      </w:r>
      <w:r>
        <w:rPr>
          <w:rFonts w:hint="eastAsia" w:ascii="宋体" w:hAnsi="宋体" w:cs="宋体"/>
          <w:color w:val="auto"/>
          <w:highlight w:val="none"/>
          <w:lang w:eastAsia="zh-CN"/>
        </w:rPr>
        <w:t>响应文件</w:t>
      </w:r>
      <w:r>
        <w:rPr>
          <w:rFonts w:hint="eastAsia" w:ascii="宋体" w:hAnsi="宋体" w:cs="宋体"/>
          <w:color w:val="auto"/>
          <w:highlight w:val="none"/>
        </w:rPr>
        <w:t>合格投递后，自投标截止日期起，在投标有效期内有效。</w:t>
      </w:r>
    </w:p>
    <w:p w14:paraId="1D41310A">
      <w:pPr>
        <w:pStyle w:val="134"/>
        <w:spacing w:before="0"/>
        <w:ind w:firstLine="480"/>
        <w:rPr>
          <w:rFonts w:ascii="宋体" w:hAnsi="宋体" w:cs="宋体"/>
          <w:b/>
          <w:color w:val="auto"/>
          <w:sz w:val="32"/>
          <w:highlight w:val="none"/>
        </w:rPr>
      </w:pPr>
      <w:r>
        <w:rPr>
          <w:rFonts w:hint="eastAsia" w:ascii="宋体" w:hAnsi="宋体" w:cs="宋体"/>
          <w:color w:val="auto"/>
          <w:highlight w:val="none"/>
        </w:rPr>
        <w:t>16.3在原定投标有效期满之前，如果出现特殊情况，采购机构可以以书面形式通知响应人延长投标有效期。响应人同意延长的，不得要求或被允许修改其</w:t>
      </w:r>
      <w:r>
        <w:rPr>
          <w:rFonts w:hint="eastAsia" w:ascii="宋体" w:hAnsi="宋体" w:cs="宋体"/>
          <w:color w:val="auto"/>
          <w:highlight w:val="none"/>
          <w:lang w:eastAsia="zh-CN"/>
        </w:rPr>
        <w:t>响应文件</w:t>
      </w:r>
      <w:r>
        <w:rPr>
          <w:rFonts w:hint="eastAsia" w:ascii="宋体" w:hAnsi="宋体" w:cs="宋体"/>
          <w:color w:val="auto"/>
          <w:highlight w:val="none"/>
        </w:rPr>
        <w:t>，响应人拒绝延长的，其投标无效。</w:t>
      </w:r>
    </w:p>
    <w:p w14:paraId="1CED1CBA">
      <w:pPr>
        <w:pStyle w:val="134"/>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CDC4B32">
      <w:pPr>
        <w:pStyle w:val="55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17.开标</w:t>
      </w:r>
      <w:r>
        <w:rPr>
          <w:rFonts w:hint="eastAsia" w:ascii="宋体" w:hAnsi="宋体" w:cs="宋体"/>
          <w:color w:val="auto"/>
          <w:sz w:val="24"/>
          <w:highlight w:val="none"/>
        </w:rPr>
        <w:t xml:space="preserve"> </w:t>
      </w:r>
    </w:p>
    <w:p w14:paraId="78F80698">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17.1采购机构按照交易文件规定的时间通过电子交易平台组织开标，所有响应人均应当准时在线参加。响应人不足3家的，不得开标。</w:t>
      </w:r>
    </w:p>
    <w:p w14:paraId="63A99D06">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17.2开标时，电子交易平台按开标时间自动提取所有</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。采购机构依托电子交易平台发起开始解密指令，响应人按照平台提示和交易文件的规定在半小时内完成在线解密。</w:t>
      </w:r>
    </w:p>
    <w:p w14:paraId="0B5F57C7">
      <w:pPr>
        <w:widowControl/>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18</w:t>
      </w:r>
      <w:r>
        <w:rPr>
          <w:rFonts w:hint="eastAsia" w:ascii="宋体" w:hAnsi="宋体" w:cs="宋体"/>
          <w:b/>
          <w:color w:val="auto"/>
          <w:sz w:val="24"/>
          <w:szCs w:val="24"/>
          <w:highlight w:val="none"/>
        </w:rPr>
        <w:t>.</w:t>
      </w:r>
      <w:r>
        <w:rPr>
          <w:rFonts w:hint="eastAsia" w:ascii="宋体" w:hAnsi="宋体" w:cs="宋体"/>
          <w:b/>
          <w:color w:val="auto"/>
          <w:sz w:val="24"/>
          <w:szCs w:val="20"/>
          <w:highlight w:val="none"/>
        </w:rPr>
        <w:t>资格审查</w:t>
      </w:r>
    </w:p>
    <w:p w14:paraId="33B8425D">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18.1开标后，</w:t>
      </w:r>
      <w:r>
        <w:rPr>
          <w:rFonts w:hint="eastAsia" w:ascii="宋体" w:hAnsi="宋体" w:cs="宋体"/>
          <w:color w:val="auto"/>
          <w:kern w:val="0"/>
          <w:szCs w:val="24"/>
          <w:highlight w:val="none"/>
          <w:lang w:eastAsia="zh-CN"/>
        </w:rPr>
        <w:t>发包人</w:t>
      </w:r>
      <w:r>
        <w:rPr>
          <w:rFonts w:hint="eastAsia" w:ascii="宋体" w:hAnsi="宋体" w:cs="宋体"/>
          <w:color w:val="auto"/>
          <w:kern w:val="0"/>
          <w:szCs w:val="24"/>
          <w:highlight w:val="none"/>
        </w:rPr>
        <w:t>或采购机构将依法对响应人的资格进行审查。</w:t>
      </w:r>
    </w:p>
    <w:p w14:paraId="4D30615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18.2</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或采购机构依据法律法规和交易文件的规定，对响应人的基本资格条件、特定资格条件进行审查。</w:t>
      </w:r>
    </w:p>
    <w:p w14:paraId="329CA8AF">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18.3响应人未按照交易文件要求提供与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响应人不具备交易文件中规定的资格要求，其投标无效。</w:t>
      </w:r>
    </w:p>
    <w:p w14:paraId="5786D49B">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4对未通过资格审查的响应人，</w:t>
      </w:r>
      <w:r>
        <w:rPr>
          <w:rFonts w:hint="eastAsia" w:ascii="宋体" w:hAnsi="宋体" w:cs="宋体"/>
          <w:color w:val="auto"/>
          <w:highlight w:val="none"/>
          <w:lang w:eastAsia="zh-CN"/>
        </w:rPr>
        <w:t>发包人</w:t>
      </w:r>
      <w:r>
        <w:rPr>
          <w:rFonts w:hint="eastAsia" w:ascii="宋体" w:hAnsi="宋体" w:cs="宋体"/>
          <w:color w:val="auto"/>
          <w:highlight w:val="none"/>
        </w:rPr>
        <w:t>或采购机构告知其未通过的原因。</w:t>
      </w:r>
    </w:p>
    <w:p w14:paraId="215035AB">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5合格响应人不足3家的，不再评标。</w:t>
      </w:r>
    </w:p>
    <w:p w14:paraId="2C18D710">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19</w:t>
      </w:r>
      <w:r>
        <w:rPr>
          <w:rFonts w:hint="eastAsia" w:ascii="宋体" w:hAnsi="宋体" w:cs="宋体"/>
          <w:b/>
          <w:color w:val="auto"/>
          <w:sz w:val="24"/>
          <w:szCs w:val="24"/>
          <w:highlight w:val="none"/>
        </w:rPr>
        <w:t>.</w:t>
      </w:r>
      <w:r>
        <w:rPr>
          <w:rFonts w:hint="eastAsia" w:ascii="宋体" w:hAnsi="宋体" w:cs="宋体"/>
          <w:b/>
          <w:color w:val="auto"/>
          <w:szCs w:val="24"/>
          <w:highlight w:val="none"/>
        </w:rPr>
        <w:t>信用信息查询</w:t>
      </w:r>
    </w:p>
    <w:p w14:paraId="29CA390A">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19.1信用信息查询渠道及截止时间：采购机构将通过“信用中国”网站(www.creditchina.gov.cn)、中国政府采购网(www.ccgp.gov.cn)渠道查询响应人投标截止时间当天的信用记录。</w:t>
      </w:r>
    </w:p>
    <w:p w14:paraId="672BE955">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19.2信用信息查询记录和证据留存的具体方式：现场查询的响应人的信用记录、查询结果经确认后将与</w:t>
      </w:r>
      <w:r>
        <w:rPr>
          <w:rFonts w:hint="eastAsia" w:ascii="宋体" w:hAnsi="宋体" w:cs="宋体"/>
          <w:color w:val="auto"/>
          <w:kern w:val="0"/>
          <w:szCs w:val="24"/>
          <w:highlight w:val="none"/>
          <w:lang w:eastAsia="zh-CN"/>
        </w:rPr>
        <w:t>交易文件</w:t>
      </w:r>
      <w:r>
        <w:rPr>
          <w:rFonts w:hint="eastAsia" w:ascii="宋体" w:hAnsi="宋体" w:cs="宋体"/>
          <w:color w:val="auto"/>
          <w:kern w:val="0"/>
          <w:szCs w:val="24"/>
          <w:highlight w:val="none"/>
        </w:rPr>
        <w:t>一起存档。</w:t>
      </w:r>
    </w:p>
    <w:p w14:paraId="246E9B09">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19.3信用信息的使用规则：经查询列入失信被执行人名单、重大税收违法案件当事人名单、采购严重违法失信行为记录名单的响应人将被拒绝参与采购活动。</w:t>
      </w:r>
    </w:p>
    <w:p w14:paraId="1FC5675A">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19.4联合体信用信息查询：两个以上的自然人、法人或者其他组织组成一个联合体，以一个</w:t>
      </w:r>
      <w:r>
        <w:rPr>
          <w:rFonts w:hint="eastAsia" w:ascii="宋体" w:hAnsi="宋体" w:cs="宋体"/>
          <w:color w:val="auto"/>
          <w:kern w:val="0"/>
          <w:szCs w:val="24"/>
          <w:highlight w:val="none"/>
          <w:lang w:eastAsia="zh-CN"/>
        </w:rPr>
        <w:t>响应人</w:t>
      </w:r>
      <w:r>
        <w:rPr>
          <w:rFonts w:hint="eastAsia" w:ascii="宋体" w:hAnsi="宋体" w:cs="宋体"/>
          <w:color w:val="auto"/>
          <w:kern w:val="0"/>
          <w:szCs w:val="24"/>
          <w:highlight w:val="none"/>
        </w:rPr>
        <w:t>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29D0CF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734D71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20.</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交易文件和有关规定，履行评标工作职责，并按照评标方法及评分标准，全面衡量各响应人对交易文件的响应情况。对实质上响应交易文件的响应人，按照评审因素的量化指标排出推荐中标的响应人的先后顺序，并按顺序提出授标建议。</w:t>
      </w:r>
      <w:r>
        <w:rPr>
          <w:rFonts w:hint="eastAsia" w:ascii="宋体" w:hAnsi="宋体" w:cs="宋体"/>
          <w:b/>
          <w:color w:val="auto"/>
          <w:sz w:val="24"/>
          <w:highlight w:val="none"/>
        </w:rPr>
        <w:t>详见交易文件第四部分评标办法。</w:t>
      </w:r>
    </w:p>
    <w:p w14:paraId="21424B2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B90927D">
      <w:pPr>
        <w:pStyle w:val="16"/>
        <w:spacing w:line="360" w:lineRule="auto"/>
        <w:ind w:left="479" w:hanging="479" w:hangingChars="199"/>
        <w:rPr>
          <w:rFonts w:hint="eastAsia" w:eastAsia="宋体" w:cs="宋体"/>
          <w:b/>
          <w:color w:val="auto"/>
          <w:highlight w:val="none"/>
          <w:lang w:eastAsia="zh-CN"/>
        </w:rPr>
      </w:pPr>
      <w:r>
        <w:rPr>
          <w:rFonts w:hint="eastAsia" w:cs="宋体"/>
          <w:b/>
          <w:color w:val="auto"/>
          <w:highlight w:val="none"/>
        </w:rPr>
        <w:t>21. 确定中标</w:t>
      </w:r>
      <w:r>
        <w:rPr>
          <w:rFonts w:hint="eastAsia" w:cs="宋体"/>
          <w:b/>
          <w:color w:val="auto"/>
          <w:highlight w:val="none"/>
          <w:lang w:eastAsia="zh-CN"/>
        </w:rPr>
        <w:t>响应人</w:t>
      </w:r>
    </w:p>
    <w:p w14:paraId="7A6604BE">
      <w:pPr>
        <w:pStyle w:val="134"/>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lang w:eastAsia="zh-CN"/>
        </w:rPr>
        <w:t>发包人</w:t>
      </w:r>
      <w:r>
        <w:rPr>
          <w:rFonts w:hint="eastAsia" w:ascii="宋体" w:hAnsi="宋体" w:cs="宋体"/>
          <w:color w:val="auto"/>
          <w:szCs w:val="24"/>
          <w:highlight w:val="none"/>
        </w:rPr>
        <w:t>将自收到评审报告之日起5个工作日内通过电子交易平台在评审报告推荐的中标候选人中按顺序确定中标</w:t>
      </w:r>
      <w:r>
        <w:rPr>
          <w:rFonts w:hint="eastAsia" w:ascii="宋体" w:hAnsi="宋体" w:cs="宋体"/>
          <w:color w:val="auto"/>
          <w:szCs w:val="24"/>
          <w:highlight w:val="none"/>
          <w:lang w:eastAsia="zh-CN"/>
        </w:rPr>
        <w:t>响应人</w:t>
      </w:r>
      <w:r>
        <w:rPr>
          <w:rFonts w:hint="eastAsia" w:ascii="宋体" w:hAnsi="宋体" w:cs="宋体"/>
          <w:color w:val="auto"/>
          <w:szCs w:val="24"/>
          <w:highlight w:val="none"/>
        </w:rPr>
        <w:t>。</w:t>
      </w:r>
    </w:p>
    <w:p w14:paraId="098DB7B8">
      <w:pPr>
        <w:pStyle w:val="134"/>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22. 中标通知与中标结果公告</w:t>
      </w:r>
    </w:p>
    <w:p w14:paraId="717D11B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22.1自</w:t>
      </w:r>
      <w:r>
        <w:rPr>
          <w:rFonts w:hint="eastAsia" w:ascii="宋体" w:hAnsi="宋体" w:cs="宋体"/>
          <w:color w:val="auto"/>
          <w:sz w:val="24"/>
          <w:highlight w:val="none"/>
          <w:lang w:eastAsia="zh-CN"/>
        </w:rPr>
        <w:t>成交人</w:t>
      </w:r>
      <w:r>
        <w:rPr>
          <w:rFonts w:hint="eastAsia" w:ascii="宋体" w:hAnsi="宋体" w:cs="宋体"/>
          <w:color w:val="auto"/>
          <w:sz w:val="24"/>
          <w:highlight w:val="none"/>
        </w:rPr>
        <w:t>确定之日起2个工作日内，采购机构通过电子交易平台向</w:t>
      </w:r>
      <w:r>
        <w:rPr>
          <w:rFonts w:hint="eastAsia" w:ascii="宋体" w:hAnsi="宋体" w:cs="宋体"/>
          <w:color w:val="auto"/>
          <w:sz w:val="24"/>
          <w:highlight w:val="none"/>
          <w:lang w:eastAsia="zh-CN"/>
        </w:rPr>
        <w:t>成交人</w:t>
      </w:r>
      <w:r>
        <w:rPr>
          <w:rFonts w:hint="eastAsia" w:ascii="宋体" w:hAnsi="宋体" w:cs="宋体"/>
          <w:color w:val="auto"/>
          <w:sz w:val="24"/>
          <w:highlight w:val="none"/>
        </w:rPr>
        <w:t>发出</w:t>
      </w:r>
      <w:r>
        <w:rPr>
          <w:rFonts w:hint="eastAsia" w:ascii="宋体" w:hAnsi="宋体" w:cs="宋体"/>
          <w:color w:val="auto"/>
          <w:sz w:val="24"/>
          <w:highlight w:val="none"/>
          <w:lang w:eastAsia="zh-CN"/>
        </w:rPr>
        <w:t>中标（成交）通知书</w:t>
      </w:r>
      <w:r>
        <w:rPr>
          <w:rFonts w:hint="eastAsia" w:ascii="宋体" w:hAnsi="宋体" w:cs="宋体"/>
          <w:color w:val="auto"/>
          <w:sz w:val="24"/>
          <w:highlight w:val="none"/>
        </w:rPr>
        <w:t>，同时编制发布采购结果公告。采购机构也可以以纸质形式进行中标通知。</w:t>
      </w:r>
    </w:p>
    <w:p w14:paraId="4AB798F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22.2中标结果公告内容包括</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及其委托的采购机构的名称、地址、联系方式，项目名称和项目编号，</w:t>
      </w:r>
      <w:r>
        <w:rPr>
          <w:rFonts w:hint="eastAsia" w:ascii="宋体" w:hAnsi="宋体" w:cs="宋体"/>
          <w:color w:val="auto"/>
          <w:sz w:val="24"/>
          <w:highlight w:val="none"/>
          <w:lang w:eastAsia="zh-CN"/>
        </w:rPr>
        <w:t>成交人</w:t>
      </w:r>
      <w:r>
        <w:rPr>
          <w:rFonts w:hint="eastAsia" w:ascii="宋体" w:hAnsi="宋体" w:cs="宋体"/>
          <w:color w:val="auto"/>
          <w:sz w:val="24"/>
          <w:highlight w:val="none"/>
        </w:rPr>
        <w:t>名称、地址和中标金额，主要中标标的的名称、规格型号、数量、单价、服务要求，中标公告期限以及评审专家名单。</w:t>
      </w:r>
    </w:p>
    <w:p w14:paraId="4A1AA6D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22.3公告期限为1个工作日。</w:t>
      </w:r>
    </w:p>
    <w:p w14:paraId="6C61102E">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3A4F820">
      <w:pPr>
        <w:pStyle w:val="16"/>
        <w:spacing w:line="360" w:lineRule="auto"/>
        <w:ind w:left="479" w:hanging="479" w:hangingChars="199"/>
        <w:rPr>
          <w:rFonts w:cs="宋体"/>
          <w:b/>
          <w:color w:val="auto"/>
          <w:highlight w:val="none"/>
        </w:rPr>
      </w:pPr>
      <w:r>
        <w:rPr>
          <w:rFonts w:hint="eastAsia" w:cs="宋体"/>
          <w:b/>
          <w:color w:val="auto"/>
          <w:highlight w:val="none"/>
        </w:rPr>
        <w:t xml:space="preserve">23. </w:t>
      </w:r>
      <w:r>
        <w:rPr>
          <w:rFonts w:hint="eastAsia" w:cs="宋体"/>
          <w:color w:val="auto"/>
          <w:highlight w:val="none"/>
        </w:rPr>
        <w:t>合同主要条款详见第五部分拟签订的合同文本。</w:t>
      </w:r>
    </w:p>
    <w:p w14:paraId="5F932A5C">
      <w:pPr>
        <w:pStyle w:val="16"/>
        <w:spacing w:line="360" w:lineRule="auto"/>
        <w:ind w:left="479" w:hanging="479" w:hangingChars="199"/>
        <w:rPr>
          <w:rFonts w:cs="宋体"/>
          <w:b/>
          <w:color w:val="auto"/>
          <w:highlight w:val="none"/>
        </w:rPr>
      </w:pPr>
      <w:r>
        <w:rPr>
          <w:rFonts w:hint="eastAsia" w:cs="宋体"/>
          <w:b/>
          <w:color w:val="auto"/>
          <w:highlight w:val="none"/>
        </w:rPr>
        <w:t>24. 合同的签订</w:t>
      </w:r>
    </w:p>
    <w:p w14:paraId="298F71CC">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24.1</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与</w:t>
      </w:r>
      <w:r>
        <w:rPr>
          <w:rFonts w:hint="eastAsia" w:ascii="宋体" w:hAnsi="宋体" w:cs="宋体"/>
          <w:color w:val="auto"/>
          <w:kern w:val="0"/>
          <w:sz w:val="24"/>
          <w:highlight w:val="none"/>
          <w:lang w:eastAsia="zh-CN"/>
        </w:rPr>
        <w:t>成交人</w:t>
      </w:r>
      <w:r>
        <w:rPr>
          <w:rFonts w:hint="eastAsia" w:ascii="宋体" w:hAnsi="宋体" w:cs="宋体"/>
          <w:color w:val="auto"/>
          <w:kern w:val="0"/>
          <w:sz w:val="24"/>
          <w:highlight w:val="none"/>
        </w:rPr>
        <w:t>应当通过电子交易平台在</w:t>
      </w:r>
      <w:r>
        <w:rPr>
          <w:rFonts w:hint="eastAsia" w:ascii="宋体" w:hAnsi="宋体" w:cs="宋体"/>
          <w:color w:val="auto"/>
          <w:kern w:val="0"/>
          <w:sz w:val="24"/>
          <w:highlight w:val="none"/>
          <w:lang w:eastAsia="zh-CN"/>
        </w:rPr>
        <w:t>中标（成交）通知书</w:t>
      </w:r>
      <w:r>
        <w:rPr>
          <w:rFonts w:hint="eastAsia" w:ascii="宋体" w:hAnsi="宋体" w:cs="宋体"/>
          <w:color w:val="auto"/>
          <w:kern w:val="0"/>
          <w:sz w:val="24"/>
          <w:highlight w:val="none"/>
        </w:rPr>
        <w:t>发出之日起</w:t>
      </w:r>
      <w:r>
        <w:rPr>
          <w:rFonts w:hint="eastAsia" w:ascii="宋体" w:hAnsi="宋体" w:cs="宋体"/>
          <w:color w:val="auto"/>
          <w:kern w:val="0"/>
          <w:sz w:val="24"/>
          <w:highlight w:val="none"/>
          <w:lang w:eastAsia="zh-CN"/>
        </w:rPr>
        <w:t>二十</w:t>
      </w:r>
      <w:r>
        <w:rPr>
          <w:rFonts w:hint="eastAsia" w:ascii="宋体" w:hAnsi="宋体" w:cs="宋体"/>
          <w:color w:val="auto"/>
          <w:kern w:val="0"/>
          <w:sz w:val="24"/>
          <w:highlight w:val="none"/>
        </w:rPr>
        <w:t>日内，按照交易文件确定的事项签订采购合同，并在合同签订之日起2个工作日内依法发布合同公告。</w:t>
      </w:r>
    </w:p>
    <w:p w14:paraId="26F2D293">
      <w:pPr>
        <w:pStyle w:val="134"/>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24.2成交人按规定的日期、时间、地点，由法定代表人或其授权代表与发包人代表签订合同。如成交人为联合体的，由联合体成员各方法定代表人或其授权代表与发包人代表签订合同。</w:t>
      </w:r>
    </w:p>
    <w:p w14:paraId="01D438E8">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24.3如签订合同并生效后，</w:t>
      </w:r>
      <w:r>
        <w:rPr>
          <w:rFonts w:hint="eastAsia" w:ascii="宋体" w:hAnsi="宋体" w:cs="宋体"/>
          <w:color w:val="auto"/>
          <w:highlight w:val="none"/>
          <w:lang w:eastAsia="zh-CN"/>
        </w:rPr>
        <w:t>响应人</w:t>
      </w:r>
      <w:r>
        <w:rPr>
          <w:rFonts w:hint="eastAsia" w:ascii="宋体" w:hAnsi="宋体" w:cs="宋体"/>
          <w:color w:val="auto"/>
          <w:highlight w:val="none"/>
        </w:rPr>
        <w:t>无故拒绝或延期，除按照合同条款处理外，列入不良行为记录一次，并给予通报。</w:t>
      </w:r>
    </w:p>
    <w:p w14:paraId="2F53BFBA">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24.4中标</w:t>
      </w:r>
      <w:r>
        <w:rPr>
          <w:rFonts w:hint="eastAsia" w:ascii="宋体" w:hAnsi="宋体" w:cs="宋体"/>
          <w:color w:val="auto"/>
          <w:highlight w:val="none"/>
          <w:lang w:eastAsia="zh-CN"/>
        </w:rPr>
        <w:t>响应人</w:t>
      </w:r>
      <w:r>
        <w:rPr>
          <w:rFonts w:hint="eastAsia" w:ascii="宋体" w:hAnsi="宋体" w:cs="宋体"/>
          <w:color w:val="auto"/>
          <w:highlight w:val="none"/>
        </w:rPr>
        <w:t>拒绝与</w:t>
      </w:r>
      <w:r>
        <w:rPr>
          <w:rFonts w:hint="eastAsia" w:ascii="宋体" w:hAnsi="宋体" w:cs="宋体"/>
          <w:color w:val="auto"/>
          <w:highlight w:val="none"/>
          <w:lang w:eastAsia="zh-CN"/>
        </w:rPr>
        <w:t>发包人</w:t>
      </w:r>
      <w:r>
        <w:rPr>
          <w:rFonts w:hint="eastAsia" w:ascii="宋体" w:hAnsi="宋体" w:cs="宋体"/>
          <w:color w:val="auto"/>
          <w:highlight w:val="none"/>
        </w:rPr>
        <w:t>签订合同的，</w:t>
      </w:r>
      <w:r>
        <w:rPr>
          <w:rFonts w:hint="eastAsia" w:ascii="宋体" w:hAnsi="宋体" w:cs="宋体"/>
          <w:color w:val="auto"/>
          <w:highlight w:val="none"/>
          <w:lang w:eastAsia="zh-CN"/>
        </w:rPr>
        <w:t>发包人</w:t>
      </w:r>
      <w:r>
        <w:rPr>
          <w:rFonts w:hint="eastAsia" w:ascii="宋体" w:hAnsi="宋体" w:cs="宋体"/>
          <w:color w:val="auto"/>
          <w:highlight w:val="none"/>
        </w:rPr>
        <w:t>可以按照评审报告推荐的中标或者成交候选人名单排序，确定下一候选人为中标</w:t>
      </w:r>
      <w:r>
        <w:rPr>
          <w:rFonts w:hint="eastAsia" w:ascii="宋体" w:hAnsi="宋体" w:cs="宋体"/>
          <w:color w:val="auto"/>
          <w:highlight w:val="none"/>
          <w:lang w:eastAsia="zh-CN"/>
        </w:rPr>
        <w:t>响应人</w:t>
      </w:r>
      <w:r>
        <w:rPr>
          <w:rFonts w:hint="eastAsia" w:ascii="宋体" w:hAnsi="宋体" w:cs="宋体"/>
          <w:color w:val="auto"/>
          <w:highlight w:val="none"/>
        </w:rPr>
        <w:t>，也可以重新开展采购活动。</w:t>
      </w:r>
    </w:p>
    <w:p w14:paraId="0B1718A2">
      <w:pPr>
        <w:pStyle w:val="134"/>
        <w:snapToGrid w:val="0"/>
        <w:spacing w:before="0" w:after="120"/>
        <w:ind w:firstLine="480"/>
        <w:rPr>
          <w:rFonts w:ascii="宋体" w:hAnsi="宋体" w:cs="宋体"/>
          <w:color w:val="auto"/>
          <w:highlight w:val="none"/>
        </w:rPr>
      </w:pPr>
      <w:r>
        <w:rPr>
          <w:rFonts w:hint="eastAsia" w:ascii="宋体" w:hAnsi="宋体" w:cs="宋体"/>
          <w:color w:val="auto"/>
          <w:highlight w:val="none"/>
        </w:rPr>
        <w:t>24.5采购合同由</w:t>
      </w:r>
      <w:r>
        <w:rPr>
          <w:rFonts w:hint="eastAsia" w:ascii="宋体" w:hAnsi="宋体" w:cs="宋体"/>
          <w:color w:val="auto"/>
          <w:highlight w:val="none"/>
          <w:lang w:eastAsia="zh-CN"/>
        </w:rPr>
        <w:t>发包人</w:t>
      </w:r>
      <w:r>
        <w:rPr>
          <w:rFonts w:hint="eastAsia" w:ascii="宋体" w:hAnsi="宋体" w:cs="宋体"/>
          <w:color w:val="auto"/>
          <w:highlight w:val="none"/>
        </w:rPr>
        <w:t>与中标</w:t>
      </w:r>
      <w:r>
        <w:rPr>
          <w:rFonts w:hint="eastAsia" w:ascii="宋体" w:hAnsi="宋体" w:cs="宋体"/>
          <w:color w:val="auto"/>
          <w:highlight w:val="none"/>
          <w:lang w:eastAsia="zh-CN"/>
        </w:rPr>
        <w:t>响应人</w:t>
      </w:r>
      <w:r>
        <w:rPr>
          <w:rFonts w:hint="eastAsia" w:ascii="宋体" w:hAnsi="宋体" w:cs="宋体"/>
          <w:color w:val="auto"/>
          <w:highlight w:val="none"/>
        </w:rPr>
        <w:t>根据交易文件、</w:t>
      </w:r>
      <w:r>
        <w:rPr>
          <w:rFonts w:hint="eastAsia" w:ascii="宋体" w:hAnsi="宋体" w:cs="宋体"/>
          <w:color w:val="auto"/>
          <w:highlight w:val="none"/>
          <w:lang w:eastAsia="zh-CN"/>
        </w:rPr>
        <w:t>响应文件</w:t>
      </w:r>
      <w:r>
        <w:rPr>
          <w:rFonts w:hint="eastAsia" w:ascii="宋体" w:hAnsi="宋体" w:cs="宋体"/>
          <w:color w:val="auto"/>
          <w:highlight w:val="none"/>
        </w:rPr>
        <w:t>等内容通过政府采购电子交易平台在线签订，自动备案。</w:t>
      </w:r>
    </w:p>
    <w:p w14:paraId="3EE0FDDE">
      <w:pPr>
        <w:pStyle w:val="16"/>
        <w:spacing w:line="360" w:lineRule="auto"/>
        <w:ind w:left="479" w:hanging="479" w:hangingChars="199"/>
        <w:rPr>
          <w:rFonts w:cs="宋体"/>
          <w:b/>
          <w:color w:val="auto"/>
          <w:highlight w:val="none"/>
        </w:rPr>
      </w:pPr>
      <w:r>
        <w:rPr>
          <w:rFonts w:hint="eastAsia" w:cs="宋体"/>
          <w:b/>
          <w:color w:val="auto"/>
          <w:highlight w:val="none"/>
        </w:rPr>
        <w:t>25. 履约保证金</w:t>
      </w:r>
    </w:p>
    <w:p w14:paraId="57EE8FAF">
      <w:pPr>
        <w:tabs>
          <w:tab w:val="left" w:pos="0"/>
        </w:tabs>
        <w:spacing w:line="360" w:lineRule="auto"/>
        <w:ind w:firstLine="482"/>
        <w:rPr>
          <w:rFonts w:ascii="宋体" w:hAnsi="宋体" w:cs="宋体"/>
          <w:b/>
          <w:color w:val="auto"/>
          <w:sz w:val="24"/>
          <w:highlight w:val="none"/>
        </w:rPr>
      </w:pPr>
      <w:r>
        <w:rPr>
          <w:rFonts w:hint="eastAsia" w:ascii="宋体" w:hAnsi="宋体" w:cs="宋体"/>
          <w:color w:val="auto"/>
          <w:kern w:val="0"/>
          <w:sz w:val="24"/>
          <w:highlight w:val="none"/>
        </w:rPr>
        <w:t>拟签订的合同文本要求中标</w:t>
      </w:r>
      <w:r>
        <w:rPr>
          <w:rFonts w:hint="eastAsia" w:ascii="宋体" w:hAnsi="宋体" w:cs="宋体"/>
          <w:color w:val="auto"/>
          <w:kern w:val="0"/>
          <w:sz w:val="24"/>
          <w:highlight w:val="none"/>
          <w:lang w:eastAsia="zh-CN"/>
        </w:rPr>
        <w:t>响应人</w:t>
      </w:r>
      <w:r>
        <w:rPr>
          <w:rFonts w:hint="eastAsia" w:ascii="宋体" w:hAnsi="宋体" w:cs="宋体"/>
          <w:color w:val="auto"/>
          <w:kern w:val="0"/>
          <w:sz w:val="24"/>
          <w:highlight w:val="none"/>
        </w:rPr>
        <w:t>提交履约保证金的，</w:t>
      </w:r>
      <w:r>
        <w:rPr>
          <w:rFonts w:hint="eastAsia" w:ascii="宋体" w:hAnsi="宋体" w:cs="宋体"/>
          <w:color w:val="auto"/>
          <w:kern w:val="0"/>
          <w:sz w:val="24"/>
          <w:highlight w:val="none"/>
          <w:lang w:eastAsia="zh-CN"/>
        </w:rPr>
        <w:t>响应人</w:t>
      </w:r>
      <w:r>
        <w:rPr>
          <w:rFonts w:hint="eastAsia" w:ascii="宋体" w:hAnsi="宋体" w:cs="宋体"/>
          <w:color w:val="auto"/>
          <w:kern w:val="0"/>
          <w:sz w:val="24"/>
          <w:highlight w:val="none"/>
        </w:rPr>
        <w:t>应当以支票、汇票、本票或者金融机构、担保机构出具的保函等非现金形式提交</w:t>
      </w:r>
      <w:r>
        <w:rPr>
          <w:rFonts w:hint="eastAsia" w:ascii="宋体" w:hAnsi="宋体" w:cs="宋体"/>
          <w:color w:val="auto"/>
          <w:sz w:val="24"/>
          <w:highlight w:val="none"/>
        </w:rPr>
        <w:t>。履约保证金的数额不得超过采购合同金额的1%。鼓励和支持</w:t>
      </w:r>
      <w:r>
        <w:rPr>
          <w:rFonts w:hint="eastAsia" w:ascii="宋体" w:hAnsi="宋体" w:cs="宋体"/>
          <w:color w:val="auto"/>
          <w:sz w:val="24"/>
          <w:highlight w:val="none"/>
          <w:lang w:eastAsia="zh-CN"/>
        </w:rPr>
        <w:t>响应人</w:t>
      </w:r>
      <w:r>
        <w:rPr>
          <w:rFonts w:hint="eastAsia" w:ascii="宋体" w:hAnsi="宋体" w:cs="宋体"/>
          <w:color w:val="auto"/>
          <w:sz w:val="24"/>
          <w:highlight w:val="none"/>
        </w:rPr>
        <w:t>以银行、保险公司出具的保函形式提供履约保证金。</w:t>
      </w:r>
      <w:r>
        <w:rPr>
          <w:rFonts w:hint="eastAsia" w:ascii="宋体" w:hAnsi="宋体" w:cs="宋体"/>
          <w:b/>
          <w:color w:val="auto"/>
          <w:sz w:val="24"/>
          <w:highlight w:val="none"/>
          <w:lang w:eastAsia="zh-CN"/>
        </w:rPr>
        <w:t>发包人</w:t>
      </w:r>
      <w:r>
        <w:rPr>
          <w:rFonts w:hint="eastAsia" w:ascii="宋体" w:hAnsi="宋体" w:cs="宋体"/>
          <w:b/>
          <w:color w:val="auto"/>
          <w:sz w:val="24"/>
          <w:highlight w:val="none"/>
        </w:rPr>
        <w:t>不得拒收履约保函，项目验收结束后应及时退还。</w:t>
      </w:r>
    </w:p>
    <w:p w14:paraId="7D2D997C">
      <w:pPr>
        <w:snapToGrid w:val="0"/>
        <w:spacing w:line="360" w:lineRule="auto"/>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FE21E72">
      <w:pPr>
        <w:pStyle w:val="134"/>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6.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C2A0D23">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26.1电子交易平台发生故障而无法登录访问的； </w:t>
      </w:r>
    </w:p>
    <w:p w14:paraId="50308502">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26.2电子交易平台应用或数据库出现错误，不能进行正常操作的；</w:t>
      </w:r>
    </w:p>
    <w:p w14:paraId="3502EB31">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26.3电子交易平台发现严重安全漏洞，有潜在泄密危险的；</w:t>
      </w:r>
    </w:p>
    <w:p w14:paraId="5D02D66A">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26.4病毒发作导致不能进行正常操作的； </w:t>
      </w:r>
    </w:p>
    <w:p w14:paraId="2164CA51">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26.5其他无法保证电子交易的公平、公正和安全的情况。</w:t>
      </w:r>
    </w:p>
    <w:p w14:paraId="2FD3972A">
      <w:pPr>
        <w:pStyle w:val="134"/>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27.出现以上情形，不影响采购公平、公正性的，采购组织机构可以待上述情形消除后继续组织电子交易活动，也可以决定某些环节以纸质形式进行；影响或可能影响采购公平、公正性的，应当重新采购。</w:t>
      </w:r>
    </w:p>
    <w:p w14:paraId="557F3F5E">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九、验收</w:t>
      </w:r>
    </w:p>
    <w:p w14:paraId="1DBF8E08">
      <w:pPr>
        <w:pStyle w:val="16"/>
        <w:spacing w:line="360" w:lineRule="auto"/>
        <w:ind w:firstLine="0" w:firstLineChars="0"/>
        <w:rPr>
          <w:rFonts w:cs="宋体"/>
          <w:b/>
          <w:color w:val="auto"/>
          <w:highlight w:val="none"/>
        </w:rPr>
      </w:pPr>
      <w:r>
        <w:rPr>
          <w:rFonts w:hint="eastAsia" w:cs="宋体"/>
          <w:b/>
          <w:color w:val="auto"/>
          <w:highlight w:val="none"/>
        </w:rPr>
        <w:t>28.验收</w:t>
      </w:r>
    </w:p>
    <w:p w14:paraId="25210ADE">
      <w:pPr>
        <w:tabs>
          <w:tab w:val="left" w:pos="0"/>
        </w:tabs>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28.1</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应当组织对</w:t>
      </w:r>
      <w:r>
        <w:rPr>
          <w:rFonts w:hint="eastAsia" w:ascii="宋体" w:hAnsi="宋体" w:cs="宋体"/>
          <w:color w:val="auto"/>
          <w:kern w:val="0"/>
          <w:sz w:val="24"/>
          <w:highlight w:val="none"/>
          <w:lang w:eastAsia="zh-CN"/>
        </w:rPr>
        <w:t>响应人</w:t>
      </w:r>
      <w:r>
        <w:rPr>
          <w:rFonts w:hint="eastAsia" w:ascii="宋体" w:hAnsi="宋体" w:cs="宋体"/>
          <w:color w:val="auto"/>
          <w:kern w:val="0"/>
          <w:sz w:val="24"/>
          <w:highlight w:val="none"/>
        </w:rPr>
        <w:t>履约的验收。验收采用</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及</w:t>
      </w:r>
      <w:r>
        <w:rPr>
          <w:rFonts w:hint="eastAsia" w:ascii="宋体" w:hAnsi="宋体" w:cs="宋体"/>
          <w:color w:val="auto"/>
          <w:kern w:val="0"/>
          <w:sz w:val="24"/>
          <w:highlight w:val="none"/>
          <w:lang w:eastAsia="zh-CN"/>
        </w:rPr>
        <w:t>响应人</w:t>
      </w:r>
      <w:r>
        <w:rPr>
          <w:rFonts w:hint="eastAsia" w:ascii="宋体" w:hAnsi="宋体" w:cs="宋体"/>
          <w:color w:val="auto"/>
          <w:kern w:val="0"/>
          <w:sz w:val="24"/>
          <w:highlight w:val="none"/>
        </w:rPr>
        <w:t>应在货物到货并将实施安装前，申请进行初验收。</w:t>
      </w:r>
    </w:p>
    <w:p w14:paraId="3F0B1B9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28.2</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组织对</w:t>
      </w:r>
      <w:r>
        <w:rPr>
          <w:rFonts w:hint="eastAsia" w:ascii="宋体" w:hAnsi="宋体" w:cs="宋体"/>
          <w:color w:val="auto"/>
          <w:kern w:val="0"/>
          <w:sz w:val="24"/>
          <w:highlight w:val="none"/>
          <w:lang w:eastAsia="zh-CN"/>
        </w:rPr>
        <w:t>响应人</w:t>
      </w:r>
      <w:r>
        <w:rPr>
          <w:rFonts w:hint="eastAsia" w:ascii="宋体" w:hAnsi="宋体" w:cs="宋体"/>
          <w:color w:val="auto"/>
          <w:kern w:val="0"/>
          <w:sz w:val="24"/>
          <w:highlight w:val="none"/>
        </w:rPr>
        <w:t>履约的验收。除28.1情形外，大型或者复杂的采购项目，应当邀请国家认可的质量检测机构参加验收工作。验收方成员应当在验收书上签字，并承担相应的法律责任。如果发现与合同中要求不符，</w:t>
      </w:r>
      <w:r>
        <w:rPr>
          <w:rFonts w:hint="eastAsia" w:ascii="宋体" w:hAnsi="宋体" w:cs="宋体"/>
          <w:color w:val="auto"/>
          <w:kern w:val="0"/>
          <w:sz w:val="24"/>
          <w:highlight w:val="none"/>
          <w:lang w:eastAsia="zh-CN"/>
        </w:rPr>
        <w:t>响应人</w:t>
      </w:r>
      <w:r>
        <w:rPr>
          <w:rFonts w:hint="eastAsia" w:ascii="宋体" w:hAnsi="宋体" w:cs="宋体"/>
          <w:color w:val="auto"/>
          <w:kern w:val="0"/>
          <w:sz w:val="24"/>
          <w:highlight w:val="none"/>
        </w:rPr>
        <w:t>须承担由此发生的一切损失和费用，并接受相应的处理。</w:t>
      </w:r>
    </w:p>
    <w:bookmarkEnd w:id="11"/>
    <w:bookmarkEnd w:id="12"/>
    <w:bookmarkEnd w:id="13"/>
    <w:p w14:paraId="173D80F5">
      <w:pPr>
        <w:spacing w:line="360" w:lineRule="auto"/>
        <w:jc w:val="center"/>
        <w:outlineLvl w:val="0"/>
        <w:rPr>
          <w:rFonts w:ascii="宋体" w:hAnsi="宋体" w:cs="宋体"/>
          <w:b/>
          <w:color w:val="auto"/>
          <w:sz w:val="36"/>
          <w:szCs w:val="36"/>
          <w:highlight w:val="none"/>
        </w:rPr>
        <w:sectPr>
          <w:headerReference r:id="rId3" w:type="default"/>
          <w:footerReference r:id="rId4" w:type="default"/>
          <w:pgSz w:w="11907" w:h="16840"/>
          <w:pgMar w:top="1440" w:right="1440" w:bottom="1440" w:left="1440" w:header="851" w:footer="851" w:gutter="0"/>
          <w:cols w:space="720" w:num="1"/>
        </w:sectPr>
      </w:pPr>
      <w:bookmarkStart w:id="14" w:name="第四部分"/>
    </w:p>
    <w:p w14:paraId="1E7B99CD">
      <w:pPr>
        <w:jc w:val="center"/>
        <w:outlineLvl w:val="0"/>
        <w:rPr>
          <w:rFonts w:ascii="宋体" w:hAnsi="宋体" w:cs="宋体"/>
          <w:b/>
          <w:color w:val="auto"/>
          <w:sz w:val="36"/>
          <w:szCs w:val="36"/>
          <w:highlight w:val="none"/>
        </w:rPr>
      </w:pPr>
    </w:p>
    <w:p w14:paraId="6456F341">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 xml:space="preserve">第三部分   </w:t>
      </w:r>
      <w:r>
        <w:rPr>
          <w:rFonts w:hint="eastAsia" w:ascii="宋体" w:hAnsi="宋体" w:cs="宋体"/>
          <w:b/>
          <w:color w:val="auto"/>
          <w:sz w:val="36"/>
          <w:szCs w:val="36"/>
          <w:highlight w:val="none"/>
          <w:lang w:eastAsia="zh-CN"/>
        </w:rPr>
        <w:t>交易需求</w:t>
      </w:r>
    </w:p>
    <w:p w14:paraId="73FD383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属于实质性要求条款的，请用符号“▲”标明，否则属于非实质性要求。</w:t>
      </w:r>
    </w:p>
    <w:p w14:paraId="285CEFF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“★”系产品采购项目中单一产品或核心产品。</w:t>
      </w:r>
    </w:p>
    <w:p w14:paraId="50890A1F">
      <w:pPr>
        <w:pStyle w:val="4"/>
        <w:adjustRightInd/>
        <w:spacing w:before="0" w:after="0" w:line="240" w:lineRule="auto"/>
        <w:ind w:left="0" w:firstLine="0"/>
        <w:jc w:val="center"/>
        <w:rPr>
          <w:rFonts w:ascii="宋体" w:hAnsi="宋体" w:cs="Arial"/>
          <w:b/>
          <w:bCs/>
          <w:snapToGrid w:val="0"/>
          <w:color w:val="auto"/>
          <w:kern w:val="0"/>
          <w:highlight w:val="none"/>
        </w:rPr>
      </w:pPr>
      <w:r>
        <w:rPr>
          <w:rFonts w:hint="eastAsia" w:ascii="宋体" w:hAnsi="宋体" w:cs="Arial"/>
          <w:b/>
          <w:bCs/>
          <w:snapToGrid w:val="0"/>
          <w:color w:val="auto"/>
          <w:kern w:val="0"/>
          <w:highlight w:val="none"/>
        </w:rPr>
        <w:t xml:space="preserve">  一、</w:t>
      </w:r>
      <w:r>
        <w:rPr>
          <w:rFonts w:hint="eastAsia" w:ascii="宋体" w:hAnsi="宋体" w:cs="Arial"/>
          <w:b/>
          <w:bCs/>
          <w:snapToGrid w:val="0"/>
          <w:color w:val="auto"/>
          <w:kern w:val="0"/>
          <w:highlight w:val="none"/>
          <w:lang w:val="en-US" w:eastAsia="zh-CN"/>
        </w:rPr>
        <w:t>交易</w:t>
      </w:r>
      <w:r>
        <w:rPr>
          <w:rFonts w:hint="eastAsia" w:ascii="宋体" w:hAnsi="宋体" w:cs="Arial"/>
          <w:b/>
          <w:bCs/>
          <w:snapToGrid w:val="0"/>
          <w:color w:val="auto"/>
          <w:kern w:val="0"/>
          <w:highlight w:val="none"/>
        </w:rPr>
        <w:t>一览表</w:t>
      </w:r>
    </w:p>
    <w:tbl>
      <w:tblPr>
        <w:tblStyle w:val="6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505"/>
        <w:gridCol w:w="1598"/>
        <w:gridCol w:w="945"/>
        <w:gridCol w:w="795"/>
        <w:gridCol w:w="1698"/>
        <w:gridCol w:w="1061"/>
      </w:tblGrid>
      <w:tr w14:paraId="3A40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638" w:type="dxa"/>
            <w:noWrap w:val="0"/>
            <w:vAlign w:val="center"/>
          </w:tcPr>
          <w:p w14:paraId="21F36D73">
            <w:pPr>
              <w:spacing w:line="36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标项</w:t>
            </w:r>
          </w:p>
        </w:tc>
        <w:tc>
          <w:tcPr>
            <w:tcW w:w="2505" w:type="dxa"/>
            <w:noWrap w:val="0"/>
            <w:vAlign w:val="center"/>
          </w:tcPr>
          <w:p w14:paraId="11031FD0">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名称</w:t>
            </w:r>
          </w:p>
        </w:tc>
        <w:tc>
          <w:tcPr>
            <w:tcW w:w="1598" w:type="dxa"/>
            <w:noWrap w:val="0"/>
            <w:vAlign w:val="center"/>
          </w:tcPr>
          <w:p w14:paraId="3F8EB8A0">
            <w:pPr>
              <w:spacing w:line="360" w:lineRule="auto"/>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预算金额（元）</w:t>
            </w:r>
          </w:p>
        </w:tc>
        <w:tc>
          <w:tcPr>
            <w:tcW w:w="945" w:type="dxa"/>
            <w:noWrap w:val="0"/>
            <w:vAlign w:val="center"/>
          </w:tcPr>
          <w:p w14:paraId="697D4E24">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t>单位</w:t>
            </w:r>
          </w:p>
        </w:tc>
        <w:tc>
          <w:tcPr>
            <w:tcW w:w="795" w:type="dxa"/>
            <w:noWrap w:val="0"/>
            <w:vAlign w:val="center"/>
          </w:tcPr>
          <w:p w14:paraId="4E3948DF">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t>数量</w:t>
            </w:r>
          </w:p>
        </w:tc>
        <w:tc>
          <w:tcPr>
            <w:tcW w:w="1698" w:type="dxa"/>
            <w:noWrap w:val="0"/>
            <w:vAlign w:val="center"/>
          </w:tcPr>
          <w:p w14:paraId="674BC6E8">
            <w:pPr>
              <w:spacing w:line="360" w:lineRule="auto"/>
              <w:jc w:val="center"/>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最高限价</w:t>
            </w:r>
          </w:p>
          <w:p w14:paraId="325B1154">
            <w:pPr>
              <w:spacing w:line="360" w:lineRule="auto"/>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（元）</w:t>
            </w:r>
          </w:p>
        </w:tc>
        <w:tc>
          <w:tcPr>
            <w:tcW w:w="1061" w:type="dxa"/>
            <w:noWrap w:val="0"/>
            <w:vAlign w:val="center"/>
          </w:tcPr>
          <w:p w14:paraId="2A153F17">
            <w:pPr>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备注</w:t>
            </w:r>
          </w:p>
        </w:tc>
      </w:tr>
      <w:tr w14:paraId="1103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638" w:type="dxa"/>
            <w:noWrap w:val="0"/>
            <w:vAlign w:val="center"/>
          </w:tcPr>
          <w:p w14:paraId="761FFF0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1</w:t>
            </w:r>
          </w:p>
        </w:tc>
        <w:tc>
          <w:tcPr>
            <w:tcW w:w="2505" w:type="dxa"/>
            <w:noWrap w:val="0"/>
            <w:vAlign w:val="center"/>
          </w:tcPr>
          <w:p w14:paraId="3E71057F">
            <w:pPr>
              <w:spacing w:line="360" w:lineRule="auto"/>
              <w:jc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eastAsia="zh-CN"/>
              </w:rPr>
              <w:t>瓜沥镇山三村环境卫生保洁采购项目</w:t>
            </w:r>
          </w:p>
        </w:tc>
        <w:tc>
          <w:tcPr>
            <w:tcW w:w="1598" w:type="dxa"/>
            <w:noWrap w:val="0"/>
            <w:vAlign w:val="center"/>
          </w:tcPr>
          <w:p w14:paraId="4AE934FF">
            <w:pPr>
              <w:spacing w:line="360" w:lineRule="auto"/>
              <w:jc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250000.00</w:t>
            </w:r>
          </w:p>
        </w:tc>
        <w:tc>
          <w:tcPr>
            <w:tcW w:w="945" w:type="dxa"/>
            <w:noWrap w:val="0"/>
            <w:vAlign w:val="center"/>
          </w:tcPr>
          <w:p w14:paraId="232934EE">
            <w:pPr>
              <w:spacing w:line="36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年</w:t>
            </w:r>
          </w:p>
        </w:tc>
        <w:tc>
          <w:tcPr>
            <w:tcW w:w="795" w:type="dxa"/>
            <w:noWrap w:val="0"/>
            <w:vAlign w:val="center"/>
          </w:tcPr>
          <w:p w14:paraId="460D24AE">
            <w:pPr>
              <w:spacing w:line="360" w:lineRule="auto"/>
              <w:jc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w:t>
            </w:r>
          </w:p>
        </w:tc>
        <w:tc>
          <w:tcPr>
            <w:tcW w:w="1698" w:type="dxa"/>
            <w:noWrap w:val="0"/>
            <w:vAlign w:val="center"/>
          </w:tcPr>
          <w:p w14:paraId="5F1CC592">
            <w:pPr>
              <w:spacing w:line="36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250000.00</w:t>
            </w:r>
          </w:p>
        </w:tc>
        <w:tc>
          <w:tcPr>
            <w:tcW w:w="1061" w:type="dxa"/>
            <w:noWrap w:val="0"/>
            <w:vAlign w:val="top"/>
          </w:tcPr>
          <w:p w14:paraId="77358717">
            <w:pPr>
              <w:spacing w:line="360" w:lineRule="auto"/>
              <w:jc w:val="center"/>
              <w:rPr>
                <w:rFonts w:hint="eastAsia" w:ascii="宋体" w:hAnsi="宋体" w:eastAsia="宋体" w:cs="宋体"/>
                <w:b w:val="0"/>
                <w:bCs/>
                <w:color w:val="auto"/>
                <w:sz w:val="24"/>
                <w:szCs w:val="24"/>
                <w:highlight w:val="none"/>
                <w:lang w:val="en-US" w:eastAsia="zh-CN"/>
              </w:rPr>
            </w:pPr>
          </w:p>
        </w:tc>
      </w:tr>
    </w:tbl>
    <w:p w14:paraId="2946F97D">
      <w:pPr>
        <w:jc w:val="center"/>
        <w:rPr>
          <w:rFonts w:ascii="宋体" w:hAnsi="宋体" w:cs="Arial"/>
          <w:snapToGrid w:val="0"/>
          <w:color w:val="auto"/>
          <w:kern w:val="0"/>
          <w:sz w:val="32"/>
          <w:szCs w:val="32"/>
          <w:highlight w:val="none"/>
        </w:rPr>
      </w:pPr>
    </w:p>
    <w:p w14:paraId="45615ABC">
      <w:pPr>
        <w:spacing w:line="360" w:lineRule="auto"/>
        <w:jc w:val="center"/>
        <w:rPr>
          <w:rFonts w:ascii="宋体" w:hAnsi="宋体" w:cs="Arial"/>
          <w:b/>
          <w:bCs/>
          <w:snapToGrid w:val="0"/>
          <w:color w:val="auto"/>
          <w:kern w:val="0"/>
          <w:sz w:val="32"/>
          <w:szCs w:val="32"/>
          <w:highlight w:val="none"/>
        </w:rPr>
      </w:pPr>
      <w:r>
        <w:rPr>
          <w:rFonts w:hint="eastAsia" w:ascii="宋体" w:hAnsi="宋体" w:cs="Arial"/>
          <w:b/>
          <w:bCs/>
          <w:snapToGrid w:val="0"/>
          <w:color w:val="auto"/>
          <w:kern w:val="0"/>
          <w:sz w:val="32"/>
          <w:szCs w:val="32"/>
          <w:highlight w:val="none"/>
        </w:rPr>
        <w:t>二、</w:t>
      </w:r>
      <w:r>
        <w:rPr>
          <w:rFonts w:hint="eastAsia" w:ascii="宋体" w:hAnsi="宋体" w:cs="Arial"/>
          <w:b/>
          <w:bCs/>
          <w:snapToGrid w:val="0"/>
          <w:color w:val="auto"/>
          <w:kern w:val="0"/>
          <w:sz w:val="32"/>
          <w:szCs w:val="32"/>
          <w:highlight w:val="none"/>
          <w:lang w:val="en-US" w:eastAsia="zh-CN"/>
        </w:rPr>
        <w:t>交易</w:t>
      </w:r>
      <w:r>
        <w:rPr>
          <w:rFonts w:hint="eastAsia" w:ascii="宋体" w:hAnsi="宋体" w:cs="Arial"/>
          <w:b/>
          <w:bCs/>
          <w:snapToGrid w:val="0"/>
          <w:color w:val="auto"/>
          <w:kern w:val="0"/>
          <w:sz w:val="32"/>
          <w:szCs w:val="32"/>
          <w:highlight w:val="none"/>
        </w:rPr>
        <w:t>需求</w:t>
      </w:r>
    </w:p>
    <w:p w14:paraId="506A88E2">
      <w:pPr>
        <w:spacing w:line="360" w:lineRule="auto"/>
        <w:contextualSpacing/>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、技术需求</w:t>
      </w:r>
    </w:p>
    <w:p w14:paraId="24F6E36F">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瓜沥镇</w:t>
      </w:r>
      <w:r>
        <w:rPr>
          <w:rFonts w:hint="eastAsia" w:ascii="宋体" w:hAnsi="宋体"/>
          <w:color w:val="auto"/>
          <w:sz w:val="24"/>
          <w:highlight w:val="none"/>
          <w:lang w:val="en-US" w:eastAsia="zh-CN"/>
        </w:rPr>
        <w:t>山三</w:t>
      </w:r>
      <w:r>
        <w:rPr>
          <w:rFonts w:hint="eastAsia" w:ascii="宋体" w:hAnsi="宋体"/>
          <w:color w:val="auto"/>
          <w:sz w:val="24"/>
          <w:highlight w:val="none"/>
        </w:rPr>
        <w:t>村环境卫生保洁采购项目</w:t>
      </w:r>
      <w:r>
        <w:rPr>
          <w:rFonts w:ascii="宋体" w:hAnsi="宋体"/>
          <w:color w:val="auto"/>
          <w:sz w:val="24"/>
          <w:highlight w:val="none"/>
        </w:rPr>
        <w:t>包含保洁内容、保洁要求、监督考核以及其他等内容</w:t>
      </w:r>
      <w:r>
        <w:rPr>
          <w:rFonts w:hint="eastAsia" w:ascii="宋体" w:hAnsi="宋体"/>
          <w:color w:val="auto"/>
          <w:sz w:val="24"/>
          <w:highlight w:val="none"/>
        </w:rPr>
        <w:t>：</w:t>
      </w:r>
    </w:p>
    <w:p w14:paraId="78DBC4C3">
      <w:pPr>
        <w:spacing w:line="360" w:lineRule="auto"/>
        <w:contextualSpacing/>
        <w:rPr>
          <w:rFonts w:hint="eastAsia" w:ascii="宋体" w:hAnsi="宋体"/>
          <w:color w:val="auto"/>
          <w:sz w:val="24"/>
          <w:highlight w:val="none"/>
        </w:rPr>
      </w:pPr>
      <w:r>
        <w:rPr>
          <w:rFonts w:hint="eastAsia" w:ascii="宋体" w:hAnsi="宋体"/>
          <w:color w:val="auto"/>
          <w:sz w:val="24"/>
          <w:highlight w:val="none"/>
        </w:rPr>
        <w:t>一、</w:t>
      </w:r>
      <w:r>
        <w:rPr>
          <w:rFonts w:ascii="宋体" w:hAnsi="宋体"/>
          <w:color w:val="auto"/>
          <w:sz w:val="24"/>
          <w:highlight w:val="none"/>
        </w:rPr>
        <w:t>保洁内容</w:t>
      </w:r>
    </w:p>
    <w:p w14:paraId="2504CE2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山三</w:t>
      </w:r>
      <w:r>
        <w:rPr>
          <w:rFonts w:hint="eastAsia" w:ascii="宋体" w:hAnsi="宋体"/>
          <w:color w:val="auto"/>
          <w:sz w:val="24"/>
          <w:highlight w:val="none"/>
        </w:rPr>
        <w:t>村辖区内所有道路、桥面、游步道、小巷小弄、门前屋后、池塘、沟渠等公共场所进行卫生保洁。</w:t>
      </w:r>
    </w:p>
    <w:p w14:paraId="483410E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2、所有道路、桥面、小巷小弄、河道、沟渠及池塘周边杂草清除，绿化带内及周边垃圾处理及辖区内堆积物清理。</w:t>
      </w:r>
    </w:p>
    <w:p w14:paraId="7BA40A2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3、辖区内所有公园、健身场所、停车场、公厕、</w:t>
      </w:r>
      <w:r>
        <w:rPr>
          <w:rFonts w:hint="eastAsia" w:ascii="宋体" w:hAnsi="宋体"/>
          <w:color w:val="auto"/>
          <w:sz w:val="24"/>
          <w:highlight w:val="none"/>
          <w:lang w:eastAsia="zh-CN"/>
        </w:rPr>
        <w:t>文体中心</w:t>
      </w:r>
      <w:r>
        <w:rPr>
          <w:rFonts w:hint="eastAsia" w:ascii="宋体" w:hAnsi="宋体"/>
          <w:color w:val="auto"/>
          <w:sz w:val="24"/>
          <w:highlight w:val="none"/>
        </w:rPr>
        <w:t>等公共场所卫生保洁，公共场所周边杂草、垃圾、堆积物清理。</w:t>
      </w:r>
    </w:p>
    <w:p w14:paraId="5BCB454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4、辖区内农户及经营户垃圾的专业分类收集、清运、处理；垃圾桶清洗以及村辖区内地面垃圾清运并按标准垃圾分类。</w:t>
      </w:r>
    </w:p>
    <w:p w14:paraId="6A122CF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5、辖区内绿化（公园、公共场所、河道及道路两边绿化带、房前屋后绿化、花箱）进行清理、养护、修剪。</w:t>
      </w:r>
    </w:p>
    <w:p w14:paraId="17FBC25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6、辖区内所有位置上张贴的牛皮癣、喷漆等清理。</w:t>
      </w:r>
    </w:p>
    <w:p w14:paraId="6120E3E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7、辖区内所有堆积物，建筑垃圾、大件垃圾、废弃苗木树枝、秸秆垃圾、装潢垃圾、工业垃圾（企事业单位除外）的垃圾分类清理及外运。</w:t>
      </w:r>
    </w:p>
    <w:p w14:paraId="1077F43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8、辖区内河道、沟渠的清理。</w:t>
      </w:r>
    </w:p>
    <w:p w14:paraId="2BC0122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9、保洁公司须采用垃圾直运的方式将生活垃圾和易腐垃圾收集后运至指定的垃圾中转站。</w:t>
      </w:r>
      <w:r>
        <w:rPr>
          <w:rFonts w:hint="eastAsia" w:ascii="宋体" w:hAnsi="宋体"/>
          <w:color w:val="auto"/>
          <w:sz w:val="24"/>
          <w:highlight w:val="none"/>
          <w:lang w:eastAsia="zh-CN"/>
        </w:rPr>
        <w:t>山三</w:t>
      </w:r>
      <w:r>
        <w:rPr>
          <w:rFonts w:hint="eastAsia" w:ascii="宋体" w:hAnsi="宋体"/>
          <w:color w:val="auto"/>
          <w:sz w:val="24"/>
          <w:highlight w:val="none"/>
        </w:rPr>
        <w:t>村只提供其他垃圾桶和易腐垃圾桶集中放置点，不提供除此以外的垃圾堆放场所。</w:t>
      </w:r>
    </w:p>
    <w:p w14:paraId="7463A96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10、上级部门要求整改的事项。关于垃圾直运、垃圾分类按照瓜沥镇有关要求实施。</w:t>
      </w:r>
    </w:p>
    <w:p w14:paraId="5383E59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11、按要求完成上级部门对</w:t>
      </w:r>
      <w:r>
        <w:rPr>
          <w:rFonts w:hint="eastAsia" w:ascii="宋体" w:hAnsi="宋体"/>
          <w:color w:val="auto"/>
          <w:sz w:val="24"/>
          <w:highlight w:val="none"/>
          <w:lang w:eastAsia="zh-CN"/>
        </w:rPr>
        <w:t>发包人</w:t>
      </w:r>
      <w:r>
        <w:rPr>
          <w:rFonts w:hint="eastAsia" w:ascii="宋体" w:hAnsi="宋体"/>
          <w:color w:val="auto"/>
          <w:sz w:val="24"/>
          <w:highlight w:val="none"/>
        </w:rPr>
        <w:t>的各类垃圾收集量考核。</w:t>
      </w:r>
    </w:p>
    <w:p w14:paraId="331DC0FD">
      <w:pPr>
        <w:spacing w:line="360" w:lineRule="auto"/>
        <w:ind w:firstLine="480" w:firstLineChars="200"/>
        <w:contextualSpacing/>
        <w:rPr>
          <w:rFonts w:hint="eastAsia" w:ascii="宋体" w:hAnsi="宋体"/>
          <w:color w:val="auto"/>
          <w:sz w:val="24"/>
          <w:highlight w:val="none"/>
        </w:rPr>
      </w:pPr>
      <w:r>
        <w:rPr>
          <w:rFonts w:ascii="宋体" w:hAnsi="宋体"/>
          <w:color w:val="auto"/>
          <w:sz w:val="24"/>
          <w:highlight w:val="none"/>
        </w:rPr>
        <w:t>二、保洁要求</w:t>
      </w:r>
    </w:p>
    <w:p w14:paraId="1366B34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1、保洁公司安排在</w:t>
      </w:r>
      <w:r>
        <w:rPr>
          <w:rFonts w:hint="eastAsia" w:ascii="宋体" w:hAnsi="宋体"/>
          <w:color w:val="auto"/>
          <w:sz w:val="24"/>
          <w:highlight w:val="none"/>
          <w:lang w:eastAsia="zh-CN"/>
        </w:rPr>
        <w:t>山三</w:t>
      </w:r>
      <w:r>
        <w:rPr>
          <w:rFonts w:hint="eastAsia" w:ascii="宋体" w:hAnsi="宋体"/>
          <w:color w:val="auto"/>
          <w:sz w:val="24"/>
          <w:highlight w:val="none"/>
        </w:rPr>
        <w:t>村保洁及管理人员不得少于</w:t>
      </w:r>
      <w:r>
        <w:rPr>
          <w:rFonts w:hint="eastAsia" w:ascii="宋体" w:hAnsi="宋体"/>
          <w:color w:val="auto"/>
          <w:sz w:val="24"/>
          <w:highlight w:val="none"/>
          <w:lang w:val="en-US" w:eastAsia="zh-CN"/>
        </w:rPr>
        <w:t>6</w:t>
      </w:r>
      <w:r>
        <w:rPr>
          <w:rFonts w:hint="eastAsia" w:ascii="宋体" w:hAnsi="宋体"/>
          <w:color w:val="auto"/>
          <w:sz w:val="24"/>
          <w:highlight w:val="none"/>
        </w:rPr>
        <w:t>人（其中管理人员1人），保洁人员着装统一、整洁。倾倒农户及企业商铺垃圾桶人员不得少于</w:t>
      </w:r>
      <w:r>
        <w:rPr>
          <w:rFonts w:hint="eastAsia" w:ascii="宋体" w:hAnsi="宋体"/>
          <w:color w:val="auto"/>
          <w:sz w:val="24"/>
          <w:highlight w:val="none"/>
          <w:lang w:val="en-US" w:eastAsia="zh-CN"/>
        </w:rPr>
        <w:t>2</w:t>
      </w:r>
      <w:r>
        <w:rPr>
          <w:rFonts w:hint="eastAsia" w:ascii="宋体" w:hAnsi="宋体"/>
          <w:color w:val="auto"/>
          <w:sz w:val="24"/>
          <w:highlight w:val="none"/>
        </w:rPr>
        <w:t>人，路面清扫人员不得少于</w:t>
      </w:r>
      <w:r>
        <w:rPr>
          <w:rFonts w:hint="eastAsia" w:ascii="宋体" w:hAnsi="宋体"/>
          <w:color w:val="auto"/>
          <w:sz w:val="24"/>
          <w:highlight w:val="none"/>
          <w:lang w:val="en-US" w:eastAsia="zh-CN"/>
        </w:rPr>
        <w:t>2</w:t>
      </w:r>
      <w:r>
        <w:rPr>
          <w:rFonts w:hint="eastAsia" w:ascii="宋体" w:hAnsi="宋体"/>
          <w:color w:val="auto"/>
          <w:sz w:val="24"/>
          <w:highlight w:val="none"/>
        </w:rPr>
        <w:t>人。保洁所需所有车辆、设备由保洁单位自备，清运车辆必须安排充分，养护材料由保洁单位自购。</w:t>
      </w:r>
    </w:p>
    <w:p w14:paraId="5AC72AB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保洁公司安排专人负责管理保洁人员，垃圾桶倾倒人员务必分类倾倒。提供地面保洁人员清扫区域网格图，保证人员的到岗率及上岗时间，保洁时间每日不少于8小时，保洁时间为上午6：30-10：30，下午13：00-17：00，如无法按时完成保洁量的则上班时间顺延。确保发现问题立即解决。保洁人员接受</w:t>
      </w:r>
      <w:r>
        <w:rPr>
          <w:rFonts w:hint="eastAsia" w:ascii="宋体" w:hAnsi="宋体"/>
          <w:color w:val="auto"/>
          <w:sz w:val="24"/>
          <w:highlight w:val="none"/>
          <w:lang w:eastAsia="zh-CN"/>
        </w:rPr>
        <w:t>发包人</w:t>
      </w:r>
      <w:r>
        <w:rPr>
          <w:rFonts w:hint="eastAsia" w:ascii="宋体" w:hAnsi="宋体"/>
          <w:color w:val="auto"/>
          <w:sz w:val="24"/>
          <w:highlight w:val="none"/>
        </w:rPr>
        <w:t>不定期抽查监督，保洁时间脱岗一次扣20元。</w:t>
      </w:r>
    </w:p>
    <w:p w14:paraId="3E1DB8A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各类垃圾堆放点日产日清，确保辖区内路面整洁无垃圾，道路、小巷小弄、门前屋后无杂草、杂物、垃圾及堆积物，绿化带内外无垃圾及堆放物等。垃圾装运必须做好防震、防风处理，不得沿路抛洒。辖区内公厕一天至少保洁两次，确保厕所整洁无污物无异味。</w:t>
      </w:r>
    </w:p>
    <w:p w14:paraId="001B788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根据上级的要求做好垃圾分类及宣传工作，监督、指导村民做好垃圾分类，并为招标人提供垃圾分类情况相关数据。采用垃圾桶装直运的方式收集、清运垃圾，日产日清。在收集垃圾桶后，桶外不得有散落垃圾。垃圾中转站及周边每天必须保持干净整洁，垃圾桶每周清洗两次，保持垃圾桶内外清洁。</w:t>
      </w:r>
    </w:p>
    <w:p w14:paraId="2A5F487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5、各类牛皮癣要做到发现及时清理，滞留时间不可超过两天。</w:t>
      </w:r>
    </w:p>
    <w:p w14:paraId="77E4D83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6、辖区内偷倒的各类建筑垃圾、工业垃圾、装潢垃圾由保洁公司自行外运处理，</w:t>
      </w:r>
      <w:r>
        <w:rPr>
          <w:rFonts w:hint="eastAsia" w:ascii="宋体" w:hAnsi="宋体"/>
          <w:color w:val="auto"/>
          <w:sz w:val="24"/>
          <w:highlight w:val="none"/>
          <w:lang w:eastAsia="zh-CN"/>
        </w:rPr>
        <w:t>山三村</w:t>
      </w:r>
      <w:r>
        <w:rPr>
          <w:rFonts w:hint="eastAsia" w:ascii="宋体" w:hAnsi="宋体"/>
          <w:color w:val="auto"/>
          <w:sz w:val="24"/>
          <w:highlight w:val="none"/>
        </w:rPr>
        <w:t>及瓜沥镇不提供堆放场所。</w:t>
      </w:r>
    </w:p>
    <w:p w14:paraId="27105529">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hint="eastAsia" w:ascii="宋体" w:hAnsi="宋体" w:cs="Arial"/>
          <w:color w:val="auto"/>
          <w:kern w:val="0"/>
          <w:sz w:val="24"/>
          <w:highlight w:val="none"/>
          <w:lang w:eastAsia="zh-CN"/>
        </w:rPr>
        <w:t>发包人</w:t>
      </w:r>
      <w:r>
        <w:rPr>
          <w:rFonts w:hint="eastAsia" w:ascii="宋体" w:hAnsi="宋体"/>
          <w:color w:val="auto"/>
          <w:sz w:val="24"/>
          <w:highlight w:val="none"/>
        </w:rPr>
        <w:t>组织突击工作任务，保洁公司应无条件落实人员设备执行。</w:t>
      </w:r>
    </w:p>
    <w:p w14:paraId="61A942A0">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、保洁公司在未经得到</w:t>
      </w:r>
      <w:r>
        <w:rPr>
          <w:rFonts w:hint="eastAsia" w:ascii="宋体" w:hAnsi="宋体"/>
          <w:color w:val="auto"/>
          <w:sz w:val="24"/>
          <w:highlight w:val="none"/>
          <w:lang w:eastAsia="zh-CN"/>
        </w:rPr>
        <w:t>山三</w:t>
      </w:r>
      <w:r>
        <w:rPr>
          <w:rFonts w:hint="eastAsia" w:ascii="宋体" w:hAnsi="宋体"/>
          <w:color w:val="auto"/>
          <w:sz w:val="24"/>
          <w:highlight w:val="none"/>
        </w:rPr>
        <w:t>村委会同意下，不得以任何方式收取辖区内居民和经营户任何费用。</w:t>
      </w:r>
    </w:p>
    <w:p w14:paraId="7561F732">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、对上级卫生抄告单 ，保洁公司必须按上级要求，在规定时间内清理完成。</w:t>
      </w:r>
    </w:p>
    <w:p w14:paraId="10E074D4">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、保洁公司不得将保洁工作转包给其他单位和个人，否则，</w:t>
      </w:r>
      <w:r>
        <w:rPr>
          <w:rFonts w:hint="eastAsia" w:ascii="宋体" w:hAnsi="宋体" w:cs="Arial"/>
          <w:color w:val="auto"/>
          <w:kern w:val="0"/>
          <w:sz w:val="24"/>
          <w:highlight w:val="none"/>
          <w:lang w:eastAsia="zh-CN"/>
        </w:rPr>
        <w:t>发包人</w:t>
      </w:r>
      <w:r>
        <w:rPr>
          <w:rFonts w:hint="eastAsia" w:ascii="宋体" w:hAnsi="宋体"/>
          <w:color w:val="auto"/>
          <w:sz w:val="24"/>
          <w:highlight w:val="none"/>
        </w:rPr>
        <w:t>有立即终止合同的权利，保洁公司如未完成合同规定要求，经招标人警告三次以上不整改到位的，</w:t>
      </w:r>
      <w:r>
        <w:rPr>
          <w:rFonts w:hint="eastAsia" w:ascii="宋体" w:hAnsi="宋体" w:cs="Arial"/>
          <w:color w:val="auto"/>
          <w:kern w:val="0"/>
          <w:sz w:val="24"/>
          <w:highlight w:val="none"/>
          <w:lang w:eastAsia="zh-CN"/>
        </w:rPr>
        <w:t>发包人</w:t>
      </w:r>
      <w:r>
        <w:rPr>
          <w:rFonts w:hint="eastAsia" w:ascii="宋体" w:hAnsi="宋体"/>
          <w:color w:val="auto"/>
          <w:sz w:val="24"/>
          <w:highlight w:val="none"/>
        </w:rPr>
        <w:t>有权单方解除合同。如被单方解除合同的，</w:t>
      </w:r>
      <w:r>
        <w:rPr>
          <w:rFonts w:hint="eastAsia" w:ascii="宋体" w:hAnsi="宋体" w:cs="Arial"/>
          <w:color w:val="auto"/>
          <w:kern w:val="0"/>
          <w:sz w:val="24"/>
          <w:highlight w:val="none"/>
          <w:lang w:eastAsia="zh-CN"/>
        </w:rPr>
        <w:t>发包人</w:t>
      </w:r>
      <w:r>
        <w:rPr>
          <w:rFonts w:hint="eastAsia" w:ascii="宋体" w:hAnsi="宋体"/>
          <w:color w:val="auto"/>
          <w:sz w:val="24"/>
          <w:highlight w:val="none"/>
        </w:rPr>
        <w:t>有权没收保洁公司的履约保证金。</w:t>
      </w:r>
    </w:p>
    <w:p w14:paraId="27E20D54">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11</w:t>
      </w:r>
      <w:r>
        <w:rPr>
          <w:rFonts w:hint="eastAsia" w:ascii="宋体" w:hAnsi="宋体"/>
          <w:color w:val="auto"/>
          <w:sz w:val="24"/>
          <w:highlight w:val="none"/>
        </w:rPr>
        <w:t>、辖区内偷倒垃圾的，由保洁公司管理、处罚，偷倒的垃圾清理由保洁公司负责。</w:t>
      </w:r>
    </w:p>
    <w:p w14:paraId="5E91A759">
      <w:pPr>
        <w:spacing w:line="360" w:lineRule="auto"/>
        <w:rPr>
          <w:rFonts w:hint="eastAsia" w:ascii="宋体" w:hAnsi="宋体"/>
          <w:color w:val="auto"/>
          <w:sz w:val="24"/>
          <w:highlight w:val="none"/>
        </w:rPr>
      </w:pPr>
      <w:r>
        <w:rPr>
          <w:rFonts w:ascii="宋体" w:hAnsi="宋体"/>
          <w:color w:val="auto"/>
          <w:sz w:val="24"/>
          <w:highlight w:val="none"/>
        </w:rPr>
        <w:t>三、安全责任</w:t>
      </w:r>
    </w:p>
    <w:p w14:paraId="6C47AB5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保洁公司必须定期对保洁人员进行上岗培训工作和安全防范知识教育，并购买相应的保费，如发生所有的安全事故，则由保洁公司负全部责任，自行解决处理与</w:t>
      </w:r>
      <w:r>
        <w:rPr>
          <w:rFonts w:hint="eastAsia" w:ascii="宋体" w:hAnsi="宋体"/>
          <w:color w:val="auto"/>
          <w:sz w:val="24"/>
          <w:highlight w:val="none"/>
          <w:lang w:eastAsia="zh-CN"/>
        </w:rPr>
        <w:t>山三</w:t>
      </w:r>
      <w:r>
        <w:rPr>
          <w:rFonts w:hint="eastAsia" w:ascii="宋体" w:hAnsi="宋体"/>
          <w:color w:val="auto"/>
          <w:sz w:val="24"/>
          <w:highlight w:val="none"/>
        </w:rPr>
        <w:t>村无涉。</w:t>
      </w:r>
    </w:p>
    <w:p w14:paraId="698D78D4">
      <w:pPr>
        <w:spacing w:line="360" w:lineRule="auto"/>
        <w:rPr>
          <w:rFonts w:hint="eastAsia" w:ascii="宋体" w:hAnsi="宋体"/>
          <w:color w:val="auto"/>
          <w:sz w:val="24"/>
          <w:highlight w:val="none"/>
        </w:rPr>
      </w:pPr>
      <w:r>
        <w:rPr>
          <w:rFonts w:ascii="宋体" w:hAnsi="宋体"/>
          <w:color w:val="auto"/>
          <w:sz w:val="24"/>
          <w:highlight w:val="none"/>
        </w:rPr>
        <w:t>四、考核与奖励办法</w:t>
      </w:r>
    </w:p>
    <w:p w14:paraId="48D0933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1、保洁公司必须接受招标人指定人员的管理，发现的问题要第一时间整改，如整改不及时的，</w:t>
      </w:r>
      <w:r>
        <w:rPr>
          <w:rFonts w:hint="eastAsia" w:ascii="宋体" w:hAnsi="宋体"/>
          <w:color w:val="auto"/>
          <w:sz w:val="24"/>
          <w:highlight w:val="none"/>
          <w:lang w:eastAsia="zh-CN"/>
        </w:rPr>
        <w:t>发包人</w:t>
      </w:r>
      <w:r>
        <w:rPr>
          <w:rFonts w:hint="eastAsia" w:ascii="宋体" w:hAnsi="宋体"/>
          <w:color w:val="auto"/>
          <w:sz w:val="24"/>
          <w:highlight w:val="none"/>
        </w:rPr>
        <w:t>可以根据情况安排第三方清理，费用在保洁公司保洁费中扣除。</w:t>
      </w:r>
    </w:p>
    <w:p w14:paraId="5B31DF7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2、保洁公司每季度确保做到瓜沥镇最清洁城乡办对</w:t>
      </w:r>
      <w:r>
        <w:rPr>
          <w:rFonts w:hint="eastAsia" w:ascii="宋体" w:hAnsi="宋体" w:cs="Arial"/>
          <w:color w:val="auto"/>
          <w:kern w:val="0"/>
          <w:sz w:val="24"/>
          <w:highlight w:val="none"/>
          <w:lang w:eastAsia="zh-CN"/>
        </w:rPr>
        <w:t>发包人</w:t>
      </w:r>
      <w:r>
        <w:rPr>
          <w:rFonts w:hint="eastAsia" w:ascii="宋体" w:hAnsi="宋体"/>
          <w:color w:val="auto"/>
          <w:sz w:val="24"/>
          <w:highlight w:val="none"/>
        </w:rPr>
        <w:t>卫生考核。排名在</w:t>
      </w:r>
      <w:r>
        <w:rPr>
          <w:rFonts w:hint="eastAsia" w:ascii="宋体" w:hAnsi="宋体"/>
          <w:color w:val="auto"/>
          <w:sz w:val="24"/>
          <w:highlight w:val="none"/>
          <w:lang w:eastAsia="zh-CN"/>
        </w:rPr>
        <w:t>党山</w:t>
      </w:r>
      <w:r>
        <w:rPr>
          <w:rFonts w:hint="eastAsia" w:ascii="宋体" w:hAnsi="宋体"/>
          <w:color w:val="auto"/>
          <w:sz w:val="24"/>
          <w:highlight w:val="none"/>
        </w:rPr>
        <w:t>片区以第</w:t>
      </w:r>
      <w:r>
        <w:rPr>
          <w:rFonts w:hint="eastAsia" w:ascii="宋体" w:hAnsi="宋体"/>
          <w:color w:val="auto"/>
          <w:sz w:val="24"/>
          <w:highlight w:val="none"/>
          <w:lang w:val="en-US" w:eastAsia="zh-CN"/>
        </w:rPr>
        <w:t>8</w:t>
      </w:r>
      <w:r>
        <w:rPr>
          <w:rFonts w:hint="eastAsia" w:ascii="宋体" w:hAnsi="宋体"/>
          <w:color w:val="auto"/>
          <w:sz w:val="24"/>
          <w:highlight w:val="none"/>
        </w:rPr>
        <w:t>位为基准，上升一位奖励1000元，如第</w:t>
      </w:r>
      <w:r>
        <w:rPr>
          <w:rFonts w:hint="eastAsia" w:ascii="宋体" w:hAnsi="宋体"/>
          <w:color w:val="auto"/>
          <w:sz w:val="24"/>
          <w:highlight w:val="none"/>
          <w:lang w:val="en-US" w:eastAsia="zh-CN"/>
        </w:rPr>
        <w:t>7</w:t>
      </w:r>
      <w:r>
        <w:rPr>
          <w:rFonts w:hint="eastAsia" w:ascii="宋体" w:hAnsi="宋体"/>
          <w:color w:val="auto"/>
          <w:sz w:val="24"/>
          <w:highlight w:val="none"/>
        </w:rPr>
        <w:t>位奖励1000元，第</w:t>
      </w:r>
      <w:r>
        <w:rPr>
          <w:rFonts w:hint="eastAsia" w:ascii="宋体" w:hAnsi="宋体"/>
          <w:color w:val="auto"/>
          <w:sz w:val="24"/>
          <w:highlight w:val="none"/>
          <w:lang w:val="en-US" w:eastAsia="zh-CN"/>
        </w:rPr>
        <w:t>6</w:t>
      </w:r>
      <w:r>
        <w:rPr>
          <w:rFonts w:hint="eastAsia" w:ascii="宋体" w:hAnsi="宋体"/>
          <w:color w:val="auto"/>
          <w:sz w:val="24"/>
          <w:highlight w:val="none"/>
        </w:rPr>
        <w:t>位奖励2000元以此类推，下降一位扣罚1000元，如第</w:t>
      </w:r>
      <w:r>
        <w:rPr>
          <w:rFonts w:hint="eastAsia" w:ascii="宋体" w:hAnsi="宋体"/>
          <w:color w:val="auto"/>
          <w:sz w:val="24"/>
          <w:highlight w:val="none"/>
          <w:lang w:val="en-US" w:eastAsia="zh-CN"/>
        </w:rPr>
        <w:t>9</w:t>
      </w:r>
      <w:r>
        <w:rPr>
          <w:rFonts w:hint="eastAsia" w:ascii="宋体" w:hAnsi="宋体"/>
          <w:color w:val="auto"/>
          <w:sz w:val="24"/>
          <w:highlight w:val="none"/>
        </w:rPr>
        <w:t>位扣罚1000元，第</w:t>
      </w:r>
      <w:r>
        <w:rPr>
          <w:rFonts w:hint="eastAsia" w:ascii="宋体" w:hAnsi="宋体"/>
          <w:color w:val="auto"/>
          <w:sz w:val="24"/>
          <w:highlight w:val="none"/>
          <w:lang w:val="en-US" w:eastAsia="zh-CN"/>
        </w:rPr>
        <w:t>10</w:t>
      </w:r>
      <w:r>
        <w:rPr>
          <w:rFonts w:hint="eastAsia" w:ascii="宋体" w:hAnsi="宋体"/>
          <w:color w:val="auto"/>
          <w:sz w:val="24"/>
          <w:highlight w:val="none"/>
        </w:rPr>
        <w:t>位扣罚2000元，以此类推。奖垃圾分类每月在红榜的奖励2000元，垃圾分类每月在黑榜的扣罚2000元。</w:t>
      </w:r>
    </w:p>
    <w:p w14:paraId="1555B94D">
      <w:pPr>
        <w:spacing w:line="360" w:lineRule="auto"/>
        <w:ind w:firstLine="480" w:firstLineChars="200"/>
        <w:rPr>
          <w:rFonts w:ascii="宋体" w:hAnsi="宋体"/>
          <w:color w:val="auto"/>
          <w:sz w:val="48"/>
          <w:szCs w:val="48"/>
          <w:highlight w:val="none"/>
        </w:rPr>
      </w:pPr>
      <w:r>
        <w:rPr>
          <w:rFonts w:hint="eastAsia" w:ascii="宋体" w:hAnsi="宋体"/>
          <w:color w:val="auto"/>
          <w:sz w:val="24"/>
          <w:highlight w:val="none"/>
        </w:rPr>
        <w:t>3、</w:t>
      </w:r>
      <w:r>
        <w:rPr>
          <w:rFonts w:hint="eastAsia" w:ascii="宋体" w:hAnsi="宋体" w:cs="Arial"/>
          <w:color w:val="auto"/>
          <w:kern w:val="0"/>
          <w:sz w:val="24"/>
          <w:highlight w:val="none"/>
          <w:lang w:eastAsia="zh-CN"/>
        </w:rPr>
        <w:t>发包人</w:t>
      </w:r>
      <w:r>
        <w:rPr>
          <w:rFonts w:hint="eastAsia" w:ascii="宋体" w:hAnsi="宋体"/>
          <w:color w:val="auto"/>
          <w:sz w:val="24"/>
          <w:highlight w:val="none"/>
        </w:rPr>
        <w:t>每月将组织党员、村民代表及群众代表对卫生保洁及垃圾分类进行巡查考核评分，采用十分制，不足八分，扣1000元，不足六分扣2000元，以此类推。</w:t>
      </w:r>
    </w:p>
    <w:p w14:paraId="138AA9E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4、镇清洁办抄告单不及时整改一处扣罚100元，以此类推。区级部门的抄告单未及时整改每处扣罚200元。</w:t>
      </w:r>
    </w:p>
    <w:p w14:paraId="58F5A0C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5、如被区级或市级新闻媒体曝光后，每次扣罚500元-1000元，因垃圾堆放及其他因保洁引起的事项产生投诉属实的，每次扣罚50-200元。投诉事项没有在整改限期内完成的延迟一天罚款金额加倍，以此类推。</w:t>
      </w:r>
    </w:p>
    <w:p w14:paraId="1D49760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6、合同期满后，妥善处理退场移交、人员安置，如果出现劳资纠纷，责任在保洁公司。如保洁公司在服务期内违反合同约定，经考核不合格，</w:t>
      </w:r>
      <w:r>
        <w:rPr>
          <w:rFonts w:hint="eastAsia" w:ascii="宋体" w:hAnsi="宋体" w:cs="Arial"/>
          <w:color w:val="auto"/>
          <w:kern w:val="0"/>
          <w:sz w:val="24"/>
          <w:highlight w:val="none"/>
          <w:lang w:eastAsia="zh-CN"/>
        </w:rPr>
        <w:t>发包人</w:t>
      </w:r>
      <w:r>
        <w:rPr>
          <w:rFonts w:hint="eastAsia" w:ascii="宋体" w:hAnsi="宋体"/>
          <w:color w:val="auto"/>
          <w:sz w:val="24"/>
          <w:highlight w:val="none"/>
        </w:rPr>
        <w:t>有权提前终止合同，并对保洁公司进行扣款处理。有苗木缺失或杂草未清除干净的，必须完善后移交，否则将在承包费用中扣除清理补种费用。</w:t>
      </w:r>
    </w:p>
    <w:p w14:paraId="1A8FB6C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8、其他事项：所有垃圾收集车辆维修由保洁公司负责。辖区内大件垃圾由保洁公司承运至镇指定回收点的，政府大件垃圾运费补贴返还给保洁公司。</w:t>
      </w:r>
    </w:p>
    <w:p w14:paraId="6F437794">
      <w:pPr>
        <w:spacing w:line="360" w:lineRule="auto"/>
        <w:contextualSpacing/>
        <w:rPr>
          <w:rFonts w:hint="eastAsia" w:ascii="宋体" w:hAnsi="宋体"/>
          <w:color w:val="auto"/>
          <w:sz w:val="24"/>
          <w:highlight w:val="none"/>
        </w:rPr>
      </w:pPr>
      <w:r>
        <w:rPr>
          <w:rFonts w:hint="eastAsia" w:ascii="宋体" w:hAnsi="宋体"/>
          <w:color w:val="auto"/>
          <w:sz w:val="24"/>
          <w:highlight w:val="none"/>
        </w:rPr>
        <w:t>2、商务需求</w:t>
      </w:r>
    </w:p>
    <w:p w14:paraId="46FBB52A">
      <w:pPr>
        <w:adjustRightInd w:val="0"/>
        <w:snapToGrid w:val="0"/>
        <w:spacing w:line="360" w:lineRule="auto"/>
        <w:ind w:firstLine="480"/>
        <w:contextualSpacing/>
        <w:rPr>
          <w:rFonts w:ascii="宋体" w:hAnsi="宋体" w:cs="Arial"/>
          <w:snapToGrid w:val="0"/>
          <w:color w:val="auto"/>
          <w:kern w:val="0"/>
          <w:sz w:val="24"/>
          <w:highlight w:val="none"/>
        </w:rPr>
      </w:pPr>
      <w:r>
        <w:rPr>
          <w:rFonts w:hint="eastAsia" w:ascii="宋体" w:hAnsi="宋体"/>
          <w:color w:val="auto"/>
          <w:sz w:val="24"/>
          <w:highlight w:val="none"/>
        </w:rPr>
        <w:t>2.1服务期：期限1年，具体以合同签订为准。如全年度总体考核在</w:t>
      </w:r>
      <w:r>
        <w:rPr>
          <w:rFonts w:hint="eastAsia" w:ascii="宋体" w:hAnsi="宋体"/>
          <w:color w:val="auto"/>
          <w:sz w:val="24"/>
          <w:highlight w:val="none"/>
          <w:lang w:eastAsia="zh-CN"/>
        </w:rPr>
        <w:t>东片</w:t>
      </w:r>
      <w:r>
        <w:rPr>
          <w:rFonts w:hint="eastAsia" w:ascii="宋体" w:hAnsi="宋体"/>
          <w:color w:val="auto"/>
          <w:sz w:val="24"/>
          <w:highlight w:val="none"/>
        </w:rPr>
        <w:t>排名</w:t>
      </w:r>
      <w:r>
        <w:rPr>
          <w:rFonts w:hint="eastAsia" w:ascii="宋体" w:hAnsi="宋体"/>
          <w:color w:val="auto"/>
          <w:sz w:val="24"/>
          <w:highlight w:val="none"/>
          <w:lang w:val="en-US" w:eastAsia="zh-CN"/>
        </w:rPr>
        <w:t>5</w:t>
      </w:r>
      <w:r>
        <w:rPr>
          <w:rFonts w:hint="eastAsia" w:ascii="宋体" w:hAnsi="宋体"/>
          <w:color w:val="auto"/>
          <w:sz w:val="24"/>
          <w:highlight w:val="none"/>
        </w:rPr>
        <w:t>位以内的，合同可以延续一年，最长不得超过两年。</w:t>
      </w:r>
      <w:r>
        <w:rPr>
          <w:rFonts w:ascii="宋体" w:hAnsi="宋体" w:cs="Arial"/>
          <w:snapToGrid w:val="0"/>
          <w:color w:val="auto"/>
          <w:kern w:val="0"/>
          <w:sz w:val="24"/>
          <w:highlight w:val="none"/>
        </w:rPr>
        <w:t>如</w:t>
      </w:r>
      <w:r>
        <w:rPr>
          <w:rFonts w:hint="eastAsia" w:ascii="宋体" w:hAnsi="宋体" w:cs="Arial"/>
          <w:snapToGrid w:val="0"/>
          <w:color w:val="auto"/>
          <w:kern w:val="0"/>
          <w:sz w:val="24"/>
          <w:highlight w:val="none"/>
        </w:rPr>
        <w:t>成交人</w:t>
      </w:r>
      <w:r>
        <w:rPr>
          <w:rFonts w:ascii="宋体" w:hAnsi="宋体" w:cs="Arial"/>
          <w:snapToGrid w:val="0"/>
          <w:color w:val="auto"/>
          <w:kern w:val="0"/>
          <w:sz w:val="24"/>
          <w:highlight w:val="none"/>
        </w:rPr>
        <w:t>在服务期内违反合同约定，</w:t>
      </w:r>
      <w:r>
        <w:rPr>
          <w:rFonts w:hint="eastAsia" w:ascii="宋体" w:hAnsi="宋体" w:cs="Arial"/>
          <w:snapToGrid w:val="0"/>
          <w:color w:val="auto"/>
          <w:kern w:val="0"/>
          <w:sz w:val="24"/>
          <w:highlight w:val="none"/>
        </w:rPr>
        <w:t>出现服务不到位等情况，达不到</w:t>
      </w:r>
      <w:r>
        <w:rPr>
          <w:rFonts w:hint="eastAsia" w:ascii="宋体" w:hAnsi="宋体" w:cs="Arial"/>
          <w:snapToGrid w:val="0"/>
          <w:color w:val="auto"/>
          <w:kern w:val="0"/>
          <w:sz w:val="24"/>
          <w:highlight w:val="none"/>
          <w:lang w:eastAsia="zh-CN"/>
        </w:rPr>
        <w:t>发包人</w:t>
      </w:r>
      <w:r>
        <w:rPr>
          <w:rFonts w:hint="eastAsia" w:ascii="宋体" w:hAnsi="宋体" w:cs="Arial"/>
          <w:snapToGrid w:val="0"/>
          <w:color w:val="auto"/>
          <w:kern w:val="0"/>
          <w:sz w:val="24"/>
          <w:highlight w:val="none"/>
        </w:rPr>
        <w:t>要求等情况</w:t>
      </w:r>
      <w:r>
        <w:rPr>
          <w:rFonts w:ascii="宋体" w:hAnsi="宋体" w:cs="Arial"/>
          <w:snapToGrid w:val="0"/>
          <w:color w:val="auto"/>
          <w:kern w:val="0"/>
          <w:sz w:val="24"/>
          <w:highlight w:val="none"/>
        </w:rPr>
        <w:t>，</w:t>
      </w:r>
      <w:r>
        <w:rPr>
          <w:rFonts w:hint="eastAsia" w:ascii="宋体" w:hAnsi="宋体" w:cs="Arial"/>
          <w:snapToGrid w:val="0"/>
          <w:color w:val="auto"/>
          <w:kern w:val="0"/>
          <w:sz w:val="24"/>
          <w:highlight w:val="none"/>
          <w:lang w:eastAsia="zh-CN"/>
        </w:rPr>
        <w:t>发包人</w:t>
      </w:r>
      <w:r>
        <w:rPr>
          <w:rFonts w:ascii="宋体" w:hAnsi="宋体" w:cs="Arial"/>
          <w:snapToGrid w:val="0"/>
          <w:color w:val="auto"/>
          <w:kern w:val="0"/>
          <w:sz w:val="24"/>
          <w:highlight w:val="none"/>
        </w:rPr>
        <w:t>有权提前终止合同。</w:t>
      </w:r>
    </w:p>
    <w:p w14:paraId="1B56BC49">
      <w:pPr>
        <w:snapToGrid w:val="0"/>
        <w:spacing w:line="360" w:lineRule="auto"/>
        <w:ind w:firstLine="480" w:firstLineChars="200"/>
        <w:contextualSpacing/>
        <w:jc w:val="left"/>
        <w:rPr>
          <w:rFonts w:hint="eastAsia" w:ascii="宋体" w:hAnsi="宋体"/>
          <w:bCs/>
          <w:color w:val="auto"/>
          <w:sz w:val="24"/>
          <w:highlight w:val="none"/>
        </w:rPr>
      </w:pPr>
      <w:r>
        <w:rPr>
          <w:rFonts w:hint="eastAsia" w:ascii="宋体" w:hAnsi="宋体"/>
          <w:bCs/>
          <w:color w:val="auto"/>
          <w:sz w:val="24"/>
          <w:highlight w:val="none"/>
        </w:rPr>
        <w:t>2.2合同期满后，妥善处理退场移交、人员安置，如果出现劳资纠纷，责任在成交人。如成交人在服务期内违反合同约定，经考核不合格，采购单位有权提前终止合同，并对成交人进行相应扣款处理，扣款金额从履约保证金中扣除，并无息退回剩余履约保证金。</w:t>
      </w:r>
    </w:p>
    <w:p w14:paraId="2577D5DE">
      <w:pPr>
        <w:spacing w:line="360" w:lineRule="auto"/>
        <w:ind w:firstLine="480" w:firstLineChars="200"/>
        <w:contextualSpacing/>
        <w:rPr>
          <w:rFonts w:hint="eastAsia" w:ascii="宋体" w:hAnsi="宋体"/>
          <w:color w:val="auto"/>
          <w:sz w:val="24"/>
          <w:highlight w:val="none"/>
        </w:rPr>
      </w:pPr>
      <w:r>
        <w:rPr>
          <w:rFonts w:hint="eastAsia" w:ascii="宋体" w:hAnsi="宋体"/>
          <w:bCs/>
          <w:color w:val="auto"/>
          <w:sz w:val="24"/>
          <w:highlight w:val="none"/>
        </w:rPr>
        <w:t>2.3服务地点：</w:t>
      </w:r>
      <w:r>
        <w:rPr>
          <w:rFonts w:hint="eastAsia" w:ascii="宋体" w:hAnsi="宋体"/>
          <w:color w:val="auto"/>
          <w:sz w:val="24"/>
          <w:highlight w:val="none"/>
        </w:rPr>
        <w:t>杭州萧山瓜沥</w:t>
      </w:r>
      <w:r>
        <w:rPr>
          <w:rFonts w:hint="eastAsia" w:ascii="宋体" w:hAnsi="宋体"/>
          <w:color w:val="auto"/>
          <w:sz w:val="24"/>
          <w:highlight w:val="none"/>
          <w:lang w:eastAsia="zh-CN"/>
        </w:rPr>
        <w:t>山三</w:t>
      </w:r>
      <w:r>
        <w:rPr>
          <w:rFonts w:hint="eastAsia" w:ascii="宋体" w:hAnsi="宋体"/>
          <w:color w:val="auto"/>
          <w:sz w:val="24"/>
          <w:highlight w:val="none"/>
        </w:rPr>
        <w:t xml:space="preserve">股份经济联合社指定地点。  </w:t>
      </w:r>
    </w:p>
    <w:p w14:paraId="7FFB40CC">
      <w:pPr>
        <w:spacing w:line="360" w:lineRule="auto"/>
        <w:ind w:firstLine="480" w:firstLineChars="200"/>
        <w:contextualSpacing/>
        <w:rPr>
          <w:rFonts w:hint="eastAsia" w:ascii="宋体" w:hAnsi="宋体"/>
          <w:bCs/>
          <w:color w:val="auto"/>
          <w:sz w:val="24"/>
          <w:highlight w:val="none"/>
        </w:rPr>
      </w:pPr>
      <w:r>
        <w:rPr>
          <w:rFonts w:hint="eastAsia" w:ascii="宋体" w:hAnsi="宋体"/>
          <w:bCs/>
          <w:color w:val="auto"/>
          <w:sz w:val="24"/>
          <w:highlight w:val="none"/>
        </w:rPr>
        <w:t>2.4服务质量承诺</w:t>
      </w:r>
    </w:p>
    <w:p w14:paraId="49A9EB16">
      <w:pPr>
        <w:spacing w:line="360" w:lineRule="auto"/>
        <w:contextualSpacing/>
        <w:rPr>
          <w:rFonts w:hint="eastAsia" w:ascii="宋体" w:hAnsi="宋体"/>
          <w:color w:val="auto"/>
          <w:sz w:val="24"/>
          <w:highlight w:val="none"/>
        </w:rPr>
      </w:pPr>
      <w:r>
        <w:rPr>
          <w:rFonts w:hint="eastAsia" w:ascii="宋体" w:hAnsi="宋体"/>
          <w:bCs/>
          <w:color w:val="auto"/>
          <w:sz w:val="24"/>
          <w:highlight w:val="none"/>
        </w:rPr>
        <w:t xml:space="preserve">    （1）</w:t>
      </w:r>
      <w:r>
        <w:rPr>
          <w:rFonts w:hint="eastAsia" w:ascii="宋体" w:hAnsi="宋体"/>
          <w:color w:val="auto"/>
          <w:sz w:val="24"/>
          <w:highlight w:val="none"/>
        </w:rPr>
        <w:t>为确保服务质量及与</w:t>
      </w:r>
      <w:r>
        <w:rPr>
          <w:rFonts w:hint="eastAsia" w:ascii="宋体" w:hAnsi="宋体"/>
          <w:color w:val="auto"/>
          <w:sz w:val="24"/>
          <w:highlight w:val="none"/>
          <w:lang w:eastAsia="zh-CN"/>
        </w:rPr>
        <w:t>发包人</w:t>
      </w:r>
      <w:r>
        <w:rPr>
          <w:rFonts w:hint="eastAsia" w:ascii="宋体" w:hAnsi="宋体"/>
          <w:color w:val="auto"/>
          <w:sz w:val="24"/>
          <w:highlight w:val="none"/>
        </w:rPr>
        <w:t>沟通联络，成交人须设置专职主管，负责对承包项目、范围、服务质量的检查监督及与</w:t>
      </w:r>
      <w:r>
        <w:rPr>
          <w:rFonts w:hint="eastAsia" w:ascii="宋体" w:hAnsi="宋体"/>
          <w:color w:val="auto"/>
          <w:sz w:val="24"/>
          <w:highlight w:val="none"/>
          <w:lang w:eastAsia="zh-CN"/>
        </w:rPr>
        <w:t>发包人</w:t>
      </w:r>
      <w:r>
        <w:rPr>
          <w:rFonts w:hint="eastAsia" w:ascii="宋体" w:hAnsi="宋体"/>
          <w:color w:val="auto"/>
          <w:sz w:val="24"/>
          <w:highlight w:val="none"/>
        </w:rPr>
        <w:t>日常业务联系；</w:t>
      </w:r>
    </w:p>
    <w:p w14:paraId="1ABC4468">
      <w:pPr>
        <w:spacing w:line="360" w:lineRule="auto"/>
        <w:ind w:firstLine="480" w:firstLineChars="200"/>
        <w:contextualSpacing/>
        <w:rPr>
          <w:rFonts w:hint="eastAsia" w:ascii="宋体" w:hAnsi="宋体"/>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成交人需提供员工管理服务规范要求及确保服务质量达标的具体措施；</w:t>
      </w:r>
    </w:p>
    <w:p w14:paraId="3CF24AAD">
      <w:pPr>
        <w:spacing w:line="360" w:lineRule="auto"/>
        <w:ind w:firstLine="480" w:firstLineChars="200"/>
        <w:contextualSpacing/>
        <w:rPr>
          <w:rFonts w:hint="eastAsia" w:ascii="宋体" w:hAnsi="宋体"/>
          <w:color w:val="auto"/>
          <w:sz w:val="24"/>
          <w:highlight w:val="none"/>
        </w:rPr>
      </w:pPr>
      <w:r>
        <w:rPr>
          <w:rFonts w:hint="eastAsia" w:ascii="宋体" w:hAnsi="宋体"/>
          <w:bCs/>
          <w:color w:val="auto"/>
          <w:sz w:val="24"/>
          <w:highlight w:val="none"/>
        </w:rPr>
        <w:t>（3）</w:t>
      </w:r>
      <w:r>
        <w:rPr>
          <w:rFonts w:hint="eastAsia" w:ascii="宋体" w:hAnsi="宋体"/>
          <w:color w:val="auto"/>
          <w:sz w:val="24"/>
          <w:highlight w:val="none"/>
        </w:rPr>
        <w:t>成交人需向</w:t>
      </w:r>
      <w:r>
        <w:rPr>
          <w:rFonts w:hint="eastAsia" w:ascii="宋体" w:hAnsi="宋体"/>
          <w:color w:val="auto"/>
          <w:sz w:val="24"/>
          <w:highlight w:val="none"/>
          <w:lang w:eastAsia="zh-CN"/>
        </w:rPr>
        <w:t>发包人</w:t>
      </w:r>
      <w:r>
        <w:rPr>
          <w:rFonts w:hint="eastAsia" w:ascii="宋体" w:hAnsi="宋体"/>
          <w:color w:val="auto"/>
          <w:sz w:val="24"/>
          <w:highlight w:val="none"/>
        </w:rPr>
        <w:t>提供服务承诺；</w:t>
      </w:r>
    </w:p>
    <w:p w14:paraId="21702050">
      <w:pPr>
        <w:spacing w:line="360" w:lineRule="auto"/>
        <w:ind w:firstLine="480" w:firstLineChars="200"/>
        <w:contextualSpacing/>
        <w:rPr>
          <w:rFonts w:hint="eastAsia" w:ascii="宋体" w:hAnsi="宋体"/>
          <w:color w:val="auto"/>
          <w:sz w:val="24"/>
          <w:highlight w:val="none"/>
        </w:rPr>
      </w:pPr>
      <w:r>
        <w:rPr>
          <w:rFonts w:hint="eastAsia" w:ascii="宋体" w:hAnsi="宋体"/>
          <w:bCs/>
          <w:color w:val="auto"/>
          <w:sz w:val="24"/>
          <w:highlight w:val="none"/>
        </w:rPr>
        <w:t>（4）</w:t>
      </w:r>
      <w:r>
        <w:rPr>
          <w:rFonts w:hint="eastAsia" w:ascii="宋体" w:hAnsi="宋体"/>
          <w:color w:val="auto"/>
          <w:sz w:val="24"/>
          <w:highlight w:val="none"/>
        </w:rPr>
        <w:t>成交人须主动接受</w:t>
      </w:r>
      <w:r>
        <w:rPr>
          <w:rFonts w:hint="eastAsia" w:ascii="宋体" w:hAnsi="宋体"/>
          <w:color w:val="auto"/>
          <w:sz w:val="24"/>
          <w:highlight w:val="none"/>
          <w:lang w:eastAsia="zh-CN"/>
        </w:rPr>
        <w:t>发包人</w:t>
      </w:r>
      <w:r>
        <w:rPr>
          <w:rFonts w:hint="eastAsia" w:ascii="宋体" w:hAnsi="宋体"/>
          <w:color w:val="auto"/>
          <w:sz w:val="24"/>
          <w:highlight w:val="none"/>
        </w:rPr>
        <w:t>的指导、检查、监督及协调；</w:t>
      </w:r>
    </w:p>
    <w:p w14:paraId="17387FA6">
      <w:pPr>
        <w:spacing w:line="360" w:lineRule="auto"/>
        <w:ind w:firstLine="480" w:firstLineChars="200"/>
        <w:contextualSpacing/>
        <w:rPr>
          <w:rFonts w:hint="eastAsia" w:ascii="宋体" w:hAnsi="宋体"/>
          <w:color w:val="auto"/>
          <w:sz w:val="24"/>
          <w:highlight w:val="none"/>
        </w:rPr>
      </w:pPr>
      <w:r>
        <w:rPr>
          <w:rFonts w:hint="eastAsia" w:ascii="宋体" w:hAnsi="宋体"/>
          <w:bCs/>
          <w:color w:val="auto"/>
          <w:sz w:val="24"/>
          <w:highlight w:val="none"/>
        </w:rPr>
        <w:t>（5）</w:t>
      </w:r>
      <w:r>
        <w:rPr>
          <w:rFonts w:hint="eastAsia" w:ascii="宋体" w:hAnsi="宋体"/>
          <w:color w:val="auto"/>
          <w:sz w:val="24"/>
          <w:highlight w:val="none"/>
        </w:rPr>
        <w:t>现有服务范围内，由于调整而增加的工作量，不再增加费用；</w:t>
      </w:r>
    </w:p>
    <w:p w14:paraId="43658B1D">
      <w:pPr>
        <w:snapToGrid w:val="0"/>
        <w:spacing w:line="360" w:lineRule="auto"/>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4.付款方式</w:t>
      </w:r>
    </w:p>
    <w:p w14:paraId="0F1DDAD2">
      <w:pPr>
        <w:pStyle w:val="61"/>
        <w:adjustRightInd/>
        <w:ind w:firstLine="480" w:firstLineChars="200"/>
        <w:jc w:val="left"/>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1、支付方式：</w:t>
      </w:r>
    </w:p>
    <w:p w14:paraId="3BF84AF0">
      <w:pPr>
        <w:pStyle w:val="61"/>
        <w:adjustRightInd/>
        <w:ind w:firstLine="480" w:firstLineChars="20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rPr>
        <w:t>1.1</w:t>
      </w:r>
      <w:r>
        <w:rPr>
          <w:rFonts w:hint="eastAsia" w:ascii="宋体" w:hAnsi="宋体" w:eastAsia="宋体" w:cs="宋体"/>
          <w:color w:val="auto"/>
          <w:szCs w:val="24"/>
          <w:highlight w:val="none"/>
          <w:lang w:val="en-US" w:eastAsia="zh-CN"/>
        </w:rPr>
        <w:t>付款方式：</w:t>
      </w:r>
      <w:r>
        <w:rPr>
          <w:rFonts w:hint="eastAsia" w:ascii="宋体" w:hAnsi="宋体" w:eastAsia="宋体" w:cs="宋体"/>
          <w:snapToGrid/>
          <w:color w:val="auto"/>
          <w:kern w:val="2"/>
          <w:sz w:val="24"/>
          <w:szCs w:val="24"/>
          <w:highlight w:val="none"/>
          <w:lang w:val="en-US" w:eastAsia="zh-CN" w:bidi="ar-SA"/>
        </w:rPr>
        <w:t>按季度支付，每季度支付合同总价的25%。下季度保洁满壹个月付上季度保洁款。保洁期满后付清余款。</w:t>
      </w:r>
    </w:p>
    <w:p w14:paraId="236164CF">
      <w:pPr>
        <w:pStyle w:val="61"/>
        <w:adjustRightInd/>
        <w:ind w:firstLine="480" w:firstLineChars="200"/>
        <w:jc w:val="left"/>
        <w:rPr>
          <w:rFonts w:hint="eastAsia"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1.</w:t>
      </w:r>
      <w:r>
        <w:rPr>
          <w:rFonts w:hint="eastAsia" w:hAnsi="宋体" w:cs="宋体"/>
          <w:color w:val="auto"/>
          <w:szCs w:val="24"/>
          <w:highlight w:val="none"/>
          <w:lang w:val="en-US" w:eastAsia="zh-CN"/>
        </w:rPr>
        <w:t xml:space="preserve">2 </w:t>
      </w:r>
      <w:r>
        <w:rPr>
          <w:rFonts w:hint="eastAsia" w:ascii="宋体" w:hAnsi="宋体" w:eastAsia="宋体" w:cs="宋体"/>
          <w:color w:val="auto"/>
          <w:szCs w:val="24"/>
          <w:highlight w:val="none"/>
          <w:lang w:val="en-US"/>
        </w:rPr>
        <w:t>甲方有权在每</w:t>
      </w:r>
      <w:r>
        <w:rPr>
          <w:rFonts w:hint="eastAsia" w:hAnsi="宋体" w:cs="宋体"/>
          <w:color w:val="auto"/>
          <w:szCs w:val="24"/>
          <w:highlight w:val="none"/>
          <w:lang w:val="en-US" w:eastAsia="zh-CN"/>
        </w:rPr>
        <w:t>季度</w:t>
      </w:r>
      <w:r>
        <w:rPr>
          <w:rFonts w:hint="eastAsia" w:ascii="宋体" w:hAnsi="宋体" w:eastAsia="宋体" w:cs="宋体"/>
          <w:color w:val="auto"/>
          <w:szCs w:val="24"/>
          <w:highlight w:val="none"/>
          <w:lang w:val="en-US"/>
        </w:rPr>
        <w:t>结算时，从应付款中扣除因乙方违反本合同所应向甲方支付的违约金以及因乙方原因致使甲方承担的第三方法律责任。</w:t>
      </w:r>
    </w:p>
    <w:p w14:paraId="5BF69B6B">
      <w:pPr>
        <w:pStyle w:val="61"/>
        <w:adjustRightInd/>
        <w:ind w:firstLine="480" w:firstLineChars="200"/>
        <w:jc w:val="left"/>
        <w:rPr>
          <w:rFonts w:hint="eastAsia" w:ascii="宋体" w:hAnsi="宋体"/>
          <w:color w:val="auto"/>
          <w:sz w:val="24"/>
          <w:highlight w:val="none"/>
        </w:rPr>
      </w:pPr>
      <w:r>
        <w:rPr>
          <w:rFonts w:hint="eastAsia" w:ascii="宋体" w:hAnsi="宋体" w:eastAsia="宋体" w:cs="宋体"/>
          <w:color w:val="auto"/>
          <w:szCs w:val="24"/>
          <w:highlight w:val="none"/>
          <w:lang w:val="en-US"/>
        </w:rPr>
        <w:t>1.</w:t>
      </w:r>
      <w:r>
        <w:rPr>
          <w:rFonts w:hint="eastAsia" w:hAnsi="宋体" w:cs="宋体"/>
          <w:color w:val="auto"/>
          <w:szCs w:val="24"/>
          <w:highlight w:val="none"/>
          <w:lang w:val="en-US" w:eastAsia="zh-CN"/>
        </w:rPr>
        <w:t xml:space="preserve">3 </w:t>
      </w:r>
      <w:r>
        <w:rPr>
          <w:rFonts w:hint="eastAsia" w:ascii="宋体" w:hAnsi="宋体" w:eastAsia="宋体" w:cs="宋体"/>
          <w:color w:val="auto"/>
          <w:szCs w:val="24"/>
          <w:highlight w:val="none"/>
          <w:lang w:val="en-US"/>
        </w:rPr>
        <w:t>若合同期结束时，下一轮采购还未完成，超出合同期部分的服务费按实际天数及考核结果结算。</w:t>
      </w:r>
    </w:p>
    <w:p w14:paraId="4149810B">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2、支付说明：</w:t>
      </w:r>
      <w:r>
        <w:rPr>
          <w:rFonts w:hint="eastAsia" w:ascii="宋体" w:hAnsi="宋体" w:cs="宋体"/>
          <w:color w:val="auto"/>
          <w:sz w:val="24"/>
          <w:szCs w:val="24"/>
          <w:highlight w:val="none"/>
          <w:lang w:eastAsia="zh-CN"/>
        </w:rPr>
        <w:t>发包人</w:t>
      </w:r>
      <w:r>
        <w:rPr>
          <w:rFonts w:hint="eastAsia" w:ascii="宋体" w:hAnsi="宋体" w:eastAsia="宋体" w:cs="宋体"/>
          <w:color w:val="auto"/>
          <w:sz w:val="24"/>
          <w:szCs w:val="24"/>
          <w:highlight w:val="none"/>
        </w:rPr>
        <w:t>按财务要求，在收到</w:t>
      </w:r>
      <w:r>
        <w:rPr>
          <w:rFonts w:hint="eastAsia" w:ascii="宋体" w:hAnsi="宋体" w:cs="宋体"/>
          <w:color w:val="auto"/>
          <w:sz w:val="24"/>
          <w:szCs w:val="24"/>
          <w:highlight w:val="none"/>
          <w:lang w:eastAsia="zh-CN"/>
        </w:rPr>
        <w:t>响应人</w:t>
      </w:r>
      <w:r>
        <w:rPr>
          <w:rFonts w:hint="eastAsia" w:ascii="宋体" w:hAnsi="宋体" w:eastAsia="宋体" w:cs="宋体"/>
          <w:color w:val="auto"/>
          <w:sz w:val="24"/>
          <w:szCs w:val="24"/>
          <w:highlight w:val="none"/>
        </w:rPr>
        <w:t>开具的符合法律法规规定发票后，以转账支付的方式，支付给</w:t>
      </w:r>
      <w:r>
        <w:rPr>
          <w:rFonts w:hint="eastAsia" w:ascii="宋体" w:hAnsi="宋体" w:cs="宋体"/>
          <w:color w:val="auto"/>
          <w:sz w:val="24"/>
          <w:szCs w:val="24"/>
          <w:highlight w:val="none"/>
          <w:lang w:eastAsia="zh-CN"/>
        </w:rPr>
        <w:t>响应人</w:t>
      </w:r>
      <w:r>
        <w:rPr>
          <w:rFonts w:hint="eastAsia" w:ascii="宋体" w:hAnsi="宋体" w:eastAsia="宋体" w:cs="宋体"/>
          <w:color w:val="auto"/>
          <w:sz w:val="24"/>
          <w:szCs w:val="24"/>
          <w:highlight w:val="none"/>
          <w:lang w:eastAsia="zh-CN"/>
        </w:rPr>
        <w:t>保洁</w:t>
      </w:r>
      <w:r>
        <w:rPr>
          <w:rFonts w:hint="eastAsia" w:ascii="宋体" w:hAnsi="宋体" w:eastAsia="宋体" w:cs="宋体"/>
          <w:color w:val="auto"/>
          <w:sz w:val="24"/>
          <w:szCs w:val="24"/>
          <w:highlight w:val="none"/>
        </w:rPr>
        <w:t>服务费。</w:t>
      </w:r>
      <w:r>
        <w:rPr>
          <w:rFonts w:hint="eastAsia" w:ascii="宋体" w:hAnsi="宋体" w:cs="宋体"/>
          <w:color w:val="auto"/>
          <w:sz w:val="24"/>
          <w:szCs w:val="24"/>
          <w:highlight w:val="none"/>
          <w:lang w:eastAsia="zh-CN"/>
        </w:rPr>
        <w:t>响应人</w:t>
      </w:r>
      <w:r>
        <w:rPr>
          <w:rFonts w:hint="eastAsia" w:ascii="宋体" w:hAnsi="宋体" w:eastAsia="宋体" w:cs="宋体"/>
          <w:color w:val="auto"/>
          <w:sz w:val="24"/>
          <w:szCs w:val="24"/>
          <w:highlight w:val="none"/>
        </w:rPr>
        <w:t>逾期开具发票或开具的发票不符合</w:t>
      </w:r>
      <w:r>
        <w:rPr>
          <w:rFonts w:hint="eastAsia" w:ascii="宋体" w:hAnsi="宋体" w:cs="宋体"/>
          <w:color w:val="auto"/>
          <w:sz w:val="24"/>
          <w:szCs w:val="24"/>
          <w:highlight w:val="none"/>
          <w:lang w:eastAsia="zh-CN"/>
        </w:rPr>
        <w:t>发包人</w:t>
      </w:r>
      <w:r>
        <w:rPr>
          <w:rFonts w:hint="eastAsia" w:ascii="宋体" w:hAnsi="宋体" w:eastAsia="宋体" w:cs="宋体"/>
          <w:color w:val="auto"/>
          <w:sz w:val="24"/>
          <w:szCs w:val="24"/>
          <w:highlight w:val="none"/>
        </w:rPr>
        <w:t>要求的，</w:t>
      </w:r>
      <w:r>
        <w:rPr>
          <w:rFonts w:hint="eastAsia" w:ascii="宋体" w:hAnsi="宋体" w:cs="宋体"/>
          <w:color w:val="auto"/>
          <w:sz w:val="24"/>
          <w:szCs w:val="24"/>
          <w:highlight w:val="none"/>
          <w:lang w:eastAsia="zh-CN"/>
        </w:rPr>
        <w:t>发包人</w:t>
      </w:r>
      <w:r>
        <w:rPr>
          <w:rFonts w:hint="eastAsia" w:ascii="宋体" w:hAnsi="宋体" w:eastAsia="宋体" w:cs="宋体"/>
          <w:color w:val="auto"/>
          <w:sz w:val="24"/>
          <w:szCs w:val="24"/>
          <w:highlight w:val="none"/>
        </w:rPr>
        <w:t>有权延迟付款时间，且该行为不视为违约。</w:t>
      </w:r>
    </w:p>
    <w:p w14:paraId="0FBB8242">
      <w:pPr>
        <w:spacing w:after="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1663CB8">
      <w:pPr>
        <w:spacing w:after="0"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、打▲内容为实质性要求，不允许有负偏离，否则将以涉及无效投标条款作无效投标。</w:t>
      </w:r>
    </w:p>
    <w:p w14:paraId="459C6EDB">
      <w:pPr>
        <w:widowControl/>
        <w:adjustRightInd/>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12A50689">
      <w:pPr>
        <w:jc w:val="center"/>
        <w:rPr>
          <w:rFonts w:ascii="宋体" w:hAnsi="宋体" w:cs="宋体"/>
          <w:b/>
          <w:color w:val="auto"/>
          <w:sz w:val="36"/>
          <w:szCs w:val="36"/>
          <w:highlight w:val="none"/>
        </w:rPr>
        <w:sectPr>
          <w:headerReference r:id="rId6" w:type="first"/>
          <w:footerReference r:id="rId8" w:type="first"/>
          <w:headerReference r:id="rId5" w:type="default"/>
          <w:footerReference r:id="rId7" w:type="default"/>
          <w:pgSz w:w="11906" w:h="16838"/>
          <w:pgMar w:top="1440" w:right="1440" w:bottom="1440" w:left="1440" w:header="851" w:footer="992" w:gutter="0"/>
          <w:cols w:space="720" w:num="1"/>
          <w:titlePg/>
          <w:docGrid w:linePitch="312" w:charSpace="0"/>
        </w:sectPr>
      </w:pPr>
    </w:p>
    <w:p w14:paraId="09BDD17E">
      <w:pPr>
        <w:spacing w:line="360" w:lineRule="auto"/>
        <w:jc w:val="center"/>
        <w:rPr>
          <w:rFonts w:ascii="宋体" w:hAnsi="宋体" w:cs="宋体"/>
          <w:bCs/>
          <w:color w:val="auto"/>
          <w:sz w:val="24"/>
          <w:highlight w:val="none"/>
        </w:rPr>
      </w:pPr>
      <w:r>
        <w:rPr>
          <w:rFonts w:hint="eastAsia" w:ascii="宋体" w:hAnsi="宋体" w:cs="宋体"/>
          <w:b/>
          <w:color w:val="auto"/>
          <w:sz w:val="36"/>
          <w:szCs w:val="36"/>
          <w:highlight w:val="none"/>
        </w:rPr>
        <w:t xml:space="preserve">第四部分   </w:t>
      </w:r>
      <w:bookmarkStart w:id="15" w:name="_Toc184313287"/>
      <w:bookmarkEnd w:id="15"/>
      <w:bookmarkStart w:id="16" w:name="_Toc184313310"/>
      <w:bookmarkEnd w:id="16"/>
      <w:bookmarkStart w:id="17" w:name="_Toc184313285"/>
      <w:bookmarkEnd w:id="17"/>
      <w:bookmarkStart w:id="18" w:name="_Toc184312083"/>
      <w:bookmarkEnd w:id="18"/>
      <w:bookmarkStart w:id="19" w:name="_Toc184308075"/>
      <w:bookmarkEnd w:id="19"/>
      <w:bookmarkStart w:id="20" w:name="_Toc184308053"/>
      <w:bookmarkEnd w:id="20"/>
      <w:bookmarkStart w:id="21" w:name="_Toc184312123"/>
      <w:bookmarkEnd w:id="21"/>
      <w:bookmarkStart w:id="22" w:name="_Toc184308050"/>
      <w:bookmarkEnd w:id="22"/>
      <w:bookmarkStart w:id="23" w:name="_Toc184312073"/>
      <w:bookmarkEnd w:id="23"/>
      <w:bookmarkStart w:id="24" w:name="_Toc184313273"/>
      <w:bookmarkEnd w:id="24"/>
      <w:bookmarkStart w:id="25" w:name="_Toc184314442"/>
      <w:bookmarkEnd w:id="25"/>
      <w:bookmarkStart w:id="26" w:name="_Toc184310321"/>
      <w:bookmarkEnd w:id="26"/>
      <w:bookmarkStart w:id="27" w:name="_Toc184312087"/>
      <w:bookmarkEnd w:id="27"/>
      <w:bookmarkStart w:id="28" w:name="_Toc184313304"/>
      <w:bookmarkEnd w:id="28"/>
      <w:bookmarkStart w:id="29" w:name="_Toc184310325"/>
      <w:bookmarkEnd w:id="29"/>
      <w:bookmarkStart w:id="30" w:name="_Toc184312089"/>
      <w:bookmarkEnd w:id="30"/>
      <w:bookmarkStart w:id="31" w:name="_Toc184310315"/>
      <w:bookmarkEnd w:id="31"/>
      <w:bookmarkStart w:id="32" w:name="_Toc184314430"/>
      <w:bookmarkEnd w:id="32"/>
      <w:bookmarkStart w:id="33" w:name="_Toc184308064"/>
      <w:bookmarkEnd w:id="33"/>
      <w:bookmarkStart w:id="34" w:name="_Toc184308039"/>
      <w:bookmarkEnd w:id="34"/>
      <w:bookmarkStart w:id="35" w:name="_Toc184310326"/>
      <w:bookmarkEnd w:id="35"/>
      <w:bookmarkStart w:id="36" w:name="_Toc184310297"/>
      <w:bookmarkEnd w:id="36"/>
      <w:bookmarkStart w:id="37" w:name="_Toc184313257"/>
      <w:bookmarkEnd w:id="37"/>
      <w:bookmarkStart w:id="38" w:name="_Toc184310343"/>
      <w:bookmarkEnd w:id="38"/>
      <w:bookmarkStart w:id="39" w:name="_Toc184308102"/>
      <w:bookmarkEnd w:id="39"/>
      <w:bookmarkStart w:id="40" w:name="_Toc184314461"/>
      <w:bookmarkEnd w:id="40"/>
      <w:bookmarkStart w:id="41" w:name="_Toc184308080"/>
      <w:bookmarkEnd w:id="41"/>
      <w:bookmarkStart w:id="42" w:name="_Toc184308097"/>
      <w:bookmarkEnd w:id="42"/>
      <w:bookmarkStart w:id="43" w:name="_Toc184313299"/>
      <w:bookmarkEnd w:id="43"/>
      <w:bookmarkStart w:id="44" w:name="_Toc184310323"/>
      <w:bookmarkEnd w:id="44"/>
      <w:bookmarkStart w:id="45" w:name="_Toc184308107"/>
      <w:bookmarkEnd w:id="45"/>
      <w:bookmarkStart w:id="46" w:name="_Toc184310281"/>
      <w:bookmarkEnd w:id="46"/>
      <w:bookmarkStart w:id="47" w:name="_Toc184314419"/>
      <w:bookmarkEnd w:id="47"/>
      <w:bookmarkStart w:id="48" w:name="_Toc184314446"/>
      <w:bookmarkEnd w:id="48"/>
      <w:bookmarkStart w:id="49" w:name="_Toc184308096"/>
      <w:bookmarkEnd w:id="49"/>
      <w:bookmarkStart w:id="50" w:name="_Toc184313264"/>
      <w:bookmarkEnd w:id="50"/>
      <w:bookmarkStart w:id="51" w:name="_Toc184312076"/>
      <w:bookmarkEnd w:id="51"/>
      <w:bookmarkStart w:id="52" w:name="_Toc184310274"/>
      <w:bookmarkEnd w:id="52"/>
      <w:bookmarkStart w:id="53" w:name="_Toc184310309"/>
      <w:bookmarkEnd w:id="53"/>
      <w:bookmarkStart w:id="54" w:name="_Toc184314444"/>
      <w:bookmarkEnd w:id="54"/>
      <w:bookmarkStart w:id="55" w:name="_Toc184312074"/>
      <w:bookmarkEnd w:id="55"/>
      <w:bookmarkStart w:id="56" w:name="_Toc184313253"/>
      <w:bookmarkEnd w:id="56"/>
      <w:bookmarkStart w:id="57" w:name="_Toc184312079"/>
      <w:bookmarkEnd w:id="57"/>
      <w:bookmarkStart w:id="58" w:name="_Toc184308070"/>
      <w:bookmarkEnd w:id="58"/>
      <w:bookmarkStart w:id="59" w:name="_Toc184313289"/>
      <w:bookmarkEnd w:id="59"/>
      <w:bookmarkStart w:id="60" w:name="_Toc184308060"/>
      <w:bookmarkEnd w:id="60"/>
      <w:bookmarkStart w:id="61" w:name="_Toc184308049"/>
      <w:bookmarkEnd w:id="61"/>
      <w:bookmarkStart w:id="62" w:name="_Toc184310320"/>
      <w:bookmarkEnd w:id="62"/>
      <w:bookmarkStart w:id="63" w:name="_Toc184308086"/>
      <w:bookmarkEnd w:id="63"/>
      <w:bookmarkStart w:id="64" w:name="_Toc184308048"/>
      <w:bookmarkEnd w:id="64"/>
      <w:bookmarkStart w:id="65" w:name="_Toc184308040"/>
      <w:bookmarkEnd w:id="65"/>
      <w:bookmarkStart w:id="66" w:name="_Toc184314428"/>
      <w:bookmarkEnd w:id="66"/>
      <w:bookmarkStart w:id="67" w:name="_Toc184310273"/>
      <w:bookmarkEnd w:id="67"/>
      <w:bookmarkStart w:id="68" w:name="_Toc184313291"/>
      <w:bookmarkEnd w:id="68"/>
      <w:bookmarkStart w:id="69" w:name="_Toc184314414"/>
      <w:bookmarkEnd w:id="69"/>
      <w:bookmarkStart w:id="70" w:name="_Toc184314457"/>
      <w:bookmarkEnd w:id="70"/>
      <w:bookmarkStart w:id="71" w:name="_Toc184313248"/>
      <w:bookmarkEnd w:id="71"/>
      <w:bookmarkStart w:id="72" w:name="_Toc184313276"/>
      <w:bookmarkEnd w:id="72"/>
      <w:bookmarkStart w:id="73" w:name="_Toc184312127"/>
      <w:bookmarkEnd w:id="73"/>
      <w:bookmarkStart w:id="74" w:name="_Toc184310313"/>
      <w:bookmarkEnd w:id="74"/>
      <w:bookmarkStart w:id="75" w:name="_Toc184308055"/>
      <w:bookmarkEnd w:id="75"/>
      <w:bookmarkStart w:id="76" w:name="_Toc184314476"/>
      <w:bookmarkEnd w:id="76"/>
      <w:bookmarkStart w:id="77" w:name="_Toc184314455"/>
      <w:bookmarkEnd w:id="77"/>
      <w:bookmarkStart w:id="78" w:name="_Toc184314470"/>
      <w:bookmarkEnd w:id="78"/>
      <w:bookmarkStart w:id="79" w:name="_Toc184314425"/>
      <w:bookmarkEnd w:id="79"/>
      <w:bookmarkStart w:id="80" w:name="_Toc184310287"/>
      <w:bookmarkEnd w:id="80"/>
      <w:bookmarkStart w:id="81" w:name="_Toc184312109"/>
      <w:bookmarkEnd w:id="81"/>
      <w:bookmarkStart w:id="82" w:name="_Toc184310324"/>
      <w:bookmarkEnd w:id="82"/>
      <w:bookmarkStart w:id="83" w:name="_Toc184314438"/>
      <w:bookmarkEnd w:id="83"/>
      <w:bookmarkStart w:id="84" w:name="_Toc184308074"/>
      <w:bookmarkEnd w:id="84"/>
      <w:bookmarkStart w:id="85" w:name="_Toc184313266"/>
      <w:bookmarkEnd w:id="85"/>
      <w:bookmarkStart w:id="86" w:name="_Toc184308042"/>
      <w:bookmarkEnd w:id="86"/>
      <w:bookmarkStart w:id="87" w:name="_Toc184312132"/>
      <w:bookmarkEnd w:id="87"/>
      <w:bookmarkStart w:id="88" w:name="_Toc184312067"/>
      <w:bookmarkEnd w:id="88"/>
      <w:bookmarkStart w:id="89" w:name="_Toc184312130"/>
      <w:bookmarkEnd w:id="89"/>
      <w:bookmarkStart w:id="90" w:name="_Toc184312068"/>
      <w:bookmarkEnd w:id="90"/>
      <w:bookmarkStart w:id="91" w:name="_Toc184310330"/>
      <w:bookmarkEnd w:id="91"/>
      <w:bookmarkStart w:id="92" w:name="_Toc184308073"/>
      <w:bookmarkEnd w:id="92"/>
      <w:bookmarkStart w:id="93" w:name="_Toc184313268"/>
      <w:bookmarkEnd w:id="93"/>
      <w:bookmarkStart w:id="94" w:name="_Toc184312116"/>
      <w:bookmarkEnd w:id="94"/>
      <w:bookmarkStart w:id="95" w:name="_Toc184312102"/>
      <w:bookmarkEnd w:id="95"/>
      <w:bookmarkStart w:id="96" w:name="_Toc184310339"/>
      <w:bookmarkEnd w:id="96"/>
      <w:bookmarkStart w:id="97" w:name="_Toc184314458"/>
      <w:bookmarkEnd w:id="97"/>
      <w:bookmarkStart w:id="98" w:name="_Toc184313297"/>
      <w:bookmarkEnd w:id="98"/>
      <w:bookmarkStart w:id="99" w:name="_Toc184308058"/>
      <w:bookmarkEnd w:id="99"/>
      <w:bookmarkStart w:id="100" w:name="_Toc184312105"/>
      <w:bookmarkEnd w:id="100"/>
      <w:bookmarkStart w:id="101" w:name="_Toc184314463"/>
      <w:bookmarkEnd w:id="101"/>
      <w:bookmarkStart w:id="102" w:name="_Toc184313302"/>
      <w:bookmarkEnd w:id="102"/>
      <w:bookmarkStart w:id="103" w:name="_Toc184312085"/>
      <w:bookmarkEnd w:id="103"/>
      <w:bookmarkStart w:id="104" w:name="_Toc184314423"/>
      <w:bookmarkEnd w:id="104"/>
      <w:bookmarkStart w:id="105" w:name="_Toc184313278"/>
      <w:bookmarkEnd w:id="105"/>
      <w:bookmarkStart w:id="106" w:name="_Toc184310298"/>
      <w:bookmarkEnd w:id="106"/>
      <w:bookmarkStart w:id="107" w:name="_Toc184314452"/>
      <w:bookmarkEnd w:id="107"/>
      <w:bookmarkStart w:id="108" w:name="_Toc184314469"/>
      <w:bookmarkEnd w:id="108"/>
      <w:bookmarkStart w:id="109" w:name="_Toc184310337"/>
      <w:bookmarkEnd w:id="109"/>
      <w:bookmarkStart w:id="110" w:name="_Toc184312124"/>
      <w:bookmarkEnd w:id="110"/>
      <w:bookmarkStart w:id="111" w:name="_Toc184310307"/>
      <w:bookmarkEnd w:id="111"/>
      <w:bookmarkStart w:id="112" w:name="_Toc184313296"/>
      <w:bookmarkEnd w:id="112"/>
      <w:bookmarkStart w:id="113" w:name="_Toc184308092"/>
      <w:bookmarkEnd w:id="113"/>
      <w:bookmarkStart w:id="114" w:name="_Toc184314474"/>
      <w:bookmarkEnd w:id="114"/>
      <w:bookmarkStart w:id="115" w:name="_Toc184312101"/>
      <w:bookmarkEnd w:id="115"/>
      <w:bookmarkStart w:id="116" w:name="_Toc184310340"/>
      <w:bookmarkEnd w:id="116"/>
      <w:bookmarkStart w:id="117" w:name="_Toc184312136"/>
      <w:bookmarkEnd w:id="117"/>
      <w:bookmarkStart w:id="118" w:name="_Toc184313242"/>
      <w:bookmarkEnd w:id="118"/>
      <w:bookmarkStart w:id="119" w:name="_Toc184308093"/>
      <w:bookmarkEnd w:id="119"/>
      <w:bookmarkStart w:id="120" w:name="_Toc184314410"/>
      <w:bookmarkEnd w:id="120"/>
      <w:bookmarkStart w:id="121" w:name="_Toc184310295"/>
      <w:bookmarkEnd w:id="121"/>
      <w:bookmarkStart w:id="122" w:name="_Toc184312098"/>
      <w:bookmarkEnd w:id="122"/>
      <w:bookmarkStart w:id="123" w:name="_Toc184313261"/>
      <w:bookmarkEnd w:id="123"/>
      <w:bookmarkStart w:id="124" w:name="_Toc184310318"/>
      <w:bookmarkEnd w:id="124"/>
      <w:bookmarkStart w:id="125" w:name="_Toc184312131"/>
      <w:bookmarkEnd w:id="125"/>
      <w:bookmarkStart w:id="126" w:name="_Toc184308095"/>
      <w:bookmarkEnd w:id="126"/>
      <w:bookmarkStart w:id="127" w:name="_Toc184310335"/>
      <w:bookmarkEnd w:id="127"/>
      <w:bookmarkStart w:id="128" w:name="_Toc184313294"/>
      <w:bookmarkEnd w:id="128"/>
      <w:bookmarkStart w:id="129" w:name="_Toc184313275"/>
      <w:bookmarkEnd w:id="129"/>
      <w:bookmarkStart w:id="130" w:name="_Toc184313282"/>
      <w:bookmarkEnd w:id="130"/>
      <w:bookmarkStart w:id="131" w:name="_Toc184310276"/>
      <w:bookmarkEnd w:id="131"/>
      <w:bookmarkStart w:id="132" w:name="_Toc184314436"/>
      <w:bookmarkEnd w:id="132"/>
      <w:bookmarkStart w:id="133" w:name="_Toc184314464"/>
      <w:bookmarkEnd w:id="133"/>
      <w:bookmarkStart w:id="134" w:name="_Toc184310312"/>
      <w:bookmarkEnd w:id="134"/>
      <w:bookmarkStart w:id="135" w:name="_Toc184313267"/>
      <w:bookmarkEnd w:id="135"/>
      <w:bookmarkStart w:id="136" w:name="_Toc184310308"/>
      <w:bookmarkEnd w:id="136"/>
      <w:bookmarkStart w:id="137" w:name="_Toc184308067"/>
      <w:bookmarkEnd w:id="137"/>
      <w:bookmarkStart w:id="138" w:name="_Toc184312071"/>
      <w:bookmarkEnd w:id="138"/>
      <w:bookmarkStart w:id="139" w:name="_Toc184310301"/>
      <w:bookmarkEnd w:id="139"/>
      <w:bookmarkStart w:id="140" w:name="_Toc184310336"/>
      <w:bookmarkEnd w:id="140"/>
      <w:bookmarkStart w:id="141" w:name="_Toc184312077"/>
      <w:bookmarkEnd w:id="141"/>
      <w:bookmarkStart w:id="142" w:name="_Toc184308069"/>
      <w:bookmarkEnd w:id="142"/>
      <w:bookmarkStart w:id="143" w:name="_Toc184310292"/>
      <w:bookmarkEnd w:id="143"/>
      <w:bookmarkStart w:id="144" w:name="_Toc184310279"/>
      <w:bookmarkEnd w:id="144"/>
      <w:bookmarkStart w:id="145" w:name="_Toc184312095"/>
      <w:bookmarkEnd w:id="145"/>
      <w:bookmarkStart w:id="146" w:name="_Toc184312121"/>
      <w:bookmarkEnd w:id="146"/>
      <w:bookmarkStart w:id="147" w:name="_Toc184312108"/>
      <w:bookmarkEnd w:id="147"/>
      <w:bookmarkStart w:id="148" w:name="_Toc184314435"/>
      <w:bookmarkEnd w:id="148"/>
      <w:bookmarkStart w:id="149" w:name="_Toc184313281"/>
      <w:bookmarkEnd w:id="149"/>
      <w:bookmarkStart w:id="150" w:name="_Toc184310319"/>
      <w:bookmarkEnd w:id="150"/>
      <w:bookmarkStart w:id="151" w:name="_Toc184314431"/>
      <w:bookmarkEnd w:id="151"/>
      <w:bookmarkStart w:id="152" w:name="_Toc184310305"/>
      <w:bookmarkEnd w:id="152"/>
      <w:bookmarkStart w:id="153" w:name="_Toc184313270"/>
      <w:bookmarkEnd w:id="153"/>
      <w:bookmarkStart w:id="154" w:name="_Toc184313256"/>
      <w:bookmarkEnd w:id="154"/>
      <w:bookmarkStart w:id="155" w:name="_Toc184313284"/>
      <w:bookmarkEnd w:id="155"/>
      <w:bookmarkStart w:id="156" w:name="_Toc184312117"/>
      <w:bookmarkEnd w:id="156"/>
      <w:bookmarkStart w:id="157" w:name="_Toc184314456"/>
      <w:bookmarkEnd w:id="157"/>
      <w:bookmarkStart w:id="158" w:name="_Toc184310278"/>
      <w:bookmarkEnd w:id="158"/>
      <w:bookmarkStart w:id="159" w:name="_Toc184310316"/>
      <w:bookmarkEnd w:id="159"/>
      <w:bookmarkStart w:id="160" w:name="_Toc184312115"/>
      <w:bookmarkEnd w:id="160"/>
      <w:bookmarkStart w:id="161" w:name="_Toc184310328"/>
      <w:bookmarkEnd w:id="161"/>
      <w:bookmarkStart w:id="162" w:name="_Toc184308101"/>
      <w:bookmarkEnd w:id="162"/>
      <w:bookmarkStart w:id="163" w:name="_Toc184310338"/>
      <w:bookmarkEnd w:id="163"/>
      <w:bookmarkStart w:id="164" w:name="_Toc184312119"/>
      <w:bookmarkEnd w:id="164"/>
      <w:bookmarkStart w:id="165" w:name="_Toc184308065"/>
      <w:bookmarkEnd w:id="165"/>
      <w:bookmarkStart w:id="166" w:name="_Toc184312111"/>
      <w:bookmarkEnd w:id="166"/>
      <w:bookmarkStart w:id="167" w:name="_Toc184308046"/>
      <w:bookmarkEnd w:id="167"/>
      <w:bookmarkStart w:id="168" w:name="_Toc184314422"/>
      <w:bookmarkEnd w:id="168"/>
      <w:bookmarkStart w:id="169" w:name="_Toc184314429"/>
      <w:bookmarkEnd w:id="169"/>
      <w:bookmarkStart w:id="170" w:name="_Toc184313258"/>
      <w:bookmarkEnd w:id="170"/>
      <w:bookmarkStart w:id="171" w:name="_Toc184313280"/>
      <w:bookmarkEnd w:id="171"/>
      <w:bookmarkStart w:id="172" w:name="_Toc184314448"/>
      <w:bookmarkEnd w:id="172"/>
      <w:bookmarkStart w:id="173" w:name="_Toc184313292"/>
      <w:bookmarkEnd w:id="173"/>
      <w:bookmarkStart w:id="174" w:name="_Toc184313255"/>
      <w:bookmarkEnd w:id="174"/>
      <w:bookmarkStart w:id="175" w:name="_Toc184308052"/>
      <w:bookmarkEnd w:id="175"/>
      <w:bookmarkStart w:id="176" w:name="_Toc184313295"/>
      <w:bookmarkEnd w:id="176"/>
      <w:bookmarkStart w:id="177" w:name="_Toc184313303"/>
      <w:bookmarkEnd w:id="177"/>
      <w:bookmarkStart w:id="178" w:name="_Toc184314434"/>
      <w:bookmarkEnd w:id="178"/>
      <w:bookmarkStart w:id="179" w:name="_Toc184308066"/>
      <w:bookmarkEnd w:id="179"/>
      <w:bookmarkStart w:id="180" w:name="_Toc184310293"/>
      <w:bookmarkEnd w:id="180"/>
      <w:bookmarkStart w:id="181" w:name="_Toc184308044"/>
      <w:bookmarkEnd w:id="181"/>
      <w:bookmarkStart w:id="182" w:name="_Toc184312075"/>
      <w:bookmarkEnd w:id="182"/>
      <w:bookmarkStart w:id="183" w:name="_Toc184308089"/>
      <w:bookmarkEnd w:id="183"/>
      <w:bookmarkStart w:id="184" w:name="_Toc184314450"/>
      <w:bookmarkEnd w:id="184"/>
      <w:bookmarkStart w:id="185" w:name="_Toc184314449"/>
      <w:bookmarkEnd w:id="185"/>
      <w:bookmarkStart w:id="186" w:name="_Toc184312072"/>
      <w:bookmarkEnd w:id="186"/>
      <w:bookmarkStart w:id="187" w:name="_Toc184314479"/>
      <w:bookmarkEnd w:id="187"/>
      <w:bookmarkStart w:id="188" w:name="_Toc184308084"/>
      <w:bookmarkEnd w:id="188"/>
      <w:bookmarkStart w:id="189" w:name="_Toc184314433"/>
      <w:bookmarkEnd w:id="189"/>
      <w:bookmarkStart w:id="190" w:name="_Toc184312107"/>
      <w:bookmarkEnd w:id="190"/>
      <w:bookmarkStart w:id="191" w:name="_Toc184312126"/>
      <w:bookmarkEnd w:id="191"/>
      <w:bookmarkStart w:id="192" w:name="_Toc184313249"/>
      <w:bookmarkEnd w:id="192"/>
      <w:bookmarkStart w:id="193" w:name="_Toc184308077"/>
      <w:bookmarkEnd w:id="193"/>
      <w:bookmarkStart w:id="194" w:name="_Toc184310310"/>
      <w:bookmarkEnd w:id="194"/>
      <w:bookmarkStart w:id="195" w:name="_Toc184312100"/>
      <w:bookmarkEnd w:id="195"/>
      <w:bookmarkStart w:id="196" w:name="_Toc184312086"/>
      <w:bookmarkEnd w:id="196"/>
      <w:bookmarkStart w:id="197" w:name="_Toc184312090"/>
      <w:bookmarkEnd w:id="197"/>
      <w:bookmarkStart w:id="198" w:name="_Toc184312070"/>
      <w:bookmarkEnd w:id="198"/>
      <w:bookmarkStart w:id="199" w:name="_Toc184313293"/>
      <w:bookmarkEnd w:id="199"/>
      <w:bookmarkStart w:id="200" w:name="_Toc184314418"/>
      <w:bookmarkEnd w:id="200"/>
      <w:bookmarkStart w:id="201" w:name="_Toc184313288"/>
      <w:bookmarkEnd w:id="201"/>
      <w:bookmarkStart w:id="202" w:name="_Toc184308100"/>
      <w:bookmarkEnd w:id="202"/>
      <w:bookmarkStart w:id="203" w:name="_Toc184310322"/>
      <w:bookmarkEnd w:id="203"/>
      <w:bookmarkStart w:id="204" w:name="_Toc184312120"/>
      <w:bookmarkEnd w:id="204"/>
      <w:bookmarkStart w:id="205" w:name="_Toc184308045"/>
      <w:bookmarkEnd w:id="205"/>
      <w:bookmarkStart w:id="206" w:name="_Toc184314426"/>
      <w:bookmarkEnd w:id="206"/>
      <w:bookmarkStart w:id="207" w:name="_Toc184314416"/>
      <w:bookmarkEnd w:id="207"/>
      <w:bookmarkStart w:id="208" w:name="_Toc184314466"/>
      <w:bookmarkEnd w:id="208"/>
      <w:bookmarkStart w:id="209" w:name="_Toc184313246"/>
      <w:bookmarkEnd w:id="209"/>
      <w:bookmarkStart w:id="210" w:name="_Toc184314471"/>
      <w:bookmarkEnd w:id="210"/>
      <w:bookmarkStart w:id="211" w:name="_Toc184308037"/>
      <w:bookmarkEnd w:id="211"/>
      <w:bookmarkStart w:id="212" w:name="_Toc184310311"/>
      <w:bookmarkEnd w:id="212"/>
      <w:bookmarkStart w:id="213" w:name="_Toc184313301"/>
      <w:bookmarkEnd w:id="213"/>
      <w:bookmarkStart w:id="214" w:name="_Toc184314467"/>
      <w:bookmarkEnd w:id="214"/>
      <w:bookmarkStart w:id="215" w:name="_Toc184312097"/>
      <w:bookmarkEnd w:id="215"/>
      <w:bookmarkStart w:id="216" w:name="_Toc184314472"/>
      <w:bookmarkEnd w:id="216"/>
      <w:bookmarkStart w:id="217" w:name="_Toc184308094"/>
      <w:bookmarkEnd w:id="217"/>
      <w:bookmarkStart w:id="218" w:name="_Toc184314421"/>
      <w:bookmarkEnd w:id="218"/>
      <w:bookmarkStart w:id="219" w:name="_Toc184308078"/>
      <w:bookmarkEnd w:id="219"/>
      <w:bookmarkStart w:id="220" w:name="_Toc184314437"/>
      <w:bookmarkEnd w:id="220"/>
      <w:bookmarkStart w:id="221" w:name="_Toc184313269"/>
      <w:bookmarkEnd w:id="221"/>
      <w:bookmarkStart w:id="222" w:name="_Toc184308085"/>
      <w:bookmarkEnd w:id="222"/>
      <w:bookmarkStart w:id="223" w:name="_Toc184308038"/>
      <w:bookmarkEnd w:id="223"/>
      <w:bookmarkStart w:id="224" w:name="_Toc184313286"/>
      <w:bookmarkEnd w:id="224"/>
      <w:bookmarkStart w:id="225" w:name="_Toc184310288"/>
      <w:bookmarkEnd w:id="225"/>
      <w:bookmarkStart w:id="226" w:name="_Toc184314417"/>
      <w:bookmarkEnd w:id="226"/>
      <w:bookmarkStart w:id="227" w:name="_Toc184310299"/>
      <w:bookmarkEnd w:id="227"/>
      <w:bookmarkStart w:id="228" w:name="_Toc184313300"/>
      <w:bookmarkEnd w:id="228"/>
      <w:bookmarkStart w:id="229" w:name="_Toc184314443"/>
      <w:bookmarkEnd w:id="229"/>
      <w:bookmarkStart w:id="230" w:name="_Toc184310300"/>
      <w:bookmarkEnd w:id="230"/>
      <w:bookmarkStart w:id="231" w:name="_Toc184313241"/>
      <w:bookmarkEnd w:id="231"/>
      <w:bookmarkStart w:id="232" w:name="_Toc184312110"/>
      <w:bookmarkEnd w:id="232"/>
      <w:bookmarkStart w:id="233" w:name="_Toc184310272"/>
      <w:bookmarkEnd w:id="233"/>
      <w:bookmarkStart w:id="234" w:name="_Toc184313307"/>
      <w:bookmarkEnd w:id="234"/>
      <w:bookmarkStart w:id="235" w:name="_Toc184314440"/>
      <w:bookmarkEnd w:id="235"/>
      <w:bookmarkStart w:id="236" w:name="_Toc184308081"/>
      <w:bookmarkEnd w:id="236"/>
      <w:bookmarkStart w:id="237" w:name="_Toc184312112"/>
      <w:bookmarkEnd w:id="237"/>
      <w:bookmarkStart w:id="238" w:name="_Toc184313243"/>
      <w:bookmarkEnd w:id="238"/>
      <w:bookmarkStart w:id="239" w:name="_Toc184313279"/>
      <w:bookmarkEnd w:id="239"/>
      <w:bookmarkStart w:id="240" w:name="_Toc184308104"/>
      <w:bookmarkEnd w:id="240"/>
      <w:bookmarkStart w:id="241" w:name="_Toc184308098"/>
      <w:bookmarkEnd w:id="241"/>
      <w:bookmarkStart w:id="242" w:name="_Toc184313244"/>
      <w:bookmarkEnd w:id="242"/>
      <w:bookmarkStart w:id="243" w:name="_Toc184313309"/>
      <w:bookmarkEnd w:id="243"/>
      <w:bookmarkStart w:id="244" w:name="_Toc184312069"/>
      <w:bookmarkEnd w:id="244"/>
      <w:bookmarkStart w:id="245" w:name="_Toc184314475"/>
      <w:bookmarkEnd w:id="245"/>
      <w:bookmarkStart w:id="246" w:name="_Toc184308036"/>
      <w:bookmarkEnd w:id="246"/>
      <w:bookmarkStart w:id="247" w:name="_Toc184308071"/>
      <w:bookmarkEnd w:id="247"/>
      <w:bookmarkStart w:id="248" w:name="_Toc184314427"/>
      <w:bookmarkEnd w:id="248"/>
      <w:bookmarkStart w:id="249" w:name="_Toc184308103"/>
      <w:bookmarkEnd w:id="249"/>
      <w:bookmarkStart w:id="250" w:name="_Toc184308105"/>
      <w:bookmarkEnd w:id="250"/>
      <w:bookmarkStart w:id="251" w:name="_Toc184310303"/>
      <w:bookmarkEnd w:id="251"/>
      <w:bookmarkStart w:id="252" w:name="_Toc184308079"/>
      <w:bookmarkEnd w:id="252"/>
      <w:bookmarkStart w:id="253" w:name="_Toc184314460"/>
      <w:bookmarkEnd w:id="253"/>
      <w:bookmarkStart w:id="254" w:name="_Toc184314415"/>
      <w:bookmarkEnd w:id="254"/>
      <w:bookmarkStart w:id="255" w:name="_Toc184313290"/>
      <w:bookmarkEnd w:id="255"/>
      <w:bookmarkStart w:id="256" w:name="_Toc184310334"/>
      <w:bookmarkEnd w:id="256"/>
      <w:bookmarkStart w:id="257" w:name="_Toc184314413"/>
      <w:bookmarkEnd w:id="257"/>
      <w:bookmarkStart w:id="258" w:name="_Toc184310306"/>
      <w:bookmarkEnd w:id="258"/>
      <w:bookmarkStart w:id="259" w:name="_Toc184313240"/>
      <w:bookmarkEnd w:id="259"/>
      <w:bookmarkStart w:id="260" w:name="_Toc184314468"/>
      <w:bookmarkEnd w:id="260"/>
      <w:bookmarkStart w:id="261" w:name="_Toc184314420"/>
      <w:bookmarkEnd w:id="261"/>
      <w:bookmarkStart w:id="262" w:name="_Toc184313271"/>
      <w:bookmarkEnd w:id="262"/>
      <w:bookmarkStart w:id="263" w:name="_Toc184312113"/>
      <w:bookmarkEnd w:id="263"/>
      <w:bookmarkStart w:id="264" w:name="_Toc184313260"/>
      <w:bookmarkEnd w:id="264"/>
      <w:bookmarkStart w:id="265" w:name="_Toc184313283"/>
      <w:bookmarkEnd w:id="265"/>
      <w:bookmarkStart w:id="266" w:name="_Toc184308051"/>
      <w:bookmarkEnd w:id="266"/>
      <w:bookmarkStart w:id="267" w:name="_Toc184310342"/>
      <w:bookmarkEnd w:id="267"/>
      <w:bookmarkStart w:id="268" w:name="_Toc184308083"/>
      <w:bookmarkEnd w:id="268"/>
      <w:bookmarkStart w:id="269" w:name="_Toc184308061"/>
      <w:bookmarkEnd w:id="269"/>
      <w:bookmarkStart w:id="270" w:name="_Toc184308059"/>
      <w:bookmarkEnd w:id="270"/>
      <w:bookmarkStart w:id="271" w:name="_Toc184308068"/>
      <w:bookmarkEnd w:id="271"/>
      <w:bookmarkStart w:id="272" w:name="_Toc184312122"/>
      <w:bookmarkEnd w:id="272"/>
      <w:bookmarkStart w:id="273" w:name="_Toc184312096"/>
      <w:bookmarkEnd w:id="273"/>
      <w:bookmarkStart w:id="274" w:name="_Toc184313298"/>
      <w:bookmarkEnd w:id="274"/>
      <w:bookmarkStart w:id="275" w:name="_Toc184312092"/>
      <w:bookmarkEnd w:id="275"/>
      <w:bookmarkStart w:id="276" w:name="_Toc184313251"/>
      <w:bookmarkEnd w:id="276"/>
      <w:bookmarkStart w:id="277" w:name="_Toc184310284"/>
      <w:bookmarkEnd w:id="277"/>
      <w:bookmarkStart w:id="278" w:name="_Toc184310314"/>
      <w:bookmarkEnd w:id="278"/>
      <w:bookmarkStart w:id="279" w:name="_Toc184314465"/>
      <w:bookmarkEnd w:id="279"/>
      <w:bookmarkStart w:id="280" w:name="_Toc184310283"/>
      <w:bookmarkEnd w:id="280"/>
      <w:bookmarkStart w:id="281" w:name="_Toc184312134"/>
      <w:bookmarkEnd w:id="281"/>
      <w:bookmarkStart w:id="282" w:name="_Toc184308072"/>
      <w:bookmarkEnd w:id="282"/>
      <w:bookmarkStart w:id="283" w:name="_Toc184312084"/>
      <w:bookmarkEnd w:id="283"/>
      <w:bookmarkStart w:id="284" w:name="_Toc184312129"/>
      <w:bookmarkEnd w:id="284"/>
      <w:bookmarkStart w:id="285" w:name="_Toc184312106"/>
      <w:bookmarkEnd w:id="285"/>
      <w:bookmarkStart w:id="286" w:name="_Toc184308043"/>
      <w:bookmarkEnd w:id="286"/>
      <w:bookmarkStart w:id="287" w:name="_Toc184314473"/>
      <w:bookmarkEnd w:id="287"/>
      <w:bookmarkStart w:id="288" w:name="_Toc184308041"/>
      <w:bookmarkEnd w:id="288"/>
      <w:bookmarkStart w:id="289" w:name="_Toc184312118"/>
      <w:bookmarkEnd w:id="289"/>
      <w:bookmarkStart w:id="290" w:name="_Toc184312082"/>
      <w:bookmarkEnd w:id="290"/>
      <w:bookmarkStart w:id="291" w:name="_Toc184312139"/>
      <w:bookmarkEnd w:id="291"/>
      <w:bookmarkStart w:id="292" w:name="_Toc184310344"/>
      <w:bookmarkEnd w:id="292"/>
      <w:bookmarkStart w:id="293" w:name="_Toc184310332"/>
      <w:bookmarkEnd w:id="293"/>
      <w:bookmarkStart w:id="294" w:name="_Toc184314445"/>
      <w:bookmarkEnd w:id="294"/>
      <w:bookmarkStart w:id="295" w:name="_Toc184308106"/>
      <w:bookmarkEnd w:id="295"/>
      <w:bookmarkStart w:id="296" w:name="_Toc184314451"/>
      <w:bookmarkEnd w:id="296"/>
      <w:bookmarkStart w:id="297" w:name="_Toc184312133"/>
      <w:bookmarkEnd w:id="297"/>
      <w:bookmarkStart w:id="298" w:name="_Toc184314411"/>
      <w:bookmarkEnd w:id="298"/>
      <w:bookmarkStart w:id="299" w:name="_Toc184310291"/>
      <w:bookmarkEnd w:id="299"/>
      <w:bookmarkStart w:id="300" w:name="_Toc184312138"/>
      <w:bookmarkEnd w:id="300"/>
      <w:bookmarkStart w:id="301" w:name="_Toc184314412"/>
      <w:bookmarkEnd w:id="301"/>
      <w:bookmarkStart w:id="302" w:name="_Toc184310317"/>
      <w:bookmarkEnd w:id="302"/>
      <w:bookmarkStart w:id="303" w:name="_Toc184312078"/>
      <w:bookmarkEnd w:id="303"/>
      <w:bookmarkStart w:id="304" w:name="_Toc184313247"/>
      <w:bookmarkEnd w:id="304"/>
      <w:bookmarkStart w:id="305" w:name="_Toc184310280"/>
      <w:bookmarkEnd w:id="305"/>
      <w:bookmarkStart w:id="306" w:name="_Toc184310329"/>
      <w:bookmarkEnd w:id="306"/>
      <w:bookmarkStart w:id="307" w:name="_Toc184314462"/>
      <w:bookmarkEnd w:id="307"/>
      <w:bookmarkStart w:id="308" w:name="_Toc184312103"/>
      <w:bookmarkEnd w:id="308"/>
      <w:bookmarkStart w:id="309" w:name="_Toc184314439"/>
      <w:bookmarkEnd w:id="309"/>
      <w:bookmarkStart w:id="310" w:name="_Toc184312114"/>
      <w:bookmarkEnd w:id="310"/>
      <w:bookmarkStart w:id="311" w:name="_Toc184313265"/>
      <w:bookmarkEnd w:id="311"/>
      <w:bookmarkStart w:id="312" w:name="_Toc184312091"/>
      <w:bookmarkEnd w:id="312"/>
      <w:bookmarkStart w:id="313" w:name="_Toc184308076"/>
      <w:bookmarkEnd w:id="313"/>
      <w:bookmarkStart w:id="314" w:name="_Toc184313250"/>
      <w:bookmarkEnd w:id="314"/>
      <w:bookmarkStart w:id="315" w:name="_Toc184313306"/>
      <w:bookmarkEnd w:id="315"/>
      <w:bookmarkStart w:id="316" w:name="_Toc184314441"/>
      <w:bookmarkEnd w:id="316"/>
      <w:bookmarkStart w:id="317" w:name="_Toc184313308"/>
      <w:bookmarkEnd w:id="317"/>
      <w:bookmarkStart w:id="318" w:name="_Toc184313252"/>
      <w:bookmarkEnd w:id="318"/>
      <w:bookmarkStart w:id="319" w:name="_Toc184308062"/>
      <w:bookmarkEnd w:id="319"/>
      <w:bookmarkStart w:id="320" w:name="_Toc184310277"/>
      <w:bookmarkEnd w:id="320"/>
      <w:bookmarkStart w:id="321" w:name="_Toc184314478"/>
      <w:bookmarkEnd w:id="321"/>
      <w:bookmarkStart w:id="322" w:name="_Toc184312088"/>
      <w:bookmarkEnd w:id="322"/>
      <w:bookmarkStart w:id="323" w:name="_Toc184312093"/>
      <w:bookmarkEnd w:id="323"/>
      <w:bookmarkStart w:id="324" w:name="_Toc184313254"/>
      <w:bookmarkEnd w:id="324"/>
      <w:bookmarkStart w:id="325" w:name="_Toc184314482"/>
      <w:bookmarkEnd w:id="325"/>
      <w:bookmarkStart w:id="326" w:name="_Toc184313238"/>
      <w:bookmarkEnd w:id="326"/>
      <w:bookmarkStart w:id="327" w:name="_Toc184314453"/>
      <w:bookmarkEnd w:id="327"/>
      <w:bookmarkStart w:id="328" w:name="_Toc184312080"/>
      <w:bookmarkEnd w:id="328"/>
      <w:bookmarkStart w:id="329" w:name="_Toc184312125"/>
      <w:bookmarkEnd w:id="329"/>
      <w:bookmarkStart w:id="330" w:name="_Toc184314447"/>
      <w:bookmarkEnd w:id="330"/>
      <w:bookmarkStart w:id="331" w:name="_Toc184314424"/>
      <w:bookmarkEnd w:id="331"/>
      <w:bookmarkStart w:id="332" w:name="_Toc184308063"/>
      <w:bookmarkEnd w:id="332"/>
      <w:bookmarkStart w:id="333" w:name="_Toc184310275"/>
      <w:bookmarkEnd w:id="333"/>
      <w:bookmarkStart w:id="334" w:name="_Toc184308108"/>
      <w:bookmarkEnd w:id="334"/>
      <w:bookmarkStart w:id="335" w:name="_Toc184310290"/>
      <w:bookmarkEnd w:id="335"/>
      <w:bookmarkStart w:id="336" w:name="_Toc184308090"/>
      <w:bookmarkEnd w:id="336"/>
      <w:bookmarkStart w:id="337" w:name="_Toc184313277"/>
      <w:bookmarkEnd w:id="337"/>
      <w:bookmarkStart w:id="338" w:name="_Toc184314432"/>
      <w:bookmarkEnd w:id="338"/>
      <w:bookmarkStart w:id="339" w:name="_Toc184310285"/>
      <w:bookmarkEnd w:id="339"/>
      <w:bookmarkStart w:id="340" w:name="_Toc184310286"/>
      <w:bookmarkEnd w:id="340"/>
      <w:bookmarkStart w:id="341" w:name="_Toc184313259"/>
      <w:bookmarkEnd w:id="341"/>
      <w:bookmarkStart w:id="342" w:name="_Toc184308082"/>
      <w:bookmarkEnd w:id="342"/>
      <w:bookmarkStart w:id="343" w:name="_Toc184312081"/>
      <w:bookmarkEnd w:id="343"/>
      <w:bookmarkStart w:id="344" w:name="_Toc184313272"/>
      <w:bookmarkEnd w:id="344"/>
      <w:bookmarkStart w:id="345" w:name="_Toc184313305"/>
      <w:bookmarkEnd w:id="345"/>
      <w:bookmarkStart w:id="346" w:name="_Toc184310341"/>
      <w:bookmarkEnd w:id="346"/>
      <w:bookmarkStart w:id="347" w:name="_Toc184310294"/>
      <w:bookmarkEnd w:id="347"/>
      <w:bookmarkStart w:id="348" w:name="_Toc184308099"/>
      <w:bookmarkEnd w:id="348"/>
      <w:bookmarkStart w:id="349" w:name="_Toc184310327"/>
      <w:bookmarkEnd w:id="349"/>
      <w:bookmarkStart w:id="350" w:name="_Toc184314477"/>
      <w:bookmarkEnd w:id="350"/>
      <w:bookmarkStart w:id="351" w:name="_Toc184314454"/>
      <w:bookmarkEnd w:id="351"/>
      <w:bookmarkStart w:id="352" w:name="_Toc184308057"/>
      <w:bookmarkEnd w:id="352"/>
      <w:bookmarkStart w:id="353" w:name="_Toc184310289"/>
      <w:bookmarkEnd w:id="353"/>
      <w:bookmarkStart w:id="354" w:name="_Toc184312137"/>
      <w:bookmarkEnd w:id="354"/>
      <w:bookmarkStart w:id="355" w:name="_Toc184312128"/>
      <w:bookmarkEnd w:id="355"/>
      <w:bookmarkStart w:id="356" w:name="_Toc184313239"/>
      <w:bookmarkEnd w:id="356"/>
      <w:bookmarkStart w:id="357" w:name="_Toc184310296"/>
      <w:bookmarkEnd w:id="357"/>
      <w:bookmarkStart w:id="358" w:name="_Toc184312099"/>
      <w:bookmarkEnd w:id="358"/>
      <w:bookmarkStart w:id="359" w:name="_Toc184308087"/>
      <w:bookmarkEnd w:id="359"/>
      <w:bookmarkStart w:id="360" w:name="_Toc184314459"/>
      <w:bookmarkEnd w:id="360"/>
      <w:bookmarkStart w:id="361" w:name="_Toc184310333"/>
      <w:bookmarkEnd w:id="361"/>
      <w:bookmarkStart w:id="362" w:name="_Toc184314480"/>
      <w:bookmarkEnd w:id="362"/>
      <w:bookmarkStart w:id="363" w:name="_Toc184313245"/>
      <w:bookmarkEnd w:id="363"/>
      <w:bookmarkStart w:id="364" w:name="_Toc184310304"/>
      <w:bookmarkEnd w:id="364"/>
      <w:bookmarkStart w:id="365" w:name="_Toc184308056"/>
      <w:bookmarkEnd w:id="365"/>
      <w:bookmarkStart w:id="366" w:name="_Toc184310302"/>
      <w:bookmarkEnd w:id="366"/>
      <w:bookmarkStart w:id="367" w:name="_Toc184313262"/>
      <w:bookmarkEnd w:id="367"/>
      <w:bookmarkStart w:id="368" w:name="_Toc184312104"/>
      <w:bookmarkEnd w:id="368"/>
      <w:bookmarkStart w:id="369" w:name="_Toc184308054"/>
      <w:bookmarkEnd w:id="369"/>
      <w:bookmarkStart w:id="370" w:name="_Toc184312135"/>
      <w:bookmarkEnd w:id="370"/>
      <w:bookmarkStart w:id="371" w:name="_Toc184313263"/>
      <w:bookmarkEnd w:id="371"/>
      <w:bookmarkStart w:id="372" w:name="_Toc184312094"/>
      <w:bookmarkEnd w:id="372"/>
      <w:bookmarkStart w:id="373" w:name="_Toc184313274"/>
      <w:bookmarkEnd w:id="373"/>
      <w:bookmarkStart w:id="374" w:name="_Toc184310331"/>
      <w:bookmarkEnd w:id="374"/>
      <w:bookmarkStart w:id="375" w:name="_Toc184314481"/>
      <w:bookmarkEnd w:id="375"/>
      <w:bookmarkStart w:id="376" w:name="_Toc184308091"/>
      <w:bookmarkEnd w:id="376"/>
      <w:bookmarkStart w:id="377" w:name="_Toc184310282"/>
      <w:bookmarkEnd w:id="377"/>
      <w:bookmarkStart w:id="378" w:name="_Toc184308088"/>
      <w:bookmarkEnd w:id="378"/>
      <w:bookmarkStart w:id="379" w:name="_Toc184308047"/>
      <w:bookmarkEnd w:id="379"/>
      <w:r>
        <w:rPr>
          <w:rFonts w:hint="eastAsia" w:ascii="宋体" w:hAnsi="宋体" w:cs="宋体"/>
          <w:b/>
          <w:color w:val="auto"/>
          <w:sz w:val="36"/>
          <w:szCs w:val="36"/>
          <w:highlight w:val="none"/>
        </w:rPr>
        <w:t>评标办法</w:t>
      </w:r>
    </w:p>
    <w:p w14:paraId="7D8A5C1F">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5511" w:type="pct"/>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6986"/>
        <w:gridCol w:w="908"/>
        <w:gridCol w:w="1528"/>
      </w:tblGrid>
      <w:tr w14:paraId="6E0B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32BCC91B">
            <w:pPr>
              <w:keepNext w:val="0"/>
              <w:keepLines w:val="0"/>
              <w:widowControl w:val="0"/>
              <w:suppressLineNumbers w:val="0"/>
              <w:adjustRightInd w:val="0"/>
              <w:spacing w:before="0" w:beforeAutospacing="0" w:after="0" w:afterAutospacing="0" w:line="360" w:lineRule="auto"/>
              <w:ind w:left="0" w:right="0"/>
              <w:jc w:val="center"/>
              <w:outlineLvl w:val="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序号</w:t>
            </w:r>
          </w:p>
        </w:tc>
        <w:tc>
          <w:tcPr>
            <w:tcW w:w="6986" w:type="dxa"/>
            <w:tcBorders>
              <w:top w:val="single" w:color="auto" w:sz="4" w:space="0"/>
              <w:left w:val="single" w:color="auto" w:sz="4" w:space="0"/>
              <w:bottom w:val="single" w:color="auto" w:sz="4" w:space="0"/>
              <w:right w:val="single" w:color="auto" w:sz="4" w:space="0"/>
            </w:tcBorders>
            <w:noWrap w:val="0"/>
            <w:vAlign w:val="center"/>
          </w:tcPr>
          <w:p w14:paraId="6BE67C83">
            <w:pPr>
              <w:keepNext w:val="0"/>
              <w:keepLines w:val="0"/>
              <w:widowControl w:val="0"/>
              <w:suppressLineNumbers w:val="0"/>
              <w:adjustRightInd w:val="0"/>
              <w:spacing w:before="0" w:beforeAutospacing="0" w:after="0" w:afterAutospacing="0" w:line="360" w:lineRule="auto"/>
              <w:ind w:left="0" w:right="0" w:firstLine="1560" w:firstLineChars="650"/>
              <w:jc w:val="center"/>
              <w:outlineLvl w:val="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评标标准</w:t>
            </w:r>
          </w:p>
        </w:tc>
        <w:tc>
          <w:tcPr>
            <w:tcW w:w="908" w:type="dxa"/>
            <w:tcBorders>
              <w:top w:val="single" w:color="auto" w:sz="4" w:space="0"/>
              <w:left w:val="single" w:color="auto" w:sz="4" w:space="0"/>
              <w:bottom w:val="single" w:color="auto" w:sz="4" w:space="0"/>
              <w:right w:val="single" w:color="auto" w:sz="4" w:space="0"/>
            </w:tcBorders>
            <w:noWrap w:val="0"/>
            <w:vAlign w:val="center"/>
          </w:tcPr>
          <w:p w14:paraId="04C2DB36">
            <w:pPr>
              <w:keepNext w:val="0"/>
              <w:keepLines w:val="0"/>
              <w:widowControl w:val="0"/>
              <w:suppressLineNumbers w:val="0"/>
              <w:adjustRightInd w:val="0"/>
              <w:spacing w:before="0" w:beforeAutospacing="0" w:after="0" w:afterAutospacing="0" w:line="360" w:lineRule="auto"/>
              <w:ind w:left="0" w:right="0"/>
              <w:jc w:val="center"/>
              <w:outlineLvl w:val="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权重</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0BDFED69">
            <w:pPr>
              <w:keepNext w:val="0"/>
              <w:keepLines w:val="0"/>
              <w:widowControl w:val="0"/>
              <w:suppressLineNumbers w:val="0"/>
              <w:adjustRightInd w:val="0"/>
              <w:spacing w:before="0" w:beforeAutospacing="0" w:after="0" w:afterAutospacing="0" w:line="360" w:lineRule="auto"/>
              <w:ind w:left="0" w:right="0"/>
              <w:jc w:val="center"/>
              <w:outlineLvl w:val="0"/>
              <w:rPr>
                <w:rFonts w:hint="eastAsia" w:ascii="宋体" w:hAnsi="宋体" w:eastAsia="宋体" w:cs="宋体"/>
                <w:bCs/>
                <w:color w:val="auto"/>
                <w:kern w:val="2"/>
                <w:sz w:val="24"/>
                <w:szCs w:val="24"/>
                <w:highlight w:val="none"/>
              </w:rPr>
            </w:pPr>
            <w:r>
              <w:rPr>
                <w:rFonts w:hint="eastAsia" w:ascii="宋体" w:hAnsi="宋体" w:cs="宋体"/>
                <w:bCs/>
                <w:color w:val="auto"/>
                <w:kern w:val="2"/>
                <w:sz w:val="16"/>
                <w:szCs w:val="16"/>
                <w:highlight w:val="none"/>
                <w:lang w:val="en-US" w:eastAsia="zh-CN" w:bidi="ar"/>
              </w:rPr>
              <w:t>响应文件</w:t>
            </w:r>
            <w:r>
              <w:rPr>
                <w:rFonts w:hint="eastAsia" w:ascii="宋体" w:hAnsi="宋体" w:eastAsia="宋体" w:cs="宋体"/>
                <w:bCs/>
                <w:color w:val="auto"/>
                <w:kern w:val="2"/>
                <w:sz w:val="16"/>
                <w:szCs w:val="16"/>
                <w:highlight w:val="none"/>
                <w:lang w:val="en-US" w:eastAsia="zh-CN" w:bidi="ar"/>
              </w:rPr>
              <w:t>中评标标准相应的商务技术资料目录</w:t>
            </w:r>
            <w:r>
              <w:rPr>
                <w:rFonts w:hint="eastAsia" w:ascii="宋体" w:hAnsi="宋体" w:eastAsia="宋体" w:cs="宋体"/>
                <w:color w:val="auto"/>
                <w:kern w:val="2"/>
                <w:sz w:val="16"/>
                <w:szCs w:val="16"/>
                <w:highlight w:val="none"/>
                <w:shd w:val="clear" w:color="auto" w:fill="FFFFFF"/>
                <w:lang w:val="en-US" w:eastAsia="zh-CN" w:bidi="ar"/>
              </w:rPr>
              <w:t>*</w:t>
            </w:r>
          </w:p>
        </w:tc>
      </w:tr>
      <w:tr w14:paraId="4E2D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7737D662">
            <w:pPr>
              <w:keepNext w:val="0"/>
              <w:keepLines w:val="0"/>
              <w:widowControl w:val="0"/>
              <w:suppressLineNumbers w:val="0"/>
              <w:adjustRightInd w:val="0"/>
              <w:spacing w:before="0" w:beforeAutospacing="0" w:after="0" w:afterAutospacing="0" w:line="360" w:lineRule="auto"/>
              <w:ind w:left="0" w:right="0" w:firstLine="360" w:firstLineChars="150"/>
              <w:jc w:val="both"/>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p>
        </w:tc>
        <w:tc>
          <w:tcPr>
            <w:tcW w:w="6986" w:type="dxa"/>
            <w:tcBorders>
              <w:top w:val="single" w:color="auto" w:sz="4" w:space="0"/>
              <w:left w:val="single" w:color="auto" w:sz="4" w:space="0"/>
              <w:bottom w:val="single" w:color="auto" w:sz="4" w:space="0"/>
              <w:right w:val="single" w:color="auto" w:sz="4" w:space="0"/>
            </w:tcBorders>
            <w:noWrap w:val="0"/>
            <w:vAlign w:val="center"/>
          </w:tcPr>
          <w:p w14:paraId="7C3A99FB">
            <w:pPr>
              <w:keepNext w:val="0"/>
              <w:keepLines w:val="0"/>
              <w:widowControl w:val="0"/>
              <w:suppressLineNumbers w:val="0"/>
              <w:adjustRightInd w:val="0"/>
              <w:spacing w:before="0" w:beforeAutospacing="0" w:after="0" w:afterAutospacing="0" w:line="360" w:lineRule="auto"/>
              <w:ind w:left="0" w:right="0"/>
              <w:jc w:val="left"/>
              <w:outlineLvl w:val="0"/>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【企业业绩】</w:t>
            </w:r>
          </w:p>
          <w:p w14:paraId="32230892">
            <w:pPr>
              <w:keepNext w:val="0"/>
              <w:keepLines w:val="0"/>
              <w:widowControl w:val="0"/>
              <w:suppressLineNumbers w:val="0"/>
              <w:adjustRightInd w:val="0"/>
              <w:spacing w:before="0" w:beforeAutospacing="0" w:after="0" w:afterAutospacing="0" w:line="360" w:lineRule="auto"/>
              <w:ind w:left="0" w:right="0"/>
              <w:jc w:val="left"/>
              <w:outlineLvl w:val="0"/>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供应商</w:t>
            </w:r>
            <w:r>
              <w:rPr>
                <w:rFonts w:hint="eastAsia" w:ascii="宋体" w:hAnsi="宋体" w:eastAsia="宋体" w:cs="宋体"/>
                <w:color w:val="auto"/>
                <w:kern w:val="0"/>
                <w:sz w:val="24"/>
                <w:szCs w:val="24"/>
                <w:highlight w:val="none"/>
                <w:lang w:val="en-US" w:eastAsia="zh-CN" w:bidi="ar"/>
              </w:rPr>
              <w:t>自202</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年</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月1日以来承担过类似</w:t>
            </w:r>
            <w:r>
              <w:rPr>
                <w:rFonts w:hint="eastAsia" w:ascii="宋体" w:hAnsi="宋体" w:cs="宋体"/>
                <w:color w:val="auto"/>
                <w:kern w:val="0"/>
                <w:sz w:val="24"/>
                <w:szCs w:val="24"/>
                <w:highlight w:val="none"/>
                <w:lang w:val="en-US" w:eastAsia="zh-CN" w:bidi="ar"/>
              </w:rPr>
              <w:t>本项目</w:t>
            </w:r>
            <w:r>
              <w:rPr>
                <w:rFonts w:hint="eastAsia" w:ascii="宋体" w:hAnsi="宋体" w:eastAsia="宋体" w:cs="宋体"/>
                <w:color w:val="auto"/>
                <w:kern w:val="0"/>
                <w:sz w:val="24"/>
                <w:szCs w:val="24"/>
                <w:highlight w:val="none"/>
                <w:lang w:val="en-US" w:eastAsia="zh-CN" w:bidi="ar"/>
              </w:rPr>
              <w:t>业绩，每提供一个业绩得0.5分，最高得1分。</w:t>
            </w:r>
          </w:p>
          <w:p w14:paraId="64BAB646">
            <w:pPr>
              <w:keepNext w:val="0"/>
              <w:keepLines w:val="0"/>
              <w:widowControl w:val="0"/>
              <w:suppressLineNumbers w:val="0"/>
              <w:adjustRightInd w:val="0"/>
              <w:spacing w:before="0" w:beforeAutospacing="0" w:after="0" w:afterAutospacing="0" w:line="360" w:lineRule="auto"/>
              <w:ind w:left="0" w:right="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证明材料：服务合同复印件</w:t>
            </w:r>
            <w:r>
              <w:rPr>
                <w:rFonts w:hint="eastAsia" w:ascii="宋体" w:hAnsi="宋体" w:cs="宋体"/>
                <w:color w:val="auto"/>
                <w:kern w:val="2"/>
                <w:sz w:val="24"/>
                <w:szCs w:val="24"/>
                <w:highlight w:val="none"/>
                <w:lang w:val="en-US" w:eastAsia="zh-CN" w:bidi="ar"/>
              </w:rPr>
              <w:t>并</w:t>
            </w:r>
            <w:r>
              <w:rPr>
                <w:rFonts w:hint="eastAsia" w:ascii="宋体" w:hAnsi="宋体" w:eastAsia="宋体" w:cs="宋体"/>
                <w:color w:val="auto"/>
                <w:kern w:val="2"/>
                <w:sz w:val="24"/>
                <w:szCs w:val="24"/>
                <w:highlight w:val="none"/>
                <w:lang w:val="en-US" w:eastAsia="zh-CN" w:bidi="ar"/>
              </w:rPr>
              <w:t>加盖公章。</w:t>
            </w:r>
          </w:p>
        </w:tc>
        <w:tc>
          <w:tcPr>
            <w:tcW w:w="908" w:type="dxa"/>
            <w:tcBorders>
              <w:top w:val="single" w:color="auto" w:sz="4" w:space="0"/>
              <w:left w:val="single" w:color="auto" w:sz="4" w:space="0"/>
              <w:bottom w:val="single" w:color="auto" w:sz="4" w:space="0"/>
              <w:right w:val="single" w:color="auto" w:sz="4" w:space="0"/>
            </w:tcBorders>
            <w:noWrap w:val="0"/>
            <w:vAlign w:val="center"/>
          </w:tcPr>
          <w:p w14:paraId="7C68B382">
            <w:pPr>
              <w:keepNext w:val="0"/>
              <w:keepLines w:val="0"/>
              <w:widowControl w:val="0"/>
              <w:suppressLineNumbers w:val="0"/>
              <w:adjustRightInd w:val="0"/>
              <w:spacing w:before="0" w:beforeAutospacing="0" w:after="0" w:afterAutospacing="0" w:line="360" w:lineRule="auto"/>
              <w:ind w:left="0" w:right="0"/>
              <w:jc w:val="center"/>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545419BD">
            <w:pPr>
              <w:keepNext w:val="0"/>
              <w:keepLines w:val="0"/>
              <w:widowControl w:val="0"/>
              <w:suppressLineNumbers w:val="0"/>
              <w:adjustRightInd w:val="0"/>
              <w:spacing w:before="0" w:beforeAutospacing="0" w:after="0" w:afterAutospacing="0" w:line="360" w:lineRule="auto"/>
              <w:ind w:left="0" w:right="0"/>
              <w:jc w:val="center"/>
              <w:outlineLvl w:val="0"/>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客观分</w:t>
            </w:r>
          </w:p>
        </w:tc>
      </w:tr>
      <w:tr w14:paraId="6F2A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1FC2EBCF">
            <w:pPr>
              <w:keepNext w:val="0"/>
              <w:keepLines w:val="0"/>
              <w:widowControl w:val="0"/>
              <w:suppressLineNumbers w:val="0"/>
              <w:adjustRightInd w:val="0"/>
              <w:spacing w:before="0" w:beforeAutospacing="0" w:after="0" w:afterAutospacing="0" w:line="360" w:lineRule="auto"/>
              <w:ind w:left="0" w:right="0" w:firstLine="360" w:firstLineChars="15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p>
        </w:tc>
        <w:tc>
          <w:tcPr>
            <w:tcW w:w="6986" w:type="dxa"/>
            <w:tcBorders>
              <w:top w:val="single" w:color="auto" w:sz="4" w:space="0"/>
              <w:left w:val="single" w:color="auto" w:sz="4" w:space="0"/>
              <w:bottom w:val="single" w:color="auto" w:sz="4" w:space="0"/>
              <w:right w:val="single" w:color="auto" w:sz="4" w:space="0"/>
            </w:tcBorders>
            <w:noWrap w:val="0"/>
            <w:vAlign w:val="center"/>
          </w:tcPr>
          <w:p w14:paraId="1FDCA690">
            <w:pPr>
              <w:keepNext w:val="0"/>
              <w:keepLines w:val="0"/>
              <w:widowControl w:val="0"/>
              <w:suppressLineNumbers w:val="0"/>
              <w:adjustRightInd w:val="0"/>
              <w:spacing w:before="0" w:beforeAutospacing="0" w:after="0" w:afterAutospacing="0" w:line="360" w:lineRule="auto"/>
              <w:ind w:left="0" w:right="0"/>
              <w:jc w:val="left"/>
              <w:outlineLvl w:val="0"/>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【综合实力】</w:t>
            </w:r>
          </w:p>
          <w:p w14:paraId="741EE5F7">
            <w:pPr>
              <w:keepNext w:val="0"/>
              <w:keepLines w:val="0"/>
              <w:widowControl w:val="0"/>
              <w:suppressLineNumbers w:val="0"/>
              <w:adjustRightInd w:val="0"/>
              <w:spacing w:before="0" w:beforeAutospacing="0" w:after="0" w:afterAutospacing="0" w:line="360" w:lineRule="auto"/>
              <w:ind w:left="0" w:right="0"/>
              <w:jc w:val="left"/>
              <w:outlineLvl w:val="0"/>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供应商具有质量管理体系认证、环境管理体系认证，职业健康安全管理体系认证的每个得1分，满分</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分</w:t>
            </w:r>
            <w:r>
              <w:rPr>
                <w:rFonts w:hint="eastAsia" w:ascii="宋体" w:hAnsi="宋体" w:cs="宋体"/>
                <w:color w:val="auto"/>
                <w:kern w:val="0"/>
                <w:sz w:val="24"/>
                <w:szCs w:val="24"/>
                <w:highlight w:val="none"/>
                <w:lang w:val="en-US" w:eastAsia="zh-CN" w:bidi="ar"/>
              </w:rPr>
              <w:t>。</w:t>
            </w:r>
          </w:p>
          <w:p w14:paraId="748EC3F7">
            <w:pPr>
              <w:keepNext w:val="0"/>
              <w:keepLines w:val="0"/>
              <w:widowControl w:val="0"/>
              <w:suppressLineNumbers w:val="0"/>
              <w:adjustRightInd w:val="0"/>
              <w:spacing w:before="0" w:beforeAutospacing="0" w:after="0" w:afterAutospacing="0" w:line="360" w:lineRule="auto"/>
              <w:ind w:left="0" w:right="0"/>
              <w:jc w:val="left"/>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证明材料：有效的认证证书复印件及在全国认证认可信息公共服务平台（http://cx.cnca.cn/）查询的截图复印件并加盖公章。</w:t>
            </w:r>
          </w:p>
        </w:tc>
        <w:tc>
          <w:tcPr>
            <w:tcW w:w="908" w:type="dxa"/>
            <w:tcBorders>
              <w:top w:val="single" w:color="auto" w:sz="4" w:space="0"/>
              <w:left w:val="single" w:color="auto" w:sz="4" w:space="0"/>
              <w:bottom w:val="single" w:color="auto" w:sz="4" w:space="0"/>
              <w:right w:val="single" w:color="auto" w:sz="4" w:space="0"/>
            </w:tcBorders>
            <w:noWrap w:val="0"/>
            <w:vAlign w:val="center"/>
          </w:tcPr>
          <w:p w14:paraId="0173424A">
            <w:pPr>
              <w:keepNext w:val="0"/>
              <w:keepLines w:val="0"/>
              <w:widowControl w:val="0"/>
              <w:suppressLineNumbers w:val="0"/>
              <w:adjustRightInd w:val="0"/>
              <w:spacing w:before="0" w:beforeAutospacing="0" w:after="0" w:afterAutospacing="0" w:line="360" w:lineRule="auto"/>
              <w:ind w:left="0" w:right="0"/>
              <w:jc w:val="center"/>
              <w:outlineLvl w:val="0"/>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3</w:t>
            </w:r>
          </w:p>
        </w:tc>
        <w:tc>
          <w:tcPr>
            <w:tcW w:w="1528" w:type="dxa"/>
            <w:tcBorders>
              <w:top w:val="single" w:color="auto" w:sz="4" w:space="0"/>
              <w:left w:val="single" w:color="auto" w:sz="4" w:space="0"/>
              <w:bottom w:val="single" w:color="auto" w:sz="4" w:space="0"/>
              <w:right w:val="single" w:color="auto" w:sz="4" w:space="0"/>
            </w:tcBorders>
            <w:noWrap w:val="0"/>
            <w:vAlign w:val="top"/>
          </w:tcPr>
          <w:p w14:paraId="59EF90F1">
            <w:pPr>
              <w:keepNext w:val="0"/>
              <w:keepLines w:val="0"/>
              <w:widowControl w:val="0"/>
              <w:suppressLineNumbers w:val="0"/>
              <w:adjustRightInd w:val="0"/>
              <w:spacing w:before="0" w:beforeAutospacing="0" w:after="0" w:afterAutospacing="0" w:line="360" w:lineRule="auto"/>
              <w:ind w:left="0" w:right="0"/>
              <w:jc w:val="both"/>
              <w:outlineLvl w:val="0"/>
              <w:rPr>
                <w:rFonts w:hint="eastAsia" w:ascii="宋体" w:hAnsi="宋体" w:eastAsia="宋体" w:cs="宋体"/>
                <w:color w:val="auto"/>
                <w:kern w:val="2"/>
                <w:sz w:val="24"/>
                <w:szCs w:val="24"/>
                <w:highlight w:val="none"/>
                <w:lang w:val="en-US" w:eastAsia="zh-CN"/>
              </w:rPr>
            </w:pPr>
          </w:p>
          <w:p w14:paraId="2B5EEE2A">
            <w:pPr>
              <w:keepNext w:val="0"/>
              <w:keepLines w:val="0"/>
              <w:widowControl w:val="0"/>
              <w:suppressLineNumbers w:val="0"/>
              <w:adjustRightInd w:val="0"/>
              <w:spacing w:before="0" w:beforeAutospacing="0" w:after="0" w:afterAutospacing="0" w:line="360" w:lineRule="auto"/>
              <w:ind w:left="0" w:right="0"/>
              <w:jc w:val="both"/>
              <w:outlineLvl w:val="0"/>
              <w:rPr>
                <w:rFonts w:hint="eastAsia" w:ascii="宋体" w:hAnsi="宋体" w:eastAsia="宋体" w:cs="宋体"/>
                <w:color w:val="auto"/>
                <w:kern w:val="2"/>
                <w:sz w:val="24"/>
                <w:szCs w:val="24"/>
                <w:highlight w:val="none"/>
                <w:lang w:val="en-US" w:eastAsia="zh-CN"/>
              </w:rPr>
            </w:pPr>
          </w:p>
          <w:p w14:paraId="04FE4F2E">
            <w:pPr>
              <w:keepNext w:val="0"/>
              <w:keepLines w:val="0"/>
              <w:widowControl w:val="0"/>
              <w:suppressLineNumbers w:val="0"/>
              <w:adjustRightInd w:val="0"/>
              <w:spacing w:before="0" w:beforeAutospacing="0" w:after="0" w:afterAutospacing="0" w:line="360" w:lineRule="auto"/>
              <w:ind w:left="0" w:right="0" w:firstLine="240" w:firstLineChars="100"/>
              <w:jc w:val="both"/>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客观分</w:t>
            </w:r>
          </w:p>
        </w:tc>
      </w:tr>
      <w:tr w14:paraId="3A96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663C218C">
            <w:pPr>
              <w:keepNext w:val="0"/>
              <w:keepLines w:val="0"/>
              <w:widowControl w:val="0"/>
              <w:suppressLineNumbers w:val="0"/>
              <w:adjustRightInd w:val="0"/>
              <w:spacing w:before="0" w:beforeAutospacing="0" w:after="0" w:afterAutospacing="0" w:line="360" w:lineRule="auto"/>
              <w:ind w:left="0" w:right="0"/>
              <w:jc w:val="center"/>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p>
        </w:tc>
        <w:tc>
          <w:tcPr>
            <w:tcW w:w="6986" w:type="dxa"/>
            <w:tcBorders>
              <w:top w:val="single" w:color="auto" w:sz="4" w:space="0"/>
              <w:left w:val="single" w:color="auto" w:sz="4" w:space="0"/>
              <w:bottom w:val="single" w:color="auto" w:sz="4" w:space="0"/>
              <w:right w:val="single" w:color="auto" w:sz="4" w:space="0"/>
            </w:tcBorders>
            <w:noWrap w:val="0"/>
            <w:vAlign w:val="center"/>
          </w:tcPr>
          <w:p w14:paraId="2E73B607">
            <w:pPr>
              <w:keepNext w:val="0"/>
              <w:keepLines w:val="0"/>
              <w:widowControl w:val="0"/>
              <w:suppressLineNumbers w:val="0"/>
              <w:adjustRightInd w:val="0"/>
              <w:spacing w:before="0" w:beforeAutospacing="0" w:after="0" w:afterAutospacing="0" w:line="360" w:lineRule="auto"/>
              <w:ind w:left="0" w:right="0"/>
              <w:jc w:val="both"/>
              <w:outlineLvl w:val="0"/>
              <w:rPr>
                <w:rFonts w:hint="eastAsia" w:ascii="宋体" w:hAnsi="宋体" w:eastAsia="宋体" w:cs="宋体"/>
                <w:b/>
                <w:bCs/>
                <w:color w:val="auto"/>
                <w:kern w:val="2"/>
                <w:sz w:val="24"/>
                <w:szCs w:val="24"/>
                <w:highlight w:val="none"/>
              </w:rPr>
            </w:pPr>
            <w:r>
              <w:rPr>
                <w:rFonts w:hint="eastAsia" w:ascii="宋体" w:hAnsi="宋体" w:cs="宋体"/>
                <w:b/>
                <w:bCs/>
                <w:color w:val="auto"/>
                <w:kern w:val="2"/>
                <w:sz w:val="24"/>
                <w:szCs w:val="24"/>
                <w:highlight w:val="none"/>
                <w:lang w:val="en-US" w:eastAsia="zh-CN" w:bidi="ar"/>
              </w:rPr>
              <w:t>【</w:t>
            </w:r>
            <w:r>
              <w:rPr>
                <w:rFonts w:hint="eastAsia" w:ascii="宋体" w:hAnsi="宋体" w:eastAsia="宋体" w:cs="宋体"/>
                <w:b/>
                <w:bCs/>
                <w:color w:val="auto"/>
                <w:kern w:val="2"/>
                <w:sz w:val="24"/>
                <w:szCs w:val="24"/>
                <w:highlight w:val="none"/>
                <w:lang w:val="en-US" w:eastAsia="zh-CN" w:bidi="ar"/>
              </w:rPr>
              <w:t>服务方案</w:t>
            </w:r>
            <w:r>
              <w:rPr>
                <w:rFonts w:hint="eastAsia" w:ascii="宋体" w:hAnsi="宋体" w:cs="宋体"/>
                <w:b/>
                <w:bCs/>
                <w:color w:val="auto"/>
                <w:kern w:val="2"/>
                <w:sz w:val="24"/>
                <w:szCs w:val="24"/>
                <w:highlight w:val="none"/>
                <w:lang w:val="en-US" w:eastAsia="zh-CN" w:bidi="ar"/>
              </w:rPr>
              <w:t>】</w:t>
            </w:r>
          </w:p>
          <w:p w14:paraId="30BE0915">
            <w:pPr>
              <w:keepNext w:val="0"/>
              <w:keepLines w:val="0"/>
              <w:widowControl w:val="0"/>
              <w:suppressLineNumbers w:val="0"/>
              <w:adjustRightInd w:val="0"/>
              <w:spacing w:before="0" w:beforeAutospacing="0" w:after="0" w:afterAutospacing="0" w:line="360" w:lineRule="auto"/>
              <w:ind w:left="0" w:right="0"/>
              <w:jc w:val="both"/>
              <w:outlineLvl w:val="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w:t>
            </w:r>
            <w:r>
              <w:rPr>
                <w:rFonts w:hint="eastAsia" w:ascii="宋体" w:hAnsi="宋体" w:eastAsia="宋体" w:cs="宋体"/>
                <w:color w:val="auto"/>
                <w:sz w:val="24"/>
                <w:szCs w:val="24"/>
                <w:highlight w:val="none"/>
                <w:lang w:val="zh-CN"/>
              </w:rPr>
              <w:t>日常清卫保洁实施方案</w:t>
            </w:r>
            <w:r>
              <w:rPr>
                <w:rFonts w:hint="eastAsia" w:ascii="宋体" w:hAnsi="宋体" w:eastAsia="宋体" w:cs="宋体"/>
                <w:color w:val="auto"/>
                <w:kern w:val="2"/>
                <w:sz w:val="24"/>
                <w:szCs w:val="24"/>
                <w:highlight w:val="none"/>
                <w:lang w:val="en-US" w:eastAsia="zh-CN" w:bidi="ar"/>
              </w:rPr>
              <w:t>：方案实施操作性强且优于实际需求的得</w:t>
            </w:r>
            <w:r>
              <w:rPr>
                <w:rFonts w:hint="eastAsia" w:ascii="宋体" w:hAnsi="宋体" w:cs="宋体"/>
                <w:color w:val="auto"/>
                <w:kern w:val="2"/>
                <w:sz w:val="24"/>
                <w:szCs w:val="24"/>
                <w:highlight w:val="none"/>
                <w:lang w:val="en-US" w:eastAsia="zh-CN" w:bidi="ar"/>
              </w:rPr>
              <w:t>5</w:t>
            </w:r>
            <w:r>
              <w:rPr>
                <w:rFonts w:hint="eastAsia" w:ascii="宋体" w:hAnsi="宋体" w:eastAsia="宋体" w:cs="宋体"/>
                <w:color w:val="auto"/>
                <w:kern w:val="2"/>
                <w:sz w:val="24"/>
                <w:szCs w:val="24"/>
                <w:highlight w:val="none"/>
                <w:lang w:val="en-US" w:eastAsia="zh-CN" w:bidi="ar"/>
              </w:rPr>
              <w:t>分，实施方案操作性</w:t>
            </w:r>
            <w:r>
              <w:rPr>
                <w:rFonts w:hint="eastAsia" w:ascii="宋体" w:hAnsi="宋体" w:cs="宋体"/>
                <w:color w:val="auto"/>
                <w:kern w:val="2"/>
                <w:sz w:val="24"/>
                <w:szCs w:val="24"/>
                <w:highlight w:val="none"/>
                <w:lang w:val="en-US" w:eastAsia="zh-CN" w:bidi="ar"/>
              </w:rPr>
              <w:t>较好</w:t>
            </w:r>
            <w:r>
              <w:rPr>
                <w:rFonts w:hint="eastAsia" w:ascii="宋体" w:hAnsi="宋体" w:eastAsia="宋体" w:cs="宋体"/>
                <w:color w:val="auto"/>
                <w:kern w:val="2"/>
                <w:sz w:val="24"/>
                <w:szCs w:val="24"/>
                <w:highlight w:val="none"/>
                <w:lang w:val="en-US" w:eastAsia="zh-CN" w:bidi="ar"/>
              </w:rPr>
              <w:t>且完全符合实际需求得</w:t>
            </w:r>
            <w:r>
              <w:rPr>
                <w:rFonts w:hint="eastAsia" w:ascii="宋体" w:hAnsi="宋体"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分，实施方案操作性一般且完全符合实际需求得</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分，实施方案操作性欠缺且部分符合实际需求得</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分</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实施方案操作性</w:t>
            </w:r>
            <w:r>
              <w:rPr>
                <w:rFonts w:hint="eastAsia" w:ascii="宋体" w:hAnsi="宋体" w:cs="宋体"/>
                <w:color w:val="auto"/>
                <w:kern w:val="2"/>
                <w:sz w:val="24"/>
                <w:szCs w:val="24"/>
                <w:highlight w:val="none"/>
                <w:lang w:val="en-US" w:eastAsia="zh-CN" w:bidi="ar"/>
              </w:rPr>
              <w:t>不全的</w:t>
            </w:r>
            <w:r>
              <w:rPr>
                <w:rFonts w:hint="eastAsia" w:ascii="宋体" w:hAnsi="宋体" w:eastAsia="宋体" w:cs="宋体"/>
                <w:color w:val="auto"/>
                <w:kern w:val="2"/>
                <w:sz w:val="24"/>
                <w:szCs w:val="24"/>
                <w:highlight w:val="none"/>
                <w:lang w:val="en-US" w:eastAsia="zh-CN" w:bidi="ar"/>
              </w:rPr>
              <w:t>得</w:t>
            </w:r>
            <w:r>
              <w:rPr>
                <w:rFonts w:hint="eastAsia" w:ascii="宋体" w:hAnsi="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分，未提供此项内容的不得分。</w:t>
            </w:r>
          </w:p>
          <w:p w14:paraId="3853258D">
            <w:pPr>
              <w:keepNext w:val="0"/>
              <w:keepLines w:val="0"/>
              <w:widowControl w:val="0"/>
              <w:suppressLineNumbers w:val="0"/>
              <w:adjustRightInd w:val="0"/>
              <w:spacing w:before="0" w:beforeAutospacing="0" w:after="0" w:afterAutospacing="0" w:line="360" w:lineRule="auto"/>
              <w:ind w:left="0" w:right="0"/>
              <w:jc w:val="both"/>
              <w:outlineLvl w:val="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w:t>
            </w:r>
            <w:r>
              <w:rPr>
                <w:rFonts w:hint="eastAsia" w:ascii="宋体" w:hAnsi="宋体" w:eastAsia="宋体" w:cs="宋体"/>
                <w:color w:val="auto"/>
                <w:sz w:val="24"/>
                <w:szCs w:val="24"/>
                <w:highlight w:val="none"/>
                <w:lang w:val="zh-CN"/>
              </w:rPr>
              <w:t>公厕保洁施方案</w:t>
            </w:r>
            <w:r>
              <w:rPr>
                <w:rFonts w:hint="eastAsia" w:ascii="宋体" w:hAnsi="宋体" w:eastAsia="宋体" w:cs="宋体"/>
                <w:color w:val="auto"/>
                <w:kern w:val="2"/>
                <w:sz w:val="24"/>
                <w:szCs w:val="24"/>
                <w:highlight w:val="none"/>
                <w:lang w:val="en-US" w:eastAsia="zh-CN" w:bidi="ar"/>
              </w:rPr>
              <w:t>：方案实施操作性强且优于符合实际需求的得</w:t>
            </w:r>
            <w:r>
              <w:rPr>
                <w:rFonts w:hint="eastAsia" w:ascii="宋体" w:hAnsi="宋体" w:cs="宋体"/>
                <w:color w:val="auto"/>
                <w:kern w:val="2"/>
                <w:sz w:val="24"/>
                <w:szCs w:val="24"/>
                <w:highlight w:val="none"/>
                <w:lang w:val="en-US" w:eastAsia="zh-CN" w:bidi="ar"/>
              </w:rPr>
              <w:t>5</w:t>
            </w:r>
            <w:r>
              <w:rPr>
                <w:rFonts w:hint="eastAsia" w:ascii="宋体" w:hAnsi="宋体" w:eastAsia="宋体" w:cs="宋体"/>
                <w:color w:val="auto"/>
                <w:kern w:val="2"/>
                <w:sz w:val="24"/>
                <w:szCs w:val="24"/>
                <w:highlight w:val="none"/>
                <w:lang w:val="en-US" w:eastAsia="zh-CN" w:bidi="ar"/>
              </w:rPr>
              <w:t>分，实施方案操作性</w:t>
            </w:r>
            <w:r>
              <w:rPr>
                <w:rFonts w:hint="eastAsia" w:ascii="宋体" w:hAnsi="宋体" w:cs="宋体"/>
                <w:color w:val="auto"/>
                <w:kern w:val="2"/>
                <w:sz w:val="24"/>
                <w:szCs w:val="24"/>
                <w:highlight w:val="none"/>
                <w:lang w:val="en-US" w:eastAsia="zh-CN" w:bidi="ar"/>
              </w:rPr>
              <w:t>较好</w:t>
            </w:r>
            <w:r>
              <w:rPr>
                <w:rFonts w:hint="eastAsia" w:ascii="宋体" w:hAnsi="宋体" w:eastAsia="宋体" w:cs="宋体"/>
                <w:color w:val="auto"/>
                <w:kern w:val="2"/>
                <w:sz w:val="24"/>
                <w:szCs w:val="24"/>
                <w:highlight w:val="none"/>
                <w:lang w:val="en-US" w:eastAsia="zh-CN" w:bidi="ar"/>
              </w:rPr>
              <w:t>且完全符合实际需求得</w:t>
            </w:r>
            <w:r>
              <w:rPr>
                <w:rFonts w:hint="eastAsia" w:ascii="宋体" w:hAnsi="宋体"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分，实施方案操作性一般且完全符合实际需求得</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分，实施方案操作性欠缺且部分符合实际需求得</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分</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实施方案操作性</w:t>
            </w:r>
            <w:r>
              <w:rPr>
                <w:rFonts w:hint="eastAsia" w:ascii="宋体" w:hAnsi="宋体" w:cs="宋体"/>
                <w:color w:val="auto"/>
                <w:kern w:val="2"/>
                <w:sz w:val="24"/>
                <w:szCs w:val="24"/>
                <w:highlight w:val="none"/>
                <w:lang w:val="en-US" w:eastAsia="zh-CN" w:bidi="ar"/>
              </w:rPr>
              <w:t>不全的</w:t>
            </w:r>
            <w:r>
              <w:rPr>
                <w:rFonts w:hint="eastAsia" w:ascii="宋体" w:hAnsi="宋体" w:eastAsia="宋体" w:cs="宋体"/>
                <w:color w:val="auto"/>
                <w:kern w:val="2"/>
                <w:sz w:val="24"/>
                <w:szCs w:val="24"/>
                <w:highlight w:val="none"/>
                <w:lang w:val="en-US" w:eastAsia="zh-CN" w:bidi="ar"/>
              </w:rPr>
              <w:t>得</w:t>
            </w:r>
            <w:r>
              <w:rPr>
                <w:rFonts w:hint="eastAsia" w:ascii="宋体" w:hAnsi="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分，未提供此项内容的不得分。</w:t>
            </w:r>
          </w:p>
          <w:p w14:paraId="0B32E772">
            <w:pPr>
              <w:keepNext w:val="0"/>
              <w:keepLines w:val="0"/>
              <w:widowControl w:val="0"/>
              <w:suppressLineNumbers w:val="0"/>
              <w:adjustRightInd w:val="0"/>
              <w:spacing w:before="0" w:beforeAutospacing="0" w:after="0" w:afterAutospacing="0" w:line="360" w:lineRule="auto"/>
              <w:ind w:left="0" w:right="0"/>
              <w:jc w:val="both"/>
              <w:outlineLvl w:val="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w:t>
            </w:r>
            <w:r>
              <w:rPr>
                <w:rFonts w:hint="eastAsia" w:ascii="宋体" w:hAnsi="宋体" w:eastAsia="宋体" w:cs="宋体"/>
                <w:color w:val="auto"/>
                <w:kern w:val="0"/>
                <w:sz w:val="24"/>
                <w:szCs w:val="24"/>
                <w:highlight w:val="none"/>
                <w:lang w:val="zh-CN"/>
              </w:rPr>
              <w:t>垃圾清运方案</w:t>
            </w:r>
            <w:r>
              <w:rPr>
                <w:rFonts w:hint="eastAsia" w:ascii="宋体" w:hAnsi="宋体" w:eastAsia="宋体" w:cs="宋体"/>
                <w:color w:val="auto"/>
                <w:kern w:val="2"/>
                <w:sz w:val="24"/>
                <w:szCs w:val="24"/>
                <w:highlight w:val="none"/>
                <w:lang w:val="zh-CN" w:eastAsia="zh-CN" w:bidi="ar"/>
              </w:rPr>
              <w:t>：</w:t>
            </w:r>
            <w:r>
              <w:rPr>
                <w:rFonts w:hint="eastAsia" w:ascii="宋体" w:hAnsi="宋体" w:eastAsia="宋体" w:cs="宋体"/>
                <w:color w:val="auto"/>
                <w:kern w:val="2"/>
                <w:sz w:val="24"/>
                <w:szCs w:val="24"/>
                <w:highlight w:val="none"/>
                <w:lang w:val="en-US" w:eastAsia="zh-CN" w:bidi="ar"/>
              </w:rPr>
              <w:t>方案实施操作性强且优于实际需求的得</w:t>
            </w:r>
            <w:r>
              <w:rPr>
                <w:rFonts w:hint="eastAsia" w:ascii="宋体" w:hAnsi="宋体" w:cs="宋体"/>
                <w:color w:val="auto"/>
                <w:kern w:val="2"/>
                <w:sz w:val="24"/>
                <w:szCs w:val="24"/>
                <w:highlight w:val="none"/>
                <w:lang w:val="en-US" w:eastAsia="zh-CN" w:bidi="ar"/>
              </w:rPr>
              <w:t>5</w:t>
            </w:r>
            <w:r>
              <w:rPr>
                <w:rFonts w:hint="eastAsia" w:ascii="宋体" w:hAnsi="宋体" w:eastAsia="宋体" w:cs="宋体"/>
                <w:color w:val="auto"/>
                <w:kern w:val="2"/>
                <w:sz w:val="24"/>
                <w:szCs w:val="24"/>
                <w:highlight w:val="none"/>
                <w:lang w:val="en-US" w:eastAsia="zh-CN" w:bidi="ar"/>
              </w:rPr>
              <w:t>分，实施方案操作性</w:t>
            </w:r>
            <w:r>
              <w:rPr>
                <w:rFonts w:hint="eastAsia" w:ascii="宋体" w:hAnsi="宋体" w:cs="宋体"/>
                <w:color w:val="auto"/>
                <w:kern w:val="2"/>
                <w:sz w:val="24"/>
                <w:szCs w:val="24"/>
                <w:highlight w:val="none"/>
                <w:lang w:val="en-US" w:eastAsia="zh-CN" w:bidi="ar"/>
              </w:rPr>
              <w:t>较好</w:t>
            </w:r>
            <w:r>
              <w:rPr>
                <w:rFonts w:hint="eastAsia" w:ascii="宋体" w:hAnsi="宋体" w:eastAsia="宋体" w:cs="宋体"/>
                <w:color w:val="auto"/>
                <w:kern w:val="2"/>
                <w:sz w:val="24"/>
                <w:szCs w:val="24"/>
                <w:highlight w:val="none"/>
                <w:lang w:val="en-US" w:eastAsia="zh-CN" w:bidi="ar"/>
              </w:rPr>
              <w:t>且完全符合实际需求得</w:t>
            </w:r>
            <w:r>
              <w:rPr>
                <w:rFonts w:hint="eastAsia" w:ascii="宋体" w:hAnsi="宋体"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分，实施方案操作性一般且完全符合实际需求得</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分，实施方案操作性欠缺且部分符合实际需求得</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分</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实施方案操作性</w:t>
            </w:r>
            <w:r>
              <w:rPr>
                <w:rFonts w:hint="eastAsia" w:ascii="宋体" w:hAnsi="宋体" w:cs="宋体"/>
                <w:color w:val="auto"/>
                <w:kern w:val="2"/>
                <w:sz w:val="24"/>
                <w:szCs w:val="24"/>
                <w:highlight w:val="none"/>
                <w:lang w:val="en-US" w:eastAsia="zh-CN" w:bidi="ar"/>
              </w:rPr>
              <w:t>不全的</w:t>
            </w:r>
            <w:r>
              <w:rPr>
                <w:rFonts w:hint="eastAsia" w:ascii="宋体" w:hAnsi="宋体" w:eastAsia="宋体" w:cs="宋体"/>
                <w:color w:val="auto"/>
                <w:kern w:val="2"/>
                <w:sz w:val="24"/>
                <w:szCs w:val="24"/>
                <w:highlight w:val="none"/>
                <w:lang w:val="en-US" w:eastAsia="zh-CN" w:bidi="ar"/>
              </w:rPr>
              <w:t>得</w:t>
            </w:r>
            <w:r>
              <w:rPr>
                <w:rFonts w:hint="eastAsia" w:ascii="宋体" w:hAnsi="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分，未提供此项内容的不得分。</w:t>
            </w:r>
          </w:p>
          <w:p w14:paraId="0D3C71F7">
            <w:pPr>
              <w:keepNext w:val="0"/>
              <w:keepLines w:val="0"/>
              <w:widowControl w:val="0"/>
              <w:suppressLineNumbers w:val="0"/>
              <w:adjustRightInd w:val="0"/>
              <w:spacing w:before="0" w:beforeAutospacing="0" w:after="0" w:afterAutospacing="0" w:line="360" w:lineRule="auto"/>
              <w:ind w:left="0" w:right="0"/>
              <w:jc w:val="both"/>
              <w:outlineLvl w:val="0"/>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kern w:val="0"/>
                <w:sz w:val="24"/>
                <w:szCs w:val="24"/>
                <w:highlight w:val="none"/>
                <w:lang w:val="en-US" w:eastAsia="zh-CN" w:bidi="ar"/>
              </w:rPr>
              <w:t>（4）发包人</w:t>
            </w:r>
            <w:r>
              <w:rPr>
                <w:rFonts w:hint="eastAsia" w:ascii="宋体" w:hAnsi="宋体"/>
                <w:color w:val="auto"/>
                <w:sz w:val="24"/>
                <w:highlight w:val="none"/>
              </w:rPr>
              <w:t>辖区内所有堆积物</w:t>
            </w:r>
            <w:r>
              <w:rPr>
                <w:rFonts w:hint="eastAsia" w:ascii="宋体" w:hAnsi="宋体" w:eastAsia="宋体" w:cs="宋体"/>
                <w:color w:val="auto"/>
                <w:kern w:val="2"/>
                <w:sz w:val="24"/>
                <w:szCs w:val="24"/>
                <w:highlight w:val="none"/>
                <w:lang w:val="en-US" w:eastAsia="zh-CN" w:bidi="ar"/>
              </w:rPr>
              <w:t>实施</w:t>
            </w:r>
            <w:r>
              <w:rPr>
                <w:rFonts w:hint="eastAsia" w:ascii="宋体" w:hAnsi="宋体" w:eastAsia="宋体" w:cs="宋体"/>
                <w:color w:val="auto"/>
                <w:kern w:val="2"/>
                <w:sz w:val="24"/>
                <w:szCs w:val="24"/>
                <w:highlight w:val="none"/>
                <w:lang w:val="zh-CN" w:eastAsia="zh-CN" w:bidi="ar"/>
              </w:rPr>
              <w:t>方案：</w:t>
            </w:r>
            <w:r>
              <w:rPr>
                <w:rFonts w:hint="eastAsia" w:ascii="宋体" w:hAnsi="宋体" w:eastAsia="宋体" w:cs="宋体"/>
                <w:color w:val="auto"/>
                <w:kern w:val="2"/>
                <w:sz w:val="24"/>
                <w:szCs w:val="24"/>
                <w:highlight w:val="none"/>
                <w:lang w:val="en-US" w:eastAsia="zh-CN" w:bidi="ar"/>
              </w:rPr>
              <w:t>方案实施操作性强且优于实际需求的得</w:t>
            </w:r>
            <w:r>
              <w:rPr>
                <w:rFonts w:hint="eastAsia" w:ascii="宋体" w:hAnsi="宋体" w:cs="宋体"/>
                <w:color w:val="auto"/>
                <w:kern w:val="2"/>
                <w:sz w:val="24"/>
                <w:szCs w:val="24"/>
                <w:highlight w:val="none"/>
                <w:lang w:val="en-US" w:eastAsia="zh-CN" w:bidi="ar"/>
              </w:rPr>
              <w:t>5</w:t>
            </w:r>
            <w:r>
              <w:rPr>
                <w:rFonts w:hint="eastAsia" w:ascii="宋体" w:hAnsi="宋体" w:eastAsia="宋体" w:cs="宋体"/>
                <w:color w:val="auto"/>
                <w:kern w:val="2"/>
                <w:sz w:val="24"/>
                <w:szCs w:val="24"/>
                <w:highlight w:val="none"/>
                <w:lang w:val="en-US" w:eastAsia="zh-CN" w:bidi="ar"/>
              </w:rPr>
              <w:t>分，实施方案操作性</w:t>
            </w:r>
            <w:r>
              <w:rPr>
                <w:rFonts w:hint="eastAsia" w:ascii="宋体" w:hAnsi="宋体" w:cs="宋体"/>
                <w:color w:val="auto"/>
                <w:kern w:val="2"/>
                <w:sz w:val="24"/>
                <w:szCs w:val="24"/>
                <w:highlight w:val="none"/>
                <w:lang w:val="en-US" w:eastAsia="zh-CN" w:bidi="ar"/>
              </w:rPr>
              <w:t>较好</w:t>
            </w:r>
            <w:r>
              <w:rPr>
                <w:rFonts w:hint="eastAsia" w:ascii="宋体" w:hAnsi="宋体" w:eastAsia="宋体" w:cs="宋体"/>
                <w:color w:val="auto"/>
                <w:kern w:val="2"/>
                <w:sz w:val="24"/>
                <w:szCs w:val="24"/>
                <w:highlight w:val="none"/>
                <w:lang w:val="en-US" w:eastAsia="zh-CN" w:bidi="ar"/>
              </w:rPr>
              <w:t>且完全符合实际需求得</w:t>
            </w:r>
            <w:r>
              <w:rPr>
                <w:rFonts w:hint="eastAsia" w:ascii="宋体" w:hAnsi="宋体"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分，实施方案操作性一般且完全符合实际需求得</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分，实施方案操作性欠缺且部分符合实际需求得</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分</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实施方案操作性</w:t>
            </w:r>
            <w:r>
              <w:rPr>
                <w:rFonts w:hint="eastAsia" w:ascii="宋体" w:hAnsi="宋体" w:cs="宋体"/>
                <w:color w:val="auto"/>
                <w:kern w:val="2"/>
                <w:sz w:val="24"/>
                <w:szCs w:val="24"/>
                <w:highlight w:val="none"/>
                <w:lang w:val="en-US" w:eastAsia="zh-CN" w:bidi="ar"/>
              </w:rPr>
              <w:t>不全的</w:t>
            </w:r>
            <w:r>
              <w:rPr>
                <w:rFonts w:hint="eastAsia" w:ascii="宋体" w:hAnsi="宋体" w:eastAsia="宋体" w:cs="宋体"/>
                <w:color w:val="auto"/>
                <w:kern w:val="2"/>
                <w:sz w:val="24"/>
                <w:szCs w:val="24"/>
                <w:highlight w:val="none"/>
                <w:lang w:val="en-US" w:eastAsia="zh-CN" w:bidi="ar"/>
              </w:rPr>
              <w:t>得</w:t>
            </w:r>
            <w:r>
              <w:rPr>
                <w:rFonts w:hint="eastAsia" w:ascii="宋体" w:hAnsi="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分，未提供此项内容的不得分。</w:t>
            </w:r>
          </w:p>
          <w:p w14:paraId="1055BEF1">
            <w:pPr>
              <w:keepNext w:val="0"/>
              <w:keepLines w:val="0"/>
              <w:widowControl w:val="0"/>
              <w:suppressLineNumbers w:val="0"/>
              <w:adjustRightInd w:val="0"/>
              <w:spacing w:before="0" w:beforeAutospacing="0" w:after="0" w:afterAutospacing="0" w:line="360" w:lineRule="auto"/>
              <w:ind w:left="0" w:right="0"/>
              <w:jc w:val="both"/>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（5）针对以上服务方案的岗位出勤率保障措施：方案针对性及操作性、计划安排科学合理性较强的得</w:t>
            </w:r>
            <w:r>
              <w:rPr>
                <w:rFonts w:hint="eastAsia" w:ascii="宋体" w:hAnsi="宋体"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分，方案针对性及操作性、计划安排科学合理性一般的得</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分，针对性，操作性，计划安排科学合理性部分符合需求的得</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分，针对性，操作性，计划安排科学合理性</w:t>
            </w:r>
            <w:r>
              <w:rPr>
                <w:rFonts w:hint="eastAsia" w:ascii="宋体" w:hAnsi="宋体" w:cs="宋体"/>
                <w:color w:val="auto"/>
                <w:kern w:val="2"/>
                <w:sz w:val="24"/>
                <w:szCs w:val="24"/>
                <w:highlight w:val="none"/>
                <w:lang w:val="en-US" w:eastAsia="zh-CN" w:bidi="ar"/>
              </w:rPr>
              <w:t>差的得1分，按</w:t>
            </w:r>
            <w:r>
              <w:rPr>
                <w:rFonts w:hint="eastAsia" w:ascii="宋体" w:hAnsi="宋体" w:eastAsia="宋体" w:cs="宋体"/>
                <w:color w:val="auto"/>
                <w:kern w:val="2"/>
                <w:sz w:val="24"/>
                <w:szCs w:val="24"/>
                <w:highlight w:val="none"/>
                <w:lang w:val="en-US" w:eastAsia="zh-CN" w:bidi="ar"/>
              </w:rPr>
              <w:t>未提供此项内容的不得分。</w:t>
            </w:r>
          </w:p>
        </w:tc>
        <w:tc>
          <w:tcPr>
            <w:tcW w:w="908" w:type="dxa"/>
            <w:tcBorders>
              <w:top w:val="single" w:color="auto" w:sz="4" w:space="0"/>
              <w:left w:val="single" w:color="auto" w:sz="4" w:space="0"/>
              <w:bottom w:val="single" w:color="auto" w:sz="4" w:space="0"/>
              <w:right w:val="single" w:color="auto" w:sz="4" w:space="0"/>
            </w:tcBorders>
            <w:noWrap w:val="0"/>
            <w:vAlign w:val="center"/>
          </w:tcPr>
          <w:p w14:paraId="3740C024">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p>
          <w:p w14:paraId="64A39BB0">
            <w:pPr>
              <w:keepNext w:val="0"/>
              <w:keepLines w:val="0"/>
              <w:widowControl w:val="0"/>
              <w:suppressLineNumbers w:val="0"/>
              <w:adjustRightInd w:val="0"/>
              <w:spacing w:before="0" w:beforeAutospacing="0" w:after="0" w:afterAutospacing="0" w:line="360" w:lineRule="auto"/>
              <w:ind w:left="0" w:right="0"/>
              <w:jc w:val="center"/>
              <w:outlineLvl w:val="0"/>
              <w:rPr>
                <w:rFonts w:hint="default" w:ascii="宋体" w:hAnsi="宋体" w:eastAsia="宋体" w:cs="宋体"/>
                <w:color w:val="auto"/>
                <w:kern w:val="2"/>
                <w:sz w:val="24"/>
                <w:szCs w:val="24"/>
                <w:highlight w:val="none"/>
                <w:lang w:val="en-US"/>
              </w:rPr>
            </w:pPr>
            <w:r>
              <w:rPr>
                <w:rFonts w:hint="eastAsia" w:ascii="宋体" w:hAnsi="宋体" w:cs="宋体"/>
                <w:color w:val="auto"/>
                <w:kern w:val="2"/>
                <w:sz w:val="24"/>
                <w:szCs w:val="24"/>
                <w:highlight w:val="none"/>
                <w:lang w:val="en-US" w:eastAsia="zh-CN" w:bidi="ar"/>
              </w:rPr>
              <w:t>24</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0F81304B">
            <w:pPr>
              <w:keepNext w:val="0"/>
              <w:keepLines w:val="0"/>
              <w:suppressLineNumbers w:val="0"/>
              <w:bidi w:val="0"/>
              <w:spacing w:before="0" w:beforeAutospacing="0" w:after="0" w:afterAutospacing="0" w:line="360" w:lineRule="auto"/>
              <w:ind w:right="0"/>
              <w:jc w:val="center"/>
              <w:rPr>
                <w:rFonts w:hint="default"/>
                <w:color w:val="auto"/>
                <w:sz w:val="24"/>
                <w:szCs w:val="24"/>
                <w:highlight w:val="none"/>
                <w:lang w:val="en-US" w:eastAsia="zh-CN"/>
              </w:rPr>
            </w:pPr>
            <w:r>
              <w:rPr>
                <w:rFonts w:hint="eastAsia"/>
                <w:color w:val="auto"/>
                <w:sz w:val="24"/>
                <w:szCs w:val="24"/>
                <w:highlight w:val="none"/>
                <w:lang w:val="en-US" w:eastAsia="zh-CN"/>
              </w:rPr>
              <w:t>主观分</w:t>
            </w:r>
          </w:p>
        </w:tc>
      </w:tr>
      <w:tr w14:paraId="32693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22B9E817">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w:t>
            </w:r>
          </w:p>
        </w:tc>
        <w:tc>
          <w:tcPr>
            <w:tcW w:w="6986" w:type="dxa"/>
            <w:tcBorders>
              <w:top w:val="single" w:color="auto" w:sz="4" w:space="0"/>
              <w:left w:val="single" w:color="auto" w:sz="4" w:space="0"/>
              <w:bottom w:val="single" w:color="auto" w:sz="4" w:space="0"/>
              <w:right w:val="single" w:color="auto" w:sz="4" w:space="0"/>
            </w:tcBorders>
            <w:noWrap w:val="0"/>
            <w:vAlign w:val="center"/>
          </w:tcPr>
          <w:p w14:paraId="1509CED0">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bidi="ar"/>
              </w:rPr>
              <w:t>【</w:t>
            </w:r>
            <w:r>
              <w:rPr>
                <w:rFonts w:hint="eastAsia" w:ascii="宋体" w:hAnsi="宋体" w:eastAsia="宋体" w:cs="宋体"/>
                <w:b/>
                <w:bCs/>
                <w:color w:val="auto"/>
                <w:kern w:val="0"/>
                <w:sz w:val="24"/>
                <w:szCs w:val="24"/>
                <w:highlight w:val="none"/>
                <w:lang w:val="en-US" w:eastAsia="zh-CN" w:bidi="ar"/>
              </w:rPr>
              <w:t>质量保证体系及应急方案</w:t>
            </w:r>
            <w:r>
              <w:rPr>
                <w:rFonts w:hint="eastAsia" w:ascii="宋体" w:hAnsi="宋体" w:cs="宋体"/>
                <w:b/>
                <w:bCs/>
                <w:color w:val="auto"/>
                <w:kern w:val="0"/>
                <w:sz w:val="24"/>
                <w:szCs w:val="24"/>
                <w:highlight w:val="none"/>
                <w:lang w:val="en-US" w:eastAsia="zh-CN" w:bidi="ar"/>
              </w:rPr>
              <w:t>】</w:t>
            </w:r>
          </w:p>
          <w:p w14:paraId="194E1FEF">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（1）清卫保洁质量管理保障体系（含人员、制度）和控制措施、手段、方法完全满足质量目标的实现且优于采购需求的得3分，基本符合的得2分，部分符合的得1分。其余不得分。</w:t>
            </w:r>
          </w:p>
          <w:p w14:paraId="43DF28B9">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（2）重大检查、自然灾情等特殊时期保洁的具体保证措施完全满足质量目标的实现且优于采购需求的得3分，基本符合的得2分，部分符合的得1分。其余不得分。</w:t>
            </w:r>
          </w:p>
          <w:p w14:paraId="114AB8D0">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（3）应急抢险（含抗雪、防冻、防台、防汛、抗旱等）方案完全满足质量目标的实现且优于采购需求的得3分，基本符合的得2分，部分符合的得1分。其余不得分。</w:t>
            </w:r>
          </w:p>
        </w:tc>
        <w:tc>
          <w:tcPr>
            <w:tcW w:w="908" w:type="dxa"/>
            <w:tcBorders>
              <w:top w:val="single" w:color="auto" w:sz="4" w:space="0"/>
              <w:left w:val="single" w:color="auto" w:sz="4" w:space="0"/>
              <w:bottom w:val="single" w:color="auto" w:sz="4" w:space="0"/>
              <w:right w:val="single" w:color="auto" w:sz="4" w:space="0"/>
            </w:tcBorders>
            <w:noWrap w:val="0"/>
            <w:vAlign w:val="center"/>
          </w:tcPr>
          <w:p w14:paraId="0ED3166F">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bidi="ar"/>
              </w:rPr>
              <w:t>9</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7A00B5C2">
            <w:pPr>
              <w:keepNext w:val="0"/>
              <w:keepLines w:val="0"/>
              <w:suppressLineNumbers w:val="0"/>
              <w:bidi w:val="0"/>
              <w:spacing w:before="0" w:beforeAutospacing="0" w:after="0" w:afterAutospacing="0" w:line="360" w:lineRule="auto"/>
              <w:ind w:right="0"/>
              <w:jc w:val="center"/>
              <w:rPr>
                <w:rFonts w:hint="eastAsia"/>
                <w:color w:val="auto"/>
                <w:sz w:val="24"/>
                <w:szCs w:val="24"/>
                <w:highlight w:val="none"/>
                <w:lang w:val="en-US" w:eastAsia="zh-CN"/>
              </w:rPr>
            </w:pPr>
            <w:r>
              <w:rPr>
                <w:rFonts w:hint="eastAsia"/>
                <w:color w:val="auto"/>
                <w:sz w:val="24"/>
                <w:szCs w:val="24"/>
                <w:highlight w:val="none"/>
                <w:lang w:val="en-US" w:eastAsia="zh-CN"/>
              </w:rPr>
              <w:t>主观分</w:t>
            </w:r>
          </w:p>
        </w:tc>
      </w:tr>
      <w:tr w14:paraId="6252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4D13AB3B">
            <w:pPr>
              <w:keepNext w:val="0"/>
              <w:keepLines w:val="0"/>
              <w:widowControl w:val="0"/>
              <w:suppressLineNumbers w:val="0"/>
              <w:adjustRightInd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eastAsia="zh-CN" w:bidi="ar"/>
              </w:rPr>
              <w:t>5</w:t>
            </w:r>
          </w:p>
        </w:tc>
        <w:tc>
          <w:tcPr>
            <w:tcW w:w="6986" w:type="dxa"/>
            <w:tcBorders>
              <w:top w:val="single" w:color="auto" w:sz="4" w:space="0"/>
              <w:left w:val="single" w:color="auto" w:sz="4" w:space="0"/>
              <w:bottom w:val="single" w:color="auto" w:sz="4" w:space="0"/>
              <w:right w:val="single" w:color="auto" w:sz="4" w:space="0"/>
            </w:tcBorders>
            <w:noWrap w:val="0"/>
            <w:vAlign w:val="center"/>
          </w:tcPr>
          <w:p w14:paraId="659FE8D0">
            <w:pPr>
              <w:keepNext w:val="0"/>
              <w:keepLines w:val="0"/>
              <w:widowControl w:val="0"/>
              <w:suppressLineNumbers w:val="0"/>
              <w:adjustRightInd w:val="0"/>
              <w:spacing w:before="0" w:beforeAutospacing="0" w:after="0" w:afterAutospacing="0" w:line="360" w:lineRule="auto"/>
              <w:ind w:left="0" w:right="0"/>
              <w:jc w:val="left"/>
              <w:rPr>
                <w:rFonts w:hint="eastAsia" w:ascii="宋体" w:hAnsi="宋体" w:eastAsia="宋体" w:cs="宋体"/>
                <w:b/>
                <w:bCs/>
                <w:color w:val="auto"/>
                <w:kern w:val="2"/>
                <w:sz w:val="24"/>
                <w:szCs w:val="24"/>
                <w:highlight w:val="none"/>
              </w:rPr>
            </w:pPr>
            <w:r>
              <w:rPr>
                <w:rFonts w:hint="eastAsia" w:ascii="宋体" w:hAnsi="宋体" w:cs="宋体"/>
                <w:b/>
                <w:bCs/>
                <w:color w:val="auto"/>
                <w:kern w:val="2"/>
                <w:sz w:val="24"/>
                <w:szCs w:val="24"/>
                <w:highlight w:val="none"/>
                <w:lang w:val="en-US" w:eastAsia="zh-CN" w:bidi="ar"/>
              </w:rPr>
              <w:t>【</w:t>
            </w:r>
            <w:r>
              <w:rPr>
                <w:rFonts w:hint="eastAsia" w:ascii="宋体" w:hAnsi="宋体" w:eastAsia="宋体" w:cs="宋体"/>
                <w:b/>
                <w:bCs/>
                <w:color w:val="auto"/>
                <w:kern w:val="2"/>
                <w:sz w:val="24"/>
                <w:szCs w:val="24"/>
                <w:highlight w:val="none"/>
                <w:lang w:val="en-US" w:eastAsia="zh-CN" w:bidi="ar"/>
              </w:rPr>
              <w:t>安全文明工作</w:t>
            </w:r>
            <w:r>
              <w:rPr>
                <w:rFonts w:hint="eastAsia" w:ascii="宋体" w:hAnsi="宋体" w:cs="宋体"/>
                <w:b/>
                <w:bCs/>
                <w:color w:val="auto"/>
                <w:kern w:val="2"/>
                <w:sz w:val="24"/>
                <w:szCs w:val="24"/>
                <w:highlight w:val="none"/>
                <w:lang w:val="en-US" w:eastAsia="zh-CN" w:bidi="ar"/>
              </w:rPr>
              <w:t>】</w:t>
            </w:r>
          </w:p>
          <w:p w14:paraId="08B58232">
            <w:pPr>
              <w:keepNext w:val="0"/>
              <w:keepLines w:val="0"/>
              <w:widowControl w:val="0"/>
              <w:suppressLineNumbers w:val="0"/>
              <w:adjustRightIn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（1）保洁安全保证体系和安全管理制度，制度健全得3分，基本符合的得2分，部分符合的得1分，未提供此项内容不得分。</w:t>
            </w:r>
          </w:p>
          <w:p w14:paraId="00F5A2E3">
            <w:pPr>
              <w:keepNext w:val="0"/>
              <w:keepLines w:val="0"/>
              <w:widowControl w:val="0"/>
              <w:suppressLineNumbers w:val="0"/>
              <w:adjustRightIn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（2）有针对性的安全培训教育，落实到位得3分，基本符合的得2分，部分符合的得1分，未提供此内容不得分。</w:t>
            </w:r>
          </w:p>
          <w:p w14:paraId="6E3E3F23">
            <w:pPr>
              <w:keepNext w:val="0"/>
              <w:keepLines w:val="0"/>
              <w:widowControl w:val="0"/>
              <w:suppressLineNumbers w:val="0"/>
              <w:adjustRightIn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（3）文明保洁管理措施有针对性且符合采购需求的得3分，基本符合的得2分，部分符合的得1分。其余不得分。</w:t>
            </w:r>
          </w:p>
          <w:p w14:paraId="53969CED">
            <w:pPr>
              <w:keepNext w:val="0"/>
              <w:keepLines w:val="0"/>
              <w:widowControl w:val="0"/>
              <w:suppressLineNumbers w:val="0"/>
              <w:adjustRightIn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（4）环境保护措施有针对性且符合采购需求的得3分，基本符合的得2分，部分符合的得1分。其余不得分。</w:t>
            </w:r>
          </w:p>
        </w:tc>
        <w:tc>
          <w:tcPr>
            <w:tcW w:w="908" w:type="dxa"/>
            <w:tcBorders>
              <w:top w:val="single" w:color="auto" w:sz="4" w:space="0"/>
              <w:left w:val="single" w:color="auto" w:sz="4" w:space="0"/>
              <w:bottom w:val="single" w:color="auto" w:sz="4" w:space="0"/>
              <w:right w:val="single" w:color="auto" w:sz="4" w:space="0"/>
            </w:tcBorders>
            <w:noWrap w:val="0"/>
            <w:vAlign w:val="center"/>
          </w:tcPr>
          <w:p w14:paraId="4F639A0D">
            <w:pPr>
              <w:keepNext w:val="0"/>
              <w:keepLines w:val="0"/>
              <w:widowControl w:val="0"/>
              <w:suppressLineNumbers w:val="0"/>
              <w:adjustRightInd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12</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1586FA66">
            <w:pPr>
              <w:keepNext w:val="0"/>
              <w:keepLines w:val="0"/>
              <w:suppressLineNumbers w:val="0"/>
              <w:bidi w:val="0"/>
              <w:spacing w:before="0" w:beforeAutospacing="0" w:after="0" w:afterAutospacing="0" w:line="360" w:lineRule="auto"/>
              <w:ind w:right="0"/>
              <w:jc w:val="center"/>
              <w:rPr>
                <w:rFonts w:hint="default"/>
                <w:color w:val="auto"/>
                <w:sz w:val="24"/>
                <w:szCs w:val="24"/>
                <w:highlight w:val="none"/>
                <w:lang w:val="en-US" w:eastAsia="zh-CN"/>
              </w:rPr>
            </w:pPr>
            <w:r>
              <w:rPr>
                <w:rFonts w:hint="eastAsia"/>
                <w:color w:val="auto"/>
                <w:sz w:val="24"/>
                <w:szCs w:val="24"/>
                <w:highlight w:val="none"/>
                <w:lang w:val="en-US" w:eastAsia="zh-CN"/>
              </w:rPr>
              <w:t>主观分</w:t>
            </w:r>
          </w:p>
        </w:tc>
      </w:tr>
      <w:tr w14:paraId="4C8F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2DC2692C">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w:t>
            </w:r>
          </w:p>
        </w:tc>
        <w:tc>
          <w:tcPr>
            <w:tcW w:w="6986" w:type="dxa"/>
            <w:tcBorders>
              <w:top w:val="single" w:color="auto" w:sz="4" w:space="0"/>
              <w:left w:val="single" w:color="auto" w:sz="4" w:space="0"/>
              <w:bottom w:val="single" w:color="auto" w:sz="4" w:space="0"/>
              <w:right w:val="single" w:color="auto" w:sz="4" w:space="0"/>
            </w:tcBorders>
            <w:noWrap w:val="0"/>
            <w:vAlign w:val="center"/>
          </w:tcPr>
          <w:p w14:paraId="24E04EFF">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bidi="ar"/>
              </w:rPr>
              <w:t>【</w:t>
            </w:r>
            <w:r>
              <w:rPr>
                <w:rFonts w:hint="eastAsia" w:ascii="宋体" w:hAnsi="宋体" w:eastAsia="宋体" w:cs="宋体"/>
                <w:b/>
                <w:bCs/>
                <w:color w:val="auto"/>
                <w:kern w:val="0"/>
                <w:sz w:val="24"/>
                <w:szCs w:val="24"/>
                <w:highlight w:val="none"/>
                <w:lang w:val="en-US" w:eastAsia="zh-CN" w:bidi="ar"/>
              </w:rPr>
              <w:t>管理制度情况</w:t>
            </w:r>
            <w:r>
              <w:rPr>
                <w:rFonts w:hint="eastAsia" w:ascii="宋体" w:hAnsi="宋体" w:cs="宋体"/>
                <w:b/>
                <w:bCs/>
                <w:color w:val="auto"/>
                <w:kern w:val="0"/>
                <w:sz w:val="24"/>
                <w:szCs w:val="24"/>
                <w:highlight w:val="none"/>
                <w:lang w:val="en-US" w:eastAsia="zh-CN" w:bidi="ar"/>
              </w:rPr>
              <w:t>】</w:t>
            </w:r>
          </w:p>
          <w:p w14:paraId="63C0313A">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（1）根据内部岗位责任制度、管理运作制度、管理人员考核制度及标准，要求应符合规范，体现制度的完整性和实用性。</w:t>
            </w:r>
            <w:r>
              <w:rPr>
                <w:rFonts w:hint="eastAsia" w:ascii="宋体" w:hAnsi="宋体" w:cs="宋体"/>
                <w:color w:val="auto"/>
                <w:kern w:val="0"/>
                <w:sz w:val="24"/>
                <w:szCs w:val="24"/>
                <w:highlight w:val="none"/>
                <w:lang w:val="en-US" w:eastAsia="zh-CN" w:bidi="ar"/>
              </w:rPr>
              <w:t>管理制度方案内容完整、全面、可行性好，项目匹配性好、质量优得3分；内容、可行性一般，项目匹配性一般的得2分；有瑕疵的得1分；不合理或不提供的不得分。</w:t>
            </w:r>
          </w:p>
          <w:p w14:paraId="355D515E">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（2）根据人员、设施、设备管理服务、</w:t>
            </w:r>
            <w:r>
              <w:rPr>
                <w:rFonts w:hint="eastAsia" w:ascii="宋体" w:hAnsi="宋体" w:cs="宋体"/>
                <w:color w:val="auto"/>
                <w:kern w:val="0"/>
                <w:sz w:val="24"/>
                <w:szCs w:val="24"/>
                <w:highlight w:val="none"/>
                <w:lang w:val="en-US" w:eastAsia="zh-CN" w:bidi="ar"/>
              </w:rPr>
              <w:t>发包人</w:t>
            </w:r>
            <w:r>
              <w:rPr>
                <w:rFonts w:hint="eastAsia" w:ascii="宋体" w:hAnsi="宋体" w:eastAsia="宋体" w:cs="宋体"/>
                <w:color w:val="auto"/>
                <w:kern w:val="0"/>
                <w:sz w:val="24"/>
                <w:szCs w:val="24"/>
                <w:highlight w:val="none"/>
                <w:lang w:val="en-US" w:eastAsia="zh-CN" w:bidi="ar"/>
              </w:rPr>
              <w:t>方反馈资料、行政文件资料等档案的建立与管理综合评定。</w:t>
            </w:r>
            <w:r>
              <w:rPr>
                <w:rFonts w:hint="eastAsia" w:ascii="宋体" w:hAnsi="宋体" w:cs="宋体"/>
                <w:color w:val="auto"/>
                <w:kern w:val="0"/>
                <w:sz w:val="24"/>
                <w:szCs w:val="24"/>
                <w:highlight w:val="none"/>
                <w:lang w:val="en-US" w:eastAsia="zh-CN" w:bidi="ar"/>
              </w:rPr>
              <w:t>方案内容完整、全面、可行性好，项目匹配性好、质量优得3分；内容、可行性一般，项目匹配性一般的得2分；有瑕疵的得1分；不合理或不提供的不得分。</w:t>
            </w:r>
          </w:p>
          <w:p w14:paraId="5474BB5E">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（3）供应商是否有完善的运作流程、激励机制、监督机制、自我约束机制、信息反馈渠道及处理机制、财务保障机制等综合评定。</w:t>
            </w:r>
            <w:r>
              <w:rPr>
                <w:rFonts w:hint="eastAsia" w:ascii="宋体" w:hAnsi="宋体" w:cs="宋体"/>
                <w:color w:val="auto"/>
                <w:kern w:val="0"/>
                <w:sz w:val="24"/>
                <w:szCs w:val="24"/>
                <w:highlight w:val="none"/>
                <w:lang w:val="en-US" w:eastAsia="zh-CN" w:bidi="ar"/>
              </w:rPr>
              <w:t>方案内容完整、全面、可行性好，项目匹配性好、质量优得3分；内容、可行性一般，项目匹配性一般的得2分；有瑕疵的得1分；不合理或不提供的不得分。</w:t>
            </w:r>
          </w:p>
        </w:tc>
        <w:tc>
          <w:tcPr>
            <w:tcW w:w="908" w:type="dxa"/>
            <w:tcBorders>
              <w:top w:val="single" w:color="auto" w:sz="4" w:space="0"/>
              <w:left w:val="single" w:color="auto" w:sz="4" w:space="0"/>
              <w:bottom w:val="single" w:color="auto" w:sz="4" w:space="0"/>
              <w:right w:val="single" w:color="auto" w:sz="4" w:space="0"/>
            </w:tcBorders>
            <w:noWrap w:val="0"/>
            <w:vAlign w:val="center"/>
          </w:tcPr>
          <w:p w14:paraId="010CAD7E">
            <w:pPr>
              <w:keepNext w:val="0"/>
              <w:keepLines w:val="0"/>
              <w:widowControl w:val="0"/>
              <w:suppressLineNumbers w:val="0"/>
              <w:adjustRightInd w:val="0"/>
              <w:spacing w:before="0" w:beforeAutospacing="0" w:after="0" w:afterAutospacing="0" w:line="360" w:lineRule="auto"/>
              <w:ind w:left="0" w:right="0"/>
              <w:jc w:val="center"/>
              <w:outlineLvl w:val="0"/>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9</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7017606B">
            <w:pPr>
              <w:keepNext w:val="0"/>
              <w:keepLines w:val="0"/>
              <w:suppressLineNumbers w:val="0"/>
              <w:bidi w:val="0"/>
              <w:spacing w:before="0" w:beforeAutospacing="0" w:after="0" w:afterAutospacing="0" w:line="360" w:lineRule="auto"/>
              <w:ind w:right="0"/>
              <w:jc w:val="center"/>
              <w:rPr>
                <w:rFonts w:hint="default"/>
                <w:color w:val="auto"/>
                <w:sz w:val="24"/>
                <w:szCs w:val="24"/>
                <w:highlight w:val="none"/>
                <w:lang w:val="en-US" w:eastAsia="zh-CN"/>
              </w:rPr>
            </w:pPr>
            <w:r>
              <w:rPr>
                <w:rFonts w:hint="eastAsia"/>
                <w:color w:val="auto"/>
                <w:sz w:val="24"/>
                <w:szCs w:val="24"/>
                <w:highlight w:val="none"/>
                <w:lang w:val="en-US" w:eastAsia="zh-CN"/>
              </w:rPr>
              <w:t>主观分</w:t>
            </w:r>
          </w:p>
        </w:tc>
      </w:tr>
      <w:tr w14:paraId="29ED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718A0B28">
            <w:pPr>
              <w:keepNext w:val="0"/>
              <w:keepLines w:val="0"/>
              <w:widowControl w:val="0"/>
              <w:suppressLineNumbers w:val="0"/>
              <w:adjustRightInd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7</w:t>
            </w:r>
          </w:p>
        </w:tc>
        <w:tc>
          <w:tcPr>
            <w:tcW w:w="6986" w:type="dxa"/>
            <w:tcBorders>
              <w:top w:val="single" w:color="auto" w:sz="4" w:space="0"/>
              <w:left w:val="single" w:color="auto" w:sz="4" w:space="0"/>
              <w:bottom w:val="single" w:color="auto" w:sz="4" w:space="0"/>
              <w:right w:val="single" w:color="auto" w:sz="4" w:space="0"/>
            </w:tcBorders>
            <w:noWrap w:val="0"/>
            <w:vAlign w:val="center"/>
          </w:tcPr>
          <w:p w14:paraId="6AF0CF79">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【应急方案】</w:t>
            </w:r>
          </w:p>
          <w:p w14:paraId="197E169F">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对应急（气象灾害、城市内涝、防汛抗台、抗雪防冻）、创优评优和突发事件应急处理及重大活动保障的人员配备、物资储备和启动、应急处置等方案是否科学合理、具有针对性及可操作性等综合评定。</w:t>
            </w:r>
            <w:r>
              <w:rPr>
                <w:rFonts w:hint="eastAsia" w:ascii="宋体" w:hAnsi="宋体" w:eastAsia="宋体" w:cs="宋体"/>
                <w:color w:val="auto"/>
                <w:kern w:val="2"/>
                <w:sz w:val="24"/>
                <w:szCs w:val="24"/>
                <w:highlight w:val="none"/>
                <w:lang w:val="en-US" w:eastAsia="zh-CN" w:bidi="ar"/>
              </w:rPr>
              <w:t>方案</w:t>
            </w:r>
            <w:r>
              <w:rPr>
                <w:rFonts w:hint="eastAsia" w:ascii="宋体" w:hAnsi="宋体" w:eastAsia="宋体" w:cs="宋体"/>
                <w:color w:val="auto"/>
                <w:kern w:val="0"/>
                <w:sz w:val="24"/>
                <w:szCs w:val="24"/>
                <w:highlight w:val="none"/>
                <w:lang w:val="en-US" w:eastAsia="zh-CN" w:bidi="ar"/>
              </w:rPr>
              <w:t>针对性及可操作性</w:t>
            </w:r>
            <w:r>
              <w:rPr>
                <w:rFonts w:hint="eastAsia" w:ascii="宋体" w:hAnsi="宋体" w:eastAsia="宋体" w:cs="宋体"/>
                <w:color w:val="auto"/>
                <w:kern w:val="2"/>
                <w:sz w:val="24"/>
                <w:szCs w:val="24"/>
                <w:highlight w:val="none"/>
                <w:lang w:val="en-US" w:eastAsia="zh-CN" w:bidi="ar"/>
              </w:rPr>
              <w:t>强且优于实际需求的得</w:t>
            </w:r>
            <w:r>
              <w:rPr>
                <w:rFonts w:hint="eastAsia" w:ascii="宋体" w:hAnsi="宋体" w:cs="宋体"/>
                <w:color w:val="auto"/>
                <w:kern w:val="2"/>
                <w:sz w:val="24"/>
                <w:szCs w:val="24"/>
                <w:highlight w:val="none"/>
                <w:lang w:val="en-US" w:eastAsia="zh-CN" w:bidi="ar"/>
              </w:rPr>
              <w:t>5</w:t>
            </w:r>
            <w:r>
              <w:rPr>
                <w:rFonts w:hint="eastAsia" w:ascii="宋体" w:hAnsi="宋体" w:eastAsia="宋体" w:cs="宋体"/>
                <w:color w:val="auto"/>
                <w:kern w:val="2"/>
                <w:sz w:val="24"/>
                <w:szCs w:val="24"/>
                <w:highlight w:val="none"/>
                <w:lang w:val="en-US" w:eastAsia="zh-CN" w:bidi="ar"/>
              </w:rPr>
              <w:t>分，方案</w:t>
            </w:r>
            <w:r>
              <w:rPr>
                <w:rFonts w:hint="eastAsia" w:ascii="宋体" w:hAnsi="宋体" w:eastAsia="宋体" w:cs="宋体"/>
                <w:color w:val="auto"/>
                <w:kern w:val="0"/>
                <w:sz w:val="24"/>
                <w:szCs w:val="24"/>
                <w:highlight w:val="none"/>
                <w:lang w:val="en-US" w:eastAsia="zh-CN" w:bidi="ar"/>
              </w:rPr>
              <w:t>针对性及可操作性</w:t>
            </w:r>
            <w:r>
              <w:rPr>
                <w:rFonts w:hint="eastAsia" w:ascii="宋体" w:hAnsi="宋体" w:cs="宋体"/>
                <w:color w:val="auto"/>
                <w:kern w:val="2"/>
                <w:sz w:val="24"/>
                <w:szCs w:val="24"/>
                <w:highlight w:val="none"/>
                <w:lang w:val="en-US" w:eastAsia="zh-CN" w:bidi="ar"/>
              </w:rPr>
              <w:t>较好</w:t>
            </w:r>
            <w:r>
              <w:rPr>
                <w:rFonts w:hint="eastAsia" w:ascii="宋体" w:hAnsi="宋体" w:eastAsia="宋体" w:cs="宋体"/>
                <w:color w:val="auto"/>
                <w:kern w:val="2"/>
                <w:sz w:val="24"/>
                <w:szCs w:val="24"/>
                <w:highlight w:val="none"/>
                <w:lang w:val="en-US" w:eastAsia="zh-CN" w:bidi="ar"/>
              </w:rPr>
              <w:t>且完全符合实际需求得</w:t>
            </w:r>
            <w:r>
              <w:rPr>
                <w:rFonts w:hint="eastAsia" w:ascii="宋体" w:hAnsi="宋体"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分，方案</w:t>
            </w:r>
            <w:r>
              <w:rPr>
                <w:rFonts w:hint="eastAsia" w:ascii="宋体" w:hAnsi="宋体" w:eastAsia="宋体" w:cs="宋体"/>
                <w:color w:val="auto"/>
                <w:kern w:val="0"/>
                <w:sz w:val="24"/>
                <w:szCs w:val="24"/>
                <w:highlight w:val="none"/>
                <w:lang w:val="en-US" w:eastAsia="zh-CN" w:bidi="ar"/>
              </w:rPr>
              <w:t>针对性及可操作性</w:t>
            </w:r>
            <w:r>
              <w:rPr>
                <w:rFonts w:hint="eastAsia" w:ascii="宋体" w:hAnsi="宋体" w:eastAsia="宋体" w:cs="宋体"/>
                <w:color w:val="auto"/>
                <w:kern w:val="2"/>
                <w:sz w:val="24"/>
                <w:szCs w:val="24"/>
                <w:highlight w:val="none"/>
                <w:lang w:val="en-US" w:eastAsia="zh-CN" w:bidi="ar"/>
              </w:rPr>
              <w:t>一般且完全符合实际需求得</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分，方案</w:t>
            </w:r>
            <w:r>
              <w:rPr>
                <w:rFonts w:hint="eastAsia" w:ascii="宋体" w:hAnsi="宋体" w:eastAsia="宋体" w:cs="宋体"/>
                <w:color w:val="auto"/>
                <w:kern w:val="0"/>
                <w:sz w:val="24"/>
                <w:szCs w:val="24"/>
                <w:highlight w:val="none"/>
                <w:lang w:val="en-US" w:eastAsia="zh-CN" w:bidi="ar"/>
              </w:rPr>
              <w:t>针对性及可操作性</w:t>
            </w:r>
            <w:r>
              <w:rPr>
                <w:rFonts w:hint="eastAsia" w:ascii="宋体" w:hAnsi="宋体" w:eastAsia="宋体" w:cs="宋体"/>
                <w:color w:val="auto"/>
                <w:kern w:val="2"/>
                <w:sz w:val="24"/>
                <w:szCs w:val="24"/>
                <w:highlight w:val="none"/>
                <w:lang w:val="en-US" w:eastAsia="zh-CN" w:bidi="ar"/>
              </w:rPr>
              <w:t>欠缺且部分符合实际需求得</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分</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方案</w:t>
            </w:r>
            <w:r>
              <w:rPr>
                <w:rFonts w:hint="eastAsia" w:ascii="宋体" w:hAnsi="宋体" w:eastAsia="宋体" w:cs="宋体"/>
                <w:color w:val="auto"/>
                <w:kern w:val="0"/>
                <w:sz w:val="24"/>
                <w:szCs w:val="24"/>
                <w:highlight w:val="none"/>
                <w:lang w:val="en-US" w:eastAsia="zh-CN" w:bidi="ar"/>
              </w:rPr>
              <w:t>针对性及可操作性</w:t>
            </w:r>
            <w:r>
              <w:rPr>
                <w:rFonts w:hint="eastAsia" w:ascii="宋体" w:hAnsi="宋体" w:cs="宋体"/>
                <w:color w:val="auto"/>
                <w:kern w:val="2"/>
                <w:sz w:val="24"/>
                <w:szCs w:val="24"/>
                <w:highlight w:val="none"/>
                <w:lang w:val="en-US" w:eastAsia="zh-CN" w:bidi="ar"/>
              </w:rPr>
              <w:t>不全的</w:t>
            </w:r>
            <w:r>
              <w:rPr>
                <w:rFonts w:hint="eastAsia" w:ascii="宋体" w:hAnsi="宋体" w:eastAsia="宋体" w:cs="宋体"/>
                <w:color w:val="auto"/>
                <w:kern w:val="2"/>
                <w:sz w:val="24"/>
                <w:szCs w:val="24"/>
                <w:highlight w:val="none"/>
                <w:lang w:val="en-US" w:eastAsia="zh-CN" w:bidi="ar"/>
              </w:rPr>
              <w:t>得</w:t>
            </w:r>
            <w:r>
              <w:rPr>
                <w:rFonts w:hint="eastAsia" w:ascii="宋体" w:hAnsi="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分，未提供此项内容的不得分。</w:t>
            </w:r>
          </w:p>
        </w:tc>
        <w:tc>
          <w:tcPr>
            <w:tcW w:w="908" w:type="dxa"/>
            <w:tcBorders>
              <w:top w:val="single" w:color="auto" w:sz="4" w:space="0"/>
              <w:left w:val="single" w:color="auto" w:sz="4" w:space="0"/>
              <w:bottom w:val="single" w:color="auto" w:sz="4" w:space="0"/>
              <w:right w:val="single" w:color="auto" w:sz="4" w:space="0"/>
            </w:tcBorders>
            <w:noWrap w:val="0"/>
            <w:vAlign w:val="center"/>
          </w:tcPr>
          <w:p w14:paraId="25F22440">
            <w:pPr>
              <w:keepNext w:val="0"/>
              <w:keepLines w:val="0"/>
              <w:widowControl w:val="0"/>
              <w:suppressLineNumbers w:val="0"/>
              <w:adjustRightInd w:val="0"/>
              <w:spacing w:before="0" w:beforeAutospacing="0" w:after="0" w:afterAutospacing="0" w:line="360" w:lineRule="auto"/>
              <w:ind w:left="0" w:leftChars="0" w:right="0" w:rightChars="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
              </w:rPr>
              <w:t>5</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3A1A1FFA">
            <w:pPr>
              <w:keepNext w:val="0"/>
              <w:keepLines w:val="0"/>
              <w:suppressLineNumbers w:val="0"/>
              <w:bidi w:val="0"/>
              <w:spacing w:before="0" w:beforeAutospacing="0" w:after="0" w:afterAutospacing="0" w:line="360" w:lineRule="auto"/>
              <w:ind w:right="0" w:righ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szCs w:val="24"/>
                <w:highlight w:val="none"/>
                <w:lang w:val="en-US" w:eastAsia="zh-CN"/>
              </w:rPr>
              <w:t>主观分</w:t>
            </w:r>
          </w:p>
        </w:tc>
      </w:tr>
      <w:tr w14:paraId="43D3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4220843D">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bidi="ar"/>
              </w:rPr>
              <w:t>8</w:t>
            </w:r>
          </w:p>
        </w:tc>
        <w:tc>
          <w:tcPr>
            <w:tcW w:w="6986" w:type="dxa"/>
            <w:tcBorders>
              <w:top w:val="single" w:color="auto" w:sz="4" w:space="0"/>
              <w:left w:val="single" w:color="auto" w:sz="4" w:space="0"/>
              <w:bottom w:val="single" w:color="auto" w:sz="4" w:space="0"/>
              <w:right w:val="single" w:color="auto" w:sz="4" w:space="0"/>
            </w:tcBorders>
            <w:noWrap w:val="0"/>
            <w:vAlign w:val="center"/>
          </w:tcPr>
          <w:p w14:paraId="2071ADDD">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bidi="ar"/>
              </w:rPr>
              <w:t>【</w:t>
            </w:r>
            <w:r>
              <w:rPr>
                <w:rFonts w:hint="eastAsia" w:ascii="宋体" w:hAnsi="宋体" w:eastAsia="宋体" w:cs="宋体"/>
                <w:b/>
                <w:bCs/>
                <w:color w:val="auto"/>
                <w:kern w:val="0"/>
                <w:sz w:val="24"/>
                <w:szCs w:val="24"/>
                <w:highlight w:val="none"/>
                <w:lang w:val="en-US" w:eastAsia="zh-CN" w:bidi="ar"/>
              </w:rPr>
              <w:t>项目负责人</w:t>
            </w:r>
            <w:r>
              <w:rPr>
                <w:rFonts w:hint="eastAsia" w:ascii="宋体" w:hAnsi="宋体" w:cs="宋体"/>
                <w:b/>
                <w:bCs/>
                <w:color w:val="auto"/>
                <w:kern w:val="0"/>
                <w:sz w:val="24"/>
                <w:szCs w:val="24"/>
                <w:highlight w:val="none"/>
                <w:lang w:val="en-US" w:eastAsia="zh-CN" w:bidi="ar"/>
              </w:rPr>
              <w:t>】</w:t>
            </w:r>
          </w:p>
          <w:p w14:paraId="5A10E2D3">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拟派项目负责人具有和本项目工作内容保洁、垃圾处理相关的专业证书，每个得2.5分，最高得5分。</w:t>
            </w:r>
          </w:p>
          <w:p w14:paraId="60464587">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证明材料：项目负责人开标前近3个月</w:t>
            </w:r>
            <w:r>
              <w:rPr>
                <w:rFonts w:hint="eastAsia" w:ascii="宋体" w:hAnsi="宋体" w:cs="宋体"/>
                <w:color w:val="auto"/>
                <w:kern w:val="0"/>
                <w:sz w:val="24"/>
                <w:szCs w:val="24"/>
                <w:highlight w:val="none"/>
                <w:lang w:val="en-US" w:eastAsia="zh-CN" w:bidi="ar"/>
              </w:rPr>
              <w:t>内任意一个月的</w:t>
            </w:r>
            <w:r>
              <w:rPr>
                <w:rFonts w:hint="eastAsia" w:ascii="宋体" w:hAnsi="宋体" w:eastAsia="宋体" w:cs="宋体"/>
                <w:color w:val="auto"/>
                <w:kern w:val="0"/>
                <w:sz w:val="24"/>
                <w:szCs w:val="24"/>
                <w:highlight w:val="none"/>
                <w:lang w:val="en-US" w:eastAsia="zh-CN" w:bidi="ar"/>
              </w:rPr>
              <w:t>社保缴纳证明</w:t>
            </w:r>
            <w:r>
              <w:rPr>
                <w:rFonts w:hint="eastAsia" w:ascii="宋体" w:hAnsi="宋体" w:cs="宋体"/>
                <w:color w:val="auto"/>
                <w:kern w:val="0"/>
                <w:sz w:val="24"/>
                <w:szCs w:val="24"/>
                <w:highlight w:val="none"/>
                <w:lang w:val="en-US" w:eastAsia="zh-CN" w:bidi="ar"/>
              </w:rPr>
              <w:t>及</w:t>
            </w:r>
            <w:r>
              <w:rPr>
                <w:rFonts w:hint="eastAsia" w:ascii="宋体" w:hAnsi="宋体" w:eastAsia="宋体" w:cs="宋体"/>
                <w:color w:val="auto"/>
                <w:kern w:val="0"/>
                <w:sz w:val="24"/>
                <w:szCs w:val="24"/>
                <w:highlight w:val="none"/>
                <w:lang w:val="en-US" w:eastAsia="zh-CN" w:bidi="ar"/>
              </w:rPr>
              <w:t>证书复印件并加盖</w:t>
            </w:r>
            <w:r>
              <w:rPr>
                <w:rFonts w:hint="eastAsia" w:ascii="宋体" w:hAnsi="宋体" w:cs="宋体"/>
                <w:color w:val="auto"/>
                <w:kern w:val="0"/>
                <w:sz w:val="24"/>
                <w:szCs w:val="24"/>
                <w:highlight w:val="none"/>
                <w:lang w:val="en-US" w:eastAsia="zh-CN" w:bidi="ar"/>
              </w:rPr>
              <w:t>供应商</w:t>
            </w:r>
            <w:r>
              <w:rPr>
                <w:rFonts w:hint="eastAsia" w:ascii="宋体" w:hAnsi="宋体" w:eastAsia="宋体" w:cs="宋体"/>
                <w:color w:val="auto"/>
                <w:kern w:val="0"/>
                <w:sz w:val="24"/>
                <w:szCs w:val="24"/>
                <w:highlight w:val="none"/>
                <w:lang w:val="en-US" w:eastAsia="zh-CN" w:bidi="ar"/>
              </w:rPr>
              <w:t>公章，未提供的不得分。</w:t>
            </w:r>
          </w:p>
        </w:tc>
        <w:tc>
          <w:tcPr>
            <w:tcW w:w="908" w:type="dxa"/>
            <w:tcBorders>
              <w:top w:val="single" w:color="auto" w:sz="4" w:space="0"/>
              <w:left w:val="single" w:color="auto" w:sz="4" w:space="0"/>
              <w:bottom w:val="single" w:color="auto" w:sz="4" w:space="0"/>
              <w:right w:val="single" w:color="auto" w:sz="4" w:space="0"/>
            </w:tcBorders>
            <w:noWrap w:val="0"/>
            <w:vAlign w:val="center"/>
          </w:tcPr>
          <w:p w14:paraId="6382BF65">
            <w:pPr>
              <w:keepNext w:val="0"/>
              <w:keepLines w:val="0"/>
              <w:widowControl w:val="0"/>
              <w:suppressLineNumbers w:val="0"/>
              <w:adjustRightInd w:val="0"/>
              <w:spacing w:before="0" w:beforeAutospacing="0" w:after="0" w:afterAutospacing="0" w:line="360" w:lineRule="auto"/>
              <w:ind w:left="0" w:right="0"/>
              <w:jc w:val="center"/>
              <w:outlineLvl w:val="0"/>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bidi="ar"/>
              </w:rPr>
              <w:t>5</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12386CA7">
            <w:pPr>
              <w:keepNext w:val="0"/>
              <w:keepLines w:val="0"/>
              <w:suppressLineNumbers w:val="0"/>
              <w:bidi w:val="0"/>
              <w:spacing w:before="0" w:beforeAutospacing="0" w:after="0" w:afterAutospacing="0" w:line="360" w:lineRule="auto"/>
              <w:ind w:right="0"/>
              <w:jc w:val="center"/>
              <w:rPr>
                <w:rFonts w:hint="default"/>
                <w:color w:val="auto"/>
                <w:sz w:val="24"/>
                <w:szCs w:val="24"/>
                <w:highlight w:val="none"/>
                <w:lang w:val="en-US" w:eastAsia="zh-CN"/>
              </w:rPr>
            </w:pPr>
            <w:r>
              <w:rPr>
                <w:rFonts w:hint="eastAsia"/>
                <w:color w:val="auto"/>
                <w:sz w:val="24"/>
                <w:szCs w:val="24"/>
                <w:highlight w:val="none"/>
                <w:lang w:val="en-US" w:eastAsia="zh-CN"/>
              </w:rPr>
              <w:t>客观分</w:t>
            </w:r>
          </w:p>
        </w:tc>
      </w:tr>
      <w:tr w14:paraId="4602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7A00C62A">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bidi="ar"/>
              </w:rPr>
              <w:t>9</w:t>
            </w:r>
          </w:p>
        </w:tc>
        <w:tc>
          <w:tcPr>
            <w:tcW w:w="6986" w:type="dxa"/>
            <w:tcBorders>
              <w:top w:val="single" w:color="auto" w:sz="4" w:space="0"/>
              <w:left w:val="single" w:color="auto" w:sz="4" w:space="0"/>
              <w:bottom w:val="single" w:color="auto" w:sz="4" w:space="0"/>
              <w:right w:val="single" w:color="auto" w:sz="4" w:space="0"/>
            </w:tcBorders>
            <w:noWrap w:val="0"/>
            <w:vAlign w:val="center"/>
          </w:tcPr>
          <w:p w14:paraId="7CAC3462">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bidi="ar"/>
              </w:rPr>
              <w:t>【</w:t>
            </w:r>
            <w:r>
              <w:rPr>
                <w:rFonts w:hint="eastAsia" w:ascii="宋体" w:hAnsi="宋体" w:eastAsia="宋体" w:cs="宋体"/>
                <w:b/>
                <w:bCs/>
                <w:color w:val="auto"/>
                <w:kern w:val="0"/>
                <w:sz w:val="24"/>
                <w:szCs w:val="24"/>
                <w:highlight w:val="none"/>
                <w:lang w:val="en-US" w:eastAsia="zh-CN" w:bidi="ar"/>
              </w:rPr>
              <w:t>团队力量</w:t>
            </w:r>
            <w:r>
              <w:rPr>
                <w:rFonts w:hint="eastAsia" w:ascii="宋体" w:hAnsi="宋体" w:cs="宋体"/>
                <w:b/>
                <w:bCs/>
                <w:color w:val="auto"/>
                <w:kern w:val="0"/>
                <w:sz w:val="24"/>
                <w:szCs w:val="24"/>
                <w:highlight w:val="none"/>
                <w:lang w:val="en-US" w:eastAsia="zh-CN" w:bidi="ar"/>
              </w:rPr>
              <w:t>】</w:t>
            </w:r>
          </w:p>
          <w:p w14:paraId="76F3C85D">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拟派本项目服务团队的配置的全面性、专业性等以及服务团队综合实力与项目需求的吻合程度进行综合评分：</w:t>
            </w:r>
          </w:p>
          <w:p w14:paraId="09524449">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（1）人员配置优于</w:t>
            </w:r>
            <w:r>
              <w:rPr>
                <w:rFonts w:hint="eastAsia" w:ascii="宋体" w:hAnsi="宋体" w:cs="宋体"/>
                <w:color w:val="auto"/>
                <w:kern w:val="2"/>
                <w:sz w:val="24"/>
                <w:szCs w:val="24"/>
                <w:highlight w:val="none"/>
                <w:lang w:eastAsia="zh-CN"/>
              </w:rPr>
              <w:t>交易需求</w:t>
            </w:r>
            <w:r>
              <w:rPr>
                <w:rFonts w:hint="eastAsia" w:ascii="宋体" w:hAnsi="宋体" w:eastAsia="宋体" w:cs="宋体"/>
                <w:color w:val="auto"/>
                <w:kern w:val="2"/>
                <w:sz w:val="24"/>
                <w:szCs w:val="24"/>
                <w:highlight w:val="none"/>
              </w:rPr>
              <w:t>的要求，各岗位人员配备齐全，且专业人员配置到位的，得3分，人员配置完全满足</w:t>
            </w:r>
            <w:r>
              <w:rPr>
                <w:rFonts w:hint="eastAsia" w:ascii="宋体" w:hAnsi="宋体" w:cs="宋体"/>
                <w:color w:val="auto"/>
                <w:kern w:val="2"/>
                <w:sz w:val="24"/>
                <w:szCs w:val="24"/>
                <w:highlight w:val="none"/>
                <w:lang w:eastAsia="zh-CN"/>
              </w:rPr>
              <w:t>交易需求</w:t>
            </w:r>
            <w:r>
              <w:rPr>
                <w:rFonts w:hint="eastAsia" w:ascii="宋体" w:hAnsi="宋体" w:eastAsia="宋体" w:cs="宋体"/>
                <w:color w:val="auto"/>
                <w:kern w:val="2"/>
                <w:sz w:val="24"/>
                <w:szCs w:val="24"/>
                <w:highlight w:val="none"/>
              </w:rPr>
              <w:t>的，各岗位人员配备基本齐全，且专业人员配置基本到位的，得2分，人员配置完全部分</w:t>
            </w:r>
            <w:r>
              <w:rPr>
                <w:rFonts w:hint="eastAsia" w:ascii="宋体" w:hAnsi="宋体" w:cs="宋体"/>
                <w:color w:val="auto"/>
                <w:kern w:val="2"/>
                <w:sz w:val="24"/>
                <w:szCs w:val="24"/>
                <w:highlight w:val="none"/>
                <w:lang w:eastAsia="zh-CN"/>
              </w:rPr>
              <w:t>交易需求</w:t>
            </w:r>
            <w:r>
              <w:rPr>
                <w:rFonts w:hint="eastAsia" w:ascii="宋体" w:hAnsi="宋体" w:eastAsia="宋体" w:cs="宋体"/>
                <w:color w:val="auto"/>
                <w:kern w:val="2"/>
                <w:sz w:val="24"/>
                <w:szCs w:val="24"/>
                <w:highlight w:val="none"/>
              </w:rPr>
              <w:t>的，各岗位人员配备部分齐全，且专业人员配置部分到位的，得1分；人员配置不满足</w:t>
            </w:r>
            <w:r>
              <w:rPr>
                <w:rFonts w:hint="eastAsia" w:ascii="宋体" w:hAnsi="宋体" w:cs="宋体"/>
                <w:color w:val="auto"/>
                <w:kern w:val="2"/>
                <w:sz w:val="24"/>
                <w:szCs w:val="24"/>
                <w:highlight w:val="none"/>
                <w:lang w:eastAsia="zh-CN"/>
              </w:rPr>
              <w:t>交易需求</w:t>
            </w:r>
            <w:r>
              <w:rPr>
                <w:rFonts w:hint="eastAsia" w:ascii="宋体" w:hAnsi="宋体" w:eastAsia="宋体" w:cs="宋体"/>
                <w:color w:val="auto"/>
                <w:kern w:val="2"/>
                <w:sz w:val="24"/>
                <w:szCs w:val="24"/>
                <w:highlight w:val="none"/>
              </w:rPr>
              <w:t>或未提供此项内容的不得分；</w:t>
            </w:r>
          </w:p>
          <w:p w14:paraId="69EBCDA6">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（2）岗位设置、分工和作息管理的方案完全合理合规且内容详细有针对性的得3分，方案内容基本合理合规且内容部分有针对性的得2分，方案及内容不够完善的得1分，未提供此项内容的不得分。</w:t>
            </w:r>
          </w:p>
        </w:tc>
        <w:tc>
          <w:tcPr>
            <w:tcW w:w="908" w:type="dxa"/>
            <w:tcBorders>
              <w:top w:val="single" w:color="auto" w:sz="4" w:space="0"/>
              <w:left w:val="single" w:color="auto" w:sz="4" w:space="0"/>
              <w:bottom w:val="single" w:color="auto" w:sz="4" w:space="0"/>
              <w:right w:val="single" w:color="auto" w:sz="4" w:space="0"/>
            </w:tcBorders>
            <w:noWrap w:val="0"/>
            <w:vAlign w:val="center"/>
          </w:tcPr>
          <w:p w14:paraId="79BB77BB">
            <w:pPr>
              <w:keepNext w:val="0"/>
              <w:keepLines w:val="0"/>
              <w:widowControl w:val="0"/>
              <w:suppressLineNumbers w:val="0"/>
              <w:adjustRightInd w:val="0"/>
              <w:spacing w:before="0" w:beforeAutospacing="0" w:after="0" w:afterAutospacing="0" w:line="360" w:lineRule="auto"/>
              <w:ind w:left="0" w:right="0"/>
              <w:jc w:val="center"/>
              <w:outlineLvl w:val="0"/>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6</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01B5DD1D">
            <w:pPr>
              <w:keepNext w:val="0"/>
              <w:keepLines w:val="0"/>
              <w:suppressLineNumbers w:val="0"/>
              <w:bidi w:val="0"/>
              <w:spacing w:before="0" w:beforeAutospacing="0" w:after="0" w:afterAutospacing="0" w:line="360" w:lineRule="auto"/>
              <w:ind w:right="0"/>
              <w:jc w:val="center"/>
              <w:rPr>
                <w:rFonts w:hint="eastAsia"/>
                <w:color w:val="auto"/>
                <w:sz w:val="24"/>
                <w:szCs w:val="24"/>
                <w:highlight w:val="none"/>
                <w:lang w:val="en-US" w:eastAsia="zh-CN"/>
              </w:rPr>
            </w:pPr>
            <w:r>
              <w:rPr>
                <w:rFonts w:hint="eastAsia"/>
                <w:color w:val="auto"/>
                <w:sz w:val="24"/>
                <w:szCs w:val="24"/>
                <w:highlight w:val="none"/>
                <w:lang w:val="en-US" w:eastAsia="zh-CN"/>
              </w:rPr>
              <w:t>主观分</w:t>
            </w:r>
          </w:p>
        </w:tc>
      </w:tr>
      <w:tr w14:paraId="6EFEA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19E429A8">
            <w:pPr>
              <w:keepNext w:val="0"/>
              <w:keepLines w:val="0"/>
              <w:widowControl w:val="0"/>
              <w:suppressLineNumbers w:val="0"/>
              <w:adjustRightInd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9</w:t>
            </w:r>
          </w:p>
        </w:tc>
        <w:tc>
          <w:tcPr>
            <w:tcW w:w="6986" w:type="dxa"/>
            <w:tcBorders>
              <w:top w:val="single" w:color="auto" w:sz="4" w:space="0"/>
              <w:left w:val="single" w:color="auto" w:sz="4" w:space="0"/>
              <w:bottom w:val="single" w:color="auto" w:sz="4" w:space="0"/>
              <w:right w:val="single" w:color="auto" w:sz="4" w:space="0"/>
            </w:tcBorders>
            <w:noWrap w:val="0"/>
            <w:vAlign w:val="center"/>
          </w:tcPr>
          <w:p w14:paraId="0EA3A7EE">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b/>
                <w:bCs/>
                <w:color w:val="auto"/>
                <w:sz w:val="24"/>
                <w:szCs w:val="24"/>
                <w:highlight w:val="none"/>
              </w:rPr>
            </w:pPr>
            <w:r>
              <w:rPr>
                <w:rFonts w:hint="eastAsia"/>
                <w:b/>
                <w:bCs/>
                <w:color w:val="auto"/>
                <w:sz w:val="24"/>
                <w:szCs w:val="24"/>
                <w:highlight w:val="none"/>
                <w:lang w:val="en-US" w:eastAsia="zh-CN"/>
              </w:rPr>
              <w:t>【设施设备保障】</w:t>
            </w:r>
          </w:p>
          <w:p w14:paraId="6F7B86C2">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1.响应人设备中具有扫路车、洒水车、垃圾压缩车、清运杂类垃圾农用车或货车、铲车、垃圾分类电瓶车，每满足一项得1分，最多得6分。</w:t>
            </w:r>
          </w:p>
          <w:p w14:paraId="0BDBAA6F">
            <w:pPr>
              <w:numPr>
                <w:ilvl w:val="0"/>
                <w:numId w:val="0"/>
              </w:numPr>
              <w:spacing w:line="360" w:lineRule="auto"/>
              <w:ind w:left="0" w:leftChars="0" w:firstLine="0" w:firstLineChars="0"/>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kern w:val="0"/>
                <w:sz w:val="24"/>
                <w:szCs w:val="24"/>
                <w:highlight w:val="none"/>
                <w:lang w:val="zh-CN"/>
              </w:rPr>
              <w:t>证明材料：响应文件中提供以上车辆信息（车辆行驶证、车辆登记证书、车辆照片并加盖公章，垃圾分类电瓶车，铲车需提供发票复印件及照片并加盖公章）。如车辆是租赁的，每满足一项得0.5分，除需提供前述材料外还须附租赁协议。提供的材料不全，或无法辨认的均不得分。</w:t>
            </w:r>
          </w:p>
        </w:tc>
        <w:tc>
          <w:tcPr>
            <w:tcW w:w="908" w:type="dxa"/>
            <w:tcBorders>
              <w:top w:val="single" w:color="auto" w:sz="4" w:space="0"/>
              <w:left w:val="single" w:color="auto" w:sz="4" w:space="0"/>
              <w:bottom w:val="single" w:color="auto" w:sz="4" w:space="0"/>
              <w:right w:val="single" w:color="auto" w:sz="4" w:space="0"/>
            </w:tcBorders>
            <w:noWrap w:val="0"/>
            <w:vAlign w:val="center"/>
          </w:tcPr>
          <w:p w14:paraId="31019138">
            <w:pPr>
              <w:keepNext w:val="0"/>
              <w:keepLines w:val="0"/>
              <w:widowControl w:val="0"/>
              <w:suppressLineNumbers w:val="0"/>
              <w:adjustRightInd w:val="0"/>
              <w:spacing w:before="0" w:beforeAutospacing="0" w:after="0" w:afterAutospacing="0" w:line="360" w:lineRule="auto"/>
              <w:ind w:left="0" w:leftChars="0" w:right="0" w:rightChars="0"/>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6</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2F686546">
            <w:pPr>
              <w:keepNext w:val="0"/>
              <w:keepLines w:val="0"/>
              <w:suppressLineNumbers w:val="0"/>
              <w:bidi w:val="0"/>
              <w:spacing w:before="0" w:beforeAutospacing="0" w:after="0" w:afterAutospacing="0" w:line="360" w:lineRule="auto"/>
              <w:ind w:right="0" w:righ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szCs w:val="24"/>
                <w:highlight w:val="none"/>
                <w:lang w:val="en-US" w:eastAsia="zh-CN"/>
              </w:rPr>
              <w:t>客观分</w:t>
            </w:r>
          </w:p>
        </w:tc>
      </w:tr>
      <w:tr w14:paraId="345C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6E990D10">
            <w:pPr>
              <w:keepNext w:val="0"/>
              <w:keepLines w:val="0"/>
              <w:widowControl w:val="0"/>
              <w:suppressLineNumbers w:val="0"/>
              <w:adjustRightInd w:val="0"/>
              <w:spacing w:before="0" w:beforeAutospacing="0" w:after="0" w:afterAutospacing="0" w:line="360" w:lineRule="auto"/>
              <w:ind w:left="0" w:right="0"/>
              <w:jc w:val="center"/>
              <w:rPr>
                <w:rFonts w:hint="default"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10</w:t>
            </w:r>
          </w:p>
        </w:tc>
        <w:tc>
          <w:tcPr>
            <w:tcW w:w="6986" w:type="dxa"/>
            <w:tcBorders>
              <w:top w:val="single" w:color="auto" w:sz="4" w:space="0"/>
              <w:left w:val="single" w:color="auto" w:sz="4" w:space="0"/>
              <w:bottom w:val="single" w:color="auto" w:sz="4" w:space="0"/>
              <w:right w:val="single" w:color="auto" w:sz="4" w:space="0"/>
            </w:tcBorders>
            <w:noWrap w:val="0"/>
            <w:vAlign w:val="center"/>
          </w:tcPr>
          <w:p w14:paraId="6E106754">
            <w:pPr>
              <w:numPr>
                <w:ilvl w:val="0"/>
                <w:numId w:val="0"/>
              </w:numPr>
              <w:spacing w:line="360" w:lineRule="auto"/>
              <w:ind w:left="0" w:leftChars="0" w:firstLine="0" w:firstLineChars="0"/>
              <w:rPr>
                <w:rFonts w:hint="eastAsia" w:ascii="宋体" w:hAnsi="宋体" w:cs="宋体"/>
                <w:color w:val="auto"/>
                <w:kern w:val="0"/>
                <w:sz w:val="24"/>
                <w:szCs w:val="24"/>
                <w:highlight w:val="none"/>
                <w:lang w:val="zh-CN"/>
              </w:rPr>
            </w:pPr>
            <w:r>
              <w:rPr>
                <w:rFonts w:hint="eastAsia" w:ascii="宋体" w:hAnsi="宋体" w:cs="宋体"/>
                <w:b/>
                <w:bCs/>
                <w:color w:val="auto"/>
                <w:kern w:val="0"/>
                <w:sz w:val="24"/>
                <w:szCs w:val="24"/>
                <w:highlight w:val="none"/>
                <w:lang w:val="zh-CN"/>
              </w:rPr>
              <w:t>【服务承诺】</w:t>
            </w:r>
          </w:p>
        </w:tc>
        <w:tc>
          <w:tcPr>
            <w:tcW w:w="908" w:type="dxa"/>
            <w:tcBorders>
              <w:top w:val="single" w:color="auto" w:sz="4" w:space="0"/>
              <w:left w:val="single" w:color="auto" w:sz="4" w:space="0"/>
              <w:bottom w:val="single" w:color="auto" w:sz="4" w:space="0"/>
              <w:right w:val="single" w:color="auto" w:sz="4" w:space="0"/>
            </w:tcBorders>
            <w:noWrap w:val="0"/>
            <w:vAlign w:val="center"/>
          </w:tcPr>
          <w:p w14:paraId="7B2D5A76">
            <w:pPr>
              <w:keepNext w:val="0"/>
              <w:keepLines w:val="0"/>
              <w:widowControl w:val="0"/>
              <w:suppressLineNumbers w:val="0"/>
              <w:adjustRightInd w:val="0"/>
              <w:spacing w:before="0" w:beforeAutospacing="0" w:after="0" w:afterAutospacing="0" w:line="360" w:lineRule="auto"/>
              <w:ind w:left="0" w:leftChars="0" w:right="0" w:rightChars="0"/>
              <w:jc w:val="center"/>
              <w:outlineLvl w:val="0"/>
              <w:rPr>
                <w:rFonts w:hint="default"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10</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09F2B6B2">
            <w:pPr>
              <w:keepNext w:val="0"/>
              <w:keepLines w:val="0"/>
              <w:suppressLineNumbers w:val="0"/>
              <w:bidi w:val="0"/>
              <w:spacing w:before="0" w:beforeAutospacing="0" w:after="0" w:afterAutospacing="0" w:line="360" w:lineRule="auto"/>
              <w:ind w:right="0" w:rightChars="0"/>
              <w:jc w:val="center"/>
              <w:rPr>
                <w:rFonts w:hint="eastAsia"/>
                <w:color w:val="auto"/>
                <w:sz w:val="24"/>
                <w:szCs w:val="24"/>
                <w:highlight w:val="none"/>
                <w:lang w:val="en-US" w:eastAsia="zh-CN"/>
              </w:rPr>
            </w:pPr>
          </w:p>
        </w:tc>
      </w:tr>
      <w:tr w14:paraId="378D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5B6FCE9D">
            <w:pPr>
              <w:keepNext w:val="0"/>
              <w:keepLines w:val="0"/>
              <w:widowControl w:val="0"/>
              <w:suppressLineNumbers w:val="0"/>
              <w:adjustRightInd w:val="0"/>
              <w:spacing w:before="0" w:beforeAutospacing="0" w:after="0" w:afterAutospacing="0" w:line="360" w:lineRule="auto"/>
              <w:ind w:left="0" w:right="0"/>
              <w:jc w:val="center"/>
              <w:rPr>
                <w:rFonts w:hint="default"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10.1</w:t>
            </w:r>
          </w:p>
        </w:tc>
        <w:tc>
          <w:tcPr>
            <w:tcW w:w="6986" w:type="dxa"/>
            <w:tcBorders>
              <w:top w:val="single" w:color="auto" w:sz="4" w:space="0"/>
              <w:left w:val="single" w:color="auto" w:sz="4" w:space="0"/>
              <w:bottom w:val="single" w:color="auto" w:sz="4" w:space="0"/>
              <w:right w:val="single" w:color="auto" w:sz="4" w:space="0"/>
            </w:tcBorders>
            <w:noWrap w:val="0"/>
            <w:vAlign w:val="center"/>
          </w:tcPr>
          <w:p w14:paraId="549E611F">
            <w:pPr>
              <w:numPr>
                <w:ilvl w:val="0"/>
                <w:numId w:val="0"/>
              </w:numPr>
              <w:spacing w:line="360" w:lineRule="auto"/>
              <w:ind w:left="0" w:leftChars="0" w:firstLine="0" w:firstLineChars="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zh-CN"/>
              </w:rPr>
              <w:t>响应人是否熟悉本村环卫、养护现状，响应人提供服务的便捷程度，响应人是否设有针对性办公场地等，根据响应人提供的相应材料或承诺综合评审，每有一项得1分，最高3分。</w:t>
            </w:r>
          </w:p>
        </w:tc>
        <w:tc>
          <w:tcPr>
            <w:tcW w:w="908" w:type="dxa"/>
            <w:tcBorders>
              <w:top w:val="single" w:color="auto" w:sz="4" w:space="0"/>
              <w:left w:val="single" w:color="auto" w:sz="4" w:space="0"/>
              <w:bottom w:val="single" w:color="auto" w:sz="4" w:space="0"/>
              <w:right w:val="single" w:color="auto" w:sz="4" w:space="0"/>
            </w:tcBorders>
            <w:noWrap w:val="0"/>
            <w:vAlign w:val="center"/>
          </w:tcPr>
          <w:p w14:paraId="5461E769">
            <w:pPr>
              <w:keepNext w:val="0"/>
              <w:keepLines w:val="0"/>
              <w:widowControl w:val="0"/>
              <w:suppressLineNumbers w:val="0"/>
              <w:adjustRightInd w:val="0"/>
              <w:spacing w:before="0" w:beforeAutospacing="0" w:after="0" w:afterAutospacing="0" w:line="360" w:lineRule="auto"/>
              <w:ind w:left="0" w:leftChars="0" w:right="0" w:rightChars="0"/>
              <w:jc w:val="center"/>
              <w:outlineLvl w:val="0"/>
              <w:rPr>
                <w:rFonts w:hint="default"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3</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50004504">
            <w:pPr>
              <w:keepNext w:val="0"/>
              <w:keepLines w:val="0"/>
              <w:suppressLineNumbers w:val="0"/>
              <w:bidi w:val="0"/>
              <w:spacing w:before="0" w:beforeAutospacing="0" w:after="0" w:afterAutospacing="0" w:line="360" w:lineRule="auto"/>
              <w:ind w:right="0" w:rightChars="0"/>
              <w:jc w:val="center"/>
              <w:rPr>
                <w:rFonts w:hint="eastAsia"/>
                <w:color w:val="auto"/>
                <w:sz w:val="24"/>
                <w:szCs w:val="24"/>
                <w:highlight w:val="none"/>
                <w:lang w:val="en-US" w:eastAsia="zh-CN"/>
              </w:rPr>
            </w:pPr>
            <w:r>
              <w:rPr>
                <w:rFonts w:hint="eastAsia"/>
                <w:color w:val="auto"/>
                <w:sz w:val="24"/>
                <w:szCs w:val="24"/>
                <w:highlight w:val="none"/>
                <w:lang w:val="en-US" w:eastAsia="zh-CN"/>
              </w:rPr>
              <w:t>客观分</w:t>
            </w:r>
          </w:p>
        </w:tc>
      </w:tr>
      <w:tr w14:paraId="2DE6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1C2C3053">
            <w:pPr>
              <w:keepNext w:val="0"/>
              <w:keepLines w:val="0"/>
              <w:widowControl w:val="0"/>
              <w:suppressLineNumbers w:val="0"/>
              <w:adjustRightInd w:val="0"/>
              <w:spacing w:before="0" w:beforeAutospacing="0" w:after="0" w:afterAutospacing="0" w:line="360" w:lineRule="auto"/>
              <w:ind w:left="0" w:right="0"/>
              <w:jc w:val="center"/>
              <w:rPr>
                <w:rFonts w:hint="default"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10.2</w:t>
            </w:r>
          </w:p>
        </w:tc>
        <w:tc>
          <w:tcPr>
            <w:tcW w:w="6986" w:type="dxa"/>
            <w:tcBorders>
              <w:top w:val="single" w:color="auto" w:sz="4" w:space="0"/>
              <w:left w:val="single" w:color="auto" w:sz="4" w:space="0"/>
              <w:bottom w:val="single" w:color="auto" w:sz="4" w:space="0"/>
              <w:right w:val="single" w:color="auto" w:sz="4" w:space="0"/>
            </w:tcBorders>
            <w:noWrap w:val="0"/>
            <w:vAlign w:val="center"/>
          </w:tcPr>
          <w:p w14:paraId="7597984E">
            <w:pPr>
              <w:numPr>
                <w:ilvl w:val="0"/>
                <w:numId w:val="0"/>
              </w:numPr>
              <w:spacing w:line="360" w:lineRule="auto"/>
              <w:ind w:left="0" w:leftChars="0" w:firstLine="0" w:firstLineChars="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zh-CN"/>
              </w:rPr>
              <w:t>响应人对发包人的承诺内容(整改措施、质量保证、服从管理、优惠等方面）。每提供一项得1分，最高得2分。</w:t>
            </w:r>
          </w:p>
        </w:tc>
        <w:tc>
          <w:tcPr>
            <w:tcW w:w="908" w:type="dxa"/>
            <w:tcBorders>
              <w:top w:val="single" w:color="auto" w:sz="4" w:space="0"/>
              <w:left w:val="single" w:color="auto" w:sz="4" w:space="0"/>
              <w:bottom w:val="single" w:color="auto" w:sz="4" w:space="0"/>
              <w:right w:val="single" w:color="auto" w:sz="4" w:space="0"/>
            </w:tcBorders>
            <w:noWrap w:val="0"/>
            <w:vAlign w:val="center"/>
          </w:tcPr>
          <w:p w14:paraId="5D11570A">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
              </w:rPr>
              <w:t>2</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59AA695B">
            <w:pPr>
              <w:keepNext w:val="0"/>
              <w:keepLines w:val="0"/>
              <w:suppressLineNumbers w:val="0"/>
              <w:bidi w:val="0"/>
              <w:spacing w:before="0" w:beforeAutospacing="0" w:after="0" w:afterAutospacing="0" w:line="360" w:lineRule="auto"/>
              <w:ind w:left="0" w:leftChars="0" w:right="0" w:righ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szCs w:val="24"/>
                <w:highlight w:val="none"/>
                <w:lang w:val="en-US" w:eastAsia="zh-CN"/>
              </w:rPr>
              <w:t>客观分</w:t>
            </w:r>
          </w:p>
        </w:tc>
      </w:tr>
      <w:tr w14:paraId="00D4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453AE98E">
            <w:pPr>
              <w:keepNext w:val="0"/>
              <w:keepLines w:val="0"/>
              <w:widowControl w:val="0"/>
              <w:suppressLineNumbers w:val="0"/>
              <w:adjustRightInd w:val="0"/>
              <w:spacing w:before="0" w:beforeAutospacing="0" w:after="0" w:afterAutospacing="0" w:line="360" w:lineRule="auto"/>
              <w:ind w:left="0" w:right="0"/>
              <w:jc w:val="center"/>
              <w:rPr>
                <w:rFonts w:hint="default"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10.3</w:t>
            </w:r>
          </w:p>
        </w:tc>
        <w:tc>
          <w:tcPr>
            <w:tcW w:w="6986" w:type="dxa"/>
            <w:tcBorders>
              <w:top w:val="single" w:color="auto" w:sz="4" w:space="0"/>
              <w:left w:val="single" w:color="auto" w:sz="4" w:space="0"/>
              <w:bottom w:val="single" w:color="auto" w:sz="4" w:space="0"/>
              <w:right w:val="single" w:color="auto" w:sz="4" w:space="0"/>
            </w:tcBorders>
            <w:noWrap w:val="0"/>
            <w:vAlign w:val="center"/>
          </w:tcPr>
          <w:p w14:paraId="7881F6C6">
            <w:pPr>
              <w:numPr>
                <w:ilvl w:val="0"/>
                <w:numId w:val="0"/>
              </w:numPr>
              <w:spacing w:line="360" w:lineRule="auto"/>
              <w:ind w:left="0" w:leftChars="0" w:firstLine="0" w:firstLineChars="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zh-CN"/>
              </w:rPr>
              <w:t>响应人自2022年1月1日以来，未发生过安全事故造成人员伤亡的，未发生过劳动纠纷的，未发生过有关员工薪酬及权益保障方面的投诉、群众性事件、被劳动部门处罚或被环卫主管部门通报批评的，得2分。（响应文件中提供相应承诺书并加盖公章，格式自拟）</w:t>
            </w:r>
          </w:p>
        </w:tc>
        <w:tc>
          <w:tcPr>
            <w:tcW w:w="908" w:type="dxa"/>
            <w:tcBorders>
              <w:top w:val="single" w:color="auto" w:sz="4" w:space="0"/>
              <w:left w:val="single" w:color="auto" w:sz="4" w:space="0"/>
              <w:bottom w:val="single" w:color="auto" w:sz="4" w:space="0"/>
              <w:right w:val="single" w:color="auto" w:sz="4" w:space="0"/>
            </w:tcBorders>
            <w:noWrap w:val="0"/>
            <w:vAlign w:val="center"/>
          </w:tcPr>
          <w:p w14:paraId="713989F2">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
              </w:rPr>
              <w:t>2</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495016A6">
            <w:pPr>
              <w:keepNext w:val="0"/>
              <w:keepLines w:val="0"/>
              <w:suppressLineNumbers w:val="0"/>
              <w:bidi w:val="0"/>
              <w:spacing w:before="0" w:beforeAutospacing="0" w:after="0" w:afterAutospacing="0" w:line="360" w:lineRule="auto"/>
              <w:ind w:left="0" w:leftChars="0" w:right="0" w:righ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szCs w:val="24"/>
                <w:highlight w:val="none"/>
                <w:lang w:val="en-US" w:eastAsia="zh-CN"/>
              </w:rPr>
              <w:t>客观分</w:t>
            </w:r>
          </w:p>
        </w:tc>
      </w:tr>
      <w:tr w14:paraId="00FD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50EDD8E3">
            <w:pPr>
              <w:keepNext w:val="0"/>
              <w:keepLines w:val="0"/>
              <w:widowControl w:val="0"/>
              <w:suppressLineNumbers w:val="0"/>
              <w:adjustRightInd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rPr>
            </w:pPr>
            <w:r>
              <w:rPr>
                <w:rFonts w:hint="eastAsia" w:ascii="宋体" w:hAnsi="宋体" w:cs="宋体"/>
                <w:color w:val="auto"/>
                <w:kern w:val="2"/>
                <w:sz w:val="24"/>
                <w:szCs w:val="24"/>
                <w:highlight w:val="none"/>
                <w:lang w:val="en-US" w:eastAsia="zh-CN" w:bidi="ar"/>
              </w:rPr>
              <w:t>10.4</w:t>
            </w:r>
          </w:p>
        </w:tc>
        <w:tc>
          <w:tcPr>
            <w:tcW w:w="6986" w:type="dxa"/>
            <w:tcBorders>
              <w:top w:val="single" w:color="auto" w:sz="4" w:space="0"/>
              <w:left w:val="single" w:color="auto" w:sz="4" w:space="0"/>
              <w:bottom w:val="single" w:color="auto" w:sz="4" w:space="0"/>
              <w:right w:val="single" w:color="auto" w:sz="4" w:space="0"/>
            </w:tcBorders>
            <w:noWrap w:val="0"/>
            <w:vAlign w:val="center"/>
          </w:tcPr>
          <w:p w14:paraId="0291159E">
            <w:pPr>
              <w:numPr>
                <w:ilvl w:val="0"/>
                <w:numId w:val="0"/>
              </w:numPr>
              <w:spacing w:line="360" w:lineRule="auto"/>
              <w:ind w:left="0" w:leftChars="0" w:firstLine="0" w:firstLineChars="0"/>
              <w:rPr>
                <w:rFonts w:hint="eastAsia"/>
                <w:color w:val="auto"/>
                <w:highlight w:val="none"/>
              </w:rPr>
            </w:pPr>
            <w:r>
              <w:rPr>
                <w:rFonts w:hint="eastAsia" w:ascii="宋体" w:hAnsi="宋体" w:cs="宋体"/>
                <w:color w:val="auto"/>
                <w:kern w:val="0"/>
                <w:sz w:val="24"/>
                <w:szCs w:val="24"/>
                <w:highlight w:val="none"/>
                <w:lang w:val="en-US" w:eastAsia="zh-CN"/>
              </w:rPr>
              <w:t>4、根据响应人提供</w:t>
            </w:r>
            <w:r>
              <w:rPr>
                <w:rFonts w:hint="eastAsia" w:ascii="宋体" w:hAnsi="宋体" w:cs="宋体"/>
                <w:color w:val="auto"/>
                <w:kern w:val="0"/>
                <w:sz w:val="24"/>
                <w:szCs w:val="24"/>
                <w:highlight w:val="none"/>
                <w:lang w:val="zh-CN"/>
              </w:rPr>
              <w:t>具体可行的保证项目进度和完成的方案、措施等综合评定。方案内容完整且与项目匹配度好的得3分；方案内容基本完整且与项目匹配度较好的得2分；方案内容存在欠缺或与项目匹配度一般的得1分；方案内容缺失严重或与项目不匹配的不得分。</w:t>
            </w:r>
          </w:p>
        </w:tc>
        <w:tc>
          <w:tcPr>
            <w:tcW w:w="908" w:type="dxa"/>
            <w:tcBorders>
              <w:top w:val="single" w:color="auto" w:sz="4" w:space="0"/>
              <w:left w:val="single" w:color="auto" w:sz="4" w:space="0"/>
              <w:bottom w:val="single" w:color="auto" w:sz="4" w:space="0"/>
              <w:right w:val="single" w:color="auto" w:sz="4" w:space="0"/>
            </w:tcBorders>
            <w:noWrap w:val="0"/>
            <w:vAlign w:val="center"/>
          </w:tcPr>
          <w:p w14:paraId="4A70B701">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rPr>
            </w:pPr>
            <w:r>
              <w:rPr>
                <w:rFonts w:hint="eastAsia" w:ascii="宋体" w:hAnsi="宋体" w:cs="宋体"/>
                <w:color w:val="auto"/>
                <w:kern w:val="2"/>
                <w:sz w:val="24"/>
                <w:szCs w:val="24"/>
                <w:highlight w:val="none"/>
                <w:lang w:val="en-US" w:eastAsia="zh-CN" w:bidi="ar"/>
              </w:rPr>
              <w:t>3</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3E6551C1">
            <w:pPr>
              <w:keepNext w:val="0"/>
              <w:keepLines w:val="0"/>
              <w:suppressLineNumbers w:val="0"/>
              <w:bidi w:val="0"/>
              <w:spacing w:before="0" w:beforeAutospacing="0" w:after="0" w:afterAutospacing="0" w:line="360" w:lineRule="auto"/>
              <w:ind w:left="0" w:right="0"/>
              <w:jc w:val="center"/>
              <w:rPr>
                <w:rFonts w:hint="eastAsia"/>
                <w:color w:val="auto"/>
                <w:sz w:val="24"/>
                <w:szCs w:val="24"/>
                <w:highlight w:val="none"/>
                <w:lang w:val="en-US" w:eastAsia="zh-CN"/>
              </w:rPr>
            </w:pPr>
            <w:r>
              <w:rPr>
                <w:rFonts w:hint="eastAsia"/>
                <w:color w:val="auto"/>
                <w:sz w:val="24"/>
                <w:szCs w:val="24"/>
                <w:highlight w:val="none"/>
                <w:lang w:val="en-US" w:eastAsia="zh-CN"/>
              </w:rPr>
              <w:t>主观分</w:t>
            </w:r>
          </w:p>
        </w:tc>
      </w:tr>
      <w:tr w14:paraId="18D91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2FF3E2BF">
            <w:pPr>
              <w:keepNext w:val="0"/>
              <w:keepLines w:val="0"/>
              <w:widowControl w:val="0"/>
              <w:suppressLineNumbers w:val="0"/>
              <w:adjustRightInd w:val="0"/>
              <w:spacing w:before="0" w:beforeAutospacing="0" w:after="0" w:afterAutospacing="0" w:line="360" w:lineRule="auto"/>
              <w:ind w:right="0"/>
              <w:jc w:val="center"/>
              <w:outlineLvl w:val="0"/>
              <w:rPr>
                <w:rFonts w:hint="default" w:ascii="宋体" w:hAnsi="宋体" w:eastAsia="宋体" w:cs="宋体"/>
                <w:color w:val="auto"/>
                <w:kern w:val="2"/>
                <w:sz w:val="24"/>
                <w:szCs w:val="24"/>
                <w:highlight w:val="none"/>
                <w:lang w:val="en-US"/>
              </w:rPr>
            </w:pPr>
            <w:r>
              <w:rPr>
                <w:rFonts w:hint="eastAsia" w:ascii="宋体" w:hAnsi="宋体" w:cs="宋体"/>
                <w:color w:val="auto"/>
                <w:kern w:val="2"/>
                <w:sz w:val="24"/>
                <w:szCs w:val="24"/>
                <w:highlight w:val="none"/>
                <w:lang w:val="en-US" w:eastAsia="zh-CN" w:bidi="ar"/>
              </w:rPr>
              <w:t>11</w:t>
            </w:r>
          </w:p>
        </w:tc>
        <w:tc>
          <w:tcPr>
            <w:tcW w:w="6986" w:type="dxa"/>
            <w:tcBorders>
              <w:top w:val="single" w:color="auto" w:sz="4" w:space="0"/>
              <w:left w:val="single" w:color="auto" w:sz="4" w:space="0"/>
              <w:bottom w:val="single" w:color="auto" w:sz="4" w:space="0"/>
              <w:right w:val="single" w:color="auto" w:sz="4" w:space="0"/>
            </w:tcBorders>
            <w:noWrap w:val="0"/>
            <w:vAlign w:val="top"/>
          </w:tcPr>
          <w:p w14:paraId="39314D3B">
            <w:pPr>
              <w:keepNext w:val="0"/>
              <w:keepLines w:val="0"/>
              <w:widowControl w:val="0"/>
              <w:suppressLineNumbers w:val="0"/>
              <w:adjustRightInd w:val="0"/>
              <w:spacing w:before="0" w:beforeAutospacing="0" w:after="0" w:afterAutospacing="0" w:line="360" w:lineRule="auto"/>
              <w:ind w:left="0" w:right="0"/>
              <w:jc w:val="both"/>
              <w:outlineLvl w:val="0"/>
              <w:rPr>
                <w:rFonts w:hint="eastAsia"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w:t>
            </w:r>
            <w:r>
              <w:rPr>
                <w:rFonts w:hint="eastAsia" w:ascii="宋体" w:hAnsi="宋体" w:cs="宋体"/>
                <w:b/>
                <w:bCs/>
                <w:color w:val="auto"/>
                <w:kern w:val="2"/>
                <w:sz w:val="24"/>
                <w:szCs w:val="24"/>
                <w:highlight w:val="none"/>
                <w:lang w:val="en-US" w:eastAsia="zh-CN" w:bidi="ar"/>
              </w:rPr>
              <w:t>报价分】</w:t>
            </w:r>
          </w:p>
          <w:p w14:paraId="5B183845">
            <w:pPr>
              <w:keepNext w:val="0"/>
              <w:keepLines w:val="0"/>
              <w:widowControl w:val="0"/>
              <w:suppressLineNumbers w:val="0"/>
              <w:adjustRightInd w:val="0"/>
              <w:spacing w:before="0" w:beforeAutospacing="0" w:after="0" w:afterAutospacing="0" w:line="360" w:lineRule="auto"/>
              <w:ind w:left="0" w:right="0"/>
              <w:jc w:val="both"/>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有效投标报价的最低价作为评标基准价，其最低报价为满分；按［投标报价得分=（评标基准价/投标报价）*1</w:t>
            </w:r>
            <w:r>
              <w:rPr>
                <w:rFonts w:hint="eastAsia" w:ascii="宋体" w:hAnsi="宋体" w:cs="宋体"/>
                <w:color w:val="auto"/>
                <w:kern w:val="2"/>
                <w:sz w:val="24"/>
                <w:szCs w:val="24"/>
                <w:highlight w:val="none"/>
                <w:lang w:val="en-US" w:eastAsia="zh-CN" w:bidi="ar"/>
              </w:rPr>
              <w:t>0</w:t>
            </w:r>
            <w:r>
              <w:rPr>
                <w:rFonts w:hint="eastAsia" w:ascii="宋体" w:hAnsi="宋体" w:eastAsia="宋体" w:cs="宋体"/>
                <w:color w:val="auto"/>
                <w:kern w:val="2"/>
                <w:sz w:val="24"/>
                <w:szCs w:val="24"/>
                <w:highlight w:val="none"/>
                <w:lang w:val="en-US" w:eastAsia="zh-CN" w:bidi="ar"/>
              </w:rPr>
              <w:t>］的计算公式计算。</w:t>
            </w:r>
          </w:p>
          <w:p w14:paraId="148928E9">
            <w:pPr>
              <w:keepNext w:val="0"/>
              <w:keepLines w:val="0"/>
              <w:widowControl/>
              <w:suppressLineNumbers w:val="0"/>
              <w:shd w:val="clear" w:color="auto" w:fill="FFFFFF"/>
              <w:adjustRightInd w:val="0"/>
              <w:spacing w:before="0" w:beforeAutospacing="0" w:after="225" w:afterAutospacing="0" w:line="360" w:lineRule="auto"/>
              <w:ind w:left="0" w:right="0"/>
              <w:jc w:val="left"/>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kern w:val="2"/>
                <w:sz w:val="24"/>
                <w:szCs w:val="24"/>
                <w:highlight w:val="none"/>
                <w:shd w:val="clear" w:color="auto" w:fill="FFFFFF"/>
                <w:lang w:val="en-US" w:eastAsia="zh-CN" w:bidi="ar"/>
              </w:rPr>
              <w:t>评标过程中，不得去掉报价中的最高报价和最低报价。</w:t>
            </w:r>
          </w:p>
        </w:tc>
        <w:tc>
          <w:tcPr>
            <w:tcW w:w="908" w:type="dxa"/>
            <w:tcBorders>
              <w:top w:val="single" w:color="auto" w:sz="4" w:space="0"/>
              <w:left w:val="single" w:color="auto" w:sz="4" w:space="0"/>
              <w:bottom w:val="single" w:color="auto" w:sz="4" w:space="0"/>
              <w:right w:val="single" w:color="auto" w:sz="4" w:space="0"/>
            </w:tcBorders>
            <w:noWrap w:val="0"/>
            <w:vAlign w:val="center"/>
          </w:tcPr>
          <w:p w14:paraId="47097540">
            <w:pPr>
              <w:keepNext w:val="0"/>
              <w:keepLines w:val="0"/>
              <w:widowControl w:val="0"/>
              <w:suppressLineNumbers w:val="0"/>
              <w:adjustRightInd w:val="0"/>
              <w:spacing w:before="0" w:beforeAutospacing="0" w:after="0" w:afterAutospacing="0" w:line="360" w:lineRule="auto"/>
              <w:ind w:left="0" w:right="0"/>
              <w:jc w:val="center"/>
              <w:outlineLvl w:val="0"/>
              <w:rPr>
                <w:rFonts w:hint="default" w:ascii="宋体" w:hAnsi="宋体" w:eastAsia="宋体" w:cs="宋体"/>
                <w:color w:val="auto"/>
                <w:kern w:val="2"/>
                <w:sz w:val="24"/>
                <w:szCs w:val="24"/>
                <w:highlight w:val="none"/>
                <w:lang w:val="en-US"/>
              </w:rPr>
            </w:pPr>
            <w:r>
              <w:rPr>
                <w:rFonts w:hint="eastAsia" w:ascii="宋体" w:hAnsi="宋体" w:cs="宋体"/>
                <w:color w:val="auto"/>
                <w:kern w:val="2"/>
                <w:sz w:val="24"/>
                <w:szCs w:val="24"/>
                <w:highlight w:val="none"/>
                <w:lang w:val="en-US" w:eastAsia="zh-CN" w:bidi="ar"/>
              </w:rPr>
              <w:t>10</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094E4E53">
            <w:pPr>
              <w:keepNext w:val="0"/>
              <w:keepLines w:val="0"/>
              <w:widowControl w:val="0"/>
              <w:suppressLineNumbers w:val="0"/>
              <w:adjustRightInd w:val="0"/>
              <w:spacing w:before="0" w:beforeAutospacing="0" w:after="0" w:afterAutospacing="0" w:line="360" w:lineRule="auto"/>
              <w:ind w:left="0" w:right="0"/>
              <w:jc w:val="center"/>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tc>
      </w:tr>
    </w:tbl>
    <w:p w14:paraId="46237F5C">
      <w:pPr>
        <w:widowControl/>
        <w:spacing w:line="360" w:lineRule="auto"/>
        <w:rPr>
          <w:rFonts w:ascii="宋体" w:hAnsi="宋体" w:cs="宋体"/>
          <w:color w:val="auto"/>
          <w:sz w:val="24"/>
          <w:highlight w:val="none"/>
        </w:rPr>
      </w:pPr>
      <w:r>
        <w:rPr>
          <w:rFonts w:hint="eastAsia" w:ascii="宋体" w:hAnsi="宋体" w:cs="宋体"/>
          <w:b/>
          <w:color w:val="auto"/>
          <w:sz w:val="24"/>
          <w:highlight w:val="none"/>
        </w:rPr>
        <w:t>备注：</w:t>
      </w:r>
    </w:p>
    <w:p w14:paraId="21A781CF">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中如附有外文资料，必须逐一对应翻译成中文并加盖响应人公章后附在相关外文资料后面，否则外文资料不予认可。翻译的中文资料与外文资料不符的，均不予认可。翻译严重错误的，将视同提供虚假资料。</w:t>
      </w:r>
    </w:p>
    <w:p w14:paraId="6FEF68DD">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2、响应人编制</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（商务技术文件部分）时，建议按此目录（序号和内容）提供评标标准相应的商务技术资料。</w:t>
      </w:r>
    </w:p>
    <w:p w14:paraId="219E6C52">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D4205E2">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满足交易文件全部实质性要求，且按照评审因素的量化指标评审得分最高的响应人为中标候选人的评标方法。</w:t>
      </w:r>
    </w:p>
    <w:p w14:paraId="418ED4BA">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FA71BF0">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A366C96">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C27B9F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评标委员会应当对符合资格的响应人的</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进行符合性审查，以确定其是否满足交易文件的实质性要求。不满足交易文件的实质性要求的，投标无效。</w:t>
      </w:r>
    </w:p>
    <w:p w14:paraId="0720AE3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评标委员会应当按照交易文件中规定的评标方法和标准，对符合性审查合格的</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进行商务和技术评估，综合比较与评价。</w:t>
      </w:r>
    </w:p>
    <w:p w14:paraId="4647D83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评标委员会各成员应当独立对每个响应人的商务和技术文件进行评价，并汇总商务技术得分情况。</w:t>
      </w:r>
    </w:p>
    <w:p w14:paraId="48E69AFF">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7DC3BEB">
      <w:pPr>
        <w:pStyle w:val="13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w:t>
      </w:r>
      <w:r>
        <w:rPr>
          <w:rFonts w:hint="eastAsia" w:ascii="宋体" w:hAnsi="宋体" w:cs="宋体"/>
          <w:color w:val="auto"/>
          <w:kern w:val="0"/>
          <w:highlight w:val="none"/>
          <w:lang w:eastAsia="zh-CN"/>
        </w:rPr>
        <w:t>响应文件</w:t>
      </w:r>
      <w:r>
        <w:rPr>
          <w:rFonts w:hint="eastAsia" w:ascii="宋体" w:hAnsi="宋体" w:cs="宋体"/>
          <w:color w:val="auto"/>
          <w:kern w:val="0"/>
          <w:highlight w:val="none"/>
        </w:rPr>
        <w:t>报价出现前后不一致的，按照下列规定修正：</w:t>
      </w:r>
    </w:p>
    <w:p w14:paraId="757951E2">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中开标一览表(报价表)内容与</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中相应内容不一致的，以开标一览表(报价表)为准；</w:t>
      </w:r>
    </w:p>
    <w:p w14:paraId="36244D3C">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B1DADB2">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96E1B91">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629B1C1">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《政府采购货物和服务招标投标管理办法》第五十一条第二款的规定经响应人确认后产生约束力。</w:t>
      </w:r>
    </w:p>
    <w:p w14:paraId="6583B19B">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出现不是唯一的、有选择性</w:t>
      </w:r>
      <w:r>
        <w:rPr>
          <w:rFonts w:hint="eastAsia" w:ascii="宋体" w:hAnsi="宋体" w:cs="宋体"/>
          <w:color w:val="auto"/>
          <w:kern w:val="0"/>
          <w:sz w:val="24"/>
          <w:highlight w:val="none"/>
          <w:lang w:eastAsia="zh-CN"/>
        </w:rPr>
        <w:t>响应报价</w:t>
      </w:r>
      <w:r>
        <w:rPr>
          <w:rFonts w:hint="eastAsia" w:ascii="宋体" w:hAnsi="宋体" w:cs="宋体"/>
          <w:color w:val="auto"/>
          <w:kern w:val="0"/>
          <w:sz w:val="24"/>
          <w:highlight w:val="none"/>
        </w:rPr>
        <w:t>的，投标无效。</w:t>
      </w:r>
    </w:p>
    <w:p w14:paraId="51CAC14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w:t>
      </w:r>
      <w:r>
        <w:rPr>
          <w:rFonts w:hint="eastAsia" w:ascii="宋体" w:hAnsi="宋体" w:cs="宋体"/>
          <w:color w:val="auto"/>
          <w:kern w:val="0"/>
          <w:sz w:val="24"/>
          <w:highlight w:val="none"/>
          <w:lang w:eastAsia="zh-CN"/>
        </w:rPr>
        <w:t>响应报价</w:t>
      </w:r>
      <w:r>
        <w:rPr>
          <w:rFonts w:hint="eastAsia" w:ascii="宋体" w:hAnsi="宋体" w:cs="宋体"/>
          <w:color w:val="auto"/>
          <w:kern w:val="0"/>
          <w:sz w:val="24"/>
          <w:highlight w:val="none"/>
        </w:rPr>
        <w:t>超过交易文件中规定的预算金额或者最高限价的，投标无效。</w:t>
      </w:r>
    </w:p>
    <w:p w14:paraId="04B658D2">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响应人的报价明显低于其他通过符合性审查响应人的报价，有可能影响产品质量或者不能诚信履约的，应当要求其在合理的时间内提供书面说明，必要时提交相关证明材料；响应人不能证明其报价合理性的，评标委员会应当将其作为无效投标处理。</w:t>
      </w:r>
    </w:p>
    <w:p w14:paraId="3CB13171">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w:t>
      </w:r>
      <w:r>
        <w:rPr>
          <w:rFonts w:hint="eastAsia" w:ascii="宋体" w:hAnsi="宋体" w:cs="宋体"/>
          <w:color w:val="auto"/>
          <w:kern w:val="0"/>
          <w:sz w:val="24"/>
          <w:highlight w:val="none"/>
          <w:lang w:eastAsia="zh-CN"/>
        </w:rPr>
        <w:t>响应报价</w:t>
      </w:r>
      <w:r>
        <w:rPr>
          <w:rFonts w:hint="eastAsia" w:ascii="宋体" w:hAnsi="宋体" w:cs="宋体"/>
          <w:color w:val="auto"/>
          <w:kern w:val="0"/>
          <w:sz w:val="24"/>
          <w:highlight w:val="none"/>
        </w:rPr>
        <w:t>由低到高顺序排列。得分且</w:t>
      </w:r>
      <w:r>
        <w:rPr>
          <w:rFonts w:hint="eastAsia" w:ascii="宋体" w:hAnsi="宋体" w:cs="宋体"/>
          <w:color w:val="auto"/>
          <w:kern w:val="0"/>
          <w:sz w:val="24"/>
          <w:highlight w:val="none"/>
          <w:lang w:eastAsia="zh-CN"/>
        </w:rPr>
        <w:t>响应报价</w:t>
      </w:r>
      <w:r>
        <w:rPr>
          <w:rFonts w:hint="eastAsia" w:ascii="宋体" w:hAnsi="宋体" w:cs="宋体"/>
          <w:color w:val="auto"/>
          <w:kern w:val="0"/>
          <w:sz w:val="24"/>
          <w:highlight w:val="none"/>
        </w:rPr>
        <w:t>相同的并列。</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满足交易文件全部实质性要求，且按照评审因素的量化指标评审得分最高的响应人为排名第一的中标候选人。</w:t>
      </w:r>
    </w:p>
    <w:p w14:paraId="0001E3F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7F37D7C">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2ED8097">
      <w:pPr>
        <w:pStyle w:val="134"/>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4.1响应人澄清、说明或者补正。</w:t>
      </w:r>
      <w:r>
        <w:rPr>
          <w:rFonts w:hint="eastAsia" w:ascii="宋体" w:hAnsi="宋体" w:cs="宋体"/>
          <w:color w:val="auto"/>
          <w:kern w:val="0"/>
          <w:szCs w:val="24"/>
          <w:highlight w:val="none"/>
        </w:rPr>
        <w:t>对于</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中含义不明确、同类问题表述不一致或者有明显文字和计算错误的内容需要响应人作出必要的澄清、说明或者补正的，评标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的范围或者改变</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的实质性内容。</w:t>
      </w:r>
    </w:p>
    <w:p w14:paraId="5D90263B">
      <w:pPr>
        <w:pStyle w:val="1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28A60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4.2.1响应人不具备交易文件中规定的资格要求的（响应人未提供有效的资格文件的，视为响应人不具备交易文件中规定的资格要求）；</w:t>
      </w:r>
    </w:p>
    <w:p w14:paraId="038881C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未按照交易文件要求签署、盖章的；</w:t>
      </w:r>
    </w:p>
    <w:p w14:paraId="3D50ABD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拟采购的产品属于政府强制采购的节能产品品目清单范围的，响应人未按交易文件要求提供国家确定的认证机构出具的、处于有效期之内的节能产品认证证书的；</w:t>
      </w:r>
    </w:p>
    <w:p w14:paraId="7ACD089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含有</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不能接受的附加条件的；</w:t>
      </w:r>
    </w:p>
    <w:p w14:paraId="5D88030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中承诺的投标有效期少于交易文件中载明的投标有效期的；</w:t>
      </w:r>
    </w:p>
    <w:p w14:paraId="0E6CE7FB">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出现不是唯一的、有选择性</w:t>
      </w:r>
      <w:r>
        <w:rPr>
          <w:rFonts w:hint="eastAsia" w:ascii="宋体" w:hAnsi="宋体" w:cs="宋体"/>
          <w:color w:val="auto"/>
          <w:kern w:val="0"/>
          <w:sz w:val="24"/>
          <w:highlight w:val="none"/>
          <w:lang w:eastAsia="zh-CN"/>
        </w:rPr>
        <w:t>响应报价</w:t>
      </w:r>
      <w:r>
        <w:rPr>
          <w:rFonts w:hint="eastAsia" w:ascii="宋体" w:hAnsi="宋体" w:cs="宋体"/>
          <w:color w:val="auto"/>
          <w:kern w:val="0"/>
          <w:sz w:val="24"/>
          <w:highlight w:val="none"/>
        </w:rPr>
        <w:t>的；</w:t>
      </w:r>
    </w:p>
    <w:p w14:paraId="47CC51C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w:t>
      </w:r>
      <w:r>
        <w:rPr>
          <w:rFonts w:hint="eastAsia" w:ascii="宋体" w:hAnsi="宋体" w:cs="宋体"/>
          <w:color w:val="auto"/>
          <w:kern w:val="0"/>
          <w:sz w:val="24"/>
          <w:highlight w:val="none"/>
          <w:lang w:eastAsia="zh-CN"/>
        </w:rPr>
        <w:t>响应报价</w:t>
      </w:r>
      <w:r>
        <w:rPr>
          <w:rFonts w:hint="eastAsia" w:ascii="宋体" w:hAnsi="宋体" w:cs="宋体"/>
          <w:color w:val="auto"/>
          <w:kern w:val="0"/>
          <w:sz w:val="24"/>
          <w:highlight w:val="none"/>
        </w:rPr>
        <w:t>超过交易文件中规定的预算金额或者最高限价的；</w:t>
      </w:r>
    </w:p>
    <w:p w14:paraId="4198F1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4.2.8报价明显低于其他通过符合性审查响应人的报价，有可能影响产品质量或者不能诚信履约的，未能按要求提供书面说明或者提交相关证明材料，不能证明其报价合理性的；</w:t>
      </w:r>
    </w:p>
    <w:p w14:paraId="5A08ED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4.2.9响应人对根据修正原则修正后的报价不确认的；</w:t>
      </w:r>
    </w:p>
    <w:p w14:paraId="0C7657B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4.2.10响应人提供虚假材料投标的；</w:t>
      </w:r>
    </w:p>
    <w:p w14:paraId="7F2F0E33">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4.2.11响应人有恶意串通、妨碍其他响应人的竞争行为、损害</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或者其他响应人的合法权益情形的；</w:t>
      </w:r>
    </w:p>
    <w:p w14:paraId="01A24CB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4.2.12响应人仅提交备份</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，未在电子交易平台传输递交</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的，投标无效；</w:t>
      </w:r>
    </w:p>
    <w:p w14:paraId="1C5E8E08">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 xml:space="preserve">4.2.13 </w:t>
      </w:r>
      <w:r>
        <w:rPr>
          <w:rFonts w:hint="eastAsia" w:ascii="宋体" w:hAnsi="宋体" w:eastAsia="宋体" w:cs="宋体"/>
          <w:b w:val="0"/>
          <w:bCs w:val="0"/>
          <w:color w:val="auto"/>
          <w:kern w:val="0"/>
          <w:sz w:val="24"/>
          <w:szCs w:val="24"/>
          <w:highlight w:val="none"/>
          <w:lang w:val="en-US" w:eastAsia="zh-CN"/>
        </w:rPr>
        <w:t>响应文件</w:t>
      </w:r>
      <w:r>
        <w:rPr>
          <w:rFonts w:hint="eastAsia" w:ascii="宋体" w:hAnsi="宋体" w:eastAsia="宋体" w:cs="宋体"/>
          <w:b w:val="0"/>
          <w:bCs w:val="0"/>
          <w:color w:val="auto"/>
          <w:kern w:val="0"/>
          <w:sz w:val="24"/>
          <w:szCs w:val="24"/>
          <w:highlight w:val="none"/>
          <w:lang w:val="en-US"/>
        </w:rPr>
        <w:t>不满足交易文件的其它实质性要求的；</w:t>
      </w:r>
    </w:p>
    <w:p w14:paraId="63E02B9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7AC66140">
      <w:pPr>
        <w:pStyle w:val="1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参照《中华人民共和国政府采购法》第三十六条之规定，在采购中，出现下列情形之一的，应予废标：</w:t>
      </w:r>
    </w:p>
    <w:p w14:paraId="0EC8651D">
      <w:pPr>
        <w:pStyle w:val="16"/>
        <w:snapToGrid w:val="0"/>
        <w:spacing w:line="360" w:lineRule="auto"/>
        <w:rPr>
          <w:rFonts w:cs="宋体"/>
          <w:color w:val="auto"/>
          <w:highlight w:val="none"/>
        </w:rPr>
      </w:pPr>
      <w:r>
        <w:rPr>
          <w:rFonts w:hint="eastAsia" w:cs="宋体"/>
          <w:color w:val="auto"/>
          <w:highlight w:val="none"/>
        </w:rPr>
        <w:t>5.1符合专业条件的</w:t>
      </w:r>
      <w:r>
        <w:rPr>
          <w:rFonts w:hint="eastAsia" w:cs="宋体"/>
          <w:color w:val="auto"/>
          <w:highlight w:val="none"/>
          <w:lang w:eastAsia="zh-CN"/>
        </w:rPr>
        <w:t>响应人</w:t>
      </w:r>
      <w:r>
        <w:rPr>
          <w:rFonts w:hint="eastAsia" w:cs="宋体"/>
          <w:color w:val="auto"/>
          <w:highlight w:val="none"/>
        </w:rPr>
        <w:t>或者对交易文件作实质响应的</w:t>
      </w:r>
      <w:r>
        <w:rPr>
          <w:rFonts w:hint="eastAsia" w:cs="宋体"/>
          <w:color w:val="auto"/>
          <w:highlight w:val="none"/>
          <w:lang w:eastAsia="zh-CN"/>
        </w:rPr>
        <w:t>响应人</w:t>
      </w:r>
      <w:r>
        <w:rPr>
          <w:rFonts w:hint="eastAsia" w:cs="宋体"/>
          <w:color w:val="auto"/>
          <w:highlight w:val="none"/>
        </w:rPr>
        <w:t>不足3家的；</w:t>
      </w:r>
    </w:p>
    <w:p w14:paraId="2FF83DEE">
      <w:pPr>
        <w:pStyle w:val="16"/>
        <w:snapToGrid w:val="0"/>
        <w:spacing w:line="360" w:lineRule="auto"/>
        <w:rPr>
          <w:rFonts w:cs="宋体"/>
          <w:color w:val="auto"/>
          <w:highlight w:val="none"/>
        </w:rPr>
      </w:pPr>
      <w:r>
        <w:rPr>
          <w:rFonts w:hint="eastAsia" w:cs="宋体"/>
          <w:color w:val="auto"/>
          <w:highlight w:val="none"/>
        </w:rPr>
        <w:t>5.2出现影响采购公正的违法、违规行为的；</w:t>
      </w:r>
    </w:p>
    <w:p w14:paraId="23749417">
      <w:pPr>
        <w:pStyle w:val="16"/>
        <w:snapToGrid w:val="0"/>
        <w:spacing w:line="360" w:lineRule="auto"/>
        <w:rPr>
          <w:rFonts w:cs="宋体"/>
          <w:color w:val="auto"/>
          <w:highlight w:val="none"/>
        </w:rPr>
      </w:pPr>
      <w:r>
        <w:rPr>
          <w:rFonts w:hint="eastAsia" w:cs="宋体"/>
          <w:color w:val="auto"/>
          <w:highlight w:val="none"/>
        </w:rPr>
        <w:t>5.3响应人的报价均超过了采购预算，</w:t>
      </w:r>
      <w:r>
        <w:rPr>
          <w:rFonts w:hint="eastAsia" w:cs="宋体"/>
          <w:color w:val="auto"/>
          <w:highlight w:val="none"/>
          <w:lang w:eastAsia="zh-CN"/>
        </w:rPr>
        <w:t>发包人</w:t>
      </w:r>
      <w:r>
        <w:rPr>
          <w:rFonts w:hint="eastAsia" w:cs="宋体"/>
          <w:color w:val="auto"/>
          <w:highlight w:val="none"/>
        </w:rPr>
        <w:t>不能支付的；</w:t>
      </w:r>
    </w:p>
    <w:p w14:paraId="142099EA">
      <w:pPr>
        <w:pStyle w:val="16"/>
        <w:snapToGrid w:val="0"/>
        <w:spacing w:line="360" w:lineRule="auto"/>
        <w:rPr>
          <w:rFonts w:cs="宋体"/>
          <w:color w:val="auto"/>
          <w:highlight w:val="none"/>
        </w:rPr>
      </w:pPr>
      <w:r>
        <w:rPr>
          <w:rFonts w:hint="eastAsia" w:cs="宋体"/>
          <w:color w:val="auto"/>
          <w:highlight w:val="none"/>
        </w:rPr>
        <w:t>5.4因重大变故，采购任务取消的。</w:t>
      </w:r>
    </w:p>
    <w:p w14:paraId="379912A9">
      <w:pPr>
        <w:pStyle w:val="16"/>
        <w:snapToGrid w:val="0"/>
        <w:spacing w:line="360" w:lineRule="auto"/>
        <w:rPr>
          <w:rFonts w:cs="宋体"/>
          <w:color w:val="auto"/>
          <w:highlight w:val="none"/>
        </w:rPr>
      </w:pPr>
      <w:r>
        <w:rPr>
          <w:rFonts w:hint="eastAsia" w:cs="宋体"/>
          <w:color w:val="auto"/>
          <w:highlight w:val="none"/>
        </w:rPr>
        <w:t>废标后，采购机构应当将废标理由通知所有响应人。</w:t>
      </w:r>
    </w:p>
    <w:p w14:paraId="5069D468">
      <w:pPr>
        <w:pStyle w:val="16"/>
        <w:snapToGrid w:val="0"/>
        <w:spacing w:line="360" w:lineRule="auto"/>
        <w:ind w:firstLine="590" w:firstLineChars="245"/>
        <w:rPr>
          <w:rFonts w:cs="宋体"/>
          <w:color w:val="auto"/>
          <w:highlight w:val="none"/>
        </w:rPr>
      </w:pPr>
      <w:r>
        <w:rPr>
          <w:rFonts w:hint="eastAsia" w:cs="宋体"/>
          <w:b/>
          <w:color w:val="auto"/>
          <w:highlight w:val="none"/>
        </w:rPr>
        <w:t>6.修改交易文件，重新组织采购活动。</w:t>
      </w:r>
      <w:r>
        <w:rPr>
          <w:rFonts w:hint="eastAsia" w:cs="宋体"/>
          <w:color w:val="auto"/>
          <w:highlight w:val="none"/>
        </w:rPr>
        <w:t>评标委员会发现交易文件存在歧义、重大缺陷导致评标工作无法进行，或者交易文件内容违反国家有关强制性规定的，将停止评标工作，并与</w:t>
      </w:r>
      <w:r>
        <w:rPr>
          <w:rFonts w:hint="eastAsia" w:cs="宋体"/>
          <w:color w:val="auto"/>
          <w:highlight w:val="none"/>
          <w:lang w:eastAsia="zh-CN"/>
        </w:rPr>
        <w:t>发包人</w:t>
      </w:r>
      <w:r>
        <w:rPr>
          <w:rFonts w:hint="eastAsia" w:cs="宋体"/>
          <w:color w:val="auto"/>
          <w:highlight w:val="none"/>
        </w:rPr>
        <w:t>、采购机构沟通并作书面记录。</w:t>
      </w:r>
      <w:r>
        <w:rPr>
          <w:rFonts w:hint="eastAsia" w:cs="宋体"/>
          <w:color w:val="auto"/>
          <w:highlight w:val="none"/>
          <w:lang w:eastAsia="zh-CN"/>
        </w:rPr>
        <w:t>发包人</w:t>
      </w:r>
      <w:r>
        <w:rPr>
          <w:rFonts w:hint="eastAsia" w:cs="宋体"/>
          <w:color w:val="auto"/>
          <w:highlight w:val="none"/>
        </w:rPr>
        <w:t>、采购机构确认后，将修改交易文件，重新组织采购活动。</w:t>
      </w:r>
    </w:p>
    <w:p w14:paraId="456AC4DC">
      <w:pPr>
        <w:pStyle w:val="16"/>
        <w:snapToGrid w:val="0"/>
        <w:spacing w:line="360" w:lineRule="auto"/>
        <w:ind w:firstLine="590" w:firstLineChars="245"/>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有政府采购法第七十一条、第七十二条规定的违法行为之一，影响或者可能影响中标、成交结果的，依照下列规定处理：</w:t>
      </w:r>
    </w:p>
    <w:p w14:paraId="013CF78E">
      <w:pPr>
        <w:pStyle w:val="16"/>
        <w:snapToGrid w:val="0"/>
        <w:spacing w:line="360" w:lineRule="auto"/>
        <w:ind w:firstLine="600" w:firstLineChars="250"/>
        <w:rPr>
          <w:rFonts w:cs="宋体"/>
          <w:color w:val="auto"/>
          <w:highlight w:val="none"/>
        </w:rPr>
      </w:pPr>
      <w:r>
        <w:rPr>
          <w:rFonts w:hint="eastAsia" w:cs="宋体"/>
          <w:color w:val="auto"/>
          <w:highlight w:val="none"/>
        </w:rPr>
        <w:t>7.1未确定中标或者</w:t>
      </w:r>
      <w:r>
        <w:rPr>
          <w:rFonts w:hint="eastAsia" w:cs="宋体"/>
          <w:color w:val="auto"/>
          <w:highlight w:val="none"/>
          <w:lang w:eastAsia="zh-CN"/>
        </w:rPr>
        <w:t>成交人</w:t>
      </w:r>
      <w:r>
        <w:rPr>
          <w:rFonts w:hint="eastAsia" w:cs="宋体"/>
          <w:color w:val="auto"/>
          <w:highlight w:val="none"/>
        </w:rPr>
        <w:t>的，终止本次采购活动，重新开展采购活动。</w:t>
      </w:r>
    </w:p>
    <w:p w14:paraId="2BE5A380">
      <w:pPr>
        <w:pStyle w:val="16"/>
        <w:snapToGrid w:val="0"/>
        <w:spacing w:line="360" w:lineRule="auto"/>
        <w:ind w:firstLine="600" w:firstLineChars="250"/>
        <w:rPr>
          <w:rFonts w:cs="宋体"/>
          <w:color w:val="auto"/>
          <w:highlight w:val="none"/>
        </w:rPr>
      </w:pPr>
      <w:r>
        <w:rPr>
          <w:rFonts w:hint="eastAsia" w:cs="宋体"/>
          <w:color w:val="auto"/>
          <w:highlight w:val="none"/>
        </w:rPr>
        <w:t>7.2已确定中标或者</w:t>
      </w:r>
      <w:r>
        <w:rPr>
          <w:rFonts w:hint="eastAsia" w:cs="宋体"/>
          <w:color w:val="auto"/>
          <w:highlight w:val="none"/>
          <w:lang w:eastAsia="zh-CN"/>
        </w:rPr>
        <w:t>成交人</w:t>
      </w:r>
      <w:r>
        <w:rPr>
          <w:rFonts w:hint="eastAsia" w:cs="宋体"/>
          <w:color w:val="auto"/>
          <w:highlight w:val="none"/>
        </w:rPr>
        <w:t>但尚未签订采购合同的，中标或者成交结果无效，从合格的中标或者成交候选人中另行确定中标或者</w:t>
      </w:r>
      <w:r>
        <w:rPr>
          <w:rFonts w:hint="eastAsia" w:cs="宋体"/>
          <w:color w:val="auto"/>
          <w:highlight w:val="none"/>
          <w:lang w:eastAsia="zh-CN"/>
        </w:rPr>
        <w:t>成交人</w:t>
      </w:r>
      <w:r>
        <w:rPr>
          <w:rFonts w:hint="eastAsia" w:cs="宋体"/>
          <w:color w:val="auto"/>
          <w:highlight w:val="none"/>
        </w:rPr>
        <w:t>；没有合格的中标或者成交候选人的，重新开展采购活动。</w:t>
      </w:r>
    </w:p>
    <w:p w14:paraId="359074D3">
      <w:pPr>
        <w:pStyle w:val="16"/>
        <w:snapToGrid w:val="0"/>
        <w:spacing w:line="360" w:lineRule="auto"/>
        <w:ind w:firstLine="600" w:firstLineChars="250"/>
        <w:rPr>
          <w:rFonts w:cs="宋体"/>
          <w:color w:val="auto"/>
          <w:highlight w:val="none"/>
        </w:rPr>
      </w:pPr>
      <w:r>
        <w:rPr>
          <w:rFonts w:hint="eastAsia" w:cs="宋体"/>
          <w:color w:val="auto"/>
          <w:highlight w:val="none"/>
        </w:rPr>
        <w:t>7.3采购合同已签订但尚未履行的，撤销合同，从合格的中标或者成交候选人中另行确定中标或者</w:t>
      </w:r>
      <w:r>
        <w:rPr>
          <w:rFonts w:hint="eastAsia" w:cs="宋体"/>
          <w:color w:val="auto"/>
          <w:highlight w:val="none"/>
          <w:lang w:eastAsia="zh-CN"/>
        </w:rPr>
        <w:t>成交人</w:t>
      </w:r>
      <w:r>
        <w:rPr>
          <w:rFonts w:hint="eastAsia" w:cs="宋体"/>
          <w:color w:val="auto"/>
          <w:highlight w:val="none"/>
        </w:rPr>
        <w:t>；没有合格的中标或者成交候选人的，重新开展采购活动。</w:t>
      </w:r>
    </w:p>
    <w:p w14:paraId="78CF4B96">
      <w:pPr>
        <w:pStyle w:val="16"/>
        <w:snapToGrid w:val="0"/>
        <w:spacing w:line="360" w:lineRule="auto"/>
        <w:rPr>
          <w:rFonts w:cs="宋体"/>
          <w:color w:val="auto"/>
          <w:highlight w:val="none"/>
        </w:rPr>
      </w:pPr>
      <w:r>
        <w:rPr>
          <w:rFonts w:hint="eastAsia" w:cs="宋体"/>
          <w:color w:val="auto"/>
          <w:highlight w:val="none"/>
        </w:rPr>
        <w:t>7.4采购合同已经履行，给</w:t>
      </w:r>
      <w:r>
        <w:rPr>
          <w:rFonts w:hint="eastAsia" w:cs="宋体"/>
          <w:color w:val="auto"/>
          <w:highlight w:val="none"/>
          <w:lang w:eastAsia="zh-CN"/>
        </w:rPr>
        <w:t>发包人</w:t>
      </w:r>
      <w:r>
        <w:rPr>
          <w:rFonts w:hint="eastAsia" w:cs="宋体"/>
          <w:color w:val="auto"/>
          <w:highlight w:val="none"/>
        </w:rPr>
        <w:t>、</w:t>
      </w:r>
      <w:r>
        <w:rPr>
          <w:rFonts w:hint="eastAsia" w:cs="宋体"/>
          <w:color w:val="auto"/>
          <w:highlight w:val="none"/>
          <w:lang w:eastAsia="zh-CN"/>
        </w:rPr>
        <w:t>响应人</w:t>
      </w:r>
      <w:r>
        <w:rPr>
          <w:rFonts w:hint="eastAsia" w:cs="宋体"/>
          <w:color w:val="auto"/>
          <w:highlight w:val="none"/>
        </w:rPr>
        <w:t>造成损失的，由责任人承担赔偿责任。</w:t>
      </w:r>
    </w:p>
    <w:p w14:paraId="61C041A5">
      <w:pPr>
        <w:pStyle w:val="16"/>
        <w:snapToGrid w:val="0"/>
        <w:spacing w:line="360" w:lineRule="auto"/>
        <w:rPr>
          <w:rFonts w:cs="宋体"/>
          <w:color w:val="auto"/>
          <w:highlight w:val="none"/>
        </w:rPr>
      </w:pPr>
      <w:r>
        <w:rPr>
          <w:rFonts w:hint="eastAsia" w:cs="宋体"/>
          <w:color w:val="auto"/>
          <w:highlight w:val="none"/>
        </w:rPr>
        <w:t>7.5采购当事人有其他违反采购法</w:t>
      </w:r>
      <w:r>
        <w:rPr>
          <w:rFonts w:hint="eastAsia" w:cs="宋体"/>
          <w:color w:val="auto"/>
          <w:kern w:val="0"/>
          <w:highlight w:val="none"/>
        </w:rPr>
        <w:t>或者采购法实施条例等法律法规规定</w:t>
      </w:r>
      <w:r>
        <w:rPr>
          <w:rFonts w:hint="eastAsia" w:cs="宋体"/>
          <w:color w:val="auto"/>
          <w:highlight w:val="none"/>
        </w:rPr>
        <w:t>的行为，经改正后仍然影响或者可能影响中标、成交结果或者依法被认定为中标、成交无效的，依照7.1-7.4规定处理。</w:t>
      </w:r>
      <w:bookmarkEnd w:id="14"/>
      <w:bookmarkStart w:id="380" w:name="第五部分"/>
      <w:bookmarkStart w:id="381" w:name="_Toc86217003"/>
    </w:p>
    <w:p w14:paraId="25DA0703">
      <w:pPr>
        <w:spacing w:line="360" w:lineRule="auto"/>
        <w:jc w:val="center"/>
        <w:outlineLvl w:val="0"/>
        <w:rPr>
          <w:rFonts w:ascii="宋体" w:hAnsi="宋体" w:cs="宋体"/>
          <w:b/>
          <w:color w:val="auto"/>
          <w:sz w:val="36"/>
          <w:szCs w:val="36"/>
          <w:highlight w:val="none"/>
        </w:rPr>
      </w:pPr>
    </w:p>
    <w:p w14:paraId="60B094D2">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2CA575C">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D065A7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说明：合同将由采购人（以下简称甲方）与经评审最终确定的中标人（以下简称乙方）结合本项目具体情况协商后签订，本合同为样稿。</w:t>
      </w:r>
    </w:p>
    <w:p w14:paraId="3B6AFE5A">
      <w:pPr>
        <w:spacing w:line="324" w:lineRule="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lang w:val="en-US" w:eastAsia="zh-CN"/>
        </w:rPr>
        <w:t xml:space="preserve">               </w:t>
      </w:r>
    </w:p>
    <w:p w14:paraId="52B102CE">
      <w:pPr>
        <w:spacing w:line="324" w:lineRule="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lang w:val="en-US" w:eastAsia="zh-CN"/>
        </w:rPr>
        <w:t xml:space="preserve">               </w:t>
      </w:r>
    </w:p>
    <w:p w14:paraId="4BDDD531">
      <w:pPr>
        <w:spacing w:line="324" w:lineRule="auto"/>
        <w:rPr>
          <w:rFonts w:hint="eastAsia" w:ascii="宋体" w:hAnsi="宋体" w:eastAsia="宋体" w:cs="宋体"/>
          <w:color w:val="auto"/>
          <w:sz w:val="24"/>
          <w:highlight w:val="none"/>
        </w:rPr>
      </w:pPr>
    </w:p>
    <w:p w14:paraId="4211BD42">
      <w:pPr>
        <w:spacing w:line="324" w:lineRule="auto"/>
        <w:ind w:firstLine="240" w:firstLineChars="1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一、甲方对所需的</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项目</w:t>
      </w:r>
      <w:r>
        <w:rPr>
          <w:rFonts w:hint="eastAsia" w:ascii="宋体" w:hAnsi="宋体" w:eastAsia="宋体" w:cs="宋体"/>
          <w:color w:val="auto"/>
          <w:sz w:val="24"/>
          <w:highlight w:val="none"/>
        </w:rPr>
        <w:t>进行</w:t>
      </w:r>
      <w:r>
        <w:rPr>
          <w:rFonts w:hint="eastAsia" w:ascii="宋体" w:hAnsi="宋体" w:eastAsia="宋体" w:cs="宋体"/>
          <w:color w:val="auto"/>
          <w:sz w:val="24"/>
          <w:highlight w:val="none"/>
          <w:lang w:val="en-US" w:eastAsia="zh-CN"/>
        </w:rPr>
        <w:t>公开交易</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编号：</w:t>
      </w:r>
      <w:r>
        <w:rPr>
          <w:rFonts w:hint="eastAsia" w:ascii="宋体" w:hAnsi="宋体" w:eastAsia="宋体" w:cs="宋体"/>
          <w:b/>
          <w:bCs/>
          <w:color w:val="auto"/>
          <w:sz w:val="24"/>
          <w:highlight w:val="none"/>
          <w:u w:val="single"/>
        </w:rPr>
        <w:t xml:space="preserve">        </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。确定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为</w:t>
      </w:r>
      <w:r>
        <w:rPr>
          <w:rFonts w:hint="eastAsia" w:ascii="宋体" w:hAnsi="宋体" w:eastAsia="宋体" w:cs="宋体"/>
          <w:b/>
          <w:color w:val="auto"/>
          <w:sz w:val="24"/>
          <w:highlight w:val="none"/>
          <w:u w:val="single"/>
        </w:rPr>
        <w:t xml:space="preserve">           </w:t>
      </w:r>
      <w:r>
        <w:rPr>
          <w:rFonts w:hint="eastAsia" w:ascii="宋体" w:hAnsi="宋体" w:eastAsia="宋体" w:cs="宋体"/>
          <w:color w:val="auto"/>
          <w:sz w:val="24"/>
          <w:highlight w:val="none"/>
        </w:rPr>
        <w:t>中标人。</w:t>
      </w:r>
      <w:r>
        <w:rPr>
          <w:rFonts w:hint="eastAsia" w:ascii="宋体" w:hAnsi="宋体" w:eastAsia="宋体" w:cs="宋体"/>
          <w:color w:val="auto"/>
          <w:sz w:val="24"/>
          <w:highlight w:val="none"/>
          <w:lang w:val="zh-CN"/>
        </w:rPr>
        <w:t>甲乙双方依据《中华人民共和国民法典》及相关法律法规，按照平等互利原则并经双方友好协商，达成如下协议</w:t>
      </w:r>
    </w:p>
    <w:p w14:paraId="2615DEC2">
      <w:pPr>
        <w:spacing w:line="324" w:lineRule="auto"/>
        <w:ind w:firstLine="241" w:firstLineChars="1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二、合同文件及解释顺序</w:t>
      </w:r>
    </w:p>
    <w:p w14:paraId="74AFADCF">
      <w:pPr>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下列文件构成本合同的组成部分：</w:t>
      </w:r>
    </w:p>
    <w:p w14:paraId="574B7E4B">
      <w:pPr>
        <w:snapToGrid w:val="0"/>
        <w:spacing w:line="360" w:lineRule="auto"/>
        <w:ind w:firstLine="487" w:firstLineChars="203"/>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交易文件</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eastAsia="zh-CN"/>
        </w:rPr>
        <w:t>响应文件</w:t>
      </w:r>
      <w:r>
        <w:rPr>
          <w:rFonts w:hint="eastAsia" w:ascii="宋体" w:hAnsi="宋体" w:eastAsia="宋体" w:cs="宋体"/>
          <w:bCs/>
          <w:color w:val="auto"/>
          <w:sz w:val="24"/>
          <w:highlight w:val="none"/>
        </w:rPr>
        <w:t>、询标记录、</w:t>
      </w:r>
      <w:r>
        <w:rPr>
          <w:rFonts w:hint="eastAsia" w:ascii="宋体" w:hAnsi="宋体" w:eastAsia="宋体" w:cs="宋体"/>
          <w:bCs/>
          <w:color w:val="auto"/>
          <w:sz w:val="24"/>
          <w:highlight w:val="none"/>
          <w:lang w:eastAsia="zh-CN"/>
        </w:rPr>
        <w:t>成交通知书</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服务</w:t>
      </w:r>
      <w:r>
        <w:rPr>
          <w:rFonts w:hint="eastAsia" w:ascii="宋体" w:hAnsi="宋体" w:eastAsia="宋体" w:cs="宋体"/>
          <w:bCs/>
          <w:color w:val="auto"/>
          <w:sz w:val="24"/>
          <w:highlight w:val="none"/>
        </w:rPr>
        <w:t>合同、合同补充条款或说明。</w:t>
      </w:r>
    </w:p>
    <w:p w14:paraId="690DF255">
      <w:pPr>
        <w:numPr>
          <w:ilvl w:val="0"/>
          <w:numId w:val="0"/>
        </w:num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sz w:val="24"/>
          <w:highlight w:val="none"/>
        </w:rPr>
        <w:t>三、</w:t>
      </w:r>
      <w:r>
        <w:rPr>
          <w:rFonts w:hint="eastAsia" w:ascii="宋体" w:hAnsi="宋体" w:cs="宋体"/>
          <w:b/>
          <w:color w:val="auto"/>
          <w:sz w:val="24"/>
          <w:highlight w:val="none"/>
          <w:lang w:val="en-US" w:eastAsia="zh-CN"/>
        </w:rPr>
        <w:t>合同</w:t>
      </w:r>
      <w:r>
        <w:rPr>
          <w:rFonts w:hint="eastAsia" w:ascii="宋体" w:hAnsi="宋体" w:eastAsia="宋体" w:cs="宋体"/>
          <w:b/>
          <w:color w:val="auto"/>
          <w:sz w:val="24"/>
          <w:highlight w:val="none"/>
        </w:rPr>
        <w:t>期限：</w:t>
      </w:r>
      <w:r>
        <w:rPr>
          <w:rFonts w:hint="eastAsia" w:ascii="宋体" w:hAnsi="宋体" w:cs="宋体"/>
          <w:b w:val="0"/>
          <w:bCs/>
          <w:color w:val="auto"/>
          <w:sz w:val="24"/>
          <w:highlight w:val="none"/>
          <w:lang w:val="en-US" w:eastAsia="zh-CN"/>
        </w:rPr>
        <w:t>1</w:t>
      </w:r>
      <w:r>
        <w:rPr>
          <w:rFonts w:hint="eastAsia" w:ascii="宋体" w:hAnsi="宋体" w:eastAsia="宋体" w:cs="宋体"/>
          <w:b w:val="0"/>
          <w:bCs/>
          <w:color w:val="auto"/>
          <w:sz w:val="24"/>
          <w:highlight w:val="none"/>
          <w:lang w:eastAsia="zh-CN"/>
        </w:rPr>
        <w:t>年（</w:t>
      </w:r>
      <w:r>
        <w:rPr>
          <w:rFonts w:hint="eastAsia" w:ascii="宋体" w:hAnsi="宋体" w:eastAsia="宋体" w:cs="宋体"/>
          <w:b w:val="0"/>
          <w:bCs/>
          <w:color w:val="auto"/>
          <w:sz w:val="24"/>
          <w:highlight w:val="none"/>
          <w:u w:val="single"/>
          <w:lang w:val="en-US" w:eastAsia="zh-CN"/>
        </w:rPr>
        <w:t xml:space="preserve"> 2025 </w:t>
      </w:r>
      <w:r>
        <w:rPr>
          <w:rFonts w:hint="eastAsia" w:ascii="宋体" w:hAnsi="宋体" w:eastAsia="宋体" w:cs="宋体"/>
          <w:b w:val="0"/>
          <w:bCs/>
          <w:color w:val="auto"/>
          <w:sz w:val="24"/>
          <w:highlight w:val="none"/>
          <w:u w:val="none"/>
          <w:lang w:val="en-US" w:eastAsia="zh-CN"/>
        </w:rPr>
        <w:t>年</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none"/>
          <w:lang w:val="en-US" w:eastAsia="zh-CN"/>
        </w:rPr>
        <w:t>月</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none"/>
          <w:lang w:val="en-US" w:eastAsia="zh-CN"/>
        </w:rPr>
        <w:t>日至</w:t>
      </w:r>
      <w:r>
        <w:rPr>
          <w:rFonts w:hint="eastAsia" w:ascii="宋体" w:hAnsi="宋体" w:eastAsia="宋体" w:cs="宋体"/>
          <w:b w:val="0"/>
          <w:bCs/>
          <w:color w:val="auto"/>
          <w:sz w:val="24"/>
          <w:highlight w:val="none"/>
          <w:u w:val="single"/>
          <w:lang w:val="en-US" w:eastAsia="zh-CN"/>
        </w:rPr>
        <w:t xml:space="preserve"> 202</w:t>
      </w:r>
      <w:r>
        <w:rPr>
          <w:rFonts w:hint="eastAsia" w:ascii="宋体" w:hAnsi="宋体" w:cs="宋体"/>
          <w:b w:val="0"/>
          <w:bCs/>
          <w:color w:val="auto"/>
          <w:sz w:val="24"/>
          <w:highlight w:val="none"/>
          <w:u w:val="single"/>
          <w:lang w:val="en-US" w:eastAsia="zh-CN"/>
        </w:rPr>
        <w:t>6</w:t>
      </w:r>
      <w:r>
        <w:rPr>
          <w:rFonts w:hint="eastAsia" w:ascii="宋体" w:hAnsi="宋体" w:eastAsia="宋体" w:cs="宋体"/>
          <w:b w:val="0"/>
          <w:bCs/>
          <w:color w:val="auto"/>
          <w:sz w:val="24"/>
          <w:highlight w:val="none"/>
          <w:u w:val="none"/>
          <w:lang w:val="en-US" w:eastAsia="zh-CN"/>
        </w:rPr>
        <w:t>年</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none"/>
          <w:lang w:val="en-US" w:eastAsia="zh-CN"/>
        </w:rPr>
        <w:t>月</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none"/>
          <w:lang w:val="en-US" w:eastAsia="zh-CN"/>
        </w:rPr>
        <w:t>日</w:t>
      </w:r>
      <w:r>
        <w:rPr>
          <w:rFonts w:hint="eastAsia" w:ascii="宋体" w:hAnsi="宋体" w:eastAsia="宋体" w:cs="宋体"/>
          <w:b w:val="0"/>
          <w:bCs/>
          <w:color w:val="auto"/>
          <w:sz w:val="24"/>
          <w:highlight w:val="none"/>
          <w:lang w:eastAsia="zh-CN"/>
        </w:rPr>
        <w:t>）。</w:t>
      </w:r>
      <w:r>
        <w:rPr>
          <w:rFonts w:hint="eastAsia" w:ascii="宋体" w:hAnsi="宋体"/>
          <w:color w:val="auto"/>
          <w:sz w:val="24"/>
          <w:highlight w:val="none"/>
        </w:rPr>
        <w:t>如</w:t>
      </w:r>
      <w:r>
        <w:rPr>
          <w:rFonts w:hint="eastAsia" w:ascii="宋体" w:hAnsi="宋体"/>
          <w:color w:val="auto"/>
          <w:sz w:val="24"/>
          <w:highlight w:val="none"/>
          <w:lang w:val="en-US" w:eastAsia="zh-CN"/>
        </w:rPr>
        <w:t>乙方</w:t>
      </w:r>
      <w:r>
        <w:rPr>
          <w:rFonts w:hint="eastAsia" w:ascii="宋体" w:hAnsi="宋体"/>
          <w:color w:val="auto"/>
          <w:sz w:val="24"/>
          <w:highlight w:val="none"/>
        </w:rPr>
        <w:t>在服务期内违反合同约定，出现服务不到位等情况，达不到</w:t>
      </w:r>
      <w:r>
        <w:rPr>
          <w:rFonts w:hint="eastAsia" w:ascii="宋体" w:hAnsi="宋体"/>
          <w:color w:val="auto"/>
          <w:sz w:val="24"/>
          <w:highlight w:val="none"/>
          <w:lang w:val="en-US" w:eastAsia="zh-CN"/>
        </w:rPr>
        <w:t>甲方</w:t>
      </w:r>
      <w:r>
        <w:rPr>
          <w:rFonts w:hint="eastAsia" w:ascii="宋体" w:hAnsi="宋体"/>
          <w:color w:val="auto"/>
          <w:sz w:val="24"/>
          <w:highlight w:val="none"/>
        </w:rPr>
        <w:t>要求等情况，</w:t>
      </w:r>
      <w:r>
        <w:rPr>
          <w:rFonts w:hint="eastAsia" w:ascii="宋体" w:hAnsi="宋体"/>
          <w:color w:val="auto"/>
          <w:sz w:val="24"/>
          <w:highlight w:val="none"/>
          <w:lang w:val="en-US" w:eastAsia="zh-CN"/>
        </w:rPr>
        <w:t>甲方</w:t>
      </w:r>
      <w:r>
        <w:rPr>
          <w:rFonts w:hint="eastAsia" w:ascii="宋体" w:hAnsi="宋体"/>
          <w:color w:val="auto"/>
          <w:sz w:val="24"/>
          <w:highlight w:val="none"/>
        </w:rPr>
        <w:t>有权提前终止合同</w:t>
      </w:r>
      <w:r>
        <w:rPr>
          <w:rFonts w:hint="eastAsia" w:ascii="宋体" w:hAnsi="宋体"/>
          <w:color w:val="auto"/>
          <w:sz w:val="24"/>
          <w:highlight w:val="none"/>
          <w:lang w:eastAsia="zh-CN"/>
        </w:rPr>
        <w:t>，</w:t>
      </w:r>
      <w:r>
        <w:rPr>
          <w:rFonts w:hint="eastAsia" w:ascii="宋体" w:hAnsi="宋体"/>
          <w:color w:val="auto"/>
          <w:sz w:val="24"/>
          <w:highlight w:val="none"/>
        </w:rPr>
        <w:t>并对</w:t>
      </w:r>
      <w:r>
        <w:rPr>
          <w:rFonts w:hint="eastAsia" w:ascii="宋体" w:hAnsi="宋体"/>
          <w:color w:val="auto"/>
          <w:sz w:val="24"/>
          <w:highlight w:val="none"/>
          <w:lang w:val="en-US" w:eastAsia="zh-CN"/>
        </w:rPr>
        <w:t>乙方</w:t>
      </w:r>
      <w:r>
        <w:rPr>
          <w:rFonts w:hint="eastAsia" w:ascii="宋体" w:hAnsi="宋体"/>
          <w:color w:val="auto"/>
          <w:sz w:val="24"/>
          <w:highlight w:val="none"/>
        </w:rPr>
        <w:t>进行相应扣款处理</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相应扣款从服务费中扣除，服务费不足以扣除的有权从履约保证金中扣除</w:t>
      </w:r>
      <w:r>
        <w:rPr>
          <w:rFonts w:hint="eastAsia" w:ascii="宋体" w:hAnsi="宋体"/>
          <w:color w:val="auto"/>
          <w:sz w:val="24"/>
          <w:highlight w:val="none"/>
        </w:rPr>
        <w:t>。</w:t>
      </w:r>
    </w:p>
    <w:p w14:paraId="0C25BFF8">
      <w:pPr>
        <w:snapToGrid w:val="0"/>
        <w:spacing w:line="360" w:lineRule="auto"/>
        <w:ind w:firstLine="241" w:firstLineChars="100"/>
        <w:outlineLvl w:val="0"/>
        <w:rPr>
          <w:rFonts w:hint="eastAsia" w:ascii="宋体" w:hAnsi="宋体" w:eastAsia="宋体" w:cs="宋体"/>
          <w:color w:val="auto"/>
          <w:sz w:val="24"/>
          <w:highlight w:val="none"/>
        </w:rPr>
      </w:pPr>
      <w:r>
        <w:rPr>
          <w:rFonts w:hint="eastAsia" w:ascii="宋体" w:hAnsi="宋体" w:eastAsia="宋体" w:cs="宋体"/>
          <w:b/>
          <w:color w:val="auto"/>
          <w:sz w:val="24"/>
          <w:highlight w:val="none"/>
        </w:rPr>
        <w:t>四、合同总价为：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元整（</w:t>
      </w:r>
      <w:r>
        <w:rPr>
          <w:rFonts w:hint="eastAsia" w:ascii="宋体" w:hAnsi="宋体" w:eastAsia="宋体" w:cs="宋体"/>
          <w:color w:val="auto"/>
          <w:sz w:val="24"/>
          <w:highlight w:val="none"/>
          <w:u w:val="single"/>
        </w:rPr>
        <w:t xml:space="preserve"> 大写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）。（包括但不限于</w:t>
      </w:r>
      <w:r>
        <w:rPr>
          <w:rFonts w:hint="eastAsia" w:ascii="宋体" w:hAnsi="宋体" w:cs="宋体"/>
          <w:color w:val="auto"/>
          <w:sz w:val="24"/>
          <w:highlight w:val="none"/>
          <w:lang w:val="en-US" w:eastAsia="zh-CN"/>
        </w:rPr>
        <w:t>村内</w:t>
      </w:r>
      <w:r>
        <w:rPr>
          <w:rFonts w:hint="eastAsia" w:ascii="宋体" w:hAnsi="宋体" w:eastAsia="宋体" w:cs="宋体"/>
          <w:color w:val="auto"/>
          <w:sz w:val="24"/>
          <w:highlight w:val="none"/>
        </w:rPr>
        <w:t>河道池塘、绿化带、农贸市场、公厕、生态池、提升井、农贸市场、村委、中转站、农户、老年活动室、企业生活垃圾、秸秆、枯枝、</w:t>
      </w:r>
      <w:r>
        <w:rPr>
          <w:rFonts w:hint="eastAsia" w:ascii="宋体" w:hAnsi="宋体" w:cs="宋体"/>
          <w:color w:val="auto"/>
          <w:sz w:val="24"/>
          <w:highlight w:val="none"/>
          <w:lang w:val="en-US" w:eastAsia="zh-CN"/>
        </w:rPr>
        <w:t>零星</w:t>
      </w:r>
      <w:r>
        <w:rPr>
          <w:rFonts w:hint="eastAsia" w:ascii="宋体" w:hAnsi="宋体" w:eastAsia="宋体" w:cs="宋体"/>
          <w:color w:val="auto"/>
          <w:sz w:val="24"/>
          <w:highlight w:val="none"/>
        </w:rPr>
        <w:t>建筑装修垃圾等范围内</w:t>
      </w:r>
      <w:r>
        <w:rPr>
          <w:rFonts w:hint="eastAsia" w:ascii="宋体" w:hAnsi="宋体" w:cs="宋体"/>
          <w:color w:val="auto"/>
          <w:sz w:val="24"/>
          <w:highlight w:val="none"/>
          <w:lang w:eastAsia="zh-CN"/>
        </w:rPr>
        <w:t>的</w:t>
      </w:r>
      <w:r>
        <w:rPr>
          <w:rFonts w:hint="eastAsia" w:ascii="宋体" w:hAnsi="宋体" w:eastAsia="宋体" w:cs="宋体"/>
          <w:color w:val="auto"/>
          <w:sz w:val="24"/>
          <w:highlight w:val="none"/>
        </w:rPr>
        <w:t>保洁费用；保洁员管理员工资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拖拉机、工具、服装、修理维护费、保险费、税收等费用）。</w:t>
      </w:r>
    </w:p>
    <w:p w14:paraId="577401BF">
      <w:pPr>
        <w:spacing w:line="324" w:lineRule="auto"/>
        <w:ind w:firstLine="241" w:firstLineChars="1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五、支付方式：</w:t>
      </w:r>
    </w:p>
    <w:p w14:paraId="56B88437">
      <w:pPr>
        <w:pStyle w:val="61"/>
        <w:adjustRightInd/>
        <w:ind w:firstLine="480" w:firstLineChars="200"/>
        <w:jc w:val="left"/>
        <w:rPr>
          <w:rFonts w:hint="eastAsia"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1、付款方式</w:t>
      </w:r>
    </w:p>
    <w:p w14:paraId="13100834">
      <w:pPr>
        <w:pStyle w:val="61"/>
        <w:adjustRightInd/>
        <w:ind w:firstLine="480" w:firstLineChars="20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rPr>
        <w:t>1.1</w:t>
      </w:r>
      <w:r>
        <w:rPr>
          <w:rFonts w:hint="eastAsia" w:ascii="宋体" w:hAnsi="宋体" w:eastAsia="宋体" w:cs="宋体"/>
          <w:color w:val="auto"/>
          <w:szCs w:val="24"/>
          <w:highlight w:val="none"/>
          <w:lang w:val="en-US" w:eastAsia="zh-CN"/>
        </w:rPr>
        <w:t>付款方式：</w:t>
      </w:r>
      <w:r>
        <w:rPr>
          <w:rFonts w:hint="eastAsia" w:ascii="宋体" w:hAnsi="宋体" w:eastAsia="宋体" w:cs="宋体"/>
          <w:snapToGrid/>
          <w:color w:val="auto"/>
          <w:kern w:val="2"/>
          <w:sz w:val="24"/>
          <w:szCs w:val="24"/>
          <w:highlight w:val="none"/>
          <w:lang w:val="en-US" w:eastAsia="zh-CN" w:bidi="ar-SA"/>
        </w:rPr>
        <w:t>按季度支付，每季度支付合同总价的25%。下季度保洁满壹个月付上季度保洁款。保洁期满后付清余款。</w:t>
      </w:r>
    </w:p>
    <w:p w14:paraId="10CDE544">
      <w:pPr>
        <w:pStyle w:val="61"/>
        <w:adjustRightInd/>
        <w:ind w:firstLine="480" w:firstLineChars="200"/>
        <w:jc w:val="left"/>
        <w:rPr>
          <w:rFonts w:hint="eastAsia"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1.</w:t>
      </w:r>
      <w:r>
        <w:rPr>
          <w:rFonts w:hint="eastAsia" w:hAnsi="宋体" w:cs="宋体"/>
          <w:color w:val="auto"/>
          <w:szCs w:val="24"/>
          <w:highlight w:val="none"/>
          <w:lang w:val="en-US" w:eastAsia="zh-CN"/>
        </w:rPr>
        <w:t xml:space="preserve">2 </w:t>
      </w:r>
      <w:r>
        <w:rPr>
          <w:rFonts w:hint="eastAsia" w:ascii="宋体" w:hAnsi="宋体" w:eastAsia="宋体" w:cs="宋体"/>
          <w:color w:val="auto"/>
          <w:szCs w:val="24"/>
          <w:highlight w:val="none"/>
          <w:lang w:val="en-US"/>
        </w:rPr>
        <w:t>甲方有权在每</w:t>
      </w:r>
      <w:r>
        <w:rPr>
          <w:rFonts w:hint="eastAsia" w:hAnsi="宋体" w:cs="宋体"/>
          <w:color w:val="auto"/>
          <w:szCs w:val="24"/>
          <w:highlight w:val="none"/>
          <w:lang w:val="en-US" w:eastAsia="zh-CN"/>
        </w:rPr>
        <w:t>季度</w:t>
      </w:r>
      <w:r>
        <w:rPr>
          <w:rFonts w:hint="eastAsia" w:ascii="宋体" w:hAnsi="宋体" w:eastAsia="宋体" w:cs="宋体"/>
          <w:color w:val="auto"/>
          <w:szCs w:val="24"/>
          <w:highlight w:val="none"/>
          <w:lang w:val="en-US"/>
        </w:rPr>
        <w:t>结算时，从应付款中扣除因乙方违反本合同所应向甲方支付的违约金以及因乙方原因致使甲方承担的第三方法律责任。</w:t>
      </w:r>
    </w:p>
    <w:p w14:paraId="757758B9">
      <w:pPr>
        <w:pStyle w:val="61"/>
        <w:adjustRightInd/>
        <w:ind w:firstLine="480" w:firstLineChars="200"/>
        <w:jc w:val="left"/>
        <w:rPr>
          <w:rFonts w:hint="eastAsia"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1.</w:t>
      </w:r>
      <w:r>
        <w:rPr>
          <w:rFonts w:hint="eastAsia" w:hAnsi="宋体" w:cs="宋体"/>
          <w:color w:val="auto"/>
          <w:szCs w:val="24"/>
          <w:highlight w:val="none"/>
          <w:lang w:val="en-US" w:eastAsia="zh-CN"/>
        </w:rPr>
        <w:t xml:space="preserve">3 </w:t>
      </w:r>
      <w:r>
        <w:rPr>
          <w:rFonts w:hint="eastAsia" w:ascii="宋体" w:hAnsi="宋体" w:eastAsia="宋体" w:cs="宋体"/>
          <w:color w:val="auto"/>
          <w:szCs w:val="24"/>
          <w:highlight w:val="none"/>
          <w:lang w:val="en-US"/>
        </w:rPr>
        <w:t>若合同期结束时，下一轮采购还未完成，超出合同期部分的服务费按实际天数及考核结果结算。</w:t>
      </w:r>
    </w:p>
    <w:p w14:paraId="6E6032AB">
      <w:pPr>
        <w:pStyle w:val="61"/>
        <w:adjustRightInd/>
        <w:ind w:firstLine="480" w:firstLineChars="200"/>
        <w:jc w:val="left"/>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注：</w:t>
      </w:r>
      <w:r>
        <w:rPr>
          <w:rFonts w:hint="eastAsia" w:ascii="宋体" w:hAnsi="宋体" w:eastAsia="宋体" w:cs="宋体"/>
          <w:bCs/>
          <w:color w:val="auto"/>
          <w:szCs w:val="24"/>
          <w:highlight w:val="none"/>
          <w:u w:val="single"/>
        </w:rPr>
        <w:t>保洁服务期内的人工费用应根据最新的杭州市最低工资标准及相关文件作及时调整，服务期内因人工费上涨引起费用增加的风险已包含在合同总价内，甲方不另行支付</w:t>
      </w:r>
      <w:r>
        <w:rPr>
          <w:rFonts w:hint="eastAsia" w:ascii="宋体" w:hAnsi="宋体" w:eastAsia="宋体" w:cs="宋体"/>
          <w:bCs/>
          <w:color w:val="auto"/>
          <w:szCs w:val="24"/>
          <w:highlight w:val="none"/>
        </w:rPr>
        <w:t>。</w:t>
      </w:r>
    </w:p>
    <w:p w14:paraId="469A2507">
      <w:pPr>
        <w:spacing w:line="360" w:lineRule="auto"/>
        <w:ind w:firstLine="360" w:firstLineChars="150"/>
        <w:rPr>
          <w:rFonts w:hint="eastAsia" w:ascii="宋体" w:hAnsi="宋体" w:eastAsia="宋体" w:cs="宋体"/>
          <w:b/>
          <w:color w:val="auto"/>
          <w:sz w:val="24"/>
          <w:highlight w:val="none"/>
        </w:rPr>
      </w:pPr>
      <w:r>
        <w:rPr>
          <w:rFonts w:hint="eastAsia" w:ascii="宋体" w:hAnsi="宋体" w:cs="宋体"/>
          <w:b w:val="0"/>
          <w:bCs/>
          <w:color w:val="auto"/>
          <w:sz w:val="24"/>
          <w:szCs w:val="24"/>
          <w:highlight w:val="none"/>
          <w:lang w:eastAsia="zh-CN"/>
        </w:rPr>
        <w:t>支付说明：</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在收到</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开具的符合法律法规规定发票后，以转账支付的方式，支付给</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服务费。</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逾期开具发票或开具的发票不符合</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要求的，</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有权延迟付款时间，且该行为不视为违约</w:t>
      </w:r>
      <w:r>
        <w:rPr>
          <w:rFonts w:hint="eastAsia" w:ascii="宋体" w:hAnsi="宋体" w:eastAsia="宋体" w:cs="宋体"/>
          <w:b w:val="0"/>
          <w:bCs/>
          <w:color w:val="auto"/>
          <w:sz w:val="24"/>
          <w:szCs w:val="24"/>
          <w:highlight w:val="none"/>
        </w:rPr>
        <w:t>。</w:t>
      </w:r>
    </w:p>
    <w:p w14:paraId="10B77EBC">
      <w:pPr>
        <w:spacing w:line="324" w:lineRule="auto"/>
        <w:ind w:firstLine="241" w:firstLineChars="1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六、清卫保洁内容及其他具体要求</w:t>
      </w:r>
    </w:p>
    <w:p w14:paraId="40582862">
      <w:pPr>
        <w:numPr>
          <w:ilvl w:val="0"/>
          <w:numId w:val="0"/>
        </w:numPr>
        <w:spacing w:line="360" w:lineRule="auto"/>
        <w:ind w:firstLine="482" w:firstLineChars="200"/>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（一）保洁内容</w:t>
      </w:r>
    </w:p>
    <w:p w14:paraId="7187C4C9">
      <w:pPr>
        <w:numPr>
          <w:ilvl w:val="0"/>
          <w:numId w:val="0"/>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山三</w:t>
      </w:r>
      <w:r>
        <w:rPr>
          <w:rFonts w:hint="eastAsia" w:ascii="宋体" w:hAnsi="宋体"/>
          <w:color w:val="auto"/>
          <w:sz w:val="24"/>
          <w:highlight w:val="none"/>
        </w:rPr>
        <w:t>村辖区内所有道路、桥面、游步道、小巷小弄、门前屋后、池塘、沟渠等公共场所进行卫生保洁。</w:t>
      </w:r>
    </w:p>
    <w:p w14:paraId="6C47081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2、所有道路、桥面、小巷小弄、河道、沟渠及池塘周边杂草清除，绿化带内及周边垃圾处理及辖区内堆积物清理。</w:t>
      </w:r>
    </w:p>
    <w:p w14:paraId="102FD02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3、辖区内所有公园、健身场所、停车场、公厕、</w:t>
      </w:r>
      <w:r>
        <w:rPr>
          <w:rFonts w:hint="eastAsia" w:ascii="宋体" w:hAnsi="宋体"/>
          <w:color w:val="auto"/>
          <w:sz w:val="24"/>
          <w:highlight w:val="none"/>
          <w:lang w:eastAsia="zh-CN"/>
        </w:rPr>
        <w:t>文体中心</w:t>
      </w:r>
      <w:r>
        <w:rPr>
          <w:rFonts w:hint="eastAsia" w:ascii="宋体" w:hAnsi="宋体"/>
          <w:color w:val="auto"/>
          <w:sz w:val="24"/>
          <w:highlight w:val="none"/>
        </w:rPr>
        <w:t>等公共场所卫生保洁，公共场所周边杂草、垃圾、堆积物清理。</w:t>
      </w:r>
    </w:p>
    <w:p w14:paraId="0A86319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4、辖区内农户及经营户垃圾的专业分类收集、清运、处理；垃圾桶清洗以及村辖区内地面垃圾清运并按标准垃圾分类。</w:t>
      </w:r>
    </w:p>
    <w:p w14:paraId="5444AB2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5、辖区内绿化（公园、公共场所、河道及道路两边绿化带、房前屋后绿化、花箱）进行清理、养护、修剪。</w:t>
      </w:r>
    </w:p>
    <w:p w14:paraId="55CD48F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6、辖区内所有位置上张贴的牛皮癣、喷漆等清理。</w:t>
      </w:r>
    </w:p>
    <w:p w14:paraId="4D6964C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7、辖区内所有堆积物，建筑垃圾、大件垃圾、废弃苗木树枝、秸秆垃圾、装潢垃圾、工业垃圾（企事业单位除外）的垃圾分类清理及外运。</w:t>
      </w:r>
    </w:p>
    <w:p w14:paraId="1816D41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8、辖区内河道、沟渠的清理。</w:t>
      </w:r>
    </w:p>
    <w:p w14:paraId="34263E5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w:t>
      </w:r>
      <w:r>
        <w:rPr>
          <w:rFonts w:hint="eastAsia" w:ascii="宋体" w:hAnsi="宋体"/>
          <w:color w:val="auto"/>
          <w:sz w:val="24"/>
          <w:highlight w:val="none"/>
          <w:lang w:eastAsia="zh-CN"/>
        </w:rPr>
        <w:t>乙方</w:t>
      </w:r>
      <w:r>
        <w:rPr>
          <w:rFonts w:hint="eastAsia" w:ascii="宋体" w:hAnsi="宋体"/>
          <w:color w:val="auto"/>
          <w:sz w:val="24"/>
          <w:highlight w:val="none"/>
        </w:rPr>
        <w:t>须采用垃圾直运的方式将生活垃圾和易腐垃圾收集后运至指定的垃圾中转站。</w:t>
      </w:r>
      <w:r>
        <w:rPr>
          <w:rFonts w:hint="eastAsia" w:ascii="宋体" w:hAnsi="宋体"/>
          <w:color w:val="auto"/>
          <w:sz w:val="24"/>
          <w:highlight w:val="none"/>
          <w:lang w:eastAsia="zh-CN"/>
        </w:rPr>
        <w:t>山三</w:t>
      </w:r>
      <w:r>
        <w:rPr>
          <w:rFonts w:hint="eastAsia" w:ascii="宋体" w:hAnsi="宋体"/>
          <w:color w:val="auto"/>
          <w:sz w:val="24"/>
          <w:highlight w:val="none"/>
        </w:rPr>
        <w:t>村只提供其他垃圾桶和易腐垃圾桶集中放置点，不提供除此以外的垃圾堆放场所。</w:t>
      </w:r>
    </w:p>
    <w:p w14:paraId="44689B0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10、上级部门要求整改的事项。关于垃圾直运、垃圾分类按照瓜沥镇有关要求实施。</w:t>
      </w:r>
    </w:p>
    <w:p w14:paraId="4BFE617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11、按要求完成上级部门对</w:t>
      </w:r>
      <w:r>
        <w:rPr>
          <w:rFonts w:hint="eastAsia" w:ascii="宋体" w:hAnsi="宋体"/>
          <w:color w:val="auto"/>
          <w:sz w:val="24"/>
          <w:highlight w:val="none"/>
          <w:lang w:eastAsia="zh-CN"/>
        </w:rPr>
        <w:t>甲方</w:t>
      </w:r>
      <w:r>
        <w:rPr>
          <w:rFonts w:hint="eastAsia" w:ascii="宋体" w:hAnsi="宋体"/>
          <w:color w:val="auto"/>
          <w:sz w:val="24"/>
          <w:highlight w:val="none"/>
        </w:rPr>
        <w:t>的各类垃圾收集量考核。</w:t>
      </w:r>
    </w:p>
    <w:p w14:paraId="650E0E2B">
      <w:pPr>
        <w:spacing w:line="360" w:lineRule="auto"/>
        <w:ind w:firstLine="482" w:firstLineChars="200"/>
        <w:contextualSpacing/>
        <w:rPr>
          <w:rFonts w:hint="eastAsia" w:ascii="宋体" w:hAnsi="宋体"/>
          <w:b/>
          <w:bCs/>
          <w:color w:val="auto"/>
          <w:sz w:val="24"/>
          <w:highlight w:val="none"/>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二</w:t>
      </w:r>
      <w:r>
        <w:rPr>
          <w:rFonts w:hint="eastAsia" w:ascii="宋体" w:hAnsi="宋体"/>
          <w:b/>
          <w:bCs/>
          <w:color w:val="auto"/>
          <w:sz w:val="24"/>
          <w:highlight w:val="none"/>
          <w:lang w:eastAsia="zh-CN"/>
        </w:rPr>
        <w:t>）</w:t>
      </w:r>
      <w:r>
        <w:rPr>
          <w:rFonts w:ascii="宋体" w:hAnsi="宋体"/>
          <w:b/>
          <w:bCs/>
          <w:color w:val="auto"/>
          <w:sz w:val="24"/>
          <w:highlight w:val="none"/>
        </w:rPr>
        <w:t>保洁要求</w:t>
      </w:r>
    </w:p>
    <w:p w14:paraId="668EC33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乙方</w:t>
      </w:r>
      <w:r>
        <w:rPr>
          <w:rFonts w:hint="eastAsia" w:ascii="宋体" w:hAnsi="宋体"/>
          <w:color w:val="auto"/>
          <w:sz w:val="24"/>
          <w:highlight w:val="none"/>
        </w:rPr>
        <w:t>安排在</w:t>
      </w:r>
      <w:r>
        <w:rPr>
          <w:rFonts w:hint="eastAsia" w:ascii="宋体" w:hAnsi="宋体"/>
          <w:color w:val="auto"/>
          <w:sz w:val="24"/>
          <w:highlight w:val="none"/>
          <w:lang w:eastAsia="zh-CN"/>
        </w:rPr>
        <w:t>山三</w:t>
      </w:r>
      <w:r>
        <w:rPr>
          <w:rFonts w:hint="eastAsia" w:ascii="宋体" w:hAnsi="宋体"/>
          <w:color w:val="auto"/>
          <w:sz w:val="24"/>
          <w:highlight w:val="none"/>
        </w:rPr>
        <w:t>村保洁及管理人员不得少于</w:t>
      </w:r>
      <w:r>
        <w:rPr>
          <w:rFonts w:hint="eastAsia" w:ascii="宋体" w:hAnsi="宋体"/>
          <w:color w:val="auto"/>
          <w:sz w:val="24"/>
          <w:highlight w:val="none"/>
          <w:lang w:val="en-US" w:eastAsia="zh-CN"/>
        </w:rPr>
        <w:t>6</w:t>
      </w:r>
      <w:r>
        <w:rPr>
          <w:rFonts w:hint="eastAsia" w:ascii="宋体" w:hAnsi="宋体"/>
          <w:color w:val="auto"/>
          <w:sz w:val="24"/>
          <w:highlight w:val="none"/>
        </w:rPr>
        <w:t>人（其中管理人员1人），保洁人员着装统一、整洁。倾倒农户及企业商铺垃圾桶人员不得少于</w:t>
      </w:r>
      <w:r>
        <w:rPr>
          <w:rFonts w:hint="eastAsia" w:ascii="宋体" w:hAnsi="宋体"/>
          <w:color w:val="auto"/>
          <w:sz w:val="24"/>
          <w:highlight w:val="none"/>
          <w:lang w:val="en-US" w:eastAsia="zh-CN"/>
        </w:rPr>
        <w:t>2</w:t>
      </w:r>
      <w:r>
        <w:rPr>
          <w:rFonts w:hint="eastAsia" w:ascii="宋体" w:hAnsi="宋体"/>
          <w:color w:val="auto"/>
          <w:sz w:val="24"/>
          <w:highlight w:val="none"/>
        </w:rPr>
        <w:t>人，路面清扫人员不得少于</w:t>
      </w:r>
      <w:r>
        <w:rPr>
          <w:rFonts w:hint="eastAsia" w:ascii="宋体" w:hAnsi="宋体"/>
          <w:color w:val="auto"/>
          <w:sz w:val="24"/>
          <w:highlight w:val="none"/>
          <w:lang w:val="en-US" w:eastAsia="zh-CN"/>
        </w:rPr>
        <w:t>2</w:t>
      </w:r>
      <w:r>
        <w:rPr>
          <w:rFonts w:hint="eastAsia" w:ascii="宋体" w:hAnsi="宋体"/>
          <w:color w:val="auto"/>
          <w:sz w:val="24"/>
          <w:highlight w:val="none"/>
        </w:rPr>
        <w:t>人。保洁所需所有车辆、设备由保洁单位自备，清运车辆必须安排充分，养护材料由保洁单位自购。</w:t>
      </w:r>
    </w:p>
    <w:p w14:paraId="758E06E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乙方</w:t>
      </w:r>
      <w:r>
        <w:rPr>
          <w:rFonts w:hint="eastAsia" w:ascii="宋体" w:hAnsi="宋体"/>
          <w:color w:val="auto"/>
          <w:sz w:val="24"/>
          <w:highlight w:val="none"/>
        </w:rPr>
        <w:t>安排专人负责管理保洁人员，垃圾桶倾倒人员务必分类倾倒。提供地面保洁人员清扫区域网格图，保证人员的到岗率及上岗时间，保洁时间每日不少于8小时，保洁时间为上午6：30-10：30，下午13：00-17：00，如无法按时完成保洁量的则上班时间顺延。确保发现问题立即解决。保洁人员接受</w:t>
      </w:r>
      <w:r>
        <w:rPr>
          <w:rFonts w:hint="eastAsia" w:ascii="宋体" w:hAnsi="宋体"/>
          <w:color w:val="auto"/>
          <w:sz w:val="24"/>
          <w:highlight w:val="none"/>
          <w:lang w:eastAsia="zh-CN"/>
        </w:rPr>
        <w:t>甲方</w:t>
      </w:r>
      <w:r>
        <w:rPr>
          <w:rFonts w:hint="eastAsia" w:ascii="宋体" w:hAnsi="宋体"/>
          <w:color w:val="auto"/>
          <w:sz w:val="24"/>
          <w:highlight w:val="none"/>
        </w:rPr>
        <w:t>不定期抽查监督，保洁时间脱岗一次扣20元。</w:t>
      </w:r>
    </w:p>
    <w:p w14:paraId="403E1F9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各类垃圾堆放点日产日清，确保辖区内路面整洁无垃圾，道路、小巷小弄、门前屋后无杂草、杂物、垃圾及堆积物，绿化带内外无垃圾及堆放物等。垃圾装运必须做好防震、防风处理，不得沿路抛洒。辖区内公厕一天至少保洁两次，确保厕所整洁无污物无异味。</w:t>
      </w:r>
    </w:p>
    <w:p w14:paraId="323B0EB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根据上级的要求做好垃圾分类及宣传工作，监督、指导村民做好垃圾分类，并为招标人提供垃圾分类情况相关数据。采用垃圾桶装直运的方式收集、清运垃圾，日产日清。在收集垃圾桶后，桶外不得有散落垃圾。垃圾中转站及周边每天必须保持干净整洁，垃圾桶每周清洗两次，保持垃圾桶内外清洁。</w:t>
      </w:r>
    </w:p>
    <w:p w14:paraId="01DEFF2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5、各类牛皮癣要做到发现及时清理，滞留时间不可超过两天。</w:t>
      </w:r>
    </w:p>
    <w:p w14:paraId="7C69283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6、辖区内偷倒的各类建筑垃圾、工业垃圾、装潢垃圾由</w:t>
      </w:r>
      <w:r>
        <w:rPr>
          <w:rFonts w:hint="eastAsia" w:ascii="宋体" w:hAnsi="宋体"/>
          <w:color w:val="auto"/>
          <w:sz w:val="24"/>
          <w:highlight w:val="none"/>
          <w:lang w:eastAsia="zh-CN"/>
        </w:rPr>
        <w:t>乙方</w:t>
      </w:r>
      <w:r>
        <w:rPr>
          <w:rFonts w:hint="eastAsia" w:ascii="宋体" w:hAnsi="宋体"/>
          <w:color w:val="auto"/>
          <w:sz w:val="24"/>
          <w:highlight w:val="none"/>
        </w:rPr>
        <w:t>自行外运处理，</w:t>
      </w:r>
      <w:r>
        <w:rPr>
          <w:rFonts w:hint="eastAsia" w:ascii="宋体" w:hAnsi="宋体"/>
          <w:color w:val="auto"/>
          <w:sz w:val="24"/>
          <w:highlight w:val="none"/>
          <w:lang w:eastAsia="zh-CN"/>
        </w:rPr>
        <w:t>山三村</w:t>
      </w:r>
      <w:r>
        <w:rPr>
          <w:rFonts w:hint="eastAsia" w:ascii="宋体" w:hAnsi="宋体"/>
          <w:color w:val="auto"/>
          <w:sz w:val="24"/>
          <w:highlight w:val="none"/>
        </w:rPr>
        <w:t>及瓜沥镇不提供堆放场所。</w:t>
      </w:r>
    </w:p>
    <w:p w14:paraId="171FAF0B">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hint="eastAsia" w:ascii="宋体" w:hAnsi="宋体" w:cs="Arial"/>
          <w:color w:val="auto"/>
          <w:kern w:val="0"/>
          <w:sz w:val="24"/>
          <w:highlight w:val="none"/>
          <w:lang w:eastAsia="zh-CN"/>
        </w:rPr>
        <w:t>甲方</w:t>
      </w:r>
      <w:r>
        <w:rPr>
          <w:rFonts w:hint="eastAsia" w:ascii="宋体" w:hAnsi="宋体"/>
          <w:color w:val="auto"/>
          <w:sz w:val="24"/>
          <w:highlight w:val="none"/>
        </w:rPr>
        <w:t>组织突击工作任务，</w:t>
      </w:r>
      <w:r>
        <w:rPr>
          <w:rFonts w:hint="eastAsia" w:ascii="宋体" w:hAnsi="宋体"/>
          <w:color w:val="auto"/>
          <w:sz w:val="24"/>
          <w:highlight w:val="none"/>
          <w:lang w:eastAsia="zh-CN"/>
        </w:rPr>
        <w:t>乙方</w:t>
      </w:r>
      <w:r>
        <w:rPr>
          <w:rFonts w:hint="eastAsia" w:ascii="宋体" w:hAnsi="宋体"/>
          <w:color w:val="auto"/>
          <w:sz w:val="24"/>
          <w:highlight w:val="none"/>
        </w:rPr>
        <w:t>应无条件落实人员设备执行。</w:t>
      </w:r>
    </w:p>
    <w:p w14:paraId="2CD901E9">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w:t>
      </w:r>
      <w:r>
        <w:rPr>
          <w:rFonts w:hint="eastAsia" w:ascii="宋体" w:hAnsi="宋体"/>
          <w:color w:val="auto"/>
          <w:sz w:val="24"/>
          <w:highlight w:val="none"/>
          <w:lang w:eastAsia="zh-CN"/>
        </w:rPr>
        <w:t>乙方</w:t>
      </w:r>
      <w:r>
        <w:rPr>
          <w:rFonts w:hint="eastAsia" w:ascii="宋体" w:hAnsi="宋体"/>
          <w:color w:val="auto"/>
          <w:sz w:val="24"/>
          <w:highlight w:val="none"/>
        </w:rPr>
        <w:t>在未经得到</w:t>
      </w:r>
      <w:r>
        <w:rPr>
          <w:rFonts w:hint="eastAsia" w:ascii="宋体" w:hAnsi="宋体"/>
          <w:color w:val="auto"/>
          <w:sz w:val="24"/>
          <w:highlight w:val="none"/>
          <w:lang w:eastAsia="zh-CN"/>
        </w:rPr>
        <w:t>山三</w:t>
      </w:r>
      <w:r>
        <w:rPr>
          <w:rFonts w:hint="eastAsia" w:ascii="宋体" w:hAnsi="宋体"/>
          <w:color w:val="auto"/>
          <w:sz w:val="24"/>
          <w:highlight w:val="none"/>
        </w:rPr>
        <w:t>村委会同意下，不得以任何方式收取辖区内居民和经营户任何费用。</w:t>
      </w:r>
    </w:p>
    <w:p w14:paraId="643CC041">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、对上级卫生抄告单 ，</w:t>
      </w:r>
      <w:r>
        <w:rPr>
          <w:rFonts w:hint="eastAsia" w:ascii="宋体" w:hAnsi="宋体"/>
          <w:color w:val="auto"/>
          <w:sz w:val="24"/>
          <w:highlight w:val="none"/>
          <w:lang w:eastAsia="zh-CN"/>
        </w:rPr>
        <w:t>乙方</w:t>
      </w:r>
      <w:r>
        <w:rPr>
          <w:rFonts w:hint="eastAsia" w:ascii="宋体" w:hAnsi="宋体"/>
          <w:color w:val="auto"/>
          <w:sz w:val="24"/>
          <w:highlight w:val="none"/>
        </w:rPr>
        <w:t>必须按上级要求，在规定时间内清理完成。</w:t>
      </w:r>
    </w:p>
    <w:p w14:paraId="3D2E43C3">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w:t>
      </w:r>
      <w:r>
        <w:rPr>
          <w:rFonts w:hint="eastAsia" w:ascii="宋体" w:hAnsi="宋体"/>
          <w:color w:val="auto"/>
          <w:sz w:val="24"/>
          <w:highlight w:val="none"/>
          <w:lang w:eastAsia="zh-CN"/>
        </w:rPr>
        <w:t>乙方</w:t>
      </w:r>
      <w:r>
        <w:rPr>
          <w:rFonts w:hint="eastAsia" w:ascii="宋体" w:hAnsi="宋体"/>
          <w:color w:val="auto"/>
          <w:sz w:val="24"/>
          <w:highlight w:val="none"/>
        </w:rPr>
        <w:t>不得将保洁工作转包给其他单位和个人，否则，</w:t>
      </w:r>
      <w:r>
        <w:rPr>
          <w:rFonts w:hint="eastAsia" w:ascii="宋体" w:hAnsi="宋体" w:cs="Arial"/>
          <w:color w:val="auto"/>
          <w:kern w:val="0"/>
          <w:sz w:val="24"/>
          <w:highlight w:val="none"/>
          <w:lang w:eastAsia="zh-CN"/>
        </w:rPr>
        <w:t>甲方</w:t>
      </w:r>
      <w:r>
        <w:rPr>
          <w:rFonts w:hint="eastAsia" w:ascii="宋体" w:hAnsi="宋体"/>
          <w:color w:val="auto"/>
          <w:sz w:val="24"/>
          <w:highlight w:val="none"/>
        </w:rPr>
        <w:t>有立即终止合同的权利，</w:t>
      </w:r>
      <w:r>
        <w:rPr>
          <w:rFonts w:hint="eastAsia" w:ascii="宋体" w:hAnsi="宋体"/>
          <w:color w:val="auto"/>
          <w:sz w:val="24"/>
          <w:highlight w:val="none"/>
          <w:lang w:eastAsia="zh-CN"/>
        </w:rPr>
        <w:t>乙方</w:t>
      </w:r>
      <w:r>
        <w:rPr>
          <w:rFonts w:hint="eastAsia" w:ascii="宋体" w:hAnsi="宋体"/>
          <w:color w:val="auto"/>
          <w:sz w:val="24"/>
          <w:highlight w:val="none"/>
        </w:rPr>
        <w:t>如未完成合同规定要求，经招标人警告三次以上不整改到位的，</w:t>
      </w:r>
      <w:r>
        <w:rPr>
          <w:rFonts w:hint="eastAsia" w:ascii="宋体" w:hAnsi="宋体" w:cs="Arial"/>
          <w:color w:val="auto"/>
          <w:kern w:val="0"/>
          <w:sz w:val="24"/>
          <w:highlight w:val="none"/>
          <w:lang w:eastAsia="zh-CN"/>
        </w:rPr>
        <w:t>甲方</w:t>
      </w:r>
      <w:r>
        <w:rPr>
          <w:rFonts w:hint="eastAsia" w:ascii="宋体" w:hAnsi="宋体"/>
          <w:color w:val="auto"/>
          <w:sz w:val="24"/>
          <w:highlight w:val="none"/>
        </w:rPr>
        <w:t>有权单方解除合同。如被单方解除合同的，</w:t>
      </w:r>
      <w:r>
        <w:rPr>
          <w:rFonts w:hint="eastAsia" w:ascii="宋体" w:hAnsi="宋体" w:cs="Arial"/>
          <w:color w:val="auto"/>
          <w:kern w:val="0"/>
          <w:sz w:val="24"/>
          <w:highlight w:val="none"/>
          <w:lang w:eastAsia="zh-CN"/>
        </w:rPr>
        <w:t>甲方</w:t>
      </w:r>
      <w:r>
        <w:rPr>
          <w:rFonts w:hint="eastAsia" w:ascii="宋体" w:hAnsi="宋体"/>
          <w:color w:val="auto"/>
          <w:sz w:val="24"/>
          <w:highlight w:val="none"/>
        </w:rPr>
        <w:t>有权没收</w:t>
      </w:r>
      <w:r>
        <w:rPr>
          <w:rFonts w:hint="eastAsia" w:ascii="宋体" w:hAnsi="宋体"/>
          <w:color w:val="auto"/>
          <w:sz w:val="24"/>
          <w:highlight w:val="none"/>
          <w:lang w:eastAsia="zh-CN"/>
        </w:rPr>
        <w:t>乙方</w:t>
      </w:r>
      <w:r>
        <w:rPr>
          <w:rFonts w:hint="eastAsia" w:ascii="宋体" w:hAnsi="宋体"/>
          <w:color w:val="auto"/>
          <w:sz w:val="24"/>
          <w:highlight w:val="none"/>
        </w:rPr>
        <w:t>的履约保证金。</w:t>
      </w:r>
    </w:p>
    <w:p w14:paraId="09872180">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11</w:t>
      </w:r>
      <w:r>
        <w:rPr>
          <w:rFonts w:hint="eastAsia" w:ascii="宋体" w:hAnsi="宋体"/>
          <w:color w:val="auto"/>
          <w:sz w:val="24"/>
          <w:highlight w:val="none"/>
        </w:rPr>
        <w:t>、辖区内偷倒垃圾的，由</w:t>
      </w:r>
      <w:r>
        <w:rPr>
          <w:rFonts w:hint="eastAsia" w:ascii="宋体" w:hAnsi="宋体"/>
          <w:color w:val="auto"/>
          <w:sz w:val="24"/>
          <w:highlight w:val="none"/>
          <w:lang w:eastAsia="zh-CN"/>
        </w:rPr>
        <w:t>乙方</w:t>
      </w:r>
      <w:r>
        <w:rPr>
          <w:rFonts w:hint="eastAsia" w:ascii="宋体" w:hAnsi="宋体"/>
          <w:color w:val="auto"/>
          <w:sz w:val="24"/>
          <w:highlight w:val="none"/>
        </w:rPr>
        <w:t>管理、处罚，偷倒的垃圾清理由</w:t>
      </w:r>
      <w:r>
        <w:rPr>
          <w:rFonts w:hint="eastAsia" w:ascii="宋体" w:hAnsi="宋体"/>
          <w:color w:val="auto"/>
          <w:sz w:val="24"/>
          <w:highlight w:val="none"/>
          <w:lang w:eastAsia="zh-CN"/>
        </w:rPr>
        <w:t>乙方</w:t>
      </w:r>
      <w:r>
        <w:rPr>
          <w:rFonts w:hint="eastAsia" w:ascii="宋体" w:hAnsi="宋体"/>
          <w:color w:val="auto"/>
          <w:sz w:val="24"/>
          <w:highlight w:val="none"/>
        </w:rPr>
        <w:t>负责。</w:t>
      </w:r>
    </w:p>
    <w:p w14:paraId="3209023D">
      <w:pPr>
        <w:spacing w:line="360" w:lineRule="auto"/>
        <w:rPr>
          <w:rFonts w:hint="eastAsia" w:ascii="宋体" w:hAnsi="宋体"/>
          <w:b/>
          <w:bCs/>
          <w:color w:val="auto"/>
          <w:sz w:val="24"/>
          <w:highlight w:val="none"/>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三</w:t>
      </w:r>
      <w:r>
        <w:rPr>
          <w:rFonts w:hint="eastAsia" w:ascii="宋体" w:hAnsi="宋体"/>
          <w:b/>
          <w:bCs/>
          <w:color w:val="auto"/>
          <w:sz w:val="24"/>
          <w:highlight w:val="none"/>
          <w:lang w:eastAsia="zh-CN"/>
        </w:rPr>
        <w:t>）</w:t>
      </w:r>
      <w:r>
        <w:rPr>
          <w:rFonts w:ascii="宋体" w:hAnsi="宋体"/>
          <w:b/>
          <w:bCs/>
          <w:color w:val="auto"/>
          <w:sz w:val="24"/>
          <w:highlight w:val="none"/>
        </w:rPr>
        <w:t>安全责任</w:t>
      </w:r>
    </w:p>
    <w:p w14:paraId="4254084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乙方</w:t>
      </w:r>
      <w:r>
        <w:rPr>
          <w:rFonts w:hint="eastAsia" w:ascii="宋体" w:hAnsi="宋体"/>
          <w:color w:val="auto"/>
          <w:sz w:val="24"/>
          <w:highlight w:val="none"/>
        </w:rPr>
        <w:t>必须定期对保洁人员进行上岗培训工作和安全防范知识教育，并购买相应的保费，如发生所有的安全事故，则由</w:t>
      </w:r>
      <w:r>
        <w:rPr>
          <w:rFonts w:hint="eastAsia" w:ascii="宋体" w:hAnsi="宋体"/>
          <w:color w:val="auto"/>
          <w:sz w:val="24"/>
          <w:highlight w:val="none"/>
          <w:lang w:eastAsia="zh-CN"/>
        </w:rPr>
        <w:t>乙方</w:t>
      </w:r>
      <w:r>
        <w:rPr>
          <w:rFonts w:hint="eastAsia" w:ascii="宋体" w:hAnsi="宋体"/>
          <w:color w:val="auto"/>
          <w:sz w:val="24"/>
          <w:highlight w:val="none"/>
        </w:rPr>
        <w:t>负全部责任，自行解决处理与</w:t>
      </w:r>
      <w:r>
        <w:rPr>
          <w:rFonts w:hint="eastAsia" w:ascii="宋体" w:hAnsi="宋体"/>
          <w:color w:val="auto"/>
          <w:sz w:val="24"/>
          <w:highlight w:val="none"/>
          <w:lang w:eastAsia="zh-CN"/>
        </w:rPr>
        <w:t>山三</w:t>
      </w:r>
      <w:r>
        <w:rPr>
          <w:rFonts w:hint="eastAsia" w:ascii="宋体" w:hAnsi="宋体"/>
          <w:color w:val="auto"/>
          <w:sz w:val="24"/>
          <w:highlight w:val="none"/>
        </w:rPr>
        <w:t>村无涉。</w:t>
      </w:r>
    </w:p>
    <w:p w14:paraId="7880ABFE">
      <w:pPr>
        <w:spacing w:line="360" w:lineRule="auto"/>
        <w:rPr>
          <w:rFonts w:hint="eastAsia" w:ascii="宋体" w:hAnsi="宋体"/>
          <w:b/>
          <w:bCs/>
          <w:color w:val="auto"/>
          <w:sz w:val="24"/>
          <w:highlight w:val="none"/>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四</w:t>
      </w:r>
      <w:r>
        <w:rPr>
          <w:rFonts w:hint="eastAsia" w:ascii="宋体" w:hAnsi="宋体"/>
          <w:b/>
          <w:bCs/>
          <w:color w:val="auto"/>
          <w:sz w:val="24"/>
          <w:highlight w:val="none"/>
          <w:lang w:eastAsia="zh-CN"/>
        </w:rPr>
        <w:t>）</w:t>
      </w:r>
      <w:r>
        <w:rPr>
          <w:rFonts w:ascii="宋体" w:hAnsi="宋体"/>
          <w:b/>
          <w:bCs/>
          <w:color w:val="auto"/>
          <w:sz w:val="24"/>
          <w:highlight w:val="none"/>
        </w:rPr>
        <w:t>考核与奖励办法</w:t>
      </w:r>
    </w:p>
    <w:p w14:paraId="71240D7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乙方</w:t>
      </w:r>
      <w:r>
        <w:rPr>
          <w:rFonts w:hint="eastAsia" w:ascii="宋体" w:hAnsi="宋体"/>
          <w:color w:val="auto"/>
          <w:sz w:val="24"/>
          <w:highlight w:val="none"/>
        </w:rPr>
        <w:t>必须接受招标人指定人员的管理，发现的问题要第一时间整改，如整改不及时的，</w:t>
      </w:r>
      <w:r>
        <w:rPr>
          <w:rFonts w:hint="eastAsia" w:ascii="宋体" w:hAnsi="宋体"/>
          <w:color w:val="auto"/>
          <w:sz w:val="24"/>
          <w:highlight w:val="none"/>
          <w:lang w:eastAsia="zh-CN"/>
        </w:rPr>
        <w:t>甲方</w:t>
      </w:r>
      <w:r>
        <w:rPr>
          <w:rFonts w:hint="eastAsia" w:ascii="宋体" w:hAnsi="宋体"/>
          <w:color w:val="auto"/>
          <w:sz w:val="24"/>
          <w:highlight w:val="none"/>
        </w:rPr>
        <w:t>可以根据情况安排第三方清理，费用在</w:t>
      </w:r>
      <w:r>
        <w:rPr>
          <w:rFonts w:hint="eastAsia" w:ascii="宋体" w:hAnsi="宋体"/>
          <w:color w:val="auto"/>
          <w:sz w:val="24"/>
          <w:highlight w:val="none"/>
          <w:lang w:eastAsia="zh-CN"/>
        </w:rPr>
        <w:t>乙方</w:t>
      </w:r>
      <w:r>
        <w:rPr>
          <w:rFonts w:hint="eastAsia" w:ascii="宋体" w:hAnsi="宋体"/>
          <w:color w:val="auto"/>
          <w:sz w:val="24"/>
          <w:highlight w:val="none"/>
        </w:rPr>
        <w:t>保洁费中扣除。</w:t>
      </w:r>
    </w:p>
    <w:p w14:paraId="79BF793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乙方</w:t>
      </w:r>
      <w:r>
        <w:rPr>
          <w:rFonts w:hint="eastAsia" w:ascii="宋体" w:hAnsi="宋体"/>
          <w:color w:val="auto"/>
          <w:sz w:val="24"/>
          <w:highlight w:val="none"/>
        </w:rPr>
        <w:t>每季度确保做到瓜沥镇最清洁城乡办对</w:t>
      </w:r>
      <w:r>
        <w:rPr>
          <w:rFonts w:hint="eastAsia" w:ascii="宋体" w:hAnsi="宋体" w:cs="Arial"/>
          <w:color w:val="auto"/>
          <w:kern w:val="0"/>
          <w:sz w:val="24"/>
          <w:highlight w:val="none"/>
          <w:lang w:eastAsia="zh-CN"/>
        </w:rPr>
        <w:t>甲方</w:t>
      </w:r>
      <w:r>
        <w:rPr>
          <w:rFonts w:hint="eastAsia" w:ascii="宋体" w:hAnsi="宋体"/>
          <w:color w:val="auto"/>
          <w:sz w:val="24"/>
          <w:highlight w:val="none"/>
        </w:rPr>
        <w:t>卫生考核。排名在</w:t>
      </w:r>
      <w:r>
        <w:rPr>
          <w:rFonts w:hint="eastAsia" w:ascii="宋体" w:hAnsi="宋体"/>
          <w:color w:val="auto"/>
          <w:sz w:val="24"/>
          <w:highlight w:val="none"/>
          <w:lang w:eastAsia="zh-CN"/>
        </w:rPr>
        <w:t>党山</w:t>
      </w:r>
      <w:r>
        <w:rPr>
          <w:rFonts w:hint="eastAsia" w:ascii="宋体" w:hAnsi="宋体"/>
          <w:color w:val="auto"/>
          <w:sz w:val="24"/>
          <w:highlight w:val="none"/>
        </w:rPr>
        <w:t>片区以第</w:t>
      </w:r>
      <w:r>
        <w:rPr>
          <w:rFonts w:hint="eastAsia" w:ascii="宋体" w:hAnsi="宋体"/>
          <w:color w:val="auto"/>
          <w:sz w:val="24"/>
          <w:highlight w:val="none"/>
          <w:lang w:val="en-US" w:eastAsia="zh-CN"/>
        </w:rPr>
        <w:t>8</w:t>
      </w:r>
      <w:r>
        <w:rPr>
          <w:rFonts w:hint="eastAsia" w:ascii="宋体" w:hAnsi="宋体"/>
          <w:color w:val="auto"/>
          <w:sz w:val="24"/>
          <w:highlight w:val="none"/>
        </w:rPr>
        <w:t>位为基准，上升一位奖励1000元，如第</w:t>
      </w:r>
      <w:r>
        <w:rPr>
          <w:rFonts w:hint="eastAsia" w:ascii="宋体" w:hAnsi="宋体"/>
          <w:color w:val="auto"/>
          <w:sz w:val="24"/>
          <w:highlight w:val="none"/>
          <w:lang w:val="en-US" w:eastAsia="zh-CN"/>
        </w:rPr>
        <w:t>7</w:t>
      </w:r>
      <w:r>
        <w:rPr>
          <w:rFonts w:hint="eastAsia" w:ascii="宋体" w:hAnsi="宋体"/>
          <w:color w:val="auto"/>
          <w:sz w:val="24"/>
          <w:highlight w:val="none"/>
        </w:rPr>
        <w:t>位奖励1000元，第</w:t>
      </w:r>
      <w:r>
        <w:rPr>
          <w:rFonts w:hint="eastAsia" w:ascii="宋体" w:hAnsi="宋体"/>
          <w:color w:val="auto"/>
          <w:sz w:val="24"/>
          <w:highlight w:val="none"/>
          <w:lang w:val="en-US" w:eastAsia="zh-CN"/>
        </w:rPr>
        <w:t>6</w:t>
      </w:r>
      <w:r>
        <w:rPr>
          <w:rFonts w:hint="eastAsia" w:ascii="宋体" w:hAnsi="宋体"/>
          <w:color w:val="auto"/>
          <w:sz w:val="24"/>
          <w:highlight w:val="none"/>
        </w:rPr>
        <w:t>位奖励2000元以此类推，下降一位扣罚1000元，如第</w:t>
      </w:r>
      <w:r>
        <w:rPr>
          <w:rFonts w:hint="eastAsia" w:ascii="宋体" w:hAnsi="宋体"/>
          <w:color w:val="auto"/>
          <w:sz w:val="24"/>
          <w:highlight w:val="none"/>
          <w:lang w:val="en-US" w:eastAsia="zh-CN"/>
        </w:rPr>
        <w:t>9</w:t>
      </w:r>
      <w:r>
        <w:rPr>
          <w:rFonts w:hint="eastAsia" w:ascii="宋体" w:hAnsi="宋体"/>
          <w:color w:val="auto"/>
          <w:sz w:val="24"/>
          <w:highlight w:val="none"/>
        </w:rPr>
        <w:t>位扣罚1000元，第</w:t>
      </w:r>
      <w:r>
        <w:rPr>
          <w:rFonts w:hint="eastAsia" w:ascii="宋体" w:hAnsi="宋体"/>
          <w:color w:val="auto"/>
          <w:sz w:val="24"/>
          <w:highlight w:val="none"/>
          <w:lang w:val="en-US" w:eastAsia="zh-CN"/>
        </w:rPr>
        <w:t>10</w:t>
      </w:r>
      <w:r>
        <w:rPr>
          <w:rFonts w:hint="eastAsia" w:ascii="宋体" w:hAnsi="宋体"/>
          <w:color w:val="auto"/>
          <w:sz w:val="24"/>
          <w:highlight w:val="none"/>
        </w:rPr>
        <w:t>位扣罚2000元，以此类推。奖垃圾分类每月在红榜的奖励2000元，垃圾分类每月在黑榜的扣罚2000元。</w:t>
      </w:r>
    </w:p>
    <w:p w14:paraId="62910F54">
      <w:pPr>
        <w:spacing w:line="360" w:lineRule="auto"/>
        <w:ind w:firstLine="480" w:firstLineChars="200"/>
        <w:rPr>
          <w:rFonts w:ascii="宋体" w:hAnsi="宋体"/>
          <w:color w:val="auto"/>
          <w:sz w:val="48"/>
          <w:szCs w:val="48"/>
          <w:highlight w:val="none"/>
        </w:rPr>
      </w:pPr>
      <w:r>
        <w:rPr>
          <w:rFonts w:hint="eastAsia" w:ascii="宋体" w:hAnsi="宋体"/>
          <w:color w:val="auto"/>
          <w:sz w:val="24"/>
          <w:highlight w:val="none"/>
        </w:rPr>
        <w:t>3、</w:t>
      </w:r>
      <w:r>
        <w:rPr>
          <w:rFonts w:hint="eastAsia" w:ascii="宋体" w:hAnsi="宋体" w:cs="Arial"/>
          <w:color w:val="auto"/>
          <w:kern w:val="0"/>
          <w:sz w:val="24"/>
          <w:highlight w:val="none"/>
          <w:lang w:eastAsia="zh-CN"/>
        </w:rPr>
        <w:t>甲方</w:t>
      </w:r>
      <w:r>
        <w:rPr>
          <w:rFonts w:hint="eastAsia" w:ascii="宋体" w:hAnsi="宋体"/>
          <w:color w:val="auto"/>
          <w:sz w:val="24"/>
          <w:highlight w:val="none"/>
        </w:rPr>
        <w:t>每月将组织党员、村民代表及群众代表对卫生保洁及垃圾分类进行巡查考核评分，采用十分制，不足八分，扣1000元，不足六分扣2000元，以此类推。</w:t>
      </w:r>
    </w:p>
    <w:p w14:paraId="7D9DEED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4、镇清洁办抄告单不及时整改一处扣罚100元，以此类推。区级部门的抄告单未及时整改每处扣罚200元。</w:t>
      </w:r>
    </w:p>
    <w:p w14:paraId="57696DF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5、如被区级或市级新闻媒体曝光后，每次扣罚500元-1000元，因垃圾堆放及其他因保洁引起的事项产生投诉属实的，每次扣罚50-200元。投诉事项没有在整改限期内完成的延迟一天罚款金额加倍，以此类推。</w:t>
      </w:r>
    </w:p>
    <w:p w14:paraId="4BD2A67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6、合同期满后，妥善处理退场移交、人员安置，如果出现劳资纠纷，责任在</w:t>
      </w:r>
      <w:r>
        <w:rPr>
          <w:rFonts w:hint="eastAsia" w:ascii="宋体" w:hAnsi="宋体"/>
          <w:color w:val="auto"/>
          <w:sz w:val="24"/>
          <w:highlight w:val="none"/>
          <w:lang w:eastAsia="zh-CN"/>
        </w:rPr>
        <w:t>乙方</w:t>
      </w:r>
      <w:r>
        <w:rPr>
          <w:rFonts w:hint="eastAsia" w:ascii="宋体" w:hAnsi="宋体"/>
          <w:color w:val="auto"/>
          <w:sz w:val="24"/>
          <w:highlight w:val="none"/>
        </w:rPr>
        <w:t>。如</w:t>
      </w:r>
      <w:r>
        <w:rPr>
          <w:rFonts w:hint="eastAsia" w:ascii="宋体" w:hAnsi="宋体"/>
          <w:color w:val="auto"/>
          <w:sz w:val="24"/>
          <w:highlight w:val="none"/>
          <w:lang w:eastAsia="zh-CN"/>
        </w:rPr>
        <w:t>乙方</w:t>
      </w:r>
      <w:r>
        <w:rPr>
          <w:rFonts w:hint="eastAsia" w:ascii="宋体" w:hAnsi="宋体"/>
          <w:color w:val="auto"/>
          <w:sz w:val="24"/>
          <w:highlight w:val="none"/>
        </w:rPr>
        <w:t>在服务期内违反合同约定，经考核不合格，</w:t>
      </w:r>
      <w:r>
        <w:rPr>
          <w:rFonts w:hint="eastAsia" w:ascii="宋体" w:hAnsi="宋体" w:cs="Arial"/>
          <w:color w:val="auto"/>
          <w:kern w:val="0"/>
          <w:sz w:val="24"/>
          <w:highlight w:val="none"/>
          <w:lang w:eastAsia="zh-CN"/>
        </w:rPr>
        <w:t>甲方</w:t>
      </w:r>
      <w:r>
        <w:rPr>
          <w:rFonts w:hint="eastAsia" w:ascii="宋体" w:hAnsi="宋体"/>
          <w:color w:val="auto"/>
          <w:sz w:val="24"/>
          <w:highlight w:val="none"/>
        </w:rPr>
        <w:t>有权提前终止合同，并对</w:t>
      </w:r>
      <w:r>
        <w:rPr>
          <w:rFonts w:hint="eastAsia" w:ascii="宋体" w:hAnsi="宋体"/>
          <w:color w:val="auto"/>
          <w:sz w:val="24"/>
          <w:highlight w:val="none"/>
          <w:lang w:eastAsia="zh-CN"/>
        </w:rPr>
        <w:t>乙方</w:t>
      </w:r>
      <w:r>
        <w:rPr>
          <w:rFonts w:hint="eastAsia" w:ascii="宋体" w:hAnsi="宋体"/>
          <w:color w:val="auto"/>
          <w:sz w:val="24"/>
          <w:highlight w:val="none"/>
        </w:rPr>
        <w:t>进行扣款处理。有苗木缺失或杂草未清除干净的，必须完善后移交，否则将在承包费用中扣除清理补种费用。</w:t>
      </w:r>
    </w:p>
    <w:p w14:paraId="168EF0B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8、其他事项：所有垃圾收集车辆维修由</w:t>
      </w:r>
      <w:r>
        <w:rPr>
          <w:rFonts w:hint="eastAsia" w:ascii="宋体" w:hAnsi="宋体"/>
          <w:color w:val="auto"/>
          <w:sz w:val="24"/>
          <w:highlight w:val="none"/>
          <w:lang w:eastAsia="zh-CN"/>
        </w:rPr>
        <w:t>乙方</w:t>
      </w:r>
      <w:r>
        <w:rPr>
          <w:rFonts w:hint="eastAsia" w:ascii="宋体" w:hAnsi="宋体"/>
          <w:color w:val="auto"/>
          <w:sz w:val="24"/>
          <w:highlight w:val="none"/>
        </w:rPr>
        <w:t>负责。辖区内大件垃圾由</w:t>
      </w:r>
      <w:r>
        <w:rPr>
          <w:rFonts w:hint="eastAsia" w:ascii="宋体" w:hAnsi="宋体"/>
          <w:color w:val="auto"/>
          <w:sz w:val="24"/>
          <w:highlight w:val="none"/>
          <w:lang w:eastAsia="zh-CN"/>
        </w:rPr>
        <w:t>乙方</w:t>
      </w:r>
      <w:r>
        <w:rPr>
          <w:rFonts w:hint="eastAsia" w:ascii="宋体" w:hAnsi="宋体"/>
          <w:color w:val="auto"/>
          <w:sz w:val="24"/>
          <w:highlight w:val="none"/>
        </w:rPr>
        <w:t>承运至镇指定回收点的，政府大件垃圾运费补贴返还给</w:t>
      </w:r>
      <w:r>
        <w:rPr>
          <w:rFonts w:hint="eastAsia" w:ascii="宋体" w:hAnsi="宋体"/>
          <w:color w:val="auto"/>
          <w:sz w:val="24"/>
          <w:highlight w:val="none"/>
          <w:lang w:eastAsia="zh-CN"/>
        </w:rPr>
        <w:t>乙方</w:t>
      </w:r>
      <w:r>
        <w:rPr>
          <w:rFonts w:hint="eastAsia" w:ascii="宋体" w:hAnsi="宋体"/>
          <w:color w:val="auto"/>
          <w:sz w:val="24"/>
          <w:highlight w:val="none"/>
        </w:rPr>
        <w:t>。</w:t>
      </w:r>
    </w:p>
    <w:p w14:paraId="3688EC6E">
      <w:pPr>
        <w:spacing w:line="324" w:lineRule="auto"/>
        <w:ind w:firstLine="241" w:firstLineChars="1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七、质量标准、验收标准及办法</w:t>
      </w:r>
    </w:p>
    <w:p w14:paraId="0D3AB8D5">
      <w:pPr>
        <w:pStyle w:val="134"/>
        <w:spacing w:before="0"/>
        <w:ind w:firstLine="48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1、质量标准：</w:t>
      </w:r>
      <w:r>
        <w:rPr>
          <w:rFonts w:hint="eastAsia" w:ascii="宋体" w:hAnsi="宋体" w:cs="宋体"/>
          <w:color w:val="auto"/>
          <w:szCs w:val="24"/>
          <w:highlight w:val="none"/>
          <w:lang w:eastAsia="zh-CN"/>
        </w:rPr>
        <w:t>按甲方要求</w:t>
      </w:r>
      <w:r>
        <w:rPr>
          <w:rFonts w:hint="eastAsia" w:ascii="宋体" w:hAnsi="宋体" w:eastAsia="宋体" w:cs="宋体"/>
          <w:color w:val="auto"/>
          <w:szCs w:val="24"/>
          <w:highlight w:val="none"/>
        </w:rPr>
        <w:t>。</w:t>
      </w:r>
    </w:p>
    <w:p w14:paraId="11AD8AE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2、验收标准：按</w:t>
      </w:r>
      <w:r>
        <w:rPr>
          <w:rFonts w:hint="eastAsia" w:ascii="宋体" w:hAnsi="宋体" w:cs="宋体"/>
          <w:color w:val="auto"/>
          <w:sz w:val="24"/>
          <w:highlight w:val="none"/>
          <w:lang w:eastAsia="zh-CN"/>
        </w:rPr>
        <w:t>甲方要求执行</w:t>
      </w:r>
      <w:r>
        <w:rPr>
          <w:rFonts w:hint="eastAsia" w:ascii="宋体" w:hAnsi="宋体" w:eastAsia="宋体" w:cs="宋体"/>
          <w:color w:val="auto"/>
          <w:sz w:val="24"/>
          <w:highlight w:val="none"/>
        </w:rPr>
        <w:t>。</w:t>
      </w:r>
    </w:p>
    <w:p w14:paraId="611D9408">
      <w:pPr>
        <w:spacing w:line="324" w:lineRule="auto"/>
        <w:ind w:firstLine="241" w:firstLineChars="1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八、警告退出办法</w:t>
      </w:r>
    </w:p>
    <w:p w14:paraId="5E5CABA9">
      <w:pPr>
        <w:adjustRightInd/>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w:t>
      </w:r>
      <w:r>
        <w:rPr>
          <w:rFonts w:hint="eastAsia" w:ascii="宋体" w:hAnsi="宋体" w:cs="宋体"/>
          <w:bCs/>
          <w:color w:val="auto"/>
          <w:sz w:val="24"/>
          <w:highlight w:val="none"/>
          <w:lang w:val="en-US" w:eastAsia="zh-CN"/>
        </w:rPr>
        <w:t>、</w:t>
      </w:r>
      <w:r>
        <w:rPr>
          <w:rFonts w:hint="eastAsia" w:ascii="宋体" w:hAnsi="宋体" w:eastAsia="宋体" w:cs="宋体"/>
          <w:bCs/>
          <w:color w:val="auto"/>
          <w:sz w:val="24"/>
          <w:highlight w:val="none"/>
        </w:rPr>
        <w:t>在</w:t>
      </w:r>
      <w:r>
        <w:rPr>
          <w:rFonts w:hint="eastAsia" w:ascii="宋体" w:hAnsi="宋体" w:cs="宋体"/>
          <w:bCs/>
          <w:color w:val="auto"/>
          <w:sz w:val="24"/>
          <w:highlight w:val="none"/>
          <w:lang w:eastAsia="zh-CN"/>
        </w:rPr>
        <w:t>村</w:t>
      </w:r>
      <w:r>
        <w:rPr>
          <w:rFonts w:hint="eastAsia" w:ascii="宋体" w:hAnsi="宋体" w:eastAsia="宋体" w:cs="宋体"/>
          <w:bCs/>
          <w:color w:val="auto"/>
          <w:sz w:val="24"/>
          <w:highlight w:val="none"/>
        </w:rPr>
        <w:t>保洁作业合同化管理中，有下列情景之一的给予一次警告：</w:t>
      </w:r>
    </w:p>
    <w:p w14:paraId="1754B44D">
      <w:pPr>
        <w:adjustRightInd/>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(1)合同标段数字城管问题及时整改率未达到100%的。</w:t>
      </w:r>
    </w:p>
    <w:p w14:paraId="12F51BE2">
      <w:pPr>
        <w:adjustRightInd/>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(2) </w:t>
      </w:r>
      <w:r>
        <w:rPr>
          <w:rFonts w:hint="eastAsia" w:ascii="宋体" w:hAnsi="宋体" w:cs="宋体"/>
          <w:bCs/>
          <w:color w:val="auto"/>
          <w:sz w:val="24"/>
          <w:highlight w:val="none"/>
          <w:lang w:eastAsia="zh-CN"/>
        </w:rPr>
        <w:t>甲方</w:t>
      </w:r>
      <w:r>
        <w:rPr>
          <w:rFonts w:hint="eastAsia" w:ascii="宋体" w:hAnsi="宋体" w:eastAsia="宋体" w:cs="宋体"/>
          <w:bCs/>
          <w:color w:val="auto"/>
          <w:sz w:val="24"/>
          <w:highlight w:val="none"/>
        </w:rPr>
        <w:t>及上级有关部门发现抄告问题未限期整改到位的。</w:t>
      </w:r>
    </w:p>
    <w:p w14:paraId="4032C1EE">
      <w:pPr>
        <w:adjustRightInd/>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(3)管理混乱，发生保洁人员集体上访的。</w:t>
      </w:r>
    </w:p>
    <w:p w14:paraId="636F13B8">
      <w:pPr>
        <w:adjustRightInd/>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(4)不遵守交通法规，未按照规程操作发生有责交通事故的。</w:t>
      </w:r>
    </w:p>
    <w:p w14:paraId="7AE84FDF">
      <w:pPr>
        <w:adjustRightInd/>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(5)遇有重大活动或突发事件时，未按要求落实作业机具和人员，保障不力而造成不良影响的。</w:t>
      </w:r>
    </w:p>
    <w:p w14:paraId="1C05EBBE">
      <w:pPr>
        <w:adjustRightInd/>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退出。在</w:t>
      </w:r>
      <w:r>
        <w:rPr>
          <w:rFonts w:hint="eastAsia" w:ascii="宋体" w:hAnsi="宋体" w:cs="宋体"/>
          <w:bCs/>
          <w:color w:val="auto"/>
          <w:sz w:val="24"/>
          <w:highlight w:val="none"/>
          <w:lang w:eastAsia="zh-CN"/>
        </w:rPr>
        <w:t>村</w:t>
      </w:r>
      <w:r>
        <w:rPr>
          <w:rFonts w:hint="eastAsia" w:ascii="宋体" w:hAnsi="宋体" w:eastAsia="宋体" w:cs="宋体"/>
          <w:bCs/>
          <w:color w:val="auto"/>
          <w:sz w:val="24"/>
          <w:highlight w:val="none"/>
        </w:rPr>
        <w:t>保洁作业合同化管理中，符合以下之一的予以退出，提前终止保洁合同：</w:t>
      </w:r>
    </w:p>
    <w:p w14:paraId="2B211B08">
      <w:pPr>
        <w:adjustRightInd/>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(1)组织管理机构、人员素质、保洁人数与投标承诺不符，无法完成</w:t>
      </w:r>
      <w:r>
        <w:rPr>
          <w:rFonts w:hint="eastAsia" w:ascii="宋体" w:hAnsi="宋体" w:cs="宋体"/>
          <w:bCs/>
          <w:color w:val="auto"/>
          <w:sz w:val="24"/>
          <w:highlight w:val="none"/>
          <w:lang w:eastAsia="zh-CN"/>
        </w:rPr>
        <w:t>村</w:t>
      </w:r>
      <w:r>
        <w:rPr>
          <w:rFonts w:hint="eastAsia" w:ascii="宋体" w:hAnsi="宋体" w:eastAsia="宋体" w:cs="宋体"/>
          <w:bCs/>
          <w:color w:val="auto"/>
          <w:sz w:val="24"/>
          <w:highlight w:val="none"/>
        </w:rPr>
        <w:t>保洁任务的。</w:t>
      </w:r>
    </w:p>
    <w:p w14:paraId="71BB0812">
      <w:pPr>
        <w:adjustRightInd/>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(2)同一合同标段在合同期一年内累计被警告3次的。</w:t>
      </w:r>
    </w:p>
    <w:p w14:paraId="0F211C08">
      <w:pPr>
        <w:adjustRightInd/>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color w:val="auto"/>
          <w:sz w:val="24"/>
          <w:highlight w:val="none"/>
        </w:rPr>
        <w:t xml:space="preserve"> 经确认保洁人员工资待遇未</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或合同要求执行，或组织人员加班未按时足额发放加班费的</w:t>
      </w:r>
      <w:r>
        <w:rPr>
          <w:rFonts w:hint="eastAsia" w:ascii="宋体" w:hAnsi="宋体" w:eastAsia="宋体" w:cs="宋体"/>
          <w:bCs/>
          <w:color w:val="auto"/>
          <w:sz w:val="24"/>
          <w:highlight w:val="none"/>
        </w:rPr>
        <w:t>。</w:t>
      </w:r>
    </w:p>
    <w:p w14:paraId="00A07311">
      <w:pPr>
        <w:spacing w:line="324" w:lineRule="auto"/>
        <w:ind w:firstLine="241" w:firstLineChars="1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九、履行合同的时间、地点、违约责任、解决争议的方式</w:t>
      </w:r>
    </w:p>
    <w:p w14:paraId="205519D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1、履行合同的时间：</w:t>
      </w:r>
      <w:r>
        <w:rPr>
          <w:rFonts w:hint="eastAsia" w:ascii="宋体" w:hAnsi="宋体" w:cs="宋体"/>
          <w:color w:val="auto"/>
          <w:sz w:val="24"/>
          <w:highlight w:val="none"/>
          <w:lang w:val="en-US" w:eastAsia="zh-CN"/>
        </w:rPr>
        <w:t>1年</w:t>
      </w:r>
      <w:r>
        <w:rPr>
          <w:rFonts w:hint="eastAsia" w:ascii="宋体" w:hAnsi="宋体" w:eastAsia="宋体" w:cs="宋体"/>
          <w:color w:val="auto"/>
          <w:sz w:val="24"/>
          <w:highlight w:val="none"/>
        </w:rPr>
        <w:t>。</w:t>
      </w:r>
    </w:p>
    <w:p w14:paraId="0475721E">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2、履行合同的地点：</w:t>
      </w:r>
      <w:r>
        <w:rPr>
          <w:rFonts w:hint="eastAsia" w:ascii="宋体" w:hAnsi="宋体" w:cs="宋体"/>
          <w:color w:val="auto"/>
          <w:sz w:val="24"/>
          <w:highlight w:val="none"/>
          <w:lang w:val="en-US" w:eastAsia="zh-CN"/>
        </w:rPr>
        <w:t>瓜沥镇山三村。</w:t>
      </w:r>
    </w:p>
    <w:p w14:paraId="338134B2">
      <w:pPr>
        <w:pStyle w:val="134"/>
        <w:spacing w:before="0"/>
        <w:ind w:firstLine="48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3、本合同</w:t>
      </w:r>
      <w:r>
        <w:rPr>
          <w:rFonts w:hint="eastAsia" w:ascii="宋体" w:hAnsi="宋体" w:eastAsia="宋体" w:cs="宋体"/>
          <w:color w:val="auto"/>
          <w:szCs w:val="24"/>
          <w:highlight w:val="none"/>
          <w:lang w:val="en-US" w:eastAsia="zh-CN"/>
        </w:rPr>
        <w:t>乙方</w:t>
      </w:r>
      <w:r>
        <w:rPr>
          <w:rFonts w:hint="eastAsia" w:ascii="宋体" w:hAnsi="宋体" w:eastAsia="宋体" w:cs="宋体"/>
          <w:color w:val="auto"/>
          <w:szCs w:val="24"/>
          <w:highlight w:val="none"/>
        </w:rPr>
        <w:t>按不超过合同总价金额的</w:t>
      </w:r>
      <w:r>
        <w:rPr>
          <w:rFonts w:hint="eastAsia" w:ascii="宋体" w:hAnsi="宋体" w:cs="宋体"/>
          <w:color w:val="auto"/>
          <w:szCs w:val="24"/>
          <w:highlight w:val="none"/>
          <w:u w:val="single"/>
          <w:lang w:val="en-US" w:eastAsia="zh-CN"/>
        </w:rPr>
        <w:t xml:space="preserve"> </w:t>
      </w:r>
      <w:r>
        <w:rPr>
          <w:rFonts w:hint="eastAsia" w:ascii="宋体" w:hAnsi="宋体" w:cs="宋体"/>
          <w:b w:val="0"/>
          <w:bCs/>
          <w:color w:val="auto"/>
          <w:szCs w:val="24"/>
          <w:highlight w:val="none"/>
          <w:u w:val="single"/>
          <w:lang w:val="en-US" w:eastAsia="zh-CN"/>
        </w:rPr>
        <w:t>1%</w:t>
      </w:r>
      <w:r>
        <w:rPr>
          <w:rFonts w:hint="eastAsia" w:ascii="宋体" w:hAnsi="宋体" w:cs="宋体"/>
          <w:b/>
          <w:color w:val="auto"/>
          <w:szCs w:val="24"/>
          <w:highlight w:val="none"/>
          <w:u w:val="single"/>
          <w:lang w:val="en-US" w:eastAsia="zh-CN"/>
        </w:rPr>
        <w:t xml:space="preserve"> </w:t>
      </w:r>
      <w:r>
        <w:rPr>
          <w:rFonts w:hint="eastAsia" w:ascii="宋体" w:hAnsi="宋体" w:eastAsia="宋体" w:cs="宋体"/>
          <w:color w:val="auto"/>
          <w:szCs w:val="24"/>
          <w:highlight w:val="none"/>
        </w:rPr>
        <w:t>交纳履约保证金作为合同生效的必要条件。履约保证金在合同有效期满后五个工作日内，无违约的，无息退还。</w:t>
      </w:r>
    </w:p>
    <w:p w14:paraId="46DDC497">
      <w:pPr>
        <w:pStyle w:val="33"/>
        <w:spacing w:line="360" w:lineRule="auto"/>
        <w:ind w:firstLine="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4、乙方如未按时交纳履约保证金，甲方有权撤销其中标资格，并根据评标委员会确定的中标候选人名单与下一顺序单位商谈合同，或报请批准后另行采购。</w:t>
      </w:r>
    </w:p>
    <w:p w14:paraId="3FAAB31F">
      <w:pPr>
        <w:pStyle w:val="33"/>
        <w:adjustRightIn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5、履约保证金以支票、汇票、本票或者金融机构、担保机构出具的保函等非现金形式提交。</w:t>
      </w:r>
    </w:p>
    <w:p w14:paraId="635BE830">
      <w:pPr>
        <w:adjustRightInd/>
        <w:spacing w:line="360" w:lineRule="auto"/>
        <w:ind w:firstLine="482" w:firstLineChars="20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6、若合同期结束时，下一轮招投标还未完成，超出合同期部分的服务费按实际天数及考核结果结算。</w:t>
      </w:r>
    </w:p>
    <w:p w14:paraId="72F2204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十、履行合同的违约责任</w:t>
      </w:r>
    </w:p>
    <w:p w14:paraId="7DC5E770">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2"/>
          <w:sz w:val="24"/>
          <w:highlight w:val="none"/>
        </w:rPr>
        <w:t>甲方无正当理由拒收接受服务的，甲方向乙方偿付合同款项百分之五作为违约金。</w:t>
      </w:r>
    </w:p>
    <w:p w14:paraId="680F41FB">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（2）甲方无故逾期验收和办理款项支付手续的,甲方应按逾期付款总额每日万分之五向乙方支付违约金。</w:t>
      </w:r>
    </w:p>
    <w:p w14:paraId="0C6B56A5">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未能如期提供服务的，对甲方的通知逾期未响应，甲方自行安排人员完成工作，产生的相关费用由乙方承担。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11E37D0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履行合同中解决争议的方式：在合同</w:t>
      </w:r>
      <w:r>
        <w:rPr>
          <w:rFonts w:hint="eastAsia" w:ascii="宋体" w:hAnsi="宋体" w:eastAsia="宋体" w:cs="宋体"/>
          <w:color w:val="auto"/>
          <w:sz w:val="24"/>
          <w:highlight w:val="none"/>
          <w:cs/>
          <w:lang w:val="zh-CN"/>
        </w:rPr>
        <w:t>执</w:t>
      </w:r>
      <w:r>
        <w:rPr>
          <w:rFonts w:hint="eastAsia" w:ascii="宋体" w:hAnsi="宋体" w:eastAsia="宋体" w:cs="宋体"/>
          <w:color w:val="auto"/>
          <w:sz w:val="24"/>
          <w:highlight w:val="none"/>
          <w:lang w:val="zh-CN"/>
        </w:rPr>
        <w:t>行</w:t>
      </w:r>
      <w:r>
        <w:rPr>
          <w:rFonts w:hint="eastAsia" w:ascii="宋体" w:hAnsi="宋体" w:eastAsia="宋体" w:cs="宋体"/>
          <w:color w:val="auto"/>
          <w:sz w:val="24"/>
          <w:highlight w:val="none"/>
          <w:cs/>
          <w:lang w:val="zh-CN"/>
        </w:rPr>
        <w:t>过</w:t>
      </w:r>
      <w:r>
        <w:rPr>
          <w:rFonts w:hint="eastAsia" w:ascii="宋体" w:hAnsi="宋体" w:eastAsia="宋体" w:cs="宋体"/>
          <w:color w:val="auto"/>
          <w:sz w:val="24"/>
          <w:highlight w:val="none"/>
          <w:lang w:val="zh-CN"/>
        </w:rPr>
        <w:t>程中如</w:t>
      </w:r>
      <w:r>
        <w:rPr>
          <w:rFonts w:hint="eastAsia" w:ascii="宋体" w:hAnsi="宋体" w:eastAsia="宋体" w:cs="宋体"/>
          <w:color w:val="auto"/>
          <w:sz w:val="24"/>
          <w:highlight w:val="none"/>
          <w:cs/>
          <w:lang w:val="zh-CN"/>
        </w:rPr>
        <w:t>发</w:t>
      </w:r>
      <w:r>
        <w:rPr>
          <w:rFonts w:hint="eastAsia" w:ascii="宋体" w:hAnsi="宋体" w:eastAsia="宋体" w:cs="宋体"/>
          <w:color w:val="auto"/>
          <w:sz w:val="24"/>
          <w:highlight w:val="none"/>
          <w:lang w:val="zh-CN"/>
        </w:rPr>
        <w:t>生</w:t>
      </w:r>
      <w:r>
        <w:rPr>
          <w:rFonts w:hint="eastAsia" w:ascii="宋体" w:hAnsi="宋体" w:eastAsia="宋体" w:cs="宋体"/>
          <w:color w:val="auto"/>
          <w:sz w:val="24"/>
          <w:highlight w:val="none"/>
          <w:cs/>
          <w:lang w:val="zh-CN"/>
        </w:rPr>
        <w:t>争议</w:t>
      </w:r>
      <w:r>
        <w:rPr>
          <w:rFonts w:hint="eastAsia" w:ascii="宋体" w:hAnsi="宋体" w:eastAsia="宋体" w:cs="宋体"/>
          <w:color w:val="auto"/>
          <w:sz w:val="24"/>
          <w:highlight w:val="none"/>
          <w:lang w:val="zh-CN"/>
        </w:rPr>
        <w:t>，首先</w:t>
      </w:r>
      <w:r>
        <w:rPr>
          <w:rFonts w:hint="eastAsia" w:ascii="宋体" w:hAnsi="宋体" w:eastAsia="宋体" w:cs="宋体"/>
          <w:color w:val="auto"/>
          <w:sz w:val="24"/>
          <w:highlight w:val="none"/>
          <w:cs/>
          <w:lang w:val="zh-CN"/>
        </w:rPr>
        <w:t>应</w:t>
      </w:r>
      <w:r>
        <w:rPr>
          <w:rFonts w:hint="eastAsia" w:ascii="宋体" w:hAnsi="宋体" w:eastAsia="宋体" w:cs="宋体"/>
          <w:color w:val="auto"/>
          <w:sz w:val="24"/>
          <w:highlight w:val="none"/>
          <w:lang w:val="zh-CN"/>
        </w:rPr>
        <w:t>本</w:t>
      </w:r>
      <w:r>
        <w:rPr>
          <w:rFonts w:hint="eastAsia" w:ascii="宋体" w:hAnsi="宋体" w:eastAsia="宋体" w:cs="宋体"/>
          <w:color w:val="auto"/>
          <w:sz w:val="24"/>
          <w:highlight w:val="none"/>
          <w:cs/>
          <w:lang w:val="zh-CN"/>
        </w:rPr>
        <w:t>着</w:t>
      </w:r>
      <w:r>
        <w:rPr>
          <w:rFonts w:hint="eastAsia" w:ascii="宋体" w:hAnsi="宋体" w:eastAsia="宋体" w:cs="宋体"/>
          <w:color w:val="auto"/>
          <w:sz w:val="24"/>
          <w:highlight w:val="none"/>
          <w:lang w:val="zh-CN"/>
        </w:rPr>
        <w:t>友好的原</w:t>
      </w:r>
      <w:r>
        <w:rPr>
          <w:rFonts w:hint="eastAsia" w:ascii="宋体" w:hAnsi="宋体" w:eastAsia="宋体" w:cs="宋体"/>
          <w:color w:val="auto"/>
          <w:sz w:val="24"/>
          <w:highlight w:val="none"/>
          <w:cs/>
          <w:lang w:val="zh-CN"/>
        </w:rPr>
        <w:t>则协</w:t>
      </w:r>
      <w:r>
        <w:rPr>
          <w:rFonts w:hint="eastAsia" w:ascii="宋体" w:hAnsi="宋体" w:eastAsia="宋体" w:cs="宋体"/>
          <w:color w:val="auto"/>
          <w:sz w:val="24"/>
          <w:highlight w:val="none"/>
          <w:lang w:val="zh-CN"/>
        </w:rPr>
        <w:t>商解</w:t>
      </w:r>
      <w:r>
        <w:rPr>
          <w:rFonts w:hint="eastAsia" w:ascii="宋体" w:hAnsi="宋体" w:eastAsia="宋体" w:cs="宋体"/>
          <w:color w:val="auto"/>
          <w:sz w:val="24"/>
          <w:highlight w:val="none"/>
          <w:cs/>
          <w:lang w:val="zh-CN"/>
        </w:rPr>
        <w:t>决</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cs/>
          <w:lang w:val="zh-CN"/>
        </w:rPr>
        <w:t>协</w:t>
      </w:r>
      <w:r>
        <w:rPr>
          <w:rFonts w:hint="eastAsia" w:ascii="宋体" w:hAnsi="宋体" w:eastAsia="宋体" w:cs="宋体"/>
          <w:color w:val="auto"/>
          <w:sz w:val="24"/>
          <w:highlight w:val="none"/>
          <w:lang w:val="zh-CN"/>
        </w:rPr>
        <w:t>商未果的，合同中</w:t>
      </w:r>
      <w:r>
        <w:rPr>
          <w:rFonts w:hint="eastAsia" w:ascii="宋体" w:hAnsi="宋体" w:eastAsia="宋体" w:cs="宋体"/>
          <w:color w:val="auto"/>
          <w:sz w:val="24"/>
          <w:highlight w:val="none"/>
          <w:cs/>
          <w:lang w:val="zh-CN"/>
        </w:rPr>
        <w:t>双</w:t>
      </w:r>
      <w:r>
        <w:rPr>
          <w:rFonts w:hint="eastAsia" w:ascii="宋体" w:hAnsi="宋体" w:eastAsia="宋体" w:cs="宋体"/>
          <w:color w:val="auto"/>
          <w:sz w:val="24"/>
          <w:highlight w:val="none"/>
          <w:lang w:val="zh-CN"/>
        </w:rPr>
        <w:t>方均可向本项目所在地</w:t>
      </w:r>
      <w:r>
        <w:rPr>
          <w:rFonts w:hint="eastAsia" w:ascii="宋体" w:hAnsi="宋体" w:eastAsia="宋体" w:cs="宋体"/>
          <w:color w:val="auto"/>
          <w:sz w:val="24"/>
          <w:highlight w:val="none"/>
        </w:rPr>
        <w:t>人民法院提起诉讼。</w:t>
      </w:r>
    </w:p>
    <w:p w14:paraId="13F2E911">
      <w:pPr>
        <w:spacing w:line="324" w:lineRule="auto"/>
        <w:ind w:firstLine="241" w:firstLineChars="1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十一、甲方责任条款</w:t>
      </w:r>
    </w:p>
    <w:p w14:paraId="1B6B68DD">
      <w:pPr>
        <w:spacing w:line="324"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.按约定拨付匹配的</w:t>
      </w:r>
      <w:r>
        <w:rPr>
          <w:rFonts w:hint="eastAsia" w:ascii="宋体" w:hAnsi="宋体" w:cs="宋体"/>
          <w:color w:val="auto"/>
          <w:sz w:val="24"/>
          <w:highlight w:val="none"/>
          <w:lang w:eastAsia="zh-CN"/>
        </w:rPr>
        <w:t>保洁</w:t>
      </w:r>
      <w:r>
        <w:rPr>
          <w:rFonts w:hint="eastAsia" w:ascii="宋体" w:hAnsi="宋体" w:eastAsia="宋体" w:cs="宋体"/>
          <w:color w:val="auto"/>
          <w:sz w:val="24"/>
          <w:highlight w:val="none"/>
        </w:rPr>
        <w:t>费用。</w:t>
      </w:r>
    </w:p>
    <w:p w14:paraId="7C4D9373">
      <w:pPr>
        <w:spacing w:line="324"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3.对乙方工作进行</w:t>
      </w:r>
      <w:r>
        <w:rPr>
          <w:rFonts w:hint="eastAsia" w:ascii="宋体" w:hAnsi="宋体" w:cs="宋体"/>
          <w:color w:val="auto"/>
          <w:sz w:val="24"/>
          <w:highlight w:val="none"/>
          <w:lang w:eastAsia="zh-CN"/>
        </w:rPr>
        <w:t>监督管理</w:t>
      </w:r>
      <w:r>
        <w:rPr>
          <w:rFonts w:hint="eastAsia" w:ascii="宋体" w:hAnsi="宋体" w:eastAsia="宋体" w:cs="宋体"/>
          <w:color w:val="auto"/>
          <w:sz w:val="24"/>
          <w:highlight w:val="none"/>
        </w:rPr>
        <w:t>。</w:t>
      </w:r>
    </w:p>
    <w:p w14:paraId="21093CCF">
      <w:pPr>
        <w:spacing w:line="324"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.如遇上级主管部门政策性变动，甲方有权依据政策解除该合同或与乙方协商变更事项。</w:t>
      </w:r>
    </w:p>
    <w:p w14:paraId="2F0E5F68">
      <w:pPr>
        <w:spacing w:line="324"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.按约定拨付作业费用。</w:t>
      </w:r>
    </w:p>
    <w:p w14:paraId="0A295720">
      <w:pPr>
        <w:spacing w:line="324" w:lineRule="auto"/>
        <w:ind w:firstLine="241" w:firstLineChars="1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十二、乙方责任条款</w:t>
      </w:r>
    </w:p>
    <w:p w14:paraId="77D00D06">
      <w:pPr>
        <w:spacing w:line="324"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村</w:t>
      </w:r>
      <w:r>
        <w:rPr>
          <w:rFonts w:hint="eastAsia" w:ascii="宋体" w:hAnsi="宋体" w:eastAsia="宋体" w:cs="宋体"/>
          <w:color w:val="auto"/>
          <w:sz w:val="24"/>
          <w:highlight w:val="none"/>
        </w:rPr>
        <w:t>清卫保洁的质量标准和作业规范符合《</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》的各项规定。</w:t>
      </w:r>
    </w:p>
    <w:p w14:paraId="328399E2">
      <w:pPr>
        <w:spacing w:line="324"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2.每班作业人数应按要求落实到位。</w:t>
      </w:r>
    </w:p>
    <w:p w14:paraId="3E0772CE">
      <w:pPr>
        <w:spacing w:line="324"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3.遇到重大活动、突发事件或自然灾害，必须服从甲方指挥与安排。</w:t>
      </w:r>
    </w:p>
    <w:p w14:paraId="08A54545">
      <w:pPr>
        <w:spacing w:line="324"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4.协助甲方调查、解决市民来信来访及投诉，并根据要求及时处理。</w:t>
      </w:r>
    </w:p>
    <w:p w14:paraId="65CBAB74">
      <w:pPr>
        <w:spacing w:line="324"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5.发现市政公用设施损坏或缺损，及时与相关部门联系。</w:t>
      </w:r>
    </w:p>
    <w:p w14:paraId="6B724503">
      <w:pPr>
        <w:spacing w:line="324"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.自行解决清卫人员住宿问题。</w:t>
      </w:r>
    </w:p>
    <w:p w14:paraId="099E11AA">
      <w:pPr>
        <w:spacing w:line="324" w:lineRule="auto"/>
        <w:ind w:firstLine="241" w:firstLineChars="100"/>
        <w:rPr>
          <w:rFonts w:hint="eastAsia" w:ascii="宋体" w:hAnsi="宋体" w:eastAsia="宋体" w:cs="宋体"/>
          <w:b/>
          <w:bCs/>
          <w:color w:val="auto"/>
          <w:sz w:val="24"/>
          <w:highlight w:val="none"/>
          <w:cs/>
          <w:lang w:val="zh-CN"/>
        </w:rPr>
      </w:pPr>
      <w:r>
        <w:rPr>
          <w:rFonts w:hint="eastAsia" w:ascii="宋体" w:hAnsi="宋体" w:eastAsia="宋体" w:cs="宋体"/>
          <w:b/>
          <w:bCs/>
          <w:color w:val="auto"/>
          <w:sz w:val="24"/>
          <w:highlight w:val="none"/>
        </w:rPr>
        <w:t>十三、</w:t>
      </w:r>
      <w:r>
        <w:rPr>
          <w:rFonts w:hint="eastAsia" w:ascii="宋体" w:hAnsi="宋体" w:eastAsia="宋体" w:cs="宋体"/>
          <w:b/>
          <w:bCs/>
          <w:color w:val="auto"/>
          <w:sz w:val="24"/>
          <w:highlight w:val="none"/>
          <w:cs/>
          <w:lang w:val="zh-CN"/>
        </w:rPr>
        <w:t>其他</w:t>
      </w:r>
    </w:p>
    <w:p w14:paraId="7870EFA0">
      <w:pPr>
        <w:adjustRightInd/>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本项目不得转让或分包，一经发现立即终止合同并全额没收履约保证金。</w:t>
      </w:r>
    </w:p>
    <w:p w14:paraId="0D16171F">
      <w:pPr>
        <w:spacing w:line="324" w:lineRule="auto"/>
        <w:ind w:firstLine="241" w:firstLineChars="1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十四、不可抗力</w:t>
      </w:r>
    </w:p>
    <w:p w14:paraId="38DD0DFB">
      <w:pPr>
        <w:autoSpaceDE w:val="0"/>
        <w:autoSpaceDN w:val="0"/>
        <w:adjustRightInd/>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在</w:t>
      </w:r>
      <w:r>
        <w:rPr>
          <w:rFonts w:hint="eastAsia" w:ascii="宋体" w:hAnsi="宋体" w:eastAsia="宋体" w:cs="宋体"/>
          <w:color w:val="auto"/>
          <w:sz w:val="24"/>
          <w:highlight w:val="none"/>
          <w:cs/>
          <w:lang w:val="zh-CN"/>
        </w:rPr>
        <w:t>执</w:t>
      </w:r>
      <w:r>
        <w:rPr>
          <w:rFonts w:hint="eastAsia" w:ascii="宋体" w:hAnsi="宋体" w:eastAsia="宋体" w:cs="宋体"/>
          <w:color w:val="auto"/>
          <w:sz w:val="24"/>
          <w:highlight w:val="none"/>
          <w:lang w:val="zh-CN"/>
        </w:rPr>
        <w:t>行合同期限</w:t>
      </w:r>
      <w:r>
        <w:rPr>
          <w:rFonts w:hint="eastAsia" w:ascii="宋体" w:hAnsi="宋体" w:eastAsia="宋体" w:cs="宋体"/>
          <w:color w:val="auto"/>
          <w:sz w:val="24"/>
          <w:highlight w:val="none"/>
          <w:cs/>
          <w:lang w:val="zh-CN"/>
        </w:rPr>
        <w:t>内</w:t>
      </w:r>
      <w:r>
        <w:rPr>
          <w:rFonts w:hint="eastAsia" w:ascii="宋体" w:hAnsi="宋体" w:eastAsia="宋体" w:cs="宋体"/>
          <w:color w:val="auto"/>
          <w:sz w:val="24"/>
          <w:highlight w:val="none"/>
          <w:lang w:val="zh-CN"/>
        </w:rPr>
        <w:t>，乙方因不可抗力事件造成不能履行合同</w:t>
      </w:r>
      <w:r>
        <w:rPr>
          <w:rFonts w:hint="eastAsia" w:ascii="宋体" w:hAnsi="宋体" w:eastAsia="宋体" w:cs="宋体"/>
          <w:color w:val="auto"/>
          <w:sz w:val="24"/>
          <w:highlight w:val="none"/>
          <w:cs/>
          <w:lang w:val="zh-CN"/>
        </w:rPr>
        <w:t>时</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cs/>
          <w:lang w:val="zh-CN"/>
        </w:rPr>
        <w:t>应</w:t>
      </w:r>
      <w:r>
        <w:rPr>
          <w:rFonts w:hint="eastAsia" w:ascii="宋体" w:hAnsi="宋体" w:eastAsia="宋体" w:cs="宋体"/>
          <w:color w:val="auto"/>
          <w:sz w:val="24"/>
          <w:highlight w:val="none"/>
          <w:lang w:val="zh-CN"/>
        </w:rPr>
        <w:t>立即通知</w:t>
      </w:r>
      <w:r>
        <w:rPr>
          <w:rFonts w:hint="eastAsia" w:ascii="宋体" w:hAnsi="宋体" w:eastAsia="宋体" w:cs="宋体"/>
          <w:color w:val="auto"/>
          <w:sz w:val="24"/>
          <w:highlight w:val="none"/>
          <w:cs/>
          <w:lang w:val="zh-CN"/>
        </w:rPr>
        <w:t>对</w:t>
      </w:r>
      <w:r>
        <w:rPr>
          <w:rFonts w:hint="eastAsia" w:ascii="宋体" w:hAnsi="宋体" w:eastAsia="宋体" w:cs="宋体"/>
          <w:color w:val="auto"/>
          <w:sz w:val="24"/>
          <w:highlight w:val="none"/>
          <w:lang w:val="zh-CN"/>
        </w:rPr>
        <w:t>方，并寄送有</w:t>
      </w:r>
      <w:r>
        <w:rPr>
          <w:rFonts w:hint="eastAsia" w:ascii="宋体" w:hAnsi="宋体" w:eastAsia="宋体" w:cs="宋体"/>
          <w:color w:val="auto"/>
          <w:sz w:val="24"/>
          <w:highlight w:val="none"/>
          <w:cs/>
          <w:lang w:val="zh-CN"/>
        </w:rPr>
        <w:t>关权</w:t>
      </w:r>
      <w:r>
        <w:rPr>
          <w:rFonts w:hint="eastAsia" w:ascii="宋体" w:hAnsi="宋体" w:eastAsia="宋体" w:cs="宋体"/>
          <w:color w:val="auto"/>
          <w:sz w:val="24"/>
          <w:highlight w:val="none"/>
          <w:lang w:val="zh-CN"/>
        </w:rPr>
        <w:t>威机构出具的</w:t>
      </w:r>
      <w:r>
        <w:rPr>
          <w:rFonts w:hint="eastAsia" w:ascii="宋体" w:hAnsi="宋体" w:eastAsia="宋体" w:cs="宋体"/>
          <w:color w:val="auto"/>
          <w:sz w:val="24"/>
          <w:highlight w:val="none"/>
          <w:cs/>
          <w:lang w:val="zh-CN"/>
        </w:rPr>
        <w:t>证</w:t>
      </w:r>
      <w:r>
        <w:rPr>
          <w:rFonts w:hint="eastAsia" w:ascii="宋体" w:hAnsi="宋体" w:eastAsia="宋体" w:cs="宋体"/>
          <w:color w:val="auto"/>
          <w:sz w:val="24"/>
          <w:highlight w:val="none"/>
          <w:lang w:val="zh-CN"/>
        </w:rPr>
        <w:t>明，</w:t>
      </w:r>
      <w:r>
        <w:rPr>
          <w:rFonts w:hint="eastAsia" w:ascii="宋体" w:hAnsi="宋体" w:eastAsia="宋体" w:cs="宋体"/>
          <w:color w:val="auto"/>
          <w:sz w:val="24"/>
          <w:highlight w:val="none"/>
          <w:cs/>
          <w:lang w:val="zh-CN"/>
        </w:rPr>
        <w:t>则</w:t>
      </w:r>
      <w:r>
        <w:rPr>
          <w:rFonts w:hint="eastAsia" w:ascii="宋体" w:hAnsi="宋体" w:eastAsia="宋体" w:cs="宋体"/>
          <w:color w:val="auto"/>
          <w:sz w:val="24"/>
          <w:highlight w:val="none"/>
          <w:lang w:val="zh-CN"/>
        </w:rPr>
        <w:t>合同履行期可相</w:t>
      </w:r>
      <w:r>
        <w:rPr>
          <w:rFonts w:hint="eastAsia" w:ascii="宋体" w:hAnsi="宋体" w:eastAsia="宋体" w:cs="宋体"/>
          <w:color w:val="auto"/>
          <w:sz w:val="24"/>
          <w:highlight w:val="none"/>
          <w:cs/>
          <w:lang w:val="zh-CN"/>
        </w:rPr>
        <w:t>应</w:t>
      </w:r>
      <w:r>
        <w:rPr>
          <w:rFonts w:hint="eastAsia" w:ascii="宋体" w:hAnsi="宋体" w:eastAsia="宋体" w:cs="宋体"/>
          <w:color w:val="auto"/>
          <w:sz w:val="24"/>
          <w:highlight w:val="none"/>
          <w:lang w:val="zh-CN"/>
        </w:rPr>
        <w:t>延</w:t>
      </w:r>
      <w:r>
        <w:rPr>
          <w:rFonts w:hint="eastAsia" w:ascii="宋体" w:hAnsi="宋体" w:eastAsia="宋体" w:cs="宋体"/>
          <w:color w:val="auto"/>
          <w:sz w:val="24"/>
          <w:highlight w:val="none"/>
          <w:cs/>
          <w:lang w:val="zh-CN"/>
        </w:rPr>
        <w:t>长</w:t>
      </w:r>
      <w:r>
        <w:rPr>
          <w:rFonts w:hint="eastAsia" w:ascii="宋体" w:hAnsi="宋体" w:eastAsia="宋体" w:cs="宋体"/>
          <w:color w:val="auto"/>
          <w:sz w:val="24"/>
          <w:highlight w:val="none"/>
          <w:lang w:val="zh-CN"/>
        </w:rPr>
        <w:t>，延</w:t>
      </w:r>
      <w:r>
        <w:rPr>
          <w:rFonts w:hint="eastAsia" w:ascii="宋体" w:hAnsi="宋体" w:eastAsia="宋体" w:cs="宋体"/>
          <w:color w:val="auto"/>
          <w:sz w:val="24"/>
          <w:highlight w:val="none"/>
          <w:cs/>
          <w:lang w:val="zh-CN"/>
        </w:rPr>
        <w:t>长</w:t>
      </w:r>
      <w:r>
        <w:rPr>
          <w:rFonts w:hint="eastAsia" w:ascii="宋体" w:hAnsi="宋体" w:eastAsia="宋体" w:cs="宋体"/>
          <w:color w:val="auto"/>
          <w:sz w:val="24"/>
          <w:highlight w:val="none"/>
          <w:lang w:val="zh-CN"/>
        </w:rPr>
        <w:t>期与不可抗力影</w:t>
      </w:r>
      <w:r>
        <w:rPr>
          <w:rFonts w:hint="eastAsia" w:ascii="宋体" w:hAnsi="宋体" w:eastAsia="宋体" w:cs="宋体"/>
          <w:color w:val="auto"/>
          <w:sz w:val="24"/>
          <w:highlight w:val="none"/>
          <w:cs/>
          <w:lang w:val="zh-CN"/>
        </w:rPr>
        <w:t>响</w:t>
      </w:r>
      <w:r>
        <w:rPr>
          <w:rFonts w:hint="eastAsia" w:ascii="宋体" w:hAnsi="宋体" w:eastAsia="宋体" w:cs="宋体"/>
          <w:color w:val="auto"/>
          <w:sz w:val="24"/>
          <w:highlight w:val="none"/>
          <w:lang w:val="zh-CN"/>
        </w:rPr>
        <w:t>期相同。出</w:t>
      </w:r>
      <w:r>
        <w:rPr>
          <w:rFonts w:hint="eastAsia" w:ascii="宋体" w:hAnsi="宋体" w:eastAsia="宋体" w:cs="宋体"/>
          <w:color w:val="auto"/>
          <w:sz w:val="24"/>
          <w:highlight w:val="none"/>
          <w:cs/>
          <w:lang w:val="zh-CN"/>
        </w:rPr>
        <w:t>现</w:t>
      </w:r>
      <w:r>
        <w:rPr>
          <w:rFonts w:hint="eastAsia" w:ascii="宋体" w:hAnsi="宋体" w:eastAsia="宋体" w:cs="宋体"/>
          <w:color w:val="auto"/>
          <w:sz w:val="24"/>
          <w:highlight w:val="none"/>
          <w:lang w:val="zh-CN"/>
        </w:rPr>
        <w:t>上述情</w:t>
      </w:r>
      <w:r>
        <w:rPr>
          <w:rFonts w:hint="eastAsia" w:ascii="宋体" w:hAnsi="宋体" w:eastAsia="宋体" w:cs="宋体"/>
          <w:color w:val="auto"/>
          <w:sz w:val="24"/>
          <w:highlight w:val="none"/>
          <w:cs/>
          <w:lang w:val="zh-CN"/>
        </w:rPr>
        <w:t>况</w:t>
      </w:r>
      <w:r>
        <w:rPr>
          <w:rFonts w:hint="eastAsia" w:ascii="宋体" w:hAnsi="宋体" w:eastAsia="宋体" w:cs="宋体"/>
          <w:color w:val="auto"/>
          <w:sz w:val="24"/>
          <w:highlight w:val="none"/>
          <w:lang w:val="zh-CN"/>
        </w:rPr>
        <w:t>不受合同有</w:t>
      </w:r>
      <w:r>
        <w:rPr>
          <w:rFonts w:hint="eastAsia" w:ascii="宋体" w:hAnsi="宋体" w:eastAsia="宋体" w:cs="宋体"/>
          <w:color w:val="auto"/>
          <w:sz w:val="24"/>
          <w:highlight w:val="none"/>
          <w:cs/>
          <w:lang w:val="zh-CN"/>
        </w:rPr>
        <w:t>关</w:t>
      </w:r>
      <w:r>
        <w:rPr>
          <w:rFonts w:hint="eastAsia" w:ascii="宋体" w:hAnsi="宋体" w:eastAsia="宋体" w:cs="宋体"/>
          <w:color w:val="auto"/>
          <w:sz w:val="24"/>
          <w:highlight w:val="none"/>
          <w:lang w:val="zh-CN"/>
        </w:rPr>
        <w:t>逾期</w:t>
      </w:r>
      <w:r>
        <w:rPr>
          <w:rFonts w:hint="eastAsia" w:ascii="宋体" w:hAnsi="宋体" w:eastAsia="宋体" w:cs="宋体"/>
          <w:color w:val="auto"/>
          <w:sz w:val="24"/>
          <w:highlight w:val="none"/>
          <w:cs/>
          <w:lang w:val="zh-CN"/>
        </w:rPr>
        <w:t>责</w:t>
      </w:r>
      <w:r>
        <w:rPr>
          <w:rFonts w:hint="eastAsia" w:ascii="宋体" w:hAnsi="宋体" w:eastAsia="宋体" w:cs="宋体"/>
          <w:color w:val="auto"/>
          <w:sz w:val="24"/>
          <w:highlight w:val="none"/>
          <w:lang w:val="zh-CN"/>
        </w:rPr>
        <w:t>任制</w:t>
      </w:r>
      <w:r>
        <w:rPr>
          <w:rFonts w:hint="eastAsia" w:ascii="宋体" w:hAnsi="宋体" w:eastAsia="宋体" w:cs="宋体"/>
          <w:color w:val="auto"/>
          <w:sz w:val="24"/>
          <w:highlight w:val="none"/>
          <w:cs/>
          <w:lang w:val="zh-CN"/>
        </w:rPr>
        <w:t>约</w:t>
      </w:r>
      <w:r>
        <w:rPr>
          <w:rFonts w:hint="eastAsia" w:ascii="宋体" w:hAnsi="宋体" w:eastAsia="宋体" w:cs="宋体"/>
          <w:color w:val="auto"/>
          <w:sz w:val="24"/>
          <w:highlight w:val="none"/>
          <w:lang w:val="zh-CN"/>
        </w:rPr>
        <w:t>；</w:t>
      </w:r>
    </w:p>
    <w:p w14:paraId="1FC241E2">
      <w:pPr>
        <w:autoSpaceDE w:val="0"/>
        <w:autoSpaceDN w:val="0"/>
        <w:adjustRightInd/>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2、不可抗力影</w:t>
      </w:r>
      <w:r>
        <w:rPr>
          <w:rFonts w:hint="eastAsia" w:ascii="宋体" w:hAnsi="宋体" w:eastAsia="宋体" w:cs="宋体"/>
          <w:color w:val="auto"/>
          <w:sz w:val="24"/>
          <w:highlight w:val="none"/>
          <w:cs/>
          <w:lang w:val="zh-CN"/>
        </w:rPr>
        <w:t>响时间</w:t>
      </w:r>
      <w:r>
        <w:rPr>
          <w:rFonts w:hint="eastAsia" w:ascii="宋体" w:hAnsi="宋体" w:eastAsia="宋体" w:cs="宋体"/>
          <w:color w:val="auto"/>
          <w:sz w:val="24"/>
          <w:highlight w:val="none"/>
          <w:lang w:val="zh-CN"/>
        </w:rPr>
        <w:t>持</w:t>
      </w:r>
      <w:r>
        <w:rPr>
          <w:rFonts w:hint="eastAsia" w:ascii="宋体" w:hAnsi="宋体" w:eastAsia="宋体" w:cs="宋体"/>
          <w:color w:val="auto"/>
          <w:sz w:val="24"/>
          <w:highlight w:val="none"/>
          <w:cs/>
          <w:lang w:val="zh-CN"/>
        </w:rPr>
        <w:t>续</w:t>
      </w:r>
      <w:r>
        <w:rPr>
          <w:rFonts w:hint="eastAsia" w:ascii="宋体" w:hAnsi="宋体" w:eastAsia="宋体" w:cs="宋体"/>
          <w:color w:val="auto"/>
          <w:sz w:val="24"/>
          <w:highlight w:val="none"/>
          <w:lang w:val="zh-CN"/>
        </w:rPr>
        <w:t>15日以上</w:t>
      </w:r>
      <w:r>
        <w:rPr>
          <w:rFonts w:hint="eastAsia" w:ascii="宋体" w:hAnsi="宋体" w:eastAsia="宋体" w:cs="宋体"/>
          <w:color w:val="auto"/>
          <w:sz w:val="24"/>
          <w:highlight w:val="none"/>
          <w:cs/>
          <w:lang w:val="zh-CN"/>
        </w:rPr>
        <w:t>时</w:t>
      </w:r>
      <w:r>
        <w:rPr>
          <w:rFonts w:hint="eastAsia" w:ascii="宋体" w:hAnsi="宋体" w:eastAsia="宋体" w:cs="宋体"/>
          <w:color w:val="auto"/>
          <w:sz w:val="24"/>
          <w:highlight w:val="none"/>
          <w:lang w:val="zh-CN"/>
        </w:rPr>
        <w:t>，甲乙</w:t>
      </w:r>
      <w:r>
        <w:rPr>
          <w:rFonts w:hint="eastAsia" w:ascii="宋体" w:hAnsi="宋体" w:eastAsia="宋体" w:cs="宋体"/>
          <w:color w:val="auto"/>
          <w:sz w:val="24"/>
          <w:highlight w:val="none"/>
          <w:cs/>
          <w:lang w:val="zh-CN"/>
        </w:rPr>
        <w:t>双</w:t>
      </w:r>
      <w:r>
        <w:rPr>
          <w:rFonts w:hint="eastAsia" w:ascii="宋体" w:hAnsi="宋体" w:eastAsia="宋体" w:cs="宋体"/>
          <w:color w:val="auto"/>
          <w:sz w:val="24"/>
          <w:highlight w:val="none"/>
          <w:lang w:val="zh-CN"/>
        </w:rPr>
        <w:t>方</w:t>
      </w:r>
      <w:r>
        <w:rPr>
          <w:rFonts w:hint="eastAsia" w:ascii="宋体" w:hAnsi="宋体" w:eastAsia="宋体" w:cs="宋体"/>
          <w:color w:val="auto"/>
          <w:sz w:val="24"/>
          <w:highlight w:val="none"/>
          <w:cs/>
          <w:lang w:val="zh-CN"/>
        </w:rPr>
        <w:t>应</w:t>
      </w:r>
      <w:r>
        <w:rPr>
          <w:rFonts w:hint="eastAsia" w:ascii="宋体" w:hAnsi="宋体" w:eastAsia="宋体" w:cs="宋体"/>
          <w:color w:val="auto"/>
          <w:sz w:val="24"/>
          <w:highlight w:val="none"/>
          <w:lang w:val="zh-CN"/>
        </w:rPr>
        <w:t>及</w:t>
      </w:r>
      <w:r>
        <w:rPr>
          <w:rFonts w:hint="eastAsia" w:ascii="宋体" w:hAnsi="宋体" w:eastAsia="宋体" w:cs="宋体"/>
          <w:color w:val="auto"/>
          <w:sz w:val="24"/>
          <w:highlight w:val="none"/>
          <w:cs/>
          <w:lang w:val="zh-CN"/>
        </w:rPr>
        <w:t>时</w:t>
      </w:r>
      <w:r>
        <w:rPr>
          <w:rFonts w:hint="eastAsia" w:ascii="宋体" w:hAnsi="宋体" w:eastAsia="宋体" w:cs="宋体"/>
          <w:color w:val="auto"/>
          <w:sz w:val="24"/>
          <w:highlight w:val="none"/>
          <w:lang w:val="zh-CN"/>
        </w:rPr>
        <w:t>解除合同；</w:t>
      </w:r>
    </w:p>
    <w:p w14:paraId="7DB4B76D">
      <w:pPr>
        <w:autoSpaceDE w:val="0"/>
        <w:autoSpaceDN w:val="0"/>
        <w:adjustRightInd/>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3、本</w:t>
      </w:r>
      <w:r>
        <w:rPr>
          <w:rFonts w:hint="eastAsia" w:ascii="宋体" w:hAnsi="宋体" w:eastAsia="宋体" w:cs="宋体"/>
          <w:color w:val="auto"/>
          <w:sz w:val="24"/>
          <w:highlight w:val="none"/>
          <w:cs/>
          <w:lang w:val="zh-CN"/>
        </w:rPr>
        <w:t>条</w:t>
      </w:r>
      <w:r>
        <w:rPr>
          <w:rFonts w:hint="eastAsia" w:ascii="宋体" w:hAnsi="宋体" w:eastAsia="宋体" w:cs="宋体"/>
          <w:color w:val="auto"/>
          <w:sz w:val="24"/>
          <w:highlight w:val="none"/>
          <w:lang w:val="zh-CN"/>
        </w:rPr>
        <w:t>所述</w:t>
      </w:r>
      <w:r>
        <w:rPr>
          <w:rFonts w:hint="eastAsia" w:ascii="宋体" w:hAnsi="宋体" w:eastAsia="宋体" w:cs="宋体"/>
          <w:color w:val="auto"/>
          <w:sz w:val="24"/>
          <w:highlight w:val="none"/>
          <w:lang w:val="zh-CN" w:eastAsia="zh-TW"/>
        </w:rPr>
        <w:t>“</w:t>
      </w:r>
      <w:r>
        <w:rPr>
          <w:rFonts w:hint="eastAsia" w:ascii="宋体" w:hAnsi="宋体" w:eastAsia="宋体" w:cs="宋体"/>
          <w:color w:val="auto"/>
          <w:sz w:val="24"/>
          <w:highlight w:val="none"/>
          <w:lang w:val="zh-CN"/>
        </w:rPr>
        <w:t>不可抗力</w:t>
      </w:r>
      <w:r>
        <w:rPr>
          <w:rFonts w:hint="eastAsia" w:ascii="宋体" w:hAnsi="宋体" w:eastAsia="宋体" w:cs="宋体"/>
          <w:color w:val="auto"/>
          <w:sz w:val="24"/>
          <w:highlight w:val="none"/>
          <w:lang w:val="zh-CN" w:eastAsia="zh-TW"/>
        </w:rPr>
        <w:t>”</w:t>
      </w:r>
      <w:r>
        <w:rPr>
          <w:rFonts w:hint="eastAsia" w:ascii="宋体" w:hAnsi="宋体" w:eastAsia="宋体" w:cs="宋体"/>
          <w:color w:val="auto"/>
          <w:sz w:val="24"/>
          <w:highlight w:val="none"/>
          <w:lang w:val="zh-CN"/>
        </w:rPr>
        <w:t>是指不可</w:t>
      </w:r>
      <w:r>
        <w:rPr>
          <w:rFonts w:hint="eastAsia" w:ascii="宋体" w:hAnsi="宋体" w:eastAsia="宋体" w:cs="宋体"/>
          <w:color w:val="auto"/>
          <w:sz w:val="24"/>
          <w:highlight w:val="none"/>
          <w:cs/>
          <w:lang w:val="zh-CN"/>
        </w:rPr>
        <w:t>预见</w:t>
      </w:r>
      <w:r>
        <w:rPr>
          <w:rFonts w:hint="eastAsia" w:ascii="宋体" w:hAnsi="宋体" w:eastAsia="宋体" w:cs="宋体"/>
          <w:color w:val="auto"/>
          <w:sz w:val="24"/>
          <w:highlight w:val="none"/>
          <w:lang w:val="zh-CN"/>
        </w:rPr>
        <w:t>、不能克服及不能避免的事件，包括</w:t>
      </w:r>
      <w:r>
        <w:rPr>
          <w:rFonts w:hint="eastAsia" w:ascii="宋体" w:hAnsi="宋体" w:eastAsia="宋体" w:cs="宋体"/>
          <w:color w:val="auto"/>
          <w:sz w:val="24"/>
          <w:highlight w:val="none"/>
          <w:cs/>
          <w:lang w:val="zh-CN"/>
        </w:rPr>
        <w:t>战争</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cs/>
          <w:lang w:val="zh-CN"/>
        </w:rPr>
        <w:t>严</w:t>
      </w:r>
      <w:r>
        <w:rPr>
          <w:rFonts w:hint="eastAsia" w:ascii="宋体" w:hAnsi="宋体" w:eastAsia="宋体" w:cs="宋体"/>
          <w:color w:val="auto"/>
          <w:sz w:val="24"/>
          <w:highlight w:val="none"/>
          <w:lang w:val="zh-CN"/>
        </w:rPr>
        <w:t>重火</w:t>
      </w:r>
      <w:r>
        <w:rPr>
          <w:rFonts w:hint="eastAsia" w:ascii="宋体" w:hAnsi="宋体" w:eastAsia="宋体" w:cs="宋体"/>
          <w:color w:val="auto"/>
          <w:sz w:val="24"/>
          <w:highlight w:val="none"/>
          <w:cs/>
          <w:lang w:val="zh-CN"/>
        </w:rPr>
        <w:t>灾</w:t>
      </w:r>
      <w:r>
        <w:rPr>
          <w:rFonts w:hint="eastAsia" w:ascii="宋体" w:hAnsi="宋体" w:eastAsia="宋体" w:cs="宋体"/>
          <w:color w:val="auto"/>
          <w:sz w:val="24"/>
          <w:highlight w:val="none"/>
          <w:lang w:val="zh-CN"/>
        </w:rPr>
        <w:t>、洪水、地震等。</w:t>
      </w:r>
    </w:p>
    <w:p w14:paraId="0BA56C74">
      <w:pPr>
        <w:spacing w:line="324" w:lineRule="auto"/>
        <w:ind w:firstLine="241" w:firstLineChars="1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十五、</w:t>
      </w:r>
      <w:r>
        <w:rPr>
          <w:rFonts w:hint="eastAsia" w:ascii="宋体" w:hAnsi="宋体" w:eastAsia="宋体" w:cs="宋体"/>
          <w:b/>
          <w:bCs/>
          <w:color w:val="auto"/>
          <w:sz w:val="24"/>
          <w:highlight w:val="none"/>
          <w:cs/>
          <w:lang w:val="zh-CN"/>
        </w:rPr>
        <w:t>争议</w:t>
      </w:r>
      <w:r>
        <w:rPr>
          <w:rFonts w:hint="eastAsia" w:ascii="宋体" w:hAnsi="宋体" w:eastAsia="宋体" w:cs="宋体"/>
          <w:b/>
          <w:bCs/>
          <w:color w:val="auto"/>
          <w:sz w:val="24"/>
          <w:highlight w:val="none"/>
          <w:lang w:val="zh-CN"/>
        </w:rPr>
        <w:t>裁</w:t>
      </w:r>
      <w:r>
        <w:rPr>
          <w:rFonts w:hint="eastAsia" w:ascii="宋体" w:hAnsi="宋体" w:eastAsia="宋体" w:cs="宋体"/>
          <w:b/>
          <w:bCs/>
          <w:color w:val="auto"/>
          <w:sz w:val="24"/>
          <w:highlight w:val="none"/>
          <w:cs/>
          <w:lang w:val="zh-CN"/>
        </w:rPr>
        <w:t>决</w:t>
      </w:r>
    </w:p>
    <w:p w14:paraId="3A403AD4">
      <w:pPr>
        <w:autoSpaceDE w:val="0"/>
        <w:autoSpaceDN w:val="0"/>
        <w:adjustRightInd/>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1、在合同</w:t>
      </w:r>
      <w:r>
        <w:rPr>
          <w:rFonts w:hint="eastAsia" w:ascii="宋体" w:hAnsi="宋体" w:eastAsia="宋体" w:cs="宋体"/>
          <w:color w:val="auto"/>
          <w:sz w:val="24"/>
          <w:highlight w:val="none"/>
          <w:cs/>
          <w:lang w:val="zh-CN"/>
        </w:rPr>
        <w:t>执</w:t>
      </w:r>
      <w:r>
        <w:rPr>
          <w:rFonts w:hint="eastAsia" w:ascii="宋体" w:hAnsi="宋体" w:eastAsia="宋体" w:cs="宋体"/>
          <w:color w:val="auto"/>
          <w:sz w:val="24"/>
          <w:highlight w:val="none"/>
          <w:lang w:val="zh-CN"/>
        </w:rPr>
        <w:t>行</w:t>
      </w:r>
      <w:r>
        <w:rPr>
          <w:rFonts w:hint="eastAsia" w:ascii="宋体" w:hAnsi="宋体" w:eastAsia="宋体" w:cs="宋体"/>
          <w:color w:val="auto"/>
          <w:sz w:val="24"/>
          <w:highlight w:val="none"/>
          <w:cs/>
          <w:lang w:val="zh-CN"/>
        </w:rPr>
        <w:t>过</w:t>
      </w:r>
      <w:r>
        <w:rPr>
          <w:rFonts w:hint="eastAsia" w:ascii="宋体" w:hAnsi="宋体" w:eastAsia="宋体" w:cs="宋体"/>
          <w:color w:val="auto"/>
          <w:sz w:val="24"/>
          <w:highlight w:val="none"/>
          <w:lang w:val="zh-CN"/>
        </w:rPr>
        <w:t>程中如</w:t>
      </w:r>
      <w:r>
        <w:rPr>
          <w:rFonts w:hint="eastAsia" w:ascii="宋体" w:hAnsi="宋体" w:eastAsia="宋体" w:cs="宋体"/>
          <w:color w:val="auto"/>
          <w:sz w:val="24"/>
          <w:highlight w:val="none"/>
          <w:cs/>
          <w:lang w:val="zh-CN"/>
        </w:rPr>
        <w:t>发</w:t>
      </w:r>
      <w:r>
        <w:rPr>
          <w:rFonts w:hint="eastAsia" w:ascii="宋体" w:hAnsi="宋体" w:eastAsia="宋体" w:cs="宋体"/>
          <w:color w:val="auto"/>
          <w:sz w:val="24"/>
          <w:highlight w:val="none"/>
          <w:lang w:val="zh-CN"/>
        </w:rPr>
        <w:t>生</w:t>
      </w:r>
      <w:r>
        <w:rPr>
          <w:rFonts w:hint="eastAsia" w:ascii="宋体" w:hAnsi="宋体" w:eastAsia="宋体" w:cs="宋体"/>
          <w:color w:val="auto"/>
          <w:sz w:val="24"/>
          <w:highlight w:val="none"/>
          <w:cs/>
          <w:lang w:val="zh-CN"/>
        </w:rPr>
        <w:t>争议</w:t>
      </w:r>
      <w:r>
        <w:rPr>
          <w:rFonts w:hint="eastAsia" w:ascii="宋体" w:hAnsi="宋体" w:eastAsia="宋体" w:cs="宋体"/>
          <w:color w:val="auto"/>
          <w:sz w:val="24"/>
          <w:highlight w:val="none"/>
          <w:lang w:val="zh-CN"/>
        </w:rPr>
        <w:t>，首先</w:t>
      </w:r>
      <w:r>
        <w:rPr>
          <w:rFonts w:hint="eastAsia" w:ascii="宋体" w:hAnsi="宋体" w:eastAsia="宋体" w:cs="宋体"/>
          <w:color w:val="auto"/>
          <w:sz w:val="24"/>
          <w:highlight w:val="none"/>
          <w:cs/>
          <w:lang w:val="zh-CN"/>
        </w:rPr>
        <w:t>应</w:t>
      </w:r>
      <w:r>
        <w:rPr>
          <w:rFonts w:hint="eastAsia" w:ascii="宋体" w:hAnsi="宋体" w:eastAsia="宋体" w:cs="宋体"/>
          <w:color w:val="auto"/>
          <w:sz w:val="24"/>
          <w:highlight w:val="none"/>
          <w:lang w:val="zh-CN"/>
        </w:rPr>
        <w:t>本</w:t>
      </w:r>
      <w:r>
        <w:rPr>
          <w:rFonts w:hint="eastAsia" w:ascii="宋体" w:hAnsi="宋体" w:eastAsia="宋体" w:cs="宋体"/>
          <w:color w:val="auto"/>
          <w:sz w:val="24"/>
          <w:highlight w:val="none"/>
          <w:cs/>
          <w:lang w:val="zh-CN"/>
        </w:rPr>
        <w:t>着</w:t>
      </w:r>
      <w:r>
        <w:rPr>
          <w:rFonts w:hint="eastAsia" w:ascii="宋体" w:hAnsi="宋体" w:eastAsia="宋体" w:cs="宋体"/>
          <w:color w:val="auto"/>
          <w:sz w:val="24"/>
          <w:highlight w:val="none"/>
          <w:lang w:val="zh-CN"/>
        </w:rPr>
        <w:t>友好的原</w:t>
      </w:r>
      <w:r>
        <w:rPr>
          <w:rFonts w:hint="eastAsia" w:ascii="宋体" w:hAnsi="宋体" w:eastAsia="宋体" w:cs="宋体"/>
          <w:color w:val="auto"/>
          <w:sz w:val="24"/>
          <w:highlight w:val="none"/>
          <w:cs/>
          <w:lang w:val="zh-CN"/>
        </w:rPr>
        <w:t>则协</w:t>
      </w:r>
      <w:r>
        <w:rPr>
          <w:rFonts w:hint="eastAsia" w:ascii="宋体" w:hAnsi="宋体" w:eastAsia="宋体" w:cs="宋体"/>
          <w:color w:val="auto"/>
          <w:sz w:val="24"/>
          <w:highlight w:val="none"/>
          <w:lang w:val="zh-CN"/>
        </w:rPr>
        <w:t>商解</w:t>
      </w:r>
      <w:r>
        <w:rPr>
          <w:rFonts w:hint="eastAsia" w:ascii="宋体" w:hAnsi="宋体" w:eastAsia="宋体" w:cs="宋体"/>
          <w:color w:val="auto"/>
          <w:sz w:val="24"/>
          <w:highlight w:val="none"/>
          <w:cs/>
          <w:lang w:val="zh-CN"/>
        </w:rPr>
        <w:t>决</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cs/>
          <w:lang w:val="zh-CN"/>
        </w:rPr>
        <w:t>协</w:t>
      </w:r>
      <w:r>
        <w:rPr>
          <w:rFonts w:hint="eastAsia" w:ascii="宋体" w:hAnsi="宋体" w:eastAsia="宋体" w:cs="宋体"/>
          <w:color w:val="auto"/>
          <w:sz w:val="24"/>
          <w:highlight w:val="none"/>
          <w:lang w:val="zh-CN"/>
        </w:rPr>
        <w:t>商未果的，合同中甲乙</w:t>
      </w:r>
      <w:r>
        <w:rPr>
          <w:rFonts w:hint="eastAsia" w:ascii="宋体" w:hAnsi="宋体" w:eastAsia="宋体" w:cs="宋体"/>
          <w:color w:val="auto"/>
          <w:sz w:val="24"/>
          <w:highlight w:val="none"/>
          <w:cs/>
          <w:lang w:val="zh-CN"/>
        </w:rPr>
        <w:t>双</w:t>
      </w:r>
      <w:r>
        <w:rPr>
          <w:rFonts w:hint="eastAsia" w:ascii="宋体" w:hAnsi="宋体" w:eastAsia="宋体" w:cs="宋体"/>
          <w:color w:val="auto"/>
          <w:sz w:val="24"/>
          <w:highlight w:val="none"/>
          <w:lang w:val="zh-CN"/>
        </w:rPr>
        <w:t>方均可向本项目所在地</w:t>
      </w:r>
      <w:r>
        <w:rPr>
          <w:rFonts w:hint="eastAsia" w:ascii="宋体" w:hAnsi="宋体" w:eastAsia="宋体" w:cs="宋体"/>
          <w:color w:val="auto"/>
          <w:sz w:val="24"/>
          <w:highlight w:val="none"/>
        </w:rPr>
        <w:t>人民法院提起诉讼。</w:t>
      </w:r>
    </w:p>
    <w:p w14:paraId="4EED5AD8">
      <w:pPr>
        <w:spacing w:line="324" w:lineRule="auto"/>
        <w:ind w:firstLine="241" w:firstLineChars="1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十六、其它</w:t>
      </w:r>
      <w:r>
        <w:rPr>
          <w:rFonts w:hint="eastAsia" w:ascii="宋体" w:hAnsi="宋体" w:eastAsia="宋体" w:cs="宋体"/>
          <w:b/>
          <w:bCs/>
          <w:color w:val="auto"/>
          <w:sz w:val="24"/>
          <w:highlight w:val="none"/>
          <w:cs/>
          <w:lang w:val="zh-CN"/>
        </w:rPr>
        <w:t>约</w:t>
      </w:r>
      <w:r>
        <w:rPr>
          <w:rFonts w:hint="eastAsia" w:ascii="宋体" w:hAnsi="宋体" w:eastAsia="宋体" w:cs="宋体"/>
          <w:b/>
          <w:bCs/>
          <w:color w:val="auto"/>
          <w:sz w:val="24"/>
          <w:highlight w:val="none"/>
          <w:lang w:val="zh-CN"/>
        </w:rPr>
        <w:t>定事</w:t>
      </w:r>
      <w:r>
        <w:rPr>
          <w:rFonts w:hint="eastAsia" w:ascii="宋体" w:hAnsi="宋体" w:eastAsia="宋体" w:cs="宋体"/>
          <w:b/>
          <w:bCs/>
          <w:color w:val="auto"/>
          <w:sz w:val="24"/>
          <w:highlight w:val="none"/>
          <w:cs/>
          <w:lang w:val="zh-CN"/>
        </w:rPr>
        <w:t>项</w:t>
      </w:r>
    </w:p>
    <w:p w14:paraId="7D1C9AEA">
      <w:pPr>
        <w:autoSpaceDE w:val="0"/>
        <w:autoSpaceDN w:val="0"/>
        <w:spacing w:line="324"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w:t>
      </w:r>
      <w:r>
        <w:rPr>
          <w:rFonts w:hint="eastAsia" w:ascii="宋体" w:hAnsi="宋体" w:cs="宋体"/>
          <w:color w:val="auto"/>
          <w:sz w:val="24"/>
          <w:highlight w:val="none"/>
          <w:lang w:eastAsia="zh-CN"/>
        </w:rPr>
        <w:t>六</w:t>
      </w:r>
      <w:r>
        <w:rPr>
          <w:rFonts w:hint="eastAsia" w:ascii="宋体" w:hAnsi="宋体" w:eastAsia="宋体" w:cs="宋体"/>
          <w:color w:val="auto"/>
          <w:sz w:val="24"/>
          <w:highlight w:val="none"/>
        </w:rPr>
        <w:t>份，甲双方各执</w:t>
      </w:r>
      <w:r>
        <w:rPr>
          <w:rFonts w:hint="eastAsia" w:ascii="宋体" w:hAnsi="宋体" w:cs="宋体"/>
          <w:color w:val="auto"/>
          <w:sz w:val="24"/>
          <w:highlight w:val="none"/>
          <w:lang w:eastAsia="zh-CN"/>
        </w:rPr>
        <w:t>三</w:t>
      </w:r>
      <w:r>
        <w:rPr>
          <w:rFonts w:hint="eastAsia" w:ascii="宋体" w:hAnsi="宋体" w:eastAsia="宋体" w:cs="宋体"/>
          <w:color w:val="auto"/>
          <w:sz w:val="24"/>
          <w:highlight w:val="none"/>
        </w:rPr>
        <w:t>份。</w:t>
      </w:r>
    </w:p>
    <w:p w14:paraId="32C9EA79">
      <w:pPr>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4919C24">
      <w:pPr>
        <w:autoSpaceDE w:val="0"/>
        <w:autoSpaceDN w:val="0"/>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甲方：（盖章）                  乙方：（盖章）</w:t>
      </w:r>
    </w:p>
    <w:p w14:paraId="092AEBEB">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                   法定代表人：</w:t>
      </w:r>
    </w:p>
    <w:p w14:paraId="310A778D">
      <w:pPr>
        <w:pStyle w:val="33"/>
        <w:snapToGrid w:val="0"/>
        <w:spacing w:line="4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或受委托人（签字）：            或受委托人（签字）：</w:t>
      </w:r>
    </w:p>
    <w:p w14:paraId="01F8197F">
      <w:pPr>
        <w:pStyle w:val="33"/>
        <w:snapToGrid w:val="0"/>
        <w:spacing w:line="4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联系人（签字）：                联系人（签字）：</w:t>
      </w:r>
    </w:p>
    <w:p w14:paraId="08C5FAC2">
      <w:pPr>
        <w:pStyle w:val="33"/>
        <w:snapToGrid w:val="0"/>
        <w:spacing w:line="4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                         地址：</w:t>
      </w:r>
    </w:p>
    <w:p w14:paraId="1A4DD375">
      <w:pPr>
        <w:pStyle w:val="33"/>
        <w:snapToGrid w:val="0"/>
        <w:spacing w:line="4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邮编：                         邮编：</w:t>
      </w:r>
    </w:p>
    <w:p w14:paraId="50E95234">
      <w:pPr>
        <w:pStyle w:val="33"/>
        <w:snapToGrid w:val="0"/>
        <w:spacing w:line="4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                         电话：</w:t>
      </w:r>
    </w:p>
    <w:p w14:paraId="38BC0961">
      <w:pPr>
        <w:pStyle w:val="33"/>
        <w:snapToGrid w:val="0"/>
        <w:spacing w:line="4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                         传真：</w:t>
      </w:r>
    </w:p>
    <w:p w14:paraId="45FD0DD7">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                     开户银行：</w:t>
      </w:r>
    </w:p>
    <w:p w14:paraId="41BB1364">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帐号：                         帐号：</w:t>
      </w:r>
    </w:p>
    <w:p w14:paraId="70B7F92C">
      <w:pPr>
        <w:spacing w:line="400" w:lineRule="exact"/>
        <w:rPr>
          <w:rFonts w:hint="eastAsia" w:ascii="宋体" w:hAnsi="宋体" w:eastAsia="宋体" w:cs="宋体"/>
          <w:color w:val="auto"/>
          <w:sz w:val="24"/>
          <w:highlight w:val="none"/>
        </w:rPr>
      </w:pPr>
    </w:p>
    <w:p w14:paraId="5377FDB7">
      <w:pPr>
        <w:spacing w:line="400" w:lineRule="exact"/>
        <w:ind w:firstLine="480" w:firstLineChars="200"/>
        <w:jc w:val="left"/>
        <w:rPr>
          <w:rFonts w:hint="eastAsia" w:ascii="宋体" w:hAnsi="宋体" w:eastAsia="宋体" w:cs="宋体"/>
          <w:color w:val="auto"/>
          <w:sz w:val="24"/>
          <w:highlight w:val="none"/>
        </w:rPr>
      </w:pPr>
    </w:p>
    <w:p w14:paraId="50D94F64">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签约时间：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日     </w:t>
      </w:r>
    </w:p>
    <w:p w14:paraId="0659BC09">
      <w:pPr>
        <w:autoSpaceDE w:val="0"/>
        <w:autoSpaceDN w:val="0"/>
        <w:spacing w:line="400" w:lineRule="exact"/>
        <w:ind w:firstLine="3840" w:firstLineChars="1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签约地点：</w:t>
      </w:r>
      <w:r>
        <w:rPr>
          <w:rFonts w:hint="eastAsia" w:ascii="宋体" w:hAnsi="宋体" w:eastAsia="宋体" w:cs="宋体"/>
          <w:color w:val="auto"/>
          <w:sz w:val="24"/>
          <w:highlight w:val="none"/>
          <w:u w:val="single"/>
        </w:rPr>
        <w:t xml:space="preserve">                  </w:t>
      </w:r>
    </w:p>
    <w:p w14:paraId="5E7ADD76">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34FC9BAA">
      <w:pPr>
        <w:pStyle w:val="3"/>
        <w:rPr>
          <w:rFonts w:hint="eastAsia"/>
          <w:color w:val="auto"/>
          <w:highlight w:val="none"/>
        </w:rPr>
      </w:pPr>
    </w:p>
    <w:p w14:paraId="7D1132A9">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0"/>
      <w:r>
        <w:rPr>
          <w:rFonts w:hint="eastAsia" w:ascii="宋体" w:hAnsi="宋体" w:cs="宋体"/>
          <w:b/>
          <w:color w:val="auto"/>
          <w:sz w:val="36"/>
          <w:szCs w:val="20"/>
          <w:highlight w:val="none"/>
        </w:rPr>
        <w:t xml:space="preserve"> </w:t>
      </w:r>
      <w:bookmarkEnd w:id="381"/>
      <w:r>
        <w:rPr>
          <w:rFonts w:hint="eastAsia" w:ascii="宋体" w:hAnsi="宋体" w:cs="宋体"/>
          <w:b/>
          <w:color w:val="auto"/>
          <w:sz w:val="36"/>
          <w:szCs w:val="20"/>
          <w:highlight w:val="none"/>
        </w:rPr>
        <w:t>应提交的有关格式范例</w:t>
      </w:r>
    </w:p>
    <w:p w14:paraId="282C8987">
      <w:pPr>
        <w:spacing w:line="360" w:lineRule="auto"/>
        <w:jc w:val="center"/>
        <w:outlineLvl w:val="0"/>
        <w:rPr>
          <w:rFonts w:ascii="宋体" w:hAnsi="宋体" w:cs="宋体"/>
          <w:b/>
          <w:color w:val="auto"/>
          <w:kern w:val="0"/>
          <w:sz w:val="36"/>
          <w:szCs w:val="36"/>
          <w:highlight w:val="none"/>
        </w:rPr>
      </w:pPr>
    </w:p>
    <w:p w14:paraId="2319E37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8475D8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BA4EAA5">
      <w:pPr>
        <w:spacing w:line="360" w:lineRule="auto"/>
        <w:jc w:val="center"/>
        <w:outlineLvl w:val="0"/>
        <w:rPr>
          <w:rFonts w:ascii="宋体" w:hAnsi="宋体" w:cs="宋体"/>
          <w:b/>
          <w:color w:val="auto"/>
          <w:kern w:val="0"/>
          <w:sz w:val="36"/>
          <w:szCs w:val="36"/>
          <w:highlight w:val="none"/>
        </w:rPr>
      </w:pPr>
    </w:p>
    <w:p w14:paraId="1955C1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14:paraId="5E7E14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（2）本项目的特定资格要求………………………………………………（页码）</w:t>
      </w:r>
    </w:p>
    <w:p w14:paraId="78207C6A">
      <w:pPr>
        <w:snapToGrid w:val="0"/>
        <w:spacing w:line="360" w:lineRule="auto"/>
        <w:ind w:firstLine="480" w:firstLineChars="200"/>
        <w:rPr>
          <w:rFonts w:ascii="宋体" w:hAnsi="宋体" w:cs="宋体"/>
          <w:color w:val="auto"/>
          <w:sz w:val="24"/>
          <w:highlight w:val="none"/>
        </w:rPr>
      </w:pPr>
    </w:p>
    <w:p w14:paraId="3E41DEA0">
      <w:pPr>
        <w:spacing w:line="360" w:lineRule="auto"/>
        <w:ind w:firstLine="480" w:firstLineChars="200"/>
        <w:rPr>
          <w:rFonts w:ascii="宋体" w:hAnsi="宋体" w:cs="宋体"/>
          <w:color w:val="auto"/>
          <w:sz w:val="24"/>
          <w:highlight w:val="none"/>
        </w:rPr>
      </w:pPr>
    </w:p>
    <w:p w14:paraId="312AC28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w:t>
      </w:r>
    </w:p>
    <w:p w14:paraId="3CDA480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一、 符合参加采购活动应当具备的一般条件的承诺函</w:t>
      </w:r>
    </w:p>
    <w:p w14:paraId="0AA5413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）、（采购代理机构）：</w:t>
      </w:r>
    </w:p>
    <w:p w14:paraId="700B65F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我方参与（项目名称）【招标编号：（采购编号）】采购活动，郑重承诺：</w:t>
      </w:r>
    </w:p>
    <w:p w14:paraId="1AA4C395">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B5F3B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83BF5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6CD44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19049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CE3A2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14:paraId="797254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B8D4D0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（二）未被信用中国（www.creditchina.gov.cn)、中国政府采购网（www.ccgp.gov.cn）列入失信被执行人、重大税收违法案件当事人名单、采购严重违法失信行为记录名单。</w:t>
      </w:r>
    </w:p>
    <w:p w14:paraId="5C8DFD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300BC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w:t>
      </w:r>
      <w:r>
        <w:rPr>
          <w:rFonts w:hint="eastAsia" w:ascii="宋体" w:hAnsi="宋体" w:cs="宋体"/>
          <w:color w:val="auto"/>
          <w:sz w:val="24"/>
          <w:highlight w:val="none"/>
          <w:lang w:eastAsia="zh-CN"/>
        </w:rPr>
        <w:t>响应人</w:t>
      </w:r>
      <w:r>
        <w:rPr>
          <w:rFonts w:hint="eastAsia" w:ascii="宋体" w:hAnsi="宋体" w:cs="宋体"/>
          <w:color w:val="auto"/>
          <w:sz w:val="24"/>
          <w:highlight w:val="none"/>
        </w:rPr>
        <w:t>参加同一合同项下的采购活动的；</w:t>
      </w:r>
    </w:p>
    <w:p w14:paraId="14D0C9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92AD51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响应人名称(电子签名)：</w:t>
      </w:r>
    </w:p>
    <w:p w14:paraId="461C386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D30E586">
      <w:pPr>
        <w:snapToGrid w:val="0"/>
        <w:spacing w:line="360" w:lineRule="auto"/>
        <w:ind w:right="480"/>
        <w:jc w:val="center"/>
        <w:rPr>
          <w:rFonts w:ascii="宋体" w:hAnsi="宋体" w:cs="宋体"/>
          <w:b/>
          <w:color w:val="auto"/>
          <w:kern w:val="0"/>
          <w:sz w:val="32"/>
          <w:szCs w:val="32"/>
          <w:highlight w:val="none"/>
        </w:rPr>
      </w:pPr>
    </w:p>
    <w:p w14:paraId="732E2687">
      <w:pPr>
        <w:snapToGrid w:val="0"/>
        <w:spacing w:line="360" w:lineRule="auto"/>
        <w:ind w:right="480"/>
        <w:jc w:val="center"/>
        <w:rPr>
          <w:rFonts w:ascii="宋体" w:hAnsi="宋体" w:cs="宋体"/>
          <w:b/>
          <w:color w:val="auto"/>
          <w:kern w:val="0"/>
          <w:sz w:val="32"/>
          <w:szCs w:val="32"/>
          <w:highlight w:val="none"/>
        </w:rPr>
      </w:pPr>
    </w:p>
    <w:p w14:paraId="3F1053AF">
      <w:pPr>
        <w:snapToGrid w:val="0"/>
        <w:spacing w:line="360" w:lineRule="auto"/>
        <w:ind w:right="480"/>
        <w:jc w:val="center"/>
        <w:rPr>
          <w:rFonts w:ascii="宋体" w:hAnsi="宋体" w:cs="宋体"/>
          <w:b/>
          <w:color w:val="auto"/>
          <w:kern w:val="0"/>
          <w:sz w:val="32"/>
          <w:szCs w:val="32"/>
          <w:highlight w:val="none"/>
        </w:rPr>
      </w:pPr>
    </w:p>
    <w:p w14:paraId="57D1C9D4">
      <w:pPr>
        <w:rPr>
          <w:rFonts w:ascii="宋体" w:hAnsi="宋体" w:cs="宋体"/>
          <w:color w:val="auto"/>
          <w:highlight w:val="none"/>
        </w:rPr>
      </w:pPr>
    </w:p>
    <w:p w14:paraId="413D6716">
      <w:pPr>
        <w:snapToGrid w:val="0"/>
        <w:spacing w:line="360" w:lineRule="auto"/>
        <w:ind w:right="480"/>
        <w:jc w:val="center"/>
        <w:rPr>
          <w:rFonts w:ascii="宋体" w:hAnsi="宋体" w:cs="宋体"/>
          <w:b/>
          <w:color w:val="auto"/>
          <w:kern w:val="0"/>
          <w:sz w:val="32"/>
          <w:szCs w:val="32"/>
          <w:highlight w:val="none"/>
        </w:rPr>
      </w:pPr>
    </w:p>
    <w:p w14:paraId="2421FF75">
      <w:pPr>
        <w:snapToGrid w:val="0"/>
        <w:spacing w:line="360" w:lineRule="auto"/>
        <w:ind w:right="480"/>
        <w:jc w:val="center"/>
        <w:rPr>
          <w:rFonts w:ascii="宋体" w:hAnsi="宋体" w:cs="宋体"/>
          <w:b/>
          <w:color w:val="auto"/>
          <w:kern w:val="0"/>
          <w:sz w:val="32"/>
          <w:szCs w:val="32"/>
          <w:highlight w:val="none"/>
        </w:rPr>
      </w:pPr>
    </w:p>
    <w:p w14:paraId="59C57FC7">
      <w:pPr>
        <w:widowControl/>
        <w:spacing w:line="360" w:lineRule="auto"/>
        <w:jc w:val="both"/>
        <w:rPr>
          <w:rFonts w:hint="eastAsia" w:ascii="宋体" w:hAnsi="宋体" w:cs="宋体"/>
          <w:b/>
          <w:color w:val="auto"/>
          <w:kern w:val="0"/>
          <w:sz w:val="32"/>
          <w:szCs w:val="32"/>
          <w:highlight w:val="none"/>
        </w:rPr>
      </w:pPr>
    </w:p>
    <w:p w14:paraId="260D3286">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14:paraId="724D544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（根据交易公告本项目的特定资格要求提供相应的材料；未要求的，无需提供）</w:t>
      </w:r>
    </w:p>
    <w:p w14:paraId="63077680">
      <w:pPr>
        <w:rPr>
          <w:rFonts w:ascii="宋体" w:hAnsi="宋体" w:cs="宋体"/>
          <w:color w:val="auto"/>
          <w:highlight w:val="none"/>
        </w:rPr>
      </w:pPr>
    </w:p>
    <w:p w14:paraId="7F3D2821">
      <w:pPr>
        <w:snapToGrid w:val="0"/>
        <w:spacing w:line="360" w:lineRule="auto"/>
        <w:ind w:right="480"/>
        <w:jc w:val="center"/>
        <w:rPr>
          <w:rFonts w:ascii="宋体" w:hAnsi="宋体" w:cs="宋体"/>
          <w:b/>
          <w:color w:val="auto"/>
          <w:kern w:val="0"/>
          <w:sz w:val="32"/>
          <w:szCs w:val="32"/>
          <w:highlight w:val="none"/>
        </w:rPr>
      </w:pPr>
    </w:p>
    <w:p w14:paraId="42FDE79F">
      <w:pPr>
        <w:snapToGrid w:val="0"/>
        <w:spacing w:line="360" w:lineRule="auto"/>
        <w:ind w:right="480"/>
        <w:jc w:val="center"/>
        <w:rPr>
          <w:rFonts w:ascii="宋体" w:hAnsi="宋体" w:cs="宋体"/>
          <w:b/>
          <w:color w:val="auto"/>
          <w:kern w:val="0"/>
          <w:sz w:val="32"/>
          <w:szCs w:val="32"/>
          <w:highlight w:val="none"/>
        </w:rPr>
      </w:pPr>
    </w:p>
    <w:p w14:paraId="50CE4B4F">
      <w:pPr>
        <w:snapToGrid w:val="0"/>
        <w:spacing w:line="360" w:lineRule="auto"/>
        <w:ind w:right="480"/>
        <w:jc w:val="center"/>
        <w:rPr>
          <w:rFonts w:ascii="宋体" w:hAnsi="宋体" w:cs="宋体"/>
          <w:b/>
          <w:color w:val="auto"/>
          <w:kern w:val="0"/>
          <w:sz w:val="32"/>
          <w:szCs w:val="32"/>
          <w:highlight w:val="none"/>
        </w:rPr>
      </w:pPr>
    </w:p>
    <w:p w14:paraId="08CC3392">
      <w:pPr>
        <w:snapToGrid w:val="0"/>
        <w:spacing w:line="360" w:lineRule="auto"/>
        <w:ind w:right="480"/>
        <w:jc w:val="center"/>
        <w:rPr>
          <w:rFonts w:ascii="宋体" w:hAnsi="宋体" w:cs="宋体"/>
          <w:b/>
          <w:color w:val="auto"/>
          <w:kern w:val="0"/>
          <w:sz w:val="32"/>
          <w:szCs w:val="32"/>
          <w:highlight w:val="none"/>
        </w:rPr>
      </w:pPr>
    </w:p>
    <w:p w14:paraId="0743B654">
      <w:pPr>
        <w:snapToGrid w:val="0"/>
        <w:spacing w:line="360" w:lineRule="auto"/>
        <w:ind w:right="480"/>
        <w:jc w:val="center"/>
        <w:rPr>
          <w:rFonts w:ascii="宋体" w:hAnsi="宋体" w:cs="宋体"/>
          <w:b/>
          <w:color w:val="auto"/>
          <w:kern w:val="0"/>
          <w:sz w:val="32"/>
          <w:szCs w:val="32"/>
          <w:highlight w:val="none"/>
        </w:rPr>
      </w:pPr>
    </w:p>
    <w:p w14:paraId="4377B9F4">
      <w:pPr>
        <w:snapToGrid w:val="0"/>
        <w:spacing w:line="360" w:lineRule="auto"/>
        <w:ind w:right="480"/>
        <w:jc w:val="center"/>
        <w:rPr>
          <w:rFonts w:ascii="宋体" w:hAnsi="宋体" w:cs="宋体"/>
          <w:b/>
          <w:color w:val="auto"/>
          <w:kern w:val="0"/>
          <w:sz w:val="32"/>
          <w:szCs w:val="32"/>
          <w:highlight w:val="none"/>
        </w:rPr>
      </w:pPr>
    </w:p>
    <w:p w14:paraId="6DD92860">
      <w:pPr>
        <w:spacing w:line="360" w:lineRule="auto"/>
        <w:jc w:val="center"/>
        <w:outlineLvl w:val="0"/>
        <w:rPr>
          <w:rFonts w:ascii="宋体" w:hAnsi="宋体" w:cs="宋体"/>
          <w:b/>
          <w:color w:val="auto"/>
          <w:kern w:val="0"/>
          <w:sz w:val="36"/>
          <w:szCs w:val="36"/>
          <w:highlight w:val="none"/>
        </w:rPr>
      </w:pPr>
    </w:p>
    <w:p w14:paraId="0DB01250">
      <w:pPr>
        <w:snapToGrid w:val="0"/>
        <w:spacing w:line="360" w:lineRule="auto"/>
        <w:ind w:right="480"/>
        <w:jc w:val="center"/>
        <w:rPr>
          <w:rFonts w:ascii="宋体" w:hAnsi="宋体" w:cs="宋体"/>
          <w:b/>
          <w:color w:val="auto"/>
          <w:kern w:val="0"/>
          <w:sz w:val="32"/>
          <w:szCs w:val="32"/>
          <w:highlight w:val="none"/>
        </w:rPr>
      </w:pPr>
    </w:p>
    <w:p w14:paraId="7624042E">
      <w:pPr>
        <w:spacing w:line="360" w:lineRule="auto"/>
        <w:jc w:val="center"/>
        <w:outlineLvl w:val="0"/>
        <w:rPr>
          <w:rFonts w:ascii="宋体" w:hAnsi="宋体" w:cs="宋体"/>
          <w:b/>
          <w:color w:val="auto"/>
          <w:kern w:val="0"/>
          <w:sz w:val="36"/>
          <w:szCs w:val="36"/>
          <w:highlight w:val="none"/>
        </w:rPr>
      </w:pPr>
    </w:p>
    <w:p w14:paraId="66719702">
      <w:pPr>
        <w:spacing w:line="360" w:lineRule="auto"/>
        <w:ind w:right="420" w:firstLine="3614" w:firstLineChars="1000"/>
        <w:rPr>
          <w:rFonts w:ascii="宋体" w:hAnsi="宋体" w:cs="宋体"/>
          <w:b/>
          <w:color w:val="auto"/>
          <w:kern w:val="0"/>
          <w:sz w:val="36"/>
          <w:szCs w:val="36"/>
          <w:highlight w:val="none"/>
        </w:rPr>
      </w:pPr>
    </w:p>
    <w:p w14:paraId="6ECEEF33">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12EEB9">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A77E883">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2F4415E">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（1）投标函………………………………………………………………………（页码）（2）授权委托书或法定代表人（单位负责人、自然人本人）身份证明……（页码）</w:t>
      </w:r>
    </w:p>
    <w:p w14:paraId="5D05CD99">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（3）联合协议……………………………………………………………………（页码）</w:t>
      </w:r>
    </w:p>
    <w:p w14:paraId="6518C32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（4）分包意向协议………………………………………………………………（页码）</w:t>
      </w:r>
    </w:p>
    <w:p w14:paraId="425181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（5）符合性审查资料……………………………………………………………（页码）</w:t>
      </w:r>
    </w:p>
    <w:p w14:paraId="3680A3BD">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6）评标标准相应的商务技术资料……………………………………………（页码）（7）投标标的清单………………………………………………………………（页码）（8）商务技术偏离表……………………………………………………………（页码）</w:t>
      </w:r>
    </w:p>
    <w:p w14:paraId="0281CB00">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）采购响应人廉洁自律承诺书</w:t>
      </w:r>
      <w:r>
        <w:rPr>
          <w:rFonts w:hint="eastAsia" w:ascii="宋体" w:hAnsi="宋体" w:cs="宋体"/>
          <w:color w:val="auto"/>
          <w:sz w:val="24"/>
          <w:highlight w:val="none"/>
        </w:rPr>
        <w:t>……………………………………………（页码）</w:t>
      </w:r>
    </w:p>
    <w:p w14:paraId="365F5C35">
      <w:pPr>
        <w:snapToGrid w:val="0"/>
        <w:spacing w:line="360" w:lineRule="auto"/>
        <w:jc w:val="center"/>
        <w:rPr>
          <w:rFonts w:ascii="宋体" w:hAnsi="宋体" w:cs="宋体"/>
          <w:b/>
          <w:color w:val="auto"/>
          <w:kern w:val="0"/>
          <w:sz w:val="32"/>
          <w:szCs w:val="32"/>
          <w:highlight w:val="none"/>
          <w:lang w:val="zh-CN"/>
        </w:rPr>
      </w:pPr>
    </w:p>
    <w:p w14:paraId="43DCC0B0">
      <w:pPr>
        <w:snapToGrid w:val="0"/>
        <w:spacing w:line="360" w:lineRule="auto"/>
        <w:jc w:val="center"/>
        <w:rPr>
          <w:rFonts w:ascii="宋体" w:hAnsi="宋体" w:cs="宋体"/>
          <w:b/>
          <w:color w:val="auto"/>
          <w:kern w:val="0"/>
          <w:sz w:val="32"/>
          <w:szCs w:val="32"/>
          <w:highlight w:val="none"/>
          <w:lang w:val="zh-CN"/>
        </w:rPr>
      </w:pPr>
    </w:p>
    <w:p w14:paraId="02BB9DB2">
      <w:pPr>
        <w:snapToGrid w:val="0"/>
        <w:spacing w:line="360" w:lineRule="auto"/>
        <w:jc w:val="center"/>
        <w:rPr>
          <w:rFonts w:ascii="宋体" w:hAnsi="宋体" w:cs="宋体"/>
          <w:b/>
          <w:color w:val="auto"/>
          <w:kern w:val="0"/>
          <w:sz w:val="32"/>
          <w:szCs w:val="32"/>
          <w:highlight w:val="none"/>
          <w:lang w:val="zh-CN"/>
        </w:rPr>
      </w:pPr>
    </w:p>
    <w:p w14:paraId="460C825E">
      <w:pPr>
        <w:snapToGrid w:val="0"/>
        <w:spacing w:line="360" w:lineRule="auto"/>
        <w:jc w:val="center"/>
        <w:rPr>
          <w:rFonts w:ascii="宋体" w:hAnsi="宋体" w:cs="宋体"/>
          <w:b/>
          <w:color w:val="auto"/>
          <w:kern w:val="0"/>
          <w:sz w:val="32"/>
          <w:szCs w:val="32"/>
          <w:highlight w:val="none"/>
          <w:lang w:val="zh-CN"/>
        </w:rPr>
      </w:pPr>
    </w:p>
    <w:p w14:paraId="621CB4F7">
      <w:pPr>
        <w:snapToGrid w:val="0"/>
        <w:spacing w:line="360" w:lineRule="auto"/>
        <w:jc w:val="center"/>
        <w:rPr>
          <w:rFonts w:ascii="宋体" w:hAnsi="宋体" w:cs="宋体"/>
          <w:b/>
          <w:color w:val="auto"/>
          <w:kern w:val="0"/>
          <w:sz w:val="32"/>
          <w:szCs w:val="32"/>
          <w:highlight w:val="none"/>
          <w:lang w:val="zh-CN"/>
        </w:rPr>
      </w:pPr>
    </w:p>
    <w:p w14:paraId="6D547619">
      <w:pPr>
        <w:snapToGrid w:val="0"/>
        <w:spacing w:line="360" w:lineRule="auto"/>
        <w:jc w:val="center"/>
        <w:outlineLvl w:val="0"/>
        <w:rPr>
          <w:rFonts w:ascii="宋体" w:hAnsi="宋体" w:cs="宋体"/>
          <w:b/>
          <w:color w:val="auto"/>
          <w:kern w:val="0"/>
          <w:sz w:val="32"/>
          <w:szCs w:val="32"/>
          <w:highlight w:val="none"/>
        </w:rPr>
      </w:pPr>
    </w:p>
    <w:p w14:paraId="5B32A84E">
      <w:pPr>
        <w:snapToGrid w:val="0"/>
        <w:spacing w:line="360" w:lineRule="auto"/>
        <w:jc w:val="center"/>
        <w:outlineLvl w:val="0"/>
        <w:rPr>
          <w:rFonts w:ascii="宋体" w:hAnsi="宋体" w:cs="宋体"/>
          <w:b/>
          <w:color w:val="auto"/>
          <w:kern w:val="0"/>
          <w:sz w:val="32"/>
          <w:szCs w:val="32"/>
          <w:highlight w:val="none"/>
        </w:rPr>
      </w:pPr>
    </w:p>
    <w:p w14:paraId="492DD4BB">
      <w:pPr>
        <w:rPr>
          <w:rFonts w:ascii="宋体" w:hAnsi="宋体" w:cs="宋体"/>
          <w:color w:val="auto"/>
          <w:highlight w:val="none"/>
        </w:rPr>
      </w:pPr>
    </w:p>
    <w:p w14:paraId="155E4B6B">
      <w:pPr>
        <w:snapToGrid w:val="0"/>
        <w:spacing w:line="360" w:lineRule="auto"/>
        <w:jc w:val="center"/>
        <w:outlineLvl w:val="0"/>
        <w:rPr>
          <w:rFonts w:ascii="宋体" w:hAnsi="宋体" w:cs="宋体"/>
          <w:b/>
          <w:color w:val="auto"/>
          <w:kern w:val="0"/>
          <w:sz w:val="32"/>
          <w:szCs w:val="32"/>
          <w:highlight w:val="none"/>
        </w:rPr>
      </w:pPr>
    </w:p>
    <w:p w14:paraId="6985F252">
      <w:pPr>
        <w:snapToGrid w:val="0"/>
        <w:spacing w:line="360" w:lineRule="auto"/>
        <w:jc w:val="center"/>
        <w:outlineLvl w:val="0"/>
        <w:rPr>
          <w:rFonts w:ascii="宋体" w:hAnsi="宋体" w:cs="宋体"/>
          <w:b/>
          <w:color w:val="auto"/>
          <w:kern w:val="0"/>
          <w:sz w:val="32"/>
          <w:szCs w:val="32"/>
          <w:highlight w:val="none"/>
        </w:rPr>
      </w:pPr>
    </w:p>
    <w:p w14:paraId="2B63E073">
      <w:pPr>
        <w:snapToGrid w:val="0"/>
        <w:spacing w:line="360" w:lineRule="auto"/>
        <w:jc w:val="center"/>
        <w:outlineLvl w:val="0"/>
        <w:rPr>
          <w:rFonts w:ascii="宋体" w:hAnsi="宋体" w:cs="宋体"/>
          <w:b/>
          <w:color w:val="auto"/>
          <w:kern w:val="0"/>
          <w:sz w:val="32"/>
          <w:szCs w:val="32"/>
          <w:highlight w:val="none"/>
        </w:rPr>
      </w:pPr>
    </w:p>
    <w:p w14:paraId="42E464CA">
      <w:pPr>
        <w:snapToGrid w:val="0"/>
        <w:spacing w:line="360" w:lineRule="auto"/>
        <w:jc w:val="center"/>
        <w:outlineLvl w:val="0"/>
        <w:rPr>
          <w:rFonts w:ascii="宋体" w:hAnsi="宋体" w:cs="宋体"/>
          <w:b/>
          <w:color w:val="auto"/>
          <w:kern w:val="0"/>
          <w:sz w:val="32"/>
          <w:szCs w:val="32"/>
          <w:highlight w:val="none"/>
        </w:rPr>
      </w:pPr>
    </w:p>
    <w:p w14:paraId="550E7D50">
      <w:pPr>
        <w:snapToGrid w:val="0"/>
        <w:spacing w:line="360" w:lineRule="auto"/>
        <w:jc w:val="center"/>
        <w:outlineLvl w:val="0"/>
        <w:rPr>
          <w:rFonts w:ascii="宋体" w:hAnsi="宋体" w:cs="宋体"/>
          <w:b/>
          <w:color w:val="auto"/>
          <w:kern w:val="0"/>
          <w:sz w:val="32"/>
          <w:szCs w:val="32"/>
          <w:highlight w:val="none"/>
        </w:rPr>
      </w:pPr>
    </w:p>
    <w:p w14:paraId="7F9B15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cs="宋体"/>
          <w:b/>
          <w:color w:val="auto"/>
          <w:kern w:val="0"/>
          <w:sz w:val="32"/>
          <w:szCs w:val="32"/>
          <w:highlight w:val="none"/>
        </w:rPr>
      </w:pPr>
    </w:p>
    <w:p w14:paraId="1263F608">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F21689A">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）、（采购代理机构）：</w:t>
      </w:r>
    </w:p>
    <w:p w14:paraId="4FAAB5B2">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09E18227">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在投标有效期满之前均具有约束力。</w:t>
      </w:r>
    </w:p>
    <w:p w14:paraId="0210938C">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包括以下内容：</w:t>
      </w:r>
    </w:p>
    <w:p w14:paraId="7003522B">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1C6ED74">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B4620F8">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2.1.2本项目的特定资格要求（如果有）。</w:t>
      </w:r>
    </w:p>
    <w:p w14:paraId="4BAAF801">
      <w:pPr>
        <w:snapToGrid w:val="0"/>
        <w:spacing w:line="400" w:lineRule="exact"/>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70C32E1">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42DC4EA">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B466737">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2.2.3联合协议（如果有）；</w:t>
      </w:r>
    </w:p>
    <w:p w14:paraId="617B62E6">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2.2.4分包意向协议（如果有）；</w:t>
      </w:r>
    </w:p>
    <w:p w14:paraId="1B5F754D">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2.2.5符合性审查资料；</w:t>
      </w:r>
    </w:p>
    <w:p w14:paraId="3E7D86B5">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2.2.6评标标准相应的商务技术资料；</w:t>
      </w:r>
    </w:p>
    <w:p w14:paraId="253E1991">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2.2.7投标标的清单；</w:t>
      </w:r>
    </w:p>
    <w:p w14:paraId="44521C6A">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2.2.8商务技术偏离表；</w:t>
      </w:r>
    </w:p>
    <w:p w14:paraId="47B2A850">
      <w:pPr>
        <w:snapToGrid w:val="0"/>
        <w:spacing w:line="400" w:lineRule="exact"/>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采购响应人廉洁自律承诺书；</w:t>
      </w:r>
    </w:p>
    <w:p w14:paraId="7B84CE07">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16EF4EC">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ABF5477">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3、我方承诺除商务技术偏离表列出的偏离外，我方响应交易文件的全部要求。</w:t>
      </w:r>
    </w:p>
    <w:p w14:paraId="74AA9955">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3348C1FB">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4.1在收到</w:t>
      </w:r>
      <w:r>
        <w:rPr>
          <w:rFonts w:hint="eastAsia" w:ascii="宋体" w:hAnsi="宋体" w:cs="宋体"/>
          <w:color w:val="auto"/>
          <w:sz w:val="24"/>
          <w:highlight w:val="none"/>
          <w:lang w:eastAsia="zh-CN"/>
        </w:rPr>
        <w:t>中标（成交）通知书</w:t>
      </w:r>
      <w:r>
        <w:rPr>
          <w:rFonts w:hint="eastAsia" w:ascii="宋体" w:hAnsi="宋体" w:cs="宋体"/>
          <w:color w:val="auto"/>
          <w:sz w:val="24"/>
          <w:highlight w:val="none"/>
        </w:rPr>
        <w:t>后，在</w:t>
      </w:r>
      <w:r>
        <w:rPr>
          <w:rFonts w:hint="eastAsia" w:ascii="宋体" w:hAnsi="宋体" w:cs="宋体"/>
          <w:color w:val="auto"/>
          <w:sz w:val="24"/>
          <w:highlight w:val="none"/>
          <w:lang w:eastAsia="zh-CN"/>
        </w:rPr>
        <w:t>中标（成交）通知书</w:t>
      </w:r>
      <w:r>
        <w:rPr>
          <w:rFonts w:hint="eastAsia" w:ascii="宋体" w:hAnsi="宋体" w:cs="宋体"/>
          <w:color w:val="auto"/>
          <w:sz w:val="24"/>
          <w:highlight w:val="none"/>
        </w:rPr>
        <w:t xml:space="preserve">规定的期限内与你方签订合同； </w:t>
      </w:r>
    </w:p>
    <w:p w14:paraId="2340634A">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11E5DD4">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4.3按照交易文件要求提交履约保证金； </w:t>
      </w:r>
    </w:p>
    <w:p w14:paraId="64EEF240">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C40AC42">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07BD307">
      <w:pPr>
        <w:spacing w:line="40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响应人名称（电子签名）：                          </w:t>
      </w:r>
    </w:p>
    <w:p w14:paraId="4FD553E6">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93BB71">
      <w:pPr>
        <w:snapToGrid w:val="0"/>
        <w:spacing w:line="400" w:lineRule="exact"/>
        <w:ind w:left="420" w:leftChars="200" w:firstLine="4200" w:firstLineChars="1750"/>
        <w:rPr>
          <w:rFonts w:ascii="宋体" w:hAnsi="宋体" w:cs="宋体"/>
          <w:color w:val="auto"/>
          <w:kern w:val="0"/>
          <w:sz w:val="24"/>
          <w:highlight w:val="none"/>
          <w:u w:val="single"/>
        </w:rPr>
      </w:pPr>
    </w:p>
    <w:p w14:paraId="24409466">
      <w:pPr>
        <w:spacing w:line="400" w:lineRule="exact"/>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2285677">
      <w:pPr>
        <w:jc w:val="center"/>
        <w:rPr>
          <w:rFonts w:ascii="宋体" w:hAnsi="宋体" w:cs="宋体"/>
          <w:b/>
          <w:color w:val="auto"/>
          <w:kern w:val="0"/>
          <w:sz w:val="32"/>
          <w:szCs w:val="32"/>
          <w:highlight w:val="none"/>
        </w:rPr>
      </w:pPr>
    </w:p>
    <w:p w14:paraId="67605889">
      <w:pPr>
        <w:jc w:val="center"/>
        <w:rPr>
          <w:rFonts w:ascii="宋体" w:hAnsi="宋体" w:cs="宋体"/>
          <w:b/>
          <w:color w:val="auto"/>
          <w:kern w:val="0"/>
          <w:sz w:val="32"/>
          <w:szCs w:val="32"/>
          <w:highlight w:val="none"/>
        </w:rPr>
      </w:pPr>
    </w:p>
    <w:p w14:paraId="4703AEC0">
      <w:pPr>
        <w:widowControl/>
        <w:adjustRightInd/>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w:t>
      </w:r>
    </w:p>
    <w:p w14:paraId="60A64E06">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身份证明</w:t>
      </w:r>
    </w:p>
    <w:p w14:paraId="3CA97CA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F217757">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2D8F5A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5261937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采购投标的一切事项，其法律后果由我方承担。</w:t>
      </w:r>
    </w:p>
    <w:p w14:paraId="3D6BEC0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CD9B90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4AC91F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响应人名称(电子签名)：</w:t>
      </w:r>
    </w:p>
    <w:p w14:paraId="073AC6F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2D21088">
      <w:pPr>
        <w:snapToGrid w:val="0"/>
        <w:spacing w:line="360" w:lineRule="auto"/>
        <w:rPr>
          <w:rFonts w:ascii="宋体" w:hAnsi="宋体" w:cs="宋体"/>
          <w:color w:val="auto"/>
          <w:sz w:val="24"/>
          <w:highlight w:val="none"/>
        </w:rPr>
      </w:pPr>
    </w:p>
    <w:p w14:paraId="2E9A4FE0">
      <w:pPr>
        <w:snapToGrid w:val="0"/>
        <w:spacing w:line="360" w:lineRule="auto"/>
        <w:rPr>
          <w:rFonts w:ascii="宋体" w:hAnsi="宋体" w:cs="宋体"/>
          <w:color w:val="auto"/>
          <w:sz w:val="24"/>
          <w:highlight w:val="none"/>
        </w:rPr>
      </w:pPr>
    </w:p>
    <w:p w14:paraId="700231C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ED8670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0FF1F69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采购投标的一切事项，其法律后果由我方承担。</w:t>
      </w:r>
    </w:p>
    <w:p w14:paraId="1DF4D88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4DACC8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CEB33F7">
      <w:pPr>
        <w:jc w:val="center"/>
        <w:rPr>
          <w:rFonts w:ascii="宋体" w:hAnsi="宋体" w:cs="宋体"/>
          <w:b/>
          <w:color w:val="auto"/>
          <w:kern w:val="0"/>
          <w:sz w:val="32"/>
          <w:szCs w:val="32"/>
          <w:highlight w:val="none"/>
        </w:rPr>
      </w:pPr>
    </w:p>
    <w:p w14:paraId="3115DA7D">
      <w:pPr>
        <w:rPr>
          <w:rFonts w:ascii="宋体" w:hAnsi="宋体" w:cs="宋体"/>
          <w:color w:val="auto"/>
          <w:highlight w:val="none"/>
        </w:rPr>
      </w:pPr>
    </w:p>
    <w:p w14:paraId="09AFB93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EFA79F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D17813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750CB6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F3D87B9">
      <w:pPr>
        <w:autoSpaceDE w:val="0"/>
        <w:autoSpaceDN w:val="0"/>
        <w:spacing w:line="360" w:lineRule="auto"/>
        <w:jc w:val="center"/>
        <w:rPr>
          <w:rFonts w:ascii="宋体" w:hAnsi="宋体" w:cs="宋体"/>
          <w:b/>
          <w:color w:val="auto"/>
          <w:kern w:val="0"/>
          <w:sz w:val="32"/>
          <w:szCs w:val="32"/>
          <w:highlight w:val="none"/>
          <w:lang w:val="zh-CN"/>
        </w:rPr>
      </w:pPr>
    </w:p>
    <w:p w14:paraId="7DD5C66C">
      <w:pPr>
        <w:autoSpaceDE w:val="0"/>
        <w:autoSpaceDN w:val="0"/>
        <w:spacing w:line="360" w:lineRule="auto"/>
        <w:jc w:val="center"/>
        <w:rPr>
          <w:rFonts w:ascii="宋体" w:hAnsi="宋体" w:cs="宋体"/>
          <w:b/>
          <w:color w:val="auto"/>
          <w:kern w:val="0"/>
          <w:sz w:val="32"/>
          <w:szCs w:val="32"/>
          <w:highlight w:val="none"/>
          <w:lang w:val="zh-CN"/>
        </w:rPr>
      </w:pPr>
    </w:p>
    <w:p w14:paraId="3A388AB6">
      <w:pPr>
        <w:autoSpaceDE w:val="0"/>
        <w:autoSpaceDN w:val="0"/>
        <w:spacing w:line="360" w:lineRule="auto"/>
        <w:jc w:val="center"/>
        <w:rPr>
          <w:rFonts w:ascii="宋体" w:hAnsi="宋体" w:cs="宋体"/>
          <w:b/>
          <w:color w:val="auto"/>
          <w:kern w:val="0"/>
          <w:sz w:val="32"/>
          <w:szCs w:val="32"/>
          <w:highlight w:val="none"/>
          <w:lang w:val="zh-CN"/>
        </w:rPr>
      </w:pPr>
    </w:p>
    <w:p w14:paraId="5F039A23">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的身份证明（适用于法定代表人、单位负责人或者自然人本人代表响应人参加投标）</w:t>
      </w:r>
    </w:p>
    <w:p w14:paraId="4249857C">
      <w:pPr>
        <w:pStyle w:val="152"/>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E90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909198">
            <w:pPr>
              <w:pStyle w:val="152"/>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FF69D3F">
            <w:pPr>
              <w:pStyle w:val="152"/>
              <w:adjustRightInd w:val="0"/>
              <w:spacing w:line="360" w:lineRule="auto"/>
              <w:rPr>
                <w:rFonts w:hAnsi="宋体" w:cs="宋体"/>
                <w:bCs/>
                <w:color w:val="auto"/>
                <w:sz w:val="24"/>
                <w:highlight w:val="none"/>
              </w:rPr>
            </w:pPr>
          </w:p>
        </w:tc>
      </w:tr>
    </w:tbl>
    <w:p w14:paraId="6EFE2AB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B4765C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响应人名称(电子签名)：                              </w:t>
      </w:r>
    </w:p>
    <w:p w14:paraId="63F1AB7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8699F87">
      <w:pPr>
        <w:jc w:val="center"/>
        <w:rPr>
          <w:rFonts w:ascii="宋体" w:hAnsi="宋体" w:cs="宋体"/>
          <w:b/>
          <w:color w:val="auto"/>
          <w:kern w:val="0"/>
          <w:sz w:val="32"/>
          <w:szCs w:val="32"/>
          <w:highlight w:val="none"/>
        </w:rPr>
      </w:pPr>
    </w:p>
    <w:p w14:paraId="3557D011">
      <w:pPr>
        <w:jc w:val="center"/>
        <w:rPr>
          <w:rFonts w:ascii="宋体" w:hAnsi="宋体" w:cs="宋体"/>
          <w:b/>
          <w:color w:val="auto"/>
          <w:kern w:val="0"/>
          <w:sz w:val="32"/>
          <w:szCs w:val="32"/>
          <w:highlight w:val="none"/>
        </w:rPr>
      </w:pPr>
    </w:p>
    <w:p w14:paraId="3E8FD601">
      <w:pPr>
        <w:jc w:val="center"/>
        <w:rPr>
          <w:rFonts w:ascii="宋体" w:hAnsi="宋体" w:cs="宋体"/>
          <w:b/>
          <w:color w:val="auto"/>
          <w:kern w:val="0"/>
          <w:sz w:val="32"/>
          <w:szCs w:val="32"/>
          <w:highlight w:val="none"/>
        </w:rPr>
      </w:pPr>
    </w:p>
    <w:p w14:paraId="57A68DB3">
      <w:pPr>
        <w:jc w:val="center"/>
        <w:rPr>
          <w:rFonts w:ascii="宋体" w:hAnsi="宋体" w:cs="宋体"/>
          <w:b/>
          <w:color w:val="auto"/>
          <w:kern w:val="0"/>
          <w:sz w:val="32"/>
          <w:szCs w:val="32"/>
          <w:highlight w:val="none"/>
        </w:rPr>
      </w:pPr>
    </w:p>
    <w:p w14:paraId="0372D681">
      <w:pPr>
        <w:jc w:val="center"/>
        <w:rPr>
          <w:rFonts w:ascii="宋体" w:hAnsi="宋体" w:cs="宋体"/>
          <w:b/>
          <w:color w:val="auto"/>
          <w:kern w:val="0"/>
          <w:sz w:val="32"/>
          <w:szCs w:val="32"/>
          <w:highlight w:val="none"/>
        </w:rPr>
      </w:pPr>
    </w:p>
    <w:p w14:paraId="41F74B33">
      <w:pPr>
        <w:jc w:val="center"/>
        <w:rPr>
          <w:rFonts w:ascii="宋体" w:hAnsi="宋体" w:cs="宋体"/>
          <w:b/>
          <w:color w:val="auto"/>
          <w:kern w:val="0"/>
          <w:sz w:val="32"/>
          <w:szCs w:val="32"/>
          <w:highlight w:val="none"/>
        </w:rPr>
      </w:pPr>
    </w:p>
    <w:p w14:paraId="3FBD7213">
      <w:pPr>
        <w:jc w:val="center"/>
        <w:rPr>
          <w:rFonts w:ascii="宋体" w:hAnsi="宋体" w:cs="宋体"/>
          <w:b/>
          <w:color w:val="auto"/>
          <w:kern w:val="0"/>
          <w:sz w:val="32"/>
          <w:szCs w:val="32"/>
          <w:highlight w:val="none"/>
        </w:rPr>
      </w:pPr>
    </w:p>
    <w:p w14:paraId="171C28B8">
      <w:pPr>
        <w:jc w:val="center"/>
        <w:rPr>
          <w:rFonts w:ascii="宋体" w:hAnsi="宋体" w:cs="宋体"/>
          <w:b/>
          <w:color w:val="auto"/>
          <w:kern w:val="0"/>
          <w:sz w:val="32"/>
          <w:szCs w:val="32"/>
          <w:highlight w:val="none"/>
        </w:rPr>
      </w:pPr>
    </w:p>
    <w:p w14:paraId="0A6F65F1">
      <w:pPr>
        <w:jc w:val="center"/>
        <w:rPr>
          <w:rFonts w:ascii="宋体" w:hAnsi="宋体" w:cs="宋体"/>
          <w:b/>
          <w:color w:val="auto"/>
          <w:kern w:val="0"/>
          <w:sz w:val="32"/>
          <w:szCs w:val="32"/>
          <w:highlight w:val="none"/>
        </w:rPr>
      </w:pPr>
    </w:p>
    <w:p w14:paraId="3C73578F">
      <w:pPr>
        <w:jc w:val="center"/>
        <w:rPr>
          <w:rFonts w:ascii="宋体" w:hAnsi="宋体" w:cs="宋体"/>
          <w:b/>
          <w:color w:val="auto"/>
          <w:kern w:val="0"/>
          <w:sz w:val="32"/>
          <w:szCs w:val="32"/>
          <w:highlight w:val="none"/>
        </w:rPr>
      </w:pPr>
    </w:p>
    <w:p w14:paraId="5058AFFD">
      <w:pPr>
        <w:jc w:val="center"/>
        <w:rPr>
          <w:rFonts w:ascii="宋体" w:hAnsi="宋体" w:cs="宋体"/>
          <w:b/>
          <w:color w:val="auto"/>
          <w:kern w:val="0"/>
          <w:sz w:val="32"/>
          <w:szCs w:val="32"/>
          <w:highlight w:val="none"/>
        </w:rPr>
      </w:pPr>
    </w:p>
    <w:p w14:paraId="3F41F0C8">
      <w:pPr>
        <w:jc w:val="both"/>
        <w:rPr>
          <w:rFonts w:ascii="宋体" w:hAnsi="宋体" w:cs="宋体"/>
          <w:b/>
          <w:color w:val="auto"/>
          <w:kern w:val="0"/>
          <w:sz w:val="32"/>
          <w:szCs w:val="32"/>
          <w:highlight w:val="none"/>
        </w:rPr>
      </w:pPr>
    </w:p>
    <w:p w14:paraId="6A9277B6">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rPr>
        <w:t>三、</w:t>
      </w:r>
      <w:r>
        <w:rPr>
          <w:rFonts w:hint="eastAsia" w:ascii="宋体" w:hAnsi="宋体" w:cs="宋体"/>
          <w:b/>
          <w:color w:val="auto"/>
          <w:kern w:val="0"/>
          <w:sz w:val="32"/>
          <w:szCs w:val="32"/>
          <w:highlight w:val="none"/>
          <w:lang w:val="zh-CN"/>
        </w:rPr>
        <w:t>联合协议</w:t>
      </w:r>
    </w:p>
    <w:p w14:paraId="1B9A8F1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（以联合体形式投标的，提供联合协议；本项目不接受联合体投标或者响应人不以联合体形式投标的，则不需要提供）</w:t>
      </w:r>
    </w:p>
    <w:p w14:paraId="484C9D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组成一个联合体，以一个响应人的身份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71891D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67FD0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授权代表根据交易文件规定及投标内容而对发包人、采购机构所作的任何合法承诺，包括书面澄清及相应等均对联合投标各方产生约束力。</w:t>
      </w:r>
    </w:p>
    <w:p w14:paraId="5ABD15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F4F542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四、如果中标，</w:t>
      </w:r>
      <w:r>
        <w:rPr>
          <w:rFonts w:hint="eastAsia" w:ascii="宋体" w:hAnsi="宋体" w:cs="宋体"/>
          <w:color w:val="auto"/>
          <w:sz w:val="24"/>
          <w:highlight w:val="none"/>
        </w:rPr>
        <w:t>联合体各成员方共同与</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签订合同，并就采购合同约定的事项对</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承担连带责任。</w:t>
      </w:r>
    </w:p>
    <w:p w14:paraId="1821F7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五、有关本次联合投标的其他事宜：</w:t>
      </w:r>
    </w:p>
    <w:p w14:paraId="51BDC1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1、联合体各方不再单独参加或者与其他响应人另外组成联合体参加同一合同项下的采购活动。</w:t>
      </w:r>
    </w:p>
    <w:p w14:paraId="2DC2CBC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2、联合体中有同类资质的各方按照联合体分工承担相同工作的，按照资质等级较低的响应人确定资质等级。</w:t>
      </w:r>
    </w:p>
    <w:p w14:paraId="2AE8151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3、本协议提交发包人、采购机构后，联合体各方不得以任何形式对上述内容进行修改或撤销。</w:t>
      </w:r>
    </w:p>
    <w:p w14:paraId="2163D3A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C5BF22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2AB0F0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9722400">
      <w:pPr>
        <w:snapToGrid w:val="0"/>
        <w:spacing w:line="360" w:lineRule="auto"/>
        <w:ind w:right="480"/>
        <w:rPr>
          <w:rFonts w:ascii="宋体" w:hAnsi="宋体" w:cs="宋体"/>
          <w:b/>
          <w:color w:val="auto"/>
          <w:kern w:val="0"/>
          <w:sz w:val="32"/>
          <w:szCs w:val="32"/>
          <w:highlight w:val="none"/>
        </w:rPr>
        <w:sectPr>
          <w:pgSz w:w="11906" w:h="16838"/>
          <w:pgMar w:top="1440" w:right="1440" w:bottom="1440" w:left="1440" w:header="851" w:footer="992" w:gutter="0"/>
          <w:cols w:space="720" w:num="1"/>
          <w:titlePg/>
          <w:docGrid w:linePitch="312" w:charSpace="0"/>
        </w:sectPr>
      </w:pPr>
    </w:p>
    <w:p w14:paraId="48929676">
      <w:pPr>
        <w:snapToGrid w:val="0"/>
        <w:spacing w:line="360" w:lineRule="auto"/>
        <w:ind w:firstLine="3534" w:firstLineChars="1100"/>
        <w:rPr>
          <w:rFonts w:ascii="宋体" w:hAnsi="宋体" w:cs="宋体"/>
          <w:b/>
          <w:color w:val="auto"/>
          <w:kern w:val="0"/>
          <w:sz w:val="32"/>
          <w:szCs w:val="32"/>
          <w:highlight w:val="none"/>
        </w:rPr>
      </w:pPr>
    </w:p>
    <w:p w14:paraId="2A0BCA17">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四、分包意向协议</w:t>
      </w:r>
    </w:p>
    <w:p w14:paraId="2170BC9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发包人</w:t>
      </w:r>
      <w:r>
        <w:rPr>
          <w:rFonts w:hint="eastAsia" w:ascii="宋体" w:hAnsi="宋体" w:cs="宋体"/>
          <w:b/>
          <w:color w:val="auto"/>
          <w:sz w:val="24"/>
          <w:highlight w:val="none"/>
        </w:rPr>
        <w:t>不同意分包或者响应人中标后不以分包方式履行合同的，则不需要提供。</w:t>
      </w:r>
      <w:r>
        <w:rPr>
          <w:rFonts w:hint="eastAsia" w:ascii="宋体" w:hAnsi="宋体" w:cs="宋体"/>
          <w:color w:val="auto"/>
          <w:sz w:val="24"/>
          <w:highlight w:val="none"/>
        </w:rPr>
        <w:t>）</w:t>
      </w:r>
    </w:p>
    <w:p w14:paraId="10EBC29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（响应人名称）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的中标响应人，将依法采取分包方式履行合同。</w:t>
      </w:r>
      <w:r>
        <w:rPr>
          <w:rFonts w:hint="eastAsia" w:ascii="宋体" w:hAnsi="宋体" w:cs="宋体"/>
          <w:color w:val="auto"/>
          <w:kern w:val="0"/>
          <w:sz w:val="24"/>
          <w:highlight w:val="none"/>
          <w:u w:val="single"/>
        </w:rPr>
        <w:t>（响应人名称）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w:t>
      </w:r>
      <w:r>
        <w:rPr>
          <w:rFonts w:hint="eastAsia" w:ascii="宋体" w:hAnsi="宋体" w:cs="宋体"/>
          <w:color w:val="auto"/>
          <w:kern w:val="0"/>
          <w:sz w:val="24"/>
          <w:highlight w:val="none"/>
          <w:u w:val="single"/>
          <w:lang w:eastAsia="zh-CN"/>
        </w:rPr>
        <w:t>响应人</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79F5CB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0916A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（响应人名称）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w:t>
      </w:r>
      <w:r>
        <w:rPr>
          <w:rFonts w:hint="eastAsia" w:ascii="宋体" w:hAnsi="宋体" w:cs="宋体"/>
          <w:color w:val="auto"/>
          <w:kern w:val="0"/>
          <w:sz w:val="24"/>
          <w:highlight w:val="none"/>
          <w:u w:val="single"/>
          <w:lang w:eastAsia="zh-CN"/>
        </w:rPr>
        <w:t>响应人</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w:t>
      </w:r>
      <w:r>
        <w:rPr>
          <w:rFonts w:hint="eastAsia" w:ascii="宋体" w:hAnsi="宋体" w:cs="宋体"/>
          <w:color w:val="auto"/>
          <w:kern w:val="0"/>
          <w:sz w:val="24"/>
          <w:highlight w:val="none"/>
          <w:u w:val="single"/>
          <w:lang w:eastAsia="zh-CN"/>
        </w:rPr>
        <w:t>响应人</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82F07F3">
      <w:pPr>
        <w:pStyle w:val="3"/>
        <w:ind w:left="664" w:leftChars="316" w:firstLine="229" w:firstLineChars="95"/>
        <w:rPr>
          <w:rFonts w:ascii="宋体" w:hAnsi="宋体" w:eastAsia="宋体" w:cs="宋体"/>
          <w:color w:val="auto"/>
          <w:highlight w:val="none"/>
        </w:rPr>
      </w:pPr>
      <w:r>
        <w:rPr>
          <w:rFonts w:hint="eastAsia" w:ascii="宋体" w:hAnsi="宋体" w:eastAsia="宋体" w:cs="宋体"/>
          <w:color w:val="auto"/>
          <w:kern w:val="0"/>
          <w:sz w:val="24"/>
          <w:szCs w:val="24"/>
          <w:highlight w:val="none"/>
        </w:rPr>
        <w:t>……</w:t>
      </w:r>
    </w:p>
    <w:p w14:paraId="660B1B8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14:paraId="102B60D4">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138AD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三、质量</w:t>
      </w:r>
    </w:p>
    <w:p w14:paraId="1F52A2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8481A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14:paraId="751B800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36AB9E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五、违约责任</w:t>
      </w:r>
    </w:p>
    <w:p w14:paraId="0C11BB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40F32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14:paraId="10E4CD4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347EE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七、其他</w:t>
      </w:r>
    </w:p>
    <w:p w14:paraId="73A006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C983CF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782E8A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响应人名称(电子签名)：</w:t>
      </w:r>
    </w:p>
    <w:p w14:paraId="6FD777DD">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分包响应人名称：</w:t>
      </w:r>
    </w:p>
    <w:p w14:paraId="436D83D4">
      <w:pPr>
        <w:spacing w:line="360" w:lineRule="auto"/>
        <w:ind w:right="42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DA8E67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0A0819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53338D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五、符合性审查资料</w:t>
      </w:r>
    </w:p>
    <w:p w14:paraId="6CAFA3A8">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E5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36FFB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7332AF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D736CC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533E2E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中的</w:t>
            </w:r>
          </w:p>
          <w:p w14:paraId="225E8E5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FE53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46" w:type="dxa"/>
            <w:vAlign w:val="center"/>
          </w:tcPr>
          <w:p w14:paraId="0B61D226">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3D617880">
            <w:pPr>
              <w:rPr>
                <w:rFonts w:ascii="宋体" w:hAnsi="宋体" w:cs="宋体"/>
                <w:color w:val="auto"/>
                <w:sz w:val="24"/>
                <w:highlight w:val="none"/>
              </w:rPr>
            </w:pP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按照交易文件要求签署、盖章。</w:t>
            </w:r>
          </w:p>
        </w:tc>
        <w:tc>
          <w:tcPr>
            <w:tcW w:w="2551" w:type="dxa"/>
            <w:vAlign w:val="center"/>
          </w:tcPr>
          <w:p w14:paraId="02002F3A">
            <w:pPr>
              <w:rPr>
                <w:rFonts w:ascii="宋体" w:hAnsi="宋体" w:cs="宋体"/>
                <w:color w:val="auto"/>
                <w:sz w:val="24"/>
                <w:highlight w:val="none"/>
              </w:rPr>
            </w:pPr>
            <w:r>
              <w:rPr>
                <w:rFonts w:hint="eastAsia" w:ascii="宋体" w:hAnsi="宋体" w:cs="宋体"/>
                <w:color w:val="auto"/>
                <w:sz w:val="24"/>
                <w:highlight w:val="none"/>
              </w:rPr>
              <w:t>需要使用电子签名或者签字盖章的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的组成部分</w:t>
            </w:r>
          </w:p>
        </w:tc>
        <w:tc>
          <w:tcPr>
            <w:tcW w:w="1418" w:type="dxa"/>
            <w:vAlign w:val="center"/>
          </w:tcPr>
          <w:p w14:paraId="28BCA5B7">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响应文件</w:t>
            </w:r>
          </w:p>
          <w:p w14:paraId="2F3AD00B">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DDC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46" w:type="dxa"/>
            <w:vAlign w:val="center"/>
          </w:tcPr>
          <w:p w14:paraId="47EA7511">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44193969">
            <w:pPr>
              <w:rPr>
                <w:rFonts w:ascii="宋体" w:hAnsi="宋体" w:cs="宋体"/>
                <w:color w:val="auto"/>
                <w:sz w:val="24"/>
                <w:highlight w:val="none"/>
              </w:rPr>
            </w:pP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中承诺的投标有效期不少于交易文件中载明的投标有效期。</w:t>
            </w:r>
          </w:p>
        </w:tc>
        <w:tc>
          <w:tcPr>
            <w:tcW w:w="2551" w:type="dxa"/>
            <w:vAlign w:val="center"/>
          </w:tcPr>
          <w:p w14:paraId="39CCA716">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1A1E6E96">
            <w:pPr>
              <w:jc w:val="center"/>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0D0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646" w:type="dxa"/>
            <w:vAlign w:val="center"/>
          </w:tcPr>
          <w:p w14:paraId="2D87A825">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23C44BA8">
            <w:pPr>
              <w:rPr>
                <w:rFonts w:ascii="宋体" w:hAnsi="宋体" w:cs="宋体"/>
                <w:color w:val="auto"/>
                <w:sz w:val="24"/>
                <w:highlight w:val="none"/>
              </w:rPr>
            </w:pP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满足交易文件的其它实质性要求。</w:t>
            </w:r>
          </w:p>
        </w:tc>
        <w:tc>
          <w:tcPr>
            <w:tcW w:w="2551" w:type="dxa"/>
            <w:vAlign w:val="center"/>
          </w:tcPr>
          <w:p w14:paraId="6340DB02">
            <w:pPr>
              <w:rPr>
                <w:rFonts w:ascii="宋体" w:hAnsi="宋体" w:cs="宋体"/>
                <w:color w:val="auto"/>
                <w:sz w:val="24"/>
                <w:highlight w:val="none"/>
              </w:rPr>
            </w:pPr>
            <w:r>
              <w:rPr>
                <w:rFonts w:hint="eastAsia" w:ascii="宋体" w:hAnsi="宋体" w:cs="宋体"/>
                <w:color w:val="auto"/>
                <w:kern w:val="0"/>
                <w:sz w:val="24"/>
                <w:highlight w:val="none"/>
              </w:rPr>
              <w:t>交易文件其它实质性要求相应的材料（“▲” 系指实质性要求条款，交易文件无其它实质性要求的，无需提供）</w:t>
            </w:r>
          </w:p>
        </w:tc>
        <w:tc>
          <w:tcPr>
            <w:tcW w:w="1418" w:type="dxa"/>
            <w:vAlign w:val="center"/>
          </w:tcPr>
          <w:p w14:paraId="52F09E5F">
            <w:pPr>
              <w:jc w:val="center"/>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7F87FB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0E61216">
      <w:pPr>
        <w:jc w:val="center"/>
        <w:rPr>
          <w:rFonts w:ascii="宋体" w:hAnsi="宋体" w:cs="宋体"/>
          <w:b/>
          <w:color w:val="auto"/>
          <w:kern w:val="0"/>
          <w:sz w:val="32"/>
          <w:szCs w:val="32"/>
          <w:highlight w:val="none"/>
        </w:rPr>
      </w:pPr>
    </w:p>
    <w:p w14:paraId="62B5792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81BF55B">
      <w:pPr>
        <w:jc w:val="center"/>
        <w:rPr>
          <w:rFonts w:ascii="宋体" w:hAnsi="宋体" w:cs="宋体"/>
          <w:b/>
          <w:color w:val="auto"/>
          <w:kern w:val="0"/>
          <w:sz w:val="32"/>
          <w:szCs w:val="32"/>
          <w:highlight w:val="none"/>
        </w:rPr>
      </w:pPr>
    </w:p>
    <w:p w14:paraId="464AD030">
      <w:pPr>
        <w:jc w:val="center"/>
        <w:rPr>
          <w:rFonts w:ascii="宋体" w:hAnsi="宋体" w:cs="宋体"/>
          <w:b/>
          <w:color w:val="auto"/>
          <w:kern w:val="0"/>
          <w:sz w:val="32"/>
          <w:szCs w:val="32"/>
          <w:highlight w:val="none"/>
        </w:rPr>
      </w:pPr>
    </w:p>
    <w:p w14:paraId="7723AF54">
      <w:pPr>
        <w:jc w:val="center"/>
        <w:rPr>
          <w:rFonts w:ascii="宋体" w:hAnsi="宋体" w:cs="宋体"/>
          <w:b/>
          <w:color w:val="auto"/>
          <w:kern w:val="0"/>
          <w:sz w:val="32"/>
          <w:szCs w:val="32"/>
          <w:highlight w:val="none"/>
        </w:rPr>
      </w:pPr>
    </w:p>
    <w:p w14:paraId="6BCEF68A">
      <w:pPr>
        <w:rPr>
          <w:rFonts w:ascii="宋体" w:hAnsi="宋体" w:cs="宋体"/>
          <w:b/>
          <w:color w:val="auto"/>
          <w:kern w:val="0"/>
          <w:sz w:val="32"/>
          <w:szCs w:val="32"/>
          <w:highlight w:val="none"/>
        </w:rPr>
      </w:pPr>
    </w:p>
    <w:p w14:paraId="211356C0">
      <w:pPr>
        <w:jc w:val="center"/>
        <w:rPr>
          <w:rFonts w:ascii="宋体" w:hAnsi="宋体" w:cs="宋体"/>
          <w:b/>
          <w:color w:val="auto"/>
          <w:kern w:val="0"/>
          <w:sz w:val="32"/>
          <w:szCs w:val="32"/>
          <w:highlight w:val="none"/>
        </w:rPr>
      </w:pPr>
    </w:p>
    <w:p w14:paraId="26054ACF">
      <w:pPr>
        <w:jc w:val="center"/>
        <w:rPr>
          <w:rFonts w:ascii="宋体" w:hAnsi="宋体" w:cs="宋体"/>
          <w:b/>
          <w:color w:val="auto"/>
          <w:kern w:val="0"/>
          <w:sz w:val="32"/>
          <w:szCs w:val="32"/>
          <w:highlight w:val="none"/>
        </w:rPr>
      </w:pPr>
    </w:p>
    <w:p w14:paraId="2C783B21">
      <w:pPr>
        <w:jc w:val="center"/>
        <w:rPr>
          <w:rFonts w:ascii="宋体" w:hAnsi="宋体" w:cs="宋体"/>
          <w:b/>
          <w:color w:val="auto"/>
          <w:kern w:val="0"/>
          <w:sz w:val="32"/>
          <w:szCs w:val="32"/>
          <w:highlight w:val="none"/>
        </w:rPr>
      </w:pPr>
    </w:p>
    <w:p w14:paraId="2752AE41">
      <w:pPr>
        <w:jc w:val="center"/>
        <w:rPr>
          <w:rFonts w:ascii="宋体" w:hAnsi="宋体" w:cs="宋体"/>
          <w:b/>
          <w:color w:val="auto"/>
          <w:kern w:val="0"/>
          <w:sz w:val="32"/>
          <w:szCs w:val="32"/>
          <w:highlight w:val="none"/>
        </w:rPr>
      </w:pPr>
    </w:p>
    <w:p w14:paraId="5E83BB20">
      <w:pPr>
        <w:jc w:val="center"/>
        <w:rPr>
          <w:rFonts w:ascii="宋体" w:hAnsi="宋体" w:cs="宋体"/>
          <w:b/>
          <w:color w:val="auto"/>
          <w:kern w:val="0"/>
          <w:sz w:val="32"/>
          <w:szCs w:val="32"/>
          <w:highlight w:val="none"/>
        </w:rPr>
      </w:pPr>
    </w:p>
    <w:p w14:paraId="107F308C">
      <w:pPr>
        <w:jc w:val="center"/>
        <w:rPr>
          <w:rFonts w:ascii="宋体" w:hAnsi="宋体" w:cs="宋体"/>
          <w:b/>
          <w:color w:val="auto"/>
          <w:kern w:val="0"/>
          <w:sz w:val="32"/>
          <w:szCs w:val="32"/>
          <w:highlight w:val="none"/>
        </w:rPr>
      </w:pPr>
    </w:p>
    <w:p w14:paraId="26AA868D">
      <w:pPr>
        <w:jc w:val="center"/>
        <w:rPr>
          <w:rFonts w:ascii="宋体" w:hAnsi="宋体" w:cs="宋体"/>
          <w:b/>
          <w:color w:val="auto"/>
          <w:kern w:val="0"/>
          <w:sz w:val="32"/>
          <w:szCs w:val="32"/>
          <w:highlight w:val="none"/>
        </w:rPr>
      </w:pPr>
    </w:p>
    <w:p w14:paraId="1FC6E535">
      <w:pPr>
        <w:jc w:val="center"/>
        <w:rPr>
          <w:rFonts w:ascii="宋体" w:hAnsi="宋体" w:cs="宋体"/>
          <w:b/>
          <w:color w:val="auto"/>
          <w:kern w:val="0"/>
          <w:sz w:val="32"/>
          <w:szCs w:val="32"/>
          <w:highlight w:val="none"/>
        </w:rPr>
      </w:pPr>
    </w:p>
    <w:p w14:paraId="18464E06">
      <w:pPr>
        <w:jc w:val="center"/>
        <w:rPr>
          <w:rFonts w:ascii="宋体" w:hAnsi="宋体" w:cs="宋体"/>
          <w:b/>
          <w:color w:val="auto"/>
          <w:kern w:val="0"/>
          <w:sz w:val="32"/>
          <w:szCs w:val="32"/>
          <w:highlight w:val="none"/>
        </w:rPr>
      </w:pPr>
    </w:p>
    <w:p w14:paraId="0AB3FB13">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E3D9AB3">
      <w:pPr>
        <w:jc w:val="center"/>
        <w:rPr>
          <w:rFonts w:ascii="宋体" w:hAnsi="宋体" w:cs="宋体"/>
          <w:b/>
          <w:color w:val="auto"/>
          <w:kern w:val="0"/>
          <w:sz w:val="32"/>
          <w:szCs w:val="32"/>
          <w:highlight w:val="none"/>
        </w:rPr>
      </w:pPr>
    </w:p>
    <w:p w14:paraId="46C3D314">
      <w:pPr>
        <w:jc w:val="center"/>
        <w:rPr>
          <w:rFonts w:ascii="宋体" w:hAnsi="宋体" w:cs="宋体"/>
          <w:color w:val="auto"/>
          <w:highlight w:val="none"/>
        </w:rPr>
      </w:pPr>
      <w:r>
        <w:rPr>
          <w:rFonts w:hint="eastAsia" w:ascii="宋体" w:hAnsi="宋体" w:cs="宋体"/>
          <w:b/>
          <w:color w:val="auto"/>
          <w:kern w:val="0"/>
          <w:sz w:val="32"/>
          <w:szCs w:val="32"/>
          <w:highlight w:val="none"/>
        </w:rPr>
        <w:t>六、评标标准相应的商务技术资料</w:t>
      </w:r>
    </w:p>
    <w:p w14:paraId="06456A29">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（按交易文件第四部分评标办法前附表中“</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中评标标准相应的商务技术资料目录”提供资料。）</w:t>
      </w:r>
    </w:p>
    <w:p w14:paraId="1E37C348">
      <w:pPr>
        <w:jc w:val="center"/>
        <w:rPr>
          <w:rFonts w:ascii="宋体" w:hAnsi="宋体" w:cs="宋体"/>
          <w:b/>
          <w:color w:val="auto"/>
          <w:kern w:val="0"/>
          <w:sz w:val="32"/>
          <w:szCs w:val="32"/>
          <w:highlight w:val="none"/>
        </w:rPr>
      </w:pPr>
    </w:p>
    <w:p w14:paraId="0541133F">
      <w:pPr>
        <w:jc w:val="center"/>
        <w:rPr>
          <w:rFonts w:ascii="宋体" w:hAnsi="宋体" w:cs="宋体"/>
          <w:b/>
          <w:color w:val="auto"/>
          <w:kern w:val="0"/>
          <w:sz w:val="32"/>
          <w:szCs w:val="32"/>
          <w:highlight w:val="none"/>
        </w:rPr>
      </w:pPr>
    </w:p>
    <w:p w14:paraId="42732680">
      <w:pPr>
        <w:ind w:firstLine="2891" w:firstLineChars="900"/>
        <w:rPr>
          <w:rFonts w:ascii="宋体" w:hAnsi="宋体" w:cs="宋体"/>
          <w:b/>
          <w:color w:val="auto"/>
          <w:kern w:val="0"/>
          <w:sz w:val="32"/>
          <w:szCs w:val="32"/>
          <w:highlight w:val="none"/>
        </w:rPr>
      </w:pPr>
    </w:p>
    <w:p w14:paraId="703F3537">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BCC3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B89653">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1B5492C">
            <w:pPr>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1D067D50">
            <w:pPr>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7037972">
            <w:pPr>
              <w:jc w:val="center"/>
              <w:rPr>
                <w:rFonts w:ascii="宋体" w:hAnsi="宋体" w:cs="宋体"/>
                <w:b/>
                <w:color w:val="auto"/>
                <w:sz w:val="24"/>
                <w:highlight w:val="none"/>
              </w:rPr>
            </w:pPr>
            <w:r>
              <w:rPr>
                <w:rFonts w:hint="eastAsia" w:ascii="宋体" w:hAnsi="宋体" w:cs="宋体"/>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0C797E47">
            <w:pPr>
              <w:jc w:val="center"/>
              <w:rPr>
                <w:rFonts w:ascii="宋体" w:hAnsi="宋体" w:cs="宋体"/>
                <w:b/>
                <w:color w:val="auto"/>
                <w:sz w:val="24"/>
                <w:highlight w:val="none"/>
              </w:rPr>
            </w:pPr>
            <w:r>
              <w:rPr>
                <w:rFonts w:hint="eastAsia" w:ascii="宋体" w:hAnsi="宋体" w:cs="宋体"/>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1364D8DC">
            <w:pPr>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2A19D98B">
            <w:pPr>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2106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C41BC7">
            <w:pPr>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92A0E56">
            <w:pPr>
              <w:snapToGrid w:val="0"/>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EC19ABF">
            <w:pPr>
              <w:snapToGrid w:val="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ACA368A">
            <w:pPr>
              <w:snapToGrid w:val="0"/>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CBCCBE4">
            <w:pPr>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0504521">
            <w:pPr>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95F7EC1">
            <w:pPr>
              <w:jc w:val="center"/>
              <w:rPr>
                <w:rFonts w:ascii="宋体" w:hAnsi="宋体" w:cs="宋体"/>
                <w:color w:val="auto"/>
                <w:sz w:val="24"/>
                <w:highlight w:val="none"/>
              </w:rPr>
            </w:pPr>
          </w:p>
        </w:tc>
      </w:tr>
      <w:tr w14:paraId="48D9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7242A9">
            <w:pPr>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2ACF3FE">
            <w:pPr>
              <w:snapToGrid w:val="0"/>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5440650">
            <w:pPr>
              <w:snapToGrid w:val="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00910F3">
            <w:pPr>
              <w:snapToGrid w:val="0"/>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0A43318">
            <w:pPr>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A89690E">
            <w:pPr>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1EDBD36">
            <w:pPr>
              <w:jc w:val="center"/>
              <w:rPr>
                <w:rFonts w:ascii="宋体" w:hAnsi="宋体" w:cs="宋体"/>
                <w:color w:val="auto"/>
                <w:sz w:val="24"/>
                <w:highlight w:val="none"/>
              </w:rPr>
            </w:pPr>
          </w:p>
        </w:tc>
      </w:tr>
      <w:tr w14:paraId="0B2C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CFC760">
            <w:pPr>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527F55E">
            <w:pPr>
              <w:snapToGrid w:val="0"/>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8D14ADE">
            <w:pPr>
              <w:snapToGrid w:val="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F9EDDC9">
            <w:pPr>
              <w:snapToGrid w:val="0"/>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F00600E">
            <w:pPr>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A1F9100">
            <w:pPr>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97243DA">
            <w:pPr>
              <w:jc w:val="center"/>
              <w:rPr>
                <w:rFonts w:ascii="宋体" w:hAnsi="宋体" w:cs="宋体"/>
                <w:color w:val="auto"/>
                <w:sz w:val="24"/>
                <w:highlight w:val="none"/>
              </w:rPr>
            </w:pPr>
          </w:p>
        </w:tc>
      </w:tr>
    </w:tbl>
    <w:p w14:paraId="1FA32E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C926DC1">
      <w:pPr>
        <w:jc w:val="center"/>
        <w:rPr>
          <w:rFonts w:ascii="宋体" w:hAnsi="宋体" w:cs="宋体"/>
          <w:b/>
          <w:color w:val="auto"/>
          <w:kern w:val="0"/>
          <w:sz w:val="32"/>
          <w:szCs w:val="32"/>
          <w:highlight w:val="none"/>
        </w:rPr>
      </w:pPr>
    </w:p>
    <w:p w14:paraId="3A6A9F4F">
      <w:pPr>
        <w:jc w:val="center"/>
        <w:rPr>
          <w:rFonts w:ascii="宋体" w:hAnsi="宋体" w:cs="宋体"/>
          <w:b/>
          <w:color w:val="auto"/>
          <w:kern w:val="0"/>
          <w:sz w:val="32"/>
          <w:szCs w:val="32"/>
          <w:highlight w:val="none"/>
        </w:rPr>
      </w:pPr>
    </w:p>
    <w:p w14:paraId="3EC712D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八、商务技术偏离表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33F5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1384D440">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center"/>
          </w:tcPr>
          <w:p w14:paraId="282E91E7">
            <w:pPr>
              <w:jc w:val="center"/>
              <w:rPr>
                <w:rFonts w:ascii="宋体" w:hAnsi="宋体" w:cs="宋体"/>
                <w:b/>
                <w:bCs/>
                <w:color w:val="auto"/>
                <w:sz w:val="24"/>
                <w:highlight w:val="none"/>
              </w:rPr>
            </w:pPr>
            <w:r>
              <w:rPr>
                <w:rFonts w:hint="eastAsia" w:ascii="宋体" w:hAnsi="宋体" w:cs="宋体"/>
                <w:b/>
                <w:bCs/>
                <w:color w:val="auto"/>
                <w:sz w:val="24"/>
                <w:highlight w:val="none"/>
              </w:rPr>
              <w:t>交易文件章节及具体内容</w:t>
            </w:r>
          </w:p>
        </w:tc>
        <w:tc>
          <w:tcPr>
            <w:tcW w:w="3546" w:type="dxa"/>
            <w:vAlign w:val="center"/>
          </w:tcPr>
          <w:p w14:paraId="599AF3F7">
            <w:pPr>
              <w:jc w:val="center"/>
              <w:rPr>
                <w:rFonts w:ascii="宋体" w:hAnsi="宋体" w:cs="宋体"/>
                <w:b/>
                <w:bCs/>
                <w:color w:val="auto"/>
                <w:sz w:val="24"/>
                <w:highlight w:val="none"/>
              </w:rPr>
            </w:pPr>
            <w:r>
              <w:rPr>
                <w:rFonts w:hint="eastAsia" w:ascii="宋体" w:hAnsi="宋体" w:cs="宋体"/>
                <w:b/>
                <w:bCs/>
                <w:color w:val="auto"/>
                <w:sz w:val="24"/>
                <w:highlight w:val="none"/>
                <w:lang w:eastAsia="zh-CN"/>
              </w:rPr>
              <w:t>响应文件</w:t>
            </w:r>
            <w:r>
              <w:rPr>
                <w:rFonts w:hint="eastAsia" w:ascii="宋体" w:hAnsi="宋体" w:cs="宋体"/>
                <w:b/>
                <w:bCs/>
                <w:color w:val="auto"/>
                <w:sz w:val="24"/>
                <w:highlight w:val="none"/>
              </w:rPr>
              <w:t>章节及具体内容</w:t>
            </w:r>
          </w:p>
        </w:tc>
        <w:tc>
          <w:tcPr>
            <w:tcW w:w="1276" w:type="dxa"/>
            <w:vAlign w:val="center"/>
          </w:tcPr>
          <w:p w14:paraId="3D0CE20A">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E30E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05FA50FA">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center"/>
          </w:tcPr>
          <w:p w14:paraId="3283B2A0">
            <w:pPr>
              <w:jc w:val="center"/>
              <w:rPr>
                <w:rFonts w:ascii="宋体" w:hAnsi="宋体" w:cs="宋体"/>
                <w:b/>
                <w:color w:val="auto"/>
                <w:kern w:val="0"/>
                <w:sz w:val="32"/>
                <w:szCs w:val="32"/>
                <w:highlight w:val="none"/>
              </w:rPr>
            </w:pPr>
          </w:p>
        </w:tc>
        <w:tc>
          <w:tcPr>
            <w:tcW w:w="3546" w:type="dxa"/>
            <w:vAlign w:val="center"/>
          </w:tcPr>
          <w:p w14:paraId="7392F9D2">
            <w:pPr>
              <w:jc w:val="center"/>
              <w:rPr>
                <w:rFonts w:ascii="宋体" w:hAnsi="宋体" w:cs="宋体"/>
                <w:b/>
                <w:color w:val="auto"/>
                <w:kern w:val="0"/>
                <w:sz w:val="32"/>
                <w:szCs w:val="32"/>
                <w:highlight w:val="none"/>
              </w:rPr>
            </w:pPr>
          </w:p>
        </w:tc>
        <w:tc>
          <w:tcPr>
            <w:tcW w:w="1276" w:type="dxa"/>
            <w:vAlign w:val="center"/>
          </w:tcPr>
          <w:p w14:paraId="69EB081F">
            <w:pPr>
              <w:jc w:val="center"/>
              <w:rPr>
                <w:rFonts w:ascii="宋体" w:hAnsi="宋体" w:cs="宋体"/>
                <w:b/>
                <w:color w:val="auto"/>
                <w:kern w:val="0"/>
                <w:sz w:val="32"/>
                <w:szCs w:val="32"/>
                <w:highlight w:val="none"/>
              </w:rPr>
            </w:pPr>
          </w:p>
        </w:tc>
      </w:tr>
      <w:tr w14:paraId="6797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7BA404A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center"/>
          </w:tcPr>
          <w:p w14:paraId="58E9E434">
            <w:pPr>
              <w:jc w:val="center"/>
              <w:rPr>
                <w:rFonts w:ascii="宋体" w:hAnsi="宋体" w:cs="宋体"/>
                <w:b/>
                <w:color w:val="auto"/>
                <w:kern w:val="0"/>
                <w:sz w:val="32"/>
                <w:szCs w:val="32"/>
                <w:highlight w:val="none"/>
              </w:rPr>
            </w:pPr>
          </w:p>
        </w:tc>
        <w:tc>
          <w:tcPr>
            <w:tcW w:w="3546" w:type="dxa"/>
            <w:vAlign w:val="center"/>
          </w:tcPr>
          <w:p w14:paraId="645AAA38">
            <w:pPr>
              <w:jc w:val="center"/>
              <w:rPr>
                <w:rFonts w:ascii="宋体" w:hAnsi="宋体" w:cs="宋体"/>
                <w:b/>
                <w:color w:val="auto"/>
                <w:kern w:val="0"/>
                <w:sz w:val="32"/>
                <w:szCs w:val="32"/>
                <w:highlight w:val="none"/>
              </w:rPr>
            </w:pPr>
          </w:p>
        </w:tc>
        <w:tc>
          <w:tcPr>
            <w:tcW w:w="1276" w:type="dxa"/>
            <w:vAlign w:val="center"/>
          </w:tcPr>
          <w:p w14:paraId="6EB9D653">
            <w:pPr>
              <w:jc w:val="center"/>
              <w:rPr>
                <w:rFonts w:ascii="宋体" w:hAnsi="宋体" w:cs="宋体"/>
                <w:b/>
                <w:color w:val="auto"/>
                <w:kern w:val="0"/>
                <w:sz w:val="32"/>
                <w:szCs w:val="32"/>
                <w:highlight w:val="none"/>
              </w:rPr>
            </w:pPr>
          </w:p>
        </w:tc>
      </w:tr>
      <w:tr w14:paraId="2CC94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1CDA1F1B">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center"/>
          </w:tcPr>
          <w:p w14:paraId="113BAE0C">
            <w:pPr>
              <w:jc w:val="center"/>
              <w:rPr>
                <w:rFonts w:ascii="宋体" w:hAnsi="宋体" w:cs="宋体"/>
                <w:b/>
                <w:color w:val="auto"/>
                <w:kern w:val="0"/>
                <w:sz w:val="32"/>
                <w:szCs w:val="32"/>
                <w:highlight w:val="none"/>
              </w:rPr>
            </w:pPr>
          </w:p>
        </w:tc>
        <w:tc>
          <w:tcPr>
            <w:tcW w:w="3546" w:type="dxa"/>
            <w:vAlign w:val="center"/>
          </w:tcPr>
          <w:p w14:paraId="62804EBF">
            <w:pPr>
              <w:jc w:val="center"/>
              <w:rPr>
                <w:rFonts w:ascii="宋体" w:hAnsi="宋体" w:cs="宋体"/>
                <w:b/>
                <w:color w:val="auto"/>
                <w:kern w:val="0"/>
                <w:sz w:val="32"/>
                <w:szCs w:val="32"/>
                <w:highlight w:val="none"/>
              </w:rPr>
            </w:pPr>
          </w:p>
        </w:tc>
        <w:tc>
          <w:tcPr>
            <w:tcW w:w="1276" w:type="dxa"/>
            <w:vAlign w:val="center"/>
          </w:tcPr>
          <w:p w14:paraId="2F2A1D35">
            <w:pPr>
              <w:jc w:val="center"/>
              <w:rPr>
                <w:rFonts w:ascii="宋体" w:hAnsi="宋体" w:cs="宋体"/>
                <w:b/>
                <w:color w:val="auto"/>
                <w:kern w:val="0"/>
                <w:sz w:val="32"/>
                <w:szCs w:val="32"/>
                <w:highlight w:val="none"/>
              </w:rPr>
            </w:pPr>
          </w:p>
        </w:tc>
      </w:tr>
    </w:tbl>
    <w:p w14:paraId="5166CFD4">
      <w:pPr>
        <w:jc w:val="left"/>
        <w:rPr>
          <w:rFonts w:ascii="宋体" w:hAnsi="宋体" w:cs="宋体"/>
          <w:color w:val="auto"/>
          <w:kern w:val="0"/>
          <w:sz w:val="24"/>
          <w:highlight w:val="none"/>
        </w:rPr>
      </w:pPr>
      <w:r>
        <w:rPr>
          <w:rFonts w:hint="eastAsia" w:ascii="宋体" w:hAnsi="宋体" w:cs="宋体"/>
          <w:color w:val="auto"/>
          <w:kern w:val="0"/>
          <w:sz w:val="24"/>
          <w:highlight w:val="none"/>
        </w:rPr>
        <w:t>响应人保证：除商务技术偏离表列出的偏离外，响应人响应交易文件的全部要求</w:t>
      </w:r>
    </w:p>
    <w:p w14:paraId="45160E23">
      <w:pPr>
        <w:jc w:val="center"/>
        <w:rPr>
          <w:rFonts w:ascii="宋体" w:hAnsi="宋体" w:cs="宋体"/>
          <w:b/>
          <w:color w:val="auto"/>
          <w:kern w:val="0"/>
          <w:sz w:val="32"/>
          <w:szCs w:val="32"/>
          <w:highlight w:val="none"/>
        </w:rPr>
      </w:pPr>
    </w:p>
    <w:p w14:paraId="47584E5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FEFBACA">
      <w:pPr>
        <w:jc w:val="center"/>
        <w:rPr>
          <w:rFonts w:ascii="宋体" w:hAnsi="宋体" w:cs="宋体"/>
          <w:b/>
          <w:color w:val="auto"/>
          <w:kern w:val="0"/>
          <w:sz w:val="32"/>
          <w:szCs w:val="32"/>
          <w:highlight w:val="none"/>
        </w:rPr>
      </w:pPr>
    </w:p>
    <w:p w14:paraId="2DE13824">
      <w:pPr>
        <w:ind w:firstLine="1911" w:firstLineChars="595"/>
        <w:rPr>
          <w:rFonts w:ascii="宋体" w:hAnsi="宋体" w:cs="宋体"/>
          <w:b/>
          <w:bCs/>
          <w:color w:val="auto"/>
          <w:sz w:val="32"/>
          <w:szCs w:val="32"/>
          <w:highlight w:val="none"/>
        </w:rPr>
      </w:pPr>
    </w:p>
    <w:p w14:paraId="10F70EDC">
      <w:pPr>
        <w:ind w:firstLine="1911" w:firstLineChars="595"/>
        <w:rPr>
          <w:rFonts w:ascii="宋体" w:hAnsi="宋体" w:cs="宋体"/>
          <w:b/>
          <w:bCs/>
          <w:color w:val="auto"/>
          <w:sz w:val="32"/>
          <w:szCs w:val="32"/>
          <w:highlight w:val="none"/>
        </w:rPr>
      </w:pPr>
    </w:p>
    <w:p w14:paraId="6375D412">
      <w:pPr>
        <w:ind w:firstLine="1911" w:firstLineChars="595"/>
        <w:rPr>
          <w:rFonts w:ascii="宋体" w:hAnsi="宋体" w:cs="宋体"/>
          <w:b/>
          <w:bCs/>
          <w:color w:val="auto"/>
          <w:sz w:val="32"/>
          <w:szCs w:val="32"/>
          <w:highlight w:val="none"/>
        </w:rPr>
      </w:pPr>
    </w:p>
    <w:p w14:paraId="75B58917">
      <w:pPr>
        <w:ind w:firstLine="1911" w:firstLineChars="595"/>
        <w:rPr>
          <w:rFonts w:ascii="宋体" w:hAnsi="宋体" w:cs="宋体"/>
          <w:b/>
          <w:bCs/>
          <w:color w:val="auto"/>
          <w:sz w:val="32"/>
          <w:szCs w:val="32"/>
          <w:highlight w:val="none"/>
        </w:rPr>
      </w:pPr>
    </w:p>
    <w:p w14:paraId="68731154">
      <w:pPr>
        <w:ind w:firstLine="1911" w:firstLineChars="595"/>
        <w:rPr>
          <w:rFonts w:ascii="宋体" w:hAnsi="宋体" w:cs="宋体"/>
          <w:b/>
          <w:bCs/>
          <w:color w:val="auto"/>
          <w:sz w:val="32"/>
          <w:szCs w:val="32"/>
          <w:highlight w:val="none"/>
        </w:rPr>
      </w:pPr>
    </w:p>
    <w:p w14:paraId="386D2D93">
      <w:pPr>
        <w:ind w:firstLine="1911" w:firstLineChars="595"/>
        <w:rPr>
          <w:rFonts w:ascii="宋体" w:hAnsi="宋体" w:cs="宋体"/>
          <w:b/>
          <w:bCs/>
          <w:color w:val="auto"/>
          <w:sz w:val="32"/>
          <w:szCs w:val="32"/>
          <w:highlight w:val="none"/>
        </w:rPr>
      </w:pPr>
    </w:p>
    <w:p w14:paraId="4EE03DD5">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采购响应人廉洁自律承诺书</w:t>
      </w:r>
    </w:p>
    <w:p w14:paraId="486BF4FE">
      <w:pPr>
        <w:snapToGrid w:val="0"/>
        <w:spacing w:line="360" w:lineRule="auto"/>
        <w:rPr>
          <w:rFonts w:ascii="宋体" w:hAnsi="宋体" w:cs="宋体"/>
          <w:color w:val="auto"/>
          <w:sz w:val="24"/>
          <w:highlight w:val="none"/>
        </w:rPr>
      </w:pPr>
    </w:p>
    <w:p w14:paraId="0CAB5466">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46E23C5B">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53DFEBC">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08FE6C8">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006D06E">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8A20FB9">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32188F0">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1F6880F7">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6B6EE69">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进行项目建设或其他经营活动，并通报财政局。由此引起的相应损失均由我单位承担。</w:t>
      </w:r>
    </w:p>
    <w:p w14:paraId="17AE8851">
      <w:pPr>
        <w:autoSpaceDE w:val="0"/>
        <w:autoSpaceDN w:val="0"/>
        <w:spacing w:line="360" w:lineRule="auto"/>
        <w:ind w:left="2"/>
        <w:jc w:val="left"/>
        <w:rPr>
          <w:rFonts w:ascii="宋体" w:hAnsi="宋体" w:cs="宋体"/>
          <w:color w:val="auto"/>
          <w:kern w:val="0"/>
          <w:sz w:val="24"/>
          <w:highlight w:val="none"/>
          <w:lang w:val="zh-CN"/>
        </w:rPr>
      </w:pPr>
    </w:p>
    <w:p w14:paraId="4B27447E">
      <w:pPr>
        <w:autoSpaceDE w:val="0"/>
        <w:autoSpaceDN w:val="0"/>
        <w:spacing w:line="360" w:lineRule="auto"/>
        <w:ind w:left="2"/>
        <w:jc w:val="left"/>
        <w:rPr>
          <w:rFonts w:ascii="宋体" w:hAnsi="宋体" w:cs="宋体"/>
          <w:color w:val="auto"/>
          <w:kern w:val="0"/>
          <w:sz w:val="24"/>
          <w:highlight w:val="none"/>
          <w:lang w:val="zh-CN"/>
        </w:rPr>
      </w:pPr>
    </w:p>
    <w:p w14:paraId="2269C7F3">
      <w:pPr>
        <w:autoSpaceDE w:val="0"/>
        <w:autoSpaceDN w:val="0"/>
        <w:spacing w:line="360" w:lineRule="auto"/>
        <w:ind w:left="2"/>
        <w:jc w:val="left"/>
        <w:rPr>
          <w:rFonts w:ascii="宋体" w:hAnsi="宋体" w:cs="宋体"/>
          <w:color w:val="auto"/>
          <w:kern w:val="0"/>
          <w:sz w:val="24"/>
          <w:highlight w:val="none"/>
          <w:lang w:val="zh-CN"/>
        </w:rPr>
      </w:pPr>
    </w:p>
    <w:p w14:paraId="5765AB6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FAFC632">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7335C30">
      <w:pPr>
        <w:spacing w:line="360" w:lineRule="auto"/>
        <w:jc w:val="center"/>
        <w:rPr>
          <w:rFonts w:ascii="宋体" w:hAnsi="宋体" w:cs="宋体"/>
          <w:b/>
          <w:bCs/>
          <w:color w:val="auto"/>
          <w:sz w:val="24"/>
          <w:highlight w:val="none"/>
        </w:rPr>
      </w:pPr>
    </w:p>
    <w:p w14:paraId="0EEECD2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EC861D8">
      <w:pPr>
        <w:spacing w:line="360" w:lineRule="auto"/>
        <w:jc w:val="center"/>
        <w:rPr>
          <w:rFonts w:ascii="宋体" w:hAnsi="宋体" w:cs="宋体"/>
          <w:b/>
          <w:bCs/>
          <w:color w:val="auto"/>
          <w:sz w:val="24"/>
          <w:highlight w:val="none"/>
        </w:rPr>
        <w:sectPr>
          <w:headerReference r:id="rId10" w:type="first"/>
          <w:footerReference r:id="rId12" w:type="first"/>
          <w:headerReference r:id="rId9" w:type="default"/>
          <w:footerReference r:id="rId11" w:type="default"/>
          <w:pgSz w:w="11906" w:h="16838"/>
          <w:pgMar w:top="1440" w:right="1440" w:bottom="1440" w:left="1440" w:header="851" w:footer="992" w:gutter="0"/>
          <w:cols w:space="720" w:num="1"/>
          <w:titlePg/>
          <w:docGrid w:linePitch="312" w:charSpace="0"/>
        </w:sectPr>
      </w:pPr>
    </w:p>
    <w:p w14:paraId="2FE80C7A">
      <w:pPr>
        <w:spacing w:line="360" w:lineRule="auto"/>
        <w:jc w:val="center"/>
        <w:outlineLvl w:val="0"/>
        <w:rPr>
          <w:rFonts w:ascii="宋体" w:hAnsi="宋体" w:cs="宋体"/>
          <w:b/>
          <w:color w:val="auto"/>
          <w:kern w:val="0"/>
          <w:sz w:val="36"/>
          <w:szCs w:val="36"/>
          <w:highlight w:val="none"/>
        </w:rPr>
      </w:pPr>
    </w:p>
    <w:p w14:paraId="420B91B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3053F2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5C6D65B">
      <w:pPr>
        <w:spacing w:line="360" w:lineRule="auto"/>
        <w:jc w:val="center"/>
        <w:outlineLvl w:val="0"/>
        <w:rPr>
          <w:rFonts w:ascii="宋体" w:hAnsi="宋体" w:cs="宋体"/>
          <w:b/>
          <w:color w:val="auto"/>
          <w:kern w:val="0"/>
          <w:sz w:val="36"/>
          <w:szCs w:val="36"/>
          <w:highlight w:val="none"/>
        </w:rPr>
      </w:pPr>
    </w:p>
    <w:p w14:paraId="566CBDCF">
      <w:pPr>
        <w:snapToGrid w:val="0"/>
        <w:spacing w:line="360" w:lineRule="auto"/>
        <w:rPr>
          <w:rFonts w:ascii="宋体" w:hAnsi="宋体" w:cs="宋体"/>
          <w:color w:val="auto"/>
          <w:sz w:val="24"/>
          <w:highlight w:val="none"/>
        </w:rPr>
        <w:sectPr>
          <w:headerReference r:id="rId14" w:type="first"/>
          <w:footerReference r:id="rId16" w:type="first"/>
          <w:headerReference r:id="rId13" w:type="default"/>
          <w:footerReference r:id="rId15" w:type="default"/>
          <w:pgSz w:w="11906" w:h="16838"/>
          <w:pgMar w:top="1440" w:right="1440" w:bottom="1440" w:left="1440" w:header="851" w:footer="992" w:gutter="0"/>
          <w:cols w:space="720" w:num="1"/>
          <w:titlePg/>
          <w:docGrid w:linePitch="312" w:charSpace="0"/>
        </w:sectPr>
      </w:pPr>
      <w:r>
        <w:rPr>
          <w:rFonts w:hint="eastAsia" w:ascii="宋体" w:hAnsi="宋体" w:cs="宋体"/>
          <w:color w:val="auto"/>
          <w:sz w:val="24"/>
          <w:highlight w:val="none"/>
        </w:rPr>
        <w:t>（1）开标一览表（报价表）………………………………………………………（页码）</w:t>
      </w:r>
    </w:p>
    <w:p w14:paraId="0ACFC542">
      <w:pPr>
        <w:pStyle w:val="695"/>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509F94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0FFC276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按你方交易文件要求，我们，本响应文件签字方，谨此向你方发出要约如下：如你方接受本投标，我方承诺按照如下开标一览表（报价表）的价格完成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2242ED17">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5460"/>
        <w:gridCol w:w="2193"/>
        <w:gridCol w:w="1843"/>
        <w:gridCol w:w="850"/>
        <w:gridCol w:w="1139"/>
        <w:gridCol w:w="846"/>
        <w:gridCol w:w="1701"/>
      </w:tblGrid>
      <w:tr w14:paraId="3D27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533" w:type="dxa"/>
            <w:tcBorders>
              <w:top w:val="single" w:color="auto" w:sz="4" w:space="0"/>
              <w:left w:val="single" w:color="auto" w:sz="4" w:space="0"/>
              <w:bottom w:val="single" w:color="auto" w:sz="4" w:space="0"/>
              <w:right w:val="single" w:color="auto" w:sz="4" w:space="0"/>
            </w:tcBorders>
            <w:vAlign w:val="center"/>
          </w:tcPr>
          <w:p w14:paraId="2AB56F5D">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460" w:type="dxa"/>
            <w:tcBorders>
              <w:top w:val="single" w:color="auto" w:sz="4" w:space="0"/>
              <w:left w:val="single" w:color="auto" w:sz="4" w:space="0"/>
              <w:bottom w:val="single" w:color="auto" w:sz="4" w:space="0"/>
              <w:right w:val="single" w:color="auto" w:sz="4" w:space="0"/>
            </w:tcBorders>
            <w:vAlign w:val="center"/>
          </w:tcPr>
          <w:p w14:paraId="430780A4">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2193" w:type="dxa"/>
            <w:tcBorders>
              <w:top w:val="single" w:color="auto" w:sz="4" w:space="0"/>
              <w:left w:val="single" w:color="auto" w:sz="4" w:space="0"/>
              <w:bottom w:val="single" w:color="auto" w:sz="4" w:space="0"/>
              <w:right w:val="single" w:color="auto" w:sz="4" w:space="0"/>
            </w:tcBorders>
            <w:vAlign w:val="center"/>
          </w:tcPr>
          <w:p w14:paraId="446BA86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品牌（如果有）</w:t>
            </w:r>
          </w:p>
        </w:tc>
        <w:tc>
          <w:tcPr>
            <w:tcW w:w="1843" w:type="dxa"/>
            <w:tcBorders>
              <w:top w:val="single" w:color="auto" w:sz="4" w:space="0"/>
              <w:left w:val="single" w:color="auto" w:sz="4" w:space="0"/>
              <w:bottom w:val="single" w:color="auto" w:sz="4" w:space="0"/>
              <w:right w:val="single" w:color="auto" w:sz="4" w:space="0"/>
            </w:tcBorders>
            <w:vAlign w:val="center"/>
          </w:tcPr>
          <w:p w14:paraId="769DE76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（具体服务）</w:t>
            </w:r>
          </w:p>
        </w:tc>
        <w:tc>
          <w:tcPr>
            <w:tcW w:w="850" w:type="dxa"/>
            <w:tcBorders>
              <w:top w:val="single" w:color="auto" w:sz="4" w:space="0"/>
              <w:left w:val="single" w:color="auto" w:sz="4" w:space="0"/>
              <w:bottom w:val="single" w:color="auto" w:sz="4" w:space="0"/>
              <w:right w:val="single" w:color="auto" w:sz="4" w:space="0"/>
            </w:tcBorders>
            <w:vAlign w:val="center"/>
          </w:tcPr>
          <w:p w14:paraId="2CEC5A9D">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139" w:type="dxa"/>
            <w:tcBorders>
              <w:top w:val="single" w:color="auto" w:sz="4" w:space="0"/>
              <w:left w:val="single" w:color="auto" w:sz="4" w:space="0"/>
              <w:bottom w:val="single" w:color="auto" w:sz="4" w:space="0"/>
              <w:right w:val="single" w:color="auto" w:sz="4" w:space="0"/>
            </w:tcBorders>
            <w:vAlign w:val="center"/>
          </w:tcPr>
          <w:p w14:paraId="36B14057">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单价</w:t>
            </w:r>
          </w:p>
        </w:tc>
        <w:tc>
          <w:tcPr>
            <w:tcW w:w="846" w:type="dxa"/>
            <w:tcBorders>
              <w:top w:val="single" w:color="auto" w:sz="4" w:space="0"/>
              <w:left w:val="single" w:color="auto" w:sz="4" w:space="0"/>
              <w:bottom w:val="single" w:color="auto" w:sz="4" w:space="0"/>
              <w:right w:val="single" w:color="auto" w:sz="4" w:space="0"/>
            </w:tcBorders>
            <w:vAlign w:val="center"/>
          </w:tcPr>
          <w:p w14:paraId="1984DFD9">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总价</w:t>
            </w:r>
          </w:p>
        </w:tc>
        <w:tc>
          <w:tcPr>
            <w:tcW w:w="1701" w:type="dxa"/>
            <w:tcBorders>
              <w:top w:val="single" w:color="auto" w:sz="4" w:space="0"/>
              <w:left w:val="single" w:color="auto" w:sz="4" w:space="0"/>
              <w:bottom w:val="single" w:color="auto" w:sz="4" w:space="0"/>
              <w:right w:val="single" w:color="auto" w:sz="4" w:space="0"/>
            </w:tcBorders>
            <w:vAlign w:val="center"/>
          </w:tcPr>
          <w:p w14:paraId="417EB2BB">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服务要求</w:t>
            </w:r>
          </w:p>
          <w:p w14:paraId="7B68F3A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（年限）</w:t>
            </w:r>
          </w:p>
        </w:tc>
      </w:tr>
      <w:tr w14:paraId="62B9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3" w:type="dxa"/>
            <w:tcBorders>
              <w:top w:val="single" w:color="auto" w:sz="4" w:space="0"/>
              <w:left w:val="single" w:color="auto" w:sz="4" w:space="0"/>
              <w:bottom w:val="single" w:color="auto" w:sz="4" w:space="0"/>
              <w:right w:val="single" w:color="auto" w:sz="4" w:space="0"/>
            </w:tcBorders>
            <w:vAlign w:val="center"/>
          </w:tcPr>
          <w:p w14:paraId="7B57F36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460" w:type="dxa"/>
            <w:tcBorders>
              <w:top w:val="single" w:color="auto" w:sz="4" w:space="0"/>
              <w:left w:val="single" w:color="auto" w:sz="4" w:space="0"/>
              <w:bottom w:val="single" w:color="auto" w:sz="4" w:space="0"/>
              <w:right w:val="single" w:color="auto" w:sz="4" w:space="0"/>
            </w:tcBorders>
            <w:vAlign w:val="center"/>
          </w:tcPr>
          <w:p w14:paraId="5BC838F5">
            <w:pPr>
              <w:snapToGrid w:val="0"/>
              <w:spacing w:line="360" w:lineRule="auto"/>
              <w:jc w:val="center"/>
              <w:rPr>
                <w:rFonts w:hint="eastAsia" w:ascii="宋体" w:hAnsi="宋体" w:eastAsia="宋体" w:cs="宋体"/>
                <w:color w:val="auto"/>
                <w:sz w:val="24"/>
                <w:szCs w:val="24"/>
                <w:highlight w:val="none"/>
              </w:rPr>
            </w:pPr>
          </w:p>
        </w:tc>
        <w:tc>
          <w:tcPr>
            <w:tcW w:w="2193" w:type="dxa"/>
            <w:tcBorders>
              <w:top w:val="single" w:color="auto" w:sz="4" w:space="0"/>
              <w:left w:val="single" w:color="auto" w:sz="4" w:space="0"/>
              <w:bottom w:val="single" w:color="auto" w:sz="4" w:space="0"/>
              <w:right w:val="single" w:color="auto" w:sz="4" w:space="0"/>
            </w:tcBorders>
            <w:vAlign w:val="center"/>
          </w:tcPr>
          <w:p w14:paraId="06A65ABA">
            <w:pPr>
              <w:snapToGrid w:val="0"/>
              <w:spacing w:line="360" w:lineRule="auto"/>
              <w:jc w:val="center"/>
              <w:rPr>
                <w:rFonts w:hint="eastAsia" w:ascii="宋体" w:hAnsi="宋体" w:eastAsia="宋体" w:cs="宋体"/>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634B3AE7">
            <w:pPr>
              <w:snapToGrid w:val="0"/>
              <w:spacing w:line="360" w:lineRule="auto"/>
              <w:jc w:val="center"/>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AA39E45">
            <w:pPr>
              <w:snapToGrid w:val="0"/>
              <w:spacing w:line="360" w:lineRule="auto"/>
              <w:jc w:val="center"/>
              <w:rPr>
                <w:rFonts w:hint="eastAsia" w:ascii="宋体" w:hAnsi="宋体" w:eastAsia="宋体" w:cs="宋体"/>
                <w:color w:val="auto"/>
                <w:sz w:val="24"/>
                <w:szCs w:val="24"/>
                <w:highlight w:val="none"/>
              </w:rPr>
            </w:pPr>
          </w:p>
        </w:tc>
        <w:tc>
          <w:tcPr>
            <w:tcW w:w="1139" w:type="dxa"/>
            <w:tcBorders>
              <w:top w:val="single" w:color="auto" w:sz="4" w:space="0"/>
              <w:left w:val="single" w:color="auto" w:sz="4" w:space="0"/>
              <w:bottom w:val="single" w:color="auto" w:sz="4" w:space="0"/>
              <w:right w:val="single" w:color="auto" w:sz="4" w:space="0"/>
            </w:tcBorders>
            <w:vAlign w:val="center"/>
          </w:tcPr>
          <w:p w14:paraId="7265147D">
            <w:pPr>
              <w:spacing w:line="360" w:lineRule="auto"/>
              <w:jc w:val="center"/>
              <w:rPr>
                <w:rFonts w:hint="eastAsia" w:ascii="宋体" w:hAnsi="宋体" w:eastAsia="宋体" w:cs="宋体"/>
                <w:color w:val="auto"/>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14:paraId="74AF9868">
            <w:pPr>
              <w:spacing w:line="360" w:lineRule="auto"/>
              <w:jc w:val="center"/>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BDBB8E2">
            <w:pPr>
              <w:spacing w:line="360" w:lineRule="auto"/>
              <w:jc w:val="center"/>
              <w:rPr>
                <w:rFonts w:hint="eastAsia" w:ascii="宋体" w:hAnsi="宋体" w:eastAsia="宋体" w:cs="宋体"/>
                <w:color w:val="auto"/>
                <w:sz w:val="24"/>
                <w:szCs w:val="24"/>
                <w:highlight w:val="none"/>
              </w:rPr>
            </w:pPr>
          </w:p>
        </w:tc>
      </w:tr>
      <w:tr w14:paraId="25D5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3" w:type="dxa"/>
            <w:tcBorders>
              <w:top w:val="single" w:color="auto" w:sz="4" w:space="0"/>
              <w:left w:val="single" w:color="auto" w:sz="4" w:space="0"/>
              <w:bottom w:val="single" w:color="auto" w:sz="4" w:space="0"/>
              <w:right w:val="single" w:color="auto" w:sz="4" w:space="0"/>
            </w:tcBorders>
            <w:vAlign w:val="center"/>
          </w:tcPr>
          <w:p w14:paraId="45A18F4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460" w:type="dxa"/>
            <w:tcBorders>
              <w:top w:val="single" w:color="auto" w:sz="4" w:space="0"/>
              <w:left w:val="single" w:color="auto" w:sz="4" w:space="0"/>
              <w:bottom w:val="single" w:color="auto" w:sz="4" w:space="0"/>
              <w:right w:val="single" w:color="auto" w:sz="4" w:space="0"/>
            </w:tcBorders>
            <w:vAlign w:val="center"/>
          </w:tcPr>
          <w:p w14:paraId="1B43F585">
            <w:pPr>
              <w:snapToGrid w:val="0"/>
              <w:spacing w:line="360" w:lineRule="auto"/>
              <w:jc w:val="center"/>
              <w:rPr>
                <w:rFonts w:hint="eastAsia" w:ascii="宋体" w:hAnsi="宋体" w:eastAsia="宋体" w:cs="宋体"/>
                <w:color w:val="auto"/>
                <w:sz w:val="24"/>
                <w:szCs w:val="24"/>
                <w:highlight w:val="none"/>
              </w:rPr>
            </w:pPr>
          </w:p>
        </w:tc>
        <w:tc>
          <w:tcPr>
            <w:tcW w:w="2193" w:type="dxa"/>
            <w:tcBorders>
              <w:top w:val="single" w:color="auto" w:sz="4" w:space="0"/>
              <w:left w:val="single" w:color="auto" w:sz="4" w:space="0"/>
              <w:bottom w:val="single" w:color="auto" w:sz="4" w:space="0"/>
              <w:right w:val="single" w:color="auto" w:sz="4" w:space="0"/>
            </w:tcBorders>
            <w:vAlign w:val="center"/>
          </w:tcPr>
          <w:p w14:paraId="264A4BCE">
            <w:pPr>
              <w:snapToGrid w:val="0"/>
              <w:spacing w:line="360" w:lineRule="auto"/>
              <w:jc w:val="center"/>
              <w:rPr>
                <w:rFonts w:hint="eastAsia" w:ascii="宋体" w:hAnsi="宋体" w:eastAsia="宋体" w:cs="宋体"/>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42AEDFEA">
            <w:pPr>
              <w:snapToGrid w:val="0"/>
              <w:spacing w:line="360" w:lineRule="auto"/>
              <w:jc w:val="center"/>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F205206">
            <w:pPr>
              <w:snapToGrid w:val="0"/>
              <w:spacing w:line="360" w:lineRule="auto"/>
              <w:jc w:val="center"/>
              <w:rPr>
                <w:rFonts w:hint="eastAsia" w:ascii="宋体" w:hAnsi="宋体" w:eastAsia="宋体" w:cs="宋体"/>
                <w:color w:val="auto"/>
                <w:sz w:val="24"/>
                <w:szCs w:val="24"/>
                <w:highlight w:val="none"/>
              </w:rPr>
            </w:pPr>
          </w:p>
        </w:tc>
        <w:tc>
          <w:tcPr>
            <w:tcW w:w="1139" w:type="dxa"/>
            <w:tcBorders>
              <w:top w:val="single" w:color="auto" w:sz="4" w:space="0"/>
              <w:left w:val="single" w:color="auto" w:sz="4" w:space="0"/>
              <w:bottom w:val="single" w:color="auto" w:sz="4" w:space="0"/>
              <w:right w:val="single" w:color="auto" w:sz="4" w:space="0"/>
            </w:tcBorders>
            <w:vAlign w:val="center"/>
          </w:tcPr>
          <w:p w14:paraId="7BE81583">
            <w:pPr>
              <w:spacing w:line="360" w:lineRule="auto"/>
              <w:jc w:val="center"/>
              <w:rPr>
                <w:rFonts w:hint="eastAsia" w:ascii="宋体" w:hAnsi="宋体" w:eastAsia="宋体" w:cs="宋体"/>
                <w:color w:val="auto"/>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14:paraId="0FF2A7D1">
            <w:pPr>
              <w:spacing w:line="360" w:lineRule="auto"/>
              <w:jc w:val="center"/>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C673190">
            <w:pPr>
              <w:spacing w:line="360" w:lineRule="auto"/>
              <w:jc w:val="center"/>
              <w:rPr>
                <w:rFonts w:hint="eastAsia" w:ascii="宋体" w:hAnsi="宋体" w:eastAsia="宋体" w:cs="宋体"/>
                <w:color w:val="auto"/>
                <w:sz w:val="24"/>
                <w:szCs w:val="24"/>
                <w:highlight w:val="none"/>
              </w:rPr>
            </w:pPr>
          </w:p>
        </w:tc>
      </w:tr>
      <w:tr w14:paraId="24B3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3" w:type="dxa"/>
            <w:tcBorders>
              <w:top w:val="single" w:color="auto" w:sz="4" w:space="0"/>
              <w:left w:val="single" w:color="auto" w:sz="4" w:space="0"/>
              <w:bottom w:val="single" w:color="auto" w:sz="4" w:space="0"/>
              <w:right w:val="single" w:color="auto" w:sz="4" w:space="0"/>
            </w:tcBorders>
            <w:vAlign w:val="center"/>
          </w:tcPr>
          <w:p w14:paraId="285DFED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460" w:type="dxa"/>
            <w:tcBorders>
              <w:top w:val="single" w:color="auto" w:sz="4" w:space="0"/>
              <w:left w:val="single" w:color="auto" w:sz="4" w:space="0"/>
              <w:bottom w:val="single" w:color="auto" w:sz="4" w:space="0"/>
              <w:right w:val="single" w:color="auto" w:sz="4" w:space="0"/>
            </w:tcBorders>
            <w:vAlign w:val="center"/>
          </w:tcPr>
          <w:p w14:paraId="41DDA1EF">
            <w:pPr>
              <w:snapToGrid w:val="0"/>
              <w:spacing w:line="360" w:lineRule="auto"/>
              <w:jc w:val="center"/>
              <w:rPr>
                <w:rFonts w:hint="eastAsia" w:ascii="宋体" w:hAnsi="宋体" w:eastAsia="宋体" w:cs="宋体"/>
                <w:color w:val="auto"/>
                <w:sz w:val="24"/>
                <w:szCs w:val="24"/>
                <w:highlight w:val="none"/>
              </w:rPr>
            </w:pPr>
          </w:p>
        </w:tc>
        <w:tc>
          <w:tcPr>
            <w:tcW w:w="2193" w:type="dxa"/>
            <w:tcBorders>
              <w:top w:val="single" w:color="auto" w:sz="4" w:space="0"/>
              <w:left w:val="single" w:color="auto" w:sz="4" w:space="0"/>
              <w:bottom w:val="single" w:color="auto" w:sz="4" w:space="0"/>
              <w:right w:val="single" w:color="auto" w:sz="4" w:space="0"/>
            </w:tcBorders>
            <w:vAlign w:val="center"/>
          </w:tcPr>
          <w:p w14:paraId="4E9A7624">
            <w:pPr>
              <w:snapToGrid w:val="0"/>
              <w:spacing w:line="360" w:lineRule="auto"/>
              <w:jc w:val="center"/>
              <w:rPr>
                <w:rFonts w:hint="eastAsia" w:ascii="宋体" w:hAnsi="宋体" w:eastAsia="宋体" w:cs="宋体"/>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0122C104">
            <w:pPr>
              <w:snapToGrid w:val="0"/>
              <w:spacing w:line="360" w:lineRule="auto"/>
              <w:jc w:val="center"/>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FC0A0DB">
            <w:pPr>
              <w:snapToGrid w:val="0"/>
              <w:spacing w:line="360" w:lineRule="auto"/>
              <w:jc w:val="center"/>
              <w:rPr>
                <w:rFonts w:hint="eastAsia" w:ascii="宋体" w:hAnsi="宋体" w:eastAsia="宋体" w:cs="宋体"/>
                <w:color w:val="auto"/>
                <w:sz w:val="24"/>
                <w:szCs w:val="24"/>
                <w:highlight w:val="none"/>
              </w:rPr>
            </w:pPr>
          </w:p>
        </w:tc>
        <w:tc>
          <w:tcPr>
            <w:tcW w:w="1139" w:type="dxa"/>
            <w:tcBorders>
              <w:top w:val="single" w:color="auto" w:sz="4" w:space="0"/>
              <w:left w:val="single" w:color="auto" w:sz="4" w:space="0"/>
              <w:bottom w:val="single" w:color="auto" w:sz="4" w:space="0"/>
              <w:right w:val="single" w:color="auto" w:sz="4" w:space="0"/>
            </w:tcBorders>
            <w:vAlign w:val="center"/>
          </w:tcPr>
          <w:p w14:paraId="3B45CA08">
            <w:pPr>
              <w:spacing w:line="360" w:lineRule="auto"/>
              <w:jc w:val="center"/>
              <w:rPr>
                <w:rFonts w:hint="eastAsia" w:ascii="宋体" w:hAnsi="宋体" w:eastAsia="宋体" w:cs="宋体"/>
                <w:color w:val="auto"/>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14:paraId="72F27FCE">
            <w:pPr>
              <w:spacing w:line="360" w:lineRule="auto"/>
              <w:jc w:val="center"/>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F5494CA">
            <w:pPr>
              <w:spacing w:line="360" w:lineRule="auto"/>
              <w:jc w:val="center"/>
              <w:rPr>
                <w:rFonts w:hint="eastAsia" w:ascii="宋体" w:hAnsi="宋体" w:eastAsia="宋体" w:cs="宋体"/>
                <w:color w:val="auto"/>
                <w:sz w:val="24"/>
                <w:szCs w:val="24"/>
                <w:highlight w:val="none"/>
              </w:rPr>
            </w:pPr>
          </w:p>
        </w:tc>
      </w:tr>
      <w:tr w14:paraId="6925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33" w:type="dxa"/>
            <w:tcBorders>
              <w:top w:val="single" w:color="auto" w:sz="4" w:space="0"/>
              <w:left w:val="single" w:color="auto" w:sz="4" w:space="0"/>
              <w:bottom w:val="single" w:color="auto" w:sz="4" w:space="0"/>
              <w:right w:val="single" w:color="auto" w:sz="4" w:space="0"/>
            </w:tcBorders>
            <w:vAlign w:val="center"/>
          </w:tcPr>
          <w:p w14:paraId="3884DDEF">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5460" w:type="dxa"/>
            <w:tcBorders>
              <w:top w:val="single" w:color="auto" w:sz="4" w:space="0"/>
              <w:left w:val="single" w:color="auto" w:sz="4" w:space="0"/>
              <w:bottom w:val="single" w:color="auto" w:sz="4" w:space="0"/>
              <w:right w:val="single" w:color="auto" w:sz="4" w:space="0"/>
            </w:tcBorders>
            <w:vAlign w:val="center"/>
          </w:tcPr>
          <w:p w14:paraId="3D2B995B">
            <w:pPr>
              <w:snapToGrid w:val="0"/>
              <w:spacing w:line="360" w:lineRule="auto"/>
              <w:jc w:val="center"/>
              <w:rPr>
                <w:rFonts w:hint="eastAsia" w:ascii="宋体" w:hAnsi="宋体" w:eastAsia="宋体" w:cs="宋体"/>
                <w:color w:val="auto"/>
                <w:sz w:val="24"/>
                <w:szCs w:val="24"/>
                <w:highlight w:val="none"/>
              </w:rPr>
            </w:pPr>
          </w:p>
        </w:tc>
        <w:tc>
          <w:tcPr>
            <w:tcW w:w="2193" w:type="dxa"/>
            <w:tcBorders>
              <w:top w:val="single" w:color="auto" w:sz="4" w:space="0"/>
              <w:left w:val="single" w:color="auto" w:sz="4" w:space="0"/>
              <w:bottom w:val="single" w:color="auto" w:sz="4" w:space="0"/>
              <w:right w:val="single" w:color="auto" w:sz="4" w:space="0"/>
            </w:tcBorders>
            <w:vAlign w:val="center"/>
          </w:tcPr>
          <w:p w14:paraId="18829EAD">
            <w:pPr>
              <w:snapToGrid w:val="0"/>
              <w:spacing w:line="360" w:lineRule="auto"/>
              <w:jc w:val="center"/>
              <w:rPr>
                <w:rFonts w:hint="eastAsia" w:ascii="宋体" w:hAnsi="宋体" w:eastAsia="宋体" w:cs="宋体"/>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6EC9B416">
            <w:pPr>
              <w:snapToGrid w:val="0"/>
              <w:spacing w:line="360" w:lineRule="auto"/>
              <w:jc w:val="center"/>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1578545">
            <w:pPr>
              <w:snapToGrid w:val="0"/>
              <w:spacing w:line="360" w:lineRule="auto"/>
              <w:jc w:val="center"/>
              <w:rPr>
                <w:rFonts w:hint="eastAsia" w:ascii="宋体" w:hAnsi="宋体" w:eastAsia="宋体" w:cs="宋体"/>
                <w:color w:val="auto"/>
                <w:sz w:val="24"/>
                <w:szCs w:val="24"/>
                <w:highlight w:val="none"/>
              </w:rPr>
            </w:pPr>
          </w:p>
        </w:tc>
        <w:tc>
          <w:tcPr>
            <w:tcW w:w="1139" w:type="dxa"/>
            <w:tcBorders>
              <w:top w:val="single" w:color="auto" w:sz="4" w:space="0"/>
              <w:left w:val="single" w:color="auto" w:sz="4" w:space="0"/>
              <w:bottom w:val="single" w:color="auto" w:sz="4" w:space="0"/>
              <w:right w:val="single" w:color="auto" w:sz="4" w:space="0"/>
            </w:tcBorders>
            <w:vAlign w:val="center"/>
          </w:tcPr>
          <w:p w14:paraId="18688605">
            <w:pPr>
              <w:spacing w:line="360" w:lineRule="auto"/>
              <w:jc w:val="center"/>
              <w:rPr>
                <w:rFonts w:hint="eastAsia" w:ascii="宋体" w:hAnsi="宋体" w:eastAsia="宋体" w:cs="宋体"/>
                <w:color w:val="auto"/>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14:paraId="1D544DF6">
            <w:pPr>
              <w:spacing w:line="360" w:lineRule="auto"/>
              <w:jc w:val="center"/>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A22A221">
            <w:pPr>
              <w:spacing w:line="360" w:lineRule="auto"/>
              <w:jc w:val="center"/>
              <w:rPr>
                <w:rFonts w:hint="eastAsia" w:ascii="宋体" w:hAnsi="宋体" w:eastAsia="宋体" w:cs="宋体"/>
                <w:color w:val="auto"/>
                <w:sz w:val="24"/>
                <w:szCs w:val="24"/>
                <w:highlight w:val="none"/>
              </w:rPr>
            </w:pPr>
          </w:p>
        </w:tc>
      </w:tr>
      <w:tr w14:paraId="0851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0029" w:type="dxa"/>
            <w:gridSpan w:val="4"/>
            <w:tcBorders>
              <w:top w:val="single" w:color="auto" w:sz="4" w:space="0"/>
              <w:left w:val="single" w:color="auto" w:sz="4" w:space="0"/>
              <w:bottom w:val="single" w:color="auto" w:sz="4" w:space="0"/>
              <w:right w:val="single" w:color="auto" w:sz="4" w:space="0"/>
            </w:tcBorders>
            <w:vAlign w:val="center"/>
          </w:tcPr>
          <w:p w14:paraId="6F51E879">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投标报价（小写）</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元</w:t>
            </w:r>
            <w:r>
              <w:rPr>
                <w:rFonts w:hint="eastAsia" w:ascii="宋体" w:hAnsi="宋体" w:eastAsia="宋体" w:cs="宋体"/>
                <w:b/>
                <w:color w:val="auto"/>
                <w:sz w:val="24"/>
                <w:szCs w:val="24"/>
                <w:highlight w:val="none"/>
                <w:lang w:eastAsia="zh-CN"/>
              </w:rPr>
              <w:t>）</w:t>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2EBD603D">
            <w:pPr>
              <w:spacing w:line="360" w:lineRule="auto"/>
              <w:jc w:val="center"/>
              <w:rPr>
                <w:rFonts w:hint="eastAsia" w:ascii="宋体" w:hAnsi="宋体" w:eastAsia="宋体" w:cs="宋体"/>
                <w:color w:val="auto"/>
                <w:sz w:val="24"/>
                <w:szCs w:val="24"/>
                <w:highlight w:val="none"/>
              </w:rPr>
            </w:pPr>
          </w:p>
        </w:tc>
      </w:tr>
      <w:tr w14:paraId="1EB3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029" w:type="dxa"/>
            <w:gridSpan w:val="4"/>
            <w:tcBorders>
              <w:top w:val="single" w:color="auto" w:sz="4" w:space="0"/>
              <w:left w:val="single" w:color="auto" w:sz="4" w:space="0"/>
              <w:bottom w:val="single" w:color="auto" w:sz="4" w:space="0"/>
              <w:right w:val="single" w:color="auto" w:sz="4" w:space="0"/>
            </w:tcBorders>
            <w:vAlign w:val="center"/>
          </w:tcPr>
          <w:p w14:paraId="76F43025">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投标报价（大写）</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元</w:t>
            </w:r>
            <w:r>
              <w:rPr>
                <w:rFonts w:hint="eastAsia" w:ascii="宋体" w:hAnsi="宋体" w:eastAsia="宋体" w:cs="宋体"/>
                <w:b/>
                <w:color w:val="auto"/>
                <w:sz w:val="24"/>
                <w:szCs w:val="24"/>
                <w:highlight w:val="none"/>
                <w:lang w:eastAsia="zh-CN"/>
              </w:rPr>
              <w:t>）</w:t>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7312D135">
            <w:pPr>
              <w:spacing w:line="360" w:lineRule="auto"/>
              <w:jc w:val="center"/>
              <w:rPr>
                <w:rFonts w:hint="eastAsia" w:ascii="宋体" w:hAnsi="宋体" w:eastAsia="宋体" w:cs="宋体"/>
                <w:color w:val="auto"/>
                <w:sz w:val="24"/>
                <w:szCs w:val="24"/>
                <w:highlight w:val="none"/>
              </w:rPr>
            </w:pPr>
          </w:p>
        </w:tc>
      </w:tr>
      <w:tr w14:paraId="34ED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565" w:type="dxa"/>
            <w:gridSpan w:val="8"/>
            <w:tcBorders>
              <w:top w:val="single" w:color="auto" w:sz="4" w:space="0"/>
              <w:left w:val="single" w:color="auto" w:sz="4" w:space="0"/>
              <w:bottom w:val="single" w:color="auto" w:sz="4" w:space="0"/>
              <w:right w:val="single" w:color="auto" w:sz="4" w:space="0"/>
            </w:tcBorders>
            <w:vAlign w:val="center"/>
          </w:tcPr>
          <w:p w14:paraId="438B7C2F">
            <w:pPr>
              <w:numPr>
                <w:ilvl w:val="0"/>
                <w:numId w:val="0"/>
              </w:numPr>
              <w:spacing w:line="360" w:lineRule="auto"/>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项目负责人：       联系电话：</w:t>
            </w:r>
          </w:p>
          <w:p w14:paraId="17926C21">
            <w:pPr>
              <w:spacing w:line="360" w:lineRule="auto"/>
              <w:jc w:val="center"/>
              <w:rPr>
                <w:rFonts w:hint="eastAsia" w:ascii="宋体" w:hAnsi="宋体" w:eastAsia="宋体" w:cs="宋体"/>
                <w:color w:val="auto"/>
                <w:sz w:val="24"/>
                <w:szCs w:val="24"/>
                <w:highlight w:val="none"/>
              </w:rPr>
            </w:pPr>
          </w:p>
        </w:tc>
      </w:tr>
    </w:tbl>
    <w:p w14:paraId="4B1EC1C6">
      <w:pPr>
        <w:snapToGrid w:val="0"/>
        <w:spacing w:line="360" w:lineRule="auto"/>
        <w:ind w:left="480"/>
        <w:rPr>
          <w:rFonts w:ascii="宋体" w:hAnsi="宋体" w:cs="宋体"/>
          <w:b/>
          <w:color w:val="auto"/>
          <w:kern w:val="0"/>
          <w:sz w:val="24"/>
          <w:highlight w:val="none"/>
          <w:lang w:val="zh-CN"/>
        </w:rPr>
      </w:pPr>
      <w:r>
        <w:rPr>
          <w:rFonts w:hint="eastAsia" w:ascii="仿宋" w:hAnsi="仿宋" w:eastAsia="仿宋" w:cs="仿宋"/>
          <w:b/>
          <w:color w:val="auto"/>
          <w:kern w:val="0"/>
          <w:sz w:val="24"/>
          <w:highlight w:val="none"/>
          <w:lang w:val="zh-CN"/>
        </w:rPr>
        <w:t>注：</w:t>
      </w:r>
    </w:p>
    <w:p w14:paraId="06507425">
      <w:pPr>
        <w:numPr>
          <w:ilvl w:val="0"/>
          <w:numId w:val="1"/>
        </w:num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响应人需按本表格式填写，不得自行更改（可扩展）。</w:t>
      </w:r>
    </w:p>
    <w:p w14:paraId="740565FE">
      <w:pPr>
        <w:numPr>
          <w:ilvl w:val="0"/>
          <w:numId w:val="0"/>
        </w:num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发包人将以合同形式有偿取得货物或服务，不接受响应人给予的赠品、回扣或者与采购无关的其他商品、服务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含有</w:t>
      </w:r>
      <w:r>
        <w:rPr>
          <w:rFonts w:hint="eastAsia" w:ascii="宋体" w:hAnsi="宋体" w:cs="宋体"/>
          <w:b/>
          <w:color w:val="auto"/>
          <w:sz w:val="24"/>
          <w:highlight w:val="none"/>
          <w:lang w:eastAsia="zh-CN"/>
        </w:rPr>
        <w:t>发包人</w:t>
      </w:r>
      <w:r>
        <w:rPr>
          <w:rFonts w:hint="eastAsia" w:ascii="宋体" w:hAnsi="宋体" w:cs="宋体"/>
          <w:b/>
          <w:color w:val="auto"/>
          <w:sz w:val="24"/>
          <w:highlight w:val="none"/>
        </w:rPr>
        <w:t>不能接受的附加条件的，投标无效</w:t>
      </w:r>
      <w:r>
        <w:rPr>
          <w:rFonts w:hint="eastAsia" w:ascii="宋体" w:hAnsi="宋体" w:cs="宋体"/>
          <w:b/>
          <w:color w:val="auto"/>
          <w:kern w:val="0"/>
          <w:sz w:val="24"/>
          <w:highlight w:val="none"/>
          <w:lang w:val="zh-CN"/>
        </w:rPr>
        <w:t>；采购内容未包含在《开标一览表（报价表）》名称栏中，响应人不能作出合理解释的，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含有</w:t>
      </w:r>
      <w:r>
        <w:rPr>
          <w:rFonts w:hint="eastAsia" w:ascii="宋体" w:hAnsi="宋体" w:cs="宋体"/>
          <w:b/>
          <w:color w:val="auto"/>
          <w:sz w:val="24"/>
          <w:highlight w:val="none"/>
          <w:lang w:eastAsia="zh-CN"/>
        </w:rPr>
        <w:t>发包人</w:t>
      </w:r>
      <w:r>
        <w:rPr>
          <w:rFonts w:hint="eastAsia" w:ascii="宋体" w:hAnsi="宋体" w:cs="宋体"/>
          <w:b/>
          <w:color w:val="auto"/>
          <w:sz w:val="24"/>
          <w:highlight w:val="none"/>
        </w:rPr>
        <w:t>不能接受的附加条件的，投标无效。</w:t>
      </w:r>
    </w:p>
    <w:p w14:paraId="708DC203">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3、以上表格要求细分项目及报价，在“规格型号（或具体服务）”一栏中，货物类项目填写规格型号，服务类项目填写具体服务。</w:t>
      </w:r>
    </w:p>
    <w:p w14:paraId="22B095A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4、特别提示：采购机构将对项目名称和项目编号，中标响应人名称、地址和中标金额，主要中标标的的名称、规格型号、数量、单价、服务要求等予以公示。</w:t>
      </w:r>
    </w:p>
    <w:p w14:paraId="60432B81">
      <w:pPr>
        <w:spacing w:line="360" w:lineRule="auto"/>
        <w:ind w:firstLine="482" w:firstLineChars="200"/>
        <w:rPr>
          <w:rFonts w:ascii="宋体" w:hAnsi="宋体" w:cs="宋体"/>
          <w:color w:val="auto"/>
          <w:sz w:val="32"/>
          <w:szCs w:val="32"/>
          <w:highlight w:val="none"/>
        </w:rPr>
      </w:pPr>
      <w:r>
        <w:rPr>
          <w:rFonts w:hint="eastAsia" w:ascii="宋体" w:hAnsi="宋体" w:cs="宋体"/>
          <w:b/>
          <w:color w:val="auto"/>
          <w:sz w:val="24"/>
          <w:highlight w:val="none"/>
        </w:rPr>
        <w:t>5、特别说明：▲</w:t>
      </w:r>
      <w:r>
        <w:rPr>
          <w:rFonts w:hint="eastAsia" w:ascii="宋体" w:hAnsi="宋体" w:cs="宋体"/>
          <w:b/>
          <w:color w:val="auto"/>
          <w:sz w:val="24"/>
          <w:highlight w:val="none"/>
          <w:lang w:eastAsia="zh-CN"/>
        </w:rPr>
        <w:t>响应人</w:t>
      </w:r>
      <w:r>
        <w:rPr>
          <w:rFonts w:hint="eastAsia" w:ascii="宋体" w:hAnsi="宋体" w:cs="宋体"/>
          <w:b/>
          <w:color w:val="auto"/>
          <w:sz w:val="24"/>
          <w:highlight w:val="none"/>
        </w:rPr>
        <w:t>报价低于项目预算50%的，应当在报价文件中详细阐述不影响产品质量或者诚信履约的具体原因，未做阐述说明的，投标无效。</w:t>
      </w:r>
    </w:p>
    <w:p w14:paraId="7079578B">
      <w:pPr>
        <w:spacing w:line="360" w:lineRule="auto"/>
        <w:ind w:firstLine="482" w:firstLineChars="200"/>
        <w:rPr>
          <w:rFonts w:ascii="宋体" w:hAnsi="宋体" w:cs="宋体"/>
          <w:b/>
          <w:color w:val="auto"/>
          <w:kern w:val="0"/>
          <w:sz w:val="24"/>
          <w:highlight w:val="none"/>
        </w:rPr>
      </w:pPr>
    </w:p>
    <w:p w14:paraId="606AB78B">
      <w:pPr>
        <w:autoSpaceDE w:val="0"/>
        <w:autoSpaceDN w:val="0"/>
        <w:spacing w:line="360" w:lineRule="auto"/>
        <w:ind w:left="2" w:leftChars="1" w:right="1120" w:firstLine="4560" w:firstLineChars="1900"/>
        <w:jc w:val="righ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14:paraId="11FDBD20">
      <w:pPr>
        <w:autoSpaceDE w:val="0"/>
        <w:autoSpaceDN w:val="0"/>
        <w:spacing w:line="360" w:lineRule="auto"/>
        <w:ind w:left="2" w:leftChars="1" w:right="1120" w:firstLine="3964" w:firstLineChars="1652"/>
        <w:jc w:val="right"/>
        <w:rPr>
          <w:rFonts w:ascii="宋体" w:hAnsi="宋体" w:cs="宋体"/>
          <w:color w:val="auto"/>
          <w:kern w:val="0"/>
          <w:sz w:val="24"/>
          <w:highlight w:val="none"/>
          <w:lang w:val="zh-CN"/>
        </w:rPr>
        <w:sectPr>
          <w:pgSz w:w="16838" w:h="11906" w:orient="landscape"/>
          <w:pgMar w:top="1418" w:right="1276" w:bottom="1418" w:left="1247" w:header="851" w:footer="992" w:gutter="0"/>
          <w:cols w:space="720" w:num="1"/>
          <w:titlePg/>
          <w:docGrid w:linePitch="312" w:charSpace="0"/>
        </w:sectPr>
      </w:pPr>
      <w:r>
        <w:rPr>
          <w:rFonts w:hint="eastAsia" w:ascii="宋体" w:hAnsi="宋体" w:cs="宋体"/>
          <w:color w:val="auto"/>
          <w:kern w:val="0"/>
          <w:sz w:val="24"/>
          <w:highlight w:val="none"/>
          <w:lang w:val="zh-CN"/>
        </w:rPr>
        <w:t xml:space="preserve">    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535EF38">
      <w:pPr>
        <w:widowControl/>
        <w:adjustRightInd/>
        <w:jc w:val="left"/>
        <w:rPr>
          <w:rFonts w:ascii="宋体" w:hAnsi="宋体" w:cs="宋体"/>
          <w:b/>
          <w:color w:val="auto"/>
          <w:spacing w:val="6"/>
          <w:sz w:val="44"/>
          <w:szCs w:val="44"/>
          <w:highlight w:val="none"/>
        </w:rPr>
      </w:pPr>
      <w:bookmarkStart w:id="382" w:name="_Toc465665161"/>
      <w:r>
        <w:rPr>
          <w:rFonts w:hint="eastAsia" w:ascii="宋体" w:hAnsi="宋体" w:cs="宋体"/>
          <w:b/>
          <w:color w:val="auto"/>
          <w:spacing w:val="6"/>
          <w:sz w:val="44"/>
          <w:szCs w:val="44"/>
          <w:highlight w:val="none"/>
        </w:rPr>
        <w:t>附件</w:t>
      </w:r>
      <w:bookmarkEnd w:id="382"/>
    </w:p>
    <w:p w14:paraId="5C2DD34A">
      <w:pPr>
        <w:jc w:val="left"/>
        <w:rPr>
          <w:rFonts w:ascii="宋体" w:hAnsi="宋体" w:cs="宋体"/>
          <w:b/>
          <w:color w:val="auto"/>
          <w:spacing w:val="6"/>
          <w:sz w:val="32"/>
          <w:szCs w:val="32"/>
          <w:highlight w:val="none"/>
        </w:rPr>
      </w:pPr>
    </w:p>
    <w:p w14:paraId="69E4FE7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附件1：质疑函范本及制作说明</w:t>
      </w:r>
    </w:p>
    <w:p w14:paraId="0309D98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D6F888E">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w:t>
      </w:r>
      <w:r>
        <w:rPr>
          <w:rFonts w:hint="eastAsia" w:ascii="宋体" w:hAnsi="宋体" w:cs="宋体"/>
          <w:bCs/>
          <w:color w:val="auto"/>
          <w:sz w:val="24"/>
          <w:highlight w:val="none"/>
          <w:lang w:eastAsia="zh-CN"/>
        </w:rPr>
        <w:t>响应人</w:t>
      </w:r>
      <w:r>
        <w:rPr>
          <w:rFonts w:hint="eastAsia" w:ascii="宋体" w:hAnsi="宋体" w:cs="宋体"/>
          <w:bCs/>
          <w:color w:val="auto"/>
          <w:sz w:val="24"/>
          <w:highlight w:val="none"/>
        </w:rPr>
        <w:t>基本信息</w:t>
      </w:r>
    </w:p>
    <w:p w14:paraId="42E0B2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w:t>
      </w:r>
      <w:r>
        <w:rPr>
          <w:rFonts w:hint="eastAsia" w:ascii="宋体" w:hAnsi="宋体" w:cs="宋体"/>
          <w:color w:val="auto"/>
          <w:sz w:val="24"/>
          <w:highlight w:val="none"/>
          <w:lang w:eastAsia="zh-CN"/>
        </w:rPr>
        <w:t>响应人</w:t>
      </w:r>
      <w:r>
        <w:rPr>
          <w:rFonts w:hint="eastAsia" w:ascii="宋体" w:hAnsi="宋体" w:cs="宋体"/>
          <w:color w:val="auto"/>
          <w:sz w:val="24"/>
          <w:highlight w:val="none"/>
        </w:rPr>
        <w:t>：</w:t>
      </w:r>
      <w:r>
        <w:rPr>
          <w:rFonts w:hint="eastAsia" w:ascii="宋体" w:hAnsi="宋体" w:cs="宋体"/>
          <w:color w:val="auto"/>
          <w:sz w:val="24"/>
          <w:highlight w:val="none"/>
          <w:u w:val="dotted"/>
        </w:rPr>
        <w:t xml:space="preserve">                                        </w:t>
      </w:r>
    </w:p>
    <w:p w14:paraId="2849A8F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DDF7BF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41DD8B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7751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99233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C703E5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5FD4D6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AB36E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BCB2BE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lang w:eastAsia="zh-CN"/>
        </w:rPr>
        <w:t>发包人</w:t>
      </w:r>
      <w:r>
        <w:rPr>
          <w:rFonts w:hint="eastAsia" w:ascii="宋体" w:hAnsi="宋体" w:cs="宋体"/>
          <w:color w:val="auto"/>
          <w:sz w:val="24"/>
          <w:highlight w:val="none"/>
        </w:rPr>
        <w:t>名称：</w:t>
      </w:r>
      <w:r>
        <w:rPr>
          <w:rFonts w:hint="eastAsia" w:ascii="宋体" w:hAnsi="宋体" w:cs="宋体"/>
          <w:color w:val="auto"/>
          <w:sz w:val="24"/>
          <w:highlight w:val="none"/>
          <w:u w:val="dotted"/>
        </w:rPr>
        <w:t xml:space="preserve">                                         </w:t>
      </w:r>
    </w:p>
    <w:p w14:paraId="7A6DD87C">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获取日期：</w:t>
      </w:r>
      <w:r>
        <w:rPr>
          <w:rFonts w:hint="eastAsia" w:ascii="宋体" w:hAnsi="宋体" w:cs="宋体"/>
          <w:color w:val="auto"/>
          <w:sz w:val="24"/>
          <w:highlight w:val="none"/>
          <w:u w:val="dotted"/>
        </w:rPr>
        <w:t xml:space="preserve">                                           </w:t>
      </w:r>
    </w:p>
    <w:p w14:paraId="5E0F08E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2F4964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1F9EB1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C8B1C65">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E1AF8C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13C82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0EC1DD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52C3ED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783682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EE7EA7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EA173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60EDD4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0B3A37B">
      <w:pPr>
        <w:spacing w:line="360" w:lineRule="auto"/>
        <w:rPr>
          <w:rFonts w:ascii="宋体" w:hAnsi="宋体" w:cs="宋体"/>
          <w:b/>
          <w:color w:val="auto"/>
          <w:sz w:val="24"/>
          <w:highlight w:val="none"/>
        </w:rPr>
      </w:pPr>
    </w:p>
    <w:p w14:paraId="33D8575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2A169E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响应人</w:t>
      </w:r>
      <w:r>
        <w:rPr>
          <w:rFonts w:hint="eastAsia" w:ascii="宋体" w:hAnsi="宋体" w:cs="宋体"/>
          <w:color w:val="auto"/>
          <w:sz w:val="24"/>
          <w:highlight w:val="none"/>
        </w:rPr>
        <w:t>提出质疑时，应提交质疑函和必要的证明材料。</w:t>
      </w:r>
    </w:p>
    <w:p w14:paraId="49C0602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w:t>
      </w:r>
      <w:r>
        <w:rPr>
          <w:rFonts w:hint="eastAsia" w:ascii="宋体" w:hAnsi="宋体" w:cs="宋体"/>
          <w:color w:val="auto"/>
          <w:sz w:val="24"/>
          <w:highlight w:val="none"/>
          <w:lang w:eastAsia="zh-CN"/>
        </w:rPr>
        <w:t>响应人</w:t>
      </w:r>
      <w:r>
        <w:rPr>
          <w:rFonts w:hint="eastAsia" w:ascii="宋体" w:hAnsi="宋体" w:cs="宋体"/>
          <w:color w:val="auto"/>
          <w:sz w:val="24"/>
          <w:highlight w:val="none"/>
        </w:rPr>
        <w:t>若委托代理人进行质疑的，质疑函应按要求列明“授权代表”的有关内容，并在附件中提交由质疑</w:t>
      </w:r>
      <w:r>
        <w:rPr>
          <w:rFonts w:hint="eastAsia" w:ascii="宋体" w:hAnsi="宋体" w:cs="宋体"/>
          <w:color w:val="auto"/>
          <w:kern w:val="0"/>
          <w:sz w:val="24"/>
          <w:highlight w:val="none"/>
          <w:lang w:eastAsia="zh-CN"/>
        </w:rPr>
        <w:t>响应人</w:t>
      </w:r>
      <w:r>
        <w:rPr>
          <w:rFonts w:hint="eastAsia" w:ascii="宋体" w:hAnsi="宋体" w:cs="宋体"/>
          <w:color w:val="auto"/>
          <w:kern w:val="0"/>
          <w:sz w:val="24"/>
          <w:highlight w:val="none"/>
        </w:rPr>
        <w:t>签署的授权委托书。授权委托书应载明代理人的姓名或者名称、代理事项、具体权限、期限和相关事项。</w:t>
      </w:r>
    </w:p>
    <w:p w14:paraId="73C375C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w:t>
      </w:r>
      <w:r>
        <w:rPr>
          <w:rFonts w:hint="eastAsia" w:ascii="宋体" w:hAnsi="宋体" w:cs="宋体"/>
          <w:color w:val="auto"/>
          <w:sz w:val="24"/>
          <w:highlight w:val="none"/>
          <w:lang w:eastAsia="zh-CN"/>
        </w:rPr>
        <w:t>响应人</w:t>
      </w:r>
      <w:r>
        <w:rPr>
          <w:rFonts w:hint="eastAsia" w:ascii="宋体" w:hAnsi="宋体" w:cs="宋体"/>
          <w:color w:val="auto"/>
          <w:sz w:val="24"/>
          <w:highlight w:val="none"/>
        </w:rPr>
        <w:t>若对项目的某一分包进行质疑，质疑函中应列明具体分包号。</w:t>
      </w:r>
    </w:p>
    <w:p w14:paraId="0DC4D4E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53501C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69524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w:t>
      </w:r>
      <w:r>
        <w:rPr>
          <w:rFonts w:hint="eastAsia" w:ascii="宋体" w:hAnsi="宋体" w:cs="宋体"/>
          <w:color w:val="auto"/>
          <w:sz w:val="24"/>
          <w:highlight w:val="none"/>
          <w:lang w:eastAsia="zh-CN"/>
        </w:rPr>
        <w:t>响应人</w:t>
      </w:r>
      <w:r>
        <w:rPr>
          <w:rFonts w:hint="eastAsia" w:ascii="宋体" w:hAnsi="宋体" w:cs="宋体"/>
          <w:color w:val="auto"/>
          <w:sz w:val="24"/>
          <w:highlight w:val="none"/>
        </w:rPr>
        <w:t>为自然人的，质疑函应由本人签字；质疑</w:t>
      </w:r>
      <w:r>
        <w:rPr>
          <w:rFonts w:hint="eastAsia" w:ascii="宋体" w:hAnsi="宋体" w:cs="宋体"/>
          <w:color w:val="auto"/>
          <w:sz w:val="24"/>
          <w:highlight w:val="none"/>
          <w:lang w:eastAsia="zh-CN"/>
        </w:rPr>
        <w:t>响应人</w:t>
      </w:r>
      <w:r>
        <w:rPr>
          <w:rFonts w:hint="eastAsia" w:ascii="宋体" w:hAnsi="宋体" w:cs="宋体"/>
          <w:color w:val="auto"/>
          <w:sz w:val="24"/>
          <w:highlight w:val="none"/>
        </w:rPr>
        <w:t>为法人或者其他组织的，质疑函应由法定代表人、主要负责人，或者其授权代表签字或者盖章，并加盖公章。</w:t>
      </w:r>
    </w:p>
    <w:p w14:paraId="7B37ED71">
      <w:pPr>
        <w:widowControl/>
        <w:spacing w:line="360" w:lineRule="auto"/>
        <w:ind w:firstLine="600" w:firstLineChars="200"/>
        <w:jc w:val="left"/>
        <w:rPr>
          <w:rFonts w:ascii="宋体" w:hAnsi="宋体" w:cs="宋体"/>
          <w:color w:val="auto"/>
          <w:sz w:val="30"/>
          <w:szCs w:val="30"/>
          <w:highlight w:val="none"/>
        </w:rPr>
      </w:pPr>
    </w:p>
    <w:p w14:paraId="26E6C2D9">
      <w:pPr>
        <w:spacing w:line="360" w:lineRule="auto"/>
        <w:jc w:val="center"/>
        <w:rPr>
          <w:rFonts w:ascii="宋体" w:hAnsi="宋体" w:cs="宋体"/>
          <w:b/>
          <w:color w:val="auto"/>
          <w:spacing w:val="6"/>
          <w:sz w:val="32"/>
          <w:szCs w:val="32"/>
          <w:highlight w:val="none"/>
        </w:rPr>
      </w:pPr>
    </w:p>
    <w:p w14:paraId="1BBA8EC3">
      <w:pPr>
        <w:spacing w:line="360" w:lineRule="auto"/>
        <w:jc w:val="center"/>
        <w:rPr>
          <w:rFonts w:ascii="宋体" w:hAnsi="宋体" w:cs="宋体"/>
          <w:b/>
          <w:color w:val="auto"/>
          <w:spacing w:val="6"/>
          <w:sz w:val="32"/>
          <w:szCs w:val="32"/>
          <w:highlight w:val="none"/>
        </w:rPr>
      </w:pPr>
    </w:p>
    <w:p w14:paraId="05261515">
      <w:pPr>
        <w:spacing w:line="360" w:lineRule="auto"/>
        <w:jc w:val="center"/>
        <w:rPr>
          <w:rFonts w:ascii="宋体" w:hAnsi="宋体" w:cs="宋体"/>
          <w:b/>
          <w:color w:val="auto"/>
          <w:spacing w:val="6"/>
          <w:sz w:val="32"/>
          <w:szCs w:val="32"/>
          <w:highlight w:val="none"/>
        </w:rPr>
      </w:pPr>
    </w:p>
    <w:p w14:paraId="674BFB26">
      <w:pPr>
        <w:spacing w:line="360" w:lineRule="auto"/>
        <w:jc w:val="center"/>
        <w:rPr>
          <w:rFonts w:ascii="宋体" w:hAnsi="宋体" w:cs="宋体"/>
          <w:b/>
          <w:color w:val="auto"/>
          <w:spacing w:val="6"/>
          <w:sz w:val="32"/>
          <w:szCs w:val="32"/>
          <w:highlight w:val="none"/>
        </w:rPr>
      </w:pPr>
    </w:p>
    <w:p w14:paraId="2EF5E387">
      <w:pPr>
        <w:spacing w:line="360" w:lineRule="auto"/>
        <w:jc w:val="center"/>
        <w:rPr>
          <w:rFonts w:ascii="宋体" w:hAnsi="宋体" w:cs="宋体"/>
          <w:b/>
          <w:color w:val="auto"/>
          <w:spacing w:val="6"/>
          <w:sz w:val="32"/>
          <w:szCs w:val="32"/>
          <w:highlight w:val="none"/>
        </w:rPr>
      </w:pPr>
    </w:p>
    <w:p w14:paraId="586148C6">
      <w:pPr>
        <w:spacing w:line="360" w:lineRule="auto"/>
        <w:jc w:val="center"/>
        <w:rPr>
          <w:rFonts w:ascii="宋体" w:hAnsi="宋体" w:cs="宋体"/>
          <w:b/>
          <w:color w:val="auto"/>
          <w:spacing w:val="6"/>
          <w:sz w:val="32"/>
          <w:szCs w:val="32"/>
          <w:highlight w:val="none"/>
        </w:rPr>
      </w:pPr>
    </w:p>
    <w:p w14:paraId="4A03FB56">
      <w:pPr>
        <w:spacing w:line="360" w:lineRule="auto"/>
        <w:jc w:val="center"/>
        <w:rPr>
          <w:rFonts w:ascii="宋体" w:hAnsi="宋体" w:cs="宋体"/>
          <w:b/>
          <w:color w:val="auto"/>
          <w:spacing w:val="6"/>
          <w:sz w:val="32"/>
          <w:szCs w:val="32"/>
          <w:highlight w:val="none"/>
        </w:rPr>
      </w:pPr>
    </w:p>
    <w:p w14:paraId="67A365B4">
      <w:pPr>
        <w:spacing w:line="360" w:lineRule="auto"/>
        <w:jc w:val="center"/>
        <w:rPr>
          <w:rFonts w:ascii="宋体" w:hAnsi="宋体" w:cs="宋体"/>
          <w:b/>
          <w:color w:val="auto"/>
          <w:spacing w:val="6"/>
          <w:sz w:val="32"/>
          <w:szCs w:val="32"/>
          <w:highlight w:val="none"/>
        </w:rPr>
      </w:pPr>
    </w:p>
    <w:p w14:paraId="5F2CB5FD">
      <w:pPr>
        <w:spacing w:line="360" w:lineRule="auto"/>
        <w:jc w:val="center"/>
        <w:rPr>
          <w:rFonts w:ascii="宋体" w:hAnsi="宋体" w:cs="宋体"/>
          <w:b/>
          <w:color w:val="auto"/>
          <w:spacing w:val="6"/>
          <w:sz w:val="32"/>
          <w:szCs w:val="32"/>
          <w:highlight w:val="none"/>
        </w:rPr>
      </w:pPr>
    </w:p>
    <w:p w14:paraId="171DB96B">
      <w:pPr>
        <w:spacing w:line="360" w:lineRule="auto"/>
        <w:jc w:val="center"/>
        <w:rPr>
          <w:rFonts w:ascii="宋体" w:hAnsi="宋体" w:cs="宋体"/>
          <w:b/>
          <w:color w:val="auto"/>
          <w:spacing w:val="6"/>
          <w:sz w:val="32"/>
          <w:szCs w:val="32"/>
          <w:highlight w:val="none"/>
        </w:rPr>
      </w:pPr>
    </w:p>
    <w:p w14:paraId="60C326C2">
      <w:pPr>
        <w:spacing w:line="360" w:lineRule="auto"/>
        <w:jc w:val="center"/>
        <w:rPr>
          <w:rFonts w:ascii="宋体" w:hAnsi="宋体" w:cs="宋体"/>
          <w:b/>
          <w:color w:val="auto"/>
          <w:spacing w:val="6"/>
          <w:sz w:val="32"/>
          <w:szCs w:val="32"/>
          <w:highlight w:val="none"/>
        </w:rPr>
      </w:pPr>
    </w:p>
    <w:p w14:paraId="50EB837A">
      <w:pPr>
        <w:spacing w:line="360" w:lineRule="auto"/>
        <w:jc w:val="center"/>
        <w:rPr>
          <w:rFonts w:ascii="宋体" w:hAnsi="宋体" w:cs="宋体"/>
          <w:b/>
          <w:color w:val="auto"/>
          <w:spacing w:val="6"/>
          <w:sz w:val="32"/>
          <w:szCs w:val="32"/>
          <w:highlight w:val="none"/>
        </w:rPr>
      </w:pPr>
    </w:p>
    <w:p w14:paraId="30739544">
      <w:pPr>
        <w:spacing w:line="360" w:lineRule="auto"/>
        <w:jc w:val="left"/>
        <w:rPr>
          <w:rFonts w:ascii="宋体" w:hAnsi="宋体" w:cs="宋体"/>
          <w:b/>
          <w:color w:val="auto"/>
          <w:spacing w:val="6"/>
          <w:sz w:val="32"/>
          <w:szCs w:val="32"/>
          <w:highlight w:val="none"/>
        </w:rPr>
      </w:pPr>
    </w:p>
    <w:p w14:paraId="1A1CED2B">
      <w:pPr>
        <w:spacing w:line="360" w:lineRule="auto"/>
        <w:jc w:val="left"/>
        <w:rPr>
          <w:rFonts w:ascii="宋体" w:hAnsi="宋体" w:cs="宋体"/>
          <w:b/>
          <w:color w:val="auto"/>
          <w:spacing w:val="6"/>
          <w:sz w:val="32"/>
          <w:szCs w:val="32"/>
          <w:highlight w:val="none"/>
        </w:rPr>
      </w:pPr>
    </w:p>
    <w:p w14:paraId="0938DBF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附件2：</w:t>
      </w:r>
      <w:r>
        <w:rPr>
          <w:rFonts w:hint="eastAsia" w:ascii="宋体" w:hAnsi="宋体" w:cs="宋体"/>
          <w:b/>
          <w:bCs/>
          <w:color w:val="auto"/>
          <w:sz w:val="32"/>
          <w:szCs w:val="32"/>
          <w:highlight w:val="none"/>
        </w:rPr>
        <w:t>业务专用章使用说明函</w:t>
      </w:r>
    </w:p>
    <w:p w14:paraId="494F7BBA">
      <w:pPr>
        <w:spacing w:line="360" w:lineRule="auto"/>
        <w:rPr>
          <w:rFonts w:ascii="宋体" w:hAnsi="宋体" w:cs="宋体"/>
          <w:color w:val="auto"/>
          <w:sz w:val="24"/>
          <w:highlight w:val="none"/>
          <w:u w:val="single"/>
        </w:rPr>
      </w:pPr>
    </w:p>
    <w:p w14:paraId="48DAB98B">
      <w:pPr>
        <w:spacing w:line="360" w:lineRule="auto"/>
        <w:rPr>
          <w:rFonts w:ascii="宋体" w:hAnsi="宋体" w:cs="宋体"/>
          <w:color w:val="auto"/>
          <w:sz w:val="24"/>
          <w:highlight w:val="none"/>
        </w:rPr>
      </w:pP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发包人</w:t>
      </w:r>
      <w:r>
        <w:rPr>
          <w:rFonts w:hint="eastAsia" w:ascii="宋体" w:hAnsi="宋体" w:cs="宋体"/>
          <w:color w:val="auto"/>
          <w:sz w:val="24"/>
          <w:highlight w:val="none"/>
          <w:u w:val="single"/>
        </w:rPr>
        <w:t>）、（采购代理机构）</w:t>
      </w:r>
    </w:p>
    <w:p w14:paraId="02BC615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(响应人全称)是中华人民共和国依法登记注册的合法企业，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3D71F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FA24D59">
      <w:pPr>
        <w:spacing w:line="360" w:lineRule="auto"/>
        <w:ind w:firstLine="494"/>
        <w:rPr>
          <w:rFonts w:ascii="宋体" w:hAnsi="宋体" w:cs="宋体"/>
          <w:color w:val="auto"/>
          <w:sz w:val="24"/>
          <w:highlight w:val="none"/>
        </w:rPr>
      </w:pPr>
    </w:p>
    <w:p w14:paraId="012FD66E">
      <w:pPr>
        <w:spacing w:line="360" w:lineRule="auto"/>
        <w:ind w:firstLine="494"/>
        <w:rPr>
          <w:rFonts w:ascii="宋体" w:hAnsi="宋体" w:cs="宋体"/>
          <w:color w:val="auto"/>
          <w:sz w:val="24"/>
          <w:highlight w:val="none"/>
        </w:rPr>
      </w:pPr>
    </w:p>
    <w:p w14:paraId="51173CE0">
      <w:pPr>
        <w:spacing w:line="360" w:lineRule="auto"/>
        <w:ind w:firstLine="494"/>
        <w:rPr>
          <w:rFonts w:ascii="宋体" w:hAnsi="宋体" w:cs="宋体"/>
          <w:color w:val="auto"/>
          <w:sz w:val="24"/>
          <w:highlight w:val="none"/>
        </w:rPr>
      </w:pPr>
    </w:p>
    <w:p w14:paraId="7EC45830">
      <w:pPr>
        <w:spacing w:line="360" w:lineRule="auto"/>
        <w:ind w:firstLine="494"/>
        <w:rPr>
          <w:rFonts w:ascii="宋体" w:hAnsi="宋体" w:cs="宋体"/>
          <w:color w:val="auto"/>
          <w:sz w:val="24"/>
          <w:highlight w:val="none"/>
        </w:rPr>
      </w:pPr>
    </w:p>
    <w:p w14:paraId="30290E5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E7DF67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2BC6A32">
      <w:pPr>
        <w:rPr>
          <w:rFonts w:ascii="宋体" w:hAnsi="宋体" w:cs="宋体"/>
          <w:color w:val="auto"/>
          <w:sz w:val="24"/>
          <w:highlight w:val="none"/>
        </w:rPr>
      </w:pPr>
      <w:r>
        <w:rPr>
          <w:rFonts w:hint="eastAsia" w:ascii="宋体" w:hAnsi="宋体" w:cs="宋体"/>
          <w:b/>
          <w:bCs/>
          <w:color w:val="auto"/>
          <w:sz w:val="24"/>
          <w:highlight w:val="none"/>
        </w:rPr>
        <w:t>附：</w:t>
      </w:r>
    </w:p>
    <w:p w14:paraId="40169EE1">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94AA43B">
      <w:pPr>
        <w:autoSpaceDE w:val="0"/>
        <w:autoSpaceDN w:val="0"/>
        <w:jc w:val="center"/>
        <w:rPr>
          <w:rFonts w:ascii="宋体" w:hAnsi="宋体" w:cs="宋体"/>
          <w:b/>
          <w:color w:val="auto"/>
          <w:spacing w:val="6"/>
          <w:sz w:val="32"/>
          <w:szCs w:val="32"/>
          <w:highlight w:val="none"/>
        </w:rPr>
      </w:pPr>
    </w:p>
    <w:p w14:paraId="7A400BB5">
      <w:pPr>
        <w:autoSpaceDE w:val="0"/>
        <w:autoSpaceDN w:val="0"/>
        <w:jc w:val="center"/>
        <w:rPr>
          <w:rFonts w:ascii="宋体" w:hAnsi="宋体" w:cs="宋体"/>
          <w:b/>
          <w:color w:val="auto"/>
          <w:spacing w:val="6"/>
          <w:sz w:val="32"/>
          <w:szCs w:val="32"/>
          <w:highlight w:val="none"/>
        </w:rPr>
      </w:pPr>
    </w:p>
    <w:p w14:paraId="41D4B85D">
      <w:pPr>
        <w:autoSpaceDE w:val="0"/>
        <w:autoSpaceDN w:val="0"/>
        <w:jc w:val="center"/>
        <w:rPr>
          <w:rFonts w:ascii="宋体" w:hAnsi="宋体" w:cs="宋体"/>
          <w:b/>
          <w:color w:val="auto"/>
          <w:spacing w:val="6"/>
          <w:sz w:val="32"/>
          <w:szCs w:val="32"/>
          <w:highlight w:val="none"/>
        </w:rPr>
      </w:pPr>
    </w:p>
    <w:p w14:paraId="5720E5F3">
      <w:pPr>
        <w:autoSpaceDE w:val="0"/>
        <w:autoSpaceDN w:val="0"/>
        <w:jc w:val="center"/>
        <w:rPr>
          <w:rFonts w:ascii="宋体" w:hAnsi="宋体" w:cs="宋体"/>
          <w:b/>
          <w:color w:val="auto"/>
          <w:spacing w:val="6"/>
          <w:sz w:val="32"/>
          <w:szCs w:val="32"/>
          <w:highlight w:val="none"/>
        </w:rPr>
      </w:pPr>
    </w:p>
    <w:p w14:paraId="7CD14E67">
      <w:pPr>
        <w:autoSpaceDE w:val="0"/>
        <w:autoSpaceDN w:val="0"/>
        <w:jc w:val="center"/>
        <w:rPr>
          <w:rFonts w:ascii="宋体" w:hAnsi="宋体" w:cs="宋体"/>
          <w:b/>
          <w:color w:val="auto"/>
          <w:spacing w:val="6"/>
          <w:sz w:val="32"/>
          <w:szCs w:val="32"/>
          <w:highlight w:val="none"/>
        </w:rPr>
      </w:pPr>
    </w:p>
    <w:p w14:paraId="307E985F">
      <w:pPr>
        <w:autoSpaceDE w:val="0"/>
        <w:autoSpaceDN w:val="0"/>
        <w:jc w:val="center"/>
        <w:rPr>
          <w:rFonts w:ascii="宋体" w:hAnsi="宋体" w:cs="宋体"/>
          <w:b/>
          <w:color w:val="auto"/>
          <w:spacing w:val="6"/>
          <w:sz w:val="32"/>
          <w:szCs w:val="32"/>
          <w:highlight w:val="none"/>
        </w:rPr>
      </w:pPr>
    </w:p>
    <w:p w14:paraId="4FA7B924">
      <w:pPr>
        <w:autoSpaceDE w:val="0"/>
        <w:autoSpaceDN w:val="0"/>
        <w:jc w:val="center"/>
        <w:rPr>
          <w:rFonts w:ascii="宋体" w:hAnsi="宋体" w:cs="宋体"/>
          <w:b/>
          <w:color w:val="auto"/>
          <w:spacing w:val="6"/>
          <w:sz w:val="32"/>
          <w:szCs w:val="32"/>
          <w:highlight w:val="none"/>
        </w:rPr>
      </w:pPr>
    </w:p>
    <w:p w14:paraId="7A2EEC27">
      <w:pPr>
        <w:autoSpaceDE w:val="0"/>
        <w:autoSpaceDN w:val="0"/>
        <w:jc w:val="center"/>
        <w:rPr>
          <w:rFonts w:ascii="宋体" w:hAnsi="宋体" w:cs="宋体"/>
          <w:b/>
          <w:color w:val="auto"/>
          <w:spacing w:val="6"/>
          <w:sz w:val="32"/>
          <w:szCs w:val="32"/>
          <w:highlight w:val="none"/>
        </w:rPr>
      </w:pPr>
    </w:p>
    <w:p w14:paraId="0F573140">
      <w:pPr>
        <w:autoSpaceDE w:val="0"/>
        <w:autoSpaceDN w:val="0"/>
        <w:jc w:val="center"/>
        <w:rPr>
          <w:rFonts w:ascii="宋体" w:hAnsi="宋体" w:cs="宋体"/>
          <w:b/>
          <w:color w:val="auto"/>
          <w:spacing w:val="6"/>
          <w:sz w:val="32"/>
          <w:szCs w:val="32"/>
          <w:highlight w:val="none"/>
        </w:rPr>
      </w:pPr>
    </w:p>
    <w:p w14:paraId="3C255A79">
      <w:pPr>
        <w:autoSpaceDE w:val="0"/>
        <w:autoSpaceDN w:val="0"/>
        <w:jc w:val="center"/>
        <w:rPr>
          <w:rFonts w:ascii="宋体" w:hAnsi="宋体" w:cs="宋体"/>
          <w:b/>
          <w:color w:val="auto"/>
          <w:spacing w:val="6"/>
          <w:sz w:val="32"/>
          <w:szCs w:val="32"/>
          <w:highlight w:val="none"/>
        </w:rPr>
      </w:pPr>
    </w:p>
    <w:p w14:paraId="5E5E5FB6">
      <w:pPr>
        <w:autoSpaceDE w:val="0"/>
        <w:autoSpaceDN w:val="0"/>
        <w:jc w:val="center"/>
        <w:rPr>
          <w:rFonts w:ascii="宋体" w:hAnsi="宋体" w:cs="宋体"/>
          <w:b/>
          <w:color w:val="auto"/>
          <w:spacing w:val="6"/>
          <w:sz w:val="32"/>
          <w:szCs w:val="32"/>
          <w:highlight w:val="none"/>
        </w:rPr>
      </w:pPr>
    </w:p>
    <w:p w14:paraId="48043A06">
      <w:pPr>
        <w:autoSpaceDE w:val="0"/>
        <w:autoSpaceDN w:val="0"/>
        <w:jc w:val="center"/>
        <w:rPr>
          <w:rFonts w:ascii="宋体" w:hAnsi="宋体" w:cs="宋体"/>
          <w:b/>
          <w:color w:val="auto"/>
          <w:spacing w:val="6"/>
          <w:sz w:val="32"/>
          <w:szCs w:val="32"/>
          <w:highlight w:val="none"/>
        </w:rPr>
      </w:pPr>
    </w:p>
    <w:p w14:paraId="4EB499C3">
      <w:pPr>
        <w:autoSpaceDE w:val="0"/>
        <w:autoSpaceDN w:val="0"/>
        <w:jc w:val="center"/>
        <w:rPr>
          <w:rFonts w:ascii="宋体" w:hAnsi="宋体" w:cs="宋体"/>
          <w:b/>
          <w:color w:val="auto"/>
          <w:spacing w:val="6"/>
          <w:sz w:val="32"/>
          <w:szCs w:val="32"/>
          <w:highlight w:val="none"/>
        </w:rPr>
      </w:pPr>
    </w:p>
    <w:p w14:paraId="3A399423">
      <w:pPr>
        <w:autoSpaceDE w:val="0"/>
        <w:autoSpaceDN w:val="0"/>
        <w:jc w:val="center"/>
        <w:rPr>
          <w:rFonts w:ascii="宋体" w:hAnsi="宋体" w:cs="宋体"/>
          <w:b/>
          <w:color w:val="auto"/>
          <w:spacing w:val="6"/>
          <w:sz w:val="32"/>
          <w:szCs w:val="32"/>
          <w:highlight w:val="none"/>
        </w:rPr>
      </w:pPr>
    </w:p>
    <w:p w14:paraId="287B549C">
      <w:pPr>
        <w:autoSpaceDE w:val="0"/>
        <w:autoSpaceDN w:val="0"/>
        <w:jc w:val="center"/>
        <w:rPr>
          <w:rFonts w:ascii="宋体" w:hAnsi="宋体" w:cs="宋体"/>
          <w:b/>
          <w:color w:val="auto"/>
          <w:spacing w:val="6"/>
          <w:sz w:val="32"/>
          <w:szCs w:val="32"/>
          <w:highlight w:val="none"/>
        </w:rPr>
      </w:pPr>
    </w:p>
    <w:p w14:paraId="70054066">
      <w:pPr>
        <w:autoSpaceDE w:val="0"/>
        <w:autoSpaceDN w:val="0"/>
        <w:jc w:val="center"/>
        <w:rPr>
          <w:rFonts w:ascii="宋体" w:hAnsi="宋体" w:cs="宋体"/>
          <w:b/>
          <w:color w:val="auto"/>
          <w:spacing w:val="6"/>
          <w:sz w:val="32"/>
          <w:szCs w:val="32"/>
          <w:highlight w:val="none"/>
        </w:rPr>
      </w:pPr>
    </w:p>
    <w:p w14:paraId="4A63E454">
      <w:pPr>
        <w:rPr>
          <w:rFonts w:ascii="宋体" w:hAnsi="宋体" w:cs="宋体"/>
          <w:b/>
          <w:color w:val="auto"/>
          <w:sz w:val="24"/>
          <w:highlight w:val="none"/>
        </w:rPr>
      </w:pPr>
      <w:r>
        <w:rPr>
          <w:rFonts w:hint="eastAsia" w:ascii="宋体" w:hAnsi="宋体" w:cs="宋体"/>
          <w:b/>
          <w:color w:val="auto"/>
          <w:spacing w:val="6"/>
          <w:sz w:val="32"/>
          <w:szCs w:val="32"/>
          <w:highlight w:val="none"/>
        </w:rPr>
        <w:t>附件3</w:t>
      </w:r>
    </w:p>
    <w:p w14:paraId="36880277">
      <w:pPr>
        <w:jc w:val="center"/>
        <w:rPr>
          <w:rFonts w:ascii="宋体" w:hAnsi="宋体" w:cs="宋体"/>
          <w:color w:val="auto"/>
          <w:sz w:val="40"/>
          <w:highlight w:val="none"/>
        </w:rPr>
      </w:pPr>
      <w:r>
        <w:rPr>
          <w:rFonts w:hint="eastAsia" w:ascii="宋体" w:hAnsi="宋体" w:cs="宋体"/>
          <w:color w:val="auto"/>
          <w:sz w:val="40"/>
          <w:highlight w:val="none"/>
        </w:rPr>
        <w:t>样品（演示）授权委托书</w:t>
      </w:r>
    </w:p>
    <w:p w14:paraId="68AEFC11">
      <w:pPr>
        <w:jc w:val="center"/>
        <w:rPr>
          <w:rFonts w:ascii="宋体" w:hAnsi="宋体" w:cs="宋体"/>
          <w:color w:val="auto"/>
          <w:sz w:val="40"/>
          <w:highlight w:val="none"/>
        </w:rPr>
      </w:pPr>
    </w:p>
    <w:p w14:paraId="1E82026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XXX（单位名称或采购机构名称）</w:t>
      </w:r>
      <w:r>
        <w:rPr>
          <w:rFonts w:hint="eastAsia" w:ascii="宋体" w:hAnsi="宋体" w:cs="宋体"/>
          <w:color w:val="auto"/>
          <w:kern w:val="0"/>
          <w:sz w:val="24"/>
          <w:highlight w:val="none"/>
          <w:lang w:val="zh-CN"/>
        </w:rPr>
        <w:t>：</w:t>
      </w:r>
    </w:p>
    <w:p w14:paraId="4EAB61EC">
      <w:pPr>
        <w:snapToGrid w:val="0"/>
        <w:spacing w:line="360" w:lineRule="auto"/>
        <w:ind w:left="254" w:leftChars="121" w:firstLine="480" w:firstLineChars="200"/>
        <w:jc w:val="left"/>
        <w:rPr>
          <w:rFonts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兹委派</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先生/女士，身份证号：</w:t>
      </w:r>
      <w:r>
        <w:rPr>
          <w:rFonts w:hint="eastAsia" w:ascii="宋体" w:hAnsi="宋体" w:cs="宋体"/>
          <w:color w:val="auto"/>
          <w:kern w:val="0"/>
          <w:sz w:val="24"/>
          <w:highlight w:val="none"/>
          <w:u w:val="single"/>
          <w:lang w:val="zh-CN"/>
        </w:rPr>
        <w:t xml:space="preserve">                   </w:t>
      </w:r>
    </w:p>
    <w:p w14:paraId="1EA56210">
      <w:pPr>
        <w:snapToGrid w:val="0"/>
        <w:spacing w:line="360" w:lineRule="auto"/>
        <w:ind w:left="254" w:leftChars="121"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，代表我公司前来递交</w:t>
      </w:r>
      <w:r>
        <w:rPr>
          <w:rFonts w:hint="eastAsia" w:ascii="宋体" w:hAnsi="宋体" w:cs="宋体"/>
          <w:color w:val="auto"/>
          <w:kern w:val="0"/>
          <w:sz w:val="24"/>
          <w:highlight w:val="none"/>
          <w:u w:val="single"/>
          <w:lang w:val="zh-CN"/>
        </w:rPr>
        <w:t xml:space="preserve">                           采购项目</w:t>
      </w:r>
      <w:r>
        <w:rPr>
          <w:rFonts w:hint="eastAsia" w:ascii="宋体" w:hAnsi="宋体" w:cs="宋体"/>
          <w:color w:val="auto"/>
          <w:kern w:val="0"/>
          <w:sz w:val="24"/>
          <w:highlight w:val="none"/>
          <w:lang w:val="zh-CN"/>
        </w:rPr>
        <w:t>【项目编号：              】（标项号：  ）投标样品或参加演示，并全权负责标后取回样品等其他处理事宜。</w:t>
      </w:r>
    </w:p>
    <w:p w14:paraId="1C0E09CC">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925438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特此告知。</w:t>
      </w:r>
    </w:p>
    <w:p w14:paraId="57CC5C1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响应人名称(公章)：</w:t>
      </w:r>
    </w:p>
    <w:p w14:paraId="7A1673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p>
    <w:p w14:paraId="707AC3CB">
      <w:pPr>
        <w:snapToGrid w:val="0"/>
        <w:spacing w:line="360" w:lineRule="auto"/>
        <w:ind w:right="240"/>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签发日期：  年  月   日</w:t>
      </w:r>
    </w:p>
    <w:p w14:paraId="649EAFA7">
      <w:pPr>
        <w:snapToGrid w:val="0"/>
        <w:spacing w:line="360" w:lineRule="auto"/>
        <w:ind w:right="240"/>
        <w:jc w:val="right"/>
        <w:rPr>
          <w:rFonts w:ascii="宋体" w:hAnsi="宋体" w:cs="宋体"/>
          <w:color w:val="auto"/>
          <w:kern w:val="0"/>
          <w:sz w:val="24"/>
          <w:highlight w:val="none"/>
          <w:lang w:val="zh-CN"/>
        </w:rPr>
      </w:pPr>
    </w:p>
    <w:p w14:paraId="4A62330C">
      <w:pPr>
        <w:snapToGrid w:val="0"/>
        <w:spacing w:line="360" w:lineRule="auto"/>
        <w:ind w:right="240"/>
        <w:jc w:val="right"/>
        <w:rPr>
          <w:rFonts w:ascii="宋体" w:hAnsi="宋体" w:cs="宋体"/>
          <w:color w:val="auto"/>
          <w:kern w:val="0"/>
          <w:sz w:val="24"/>
          <w:highlight w:val="none"/>
          <w:lang w:val="zh-CN"/>
        </w:rPr>
      </w:pPr>
    </w:p>
    <w:p w14:paraId="5A8F0D09">
      <w:pPr>
        <w:snapToGrid w:val="0"/>
        <w:spacing w:line="360" w:lineRule="auto"/>
        <w:ind w:right="240"/>
        <w:jc w:val="right"/>
        <w:rPr>
          <w:rFonts w:ascii="宋体" w:hAnsi="宋体" w:cs="宋体"/>
          <w:color w:val="auto"/>
          <w:kern w:val="0"/>
          <w:sz w:val="24"/>
          <w:highlight w:val="none"/>
          <w:lang w:val="zh-CN"/>
        </w:rPr>
      </w:pPr>
    </w:p>
    <w:p w14:paraId="439F5F4C">
      <w:pPr>
        <w:snapToGrid w:val="0"/>
        <w:spacing w:line="360" w:lineRule="auto"/>
        <w:ind w:right="240"/>
        <w:jc w:val="right"/>
        <w:rPr>
          <w:rFonts w:ascii="宋体" w:hAnsi="宋体" w:cs="宋体"/>
          <w:color w:val="auto"/>
          <w:kern w:val="0"/>
          <w:sz w:val="24"/>
          <w:highlight w:val="none"/>
          <w:lang w:val="zh-CN"/>
        </w:rPr>
      </w:pPr>
    </w:p>
    <w:p w14:paraId="1C1E7BFD">
      <w:pPr>
        <w:snapToGrid w:val="0"/>
        <w:spacing w:line="360" w:lineRule="auto"/>
        <w:ind w:right="24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受委托人</w:t>
      </w:r>
      <w:r>
        <w:rPr>
          <w:rFonts w:hint="eastAsia" w:ascii="宋体" w:hAnsi="宋体" w:cs="宋体"/>
          <w:color w:val="auto"/>
          <w:kern w:val="0"/>
          <w:sz w:val="24"/>
          <w:highlight w:val="none"/>
          <w:lang w:val="zh-CN"/>
        </w:rPr>
        <w:t>身份证复印件：</w:t>
      </w:r>
    </w:p>
    <w:p w14:paraId="62CFD77D">
      <w:pPr>
        <w:snapToGrid w:val="0"/>
        <w:spacing w:line="360" w:lineRule="auto"/>
        <w:ind w:right="240"/>
        <w:jc w:val="left"/>
        <w:rPr>
          <w:rFonts w:ascii="宋体" w:hAnsi="宋体" w:cs="宋体"/>
          <w:color w:val="auto"/>
          <w:kern w:val="0"/>
          <w:sz w:val="24"/>
          <w:highlight w:val="none"/>
          <w:lang w:val="zh-CN"/>
        </w:rPr>
      </w:pPr>
    </w:p>
    <w:p w14:paraId="56084059">
      <w:pPr>
        <w:snapToGrid w:val="0"/>
        <w:spacing w:line="360" w:lineRule="auto"/>
        <w:ind w:right="240"/>
        <w:jc w:val="left"/>
        <w:rPr>
          <w:rFonts w:ascii="宋体" w:hAnsi="宋体" w:cs="宋体"/>
          <w:color w:val="auto"/>
          <w:kern w:val="0"/>
          <w:sz w:val="24"/>
          <w:highlight w:val="none"/>
          <w:lang w:val="zh-CN"/>
        </w:rPr>
      </w:pPr>
    </w:p>
    <w:p w14:paraId="240B4F3C">
      <w:pPr>
        <w:snapToGrid w:val="0"/>
        <w:spacing w:line="360" w:lineRule="auto"/>
        <w:ind w:right="240"/>
        <w:jc w:val="left"/>
        <w:rPr>
          <w:rFonts w:ascii="宋体" w:hAnsi="宋体" w:cs="宋体"/>
          <w:color w:val="auto"/>
          <w:kern w:val="0"/>
          <w:sz w:val="24"/>
          <w:highlight w:val="none"/>
          <w:lang w:val="zh-CN"/>
        </w:rPr>
      </w:pPr>
    </w:p>
    <w:p w14:paraId="7C5AA951">
      <w:pPr>
        <w:snapToGrid w:val="0"/>
        <w:spacing w:line="360" w:lineRule="auto"/>
        <w:ind w:right="240"/>
        <w:jc w:val="left"/>
        <w:rPr>
          <w:rFonts w:ascii="宋体" w:hAnsi="宋体" w:cs="宋体"/>
          <w:color w:val="auto"/>
          <w:kern w:val="0"/>
          <w:sz w:val="24"/>
          <w:highlight w:val="none"/>
          <w:lang w:val="zh-CN"/>
        </w:rPr>
      </w:pPr>
    </w:p>
    <w:p w14:paraId="5AAD4B0A">
      <w:pPr>
        <w:snapToGrid w:val="0"/>
        <w:spacing w:line="360" w:lineRule="auto"/>
        <w:ind w:right="240"/>
        <w:jc w:val="left"/>
        <w:rPr>
          <w:rFonts w:ascii="宋体" w:hAnsi="宋体" w:cs="宋体"/>
          <w:color w:val="auto"/>
          <w:kern w:val="0"/>
          <w:sz w:val="24"/>
          <w:highlight w:val="none"/>
          <w:lang w:val="zh-CN"/>
        </w:rPr>
      </w:pPr>
    </w:p>
    <w:p w14:paraId="50193ED1">
      <w:pPr>
        <w:snapToGrid w:val="0"/>
        <w:spacing w:line="360" w:lineRule="auto"/>
        <w:ind w:right="240"/>
        <w:jc w:val="left"/>
        <w:rPr>
          <w:rFonts w:ascii="宋体" w:hAnsi="宋体" w:cs="宋体"/>
          <w:color w:val="auto"/>
          <w:kern w:val="0"/>
          <w:sz w:val="24"/>
          <w:highlight w:val="none"/>
          <w:lang w:val="zh-CN"/>
        </w:rPr>
      </w:pPr>
    </w:p>
    <w:p w14:paraId="0BE2209D">
      <w:pPr>
        <w:snapToGrid w:val="0"/>
        <w:spacing w:line="360" w:lineRule="auto"/>
        <w:ind w:right="24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说明：本委托书在有样品或演示时由受委托人携带至指定地点。</w:t>
      </w:r>
    </w:p>
    <w:p w14:paraId="3F14021B">
      <w:pPr>
        <w:spacing w:line="360" w:lineRule="auto"/>
        <w:rPr>
          <w:rFonts w:ascii="宋体" w:hAnsi="宋体" w:cs="宋体"/>
          <w:b/>
          <w:color w:val="auto"/>
          <w:sz w:val="24"/>
          <w:highlight w:val="none"/>
        </w:rPr>
      </w:pPr>
      <w:r>
        <w:rPr>
          <w:rFonts w:hint="eastAsia" w:ascii="宋体" w:hAnsi="宋体" w:cs="宋体"/>
          <w:b/>
          <w:color w:val="auto"/>
          <w:sz w:val="24"/>
          <w:highlight w:val="none"/>
        </w:rPr>
        <w:t>同时有样品和演示的，可委托不同人员。</w:t>
      </w:r>
    </w:p>
    <w:p w14:paraId="46145F66">
      <w:pPr>
        <w:pStyle w:val="3"/>
        <w:ind w:left="0" w:firstLine="0"/>
        <w:rPr>
          <w:rFonts w:ascii="宋体" w:hAnsi="宋体" w:eastAsia="宋体" w:cs="宋体"/>
          <w:color w:val="auto"/>
          <w:highlight w:val="none"/>
          <w:lang w:val="en-US"/>
        </w:rPr>
      </w:pPr>
    </w:p>
    <w:p w14:paraId="5AE841FB">
      <w:pPr>
        <w:spacing w:line="360" w:lineRule="auto"/>
        <w:ind w:right="420"/>
        <w:rPr>
          <w:rFonts w:ascii="宋体" w:hAnsi="宋体" w:cs="宋体"/>
          <w:color w:val="auto"/>
          <w:highlight w:val="none"/>
        </w:rPr>
      </w:pPr>
    </w:p>
    <w:p w14:paraId="7DA64884">
      <w:pPr>
        <w:spacing w:line="360" w:lineRule="auto"/>
        <w:rPr>
          <w:rFonts w:ascii="宋体" w:hAnsi="宋体" w:cs="宋体"/>
          <w:bCs/>
          <w:color w:val="auto"/>
          <w:sz w:val="24"/>
          <w:highlight w:val="none"/>
        </w:rPr>
      </w:pPr>
    </w:p>
    <w:bookmarkEnd w:id="387"/>
    <w:sectPr>
      <w:headerReference r:id="rId18" w:type="first"/>
      <w:footerReference r:id="rId21" w:type="first"/>
      <w:headerReference r:id="rId17" w:type="default"/>
      <w:footerReference r:id="rId19" w:type="default"/>
      <w:footerReference r:id="rId20" w:type="even"/>
      <w:pgSz w:w="11906" w:h="16838"/>
      <w:pgMar w:top="1440" w:right="1440" w:bottom="1440" w:left="144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C2E7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2AB9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44</w:t>
    </w:r>
    <w:r>
      <w:rPr>
        <w:rFonts w:hint="eastAsia" w:ascii="仿宋_GB2312" w:eastAsia="仿宋_GB2312"/>
        <w:kern w:val="0"/>
        <w:szCs w:val="21"/>
      </w:rPr>
      <w:fldChar w:fldCharType="end"/>
    </w:r>
    <w:bookmarkStart w:id="383" w:name="_Toc131845147"/>
    <w:bookmarkStart w:id="384" w:name="_Toc91899912"/>
    <w:bookmarkStart w:id="385" w:name="_Toc164085800"/>
    <w:bookmarkStart w:id="386" w:name="_Toc36110187"/>
    <w:r>
      <w:rPr>
        <w:rFonts w:hint="eastAsia" w:ascii="仿宋_GB2312" w:eastAsia="仿宋_GB2312"/>
        <w:kern w:val="0"/>
        <w:szCs w:val="21"/>
      </w:rPr>
      <w:t xml:space="preserve"> 页</w:t>
    </w:r>
    <w:bookmarkEnd w:id="383"/>
    <w:bookmarkEnd w:id="384"/>
    <w:bookmarkEnd w:id="385"/>
    <w:bookmarkEnd w:id="38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8BC7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w:t>
    </w:r>
  </w:p>
  <w:p w14:paraId="3E395451">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B611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w:t>
    </w:r>
  </w:p>
  <w:p w14:paraId="0236393A">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C46F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5FD8BA5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248A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350013C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B73E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477CA93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7340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1188026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723B7">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8FF97">
    <w:pPr>
      <w:pStyle w:val="40"/>
      <w:framePr w:wrap="around" w:vAnchor="text" w:hAnchor="margin" w:xAlign="right" w:y="1"/>
      <w:rPr>
        <w:rStyle w:val="73"/>
      </w:rPr>
    </w:pPr>
    <w:r>
      <w:fldChar w:fldCharType="begin"/>
    </w:r>
    <w:r>
      <w:rPr>
        <w:rStyle w:val="73"/>
      </w:rPr>
      <w:instrText xml:space="preserve">PAGE  </w:instrText>
    </w:r>
    <w:r>
      <w:fldChar w:fldCharType="end"/>
    </w:r>
  </w:p>
  <w:p w14:paraId="74208FFD">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5E74E">
    <w:pPr>
      <w:pStyle w:val="41"/>
      <w:pBdr>
        <w:bottom w:val="single" w:color="auto" w:sz="6" w:space="4"/>
      </w:pBdr>
      <w:jc w:val="right"/>
    </w:pPr>
    <w:r>
      <w:t></w:t>
    </w:r>
    <w:r>
      <w:rPr>
        <w:rFonts w:hint="eastAsia"/>
      </w:rPr>
      <w:t xml:space="preserve">             交易</w:t>
    </w:r>
    <w: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E2541">
    <w:pPr>
      <w:pStyle w:val="41"/>
      <w:jc w:val="right"/>
      <w:rPr>
        <w:rFonts w:ascii="仿宋_GB2312" w:eastAsia="仿宋_GB2312"/>
        <w:b/>
        <w:i/>
        <w:u w:val="single"/>
      </w:rPr>
    </w:pPr>
    <w:r>
      <w:t></w:t>
    </w:r>
    <w:r>
      <w:rPr>
        <w:rFonts w:hint="eastAsia"/>
      </w:rPr>
      <w:t xml:space="preserve">                                                  交易</w:t>
    </w:r>
    <w: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1316A">
    <w:pPr>
      <w:pStyle w:val="41"/>
    </w:pPr>
    <w:r>
      <w:rPr>
        <w:rFonts w:hint="eastAsia"/>
      </w:rPr>
      <w:t xml:space="preserve">                                                                                          交易</w:t>
    </w:r>
    <w: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AFB11">
    <w:pPr>
      <w:pStyle w:val="41"/>
      <w:rPr>
        <w:rFonts w:ascii="仿宋_GB2312" w:eastAsia="仿宋_GB2312"/>
        <w:b/>
        <w:i/>
        <w:u w:val="single"/>
      </w:rPr>
    </w:pPr>
    <w:r>
      <w:t></w:t>
    </w:r>
    <w:r>
      <w:rPr>
        <w:rFonts w:hint="eastAsia"/>
      </w:rPr>
      <w:t xml:space="preserve">                                                                      交易</w:t>
    </w:r>
    <w:r>
      <w:t>文件</w:t>
    </w:r>
  </w:p>
  <w:p w14:paraId="643270F6">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698CB">
    <w:pPr>
      <w:pStyle w:val="41"/>
      <w:jc w:val="right"/>
    </w:pPr>
    <w:r>
      <w:t></w:t>
    </w:r>
    <w:r>
      <w:rPr>
        <w:rFonts w:hint="eastAsia"/>
      </w:rPr>
      <w:t xml:space="preserve">                                                                           交易</w:t>
    </w:r>
    <w:r>
      <w:t>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56707">
    <w:pPr>
      <w:pStyle w:val="41"/>
      <w:jc w:val="right"/>
      <w:rPr>
        <w:rFonts w:ascii="仿宋_GB2312" w:eastAsia="仿宋_GB2312"/>
        <w:b/>
        <w:i/>
        <w:u w:val="single"/>
      </w:rPr>
    </w:pPr>
    <w:r>
      <w:rPr>
        <w:rFonts w:hint="eastAsia"/>
      </w:rPr>
      <w:t xml:space="preserve">                                  </w:t>
    </w:r>
    <w:r>
      <w:t>采购公开招标文件</w:t>
    </w:r>
  </w:p>
  <w:p w14:paraId="5397646B">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7AD82">
    <w:pPr>
      <w:pStyle w:val="41"/>
      <w:jc w:val="right"/>
    </w:pPr>
    <w:r>
      <w:rPr>
        <w:rFonts w:hint="eastAsia"/>
      </w:rPr>
      <w:t xml:space="preserve">                                                                                                      交易</w:t>
    </w:r>
    <w:r>
      <w:t>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2F8A9">
    <w:pPr>
      <w:pStyle w:val="41"/>
      <w:jc w:val="right"/>
      <w:rPr>
        <w:rFonts w:ascii="仿宋_GB2312" w:eastAsia="仿宋_GB2312"/>
        <w:b/>
        <w:i/>
        <w:iCs/>
        <w:u w:val="single"/>
      </w:rPr>
    </w:pPr>
    <w:r>
      <w:t></w:t>
    </w:r>
    <w:r>
      <w:rPr>
        <w:rFonts w:hint="eastAsia"/>
      </w:rPr>
      <w:t>交易</w:t>
    </w:r>
    <w:r>
      <w:t>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45851">
    <w:pPr>
      <w:pStyle w:val="41"/>
    </w:pPr>
    <w:r>
      <w:t></w:t>
    </w:r>
    <w:r>
      <w:rPr>
        <w:rFonts w:hint="eastAsia"/>
      </w:rPr>
      <w:t xml:space="preserve">                                                              交易</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EE22"/>
    <w:multiLevelType w:val="singleLevel"/>
    <w:tmpl w:val="601AEE2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YTc0Nzc5N2E2N2RlMDE4ZGE3NWNkYzFiNzNiYzgifQ=="/>
    <w:docVar w:name="KSO_WPS_MARK_KEY" w:val="943858a3-597b-471d-b55b-9bf773b554f3"/>
  </w:docVars>
  <w:rsids>
    <w:rsidRoot w:val="00172A27"/>
    <w:rsid w:val="00000451"/>
    <w:rsid w:val="0000108B"/>
    <w:rsid w:val="0000133D"/>
    <w:rsid w:val="00001509"/>
    <w:rsid w:val="000032B2"/>
    <w:rsid w:val="0000363B"/>
    <w:rsid w:val="000053C6"/>
    <w:rsid w:val="000058BD"/>
    <w:rsid w:val="00005ED5"/>
    <w:rsid w:val="00006109"/>
    <w:rsid w:val="00006150"/>
    <w:rsid w:val="000063E8"/>
    <w:rsid w:val="00006725"/>
    <w:rsid w:val="0000675E"/>
    <w:rsid w:val="00006CE1"/>
    <w:rsid w:val="00007CAA"/>
    <w:rsid w:val="00010FE9"/>
    <w:rsid w:val="0001122F"/>
    <w:rsid w:val="00011A4B"/>
    <w:rsid w:val="00012251"/>
    <w:rsid w:val="0001337C"/>
    <w:rsid w:val="000138C4"/>
    <w:rsid w:val="00013C1F"/>
    <w:rsid w:val="00013F31"/>
    <w:rsid w:val="000140D8"/>
    <w:rsid w:val="00014530"/>
    <w:rsid w:val="00014BBC"/>
    <w:rsid w:val="000150EE"/>
    <w:rsid w:val="00015441"/>
    <w:rsid w:val="000168D8"/>
    <w:rsid w:val="000170C8"/>
    <w:rsid w:val="000173F4"/>
    <w:rsid w:val="00020287"/>
    <w:rsid w:val="000202FE"/>
    <w:rsid w:val="00020B5F"/>
    <w:rsid w:val="000211BC"/>
    <w:rsid w:val="000217D9"/>
    <w:rsid w:val="0002207B"/>
    <w:rsid w:val="000232FD"/>
    <w:rsid w:val="00023323"/>
    <w:rsid w:val="000233E4"/>
    <w:rsid w:val="00023495"/>
    <w:rsid w:val="00023777"/>
    <w:rsid w:val="000239BD"/>
    <w:rsid w:val="00024130"/>
    <w:rsid w:val="00024584"/>
    <w:rsid w:val="000247F4"/>
    <w:rsid w:val="00024962"/>
    <w:rsid w:val="000249AA"/>
    <w:rsid w:val="00025350"/>
    <w:rsid w:val="000253E5"/>
    <w:rsid w:val="00025776"/>
    <w:rsid w:val="00026EAC"/>
    <w:rsid w:val="000270F2"/>
    <w:rsid w:val="00027540"/>
    <w:rsid w:val="00030572"/>
    <w:rsid w:val="00030A97"/>
    <w:rsid w:val="00030CB3"/>
    <w:rsid w:val="0003206A"/>
    <w:rsid w:val="000326A7"/>
    <w:rsid w:val="00032A51"/>
    <w:rsid w:val="00032EA0"/>
    <w:rsid w:val="000331B0"/>
    <w:rsid w:val="000336D4"/>
    <w:rsid w:val="00033C74"/>
    <w:rsid w:val="00034FA7"/>
    <w:rsid w:val="0003533D"/>
    <w:rsid w:val="000357E4"/>
    <w:rsid w:val="00035ACA"/>
    <w:rsid w:val="00040447"/>
    <w:rsid w:val="00040494"/>
    <w:rsid w:val="000404E9"/>
    <w:rsid w:val="00040B70"/>
    <w:rsid w:val="00042441"/>
    <w:rsid w:val="00042533"/>
    <w:rsid w:val="00042DBB"/>
    <w:rsid w:val="00042E65"/>
    <w:rsid w:val="0004347C"/>
    <w:rsid w:val="00043907"/>
    <w:rsid w:val="00044106"/>
    <w:rsid w:val="00044F48"/>
    <w:rsid w:val="0004677E"/>
    <w:rsid w:val="00047354"/>
    <w:rsid w:val="00050656"/>
    <w:rsid w:val="00050A19"/>
    <w:rsid w:val="000511B6"/>
    <w:rsid w:val="00051B00"/>
    <w:rsid w:val="00051C72"/>
    <w:rsid w:val="00052192"/>
    <w:rsid w:val="0005238F"/>
    <w:rsid w:val="00052787"/>
    <w:rsid w:val="00052BB8"/>
    <w:rsid w:val="00053332"/>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3C1"/>
    <w:rsid w:val="00060C48"/>
    <w:rsid w:val="00061A3C"/>
    <w:rsid w:val="00061C48"/>
    <w:rsid w:val="00064278"/>
    <w:rsid w:val="000646CA"/>
    <w:rsid w:val="0006497D"/>
    <w:rsid w:val="00065B4D"/>
    <w:rsid w:val="000665C4"/>
    <w:rsid w:val="00067821"/>
    <w:rsid w:val="0006785E"/>
    <w:rsid w:val="000679B4"/>
    <w:rsid w:val="00067F92"/>
    <w:rsid w:val="00067FA7"/>
    <w:rsid w:val="0007038E"/>
    <w:rsid w:val="0007077C"/>
    <w:rsid w:val="00070825"/>
    <w:rsid w:val="00071CD8"/>
    <w:rsid w:val="00071DB2"/>
    <w:rsid w:val="00072816"/>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32"/>
    <w:rsid w:val="00077B7F"/>
    <w:rsid w:val="000808C1"/>
    <w:rsid w:val="00080970"/>
    <w:rsid w:val="00081671"/>
    <w:rsid w:val="000825F8"/>
    <w:rsid w:val="00082AD4"/>
    <w:rsid w:val="00083E07"/>
    <w:rsid w:val="00084D27"/>
    <w:rsid w:val="00084ED6"/>
    <w:rsid w:val="0008580E"/>
    <w:rsid w:val="00085A0E"/>
    <w:rsid w:val="00085C4F"/>
    <w:rsid w:val="00086EFD"/>
    <w:rsid w:val="00086F8A"/>
    <w:rsid w:val="00087031"/>
    <w:rsid w:val="0008799F"/>
    <w:rsid w:val="0009009C"/>
    <w:rsid w:val="00090243"/>
    <w:rsid w:val="000904F6"/>
    <w:rsid w:val="00090918"/>
    <w:rsid w:val="00090ED8"/>
    <w:rsid w:val="00090F9F"/>
    <w:rsid w:val="0009145F"/>
    <w:rsid w:val="0009184E"/>
    <w:rsid w:val="000918D6"/>
    <w:rsid w:val="00091B4E"/>
    <w:rsid w:val="00092467"/>
    <w:rsid w:val="00092D1E"/>
    <w:rsid w:val="00092FE9"/>
    <w:rsid w:val="00093404"/>
    <w:rsid w:val="000936BF"/>
    <w:rsid w:val="0009382F"/>
    <w:rsid w:val="00093A30"/>
    <w:rsid w:val="00094342"/>
    <w:rsid w:val="000945BA"/>
    <w:rsid w:val="00095541"/>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423"/>
    <w:rsid w:val="000B04BD"/>
    <w:rsid w:val="000B0C8F"/>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55F"/>
    <w:rsid w:val="000C1ADE"/>
    <w:rsid w:val="000C1C38"/>
    <w:rsid w:val="000C21DC"/>
    <w:rsid w:val="000C2264"/>
    <w:rsid w:val="000C256B"/>
    <w:rsid w:val="000C3970"/>
    <w:rsid w:val="000C3B1A"/>
    <w:rsid w:val="000C4727"/>
    <w:rsid w:val="000C47AE"/>
    <w:rsid w:val="000C4BE2"/>
    <w:rsid w:val="000C51AD"/>
    <w:rsid w:val="000C5374"/>
    <w:rsid w:val="000C5EC0"/>
    <w:rsid w:val="000C6162"/>
    <w:rsid w:val="000C64CC"/>
    <w:rsid w:val="000C6688"/>
    <w:rsid w:val="000C692E"/>
    <w:rsid w:val="000C6B28"/>
    <w:rsid w:val="000C7BEB"/>
    <w:rsid w:val="000D0124"/>
    <w:rsid w:val="000D11E5"/>
    <w:rsid w:val="000D19E8"/>
    <w:rsid w:val="000D1F87"/>
    <w:rsid w:val="000D1FA1"/>
    <w:rsid w:val="000D2834"/>
    <w:rsid w:val="000D2B7B"/>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B30"/>
    <w:rsid w:val="000F1604"/>
    <w:rsid w:val="000F287A"/>
    <w:rsid w:val="000F2940"/>
    <w:rsid w:val="000F2AB3"/>
    <w:rsid w:val="000F3D08"/>
    <w:rsid w:val="000F4495"/>
    <w:rsid w:val="000F4A05"/>
    <w:rsid w:val="000F4AA8"/>
    <w:rsid w:val="000F4AEA"/>
    <w:rsid w:val="000F4E67"/>
    <w:rsid w:val="000F4F4C"/>
    <w:rsid w:val="000F505B"/>
    <w:rsid w:val="000F5677"/>
    <w:rsid w:val="000F5DDB"/>
    <w:rsid w:val="000F628E"/>
    <w:rsid w:val="000F68A0"/>
    <w:rsid w:val="000F6CC2"/>
    <w:rsid w:val="000F729C"/>
    <w:rsid w:val="000F7D4B"/>
    <w:rsid w:val="0010118C"/>
    <w:rsid w:val="0010125E"/>
    <w:rsid w:val="001015F8"/>
    <w:rsid w:val="00101967"/>
    <w:rsid w:val="0010322B"/>
    <w:rsid w:val="00103251"/>
    <w:rsid w:val="00103509"/>
    <w:rsid w:val="0010393D"/>
    <w:rsid w:val="00103EBD"/>
    <w:rsid w:val="00104699"/>
    <w:rsid w:val="00104E5B"/>
    <w:rsid w:val="00104EEC"/>
    <w:rsid w:val="001050DC"/>
    <w:rsid w:val="00105482"/>
    <w:rsid w:val="001056A5"/>
    <w:rsid w:val="00105BA9"/>
    <w:rsid w:val="00105FE1"/>
    <w:rsid w:val="001066CE"/>
    <w:rsid w:val="00106AAA"/>
    <w:rsid w:val="00106E0E"/>
    <w:rsid w:val="001078A5"/>
    <w:rsid w:val="00107BBD"/>
    <w:rsid w:val="00107BC7"/>
    <w:rsid w:val="00110033"/>
    <w:rsid w:val="001102B5"/>
    <w:rsid w:val="00110767"/>
    <w:rsid w:val="00111C7D"/>
    <w:rsid w:val="00112038"/>
    <w:rsid w:val="001127FF"/>
    <w:rsid w:val="00112B0B"/>
    <w:rsid w:val="00112EB5"/>
    <w:rsid w:val="0011383E"/>
    <w:rsid w:val="00113EE3"/>
    <w:rsid w:val="0011468F"/>
    <w:rsid w:val="00114847"/>
    <w:rsid w:val="00115453"/>
    <w:rsid w:val="0011585B"/>
    <w:rsid w:val="00115B1A"/>
    <w:rsid w:val="001160FF"/>
    <w:rsid w:val="001164F4"/>
    <w:rsid w:val="001168F8"/>
    <w:rsid w:val="00117111"/>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EB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2AB"/>
    <w:rsid w:val="0014042F"/>
    <w:rsid w:val="00140693"/>
    <w:rsid w:val="00140D7A"/>
    <w:rsid w:val="00141D28"/>
    <w:rsid w:val="00141DFE"/>
    <w:rsid w:val="00142185"/>
    <w:rsid w:val="001422E2"/>
    <w:rsid w:val="00142613"/>
    <w:rsid w:val="001433BC"/>
    <w:rsid w:val="00143872"/>
    <w:rsid w:val="00143A85"/>
    <w:rsid w:val="00144649"/>
    <w:rsid w:val="00145022"/>
    <w:rsid w:val="00145662"/>
    <w:rsid w:val="00145C6D"/>
    <w:rsid w:val="001460FC"/>
    <w:rsid w:val="00146151"/>
    <w:rsid w:val="00146326"/>
    <w:rsid w:val="00147032"/>
    <w:rsid w:val="00147EA7"/>
    <w:rsid w:val="0015019E"/>
    <w:rsid w:val="00151820"/>
    <w:rsid w:val="00151B2F"/>
    <w:rsid w:val="001524DC"/>
    <w:rsid w:val="001525E5"/>
    <w:rsid w:val="00153859"/>
    <w:rsid w:val="00153915"/>
    <w:rsid w:val="001539F0"/>
    <w:rsid w:val="00154BBA"/>
    <w:rsid w:val="00154BC8"/>
    <w:rsid w:val="00155B95"/>
    <w:rsid w:val="00156853"/>
    <w:rsid w:val="00157432"/>
    <w:rsid w:val="00161185"/>
    <w:rsid w:val="001620BA"/>
    <w:rsid w:val="001623AC"/>
    <w:rsid w:val="00162BAA"/>
    <w:rsid w:val="00162FA9"/>
    <w:rsid w:val="00163C40"/>
    <w:rsid w:val="0016488B"/>
    <w:rsid w:val="00164F2D"/>
    <w:rsid w:val="00165758"/>
    <w:rsid w:val="00165A65"/>
    <w:rsid w:val="00166317"/>
    <w:rsid w:val="00167216"/>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4C9"/>
    <w:rsid w:val="00190782"/>
    <w:rsid w:val="00190942"/>
    <w:rsid w:val="001909A7"/>
    <w:rsid w:val="001909C3"/>
    <w:rsid w:val="00191459"/>
    <w:rsid w:val="00191603"/>
    <w:rsid w:val="0019173E"/>
    <w:rsid w:val="0019174E"/>
    <w:rsid w:val="0019196B"/>
    <w:rsid w:val="001923D5"/>
    <w:rsid w:val="00192991"/>
    <w:rsid w:val="00193019"/>
    <w:rsid w:val="00193470"/>
    <w:rsid w:val="00193B94"/>
    <w:rsid w:val="001940A7"/>
    <w:rsid w:val="001946C6"/>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ED"/>
    <w:rsid w:val="001A1F0E"/>
    <w:rsid w:val="001A3335"/>
    <w:rsid w:val="001A379C"/>
    <w:rsid w:val="001A473A"/>
    <w:rsid w:val="001A4ED9"/>
    <w:rsid w:val="001A5785"/>
    <w:rsid w:val="001A5FD7"/>
    <w:rsid w:val="001A66A6"/>
    <w:rsid w:val="001A68B9"/>
    <w:rsid w:val="001A6BAF"/>
    <w:rsid w:val="001A6BBB"/>
    <w:rsid w:val="001A79A2"/>
    <w:rsid w:val="001B06A6"/>
    <w:rsid w:val="001B13BF"/>
    <w:rsid w:val="001B16F5"/>
    <w:rsid w:val="001B1C1F"/>
    <w:rsid w:val="001B219B"/>
    <w:rsid w:val="001B2703"/>
    <w:rsid w:val="001B2973"/>
    <w:rsid w:val="001B3DCD"/>
    <w:rsid w:val="001B45B9"/>
    <w:rsid w:val="001B46B2"/>
    <w:rsid w:val="001B4725"/>
    <w:rsid w:val="001B48B2"/>
    <w:rsid w:val="001B49DA"/>
    <w:rsid w:val="001B4CA8"/>
    <w:rsid w:val="001B572D"/>
    <w:rsid w:val="001B576E"/>
    <w:rsid w:val="001B5B10"/>
    <w:rsid w:val="001B6025"/>
    <w:rsid w:val="001B6D58"/>
    <w:rsid w:val="001B6FA7"/>
    <w:rsid w:val="001B70A7"/>
    <w:rsid w:val="001B7A15"/>
    <w:rsid w:val="001B7B69"/>
    <w:rsid w:val="001B7DC1"/>
    <w:rsid w:val="001C08DB"/>
    <w:rsid w:val="001C10BD"/>
    <w:rsid w:val="001C123F"/>
    <w:rsid w:val="001C1F01"/>
    <w:rsid w:val="001C2092"/>
    <w:rsid w:val="001C232F"/>
    <w:rsid w:val="001C2544"/>
    <w:rsid w:val="001C2A17"/>
    <w:rsid w:val="001C31F5"/>
    <w:rsid w:val="001C374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9C7"/>
    <w:rsid w:val="001D4AB6"/>
    <w:rsid w:val="001D4AD3"/>
    <w:rsid w:val="001D5281"/>
    <w:rsid w:val="001D75E7"/>
    <w:rsid w:val="001E17E3"/>
    <w:rsid w:val="001E2052"/>
    <w:rsid w:val="001E2492"/>
    <w:rsid w:val="001E257C"/>
    <w:rsid w:val="001E286C"/>
    <w:rsid w:val="001E2D6B"/>
    <w:rsid w:val="001E2DCA"/>
    <w:rsid w:val="001E2F34"/>
    <w:rsid w:val="001E35EE"/>
    <w:rsid w:val="001E4B2C"/>
    <w:rsid w:val="001E4B31"/>
    <w:rsid w:val="001E507F"/>
    <w:rsid w:val="001E56C2"/>
    <w:rsid w:val="001E59FB"/>
    <w:rsid w:val="001E68DD"/>
    <w:rsid w:val="001E7F81"/>
    <w:rsid w:val="001F0FD1"/>
    <w:rsid w:val="001F1526"/>
    <w:rsid w:val="001F19D1"/>
    <w:rsid w:val="001F1CB9"/>
    <w:rsid w:val="001F1F18"/>
    <w:rsid w:val="001F2F92"/>
    <w:rsid w:val="001F3D3A"/>
    <w:rsid w:val="001F3DCA"/>
    <w:rsid w:val="001F5DA1"/>
    <w:rsid w:val="001F612E"/>
    <w:rsid w:val="001F6A92"/>
    <w:rsid w:val="001F77E8"/>
    <w:rsid w:val="00201A0C"/>
    <w:rsid w:val="00201B0F"/>
    <w:rsid w:val="0020255A"/>
    <w:rsid w:val="00202800"/>
    <w:rsid w:val="00202D33"/>
    <w:rsid w:val="00202E58"/>
    <w:rsid w:val="00202F99"/>
    <w:rsid w:val="00203C85"/>
    <w:rsid w:val="0020449A"/>
    <w:rsid w:val="00204758"/>
    <w:rsid w:val="00204E9B"/>
    <w:rsid w:val="00205298"/>
    <w:rsid w:val="002055C0"/>
    <w:rsid w:val="0020569E"/>
    <w:rsid w:val="00206338"/>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200"/>
    <w:rsid w:val="002213CE"/>
    <w:rsid w:val="00221AF7"/>
    <w:rsid w:val="00222494"/>
    <w:rsid w:val="00222775"/>
    <w:rsid w:val="00222A31"/>
    <w:rsid w:val="00222CF6"/>
    <w:rsid w:val="00224037"/>
    <w:rsid w:val="002244E4"/>
    <w:rsid w:val="00224D2A"/>
    <w:rsid w:val="00224D8D"/>
    <w:rsid w:val="0022555A"/>
    <w:rsid w:val="0022653C"/>
    <w:rsid w:val="00227214"/>
    <w:rsid w:val="00227DDC"/>
    <w:rsid w:val="0023079F"/>
    <w:rsid w:val="00230FAD"/>
    <w:rsid w:val="00231135"/>
    <w:rsid w:val="00231B0B"/>
    <w:rsid w:val="00232383"/>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D52"/>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648"/>
    <w:rsid w:val="00256986"/>
    <w:rsid w:val="00256D61"/>
    <w:rsid w:val="00256E23"/>
    <w:rsid w:val="00257246"/>
    <w:rsid w:val="00257438"/>
    <w:rsid w:val="0026119C"/>
    <w:rsid w:val="00261325"/>
    <w:rsid w:val="00261AFE"/>
    <w:rsid w:val="0026212A"/>
    <w:rsid w:val="002621D7"/>
    <w:rsid w:val="00262996"/>
    <w:rsid w:val="00263044"/>
    <w:rsid w:val="00263759"/>
    <w:rsid w:val="002638BD"/>
    <w:rsid w:val="0026470B"/>
    <w:rsid w:val="0026486D"/>
    <w:rsid w:val="00264C4B"/>
    <w:rsid w:val="00264ED0"/>
    <w:rsid w:val="00265346"/>
    <w:rsid w:val="00265BB6"/>
    <w:rsid w:val="00266045"/>
    <w:rsid w:val="002660C3"/>
    <w:rsid w:val="00266C21"/>
    <w:rsid w:val="00266DE1"/>
    <w:rsid w:val="00266F0A"/>
    <w:rsid w:val="00267A92"/>
    <w:rsid w:val="00267E43"/>
    <w:rsid w:val="00270282"/>
    <w:rsid w:val="00270780"/>
    <w:rsid w:val="00270CF6"/>
    <w:rsid w:val="00271097"/>
    <w:rsid w:val="00271C53"/>
    <w:rsid w:val="00271D2B"/>
    <w:rsid w:val="0027244F"/>
    <w:rsid w:val="00273052"/>
    <w:rsid w:val="002739CE"/>
    <w:rsid w:val="00273C5F"/>
    <w:rsid w:val="002741D4"/>
    <w:rsid w:val="002743AC"/>
    <w:rsid w:val="0027499D"/>
    <w:rsid w:val="002751CA"/>
    <w:rsid w:val="0027544D"/>
    <w:rsid w:val="00276FD9"/>
    <w:rsid w:val="00277196"/>
    <w:rsid w:val="002775ED"/>
    <w:rsid w:val="002778AB"/>
    <w:rsid w:val="002802A5"/>
    <w:rsid w:val="00280CFB"/>
    <w:rsid w:val="00280D24"/>
    <w:rsid w:val="002815C4"/>
    <w:rsid w:val="00281BCB"/>
    <w:rsid w:val="00281C02"/>
    <w:rsid w:val="00281C76"/>
    <w:rsid w:val="0028316D"/>
    <w:rsid w:val="00283296"/>
    <w:rsid w:val="002840C4"/>
    <w:rsid w:val="002848A5"/>
    <w:rsid w:val="0028583E"/>
    <w:rsid w:val="00285853"/>
    <w:rsid w:val="00285AED"/>
    <w:rsid w:val="00285B1A"/>
    <w:rsid w:val="00285FF3"/>
    <w:rsid w:val="00286348"/>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715"/>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BB1"/>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6A9E"/>
    <w:rsid w:val="002C70E7"/>
    <w:rsid w:val="002D0C27"/>
    <w:rsid w:val="002D0E88"/>
    <w:rsid w:val="002D0EA7"/>
    <w:rsid w:val="002D0F31"/>
    <w:rsid w:val="002D1593"/>
    <w:rsid w:val="002D1A1E"/>
    <w:rsid w:val="002D22A6"/>
    <w:rsid w:val="002D2819"/>
    <w:rsid w:val="002D2CD6"/>
    <w:rsid w:val="002D2F81"/>
    <w:rsid w:val="002D34B0"/>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CE2"/>
    <w:rsid w:val="002E4D50"/>
    <w:rsid w:val="002E55FF"/>
    <w:rsid w:val="002E587E"/>
    <w:rsid w:val="002E672A"/>
    <w:rsid w:val="002E6853"/>
    <w:rsid w:val="002E7EC1"/>
    <w:rsid w:val="002E7EE5"/>
    <w:rsid w:val="002F0323"/>
    <w:rsid w:val="002F0829"/>
    <w:rsid w:val="002F0DFB"/>
    <w:rsid w:val="002F134F"/>
    <w:rsid w:val="002F1D0B"/>
    <w:rsid w:val="002F1E1D"/>
    <w:rsid w:val="002F1F02"/>
    <w:rsid w:val="002F27E5"/>
    <w:rsid w:val="002F2D81"/>
    <w:rsid w:val="002F2E67"/>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0E9"/>
    <w:rsid w:val="003066C6"/>
    <w:rsid w:val="003066FA"/>
    <w:rsid w:val="00306AD6"/>
    <w:rsid w:val="003077F4"/>
    <w:rsid w:val="00307DC7"/>
    <w:rsid w:val="00307FF2"/>
    <w:rsid w:val="00310EDB"/>
    <w:rsid w:val="00311C51"/>
    <w:rsid w:val="00311D12"/>
    <w:rsid w:val="00311D56"/>
    <w:rsid w:val="00312016"/>
    <w:rsid w:val="00312340"/>
    <w:rsid w:val="00312DFC"/>
    <w:rsid w:val="0031318C"/>
    <w:rsid w:val="0031372F"/>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878"/>
    <w:rsid w:val="00321DB7"/>
    <w:rsid w:val="00321E7A"/>
    <w:rsid w:val="0032226D"/>
    <w:rsid w:val="00322E12"/>
    <w:rsid w:val="003235E6"/>
    <w:rsid w:val="00324038"/>
    <w:rsid w:val="00324951"/>
    <w:rsid w:val="003249F6"/>
    <w:rsid w:val="00324B2F"/>
    <w:rsid w:val="00325FCC"/>
    <w:rsid w:val="00326106"/>
    <w:rsid w:val="00326805"/>
    <w:rsid w:val="003269B7"/>
    <w:rsid w:val="00326C0E"/>
    <w:rsid w:val="003272A3"/>
    <w:rsid w:val="003272E4"/>
    <w:rsid w:val="00327B31"/>
    <w:rsid w:val="00327B71"/>
    <w:rsid w:val="00330E34"/>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6A8"/>
    <w:rsid w:val="003369C7"/>
    <w:rsid w:val="00336AD2"/>
    <w:rsid w:val="003373A6"/>
    <w:rsid w:val="00337409"/>
    <w:rsid w:val="00337E18"/>
    <w:rsid w:val="003405AF"/>
    <w:rsid w:val="0034088F"/>
    <w:rsid w:val="00340B3E"/>
    <w:rsid w:val="00340C6F"/>
    <w:rsid w:val="003413D2"/>
    <w:rsid w:val="00341525"/>
    <w:rsid w:val="0034257E"/>
    <w:rsid w:val="003429A1"/>
    <w:rsid w:val="003429FC"/>
    <w:rsid w:val="00343079"/>
    <w:rsid w:val="00343127"/>
    <w:rsid w:val="00343320"/>
    <w:rsid w:val="00344066"/>
    <w:rsid w:val="00344ACC"/>
    <w:rsid w:val="00344BBF"/>
    <w:rsid w:val="0034509B"/>
    <w:rsid w:val="00345644"/>
    <w:rsid w:val="00345D0E"/>
    <w:rsid w:val="00345D7A"/>
    <w:rsid w:val="00345F89"/>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05C"/>
    <w:rsid w:val="0036528B"/>
    <w:rsid w:val="00365B6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884"/>
    <w:rsid w:val="003729A5"/>
    <w:rsid w:val="00372C89"/>
    <w:rsid w:val="00372E9A"/>
    <w:rsid w:val="003735B9"/>
    <w:rsid w:val="00373634"/>
    <w:rsid w:val="00374677"/>
    <w:rsid w:val="0037510C"/>
    <w:rsid w:val="003757F4"/>
    <w:rsid w:val="00375850"/>
    <w:rsid w:val="00375A8E"/>
    <w:rsid w:val="0037632F"/>
    <w:rsid w:val="00377B26"/>
    <w:rsid w:val="00380DA2"/>
    <w:rsid w:val="00381014"/>
    <w:rsid w:val="00381604"/>
    <w:rsid w:val="00381C68"/>
    <w:rsid w:val="00381F60"/>
    <w:rsid w:val="00383204"/>
    <w:rsid w:val="00383AB0"/>
    <w:rsid w:val="00384466"/>
    <w:rsid w:val="003847BB"/>
    <w:rsid w:val="00384814"/>
    <w:rsid w:val="00384C0A"/>
    <w:rsid w:val="003850E3"/>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7EE"/>
    <w:rsid w:val="00392E35"/>
    <w:rsid w:val="00393247"/>
    <w:rsid w:val="00393551"/>
    <w:rsid w:val="00393816"/>
    <w:rsid w:val="00393E1E"/>
    <w:rsid w:val="00393FCD"/>
    <w:rsid w:val="003944EA"/>
    <w:rsid w:val="00394639"/>
    <w:rsid w:val="00394DF6"/>
    <w:rsid w:val="00394EC6"/>
    <w:rsid w:val="00395A02"/>
    <w:rsid w:val="00395CD9"/>
    <w:rsid w:val="003962E6"/>
    <w:rsid w:val="00396831"/>
    <w:rsid w:val="003971A1"/>
    <w:rsid w:val="003A0AD2"/>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1CC1"/>
    <w:rsid w:val="003B2930"/>
    <w:rsid w:val="003B31A7"/>
    <w:rsid w:val="003B4587"/>
    <w:rsid w:val="003B4A01"/>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C4E"/>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857"/>
    <w:rsid w:val="003D4A41"/>
    <w:rsid w:val="003D4CDF"/>
    <w:rsid w:val="003D514A"/>
    <w:rsid w:val="003D5ADB"/>
    <w:rsid w:val="003D6448"/>
    <w:rsid w:val="003D646C"/>
    <w:rsid w:val="003D663E"/>
    <w:rsid w:val="003D664B"/>
    <w:rsid w:val="003D6793"/>
    <w:rsid w:val="003D6B03"/>
    <w:rsid w:val="003D75D8"/>
    <w:rsid w:val="003E006E"/>
    <w:rsid w:val="003E0947"/>
    <w:rsid w:val="003E0966"/>
    <w:rsid w:val="003E0E96"/>
    <w:rsid w:val="003E20F7"/>
    <w:rsid w:val="003E2579"/>
    <w:rsid w:val="003E336A"/>
    <w:rsid w:val="003E3E2F"/>
    <w:rsid w:val="003E4048"/>
    <w:rsid w:val="003E4CE5"/>
    <w:rsid w:val="003E5C4C"/>
    <w:rsid w:val="003E604C"/>
    <w:rsid w:val="003E60DA"/>
    <w:rsid w:val="003E64E8"/>
    <w:rsid w:val="003E6E00"/>
    <w:rsid w:val="003E7111"/>
    <w:rsid w:val="003E7940"/>
    <w:rsid w:val="003F01BD"/>
    <w:rsid w:val="003F0486"/>
    <w:rsid w:val="003F048E"/>
    <w:rsid w:val="003F09FA"/>
    <w:rsid w:val="003F0AFF"/>
    <w:rsid w:val="003F107E"/>
    <w:rsid w:val="003F164C"/>
    <w:rsid w:val="003F1AA2"/>
    <w:rsid w:val="003F26DC"/>
    <w:rsid w:val="003F42FF"/>
    <w:rsid w:val="003F4B48"/>
    <w:rsid w:val="003F4DDC"/>
    <w:rsid w:val="003F56B8"/>
    <w:rsid w:val="003F57CB"/>
    <w:rsid w:val="003F5F1A"/>
    <w:rsid w:val="003F624E"/>
    <w:rsid w:val="003F6327"/>
    <w:rsid w:val="003F683F"/>
    <w:rsid w:val="003F6FBB"/>
    <w:rsid w:val="003F7425"/>
    <w:rsid w:val="003F765B"/>
    <w:rsid w:val="003F7CB8"/>
    <w:rsid w:val="00400CB4"/>
    <w:rsid w:val="00401386"/>
    <w:rsid w:val="004013E6"/>
    <w:rsid w:val="00401E31"/>
    <w:rsid w:val="00402BBA"/>
    <w:rsid w:val="004035D0"/>
    <w:rsid w:val="0040361D"/>
    <w:rsid w:val="00403795"/>
    <w:rsid w:val="004041FB"/>
    <w:rsid w:val="0040443E"/>
    <w:rsid w:val="004049FD"/>
    <w:rsid w:val="004056B6"/>
    <w:rsid w:val="00405764"/>
    <w:rsid w:val="00405850"/>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2D6"/>
    <w:rsid w:val="00414909"/>
    <w:rsid w:val="00415034"/>
    <w:rsid w:val="00415B1A"/>
    <w:rsid w:val="00415DFD"/>
    <w:rsid w:val="00416208"/>
    <w:rsid w:val="004167B9"/>
    <w:rsid w:val="0041690F"/>
    <w:rsid w:val="004169D3"/>
    <w:rsid w:val="00416C2B"/>
    <w:rsid w:val="00416D41"/>
    <w:rsid w:val="00416E70"/>
    <w:rsid w:val="00417264"/>
    <w:rsid w:val="004210C0"/>
    <w:rsid w:val="004211DD"/>
    <w:rsid w:val="00421762"/>
    <w:rsid w:val="00421D4B"/>
    <w:rsid w:val="00421E90"/>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B17"/>
    <w:rsid w:val="00431A2A"/>
    <w:rsid w:val="00432ECA"/>
    <w:rsid w:val="00435130"/>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2D1"/>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2B7"/>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8D2"/>
    <w:rsid w:val="00476AC1"/>
    <w:rsid w:val="00476F97"/>
    <w:rsid w:val="00477247"/>
    <w:rsid w:val="004776BB"/>
    <w:rsid w:val="004776FB"/>
    <w:rsid w:val="0048055E"/>
    <w:rsid w:val="00480C2B"/>
    <w:rsid w:val="00480DC5"/>
    <w:rsid w:val="00480FD9"/>
    <w:rsid w:val="0048131D"/>
    <w:rsid w:val="00481D0B"/>
    <w:rsid w:val="004824A9"/>
    <w:rsid w:val="0048304D"/>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473"/>
    <w:rsid w:val="00492503"/>
    <w:rsid w:val="004925C8"/>
    <w:rsid w:val="004927F7"/>
    <w:rsid w:val="00492AF9"/>
    <w:rsid w:val="00492B76"/>
    <w:rsid w:val="0049333E"/>
    <w:rsid w:val="0049418F"/>
    <w:rsid w:val="00494F0D"/>
    <w:rsid w:val="00495020"/>
    <w:rsid w:val="0049570D"/>
    <w:rsid w:val="00495C48"/>
    <w:rsid w:val="00495DC6"/>
    <w:rsid w:val="0049639C"/>
    <w:rsid w:val="00496CCE"/>
    <w:rsid w:val="004978C1"/>
    <w:rsid w:val="00497AAD"/>
    <w:rsid w:val="00497BD7"/>
    <w:rsid w:val="00497D1A"/>
    <w:rsid w:val="004A00C9"/>
    <w:rsid w:val="004A03D0"/>
    <w:rsid w:val="004A1049"/>
    <w:rsid w:val="004A1AFA"/>
    <w:rsid w:val="004A1EA7"/>
    <w:rsid w:val="004A239C"/>
    <w:rsid w:val="004A26F5"/>
    <w:rsid w:val="004A2EF8"/>
    <w:rsid w:val="004A394D"/>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EC3"/>
    <w:rsid w:val="004C02C5"/>
    <w:rsid w:val="004C0BF0"/>
    <w:rsid w:val="004C0D40"/>
    <w:rsid w:val="004C114F"/>
    <w:rsid w:val="004C11A9"/>
    <w:rsid w:val="004C27CF"/>
    <w:rsid w:val="004C2CA7"/>
    <w:rsid w:val="004C3592"/>
    <w:rsid w:val="004C45C8"/>
    <w:rsid w:val="004C4F8F"/>
    <w:rsid w:val="004C5AE3"/>
    <w:rsid w:val="004C5F4B"/>
    <w:rsid w:val="004C612E"/>
    <w:rsid w:val="004C61B8"/>
    <w:rsid w:val="004C69FE"/>
    <w:rsid w:val="004C6C0A"/>
    <w:rsid w:val="004C6C6D"/>
    <w:rsid w:val="004C739F"/>
    <w:rsid w:val="004C73C0"/>
    <w:rsid w:val="004C77FF"/>
    <w:rsid w:val="004C7DB0"/>
    <w:rsid w:val="004C7FFC"/>
    <w:rsid w:val="004D0223"/>
    <w:rsid w:val="004D0C4C"/>
    <w:rsid w:val="004D16A3"/>
    <w:rsid w:val="004D1934"/>
    <w:rsid w:val="004D1E41"/>
    <w:rsid w:val="004D2326"/>
    <w:rsid w:val="004D2E11"/>
    <w:rsid w:val="004D3108"/>
    <w:rsid w:val="004D329C"/>
    <w:rsid w:val="004D34D1"/>
    <w:rsid w:val="004D3C8F"/>
    <w:rsid w:val="004D4523"/>
    <w:rsid w:val="004D4990"/>
    <w:rsid w:val="004D51D6"/>
    <w:rsid w:val="004D5477"/>
    <w:rsid w:val="004D6BF2"/>
    <w:rsid w:val="004D6F29"/>
    <w:rsid w:val="004D7BF5"/>
    <w:rsid w:val="004D7F9C"/>
    <w:rsid w:val="004E03F4"/>
    <w:rsid w:val="004E068F"/>
    <w:rsid w:val="004E0860"/>
    <w:rsid w:val="004E09CF"/>
    <w:rsid w:val="004E0B75"/>
    <w:rsid w:val="004E0C29"/>
    <w:rsid w:val="004E0DC4"/>
    <w:rsid w:val="004E0F29"/>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1A"/>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A41"/>
    <w:rsid w:val="00507300"/>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685"/>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2E4A"/>
    <w:rsid w:val="00533233"/>
    <w:rsid w:val="005335A2"/>
    <w:rsid w:val="00533D13"/>
    <w:rsid w:val="00533DEC"/>
    <w:rsid w:val="00534026"/>
    <w:rsid w:val="0053486D"/>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3C9"/>
    <w:rsid w:val="005444C6"/>
    <w:rsid w:val="00544BF9"/>
    <w:rsid w:val="00544F05"/>
    <w:rsid w:val="00544FCC"/>
    <w:rsid w:val="005454B8"/>
    <w:rsid w:val="005455AE"/>
    <w:rsid w:val="00545ACB"/>
    <w:rsid w:val="00545DB9"/>
    <w:rsid w:val="005462ED"/>
    <w:rsid w:val="00546585"/>
    <w:rsid w:val="0054680A"/>
    <w:rsid w:val="00546BF8"/>
    <w:rsid w:val="00547811"/>
    <w:rsid w:val="00547A70"/>
    <w:rsid w:val="00547BA2"/>
    <w:rsid w:val="00550975"/>
    <w:rsid w:val="00550AC5"/>
    <w:rsid w:val="00550B7E"/>
    <w:rsid w:val="00551052"/>
    <w:rsid w:val="005524ED"/>
    <w:rsid w:val="00553F91"/>
    <w:rsid w:val="00554007"/>
    <w:rsid w:val="00554189"/>
    <w:rsid w:val="00554C03"/>
    <w:rsid w:val="00554C58"/>
    <w:rsid w:val="00554D5D"/>
    <w:rsid w:val="005550F9"/>
    <w:rsid w:val="00556338"/>
    <w:rsid w:val="00556441"/>
    <w:rsid w:val="00556D3E"/>
    <w:rsid w:val="00557031"/>
    <w:rsid w:val="00557F87"/>
    <w:rsid w:val="00560E8B"/>
    <w:rsid w:val="00560FCB"/>
    <w:rsid w:val="00561001"/>
    <w:rsid w:val="0056111C"/>
    <w:rsid w:val="00561140"/>
    <w:rsid w:val="005611F9"/>
    <w:rsid w:val="00561412"/>
    <w:rsid w:val="00561788"/>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EDD"/>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2022"/>
    <w:rsid w:val="005A2FB8"/>
    <w:rsid w:val="005A361D"/>
    <w:rsid w:val="005A36C2"/>
    <w:rsid w:val="005A3719"/>
    <w:rsid w:val="005A3DD7"/>
    <w:rsid w:val="005A40FA"/>
    <w:rsid w:val="005A4C20"/>
    <w:rsid w:val="005A4D89"/>
    <w:rsid w:val="005A4F48"/>
    <w:rsid w:val="005A54F1"/>
    <w:rsid w:val="005A57B8"/>
    <w:rsid w:val="005A5DDE"/>
    <w:rsid w:val="005A64A8"/>
    <w:rsid w:val="005A65C5"/>
    <w:rsid w:val="005A6875"/>
    <w:rsid w:val="005A7016"/>
    <w:rsid w:val="005A79AB"/>
    <w:rsid w:val="005A7A32"/>
    <w:rsid w:val="005A7F85"/>
    <w:rsid w:val="005B00DD"/>
    <w:rsid w:val="005B03B1"/>
    <w:rsid w:val="005B07D5"/>
    <w:rsid w:val="005B0BA1"/>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2A"/>
    <w:rsid w:val="005C039B"/>
    <w:rsid w:val="005C059F"/>
    <w:rsid w:val="005C07CE"/>
    <w:rsid w:val="005C0B8F"/>
    <w:rsid w:val="005C194E"/>
    <w:rsid w:val="005C1C83"/>
    <w:rsid w:val="005C1DB1"/>
    <w:rsid w:val="005C226F"/>
    <w:rsid w:val="005C2294"/>
    <w:rsid w:val="005C2776"/>
    <w:rsid w:val="005C2C63"/>
    <w:rsid w:val="005C2E48"/>
    <w:rsid w:val="005C3344"/>
    <w:rsid w:val="005C4CFA"/>
    <w:rsid w:val="005C4E4D"/>
    <w:rsid w:val="005C54C9"/>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72"/>
    <w:rsid w:val="005E2CF7"/>
    <w:rsid w:val="005E4543"/>
    <w:rsid w:val="005E4A1C"/>
    <w:rsid w:val="005E56C9"/>
    <w:rsid w:val="005E5CF7"/>
    <w:rsid w:val="005E5FF0"/>
    <w:rsid w:val="005E642A"/>
    <w:rsid w:val="005E65A7"/>
    <w:rsid w:val="005E721E"/>
    <w:rsid w:val="005F0857"/>
    <w:rsid w:val="005F1470"/>
    <w:rsid w:val="005F15A9"/>
    <w:rsid w:val="005F16DE"/>
    <w:rsid w:val="005F2083"/>
    <w:rsid w:val="005F2807"/>
    <w:rsid w:val="005F2CD5"/>
    <w:rsid w:val="005F3382"/>
    <w:rsid w:val="005F3720"/>
    <w:rsid w:val="005F3E24"/>
    <w:rsid w:val="005F471C"/>
    <w:rsid w:val="005F489C"/>
    <w:rsid w:val="005F4F00"/>
    <w:rsid w:val="005F5506"/>
    <w:rsid w:val="005F5A0D"/>
    <w:rsid w:val="005F60DF"/>
    <w:rsid w:val="005F615B"/>
    <w:rsid w:val="005F61DF"/>
    <w:rsid w:val="005F6534"/>
    <w:rsid w:val="005F680A"/>
    <w:rsid w:val="005F6880"/>
    <w:rsid w:val="005F6B3E"/>
    <w:rsid w:val="005F6ED2"/>
    <w:rsid w:val="005F745B"/>
    <w:rsid w:val="005F77F8"/>
    <w:rsid w:val="005F7A77"/>
    <w:rsid w:val="005F7CA8"/>
    <w:rsid w:val="00600DE1"/>
    <w:rsid w:val="006011DA"/>
    <w:rsid w:val="006013AD"/>
    <w:rsid w:val="00601506"/>
    <w:rsid w:val="00601596"/>
    <w:rsid w:val="00601C92"/>
    <w:rsid w:val="00601F66"/>
    <w:rsid w:val="00602555"/>
    <w:rsid w:val="00602764"/>
    <w:rsid w:val="00602B29"/>
    <w:rsid w:val="00602DAD"/>
    <w:rsid w:val="00603373"/>
    <w:rsid w:val="006036D0"/>
    <w:rsid w:val="00603B1C"/>
    <w:rsid w:val="006042CD"/>
    <w:rsid w:val="00605085"/>
    <w:rsid w:val="00605217"/>
    <w:rsid w:val="006054A5"/>
    <w:rsid w:val="006059E4"/>
    <w:rsid w:val="00605AC2"/>
    <w:rsid w:val="00605D60"/>
    <w:rsid w:val="006062A0"/>
    <w:rsid w:val="00607015"/>
    <w:rsid w:val="00607C6B"/>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9F5"/>
    <w:rsid w:val="006160F0"/>
    <w:rsid w:val="0061618F"/>
    <w:rsid w:val="0061624B"/>
    <w:rsid w:val="006166AD"/>
    <w:rsid w:val="00616C1E"/>
    <w:rsid w:val="00617EFC"/>
    <w:rsid w:val="00620055"/>
    <w:rsid w:val="00620336"/>
    <w:rsid w:val="006203CB"/>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255"/>
    <w:rsid w:val="006308EE"/>
    <w:rsid w:val="00630C70"/>
    <w:rsid w:val="00630D67"/>
    <w:rsid w:val="00630D9F"/>
    <w:rsid w:val="00631005"/>
    <w:rsid w:val="00631C79"/>
    <w:rsid w:val="00632727"/>
    <w:rsid w:val="0063283D"/>
    <w:rsid w:val="00633114"/>
    <w:rsid w:val="00633769"/>
    <w:rsid w:val="00633FE3"/>
    <w:rsid w:val="00634276"/>
    <w:rsid w:val="00634570"/>
    <w:rsid w:val="0063487C"/>
    <w:rsid w:val="00635B73"/>
    <w:rsid w:val="00635BB7"/>
    <w:rsid w:val="00636CC7"/>
    <w:rsid w:val="0063781F"/>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032"/>
    <w:rsid w:val="00647664"/>
    <w:rsid w:val="00650121"/>
    <w:rsid w:val="00650D19"/>
    <w:rsid w:val="00652CF5"/>
    <w:rsid w:val="0065343E"/>
    <w:rsid w:val="006536BB"/>
    <w:rsid w:val="0065398F"/>
    <w:rsid w:val="00653C7C"/>
    <w:rsid w:val="00653D1E"/>
    <w:rsid w:val="00654252"/>
    <w:rsid w:val="006543B7"/>
    <w:rsid w:val="00654EA5"/>
    <w:rsid w:val="0065587E"/>
    <w:rsid w:val="006558CD"/>
    <w:rsid w:val="00655C26"/>
    <w:rsid w:val="0065637A"/>
    <w:rsid w:val="00656998"/>
    <w:rsid w:val="00656E4D"/>
    <w:rsid w:val="0065735F"/>
    <w:rsid w:val="006576BA"/>
    <w:rsid w:val="006600BF"/>
    <w:rsid w:val="00660AF7"/>
    <w:rsid w:val="00660D3E"/>
    <w:rsid w:val="00661691"/>
    <w:rsid w:val="00661B5C"/>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3E4"/>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188"/>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0BF"/>
    <w:rsid w:val="006D135C"/>
    <w:rsid w:val="006D2F72"/>
    <w:rsid w:val="006D4345"/>
    <w:rsid w:val="006D43C1"/>
    <w:rsid w:val="006D518C"/>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43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3CBA"/>
    <w:rsid w:val="006F41F4"/>
    <w:rsid w:val="006F4576"/>
    <w:rsid w:val="006F5813"/>
    <w:rsid w:val="006F59A8"/>
    <w:rsid w:val="006F5A1D"/>
    <w:rsid w:val="006F71A6"/>
    <w:rsid w:val="006F7974"/>
    <w:rsid w:val="006F7C2C"/>
    <w:rsid w:val="006F7E06"/>
    <w:rsid w:val="006F7FD5"/>
    <w:rsid w:val="00700214"/>
    <w:rsid w:val="00700405"/>
    <w:rsid w:val="00700A33"/>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938"/>
    <w:rsid w:val="00716C67"/>
    <w:rsid w:val="007170AB"/>
    <w:rsid w:val="0071779C"/>
    <w:rsid w:val="00717808"/>
    <w:rsid w:val="007208A7"/>
    <w:rsid w:val="00720B6A"/>
    <w:rsid w:val="007210F6"/>
    <w:rsid w:val="0072129A"/>
    <w:rsid w:val="0072139F"/>
    <w:rsid w:val="0072198A"/>
    <w:rsid w:val="00721AD9"/>
    <w:rsid w:val="00721FC3"/>
    <w:rsid w:val="007226A8"/>
    <w:rsid w:val="00722A86"/>
    <w:rsid w:val="00722BC6"/>
    <w:rsid w:val="00722C69"/>
    <w:rsid w:val="0072311F"/>
    <w:rsid w:val="0072388C"/>
    <w:rsid w:val="00723C91"/>
    <w:rsid w:val="0072454E"/>
    <w:rsid w:val="007249D1"/>
    <w:rsid w:val="00724FE4"/>
    <w:rsid w:val="00725328"/>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46A"/>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47E14"/>
    <w:rsid w:val="00750D12"/>
    <w:rsid w:val="00751073"/>
    <w:rsid w:val="00751AF2"/>
    <w:rsid w:val="00751B1A"/>
    <w:rsid w:val="00751BD2"/>
    <w:rsid w:val="00751CE5"/>
    <w:rsid w:val="00752188"/>
    <w:rsid w:val="00752CC6"/>
    <w:rsid w:val="00753938"/>
    <w:rsid w:val="00753A57"/>
    <w:rsid w:val="00753F80"/>
    <w:rsid w:val="007543CE"/>
    <w:rsid w:val="0075497E"/>
    <w:rsid w:val="00754A29"/>
    <w:rsid w:val="007553A9"/>
    <w:rsid w:val="00755B6F"/>
    <w:rsid w:val="00755BCF"/>
    <w:rsid w:val="00756C5F"/>
    <w:rsid w:val="00756D69"/>
    <w:rsid w:val="00756D8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40B"/>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77A60"/>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820"/>
    <w:rsid w:val="00790EBB"/>
    <w:rsid w:val="00791C6E"/>
    <w:rsid w:val="007921F7"/>
    <w:rsid w:val="00792909"/>
    <w:rsid w:val="00792BC6"/>
    <w:rsid w:val="00792C3F"/>
    <w:rsid w:val="00792EE2"/>
    <w:rsid w:val="00792EFD"/>
    <w:rsid w:val="00793105"/>
    <w:rsid w:val="007931E8"/>
    <w:rsid w:val="00793333"/>
    <w:rsid w:val="007937B5"/>
    <w:rsid w:val="00794158"/>
    <w:rsid w:val="00794509"/>
    <w:rsid w:val="00794E46"/>
    <w:rsid w:val="007952DE"/>
    <w:rsid w:val="00795479"/>
    <w:rsid w:val="00796292"/>
    <w:rsid w:val="007965D9"/>
    <w:rsid w:val="00796BA2"/>
    <w:rsid w:val="007972D5"/>
    <w:rsid w:val="0079778D"/>
    <w:rsid w:val="00797D73"/>
    <w:rsid w:val="007A006C"/>
    <w:rsid w:val="007A0133"/>
    <w:rsid w:val="007A0789"/>
    <w:rsid w:val="007A130E"/>
    <w:rsid w:val="007A18B1"/>
    <w:rsid w:val="007A1BBD"/>
    <w:rsid w:val="007A1F08"/>
    <w:rsid w:val="007A2542"/>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6F8E"/>
    <w:rsid w:val="007A7618"/>
    <w:rsid w:val="007B00C9"/>
    <w:rsid w:val="007B02C7"/>
    <w:rsid w:val="007B0306"/>
    <w:rsid w:val="007B08E4"/>
    <w:rsid w:val="007B0D86"/>
    <w:rsid w:val="007B12F9"/>
    <w:rsid w:val="007B28C3"/>
    <w:rsid w:val="007B29A5"/>
    <w:rsid w:val="007B3A8E"/>
    <w:rsid w:val="007B3C9B"/>
    <w:rsid w:val="007B4271"/>
    <w:rsid w:val="007B497D"/>
    <w:rsid w:val="007B4EE9"/>
    <w:rsid w:val="007B5234"/>
    <w:rsid w:val="007B54C7"/>
    <w:rsid w:val="007B5637"/>
    <w:rsid w:val="007B5DC5"/>
    <w:rsid w:val="007B5F32"/>
    <w:rsid w:val="007B63FC"/>
    <w:rsid w:val="007B6708"/>
    <w:rsid w:val="007B6709"/>
    <w:rsid w:val="007B6C20"/>
    <w:rsid w:val="007B6E8D"/>
    <w:rsid w:val="007C029E"/>
    <w:rsid w:val="007C0636"/>
    <w:rsid w:val="007C0CF5"/>
    <w:rsid w:val="007C10E4"/>
    <w:rsid w:val="007C17B4"/>
    <w:rsid w:val="007C20F8"/>
    <w:rsid w:val="007C21C5"/>
    <w:rsid w:val="007C2229"/>
    <w:rsid w:val="007C2313"/>
    <w:rsid w:val="007C2B5A"/>
    <w:rsid w:val="007C3590"/>
    <w:rsid w:val="007C387A"/>
    <w:rsid w:val="007C3A0D"/>
    <w:rsid w:val="007C3EB0"/>
    <w:rsid w:val="007C43D6"/>
    <w:rsid w:val="007C47FF"/>
    <w:rsid w:val="007C60A8"/>
    <w:rsid w:val="007C6485"/>
    <w:rsid w:val="007C660F"/>
    <w:rsid w:val="007C6664"/>
    <w:rsid w:val="007C66FF"/>
    <w:rsid w:val="007C69AE"/>
    <w:rsid w:val="007C6FE9"/>
    <w:rsid w:val="007C7688"/>
    <w:rsid w:val="007C76E3"/>
    <w:rsid w:val="007C76F3"/>
    <w:rsid w:val="007C78FA"/>
    <w:rsid w:val="007C7DD9"/>
    <w:rsid w:val="007C7E22"/>
    <w:rsid w:val="007D03BC"/>
    <w:rsid w:val="007D0618"/>
    <w:rsid w:val="007D0DC9"/>
    <w:rsid w:val="007D0ECD"/>
    <w:rsid w:val="007D1C26"/>
    <w:rsid w:val="007D2882"/>
    <w:rsid w:val="007D296C"/>
    <w:rsid w:val="007D2C31"/>
    <w:rsid w:val="007D2E50"/>
    <w:rsid w:val="007D3280"/>
    <w:rsid w:val="007D3D74"/>
    <w:rsid w:val="007D445F"/>
    <w:rsid w:val="007D4DED"/>
    <w:rsid w:val="007D5BA2"/>
    <w:rsid w:val="007D5ED3"/>
    <w:rsid w:val="007D682F"/>
    <w:rsid w:val="007D6C81"/>
    <w:rsid w:val="007D6FB9"/>
    <w:rsid w:val="007D7211"/>
    <w:rsid w:val="007E0595"/>
    <w:rsid w:val="007E0A63"/>
    <w:rsid w:val="007E0C63"/>
    <w:rsid w:val="007E0E05"/>
    <w:rsid w:val="007E0F5D"/>
    <w:rsid w:val="007E23A1"/>
    <w:rsid w:val="007E259F"/>
    <w:rsid w:val="007E347E"/>
    <w:rsid w:val="007E39C6"/>
    <w:rsid w:val="007E41A4"/>
    <w:rsid w:val="007E4360"/>
    <w:rsid w:val="007E43E3"/>
    <w:rsid w:val="007E54B8"/>
    <w:rsid w:val="007E5908"/>
    <w:rsid w:val="007E5D12"/>
    <w:rsid w:val="007E6420"/>
    <w:rsid w:val="007E677F"/>
    <w:rsid w:val="007E6B25"/>
    <w:rsid w:val="007E6E06"/>
    <w:rsid w:val="007E6F4A"/>
    <w:rsid w:val="007E79CC"/>
    <w:rsid w:val="007F1124"/>
    <w:rsid w:val="007F152D"/>
    <w:rsid w:val="007F20C4"/>
    <w:rsid w:val="007F20EE"/>
    <w:rsid w:val="007F23D8"/>
    <w:rsid w:val="007F2AB1"/>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C7F"/>
    <w:rsid w:val="007F7F8F"/>
    <w:rsid w:val="00800509"/>
    <w:rsid w:val="0080078E"/>
    <w:rsid w:val="00800B7F"/>
    <w:rsid w:val="008012B1"/>
    <w:rsid w:val="0080176B"/>
    <w:rsid w:val="00801D63"/>
    <w:rsid w:val="0080348B"/>
    <w:rsid w:val="00803D82"/>
    <w:rsid w:val="00803D98"/>
    <w:rsid w:val="008041A3"/>
    <w:rsid w:val="008052CE"/>
    <w:rsid w:val="008058D0"/>
    <w:rsid w:val="00806A4C"/>
    <w:rsid w:val="0080705B"/>
    <w:rsid w:val="0080723C"/>
    <w:rsid w:val="00807F71"/>
    <w:rsid w:val="0081000F"/>
    <w:rsid w:val="008113AE"/>
    <w:rsid w:val="00812657"/>
    <w:rsid w:val="00812A1A"/>
    <w:rsid w:val="00812DFF"/>
    <w:rsid w:val="0081362F"/>
    <w:rsid w:val="0081383A"/>
    <w:rsid w:val="00813CB4"/>
    <w:rsid w:val="0081497F"/>
    <w:rsid w:val="00814B90"/>
    <w:rsid w:val="00814FC7"/>
    <w:rsid w:val="008159AA"/>
    <w:rsid w:val="0081660C"/>
    <w:rsid w:val="00816EAA"/>
    <w:rsid w:val="00817195"/>
    <w:rsid w:val="00817416"/>
    <w:rsid w:val="00817658"/>
    <w:rsid w:val="00817E52"/>
    <w:rsid w:val="008206AE"/>
    <w:rsid w:val="00821271"/>
    <w:rsid w:val="00821306"/>
    <w:rsid w:val="008213D9"/>
    <w:rsid w:val="008216CE"/>
    <w:rsid w:val="008218AE"/>
    <w:rsid w:val="00821D85"/>
    <w:rsid w:val="00821E47"/>
    <w:rsid w:val="008220F6"/>
    <w:rsid w:val="00822456"/>
    <w:rsid w:val="00823181"/>
    <w:rsid w:val="00823819"/>
    <w:rsid w:val="00823C4B"/>
    <w:rsid w:val="0082427D"/>
    <w:rsid w:val="00824CA1"/>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6CA"/>
    <w:rsid w:val="00834FEF"/>
    <w:rsid w:val="008358A3"/>
    <w:rsid w:val="00836323"/>
    <w:rsid w:val="008379FF"/>
    <w:rsid w:val="00837D3D"/>
    <w:rsid w:val="00837E9B"/>
    <w:rsid w:val="008404AA"/>
    <w:rsid w:val="008406D7"/>
    <w:rsid w:val="0084074F"/>
    <w:rsid w:val="008407BA"/>
    <w:rsid w:val="00840AA3"/>
    <w:rsid w:val="00840AAC"/>
    <w:rsid w:val="0084101C"/>
    <w:rsid w:val="0084181B"/>
    <w:rsid w:val="00841F29"/>
    <w:rsid w:val="008420C6"/>
    <w:rsid w:val="008425CC"/>
    <w:rsid w:val="00842B7A"/>
    <w:rsid w:val="00842DC2"/>
    <w:rsid w:val="0084357B"/>
    <w:rsid w:val="008465B4"/>
    <w:rsid w:val="00846D25"/>
    <w:rsid w:val="00850013"/>
    <w:rsid w:val="008500DD"/>
    <w:rsid w:val="00850A0A"/>
    <w:rsid w:val="00850A94"/>
    <w:rsid w:val="00851E96"/>
    <w:rsid w:val="00851F1C"/>
    <w:rsid w:val="00852FA5"/>
    <w:rsid w:val="00853F7D"/>
    <w:rsid w:val="00854CF4"/>
    <w:rsid w:val="0085517F"/>
    <w:rsid w:val="0085562D"/>
    <w:rsid w:val="00855A78"/>
    <w:rsid w:val="00856154"/>
    <w:rsid w:val="00856286"/>
    <w:rsid w:val="0085657E"/>
    <w:rsid w:val="00856F0E"/>
    <w:rsid w:val="008573AF"/>
    <w:rsid w:val="008576B0"/>
    <w:rsid w:val="0086004D"/>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2C89"/>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4EA"/>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B"/>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D5E"/>
    <w:rsid w:val="008A5F2F"/>
    <w:rsid w:val="008A6BAE"/>
    <w:rsid w:val="008A7350"/>
    <w:rsid w:val="008A7A72"/>
    <w:rsid w:val="008B09F3"/>
    <w:rsid w:val="008B0AAA"/>
    <w:rsid w:val="008B111A"/>
    <w:rsid w:val="008B16E6"/>
    <w:rsid w:val="008B1AB2"/>
    <w:rsid w:val="008B1D9B"/>
    <w:rsid w:val="008B1FF7"/>
    <w:rsid w:val="008B2042"/>
    <w:rsid w:val="008B25F1"/>
    <w:rsid w:val="008B3567"/>
    <w:rsid w:val="008B36D0"/>
    <w:rsid w:val="008B38AF"/>
    <w:rsid w:val="008B3D7F"/>
    <w:rsid w:val="008B3E1B"/>
    <w:rsid w:val="008B3F4B"/>
    <w:rsid w:val="008B48EC"/>
    <w:rsid w:val="008B4AF0"/>
    <w:rsid w:val="008B518E"/>
    <w:rsid w:val="008B527B"/>
    <w:rsid w:val="008B59D1"/>
    <w:rsid w:val="008B5AB9"/>
    <w:rsid w:val="008B67E6"/>
    <w:rsid w:val="008B69B8"/>
    <w:rsid w:val="008B7042"/>
    <w:rsid w:val="008B770C"/>
    <w:rsid w:val="008C0325"/>
    <w:rsid w:val="008C05A3"/>
    <w:rsid w:val="008C094A"/>
    <w:rsid w:val="008C1570"/>
    <w:rsid w:val="008C1792"/>
    <w:rsid w:val="008C17B2"/>
    <w:rsid w:val="008C1E3E"/>
    <w:rsid w:val="008C2059"/>
    <w:rsid w:val="008C21D0"/>
    <w:rsid w:val="008C2347"/>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6C4"/>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1E03"/>
    <w:rsid w:val="008E2626"/>
    <w:rsid w:val="008E27A9"/>
    <w:rsid w:val="008E323C"/>
    <w:rsid w:val="008E32E0"/>
    <w:rsid w:val="008E35A6"/>
    <w:rsid w:val="008E36D9"/>
    <w:rsid w:val="008E3A5C"/>
    <w:rsid w:val="008E3A9A"/>
    <w:rsid w:val="008E429E"/>
    <w:rsid w:val="008E4B3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9D0"/>
    <w:rsid w:val="00901F0E"/>
    <w:rsid w:val="00902A26"/>
    <w:rsid w:val="00902A57"/>
    <w:rsid w:val="00902B29"/>
    <w:rsid w:val="00903241"/>
    <w:rsid w:val="00903C83"/>
    <w:rsid w:val="00903D77"/>
    <w:rsid w:val="0090408F"/>
    <w:rsid w:val="0090446A"/>
    <w:rsid w:val="00904537"/>
    <w:rsid w:val="00904DC3"/>
    <w:rsid w:val="0090534A"/>
    <w:rsid w:val="00905469"/>
    <w:rsid w:val="00906078"/>
    <w:rsid w:val="0090629C"/>
    <w:rsid w:val="009063B2"/>
    <w:rsid w:val="00906EA2"/>
    <w:rsid w:val="00907278"/>
    <w:rsid w:val="00910041"/>
    <w:rsid w:val="0091112B"/>
    <w:rsid w:val="00911D61"/>
    <w:rsid w:val="00912850"/>
    <w:rsid w:val="009128B8"/>
    <w:rsid w:val="0091472C"/>
    <w:rsid w:val="00914DC9"/>
    <w:rsid w:val="00915351"/>
    <w:rsid w:val="00915679"/>
    <w:rsid w:val="009159C2"/>
    <w:rsid w:val="0091627F"/>
    <w:rsid w:val="00916DE8"/>
    <w:rsid w:val="00916E45"/>
    <w:rsid w:val="0092077A"/>
    <w:rsid w:val="00920DC0"/>
    <w:rsid w:val="009219F3"/>
    <w:rsid w:val="009221CB"/>
    <w:rsid w:val="00922320"/>
    <w:rsid w:val="00923643"/>
    <w:rsid w:val="00923E1A"/>
    <w:rsid w:val="009245CC"/>
    <w:rsid w:val="0092490A"/>
    <w:rsid w:val="00924EBA"/>
    <w:rsid w:val="00925A3E"/>
    <w:rsid w:val="009261DB"/>
    <w:rsid w:val="00926939"/>
    <w:rsid w:val="00926F4C"/>
    <w:rsid w:val="00927330"/>
    <w:rsid w:val="0092764B"/>
    <w:rsid w:val="00927710"/>
    <w:rsid w:val="009307CA"/>
    <w:rsid w:val="00930AB9"/>
    <w:rsid w:val="009312F9"/>
    <w:rsid w:val="00931445"/>
    <w:rsid w:val="00931AB8"/>
    <w:rsid w:val="00931C19"/>
    <w:rsid w:val="00931C63"/>
    <w:rsid w:val="00931D10"/>
    <w:rsid w:val="0093218A"/>
    <w:rsid w:val="0093386D"/>
    <w:rsid w:val="00934C8E"/>
    <w:rsid w:val="00935194"/>
    <w:rsid w:val="00936909"/>
    <w:rsid w:val="00936EA5"/>
    <w:rsid w:val="00937114"/>
    <w:rsid w:val="0094015D"/>
    <w:rsid w:val="00940916"/>
    <w:rsid w:val="009412B7"/>
    <w:rsid w:val="00941B13"/>
    <w:rsid w:val="00941F08"/>
    <w:rsid w:val="0094215C"/>
    <w:rsid w:val="00942F8E"/>
    <w:rsid w:val="00943543"/>
    <w:rsid w:val="00943F91"/>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6AF"/>
    <w:rsid w:val="009557A9"/>
    <w:rsid w:val="00956577"/>
    <w:rsid w:val="00956647"/>
    <w:rsid w:val="00956CF3"/>
    <w:rsid w:val="00957380"/>
    <w:rsid w:val="00957409"/>
    <w:rsid w:val="00957499"/>
    <w:rsid w:val="00957ED2"/>
    <w:rsid w:val="00960229"/>
    <w:rsid w:val="00960439"/>
    <w:rsid w:val="009604AE"/>
    <w:rsid w:val="009609AF"/>
    <w:rsid w:val="00960DE4"/>
    <w:rsid w:val="009610C7"/>
    <w:rsid w:val="00961164"/>
    <w:rsid w:val="00961867"/>
    <w:rsid w:val="00961A4F"/>
    <w:rsid w:val="00961C2A"/>
    <w:rsid w:val="009625B7"/>
    <w:rsid w:val="00962FB8"/>
    <w:rsid w:val="00963183"/>
    <w:rsid w:val="0096373F"/>
    <w:rsid w:val="00964007"/>
    <w:rsid w:val="00964283"/>
    <w:rsid w:val="009642A4"/>
    <w:rsid w:val="009643F4"/>
    <w:rsid w:val="009645A6"/>
    <w:rsid w:val="00964F5A"/>
    <w:rsid w:val="0096527F"/>
    <w:rsid w:val="009653ED"/>
    <w:rsid w:val="009654E4"/>
    <w:rsid w:val="00966A21"/>
    <w:rsid w:val="00966AD2"/>
    <w:rsid w:val="0096787E"/>
    <w:rsid w:val="009704B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4E5F"/>
    <w:rsid w:val="009851F5"/>
    <w:rsid w:val="0098534B"/>
    <w:rsid w:val="00986019"/>
    <w:rsid w:val="00986281"/>
    <w:rsid w:val="00986FC9"/>
    <w:rsid w:val="0098764E"/>
    <w:rsid w:val="00987683"/>
    <w:rsid w:val="00987826"/>
    <w:rsid w:val="00987B4F"/>
    <w:rsid w:val="00987D58"/>
    <w:rsid w:val="00990225"/>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733"/>
    <w:rsid w:val="00995B01"/>
    <w:rsid w:val="00995B44"/>
    <w:rsid w:val="00996055"/>
    <w:rsid w:val="00996EF4"/>
    <w:rsid w:val="00997044"/>
    <w:rsid w:val="009977FF"/>
    <w:rsid w:val="00997BC9"/>
    <w:rsid w:val="009A113D"/>
    <w:rsid w:val="009A1ECA"/>
    <w:rsid w:val="009A2BE9"/>
    <w:rsid w:val="009A2BF3"/>
    <w:rsid w:val="009A3688"/>
    <w:rsid w:val="009A3713"/>
    <w:rsid w:val="009A3C3E"/>
    <w:rsid w:val="009A4153"/>
    <w:rsid w:val="009A48F1"/>
    <w:rsid w:val="009A4C2C"/>
    <w:rsid w:val="009A59B3"/>
    <w:rsid w:val="009A5FAE"/>
    <w:rsid w:val="009A6B3A"/>
    <w:rsid w:val="009A70A3"/>
    <w:rsid w:val="009A7E7C"/>
    <w:rsid w:val="009B05D2"/>
    <w:rsid w:val="009B142F"/>
    <w:rsid w:val="009B152B"/>
    <w:rsid w:val="009B1F90"/>
    <w:rsid w:val="009B2731"/>
    <w:rsid w:val="009B2DCF"/>
    <w:rsid w:val="009B39D8"/>
    <w:rsid w:val="009B3D38"/>
    <w:rsid w:val="009B4368"/>
    <w:rsid w:val="009B4D4C"/>
    <w:rsid w:val="009B66F5"/>
    <w:rsid w:val="009B7505"/>
    <w:rsid w:val="009C0020"/>
    <w:rsid w:val="009C03F7"/>
    <w:rsid w:val="009C10DA"/>
    <w:rsid w:val="009C19FC"/>
    <w:rsid w:val="009C27F7"/>
    <w:rsid w:val="009C3682"/>
    <w:rsid w:val="009C3BC4"/>
    <w:rsid w:val="009C3C93"/>
    <w:rsid w:val="009C3E97"/>
    <w:rsid w:val="009C4017"/>
    <w:rsid w:val="009C414A"/>
    <w:rsid w:val="009C424E"/>
    <w:rsid w:val="009C4708"/>
    <w:rsid w:val="009C4870"/>
    <w:rsid w:val="009C4C4E"/>
    <w:rsid w:val="009C4D37"/>
    <w:rsid w:val="009C574C"/>
    <w:rsid w:val="009C5753"/>
    <w:rsid w:val="009C586F"/>
    <w:rsid w:val="009C59D5"/>
    <w:rsid w:val="009C5E42"/>
    <w:rsid w:val="009C620F"/>
    <w:rsid w:val="009C657D"/>
    <w:rsid w:val="009C724B"/>
    <w:rsid w:val="009C7266"/>
    <w:rsid w:val="009C748A"/>
    <w:rsid w:val="009C7533"/>
    <w:rsid w:val="009D03B7"/>
    <w:rsid w:val="009D07AD"/>
    <w:rsid w:val="009D0824"/>
    <w:rsid w:val="009D1172"/>
    <w:rsid w:val="009D13CC"/>
    <w:rsid w:val="009D1654"/>
    <w:rsid w:val="009D1AAC"/>
    <w:rsid w:val="009D1BDB"/>
    <w:rsid w:val="009D1D22"/>
    <w:rsid w:val="009D298F"/>
    <w:rsid w:val="009D2F9C"/>
    <w:rsid w:val="009D4207"/>
    <w:rsid w:val="009D470A"/>
    <w:rsid w:val="009D4E4A"/>
    <w:rsid w:val="009D5130"/>
    <w:rsid w:val="009D53D1"/>
    <w:rsid w:val="009D53FB"/>
    <w:rsid w:val="009D56A4"/>
    <w:rsid w:val="009D6081"/>
    <w:rsid w:val="009D678C"/>
    <w:rsid w:val="009D6B31"/>
    <w:rsid w:val="009D6B9A"/>
    <w:rsid w:val="009D6D30"/>
    <w:rsid w:val="009D7523"/>
    <w:rsid w:val="009D76B5"/>
    <w:rsid w:val="009D7807"/>
    <w:rsid w:val="009D7AF1"/>
    <w:rsid w:val="009D7BC7"/>
    <w:rsid w:val="009D7FAC"/>
    <w:rsid w:val="009E0109"/>
    <w:rsid w:val="009E0342"/>
    <w:rsid w:val="009E098B"/>
    <w:rsid w:val="009E09AB"/>
    <w:rsid w:val="009E0D7D"/>
    <w:rsid w:val="009E0DAF"/>
    <w:rsid w:val="009E19BB"/>
    <w:rsid w:val="009E1C47"/>
    <w:rsid w:val="009E2463"/>
    <w:rsid w:val="009E38D1"/>
    <w:rsid w:val="009E3DF1"/>
    <w:rsid w:val="009E514A"/>
    <w:rsid w:val="009E5177"/>
    <w:rsid w:val="009E5701"/>
    <w:rsid w:val="009E5711"/>
    <w:rsid w:val="009E758E"/>
    <w:rsid w:val="009E7BFB"/>
    <w:rsid w:val="009E7D6B"/>
    <w:rsid w:val="009E7E81"/>
    <w:rsid w:val="009F020A"/>
    <w:rsid w:val="009F05AD"/>
    <w:rsid w:val="009F0659"/>
    <w:rsid w:val="009F080C"/>
    <w:rsid w:val="009F1109"/>
    <w:rsid w:val="009F143E"/>
    <w:rsid w:val="009F1DE8"/>
    <w:rsid w:val="009F2056"/>
    <w:rsid w:val="009F2186"/>
    <w:rsid w:val="009F227C"/>
    <w:rsid w:val="009F242D"/>
    <w:rsid w:val="009F28DC"/>
    <w:rsid w:val="009F2EDB"/>
    <w:rsid w:val="009F33DC"/>
    <w:rsid w:val="009F3F99"/>
    <w:rsid w:val="009F4550"/>
    <w:rsid w:val="009F56C0"/>
    <w:rsid w:val="009F5C76"/>
    <w:rsid w:val="009F79FE"/>
    <w:rsid w:val="00A000C5"/>
    <w:rsid w:val="00A007B4"/>
    <w:rsid w:val="00A00930"/>
    <w:rsid w:val="00A00CA0"/>
    <w:rsid w:val="00A00DD7"/>
    <w:rsid w:val="00A00E00"/>
    <w:rsid w:val="00A01221"/>
    <w:rsid w:val="00A012A8"/>
    <w:rsid w:val="00A012F1"/>
    <w:rsid w:val="00A016FF"/>
    <w:rsid w:val="00A01886"/>
    <w:rsid w:val="00A0207F"/>
    <w:rsid w:val="00A021AF"/>
    <w:rsid w:val="00A027B1"/>
    <w:rsid w:val="00A0307A"/>
    <w:rsid w:val="00A03A7C"/>
    <w:rsid w:val="00A044AA"/>
    <w:rsid w:val="00A06B8D"/>
    <w:rsid w:val="00A0700C"/>
    <w:rsid w:val="00A102F8"/>
    <w:rsid w:val="00A10A20"/>
    <w:rsid w:val="00A117D5"/>
    <w:rsid w:val="00A11C11"/>
    <w:rsid w:val="00A11F8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4FEB"/>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4F1D"/>
    <w:rsid w:val="00A451B4"/>
    <w:rsid w:val="00A462FD"/>
    <w:rsid w:val="00A4665D"/>
    <w:rsid w:val="00A46756"/>
    <w:rsid w:val="00A46859"/>
    <w:rsid w:val="00A46D39"/>
    <w:rsid w:val="00A47019"/>
    <w:rsid w:val="00A472B8"/>
    <w:rsid w:val="00A5004A"/>
    <w:rsid w:val="00A5017C"/>
    <w:rsid w:val="00A502D6"/>
    <w:rsid w:val="00A502F5"/>
    <w:rsid w:val="00A504F4"/>
    <w:rsid w:val="00A507C4"/>
    <w:rsid w:val="00A508AA"/>
    <w:rsid w:val="00A509EF"/>
    <w:rsid w:val="00A50EE7"/>
    <w:rsid w:val="00A526CE"/>
    <w:rsid w:val="00A54909"/>
    <w:rsid w:val="00A54DC0"/>
    <w:rsid w:val="00A55033"/>
    <w:rsid w:val="00A550C9"/>
    <w:rsid w:val="00A55228"/>
    <w:rsid w:val="00A55410"/>
    <w:rsid w:val="00A55A04"/>
    <w:rsid w:val="00A564DE"/>
    <w:rsid w:val="00A6054E"/>
    <w:rsid w:val="00A60799"/>
    <w:rsid w:val="00A61445"/>
    <w:rsid w:val="00A6170B"/>
    <w:rsid w:val="00A61991"/>
    <w:rsid w:val="00A61B7F"/>
    <w:rsid w:val="00A61B91"/>
    <w:rsid w:val="00A61C3A"/>
    <w:rsid w:val="00A620E8"/>
    <w:rsid w:val="00A63335"/>
    <w:rsid w:val="00A634C0"/>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3E2"/>
    <w:rsid w:val="00A82D32"/>
    <w:rsid w:val="00A82EAE"/>
    <w:rsid w:val="00A82FC7"/>
    <w:rsid w:val="00A847F9"/>
    <w:rsid w:val="00A84F27"/>
    <w:rsid w:val="00A85070"/>
    <w:rsid w:val="00A8519C"/>
    <w:rsid w:val="00A855EE"/>
    <w:rsid w:val="00A8597A"/>
    <w:rsid w:val="00A85B87"/>
    <w:rsid w:val="00A85F83"/>
    <w:rsid w:val="00A86019"/>
    <w:rsid w:val="00A86EED"/>
    <w:rsid w:val="00A8733A"/>
    <w:rsid w:val="00A91450"/>
    <w:rsid w:val="00A9151F"/>
    <w:rsid w:val="00A9196B"/>
    <w:rsid w:val="00A91BB5"/>
    <w:rsid w:val="00A91BEE"/>
    <w:rsid w:val="00A91D4B"/>
    <w:rsid w:val="00A920B2"/>
    <w:rsid w:val="00A92A96"/>
    <w:rsid w:val="00A92AF0"/>
    <w:rsid w:val="00A933FE"/>
    <w:rsid w:val="00A937D5"/>
    <w:rsid w:val="00A938C0"/>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4F9"/>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082B"/>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82F"/>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75F"/>
    <w:rsid w:val="00B038F1"/>
    <w:rsid w:val="00B03C1B"/>
    <w:rsid w:val="00B04678"/>
    <w:rsid w:val="00B047C9"/>
    <w:rsid w:val="00B04A04"/>
    <w:rsid w:val="00B04B78"/>
    <w:rsid w:val="00B04C37"/>
    <w:rsid w:val="00B04D92"/>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AE"/>
    <w:rsid w:val="00B163E8"/>
    <w:rsid w:val="00B16DC0"/>
    <w:rsid w:val="00B17040"/>
    <w:rsid w:val="00B1767E"/>
    <w:rsid w:val="00B20032"/>
    <w:rsid w:val="00B20760"/>
    <w:rsid w:val="00B2125C"/>
    <w:rsid w:val="00B21676"/>
    <w:rsid w:val="00B219E1"/>
    <w:rsid w:val="00B21ECF"/>
    <w:rsid w:val="00B22150"/>
    <w:rsid w:val="00B226DE"/>
    <w:rsid w:val="00B22FB5"/>
    <w:rsid w:val="00B241D5"/>
    <w:rsid w:val="00B2437E"/>
    <w:rsid w:val="00B24BE9"/>
    <w:rsid w:val="00B2551D"/>
    <w:rsid w:val="00B25AC0"/>
    <w:rsid w:val="00B25F8C"/>
    <w:rsid w:val="00B260BE"/>
    <w:rsid w:val="00B26677"/>
    <w:rsid w:val="00B26A96"/>
    <w:rsid w:val="00B26DE2"/>
    <w:rsid w:val="00B274E3"/>
    <w:rsid w:val="00B2765C"/>
    <w:rsid w:val="00B27C4B"/>
    <w:rsid w:val="00B30563"/>
    <w:rsid w:val="00B3069E"/>
    <w:rsid w:val="00B3072C"/>
    <w:rsid w:val="00B30A76"/>
    <w:rsid w:val="00B31246"/>
    <w:rsid w:val="00B32295"/>
    <w:rsid w:val="00B33AB5"/>
    <w:rsid w:val="00B3412E"/>
    <w:rsid w:val="00B343E0"/>
    <w:rsid w:val="00B35B6D"/>
    <w:rsid w:val="00B35B8F"/>
    <w:rsid w:val="00B35D53"/>
    <w:rsid w:val="00B367C4"/>
    <w:rsid w:val="00B36D3E"/>
    <w:rsid w:val="00B37B8E"/>
    <w:rsid w:val="00B40222"/>
    <w:rsid w:val="00B404C3"/>
    <w:rsid w:val="00B41A04"/>
    <w:rsid w:val="00B42743"/>
    <w:rsid w:val="00B430E9"/>
    <w:rsid w:val="00B4311F"/>
    <w:rsid w:val="00B431AE"/>
    <w:rsid w:val="00B44288"/>
    <w:rsid w:val="00B448BF"/>
    <w:rsid w:val="00B451DC"/>
    <w:rsid w:val="00B45A59"/>
    <w:rsid w:val="00B45F9F"/>
    <w:rsid w:val="00B4627C"/>
    <w:rsid w:val="00B4641F"/>
    <w:rsid w:val="00B46793"/>
    <w:rsid w:val="00B46953"/>
    <w:rsid w:val="00B47090"/>
    <w:rsid w:val="00B47455"/>
    <w:rsid w:val="00B47979"/>
    <w:rsid w:val="00B47A59"/>
    <w:rsid w:val="00B47ECD"/>
    <w:rsid w:val="00B47FF3"/>
    <w:rsid w:val="00B503D6"/>
    <w:rsid w:val="00B50C4E"/>
    <w:rsid w:val="00B51520"/>
    <w:rsid w:val="00B515C3"/>
    <w:rsid w:val="00B517C2"/>
    <w:rsid w:val="00B518CE"/>
    <w:rsid w:val="00B51F56"/>
    <w:rsid w:val="00B52234"/>
    <w:rsid w:val="00B53623"/>
    <w:rsid w:val="00B53D1D"/>
    <w:rsid w:val="00B53E98"/>
    <w:rsid w:val="00B53F9B"/>
    <w:rsid w:val="00B54389"/>
    <w:rsid w:val="00B54B19"/>
    <w:rsid w:val="00B55F64"/>
    <w:rsid w:val="00B56ECA"/>
    <w:rsid w:val="00B57093"/>
    <w:rsid w:val="00B57775"/>
    <w:rsid w:val="00B5790C"/>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5B87"/>
    <w:rsid w:val="00B66054"/>
    <w:rsid w:val="00B66492"/>
    <w:rsid w:val="00B6677F"/>
    <w:rsid w:val="00B66C7A"/>
    <w:rsid w:val="00B672EA"/>
    <w:rsid w:val="00B6747B"/>
    <w:rsid w:val="00B70200"/>
    <w:rsid w:val="00B702D7"/>
    <w:rsid w:val="00B70389"/>
    <w:rsid w:val="00B70E01"/>
    <w:rsid w:val="00B727F8"/>
    <w:rsid w:val="00B72CF0"/>
    <w:rsid w:val="00B7380E"/>
    <w:rsid w:val="00B740F6"/>
    <w:rsid w:val="00B74615"/>
    <w:rsid w:val="00B74789"/>
    <w:rsid w:val="00B755B6"/>
    <w:rsid w:val="00B75977"/>
    <w:rsid w:val="00B75A48"/>
    <w:rsid w:val="00B75C1D"/>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24F"/>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DC2"/>
    <w:rsid w:val="00BB2E4E"/>
    <w:rsid w:val="00BB2E62"/>
    <w:rsid w:val="00BB36C9"/>
    <w:rsid w:val="00BB396D"/>
    <w:rsid w:val="00BB3A66"/>
    <w:rsid w:val="00BB40D1"/>
    <w:rsid w:val="00BB777D"/>
    <w:rsid w:val="00BB7EC0"/>
    <w:rsid w:val="00BB7F88"/>
    <w:rsid w:val="00BC0207"/>
    <w:rsid w:val="00BC05D0"/>
    <w:rsid w:val="00BC089F"/>
    <w:rsid w:val="00BC0A0C"/>
    <w:rsid w:val="00BC0A5A"/>
    <w:rsid w:val="00BC0E64"/>
    <w:rsid w:val="00BC211D"/>
    <w:rsid w:val="00BC25D1"/>
    <w:rsid w:val="00BC2DBD"/>
    <w:rsid w:val="00BC3BCB"/>
    <w:rsid w:val="00BC3CF1"/>
    <w:rsid w:val="00BC428A"/>
    <w:rsid w:val="00BC4C40"/>
    <w:rsid w:val="00BC5A29"/>
    <w:rsid w:val="00BC5AE3"/>
    <w:rsid w:val="00BC5BAD"/>
    <w:rsid w:val="00BC692A"/>
    <w:rsid w:val="00BC7623"/>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3AEE"/>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ABF"/>
    <w:rsid w:val="00BF2021"/>
    <w:rsid w:val="00BF21D4"/>
    <w:rsid w:val="00BF2DDC"/>
    <w:rsid w:val="00BF32DE"/>
    <w:rsid w:val="00BF4A15"/>
    <w:rsid w:val="00BF4E0E"/>
    <w:rsid w:val="00BF4E27"/>
    <w:rsid w:val="00BF4F7C"/>
    <w:rsid w:val="00BF537B"/>
    <w:rsid w:val="00BF5901"/>
    <w:rsid w:val="00BF5F5C"/>
    <w:rsid w:val="00BF626A"/>
    <w:rsid w:val="00BF688E"/>
    <w:rsid w:val="00BF6D77"/>
    <w:rsid w:val="00BF704C"/>
    <w:rsid w:val="00BF739A"/>
    <w:rsid w:val="00BF7731"/>
    <w:rsid w:val="00BF7EF5"/>
    <w:rsid w:val="00C00235"/>
    <w:rsid w:val="00C00BF6"/>
    <w:rsid w:val="00C0234A"/>
    <w:rsid w:val="00C0247B"/>
    <w:rsid w:val="00C0378E"/>
    <w:rsid w:val="00C04314"/>
    <w:rsid w:val="00C049B5"/>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121"/>
    <w:rsid w:val="00C22350"/>
    <w:rsid w:val="00C22950"/>
    <w:rsid w:val="00C2302B"/>
    <w:rsid w:val="00C23615"/>
    <w:rsid w:val="00C2397E"/>
    <w:rsid w:val="00C23A83"/>
    <w:rsid w:val="00C24381"/>
    <w:rsid w:val="00C24801"/>
    <w:rsid w:val="00C24C2E"/>
    <w:rsid w:val="00C24C7A"/>
    <w:rsid w:val="00C24FFB"/>
    <w:rsid w:val="00C25CFF"/>
    <w:rsid w:val="00C25EA6"/>
    <w:rsid w:val="00C26164"/>
    <w:rsid w:val="00C261C1"/>
    <w:rsid w:val="00C2635C"/>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160"/>
    <w:rsid w:val="00C379EF"/>
    <w:rsid w:val="00C405C8"/>
    <w:rsid w:val="00C40C2F"/>
    <w:rsid w:val="00C415AC"/>
    <w:rsid w:val="00C4297A"/>
    <w:rsid w:val="00C4360C"/>
    <w:rsid w:val="00C439B8"/>
    <w:rsid w:val="00C43A0B"/>
    <w:rsid w:val="00C43EDA"/>
    <w:rsid w:val="00C43FEC"/>
    <w:rsid w:val="00C4414C"/>
    <w:rsid w:val="00C44750"/>
    <w:rsid w:val="00C44995"/>
    <w:rsid w:val="00C45512"/>
    <w:rsid w:val="00C4602B"/>
    <w:rsid w:val="00C46564"/>
    <w:rsid w:val="00C46BFA"/>
    <w:rsid w:val="00C46DDF"/>
    <w:rsid w:val="00C4776C"/>
    <w:rsid w:val="00C500A1"/>
    <w:rsid w:val="00C50A02"/>
    <w:rsid w:val="00C51149"/>
    <w:rsid w:val="00C5117E"/>
    <w:rsid w:val="00C51261"/>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A1B"/>
    <w:rsid w:val="00C65BD3"/>
    <w:rsid w:val="00C664FB"/>
    <w:rsid w:val="00C665DE"/>
    <w:rsid w:val="00C667C3"/>
    <w:rsid w:val="00C6728B"/>
    <w:rsid w:val="00C70718"/>
    <w:rsid w:val="00C70B25"/>
    <w:rsid w:val="00C71528"/>
    <w:rsid w:val="00C717D8"/>
    <w:rsid w:val="00C717E4"/>
    <w:rsid w:val="00C7191B"/>
    <w:rsid w:val="00C71F09"/>
    <w:rsid w:val="00C720F1"/>
    <w:rsid w:val="00C72588"/>
    <w:rsid w:val="00C727B9"/>
    <w:rsid w:val="00C72F44"/>
    <w:rsid w:val="00C73670"/>
    <w:rsid w:val="00C737D1"/>
    <w:rsid w:val="00C738A0"/>
    <w:rsid w:val="00C73DE0"/>
    <w:rsid w:val="00C74609"/>
    <w:rsid w:val="00C749AB"/>
    <w:rsid w:val="00C75A8F"/>
    <w:rsid w:val="00C76129"/>
    <w:rsid w:val="00C76C07"/>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610"/>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58E0"/>
    <w:rsid w:val="00CA6157"/>
    <w:rsid w:val="00CA6A2E"/>
    <w:rsid w:val="00CA6B56"/>
    <w:rsid w:val="00CA7D3E"/>
    <w:rsid w:val="00CB0317"/>
    <w:rsid w:val="00CB0662"/>
    <w:rsid w:val="00CB0A82"/>
    <w:rsid w:val="00CB0F2F"/>
    <w:rsid w:val="00CB1556"/>
    <w:rsid w:val="00CB2913"/>
    <w:rsid w:val="00CB3777"/>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26"/>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282"/>
    <w:rsid w:val="00CD1484"/>
    <w:rsid w:val="00CD1892"/>
    <w:rsid w:val="00CD1C01"/>
    <w:rsid w:val="00CD1D00"/>
    <w:rsid w:val="00CD2009"/>
    <w:rsid w:val="00CD261C"/>
    <w:rsid w:val="00CD27AC"/>
    <w:rsid w:val="00CD2A82"/>
    <w:rsid w:val="00CD3CAB"/>
    <w:rsid w:val="00CD44FF"/>
    <w:rsid w:val="00CD46A7"/>
    <w:rsid w:val="00CD47BC"/>
    <w:rsid w:val="00CD4E50"/>
    <w:rsid w:val="00CD53DC"/>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A5D"/>
    <w:rsid w:val="00CE6BA9"/>
    <w:rsid w:val="00CE71C3"/>
    <w:rsid w:val="00CE727A"/>
    <w:rsid w:val="00CF029C"/>
    <w:rsid w:val="00CF0AF0"/>
    <w:rsid w:val="00CF157E"/>
    <w:rsid w:val="00CF1631"/>
    <w:rsid w:val="00CF1707"/>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C22"/>
    <w:rsid w:val="00D04F01"/>
    <w:rsid w:val="00D04F8B"/>
    <w:rsid w:val="00D054EF"/>
    <w:rsid w:val="00D05637"/>
    <w:rsid w:val="00D05BA9"/>
    <w:rsid w:val="00D05EB1"/>
    <w:rsid w:val="00D0650B"/>
    <w:rsid w:val="00D068AA"/>
    <w:rsid w:val="00D06E71"/>
    <w:rsid w:val="00D06E9C"/>
    <w:rsid w:val="00D0714B"/>
    <w:rsid w:val="00D075F6"/>
    <w:rsid w:val="00D0764E"/>
    <w:rsid w:val="00D07D82"/>
    <w:rsid w:val="00D10327"/>
    <w:rsid w:val="00D103C9"/>
    <w:rsid w:val="00D10BE1"/>
    <w:rsid w:val="00D11C94"/>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B0A"/>
    <w:rsid w:val="00D21E6F"/>
    <w:rsid w:val="00D2218A"/>
    <w:rsid w:val="00D22B13"/>
    <w:rsid w:val="00D233D7"/>
    <w:rsid w:val="00D2371E"/>
    <w:rsid w:val="00D237A2"/>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AF0"/>
    <w:rsid w:val="00D32FA0"/>
    <w:rsid w:val="00D33112"/>
    <w:rsid w:val="00D331CB"/>
    <w:rsid w:val="00D338B2"/>
    <w:rsid w:val="00D3426D"/>
    <w:rsid w:val="00D3497A"/>
    <w:rsid w:val="00D35F2F"/>
    <w:rsid w:val="00D35FC6"/>
    <w:rsid w:val="00D36BB8"/>
    <w:rsid w:val="00D37362"/>
    <w:rsid w:val="00D377D4"/>
    <w:rsid w:val="00D401A1"/>
    <w:rsid w:val="00D40217"/>
    <w:rsid w:val="00D40385"/>
    <w:rsid w:val="00D404CE"/>
    <w:rsid w:val="00D40E8F"/>
    <w:rsid w:val="00D41247"/>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675"/>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07B"/>
    <w:rsid w:val="00D63724"/>
    <w:rsid w:val="00D640CC"/>
    <w:rsid w:val="00D640D6"/>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5FF"/>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C13"/>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B59"/>
    <w:rsid w:val="00D87FE6"/>
    <w:rsid w:val="00D90BC3"/>
    <w:rsid w:val="00D90C93"/>
    <w:rsid w:val="00D90DB9"/>
    <w:rsid w:val="00D91001"/>
    <w:rsid w:val="00D910FF"/>
    <w:rsid w:val="00D91337"/>
    <w:rsid w:val="00D915C9"/>
    <w:rsid w:val="00D918DA"/>
    <w:rsid w:val="00D9198F"/>
    <w:rsid w:val="00D92078"/>
    <w:rsid w:val="00D92166"/>
    <w:rsid w:val="00D926F0"/>
    <w:rsid w:val="00D92A87"/>
    <w:rsid w:val="00D92F79"/>
    <w:rsid w:val="00D9384E"/>
    <w:rsid w:val="00D93AEE"/>
    <w:rsid w:val="00D93DB4"/>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BA5"/>
    <w:rsid w:val="00DA6EE2"/>
    <w:rsid w:val="00DA718A"/>
    <w:rsid w:val="00DA78CF"/>
    <w:rsid w:val="00DA78D5"/>
    <w:rsid w:val="00DA7A89"/>
    <w:rsid w:val="00DA7BF4"/>
    <w:rsid w:val="00DB052F"/>
    <w:rsid w:val="00DB14D3"/>
    <w:rsid w:val="00DB154B"/>
    <w:rsid w:val="00DB1BDC"/>
    <w:rsid w:val="00DB2372"/>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A8E"/>
    <w:rsid w:val="00DC1395"/>
    <w:rsid w:val="00DC224E"/>
    <w:rsid w:val="00DC32FC"/>
    <w:rsid w:val="00DC3D89"/>
    <w:rsid w:val="00DC4567"/>
    <w:rsid w:val="00DC4D6C"/>
    <w:rsid w:val="00DC4F47"/>
    <w:rsid w:val="00DC5059"/>
    <w:rsid w:val="00DC5860"/>
    <w:rsid w:val="00DC599E"/>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1B1"/>
    <w:rsid w:val="00DD573B"/>
    <w:rsid w:val="00DD57E7"/>
    <w:rsid w:val="00DD5A1E"/>
    <w:rsid w:val="00DD5B8C"/>
    <w:rsid w:val="00DD5DFA"/>
    <w:rsid w:val="00DD5E91"/>
    <w:rsid w:val="00DD5F40"/>
    <w:rsid w:val="00DD68A3"/>
    <w:rsid w:val="00DD6CE2"/>
    <w:rsid w:val="00DD712F"/>
    <w:rsid w:val="00DD720D"/>
    <w:rsid w:val="00DE0229"/>
    <w:rsid w:val="00DE04E0"/>
    <w:rsid w:val="00DE12F1"/>
    <w:rsid w:val="00DE1A9D"/>
    <w:rsid w:val="00DE1CB1"/>
    <w:rsid w:val="00DE2073"/>
    <w:rsid w:val="00DE30AC"/>
    <w:rsid w:val="00DE38D1"/>
    <w:rsid w:val="00DE4106"/>
    <w:rsid w:val="00DE466B"/>
    <w:rsid w:val="00DE48F4"/>
    <w:rsid w:val="00DE5196"/>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2DC5"/>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53F"/>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552"/>
    <w:rsid w:val="00E279B2"/>
    <w:rsid w:val="00E303C0"/>
    <w:rsid w:val="00E3055B"/>
    <w:rsid w:val="00E314AE"/>
    <w:rsid w:val="00E31687"/>
    <w:rsid w:val="00E31699"/>
    <w:rsid w:val="00E31761"/>
    <w:rsid w:val="00E31812"/>
    <w:rsid w:val="00E31889"/>
    <w:rsid w:val="00E31964"/>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1B29"/>
    <w:rsid w:val="00E5206C"/>
    <w:rsid w:val="00E52AAB"/>
    <w:rsid w:val="00E5448E"/>
    <w:rsid w:val="00E54E0D"/>
    <w:rsid w:val="00E55247"/>
    <w:rsid w:val="00E558E5"/>
    <w:rsid w:val="00E55B3C"/>
    <w:rsid w:val="00E56795"/>
    <w:rsid w:val="00E57932"/>
    <w:rsid w:val="00E606C4"/>
    <w:rsid w:val="00E60811"/>
    <w:rsid w:val="00E60AB8"/>
    <w:rsid w:val="00E60DC1"/>
    <w:rsid w:val="00E6103E"/>
    <w:rsid w:val="00E6185F"/>
    <w:rsid w:val="00E61D32"/>
    <w:rsid w:val="00E63C60"/>
    <w:rsid w:val="00E64050"/>
    <w:rsid w:val="00E649C1"/>
    <w:rsid w:val="00E64B7B"/>
    <w:rsid w:val="00E6514D"/>
    <w:rsid w:val="00E65161"/>
    <w:rsid w:val="00E652C9"/>
    <w:rsid w:val="00E6593B"/>
    <w:rsid w:val="00E65D74"/>
    <w:rsid w:val="00E662BD"/>
    <w:rsid w:val="00E66E11"/>
    <w:rsid w:val="00E672C6"/>
    <w:rsid w:val="00E70192"/>
    <w:rsid w:val="00E70C55"/>
    <w:rsid w:val="00E70E34"/>
    <w:rsid w:val="00E71809"/>
    <w:rsid w:val="00E71D1E"/>
    <w:rsid w:val="00E724F4"/>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77B8B"/>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003"/>
    <w:rsid w:val="00E87A37"/>
    <w:rsid w:val="00E87CF7"/>
    <w:rsid w:val="00E87F17"/>
    <w:rsid w:val="00E9036E"/>
    <w:rsid w:val="00E903AB"/>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25C"/>
    <w:rsid w:val="00EA48C3"/>
    <w:rsid w:val="00EA613D"/>
    <w:rsid w:val="00EA6744"/>
    <w:rsid w:val="00EA7270"/>
    <w:rsid w:val="00EA7308"/>
    <w:rsid w:val="00EA7474"/>
    <w:rsid w:val="00EB03F6"/>
    <w:rsid w:val="00EB0831"/>
    <w:rsid w:val="00EB089C"/>
    <w:rsid w:val="00EB0AA8"/>
    <w:rsid w:val="00EB0B65"/>
    <w:rsid w:val="00EB0C65"/>
    <w:rsid w:val="00EB10EA"/>
    <w:rsid w:val="00EB1624"/>
    <w:rsid w:val="00EB169F"/>
    <w:rsid w:val="00EB2635"/>
    <w:rsid w:val="00EB2961"/>
    <w:rsid w:val="00EB2E1A"/>
    <w:rsid w:val="00EB2F8A"/>
    <w:rsid w:val="00EB3268"/>
    <w:rsid w:val="00EB3298"/>
    <w:rsid w:val="00EB3939"/>
    <w:rsid w:val="00EB3CE6"/>
    <w:rsid w:val="00EB3E92"/>
    <w:rsid w:val="00EB45C5"/>
    <w:rsid w:val="00EB5178"/>
    <w:rsid w:val="00EB54AB"/>
    <w:rsid w:val="00EB6257"/>
    <w:rsid w:val="00EB68E6"/>
    <w:rsid w:val="00EB6AE9"/>
    <w:rsid w:val="00EB6B2D"/>
    <w:rsid w:val="00EB71C9"/>
    <w:rsid w:val="00EB763E"/>
    <w:rsid w:val="00EB7B67"/>
    <w:rsid w:val="00EC07F1"/>
    <w:rsid w:val="00EC0ED7"/>
    <w:rsid w:val="00EC184B"/>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32F"/>
    <w:rsid w:val="00ED3692"/>
    <w:rsid w:val="00ED37FA"/>
    <w:rsid w:val="00ED4A77"/>
    <w:rsid w:val="00ED4B6E"/>
    <w:rsid w:val="00ED5981"/>
    <w:rsid w:val="00ED613A"/>
    <w:rsid w:val="00ED6187"/>
    <w:rsid w:val="00ED6514"/>
    <w:rsid w:val="00ED66B2"/>
    <w:rsid w:val="00ED71BA"/>
    <w:rsid w:val="00ED728F"/>
    <w:rsid w:val="00ED73A1"/>
    <w:rsid w:val="00ED7CA2"/>
    <w:rsid w:val="00EE04F9"/>
    <w:rsid w:val="00EE0570"/>
    <w:rsid w:val="00EE05E0"/>
    <w:rsid w:val="00EE13DA"/>
    <w:rsid w:val="00EE1595"/>
    <w:rsid w:val="00EE1E71"/>
    <w:rsid w:val="00EE2087"/>
    <w:rsid w:val="00EE20C2"/>
    <w:rsid w:val="00EE2A9D"/>
    <w:rsid w:val="00EE3384"/>
    <w:rsid w:val="00EE401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6FE"/>
    <w:rsid w:val="00F0187E"/>
    <w:rsid w:val="00F01BE6"/>
    <w:rsid w:val="00F01F75"/>
    <w:rsid w:val="00F0217A"/>
    <w:rsid w:val="00F026D3"/>
    <w:rsid w:val="00F027E8"/>
    <w:rsid w:val="00F0281F"/>
    <w:rsid w:val="00F03395"/>
    <w:rsid w:val="00F034E6"/>
    <w:rsid w:val="00F03E4C"/>
    <w:rsid w:val="00F04D19"/>
    <w:rsid w:val="00F050A3"/>
    <w:rsid w:val="00F05347"/>
    <w:rsid w:val="00F06340"/>
    <w:rsid w:val="00F0665D"/>
    <w:rsid w:val="00F06D42"/>
    <w:rsid w:val="00F07134"/>
    <w:rsid w:val="00F0719E"/>
    <w:rsid w:val="00F0724D"/>
    <w:rsid w:val="00F07378"/>
    <w:rsid w:val="00F10B81"/>
    <w:rsid w:val="00F10BC9"/>
    <w:rsid w:val="00F113C9"/>
    <w:rsid w:val="00F11C01"/>
    <w:rsid w:val="00F11D80"/>
    <w:rsid w:val="00F14A0C"/>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048"/>
    <w:rsid w:val="00F2525D"/>
    <w:rsid w:val="00F254C4"/>
    <w:rsid w:val="00F25641"/>
    <w:rsid w:val="00F256D8"/>
    <w:rsid w:val="00F25824"/>
    <w:rsid w:val="00F25AE1"/>
    <w:rsid w:val="00F25E8C"/>
    <w:rsid w:val="00F26065"/>
    <w:rsid w:val="00F266E3"/>
    <w:rsid w:val="00F2689C"/>
    <w:rsid w:val="00F27E44"/>
    <w:rsid w:val="00F302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5C3"/>
    <w:rsid w:val="00F37C99"/>
    <w:rsid w:val="00F37FCC"/>
    <w:rsid w:val="00F419B8"/>
    <w:rsid w:val="00F41C0F"/>
    <w:rsid w:val="00F42856"/>
    <w:rsid w:val="00F42ED7"/>
    <w:rsid w:val="00F43777"/>
    <w:rsid w:val="00F43AB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142"/>
    <w:rsid w:val="00F5052D"/>
    <w:rsid w:val="00F5091C"/>
    <w:rsid w:val="00F51A82"/>
    <w:rsid w:val="00F51B78"/>
    <w:rsid w:val="00F51BDD"/>
    <w:rsid w:val="00F52065"/>
    <w:rsid w:val="00F521CE"/>
    <w:rsid w:val="00F5253E"/>
    <w:rsid w:val="00F5254B"/>
    <w:rsid w:val="00F52CB7"/>
    <w:rsid w:val="00F53A44"/>
    <w:rsid w:val="00F54097"/>
    <w:rsid w:val="00F54ADD"/>
    <w:rsid w:val="00F54E5E"/>
    <w:rsid w:val="00F551DB"/>
    <w:rsid w:val="00F551F4"/>
    <w:rsid w:val="00F55810"/>
    <w:rsid w:val="00F559BE"/>
    <w:rsid w:val="00F56F7E"/>
    <w:rsid w:val="00F56FEF"/>
    <w:rsid w:val="00F57521"/>
    <w:rsid w:val="00F60123"/>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32"/>
    <w:rsid w:val="00F67079"/>
    <w:rsid w:val="00F67B58"/>
    <w:rsid w:val="00F67E81"/>
    <w:rsid w:val="00F7044B"/>
    <w:rsid w:val="00F70FD4"/>
    <w:rsid w:val="00F71342"/>
    <w:rsid w:val="00F71C68"/>
    <w:rsid w:val="00F724E2"/>
    <w:rsid w:val="00F74103"/>
    <w:rsid w:val="00F7410A"/>
    <w:rsid w:val="00F745A4"/>
    <w:rsid w:val="00F74C0C"/>
    <w:rsid w:val="00F758E1"/>
    <w:rsid w:val="00F75AF3"/>
    <w:rsid w:val="00F75BB5"/>
    <w:rsid w:val="00F75FD5"/>
    <w:rsid w:val="00F7604C"/>
    <w:rsid w:val="00F77077"/>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23"/>
    <w:rsid w:val="00F912D9"/>
    <w:rsid w:val="00F91A44"/>
    <w:rsid w:val="00F91BFA"/>
    <w:rsid w:val="00F91F8F"/>
    <w:rsid w:val="00F9217B"/>
    <w:rsid w:val="00F936FC"/>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237"/>
    <w:rsid w:val="00FB0D60"/>
    <w:rsid w:val="00FB18FD"/>
    <w:rsid w:val="00FB2BF5"/>
    <w:rsid w:val="00FB2F8E"/>
    <w:rsid w:val="00FB30C3"/>
    <w:rsid w:val="00FB39B0"/>
    <w:rsid w:val="00FB5138"/>
    <w:rsid w:val="00FB547F"/>
    <w:rsid w:val="00FB5676"/>
    <w:rsid w:val="00FB5A71"/>
    <w:rsid w:val="00FB63F6"/>
    <w:rsid w:val="00FB7823"/>
    <w:rsid w:val="00FC05B2"/>
    <w:rsid w:val="00FC08B3"/>
    <w:rsid w:val="00FC09D7"/>
    <w:rsid w:val="00FC0ABE"/>
    <w:rsid w:val="00FC1269"/>
    <w:rsid w:val="00FC192D"/>
    <w:rsid w:val="00FC22D0"/>
    <w:rsid w:val="00FC2CD3"/>
    <w:rsid w:val="00FC38D4"/>
    <w:rsid w:val="00FC391E"/>
    <w:rsid w:val="00FC39B3"/>
    <w:rsid w:val="00FC3BB7"/>
    <w:rsid w:val="00FC3C4E"/>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1ED"/>
    <w:rsid w:val="00FD24D7"/>
    <w:rsid w:val="00FD29CE"/>
    <w:rsid w:val="00FD3AE2"/>
    <w:rsid w:val="00FD3E41"/>
    <w:rsid w:val="00FD3EFA"/>
    <w:rsid w:val="00FD54A8"/>
    <w:rsid w:val="00FD5AE4"/>
    <w:rsid w:val="00FD5F25"/>
    <w:rsid w:val="00FD60BE"/>
    <w:rsid w:val="00FD6291"/>
    <w:rsid w:val="00FD6894"/>
    <w:rsid w:val="00FD6AF0"/>
    <w:rsid w:val="00FD704D"/>
    <w:rsid w:val="00FD74EF"/>
    <w:rsid w:val="00FD79B8"/>
    <w:rsid w:val="00FD79F6"/>
    <w:rsid w:val="00FE033F"/>
    <w:rsid w:val="00FE07A8"/>
    <w:rsid w:val="00FE0AD1"/>
    <w:rsid w:val="00FE0CC0"/>
    <w:rsid w:val="00FE1852"/>
    <w:rsid w:val="00FE190D"/>
    <w:rsid w:val="00FE1963"/>
    <w:rsid w:val="00FE1981"/>
    <w:rsid w:val="00FE1BF1"/>
    <w:rsid w:val="00FE33DB"/>
    <w:rsid w:val="00FE33F5"/>
    <w:rsid w:val="00FE352A"/>
    <w:rsid w:val="00FE37DD"/>
    <w:rsid w:val="00FE3C31"/>
    <w:rsid w:val="00FE4015"/>
    <w:rsid w:val="00FE40E9"/>
    <w:rsid w:val="00FE44F5"/>
    <w:rsid w:val="00FE4783"/>
    <w:rsid w:val="00FE480D"/>
    <w:rsid w:val="00FE4ACC"/>
    <w:rsid w:val="00FE4F27"/>
    <w:rsid w:val="00FE4F80"/>
    <w:rsid w:val="00FE54D5"/>
    <w:rsid w:val="00FE570E"/>
    <w:rsid w:val="00FE6870"/>
    <w:rsid w:val="00FE713E"/>
    <w:rsid w:val="00FE7877"/>
    <w:rsid w:val="00FE7DD1"/>
    <w:rsid w:val="00FF0B4F"/>
    <w:rsid w:val="00FF0F58"/>
    <w:rsid w:val="00FF183C"/>
    <w:rsid w:val="00FF1A06"/>
    <w:rsid w:val="00FF1AD3"/>
    <w:rsid w:val="00FF1B46"/>
    <w:rsid w:val="00FF219D"/>
    <w:rsid w:val="00FF2A7B"/>
    <w:rsid w:val="00FF31DF"/>
    <w:rsid w:val="00FF3D2B"/>
    <w:rsid w:val="00FF49B4"/>
    <w:rsid w:val="00FF49F4"/>
    <w:rsid w:val="00FF5C6A"/>
    <w:rsid w:val="00FF5DB6"/>
    <w:rsid w:val="00FF651D"/>
    <w:rsid w:val="00FF6843"/>
    <w:rsid w:val="00FF6C25"/>
    <w:rsid w:val="010651D9"/>
    <w:rsid w:val="0117101D"/>
    <w:rsid w:val="011F6449"/>
    <w:rsid w:val="01236AFB"/>
    <w:rsid w:val="019F7441"/>
    <w:rsid w:val="01B37585"/>
    <w:rsid w:val="01D55165"/>
    <w:rsid w:val="01DF6BF8"/>
    <w:rsid w:val="01EC2C57"/>
    <w:rsid w:val="025F0711"/>
    <w:rsid w:val="026B2E25"/>
    <w:rsid w:val="027F6AB2"/>
    <w:rsid w:val="02824D4D"/>
    <w:rsid w:val="02D94F25"/>
    <w:rsid w:val="02DC4B10"/>
    <w:rsid w:val="02DD76CE"/>
    <w:rsid w:val="02E269E3"/>
    <w:rsid w:val="02F36323"/>
    <w:rsid w:val="02F5619C"/>
    <w:rsid w:val="0326446A"/>
    <w:rsid w:val="032D5555"/>
    <w:rsid w:val="036634D2"/>
    <w:rsid w:val="03DD35E4"/>
    <w:rsid w:val="04076900"/>
    <w:rsid w:val="041A5A3B"/>
    <w:rsid w:val="042311BA"/>
    <w:rsid w:val="042B157A"/>
    <w:rsid w:val="048E1CD8"/>
    <w:rsid w:val="048F763B"/>
    <w:rsid w:val="049C1B9D"/>
    <w:rsid w:val="049F330E"/>
    <w:rsid w:val="04AA775C"/>
    <w:rsid w:val="04AF1889"/>
    <w:rsid w:val="04F66F48"/>
    <w:rsid w:val="051E28A6"/>
    <w:rsid w:val="05251E14"/>
    <w:rsid w:val="05507636"/>
    <w:rsid w:val="05770BD6"/>
    <w:rsid w:val="05A16594"/>
    <w:rsid w:val="05A7762D"/>
    <w:rsid w:val="05C04DC2"/>
    <w:rsid w:val="05FC1594"/>
    <w:rsid w:val="060E5941"/>
    <w:rsid w:val="06110FAF"/>
    <w:rsid w:val="06121F4E"/>
    <w:rsid w:val="06493CA7"/>
    <w:rsid w:val="065A6178"/>
    <w:rsid w:val="066F1CF3"/>
    <w:rsid w:val="06930BB8"/>
    <w:rsid w:val="071C5030"/>
    <w:rsid w:val="07245D42"/>
    <w:rsid w:val="07264C62"/>
    <w:rsid w:val="0779354C"/>
    <w:rsid w:val="08061376"/>
    <w:rsid w:val="08267474"/>
    <w:rsid w:val="08452D77"/>
    <w:rsid w:val="086401F8"/>
    <w:rsid w:val="08751CAA"/>
    <w:rsid w:val="087E4C40"/>
    <w:rsid w:val="088F5A18"/>
    <w:rsid w:val="08980644"/>
    <w:rsid w:val="08A871D0"/>
    <w:rsid w:val="08D66AD6"/>
    <w:rsid w:val="08DA33A3"/>
    <w:rsid w:val="08E80F13"/>
    <w:rsid w:val="09335624"/>
    <w:rsid w:val="0944690F"/>
    <w:rsid w:val="09535675"/>
    <w:rsid w:val="095F057D"/>
    <w:rsid w:val="09642282"/>
    <w:rsid w:val="09733572"/>
    <w:rsid w:val="09772C16"/>
    <w:rsid w:val="098353B5"/>
    <w:rsid w:val="09A735CF"/>
    <w:rsid w:val="09A92330"/>
    <w:rsid w:val="09B06B87"/>
    <w:rsid w:val="09C13146"/>
    <w:rsid w:val="09E04166"/>
    <w:rsid w:val="09FB3EC4"/>
    <w:rsid w:val="0A1C0718"/>
    <w:rsid w:val="0A3E7710"/>
    <w:rsid w:val="0A5B7E63"/>
    <w:rsid w:val="0AA374A5"/>
    <w:rsid w:val="0AAB7649"/>
    <w:rsid w:val="0ABC5606"/>
    <w:rsid w:val="0B30404E"/>
    <w:rsid w:val="0B4C6C14"/>
    <w:rsid w:val="0B631A88"/>
    <w:rsid w:val="0B683D45"/>
    <w:rsid w:val="0B7F3F11"/>
    <w:rsid w:val="0B884417"/>
    <w:rsid w:val="0BBB44A8"/>
    <w:rsid w:val="0BF6188C"/>
    <w:rsid w:val="0BF73C91"/>
    <w:rsid w:val="0C170175"/>
    <w:rsid w:val="0C2C52AF"/>
    <w:rsid w:val="0C571A41"/>
    <w:rsid w:val="0C5C1171"/>
    <w:rsid w:val="0C5E1CBC"/>
    <w:rsid w:val="0C615B50"/>
    <w:rsid w:val="0C8445DA"/>
    <w:rsid w:val="0C87121B"/>
    <w:rsid w:val="0CC007F7"/>
    <w:rsid w:val="0CC617AC"/>
    <w:rsid w:val="0CEA5D9A"/>
    <w:rsid w:val="0CFE707A"/>
    <w:rsid w:val="0D063BDA"/>
    <w:rsid w:val="0D08375F"/>
    <w:rsid w:val="0D184CFB"/>
    <w:rsid w:val="0D4A7419"/>
    <w:rsid w:val="0D827401"/>
    <w:rsid w:val="0D84094E"/>
    <w:rsid w:val="0D8A00E9"/>
    <w:rsid w:val="0D8D589E"/>
    <w:rsid w:val="0DA01C73"/>
    <w:rsid w:val="0DD63300"/>
    <w:rsid w:val="0DE85800"/>
    <w:rsid w:val="0DEE56BA"/>
    <w:rsid w:val="0DF50604"/>
    <w:rsid w:val="0DF702FE"/>
    <w:rsid w:val="0E060E51"/>
    <w:rsid w:val="0E5604B2"/>
    <w:rsid w:val="0E6D5D79"/>
    <w:rsid w:val="0E9D0089"/>
    <w:rsid w:val="0EB803EE"/>
    <w:rsid w:val="0ED168E7"/>
    <w:rsid w:val="0ED308B1"/>
    <w:rsid w:val="0EF94D4B"/>
    <w:rsid w:val="0F4958DC"/>
    <w:rsid w:val="0F515DF7"/>
    <w:rsid w:val="0F596BA8"/>
    <w:rsid w:val="0F6248D2"/>
    <w:rsid w:val="0F693536"/>
    <w:rsid w:val="0F7B0511"/>
    <w:rsid w:val="0F7B76D9"/>
    <w:rsid w:val="0F816ACD"/>
    <w:rsid w:val="0F9832DB"/>
    <w:rsid w:val="0FA86BEE"/>
    <w:rsid w:val="0FBF3FD2"/>
    <w:rsid w:val="0FBF7FF3"/>
    <w:rsid w:val="104E3285"/>
    <w:rsid w:val="10646583"/>
    <w:rsid w:val="107D4B15"/>
    <w:rsid w:val="108A3C80"/>
    <w:rsid w:val="10B37569"/>
    <w:rsid w:val="10C26171"/>
    <w:rsid w:val="10F33360"/>
    <w:rsid w:val="10FC16EA"/>
    <w:rsid w:val="1109680C"/>
    <w:rsid w:val="110F1D40"/>
    <w:rsid w:val="11266F33"/>
    <w:rsid w:val="118963A1"/>
    <w:rsid w:val="11C6522A"/>
    <w:rsid w:val="11E104CC"/>
    <w:rsid w:val="11E20309"/>
    <w:rsid w:val="11FE772F"/>
    <w:rsid w:val="12255233"/>
    <w:rsid w:val="12530213"/>
    <w:rsid w:val="127723A9"/>
    <w:rsid w:val="12862074"/>
    <w:rsid w:val="12883966"/>
    <w:rsid w:val="129E45B4"/>
    <w:rsid w:val="12D21374"/>
    <w:rsid w:val="12D81596"/>
    <w:rsid w:val="13072A44"/>
    <w:rsid w:val="131A1B7F"/>
    <w:rsid w:val="135F4BE2"/>
    <w:rsid w:val="139B1A0A"/>
    <w:rsid w:val="139D25C7"/>
    <w:rsid w:val="13BF3CE4"/>
    <w:rsid w:val="13C04D1D"/>
    <w:rsid w:val="141008D8"/>
    <w:rsid w:val="14125FE6"/>
    <w:rsid w:val="14500381"/>
    <w:rsid w:val="146D271E"/>
    <w:rsid w:val="14834D35"/>
    <w:rsid w:val="14982588"/>
    <w:rsid w:val="149A5AD9"/>
    <w:rsid w:val="14A7619D"/>
    <w:rsid w:val="150536C3"/>
    <w:rsid w:val="150C1963"/>
    <w:rsid w:val="151447A0"/>
    <w:rsid w:val="154A6454"/>
    <w:rsid w:val="15762120"/>
    <w:rsid w:val="16A8729C"/>
    <w:rsid w:val="16B33777"/>
    <w:rsid w:val="16BC70A7"/>
    <w:rsid w:val="16C6339E"/>
    <w:rsid w:val="16FE2244"/>
    <w:rsid w:val="172F2D79"/>
    <w:rsid w:val="17557BEF"/>
    <w:rsid w:val="17D349C1"/>
    <w:rsid w:val="1829337E"/>
    <w:rsid w:val="1830729E"/>
    <w:rsid w:val="1870062C"/>
    <w:rsid w:val="18817102"/>
    <w:rsid w:val="18830A15"/>
    <w:rsid w:val="18852B28"/>
    <w:rsid w:val="188B5321"/>
    <w:rsid w:val="19932372"/>
    <w:rsid w:val="19A20DD5"/>
    <w:rsid w:val="19AE03F1"/>
    <w:rsid w:val="1A071A03"/>
    <w:rsid w:val="1A1F16AE"/>
    <w:rsid w:val="1A3B5C77"/>
    <w:rsid w:val="1A984BAD"/>
    <w:rsid w:val="1AB66B07"/>
    <w:rsid w:val="1AB8220E"/>
    <w:rsid w:val="1AE4166C"/>
    <w:rsid w:val="1AF06CFB"/>
    <w:rsid w:val="1AF11B8D"/>
    <w:rsid w:val="1B11359C"/>
    <w:rsid w:val="1B2A271F"/>
    <w:rsid w:val="1B412B83"/>
    <w:rsid w:val="1B530544"/>
    <w:rsid w:val="1B713184"/>
    <w:rsid w:val="1B8F790E"/>
    <w:rsid w:val="1BA209CF"/>
    <w:rsid w:val="1BB4777D"/>
    <w:rsid w:val="1BD75AB8"/>
    <w:rsid w:val="1BE22A26"/>
    <w:rsid w:val="1C0459C2"/>
    <w:rsid w:val="1C1B3B4A"/>
    <w:rsid w:val="1C3554AE"/>
    <w:rsid w:val="1C515B8A"/>
    <w:rsid w:val="1C6D1D6F"/>
    <w:rsid w:val="1C88086E"/>
    <w:rsid w:val="1D191E9A"/>
    <w:rsid w:val="1D266CE1"/>
    <w:rsid w:val="1D3963AF"/>
    <w:rsid w:val="1D6A673C"/>
    <w:rsid w:val="1D9247AE"/>
    <w:rsid w:val="1DB567EC"/>
    <w:rsid w:val="1DF51A98"/>
    <w:rsid w:val="1E1C0117"/>
    <w:rsid w:val="1E3D060F"/>
    <w:rsid w:val="1E3F7D2E"/>
    <w:rsid w:val="1E4134E4"/>
    <w:rsid w:val="1E5062B3"/>
    <w:rsid w:val="1E523514"/>
    <w:rsid w:val="1E714A66"/>
    <w:rsid w:val="1E802593"/>
    <w:rsid w:val="1E8B6156"/>
    <w:rsid w:val="1EA5117F"/>
    <w:rsid w:val="1EA703CC"/>
    <w:rsid w:val="1EB7330C"/>
    <w:rsid w:val="1F0A0FF3"/>
    <w:rsid w:val="1F5771FF"/>
    <w:rsid w:val="1F8619D6"/>
    <w:rsid w:val="1FE868A9"/>
    <w:rsid w:val="20034907"/>
    <w:rsid w:val="200D1749"/>
    <w:rsid w:val="20173E4B"/>
    <w:rsid w:val="204E48BC"/>
    <w:rsid w:val="20840147"/>
    <w:rsid w:val="208921B3"/>
    <w:rsid w:val="20973DEB"/>
    <w:rsid w:val="20B26522"/>
    <w:rsid w:val="20B44310"/>
    <w:rsid w:val="211116EB"/>
    <w:rsid w:val="21267A20"/>
    <w:rsid w:val="213F361A"/>
    <w:rsid w:val="216133FC"/>
    <w:rsid w:val="21D56769"/>
    <w:rsid w:val="21E52EF3"/>
    <w:rsid w:val="21F879BF"/>
    <w:rsid w:val="21FB5D7B"/>
    <w:rsid w:val="220B1C3D"/>
    <w:rsid w:val="221D1D20"/>
    <w:rsid w:val="22334A87"/>
    <w:rsid w:val="22364F86"/>
    <w:rsid w:val="229D081B"/>
    <w:rsid w:val="22BE6801"/>
    <w:rsid w:val="23135A49"/>
    <w:rsid w:val="233500BF"/>
    <w:rsid w:val="23377FF7"/>
    <w:rsid w:val="236B425F"/>
    <w:rsid w:val="23836192"/>
    <w:rsid w:val="23901F29"/>
    <w:rsid w:val="239C0061"/>
    <w:rsid w:val="23B908A4"/>
    <w:rsid w:val="23E95BEF"/>
    <w:rsid w:val="23FD0064"/>
    <w:rsid w:val="24101BD1"/>
    <w:rsid w:val="245375B0"/>
    <w:rsid w:val="24642C0A"/>
    <w:rsid w:val="249307DC"/>
    <w:rsid w:val="24A24E04"/>
    <w:rsid w:val="24B22173"/>
    <w:rsid w:val="24B95AD9"/>
    <w:rsid w:val="24BE24DA"/>
    <w:rsid w:val="24C148B0"/>
    <w:rsid w:val="24CF5825"/>
    <w:rsid w:val="24D05D44"/>
    <w:rsid w:val="24D663E6"/>
    <w:rsid w:val="24D77F2B"/>
    <w:rsid w:val="258B00E2"/>
    <w:rsid w:val="25A917A6"/>
    <w:rsid w:val="25BE27CC"/>
    <w:rsid w:val="25F74A5C"/>
    <w:rsid w:val="26214B04"/>
    <w:rsid w:val="2628662C"/>
    <w:rsid w:val="262D45DE"/>
    <w:rsid w:val="267327D2"/>
    <w:rsid w:val="26871DC8"/>
    <w:rsid w:val="268A58A2"/>
    <w:rsid w:val="26A46FEC"/>
    <w:rsid w:val="26A53EF9"/>
    <w:rsid w:val="26A94201"/>
    <w:rsid w:val="26AC274F"/>
    <w:rsid w:val="27044A29"/>
    <w:rsid w:val="271D34C8"/>
    <w:rsid w:val="275A437F"/>
    <w:rsid w:val="276142BF"/>
    <w:rsid w:val="27783712"/>
    <w:rsid w:val="27907362"/>
    <w:rsid w:val="27BB382E"/>
    <w:rsid w:val="27E33311"/>
    <w:rsid w:val="28333E1D"/>
    <w:rsid w:val="28454BD6"/>
    <w:rsid w:val="28455253"/>
    <w:rsid w:val="28551971"/>
    <w:rsid w:val="285B1C53"/>
    <w:rsid w:val="289F7086"/>
    <w:rsid w:val="28C32028"/>
    <w:rsid w:val="28CC490F"/>
    <w:rsid w:val="28DE40AA"/>
    <w:rsid w:val="291A1AE1"/>
    <w:rsid w:val="29345E77"/>
    <w:rsid w:val="294C65AD"/>
    <w:rsid w:val="29806583"/>
    <w:rsid w:val="298B3C4C"/>
    <w:rsid w:val="29F26D24"/>
    <w:rsid w:val="2A15033F"/>
    <w:rsid w:val="2A1662C1"/>
    <w:rsid w:val="2A1C7367"/>
    <w:rsid w:val="2A2815FA"/>
    <w:rsid w:val="2A6D6092"/>
    <w:rsid w:val="2A7B579C"/>
    <w:rsid w:val="2A7D76B4"/>
    <w:rsid w:val="2ACE0A53"/>
    <w:rsid w:val="2AE5365E"/>
    <w:rsid w:val="2B2E22BA"/>
    <w:rsid w:val="2B437463"/>
    <w:rsid w:val="2B611979"/>
    <w:rsid w:val="2B745CAB"/>
    <w:rsid w:val="2B7807EE"/>
    <w:rsid w:val="2BA50BF7"/>
    <w:rsid w:val="2BA83028"/>
    <w:rsid w:val="2BBF00EC"/>
    <w:rsid w:val="2BC37CFD"/>
    <w:rsid w:val="2BD5237F"/>
    <w:rsid w:val="2BE536CE"/>
    <w:rsid w:val="2BE758D9"/>
    <w:rsid w:val="2C09049E"/>
    <w:rsid w:val="2C0A653C"/>
    <w:rsid w:val="2C191F85"/>
    <w:rsid w:val="2C267E1B"/>
    <w:rsid w:val="2CD02700"/>
    <w:rsid w:val="2CE82D6F"/>
    <w:rsid w:val="2D343236"/>
    <w:rsid w:val="2DB3308F"/>
    <w:rsid w:val="2DD15014"/>
    <w:rsid w:val="2DE93141"/>
    <w:rsid w:val="2DF72DE4"/>
    <w:rsid w:val="2E0220AF"/>
    <w:rsid w:val="2E4B082A"/>
    <w:rsid w:val="2E4E3F40"/>
    <w:rsid w:val="2E5D4E86"/>
    <w:rsid w:val="2E5D790B"/>
    <w:rsid w:val="2E996999"/>
    <w:rsid w:val="2E9A3C18"/>
    <w:rsid w:val="2EAB50E6"/>
    <w:rsid w:val="2EBB0FEE"/>
    <w:rsid w:val="2EC63002"/>
    <w:rsid w:val="2ECF737B"/>
    <w:rsid w:val="2F0A6B38"/>
    <w:rsid w:val="2F10084D"/>
    <w:rsid w:val="2F946CCB"/>
    <w:rsid w:val="2FD25781"/>
    <w:rsid w:val="2FFD7934"/>
    <w:rsid w:val="3072545E"/>
    <w:rsid w:val="30733ACD"/>
    <w:rsid w:val="308C3862"/>
    <w:rsid w:val="309379D8"/>
    <w:rsid w:val="309424BC"/>
    <w:rsid w:val="30A270F7"/>
    <w:rsid w:val="30C145B6"/>
    <w:rsid w:val="30DF1478"/>
    <w:rsid w:val="30EC586F"/>
    <w:rsid w:val="31212AE2"/>
    <w:rsid w:val="319C6071"/>
    <w:rsid w:val="31A05C9A"/>
    <w:rsid w:val="31AC537E"/>
    <w:rsid w:val="31BC6E83"/>
    <w:rsid w:val="31C83722"/>
    <w:rsid w:val="31E3679B"/>
    <w:rsid w:val="31E732FD"/>
    <w:rsid w:val="32206EAC"/>
    <w:rsid w:val="32517576"/>
    <w:rsid w:val="32A64673"/>
    <w:rsid w:val="32BE5C2C"/>
    <w:rsid w:val="32FB6478"/>
    <w:rsid w:val="33263B3F"/>
    <w:rsid w:val="336963EB"/>
    <w:rsid w:val="33816EEB"/>
    <w:rsid w:val="33EB55CD"/>
    <w:rsid w:val="33EC4C02"/>
    <w:rsid w:val="340D2360"/>
    <w:rsid w:val="3410665D"/>
    <w:rsid w:val="34211214"/>
    <w:rsid w:val="342E63AB"/>
    <w:rsid w:val="34950E68"/>
    <w:rsid w:val="34986E94"/>
    <w:rsid w:val="34AF62C9"/>
    <w:rsid w:val="34B51F03"/>
    <w:rsid w:val="34CB4388"/>
    <w:rsid w:val="34FA6E12"/>
    <w:rsid w:val="3510681C"/>
    <w:rsid w:val="354D7158"/>
    <w:rsid w:val="358D5588"/>
    <w:rsid w:val="35D3250D"/>
    <w:rsid w:val="361B53D8"/>
    <w:rsid w:val="363A3B40"/>
    <w:rsid w:val="365302AE"/>
    <w:rsid w:val="36607A0A"/>
    <w:rsid w:val="366E227C"/>
    <w:rsid w:val="366F2E0D"/>
    <w:rsid w:val="367B6A5C"/>
    <w:rsid w:val="36A74ADA"/>
    <w:rsid w:val="36AD097F"/>
    <w:rsid w:val="36AD60D5"/>
    <w:rsid w:val="36B224F9"/>
    <w:rsid w:val="36EC0CC9"/>
    <w:rsid w:val="3703112E"/>
    <w:rsid w:val="373069F1"/>
    <w:rsid w:val="373F410B"/>
    <w:rsid w:val="37883E82"/>
    <w:rsid w:val="37EE7094"/>
    <w:rsid w:val="3801173C"/>
    <w:rsid w:val="3822770C"/>
    <w:rsid w:val="38296C89"/>
    <w:rsid w:val="383002EB"/>
    <w:rsid w:val="38423E22"/>
    <w:rsid w:val="38586797"/>
    <w:rsid w:val="38615996"/>
    <w:rsid w:val="38BC0149"/>
    <w:rsid w:val="38D87D1C"/>
    <w:rsid w:val="3902751A"/>
    <w:rsid w:val="39636459"/>
    <w:rsid w:val="396B7F6C"/>
    <w:rsid w:val="39B417A9"/>
    <w:rsid w:val="39BC2BD2"/>
    <w:rsid w:val="39FC5695"/>
    <w:rsid w:val="3A006D8E"/>
    <w:rsid w:val="3A3651E5"/>
    <w:rsid w:val="3A4C28FB"/>
    <w:rsid w:val="3A680E1B"/>
    <w:rsid w:val="3A744481"/>
    <w:rsid w:val="3A8C1658"/>
    <w:rsid w:val="3A8C7BEF"/>
    <w:rsid w:val="3A906246"/>
    <w:rsid w:val="3AFF13E3"/>
    <w:rsid w:val="3B083D80"/>
    <w:rsid w:val="3B2349B7"/>
    <w:rsid w:val="3B5E36D5"/>
    <w:rsid w:val="3B616CFF"/>
    <w:rsid w:val="3B6259F6"/>
    <w:rsid w:val="3B976654"/>
    <w:rsid w:val="3BC01EFC"/>
    <w:rsid w:val="3BCA786A"/>
    <w:rsid w:val="3BD31E2F"/>
    <w:rsid w:val="3BF15831"/>
    <w:rsid w:val="3C105946"/>
    <w:rsid w:val="3C471448"/>
    <w:rsid w:val="3C5F759A"/>
    <w:rsid w:val="3C6C525A"/>
    <w:rsid w:val="3CB004EC"/>
    <w:rsid w:val="3CCE23CB"/>
    <w:rsid w:val="3CD17D17"/>
    <w:rsid w:val="3D3C7F39"/>
    <w:rsid w:val="3D440F09"/>
    <w:rsid w:val="3D4504A0"/>
    <w:rsid w:val="3D450702"/>
    <w:rsid w:val="3D6E33D0"/>
    <w:rsid w:val="3D8734BB"/>
    <w:rsid w:val="3D9A11D4"/>
    <w:rsid w:val="3DA16D89"/>
    <w:rsid w:val="3DA364BE"/>
    <w:rsid w:val="3DE041CB"/>
    <w:rsid w:val="3E0D48F6"/>
    <w:rsid w:val="3E1868B4"/>
    <w:rsid w:val="3E377251"/>
    <w:rsid w:val="3E42664B"/>
    <w:rsid w:val="3E537704"/>
    <w:rsid w:val="3E5A7334"/>
    <w:rsid w:val="3E6B3607"/>
    <w:rsid w:val="3E7B5D6B"/>
    <w:rsid w:val="3E843E66"/>
    <w:rsid w:val="3E8E15FC"/>
    <w:rsid w:val="3E8F51FE"/>
    <w:rsid w:val="3E926F87"/>
    <w:rsid w:val="3E9A59DE"/>
    <w:rsid w:val="3EAF1D59"/>
    <w:rsid w:val="3EAF4836"/>
    <w:rsid w:val="3EBD5DF8"/>
    <w:rsid w:val="3EC33DFA"/>
    <w:rsid w:val="3F060E16"/>
    <w:rsid w:val="3F1D1096"/>
    <w:rsid w:val="3F2F0234"/>
    <w:rsid w:val="3F6363FE"/>
    <w:rsid w:val="3F756B8F"/>
    <w:rsid w:val="3F95482B"/>
    <w:rsid w:val="3F976828"/>
    <w:rsid w:val="3FE37B0A"/>
    <w:rsid w:val="4019356B"/>
    <w:rsid w:val="40592157"/>
    <w:rsid w:val="406E1CAE"/>
    <w:rsid w:val="40A0133A"/>
    <w:rsid w:val="40BF02BD"/>
    <w:rsid w:val="40C31A53"/>
    <w:rsid w:val="40FF545D"/>
    <w:rsid w:val="410067C8"/>
    <w:rsid w:val="418F0D2A"/>
    <w:rsid w:val="41A66AB3"/>
    <w:rsid w:val="41D01505"/>
    <w:rsid w:val="42055EC4"/>
    <w:rsid w:val="42474939"/>
    <w:rsid w:val="424C3C57"/>
    <w:rsid w:val="42594B93"/>
    <w:rsid w:val="42613FF3"/>
    <w:rsid w:val="42660D96"/>
    <w:rsid w:val="428667D2"/>
    <w:rsid w:val="42CD1CE0"/>
    <w:rsid w:val="42E1381E"/>
    <w:rsid w:val="42ED6459"/>
    <w:rsid w:val="42FE58DD"/>
    <w:rsid w:val="43174B3D"/>
    <w:rsid w:val="434B790E"/>
    <w:rsid w:val="4360274F"/>
    <w:rsid w:val="43977AB6"/>
    <w:rsid w:val="43A3342B"/>
    <w:rsid w:val="43AC7BC5"/>
    <w:rsid w:val="43C77C27"/>
    <w:rsid w:val="43CC70A2"/>
    <w:rsid w:val="43DE09EE"/>
    <w:rsid w:val="44002FAD"/>
    <w:rsid w:val="44050821"/>
    <w:rsid w:val="4430589B"/>
    <w:rsid w:val="44845093"/>
    <w:rsid w:val="449101DD"/>
    <w:rsid w:val="449D00C3"/>
    <w:rsid w:val="44DE1391"/>
    <w:rsid w:val="451B225C"/>
    <w:rsid w:val="452410C9"/>
    <w:rsid w:val="45317DFB"/>
    <w:rsid w:val="45560921"/>
    <w:rsid w:val="4557168B"/>
    <w:rsid w:val="456D3CE4"/>
    <w:rsid w:val="4579042C"/>
    <w:rsid w:val="457F0571"/>
    <w:rsid w:val="45851176"/>
    <w:rsid w:val="45BB4542"/>
    <w:rsid w:val="45C63B94"/>
    <w:rsid w:val="45E467CB"/>
    <w:rsid w:val="460E7DA5"/>
    <w:rsid w:val="46422483"/>
    <w:rsid w:val="464F0E25"/>
    <w:rsid w:val="4659254A"/>
    <w:rsid w:val="465B0637"/>
    <w:rsid w:val="465E3F0D"/>
    <w:rsid w:val="466A16E6"/>
    <w:rsid w:val="46893F2B"/>
    <w:rsid w:val="46C4686E"/>
    <w:rsid w:val="47641209"/>
    <w:rsid w:val="477B778F"/>
    <w:rsid w:val="478203EC"/>
    <w:rsid w:val="47B025FA"/>
    <w:rsid w:val="47BA3F81"/>
    <w:rsid w:val="47D84AFB"/>
    <w:rsid w:val="4809698F"/>
    <w:rsid w:val="4811697D"/>
    <w:rsid w:val="48173320"/>
    <w:rsid w:val="487A3E25"/>
    <w:rsid w:val="488B5503"/>
    <w:rsid w:val="48937E21"/>
    <w:rsid w:val="489A0361"/>
    <w:rsid w:val="48B94FF3"/>
    <w:rsid w:val="48CB5B7A"/>
    <w:rsid w:val="48E37AAB"/>
    <w:rsid w:val="48FD4B4C"/>
    <w:rsid w:val="490541ED"/>
    <w:rsid w:val="490A68E0"/>
    <w:rsid w:val="491055FE"/>
    <w:rsid w:val="495F5B3E"/>
    <w:rsid w:val="496F77D7"/>
    <w:rsid w:val="497654FD"/>
    <w:rsid w:val="49767306"/>
    <w:rsid w:val="49B64211"/>
    <w:rsid w:val="49E35F93"/>
    <w:rsid w:val="49EE6C1C"/>
    <w:rsid w:val="49EF5898"/>
    <w:rsid w:val="49F6167F"/>
    <w:rsid w:val="4A064FA0"/>
    <w:rsid w:val="4A16615C"/>
    <w:rsid w:val="4A2E1DC8"/>
    <w:rsid w:val="4A32126B"/>
    <w:rsid w:val="4A4424D7"/>
    <w:rsid w:val="4AB82D0F"/>
    <w:rsid w:val="4AEB7664"/>
    <w:rsid w:val="4AFD7C19"/>
    <w:rsid w:val="4B0567D1"/>
    <w:rsid w:val="4B236AAE"/>
    <w:rsid w:val="4B4637A4"/>
    <w:rsid w:val="4B707271"/>
    <w:rsid w:val="4B9739F7"/>
    <w:rsid w:val="4BEE2503"/>
    <w:rsid w:val="4C245A30"/>
    <w:rsid w:val="4C676029"/>
    <w:rsid w:val="4CAE2EAA"/>
    <w:rsid w:val="4CB6685F"/>
    <w:rsid w:val="4CC367FE"/>
    <w:rsid w:val="4CCB30C8"/>
    <w:rsid w:val="4D077F3C"/>
    <w:rsid w:val="4D123355"/>
    <w:rsid w:val="4D177624"/>
    <w:rsid w:val="4D2A3B31"/>
    <w:rsid w:val="4D312C52"/>
    <w:rsid w:val="4D905305"/>
    <w:rsid w:val="4D964A72"/>
    <w:rsid w:val="4D9964C4"/>
    <w:rsid w:val="4D9C1254"/>
    <w:rsid w:val="4E793892"/>
    <w:rsid w:val="4E800872"/>
    <w:rsid w:val="4EC569ED"/>
    <w:rsid w:val="4ED50EA1"/>
    <w:rsid w:val="4EEC050C"/>
    <w:rsid w:val="4F104EC3"/>
    <w:rsid w:val="4F47354A"/>
    <w:rsid w:val="4F911C54"/>
    <w:rsid w:val="4FE625E0"/>
    <w:rsid w:val="50123495"/>
    <w:rsid w:val="5021480F"/>
    <w:rsid w:val="50681141"/>
    <w:rsid w:val="50730AA9"/>
    <w:rsid w:val="50962ECB"/>
    <w:rsid w:val="50A22CF8"/>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375D84"/>
    <w:rsid w:val="5244713B"/>
    <w:rsid w:val="524A061A"/>
    <w:rsid w:val="52591150"/>
    <w:rsid w:val="52615633"/>
    <w:rsid w:val="52977FD4"/>
    <w:rsid w:val="52A25790"/>
    <w:rsid w:val="52A96B6F"/>
    <w:rsid w:val="52B45975"/>
    <w:rsid w:val="52BD660C"/>
    <w:rsid w:val="52CF6267"/>
    <w:rsid w:val="52D94AA4"/>
    <w:rsid w:val="52EA3A62"/>
    <w:rsid w:val="52F50BB8"/>
    <w:rsid w:val="53097272"/>
    <w:rsid w:val="5323761D"/>
    <w:rsid w:val="5345477B"/>
    <w:rsid w:val="53544462"/>
    <w:rsid w:val="537A201C"/>
    <w:rsid w:val="53816FFC"/>
    <w:rsid w:val="5397158E"/>
    <w:rsid w:val="54013861"/>
    <w:rsid w:val="54487265"/>
    <w:rsid w:val="544D6070"/>
    <w:rsid w:val="54605E1E"/>
    <w:rsid w:val="547B3D6B"/>
    <w:rsid w:val="54AE5CAA"/>
    <w:rsid w:val="54B3506A"/>
    <w:rsid w:val="54CA0D16"/>
    <w:rsid w:val="54DD4057"/>
    <w:rsid w:val="54E7490F"/>
    <w:rsid w:val="54EC26AA"/>
    <w:rsid w:val="55061018"/>
    <w:rsid w:val="550764A4"/>
    <w:rsid w:val="550B2BF6"/>
    <w:rsid w:val="55214EB5"/>
    <w:rsid w:val="55364EFD"/>
    <w:rsid w:val="553C7AD9"/>
    <w:rsid w:val="55553D15"/>
    <w:rsid w:val="555D4828"/>
    <w:rsid w:val="557A4C8B"/>
    <w:rsid w:val="558931E1"/>
    <w:rsid w:val="55923347"/>
    <w:rsid w:val="55925180"/>
    <w:rsid w:val="55983B1B"/>
    <w:rsid w:val="55A8376B"/>
    <w:rsid w:val="55BA1AED"/>
    <w:rsid w:val="55DC29B6"/>
    <w:rsid w:val="55DD4241"/>
    <w:rsid w:val="566B6D1E"/>
    <w:rsid w:val="569E129D"/>
    <w:rsid w:val="57032A2C"/>
    <w:rsid w:val="570F5219"/>
    <w:rsid w:val="575D12B5"/>
    <w:rsid w:val="57610A87"/>
    <w:rsid w:val="577B1140"/>
    <w:rsid w:val="577B7F21"/>
    <w:rsid w:val="577F181B"/>
    <w:rsid w:val="57921984"/>
    <w:rsid w:val="579737F0"/>
    <w:rsid w:val="579D4B86"/>
    <w:rsid w:val="57AB7B30"/>
    <w:rsid w:val="57AF5251"/>
    <w:rsid w:val="57B26373"/>
    <w:rsid w:val="57B63F04"/>
    <w:rsid w:val="57CD20C2"/>
    <w:rsid w:val="57D675AB"/>
    <w:rsid w:val="57D95FDD"/>
    <w:rsid w:val="580214D8"/>
    <w:rsid w:val="58581E34"/>
    <w:rsid w:val="58917D2F"/>
    <w:rsid w:val="5894085C"/>
    <w:rsid w:val="58AE4F0C"/>
    <w:rsid w:val="58B85899"/>
    <w:rsid w:val="58CE6A97"/>
    <w:rsid w:val="58DB2739"/>
    <w:rsid w:val="58E363A9"/>
    <w:rsid w:val="59266D23"/>
    <w:rsid w:val="593F1E17"/>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AA6507"/>
    <w:rsid w:val="5C02690E"/>
    <w:rsid w:val="5C196DA7"/>
    <w:rsid w:val="5C2A048C"/>
    <w:rsid w:val="5C641313"/>
    <w:rsid w:val="5C6F3C6B"/>
    <w:rsid w:val="5C80234E"/>
    <w:rsid w:val="5C8A680C"/>
    <w:rsid w:val="5D0C4701"/>
    <w:rsid w:val="5D0F0395"/>
    <w:rsid w:val="5D221076"/>
    <w:rsid w:val="5D397964"/>
    <w:rsid w:val="5D5A391C"/>
    <w:rsid w:val="5D5F10C0"/>
    <w:rsid w:val="5D891B7B"/>
    <w:rsid w:val="5DAD38EE"/>
    <w:rsid w:val="5DAF515E"/>
    <w:rsid w:val="5DB70023"/>
    <w:rsid w:val="5E006862"/>
    <w:rsid w:val="5E0207B9"/>
    <w:rsid w:val="5E1834A1"/>
    <w:rsid w:val="5E261785"/>
    <w:rsid w:val="5E4A7017"/>
    <w:rsid w:val="5E552BBA"/>
    <w:rsid w:val="5E611C10"/>
    <w:rsid w:val="5E7A0F3F"/>
    <w:rsid w:val="5E9F5687"/>
    <w:rsid w:val="5EFC7377"/>
    <w:rsid w:val="5F012A1A"/>
    <w:rsid w:val="5F06174D"/>
    <w:rsid w:val="5F3A3602"/>
    <w:rsid w:val="5F45733B"/>
    <w:rsid w:val="5F6277C6"/>
    <w:rsid w:val="5F6D0B1D"/>
    <w:rsid w:val="5F8D0B82"/>
    <w:rsid w:val="5FA25F41"/>
    <w:rsid w:val="5FCC5339"/>
    <w:rsid w:val="5FE34A5B"/>
    <w:rsid w:val="5FFE1E36"/>
    <w:rsid w:val="60102847"/>
    <w:rsid w:val="60232584"/>
    <w:rsid w:val="605864BB"/>
    <w:rsid w:val="607330CE"/>
    <w:rsid w:val="60825176"/>
    <w:rsid w:val="609F2AC4"/>
    <w:rsid w:val="60F923F1"/>
    <w:rsid w:val="60FA2EE8"/>
    <w:rsid w:val="6100440D"/>
    <w:rsid w:val="61054A27"/>
    <w:rsid w:val="610A52BC"/>
    <w:rsid w:val="611B4D6D"/>
    <w:rsid w:val="611D2366"/>
    <w:rsid w:val="61421856"/>
    <w:rsid w:val="615227C4"/>
    <w:rsid w:val="61654E3F"/>
    <w:rsid w:val="6182292A"/>
    <w:rsid w:val="619F7F92"/>
    <w:rsid w:val="61E374FF"/>
    <w:rsid w:val="61F94C26"/>
    <w:rsid w:val="62000E56"/>
    <w:rsid w:val="62244584"/>
    <w:rsid w:val="624F3E49"/>
    <w:rsid w:val="62632286"/>
    <w:rsid w:val="6284705A"/>
    <w:rsid w:val="62885958"/>
    <w:rsid w:val="62F40B65"/>
    <w:rsid w:val="62FC2CFE"/>
    <w:rsid w:val="63024505"/>
    <w:rsid w:val="635B1DB5"/>
    <w:rsid w:val="63711FED"/>
    <w:rsid w:val="63880DDC"/>
    <w:rsid w:val="638D750D"/>
    <w:rsid w:val="63AC6CC0"/>
    <w:rsid w:val="64055776"/>
    <w:rsid w:val="64240056"/>
    <w:rsid w:val="643E143A"/>
    <w:rsid w:val="646D4056"/>
    <w:rsid w:val="648B6EEF"/>
    <w:rsid w:val="64C158BF"/>
    <w:rsid w:val="64CE2EAA"/>
    <w:rsid w:val="653C3090"/>
    <w:rsid w:val="65854376"/>
    <w:rsid w:val="658767BE"/>
    <w:rsid w:val="65892531"/>
    <w:rsid w:val="65F8567D"/>
    <w:rsid w:val="66195831"/>
    <w:rsid w:val="6628428F"/>
    <w:rsid w:val="662E75B1"/>
    <w:rsid w:val="66342C2E"/>
    <w:rsid w:val="663E784C"/>
    <w:rsid w:val="66551A38"/>
    <w:rsid w:val="668B6A45"/>
    <w:rsid w:val="66BC2EEC"/>
    <w:rsid w:val="671C5BD2"/>
    <w:rsid w:val="67205D8E"/>
    <w:rsid w:val="672F3F24"/>
    <w:rsid w:val="673E055F"/>
    <w:rsid w:val="67551CE3"/>
    <w:rsid w:val="67833092"/>
    <w:rsid w:val="67A22552"/>
    <w:rsid w:val="67B22DCC"/>
    <w:rsid w:val="67BE71AA"/>
    <w:rsid w:val="67D90273"/>
    <w:rsid w:val="67DE5875"/>
    <w:rsid w:val="67E55852"/>
    <w:rsid w:val="67EB1AB4"/>
    <w:rsid w:val="67FA1285"/>
    <w:rsid w:val="68551F4F"/>
    <w:rsid w:val="687C10C9"/>
    <w:rsid w:val="68840C16"/>
    <w:rsid w:val="68876EFB"/>
    <w:rsid w:val="68884654"/>
    <w:rsid w:val="688B0A2A"/>
    <w:rsid w:val="689F444F"/>
    <w:rsid w:val="68B96DBB"/>
    <w:rsid w:val="68CA2805"/>
    <w:rsid w:val="68E937A3"/>
    <w:rsid w:val="693E15D3"/>
    <w:rsid w:val="69627681"/>
    <w:rsid w:val="6977531D"/>
    <w:rsid w:val="69CC2BFF"/>
    <w:rsid w:val="69FD55B8"/>
    <w:rsid w:val="6A0B1C62"/>
    <w:rsid w:val="6A2406C8"/>
    <w:rsid w:val="6A7D7C0D"/>
    <w:rsid w:val="6A8F2B46"/>
    <w:rsid w:val="6ADE0BD1"/>
    <w:rsid w:val="6AE96859"/>
    <w:rsid w:val="6B147746"/>
    <w:rsid w:val="6B24787C"/>
    <w:rsid w:val="6B573233"/>
    <w:rsid w:val="6B5B6274"/>
    <w:rsid w:val="6B935D53"/>
    <w:rsid w:val="6BC42979"/>
    <w:rsid w:val="6C196F71"/>
    <w:rsid w:val="6C226FCB"/>
    <w:rsid w:val="6C31226F"/>
    <w:rsid w:val="6C552F0B"/>
    <w:rsid w:val="6C8C67B7"/>
    <w:rsid w:val="6C9D744C"/>
    <w:rsid w:val="6CFE67A8"/>
    <w:rsid w:val="6D1311E4"/>
    <w:rsid w:val="6D167928"/>
    <w:rsid w:val="6D26299B"/>
    <w:rsid w:val="6D4772EC"/>
    <w:rsid w:val="6D9078AF"/>
    <w:rsid w:val="6DA61AFC"/>
    <w:rsid w:val="6DAA3FEF"/>
    <w:rsid w:val="6DB60126"/>
    <w:rsid w:val="6DC0172B"/>
    <w:rsid w:val="6DCB690C"/>
    <w:rsid w:val="6DD41A5B"/>
    <w:rsid w:val="6DE25B6F"/>
    <w:rsid w:val="6DF43C2E"/>
    <w:rsid w:val="6DF51CA3"/>
    <w:rsid w:val="6DF8131E"/>
    <w:rsid w:val="6E8335BD"/>
    <w:rsid w:val="6E8E12EF"/>
    <w:rsid w:val="6E972936"/>
    <w:rsid w:val="6EAA4321"/>
    <w:rsid w:val="6EC73F63"/>
    <w:rsid w:val="6ED446C5"/>
    <w:rsid w:val="6F2A7D94"/>
    <w:rsid w:val="6F8331F1"/>
    <w:rsid w:val="6FAE1A09"/>
    <w:rsid w:val="6FC82BF6"/>
    <w:rsid w:val="6FD75BF8"/>
    <w:rsid w:val="6FFE7D34"/>
    <w:rsid w:val="70660D18"/>
    <w:rsid w:val="707723D0"/>
    <w:rsid w:val="708654E7"/>
    <w:rsid w:val="70F5661B"/>
    <w:rsid w:val="71360107"/>
    <w:rsid w:val="713B688E"/>
    <w:rsid w:val="71D43752"/>
    <w:rsid w:val="71F1796A"/>
    <w:rsid w:val="72154626"/>
    <w:rsid w:val="72262B5D"/>
    <w:rsid w:val="72283FF7"/>
    <w:rsid w:val="722E7212"/>
    <w:rsid w:val="723A0474"/>
    <w:rsid w:val="7251176B"/>
    <w:rsid w:val="725923E4"/>
    <w:rsid w:val="72864BF7"/>
    <w:rsid w:val="729023FC"/>
    <w:rsid w:val="73C0646E"/>
    <w:rsid w:val="742222F5"/>
    <w:rsid w:val="742614BF"/>
    <w:rsid w:val="74476126"/>
    <w:rsid w:val="74706664"/>
    <w:rsid w:val="747F3682"/>
    <w:rsid w:val="748A603A"/>
    <w:rsid w:val="749C4185"/>
    <w:rsid w:val="74D12AF8"/>
    <w:rsid w:val="75067759"/>
    <w:rsid w:val="752A676C"/>
    <w:rsid w:val="752E6DCD"/>
    <w:rsid w:val="7551380D"/>
    <w:rsid w:val="75600BE5"/>
    <w:rsid w:val="7564475C"/>
    <w:rsid w:val="75657150"/>
    <w:rsid w:val="75734D20"/>
    <w:rsid w:val="7583797F"/>
    <w:rsid w:val="75A847A4"/>
    <w:rsid w:val="75D20F1D"/>
    <w:rsid w:val="75DA2C18"/>
    <w:rsid w:val="75F54412"/>
    <w:rsid w:val="761D08E0"/>
    <w:rsid w:val="765D347C"/>
    <w:rsid w:val="76826699"/>
    <w:rsid w:val="76C87133"/>
    <w:rsid w:val="76CD08D5"/>
    <w:rsid w:val="76CE47F6"/>
    <w:rsid w:val="76DB4B92"/>
    <w:rsid w:val="77052AA4"/>
    <w:rsid w:val="77136511"/>
    <w:rsid w:val="772F416F"/>
    <w:rsid w:val="77340A39"/>
    <w:rsid w:val="77351FD0"/>
    <w:rsid w:val="77472422"/>
    <w:rsid w:val="776D5A49"/>
    <w:rsid w:val="777F31F2"/>
    <w:rsid w:val="778A061A"/>
    <w:rsid w:val="77D1700D"/>
    <w:rsid w:val="77EC04CC"/>
    <w:rsid w:val="78775729"/>
    <w:rsid w:val="78A42DB0"/>
    <w:rsid w:val="78A656AB"/>
    <w:rsid w:val="78B2245C"/>
    <w:rsid w:val="78C50594"/>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AD30C76"/>
    <w:rsid w:val="7AE555B6"/>
    <w:rsid w:val="7B257FFD"/>
    <w:rsid w:val="7B343476"/>
    <w:rsid w:val="7B5A2978"/>
    <w:rsid w:val="7B5A7E4C"/>
    <w:rsid w:val="7B667AF9"/>
    <w:rsid w:val="7B7468F8"/>
    <w:rsid w:val="7BEE0103"/>
    <w:rsid w:val="7C0A0FE4"/>
    <w:rsid w:val="7C0E32F2"/>
    <w:rsid w:val="7C254906"/>
    <w:rsid w:val="7C590818"/>
    <w:rsid w:val="7C7C10F6"/>
    <w:rsid w:val="7C853BEA"/>
    <w:rsid w:val="7C881368"/>
    <w:rsid w:val="7CE27788"/>
    <w:rsid w:val="7D0357E5"/>
    <w:rsid w:val="7D0C32F1"/>
    <w:rsid w:val="7D0F408D"/>
    <w:rsid w:val="7D1D2F0C"/>
    <w:rsid w:val="7D3E3E65"/>
    <w:rsid w:val="7D491C6C"/>
    <w:rsid w:val="7D4A5E1B"/>
    <w:rsid w:val="7D5429C0"/>
    <w:rsid w:val="7D6E6D43"/>
    <w:rsid w:val="7D7069D2"/>
    <w:rsid w:val="7DB57A34"/>
    <w:rsid w:val="7DE60973"/>
    <w:rsid w:val="7DEF0916"/>
    <w:rsid w:val="7E1E5218"/>
    <w:rsid w:val="7E6A3164"/>
    <w:rsid w:val="7E9A4E1F"/>
    <w:rsid w:val="7EA7723A"/>
    <w:rsid w:val="7EC825AC"/>
    <w:rsid w:val="7EF56FBB"/>
    <w:rsid w:val="7F0768EB"/>
    <w:rsid w:val="7F143BEC"/>
    <w:rsid w:val="7F2C5515"/>
    <w:rsid w:val="7F3503EC"/>
    <w:rsid w:val="7F39205A"/>
    <w:rsid w:val="7F715AF2"/>
    <w:rsid w:val="7F886E69"/>
    <w:rsid w:val="7FA91A6A"/>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196"/>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link w:val="267"/>
    <w:qFormat/>
    <w:uiPriority w:val="0"/>
    <w:pPr>
      <w:spacing w:line="480" w:lineRule="exact"/>
      <w:ind w:firstLine="480" w:firstLineChars="200"/>
    </w:pPr>
    <w:rPr>
      <w:rFonts w:ascii="宋体" w:hAnsi="宋体"/>
      <w:sz w:val="24"/>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toa heading"/>
    <w:basedOn w:val="1"/>
    <w:next w:val="1"/>
    <w:qFormat/>
    <w:uiPriority w:val="0"/>
    <w:pPr>
      <w:adjustRightInd/>
    </w:pPr>
    <w:rPr>
      <w:rFonts w:ascii="Arial" w:hAnsi="Arial"/>
      <w:sz w:val="24"/>
      <w:szCs w:val="20"/>
    </w:rPr>
  </w:style>
  <w:style w:type="paragraph" w:styleId="21">
    <w:name w:val="annotation text"/>
    <w:basedOn w:val="1"/>
    <w:link w:val="346"/>
    <w:qFormat/>
    <w:uiPriority w:val="99"/>
    <w:pPr>
      <w:jc w:val="left"/>
    </w:pPr>
  </w:style>
  <w:style w:type="paragraph" w:styleId="22">
    <w:name w:val="Salutation"/>
    <w:basedOn w:val="1"/>
    <w:next w:val="1"/>
    <w:link w:val="300"/>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32"/>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4"/>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1"/>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8"/>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9"/>
    <w:qFormat/>
    <w:uiPriority w:val="0"/>
    <w:rPr>
      <w:b/>
      <w:bCs/>
    </w:rPr>
  </w:style>
  <w:style w:type="paragraph" w:styleId="61">
    <w:name w:val="Body Text First Indent"/>
    <w:basedOn w:val="25"/>
    <w:link w:val="323"/>
    <w:qFormat/>
    <w:uiPriority w:val="0"/>
    <w:pPr>
      <w:ind w:firstLine="420"/>
    </w:pPr>
    <w:rPr>
      <w:rFonts w:hAnsi="Calibri" w:cs="Times New Roman"/>
      <w:snapToGrid/>
      <w:szCs w:val="20"/>
    </w:rPr>
  </w:style>
  <w:style w:type="paragraph" w:styleId="62">
    <w:name w:val="Body Text First Indent 2"/>
    <w:basedOn w:val="16"/>
    <w:next w:val="1"/>
    <w:link w:val="124"/>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semiHidden/>
    <w:unhideWhenUsed/>
    <w:qFormat/>
    <w:uiPriority w:val="0"/>
    <w:rPr>
      <w:rFonts w:ascii="Courier New" w:hAnsi="Courier New"/>
    </w:rPr>
  </w:style>
  <w:style w:type="paragraph" w:customStyle="1" w:styleId="8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82">
    <w:name w:val="Default"/>
    <w:next w:val="83"/>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大标题"/>
    <w:basedOn w:val="1"/>
    <w:next w:val="62"/>
    <w:qFormat/>
    <w:uiPriority w:val="0"/>
    <w:pPr>
      <w:jc w:val="left"/>
    </w:pPr>
    <w:rPr>
      <w:rFonts w:ascii="Arial" w:hAnsi="Arial"/>
      <w:sz w:val="28"/>
    </w:rPr>
  </w:style>
  <w:style w:type="paragraph" w:customStyle="1" w:styleId="84">
    <w:name w:val="xl53"/>
    <w:basedOn w:val="1"/>
    <w:next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2"/>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0"/>
    <w:qFormat/>
    <w:uiPriority w:val="0"/>
    <w:rPr>
      <w:rFonts w:ascii="Arial" w:hAnsi="Arial" w:eastAsia="黑体" w:cs="Arial"/>
      <w:snapToGrid w:val="0"/>
      <w:kern w:val="0"/>
      <w:szCs w:val="21"/>
    </w:rPr>
  </w:style>
  <w:style w:type="character" w:customStyle="1" w:styleId="12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7"/>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7"/>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3"/>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6"/>
    <w:qFormat/>
    <w:uiPriority w:val="0"/>
    <w:rPr>
      <w:rFonts w:ascii="宋体"/>
      <w:kern w:val="2"/>
      <w:sz w:val="24"/>
      <w:szCs w:val="21"/>
      <w:lang w:val="zh-CN"/>
    </w:rPr>
  </w:style>
  <w:style w:type="character" w:customStyle="1" w:styleId="185">
    <w:name w:val="标题 9 Char"/>
    <w:link w:val="10"/>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39"/>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0"/>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0"/>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5"/>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2"/>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1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6"/>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2"/>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8"/>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3"/>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1"/>
    <w:qFormat/>
    <w:uiPriority w:val="0"/>
    <w:rPr>
      <w:kern w:val="2"/>
      <w:sz w:val="21"/>
      <w:szCs w:val="24"/>
    </w:rPr>
  </w:style>
  <w:style w:type="character" w:customStyle="1" w:styleId="347">
    <w:name w:val="签名 Char"/>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qFormat/>
    <w:uiPriority w:val="0"/>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2"/>
    <w:next w:val="82"/>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2"/>
    <w:next w:val="82"/>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1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16"/>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Other|1"/>
    <w:basedOn w:val="1"/>
    <w:qFormat/>
    <w:uiPriority w:val="0"/>
    <w:pPr>
      <w:spacing w:line="313" w:lineRule="exact"/>
    </w:pPr>
    <w:rPr>
      <w:rFonts w:ascii="宋体" w:hAnsi="宋体" w:cs="宋体"/>
      <w:sz w:val="22"/>
      <w:szCs w:val="22"/>
      <w:lang w:val="zh-TW" w:eastAsia="zh-TW" w:bidi="zh-TW"/>
    </w:rPr>
  </w:style>
  <w:style w:type="paragraph" w:customStyle="1" w:styleId="966">
    <w:name w:val="PlainText"/>
    <w:basedOn w:val="1"/>
    <w:qFormat/>
    <w:uiPriority w:val="0"/>
    <w:pPr>
      <w:textAlignment w:val="baseline"/>
    </w:pPr>
    <w:rPr>
      <w:rFonts w:ascii="宋体" w:hAnsi="Courier New"/>
      <w:szCs w:val="20"/>
    </w:rPr>
  </w:style>
  <w:style w:type="character" w:customStyle="1" w:styleId="967">
    <w:name w:val="未处理的提及2"/>
    <w:basedOn w:val="70"/>
    <w:semiHidden/>
    <w:unhideWhenUsed/>
    <w:qFormat/>
    <w:uiPriority w:val="99"/>
    <w:rPr>
      <w:color w:val="605E5C"/>
      <w:shd w:val="clear" w:color="auto" w:fill="E1DFDD"/>
    </w:rPr>
  </w:style>
  <w:style w:type="character" w:customStyle="1" w:styleId="968">
    <w:name w:val="bookmark-item"/>
    <w:basedOn w:val="70"/>
    <w:qFormat/>
    <w:uiPriority w:val="0"/>
  </w:style>
  <w:style w:type="character" w:customStyle="1" w:styleId="969">
    <w:name w:val="未处理的提及3"/>
    <w:basedOn w:val="70"/>
    <w:semiHidden/>
    <w:unhideWhenUsed/>
    <w:qFormat/>
    <w:uiPriority w:val="99"/>
    <w:rPr>
      <w:color w:val="605E5C"/>
      <w:shd w:val="clear" w:color="auto" w:fill="E1DFDD"/>
    </w:rPr>
  </w:style>
  <w:style w:type="character" w:customStyle="1" w:styleId="970">
    <w:name w:val="NormalCharacter"/>
    <w:link w:val="971"/>
    <w:semiHidden/>
    <w:qFormat/>
    <w:uiPriority w:val="0"/>
    <w:rPr>
      <w:rFonts w:ascii="Calibri"/>
      <w:kern w:val="0"/>
      <w:sz w:val="20"/>
      <w:szCs w:val="22"/>
    </w:rPr>
  </w:style>
  <w:style w:type="paragraph" w:customStyle="1" w:styleId="971">
    <w:name w:val="UserStyle_127"/>
    <w:basedOn w:val="1"/>
    <w:link w:val="970"/>
    <w:qFormat/>
    <w:uiPriority w:val="0"/>
    <w:pPr>
      <w:spacing w:after="160" w:line="240" w:lineRule="exact"/>
      <w:jc w:val="left"/>
    </w:pPr>
    <w:rPr>
      <w:rFonts w:ascii="Calibri"/>
      <w:kern w:val="0"/>
      <w:sz w:val="20"/>
      <w:szCs w:val="22"/>
    </w:rPr>
  </w:style>
  <w:style w:type="paragraph" w:customStyle="1" w:styleId="972">
    <w:name w:val="[Normal]"/>
    <w:qFormat/>
    <w:uiPriority w:val="0"/>
    <w:rPr>
      <w:rFonts w:ascii="宋体" w:hAnsi="宋体" w:eastAsia="宋体" w:cs="Times New Roman"/>
      <w:sz w:val="24"/>
      <w:szCs w:val="22"/>
      <w:lang w:val="zh-CN" w:eastAsia="zh-CN" w:bidi="ar-SA"/>
    </w:rPr>
  </w:style>
  <w:style w:type="character" w:customStyle="1" w:styleId="973">
    <w:name w:val="未处理的提及4"/>
    <w:basedOn w:val="70"/>
    <w:semiHidden/>
    <w:unhideWhenUsed/>
    <w:qFormat/>
    <w:uiPriority w:val="99"/>
    <w:rPr>
      <w:color w:val="605E5C"/>
      <w:shd w:val="clear" w:color="auto" w:fill="E1DFDD"/>
    </w:rPr>
  </w:style>
  <w:style w:type="character" w:customStyle="1" w:styleId="974">
    <w:name w:val="Unresolved Mention"/>
    <w:basedOn w:val="70"/>
    <w:semiHidden/>
    <w:unhideWhenUsed/>
    <w:qFormat/>
    <w:uiPriority w:val="99"/>
    <w:rPr>
      <w:color w:val="605E5C"/>
      <w:shd w:val="clear" w:color="auto" w:fill="E1DFDD"/>
    </w:rPr>
  </w:style>
  <w:style w:type="paragraph" w:customStyle="1" w:styleId="975">
    <w:name w:val="_Style 4"/>
    <w:basedOn w:val="1"/>
    <w:qFormat/>
    <w:uiPriority w:val="34"/>
    <w:pPr>
      <w:widowControl/>
      <w:adjustRightInd/>
      <w:spacing w:after="200"/>
      <w:ind w:firstLine="420" w:firstLineChars="200"/>
      <w:jc w:val="left"/>
    </w:pPr>
    <w:rPr>
      <w:rFonts w:ascii="仿宋" w:hAnsi="仿宋" w:eastAsia="仿宋_GB2312" w:cstheme="majorBidi"/>
      <w:kern w:val="0"/>
      <w:sz w:val="28"/>
      <w:szCs w:val="22"/>
    </w:rPr>
  </w:style>
  <w:style w:type="paragraph" w:customStyle="1" w:styleId="976">
    <w:name w:val="纯文本11"/>
    <w:basedOn w:val="1"/>
    <w:qFormat/>
    <w:uiPriority w:val="0"/>
    <w:pPr>
      <w:widowControl/>
      <w:jc w:val="left"/>
      <w:textAlignment w:val="baseline"/>
    </w:pPr>
    <w:rPr>
      <w:rFonts w:ascii="宋体" w:hAnsi="Courier New" w:eastAsia="楷体_GB2312"/>
      <w:kern w:val="0"/>
      <w:sz w:val="26"/>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55</Pages>
  <Words>27298</Words>
  <Characters>28685</Characters>
  <Lines>46</Lines>
  <Paragraphs>48</Paragraphs>
  <TotalTime>13</TotalTime>
  <ScaleCrop>false</ScaleCrop>
  <LinksUpToDate>false</LinksUpToDate>
  <CharactersWithSpaces>32227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喵妙妙</cp:lastModifiedBy>
  <cp:lastPrinted>2025-04-23T09:56:00Z</cp:lastPrinted>
  <dcterms:modified xsi:type="dcterms:W3CDTF">2025-07-09T07:31:18Z</dcterms:modified>
  <dc:title>杭州市市民卡扩大发卡工程</dc:title>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BBFA166907BB4A2387ACDBFDF7CAD02B_13</vt:lpwstr>
  </property>
  <property fmtid="{D5CDD505-2E9C-101B-9397-08002B2CF9AE}" pid="5" name="KSOTemplateDocerSaveRecord">
    <vt:lpwstr>eyJoZGlkIjoiZGExMDBmYjE3MzY3MzBjZTIxOWUxNTRmMDA2MzRhNjMiLCJ1c2VySWQiOiI5NzY1MzQ0NjMifQ==</vt:lpwstr>
  </property>
</Properties>
</file>