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02D5B9">
      <w:pPr>
        <w:pStyle w:val="18"/>
        <w:spacing w:line="360" w:lineRule="auto"/>
        <w:jc w:val="center"/>
        <w:rPr>
          <w:rFonts w:hint="eastAsia" w:cs="Courier New" w:asciiTheme="minorEastAsia" w:hAnsiTheme="minorEastAsia" w:eastAsiaTheme="minorEastAsia"/>
          <w:b/>
          <w:color w:val="FF0000"/>
          <w:sz w:val="48"/>
          <w:szCs w:val="48"/>
          <w:highlight w:val="yellow"/>
          <w:lang w:eastAsia="zh-CN"/>
        </w:rPr>
      </w:pPr>
      <w:r>
        <w:rPr>
          <w:rFonts w:hint="eastAsia" w:cs="Courier New" w:asciiTheme="minorEastAsia" w:hAnsiTheme="minorEastAsia" w:eastAsiaTheme="minorEastAsia"/>
          <w:b/>
          <w:sz w:val="48"/>
          <w:szCs w:val="48"/>
          <w:lang w:eastAsia="zh-CN"/>
        </w:rPr>
        <w:t>桐庐县非智能公交站牌（亭）提升改造项目</w:t>
      </w:r>
    </w:p>
    <w:p w14:paraId="4B6EBB4F">
      <w:pPr>
        <w:pStyle w:val="18"/>
        <w:spacing w:line="960" w:lineRule="auto"/>
        <w:jc w:val="center"/>
        <w:rPr>
          <w:rFonts w:hint="eastAsia" w:cs="Courier New" w:asciiTheme="minorEastAsia" w:hAnsiTheme="minorEastAsia" w:eastAsiaTheme="minorEastAsia"/>
          <w:b/>
          <w:sz w:val="36"/>
          <w:szCs w:val="36"/>
        </w:rPr>
      </w:pPr>
      <w:r>
        <w:rPr>
          <w:rFonts w:hint="eastAsia" w:cs="Courier New" w:asciiTheme="minorEastAsia" w:hAnsiTheme="minorEastAsia" w:eastAsiaTheme="minorEastAsia"/>
          <w:b/>
          <w:sz w:val="36"/>
          <w:szCs w:val="36"/>
        </w:rPr>
        <w:t>招标文件</w:t>
      </w:r>
    </w:p>
    <w:p w14:paraId="6A7E03C2">
      <w:pPr>
        <w:pStyle w:val="18"/>
        <w:spacing w:line="960" w:lineRule="auto"/>
        <w:jc w:val="center"/>
        <w:rPr>
          <w:rFonts w:hint="eastAsia" w:cs="Courier New" w:asciiTheme="minorEastAsia" w:hAnsiTheme="minorEastAsia" w:eastAsiaTheme="minorEastAsia"/>
          <w:b/>
          <w:sz w:val="36"/>
          <w:szCs w:val="36"/>
          <w:lang w:eastAsia="zh-CN"/>
        </w:rPr>
      </w:pPr>
      <w:r>
        <w:rPr>
          <w:rFonts w:hint="eastAsia" w:cs="Courier New" w:asciiTheme="minorEastAsia" w:hAnsiTheme="minorEastAsia" w:eastAsiaTheme="minorEastAsia"/>
          <w:b/>
          <w:sz w:val="36"/>
          <w:szCs w:val="36"/>
          <w:lang w:eastAsia="zh-CN"/>
        </w:rPr>
        <w:t>国企采购</w:t>
      </w:r>
    </w:p>
    <w:p w14:paraId="4159B123">
      <w:pPr>
        <w:jc w:val="center"/>
        <w:rPr>
          <w:rFonts w:cs="Courier New" w:asciiTheme="minorEastAsia" w:hAnsiTheme="minorEastAsia" w:eastAsiaTheme="minorEastAsia"/>
          <w:color w:val="000000"/>
          <w:sz w:val="30"/>
          <w:szCs w:val="30"/>
        </w:rPr>
      </w:pPr>
      <w:r>
        <w:rPr>
          <w:rFonts w:hint="eastAsia" w:asciiTheme="minorEastAsia" w:hAnsiTheme="minorEastAsia" w:eastAsiaTheme="minorEastAsia"/>
          <w:sz w:val="30"/>
          <w:szCs w:val="30"/>
        </w:rPr>
        <w:t>（编号</w:t>
      </w:r>
      <w:r>
        <w:rPr>
          <w:rFonts w:hint="eastAsia" w:asciiTheme="minorEastAsia" w:hAnsiTheme="minorEastAsia" w:eastAsiaTheme="minorEastAsia"/>
          <w:color w:val="000000"/>
          <w:sz w:val="30"/>
          <w:szCs w:val="30"/>
        </w:rPr>
        <w:t>：</w:t>
      </w:r>
      <w:r>
        <w:rPr>
          <w:rFonts w:hint="eastAsia" w:asciiTheme="minorEastAsia" w:hAnsiTheme="minorEastAsia" w:eastAsiaTheme="minorEastAsia"/>
          <w:sz w:val="30"/>
          <w:szCs w:val="30"/>
          <w:lang w:eastAsia="zh-CN"/>
        </w:rPr>
        <w:t>TLHT-CG-2025-018</w:t>
      </w:r>
      <w:r>
        <w:rPr>
          <w:rFonts w:hint="eastAsia" w:asciiTheme="minorEastAsia" w:hAnsiTheme="minorEastAsia" w:eastAsiaTheme="minorEastAsia"/>
          <w:sz w:val="30"/>
          <w:szCs w:val="30"/>
        </w:rPr>
        <w:t>）</w:t>
      </w:r>
    </w:p>
    <w:p w14:paraId="7D4F1A55">
      <w:pPr>
        <w:tabs>
          <w:tab w:val="left" w:pos="1980"/>
          <w:tab w:val="left" w:pos="3240"/>
          <w:tab w:val="left" w:pos="3420"/>
          <w:tab w:val="left" w:pos="3600"/>
          <w:tab w:val="left" w:pos="3780"/>
        </w:tabs>
        <w:ind w:left="-180" w:leftChars="-86" w:firstLine="3"/>
        <w:rPr>
          <w:rFonts w:asciiTheme="minorEastAsia" w:hAnsiTheme="minorEastAsia" w:eastAsiaTheme="minorEastAsia"/>
          <w:b/>
          <w:sz w:val="48"/>
          <w:szCs w:val="48"/>
        </w:rPr>
      </w:pPr>
    </w:p>
    <w:p w14:paraId="4F149811">
      <w:pPr>
        <w:pStyle w:val="3"/>
        <w:numPr>
          <w:ilvl w:val="1"/>
          <w:numId w:val="0"/>
        </w:numPr>
        <w:ind w:leftChars="0"/>
      </w:pPr>
    </w:p>
    <w:p w14:paraId="16A03578"/>
    <w:p w14:paraId="2398CADC">
      <w:pPr>
        <w:pStyle w:val="3"/>
        <w:numPr>
          <w:ilvl w:val="1"/>
          <w:numId w:val="0"/>
        </w:numPr>
        <w:ind w:leftChars="0"/>
      </w:pPr>
    </w:p>
    <w:p w14:paraId="1D93BE3F"/>
    <w:p w14:paraId="1EB5C9DD">
      <w:pPr>
        <w:pStyle w:val="3"/>
        <w:numPr>
          <w:ilvl w:val="1"/>
          <w:numId w:val="0"/>
        </w:numPr>
        <w:ind w:leftChars="0"/>
      </w:pPr>
    </w:p>
    <w:p w14:paraId="03B8FD14">
      <w:pPr>
        <w:pStyle w:val="3"/>
        <w:numPr>
          <w:ilvl w:val="1"/>
          <w:numId w:val="0"/>
        </w:numPr>
        <w:ind w:leftChars="0"/>
      </w:pPr>
    </w:p>
    <w:p w14:paraId="0A57736A">
      <w:pPr>
        <w:tabs>
          <w:tab w:val="left" w:pos="1980"/>
          <w:tab w:val="left" w:pos="3240"/>
          <w:tab w:val="left" w:pos="3420"/>
          <w:tab w:val="left" w:pos="3600"/>
          <w:tab w:val="left" w:pos="3780"/>
        </w:tabs>
        <w:ind w:left="-180" w:leftChars="-86" w:firstLine="640" w:firstLineChars="200"/>
        <w:rPr>
          <w:rFonts w:asciiTheme="minorEastAsia" w:hAnsiTheme="minorEastAsia" w:eastAsiaTheme="minorEastAsia"/>
          <w:sz w:val="32"/>
          <w:u w:val="single"/>
        </w:rPr>
      </w:pPr>
      <w:r>
        <w:rPr>
          <w:rFonts w:hint="eastAsia" w:asciiTheme="minorEastAsia" w:hAnsiTheme="minorEastAsia" w:eastAsiaTheme="minorEastAsia"/>
          <w:sz w:val="32"/>
        </w:rPr>
        <w:t>采购单位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lang w:eastAsia="zh-CN"/>
        </w:rPr>
        <w:t>桐庐潇洒公共交通有限责任公司</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p>
    <w:p w14:paraId="4C53E33E">
      <w:pPr>
        <w:tabs>
          <w:tab w:val="left" w:pos="1980"/>
          <w:tab w:val="left" w:pos="3240"/>
          <w:tab w:val="left" w:pos="3420"/>
          <w:tab w:val="left" w:pos="3600"/>
          <w:tab w:val="left" w:pos="3780"/>
        </w:tabs>
        <w:spacing w:line="360" w:lineRule="auto"/>
        <w:rPr>
          <w:rFonts w:asciiTheme="minorEastAsia" w:hAnsiTheme="minorEastAsia" w:eastAsiaTheme="minorEastAsia"/>
          <w:sz w:val="36"/>
          <w:szCs w:val="36"/>
        </w:rPr>
      </w:pPr>
    </w:p>
    <w:p w14:paraId="17AA8F3A">
      <w:pPr>
        <w:tabs>
          <w:tab w:val="left" w:pos="1620"/>
          <w:tab w:val="left" w:pos="1800"/>
          <w:tab w:val="left" w:pos="1980"/>
        </w:tabs>
        <w:rPr>
          <w:rFonts w:asciiTheme="minorEastAsia" w:hAnsiTheme="minorEastAsia" w:eastAsiaTheme="minorEastAsia"/>
          <w:sz w:val="33"/>
          <w:szCs w:val="33"/>
          <w:u w:val="single"/>
        </w:rPr>
      </w:pPr>
      <w:r>
        <w:rPr>
          <w:rFonts w:hint="eastAsia" w:asciiTheme="minorEastAsia" w:hAnsiTheme="minorEastAsia" w:eastAsiaTheme="minorEastAsia"/>
          <w:sz w:val="33"/>
          <w:szCs w:val="33"/>
        </w:rPr>
        <w:t xml:space="preserve">   采购机构 ：</w:t>
      </w:r>
      <w:r>
        <w:rPr>
          <w:rFonts w:hint="eastAsia" w:asciiTheme="minorEastAsia" w:hAnsiTheme="minorEastAsia" w:eastAsiaTheme="minorEastAsia"/>
          <w:sz w:val="32"/>
          <w:u w:val="single"/>
        </w:rPr>
        <w:t xml:space="preserve">        桐庐鸿泰工程咨询有限公司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p>
    <w:p w14:paraId="7FDF8E19">
      <w:pPr>
        <w:tabs>
          <w:tab w:val="left" w:pos="1620"/>
          <w:tab w:val="left" w:pos="1800"/>
          <w:tab w:val="left" w:pos="1980"/>
        </w:tabs>
        <w:rPr>
          <w:rFonts w:asciiTheme="minorEastAsia" w:hAnsiTheme="minorEastAsia" w:eastAsiaTheme="minorEastAsia"/>
          <w:spacing w:val="20"/>
          <w:sz w:val="33"/>
          <w:szCs w:val="33"/>
        </w:rPr>
      </w:pPr>
    </w:p>
    <w:p w14:paraId="3CF714E2">
      <w:pPr>
        <w:pStyle w:val="19"/>
        <w:ind w:left="0" w:leftChars="0" w:firstLine="0" w:firstLineChars="0"/>
        <w:jc w:val="center"/>
        <w:rPr>
          <w:rFonts w:asciiTheme="minorEastAsia" w:hAnsiTheme="minorEastAsia" w:eastAsiaTheme="minorEastAsia"/>
          <w:sz w:val="33"/>
          <w:szCs w:val="33"/>
          <w:shd w:val="clear" w:color="FFFFFF" w:fill="D9D9D9"/>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8" w:bottom="1417" w:left="1418" w:header="851" w:footer="992" w:gutter="0"/>
          <w:pgNumType w:start="1"/>
          <w:cols w:space="720" w:num="1"/>
          <w:titlePg/>
          <w:docGrid w:type="linesAndChars" w:linePitch="312" w:charSpace="0"/>
        </w:sectPr>
      </w:pPr>
      <w:r>
        <w:rPr>
          <w:rFonts w:hint="eastAsia" w:asciiTheme="minorEastAsia" w:hAnsiTheme="minorEastAsia" w:eastAsiaTheme="minorEastAsia"/>
          <w:sz w:val="33"/>
          <w:szCs w:val="33"/>
        </w:rPr>
        <w:t>202</w:t>
      </w:r>
      <w:r>
        <w:rPr>
          <w:rFonts w:hint="eastAsia" w:asciiTheme="minorEastAsia" w:hAnsiTheme="minorEastAsia" w:eastAsiaTheme="minorEastAsia"/>
          <w:sz w:val="33"/>
          <w:szCs w:val="33"/>
          <w:lang w:val="en-US" w:eastAsia="zh-CN"/>
        </w:rPr>
        <w:t>5</w:t>
      </w:r>
      <w:r>
        <w:rPr>
          <w:rFonts w:hint="eastAsia" w:asciiTheme="minorEastAsia" w:hAnsiTheme="minorEastAsia" w:eastAsiaTheme="minorEastAsia"/>
          <w:sz w:val="33"/>
          <w:szCs w:val="33"/>
        </w:rPr>
        <w:t>年0</w:t>
      </w:r>
      <w:r>
        <w:rPr>
          <w:rFonts w:hint="eastAsia" w:asciiTheme="minorEastAsia" w:hAnsiTheme="minorEastAsia" w:eastAsiaTheme="minorEastAsia"/>
          <w:sz w:val="33"/>
          <w:szCs w:val="33"/>
          <w:lang w:val="en-US" w:eastAsia="zh-CN"/>
        </w:rPr>
        <w:t>6</w:t>
      </w:r>
      <w:r>
        <w:rPr>
          <w:rFonts w:hint="eastAsia" w:asciiTheme="minorEastAsia" w:hAnsiTheme="minorEastAsia" w:eastAsiaTheme="minorEastAsia"/>
          <w:sz w:val="33"/>
          <w:szCs w:val="33"/>
        </w:rPr>
        <w:t>月</w:t>
      </w:r>
    </w:p>
    <w:p w14:paraId="68DC2788">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 录</w:t>
      </w:r>
    </w:p>
    <w:p w14:paraId="4A5D7121">
      <w:pPr>
        <w:rPr>
          <w:rFonts w:asciiTheme="minorEastAsia" w:hAnsiTheme="minorEastAsia" w:eastAsiaTheme="minorEastAsia"/>
        </w:rPr>
      </w:pPr>
    </w:p>
    <w:p w14:paraId="78D9AD92">
      <w:pPr>
        <w:numPr>
          <w:ilvl w:val="0"/>
          <w:numId w:val="5"/>
        </w:numPr>
        <w:tabs>
          <w:tab w:val="clear" w:pos="1455"/>
        </w:tabs>
        <w:spacing w:before="120"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招标公告</w:t>
      </w:r>
    </w:p>
    <w:p w14:paraId="4C229372">
      <w:pPr>
        <w:numPr>
          <w:ilvl w:val="0"/>
          <w:numId w:val="5"/>
        </w:numPr>
        <w:tabs>
          <w:tab w:val="clear" w:pos="1455"/>
        </w:tabs>
        <w:spacing w:before="120"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招标需求</w:t>
      </w:r>
    </w:p>
    <w:p w14:paraId="12DF8C4A">
      <w:pPr>
        <w:numPr>
          <w:ilvl w:val="0"/>
          <w:numId w:val="5"/>
        </w:numPr>
        <w:tabs>
          <w:tab w:val="clear" w:pos="1455"/>
        </w:tabs>
        <w:spacing w:before="120"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投标人须知</w:t>
      </w:r>
    </w:p>
    <w:p w14:paraId="009EC6FB">
      <w:pPr>
        <w:spacing w:before="120"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前附表</w:t>
      </w:r>
    </w:p>
    <w:p w14:paraId="1EC7B20E">
      <w:pPr>
        <w:numPr>
          <w:ilvl w:val="1"/>
          <w:numId w:val="5"/>
        </w:numPr>
        <w:tabs>
          <w:tab w:val="clear" w:pos="1320"/>
        </w:tabs>
        <w:spacing w:before="120"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总 则</w:t>
      </w:r>
    </w:p>
    <w:p w14:paraId="7A429882">
      <w:pPr>
        <w:numPr>
          <w:ilvl w:val="1"/>
          <w:numId w:val="5"/>
        </w:numPr>
        <w:tabs>
          <w:tab w:val="clear" w:pos="1320"/>
        </w:tabs>
        <w:spacing w:before="120"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招标文件</w:t>
      </w:r>
    </w:p>
    <w:p w14:paraId="2607C7CA">
      <w:pPr>
        <w:numPr>
          <w:ilvl w:val="1"/>
          <w:numId w:val="5"/>
        </w:numPr>
        <w:tabs>
          <w:tab w:val="clear" w:pos="1320"/>
        </w:tabs>
        <w:spacing w:before="120"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投标文件的编制</w:t>
      </w:r>
    </w:p>
    <w:p w14:paraId="1C4EC154">
      <w:pPr>
        <w:numPr>
          <w:ilvl w:val="1"/>
          <w:numId w:val="5"/>
        </w:numPr>
        <w:tabs>
          <w:tab w:val="clear" w:pos="1320"/>
        </w:tabs>
        <w:spacing w:before="120"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开标 </w:t>
      </w:r>
    </w:p>
    <w:p w14:paraId="6146BE2A">
      <w:pPr>
        <w:numPr>
          <w:ilvl w:val="1"/>
          <w:numId w:val="5"/>
        </w:numPr>
        <w:tabs>
          <w:tab w:val="clear" w:pos="1320"/>
        </w:tabs>
        <w:spacing w:before="120"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评标</w:t>
      </w:r>
    </w:p>
    <w:p w14:paraId="3961A141">
      <w:pPr>
        <w:numPr>
          <w:ilvl w:val="1"/>
          <w:numId w:val="5"/>
        </w:numPr>
        <w:tabs>
          <w:tab w:val="clear" w:pos="1320"/>
        </w:tabs>
        <w:spacing w:before="120"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定标</w:t>
      </w:r>
    </w:p>
    <w:p w14:paraId="11259827">
      <w:pPr>
        <w:numPr>
          <w:ilvl w:val="1"/>
          <w:numId w:val="5"/>
        </w:numPr>
        <w:tabs>
          <w:tab w:val="clear" w:pos="1320"/>
        </w:tabs>
        <w:spacing w:before="120"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合同授予</w:t>
      </w:r>
    </w:p>
    <w:p w14:paraId="7223B60B">
      <w:pPr>
        <w:numPr>
          <w:ilvl w:val="0"/>
          <w:numId w:val="5"/>
        </w:numPr>
        <w:tabs>
          <w:tab w:val="clear" w:pos="1455"/>
        </w:tabs>
        <w:spacing w:before="120"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评标办法及评分标准</w:t>
      </w:r>
    </w:p>
    <w:p w14:paraId="21D3DCAB">
      <w:pPr>
        <w:numPr>
          <w:ilvl w:val="0"/>
          <w:numId w:val="5"/>
        </w:numPr>
        <w:tabs>
          <w:tab w:val="clear" w:pos="1455"/>
        </w:tabs>
        <w:spacing w:before="120"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采购合同</w:t>
      </w:r>
    </w:p>
    <w:p w14:paraId="0FFB5EE1">
      <w:pPr>
        <w:numPr>
          <w:ilvl w:val="0"/>
          <w:numId w:val="5"/>
        </w:numPr>
        <w:tabs>
          <w:tab w:val="clear" w:pos="1455"/>
        </w:tabs>
        <w:spacing w:before="120"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投标文件格式</w:t>
      </w:r>
    </w:p>
    <w:p w14:paraId="1D54B119">
      <w:pPr>
        <w:spacing w:line="360" w:lineRule="auto"/>
        <w:ind w:firstLine="643" w:firstLineChars="200"/>
        <w:jc w:val="center"/>
        <w:rPr>
          <w:rFonts w:cs="Arial" w:asciiTheme="minorEastAsia" w:hAnsiTheme="minorEastAsia" w:eastAsiaTheme="minorEastAsia"/>
          <w:b/>
          <w:bCs/>
          <w:sz w:val="24"/>
        </w:rPr>
      </w:pPr>
      <w:r>
        <w:rPr>
          <w:rFonts w:asciiTheme="minorEastAsia" w:hAnsiTheme="minorEastAsia" w:eastAsiaTheme="minorEastAsia"/>
          <w:b/>
          <w:sz w:val="32"/>
        </w:rPr>
        <w:br w:type="page"/>
      </w:r>
      <w:r>
        <w:rPr>
          <w:rFonts w:hint="eastAsia" w:asciiTheme="minorEastAsia" w:hAnsiTheme="minorEastAsia" w:eastAsiaTheme="minorEastAsia"/>
          <w:b/>
          <w:sz w:val="32"/>
          <w:szCs w:val="32"/>
        </w:rPr>
        <w:t>第一章   招标公告</w:t>
      </w:r>
    </w:p>
    <w:p w14:paraId="7DAA37C7">
      <w:pPr>
        <w:spacing w:line="360" w:lineRule="auto"/>
        <w:ind w:firstLine="540" w:firstLineChars="225"/>
        <w:rPr>
          <w:rFonts w:asciiTheme="minorEastAsia" w:hAnsiTheme="minorEastAsia" w:eastAsiaTheme="minorEastAsia"/>
          <w:color w:val="000000"/>
          <w:sz w:val="24"/>
        </w:rPr>
      </w:pPr>
      <w:r>
        <w:rPr>
          <w:rFonts w:hint="eastAsia" w:asciiTheme="minorEastAsia" w:hAnsiTheme="minorEastAsia" w:eastAsiaTheme="minorEastAsia"/>
          <w:color w:val="000000"/>
          <w:sz w:val="24"/>
        </w:rPr>
        <w:t>经相关部门批准，现就</w:t>
      </w:r>
      <w:r>
        <w:rPr>
          <w:rFonts w:hint="eastAsia" w:asciiTheme="minorEastAsia" w:hAnsiTheme="minorEastAsia" w:eastAsiaTheme="minorEastAsia"/>
          <w:b/>
          <w:color w:val="000000"/>
          <w:sz w:val="24"/>
          <w:u w:val="single"/>
          <w:lang w:eastAsia="zh-CN"/>
        </w:rPr>
        <w:t>桐庐县非智能公交站牌（亭）提升改造项目</w:t>
      </w:r>
      <w:r>
        <w:rPr>
          <w:rFonts w:hint="eastAsia" w:asciiTheme="minorEastAsia" w:hAnsiTheme="minorEastAsia" w:eastAsiaTheme="minorEastAsia"/>
          <w:color w:val="000000"/>
          <w:sz w:val="24"/>
        </w:rPr>
        <w:t>进行公开采购，欢迎符合资格条件的供应商前来投标：</w:t>
      </w:r>
    </w:p>
    <w:p w14:paraId="3EAE8767">
      <w:pPr>
        <w:numPr>
          <w:ilvl w:val="0"/>
          <w:numId w:val="6"/>
        </w:numPr>
        <w:spacing w:line="360" w:lineRule="auto"/>
        <w:rPr>
          <w:rFonts w:asciiTheme="minorEastAsia" w:hAnsiTheme="minorEastAsia" w:eastAsiaTheme="minorEastAsia"/>
          <w:sz w:val="24"/>
        </w:rPr>
      </w:pPr>
      <w:r>
        <w:rPr>
          <w:rFonts w:hint="eastAsia" w:cs="Arial" w:asciiTheme="minorEastAsia" w:hAnsiTheme="minorEastAsia" w:eastAsiaTheme="minorEastAsia"/>
          <w:b/>
          <w:bCs/>
          <w:sz w:val="24"/>
        </w:rPr>
        <w:t>项目编号：</w:t>
      </w:r>
      <w:r>
        <w:rPr>
          <w:rFonts w:hint="eastAsia" w:asciiTheme="minorEastAsia" w:hAnsiTheme="minorEastAsia" w:eastAsiaTheme="minorEastAsia"/>
          <w:sz w:val="24"/>
          <w:lang w:eastAsia="zh-CN"/>
        </w:rPr>
        <w:t>TLHT-CG-2025-018</w:t>
      </w:r>
    </w:p>
    <w:p w14:paraId="56D2F86C">
      <w:pPr>
        <w:pStyle w:val="63"/>
        <w:numPr>
          <w:ilvl w:val="0"/>
          <w:numId w:val="6"/>
        </w:numPr>
        <w:spacing w:line="360" w:lineRule="auto"/>
        <w:ind w:firstLineChars="0"/>
        <w:rPr>
          <w:rFonts w:asciiTheme="minorEastAsia" w:hAnsiTheme="minorEastAsia" w:eastAsiaTheme="minorEastAsia"/>
          <w:sz w:val="24"/>
        </w:rPr>
      </w:pPr>
      <w:r>
        <w:rPr>
          <w:rFonts w:hint="eastAsia" w:cs="Arial" w:asciiTheme="minorEastAsia" w:hAnsiTheme="minorEastAsia" w:eastAsiaTheme="minorEastAsia"/>
          <w:b/>
          <w:sz w:val="24"/>
        </w:rPr>
        <w:t>采购组织类型：</w:t>
      </w:r>
      <w:r>
        <w:rPr>
          <w:rFonts w:hint="eastAsia" w:asciiTheme="minorEastAsia" w:hAnsiTheme="minorEastAsia" w:eastAsiaTheme="minorEastAsia"/>
          <w:sz w:val="24"/>
          <w:lang w:val="en-US" w:eastAsia="zh-CN"/>
        </w:rPr>
        <w:t xml:space="preserve"> </w:t>
      </w:r>
    </w:p>
    <w:p w14:paraId="028D9D60">
      <w:pPr>
        <w:numPr>
          <w:ilvl w:val="0"/>
          <w:numId w:val="6"/>
        </w:numPr>
        <w:spacing w:line="360" w:lineRule="auto"/>
        <w:rPr>
          <w:rFonts w:asciiTheme="minorEastAsia" w:hAnsiTheme="minorEastAsia" w:eastAsiaTheme="minorEastAsia"/>
          <w:sz w:val="24"/>
        </w:rPr>
      </w:pPr>
      <w:r>
        <w:rPr>
          <w:rFonts w:hint="eastAsia" w:cs="Arial" w:asciiTheme="minorEastAsia" w:hAnsiTheme="minorEastAsia" w:eastAsiaTheme="minorEastAsia"/>
          <w:b/>
          <w:sz w:val="24"/>
        </w:rPr>
        <w:t>采购方式：</w:t>
      </w:r>
      <w:r>
        <w:rPr>
          <w:rFonts w:hint="eastAsia" w:cs="Arial" w:asciiTheme="minorEastAsia" w:hAnsiTheme="minorEastAsia" w:eastAsiaTheme="minorEastAsia"/>
          <w:sz w:val="24"/>
        </w:rPr>
        <w:t>公开招标</w:t>
      </w:r>
    </w:p>
    <w:p w14:paraId="7870CB1F">
      <w:pPr>
        <w:spacing w:line="360" w:lineRule="auto"/>
        <w:ind w:firstLine="482" w:firstLineChars="200"/>
        <w:rPr>
          <w:rFonts w:cs="Arial" w:asciiTheme="minorEastAsia" w:hAnsiTheme="minorEastAsia" w:eastAsiaTheme="minorEastAsia"/>
          <w:sz w:val="24"/>
        </w:rPr>
      </w:pPr>
      <w:r>
        <w:rPr>
          <w:rFonts w:hint="eastAsia" w:asciiTheme="minorEastAsia" w:hAnsiTheme="minorEastAsia" w:eastAsiaTheme="minorEastAsia"/>
          <w:b/>
          <w:kern w:val="0"/>
          <w:sz w:val="24"/>
        </w:rPr>
        <w:t>四、采购内容及数量：具体详见招标需求</w:t>
      </w:r>
    </w:p>
    <w:tbl>
      <w:tblPr>
        <w:tblStyle w:val="33"/>
        <w:tblW w:w="84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4253"/>
        <w:gridCol w:w="1275"/>
        <w:gridCol w:w="1914"/>
      </w:tblGrid>
      <w:tr w14:paraId="6BC1C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969" w:type="dxa"/>
            <w:tcBorders>
              <w:top w:val="single" w:color="auto" w:sz="4" w:space="0"/>
              <w:left w:val="single" w:color="auto" w:sz="4" w:space="0"/>
              <w:right w:val="single" w:color="auto" w:sz="4" w:space="0"/>
            </w:tcBorders>
            <w:vAlign w:val="center"/>
          </w:tcPr>
          <w:p w14:paraId="1C9ADAEB">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序号</w:t>
            </w:r>
          </w:p>
        </w:tc>
        <w:tc>
          <w:tcPr>
            <w:tcW w:w="4253" w:type="dxa"/>
            <w:tcBorders>
              <w:top w:val="single" w:color="auto" w:sz="4" w:space="0"/>
              <w:left w:val="single" w:color="auto" w:sz="4" w:space="0"/>
              <w:right w:val="single" w:color="auto" w:sz="4" w:space="0"/>
            </w:tcBorders>
            <w:vAlign w:val="center"/>
          </w:tcPr>
          <w:p w14:paraId="2C319C63">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采购内容</w:t>
            </w:r>
          </w:p>
        </w:tc>
        <w:tc>
          <w:tcPr>
            <w:tcW w:w="1275" w:type="dxa"/>
            <w:tcBorders>
              <w:top w:val="single" w:color="auto" w:sz="4" w:space="0"/>
              <w:left w:val="single" w:color="auto" w:sz="4" w:space="0"/>
              <w:right w:val="single" w:color="auto" w:sz="4" w:space="0"/>
            </w:tcBorders>
            <w:vAlign w:val="center"/>
          </w:tcPr>
          <w:p w14:paraId="107C0729">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数量</w:t>
            </w:r>
          </w:p>
        </w:tc>
        <w:tc>
          <w:tcPr>
            <w:tcW w:w="1914" w:type="dxa"/>
            <w:tcBorders>
              <w:top w:val="single" w:color="auto" w:sz="4" w:space="0"/>
              <w:left w:val="single" w:color="auto" w:sz="4" w:space="0"/>
              <w:right w:val="single" w:color="auto" w:sz="4" w:space="0"/>
            </w:tcBorders>
            <w:vAlign w:val="center"/>
          </w:tcPr>
          <w:p w14:paraId="5BEE0A3C">
            <w:pPr>
              <w:widowControl/>
              <w:spacing w:line="360" w:lineRule="exact"/>
              <w:jc w:val="center"/>
              <w:rPr>
                <w:rFonts w:cs="仿宋" w:asciiTheme="minorEastAsia" w:hAnsiTheme="minorEastAsia" w:eastAsiaTheme="minorEastAsia"/>
                <w:b/>
                <w:bCs/>
                <w:kern w:val="0"/>
                <w:sz w:val="24"/>
              </w:rPr>
            </w:pPr>
            <w:r>
              <w:rPr>
                <w:rFonts w:hint="eastAsia" w:cs="仿宋" w:asciiTheme="minorEastAsia" w:hAnsiTheme="minorEastAsia" w:eastAsiaTheme="minorEastAsia"/>
                <w:b/>
                <w:bCs/>
                <w:kern w:val="0"/>
                <w:sz w:val="24"/>
              </w:rPr>
              <w:t>最高限价</w:t>
            </w:r>
          </w:p>
        </w:tc>
      </w:tr>
      <w:tr w14:paraId="24A1E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exact"/>
          <w:jc w:val="center"/>
        </w:trPr>
        <w:tc>
          <w:tcPr>
            <w:tcW w:w="969" w:type="dxa"/>
            <w:tcBorders>
              <w:top w:val="single" w:color="auto" w:sz="4" w:space="0"/>
              <w:left w:val="single" w:color="auto" w:sz="4" w:space="0"/>
              <w:bottom w:val="single" w:color="auto" w:sz="4" w:space="0"/>
              <w:right w:val="single" w:color="auto" w:sz="4" w:space="0"/>
            </w:tcBorders>
            <w:vAlign w:val="center"/>
          </w:tcPr>
          <w:p w14:paraId="22C07F38">
            <w:pPr>
              <w:widowControl/>
              <w:spacing w:line="360" w:lineRule="exact"/>
              <w:jc w:val="center"/>
              <w:rPr>
                <w:rFonts w:cs="仿宋" w:asciiTheme="minorEastAsia" w:hAnsiTheme="minorEastAsia" w:eastAsiaTheme="minorEastAsia"/>
                <w:bCs/>
                <w:kern w:val="0"/>
                <w:sz w:val="24"/>
              </w:rPr>
            </w:pPr>
            <w:r>
              <w:rPr>
                <w:rFonts w:hint="eastAsia" w:cs="仿宋" w:asciiTheme="minorEastAsia" w:hAnsiTheme="minorEastAsia" w:eastAsiaTheme="minorEastAsia"/>
                <w:bCs/>
                <w:kern w:val="0"/>
                <w:sz w:val="24"/>
              </w:rPr>
              <w:t>1</w:t>
            </w:r>
          </w:p>
        </w:tc>
        <w:tc>
          <w:tcPr>
            <w:tcW w:w="4253" w:type="dxa"/>
            <w:tcBorders>
              <w:top w:val="single" w:color="auto" w:sz="4" w:space="0"/>
              <w:left w:val="single" w:color="auto" w:sz="4" w:space="0"/>
              <w:bottom w:val="single" w:color="auto" w:sz="4" w:space="0"/>
              <w:right w:val="single" w:color="auto" w:sz="4" w:space="0"/>
            </w:tcBorders>
            <w:vAlign w:val="center"/>
          </w:tcPr>
          <w:p w14:paraId="326AF4C8">
            <w:pPr>
              <w:widowControl/>
              <w:spacing w:line="360" w:lineRule="exact"/>
              <w:jc w:val="center"/>
              <w:rPr>
                <w:rFonts w:hint="eastAsia" w:cs="仿宋" w:asciiTheme="minorEastAsia" w:hAnsiTheme="minorEastAsia" w:eastAsiaTheme="minorEastAsia"/>
                <w:bCs/>
                <w:kern w:val="0"/>
                <w:sz w:val="24"/>
                <w:lang w:eastAsia="zh-CN"/>
              </w:rPr>
            </w:pPr>
            <w:r>
              <w:rPr>
                <w:rFonts w:hint="eastAsia" w:cs="仿宋" w:asciiTheme="minorEastAsia" w:hAnsiTheme="minorEastAsia" w:eastAsiaTheme="minorEastAsia"/>
                <w:bCs/>
                <w:kern w:val="0"/>
                <w:sz w:val="24"/>
                <w:lang w:eastAsia="zh-CN"/>
              </w:rPr>
              <w:t>桐庐县非智能公交站牌（亭）改造</w:t>
            </w:r>
          </w:p>
        </w:tc>
        <w:tc>
          <w:tcPr>
            <w:tcW w:w="1275" w:type="dxa"/>
            <w:tcBorders>
              <w:top w:val="single" w:color="auto" w:sz="4" w:space="0"/>
              <w:left w:val="single" w:color="auto" w:sz="4" w:space="0"/>
              <w:bottom w:val="single" w:color="auto" w:sz="4" w:space="0"/>
              <w:right w:val="single" w:color="auto" w:sz="4" w:space="0"/>
            </w:tcBorders>
            <w:vAlign w:val="center"/>
          </w:tcPr>
          <w:p w14:paraId="49582859">
            <w:pPr>
              <w:widowControl/>
              <w:spacing w:line="360" w:lineRule="exact"/>
              <w:jc w:val="center"/>
              <w:rPr>
                <w:rFonts w:cs="仿宋" w:asciiTheme="minorEastAsia" w:hAnsiTheme="minorEastAsia" w:eastAsiaTheme="minorEastAsia"/>
                <w:bCs/>
                <w:kern w:val="0"/>
                <w:sz w:val="24"/>
              </w:rPr>
            </w:pPr>
            <w:r>
              <w:rPr>
                <w:rFonts w:hint="eastAsia" w:cs="仿宋" w:asciiTheme="minorEastAsia" w:hAnsiTheme="minorEastAsia" w:eastAsiaTheme="minorEastAsia"/>
                <w:bCs/>
                <w:kern w:val="0"/>
                <w:sz w:val="24"/>
              </w:rPr>
              <w:t>1项</w:t>
            </w:r>
          </w:p>
        </w:tc>
        <w:tc>
          <w:tcPr>
            <w:tcW w:w="1914" w:type="dxa"/>
            <w:tcBorders>
              <w:top w:val="single" w:color="auto" w:sz="4" w:space="0"/>
              <w:left w:val="single" w:color="auto" w:sz="4" w:space="0"/>
              <w:bottom w:val="single" w:color="auto" w:sz="4" w:space="0"/>
              <w:right w:val="single" w:color="auto" w:sz="4" w:space="0"/>
            </w:tcBorders>
            <w:vAlign w:val="center"/>
          </w:tcPr>
          <w:p w14:paraId="2354E520">
            <w:pPr>
              <w:widowControl/>
              <w:spacing w:line="360" w:lineRule="exact"/>
              <w:jc w:val="center"/>
              <w:rPr>
                <w:rFonts w:cs="仿宋" w:asciiTheme="minorEastAsia" w:hAnsiTheme="minorEastAsia" w:eastAsiaTheme="minorEastAsia"/>
                <w:bCs/>
                <w:kern w:val="0"/>
                <w:sz w:val="24"/>
              </w:rPr>
            </w:pPr>
            <w:r>
              <w:rPr>
                <w:rFonts w:hint="eastAsia" w:cs="宋体" w:asciiTheme="minorEastAsia" w:hAnsiTheme="minorEastAsia" w:eastAsiaTheme="minorEastAsia"/>
                <w:sz w:val="24"/>
                <w:szCs w:val="20"/>
                <w:lang w:val="en-US" w:eastAsia="zh-CN"/>
              </w:rPr>
              <w:t>962.5536万元</w:t>
            </w:r>
          </w:p>
        </w:tc>
      </w:tr>
    </w:tbl>
    <w:p w14:paraId="16408AD7">
      <w:pPr>
        <w:spacing w:before="120" w:beforeLines="50" w:line="360" w:lineRule="auto"/>
        <w:ind w:firstLine="472" w:firstLineChars="196"/>
        <w:rPr>
          <w:rFonts w:cs="Arial" w:asciiTheme="minorEastAsia" w:hAnsiTheme="minorEastAsia" w:eastAsiaTheme="minorEastAsia"/>
          <w:b/>
          <w:bCs/>
          <w:sz w:val="24"/>
        </w:rPr>
      </w:pPr>
      <w:r>
        <w:rPr>
          <w:rFonts w:hint="eastAsia" w:cs="Arial" w:asciiTheme="minorEastAsia" w:hAnsiTheme="minorEastAsia" w:eastAsiaTheme="minorEastAsia"/>
          <w:b/>
          <w:sz w:val="24"/>
        </w:rPr>
        <w:t>五</w:t>
      </w:r>
      <w:r>
        <w:rPr>
          <w:rFonts w:hint="eastAsia" w:cs="Arial" w:asciiTheme="minorEastAsia" w:hAnsiTheme="minorEastAsia" w:eastAsiaTheme="minorEastAsia"/>
          <w:sz w:val="24"/>
        </w:rPr>
        <w:t>、</w:t>
      </w:r>
      <w:r>
        <w:rPr>
          <w:rFonts w:hint="eastAsia" w:cs="Arial" w:asciiTheme="minorEastAsia" w:hAnsiTheme="minorEastAsia" w:eastAsiaTheme="minorEastAsia"/>
          <w:b/>
          <w:bCs/>
          <w:sz w:val="24"/>
        </w:rPr>
        <w:t>合格投标人的资格要求</w:t>
      </w:r>
    </w:p>
    <w:p w14:paraId="6F2A59E6">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（一）具有独立承担民事责任的能力；</w:t>
      </w:r>
    </w:p>
    <w:p w14:paraId="39FD74BB">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（二）具有良好的商业信誉和健全的</w:t>
      </w:r>
      <w:r>
        <w:fldChar w:fldCharType="begin"/>
      </w:r>
      <w:r>
        <w:instrText xml:space="preserve"> HYPERLINK "https://www.baidu.com/s?wd=%E8%B4%A2%E5%8A%A1%E4%BC%9A%E8%AE%A1%E5%88%B6%E5%BA%A6&amp;tn=SE_PcZhidaonwhc_ngpagmjz&amp;rsv_dl=gh_pc_zhidao" \t "_blank" </w:instrText>
      </w:r>
      <w:r>
        <w:fldChar w:fldCharType="separate"/>
      </w:r>
      <w:r>
        <w:rPr>
          <w:rFonts w:cs="宋体" w:asciiTheme="minorEastAsia" w:hAnsiTheme="minorEastAsia" w:eastAsiaTheme="minorEastAsia"/>
          <w:sz w:val="24"/>
        </w:rPr>
        <w:t>财务会计制度</w:t>
      </w:r>
      <w:r>
        <w:rPr>
          <w:rFonts w:cs="宋体" w:asciiTheme="minorEastAsia" w:hAnsiTheme="minorEastAsia" w:eastAsiaTheme="minorEastAsia"/>
          <w:sz w:val="24"/>
        </w:rPr>
        <w:fldChar w:fldCharType="end"/>
      </w:r>
      <w:r>
        <w:rPr>
          <w:rFonts w:cs="宋体" w:asciiTheme="minorEastAsia" w:hAnsiTheme="minorEastAsia" w:eastAsiaTheme="minorEastAsia"/>
          <w:sz w:val="24"/>
        </w:rPr>
        <w:t>；</w:t>
      </w:r>
    </w:p>
    <w:p w14:paraId="13C58A8E">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（三）具有履行合同所必需的设备和专业技术能力；</w:t>
      </w:r>
    </w:p>
    <w:p w14:paraId="62991ECC">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（四）有依法缴纳税收和</w:t>
      </w:r>
      <w:r>
        <w:fldChar w:fldCharType="begin"/>
      </w:r>
      <w:r>
        <w:instrText xml:space="preserve"> HYPERLINK "https://www.baidu.com/s?wd=%E7%A4%BE%E4%BC%9A%E4%BF%9D%E9%9A%9C%E8%B5%84%E9%87%91&amp;tn=SE_PcZhidaonwhc_ngpagmjz&amp;rsv_dl=gh_pc_zhidao" \t "_blank" </w:instrText>
      </w:r>
      <w:r>
        <w:fldChar w:fldCharType="separate"/>
      </w:r>
      <w:r>
        <w:rPr>
          <w:rFonts w:cs="宋体" w:asciiTheme="minorEastAsia" w:hAnsiTheme="minorEastAsia" w:eastAsiaTheme="minorEastAsia"/>
          <w:sz w:val="24"/>
        </w:rPr>
        <w:t>社会保障资金</w:t>
      </w:r>
      <w:r>
        <w:rPr>
          <w:rFonts w:cs="宋体" w:asciiTheme="minorEastAsia" w:hAnsiTheme="minorEastAsia" w:eastAsiaTheme="minorEastAsia"/>
          <w:sz w:val="24"/>
        </w:rPr>
        <w:fldChar w:fldCharType="end"/>
      </w:r>
      <w:r>
        <w:rPr>
          <w:rFonts w:cs="宋体" w:asciiTheme="minorEastAsia" w:hAnsiTheme="minorEastAsia" w:eastAsiaTheme="minorEastAsia"/>
          <w:sz w:val="24"/>
        </w:rPr>
        <w:t>的良好记录；</w:t>
      </w:r>
    </w:p>
    <w:p w14:paraId="286EFD5F">
      <w:pPr>
        <w:spacing w:line="360" w:lineRule="auto"/>
        <w:ind w:firstLine="240" w:firstLineChars="100"/>
        <w:rPr>
          <w:rFonts w:cs="宋体" w:asciiTheme="minorEastAsia" w:hAnsiTheme="minorEastAsia" w:eastAsiaTheme="minorEastAsia"/>
          <w:sz w:val="24"/>
        </w:rPr>
      </w:pPr>
      <w:r>
        <w:rPr>
          <w:rFonts w:cs="宋体" w:asciiTheme="minorEastAsia" w:hAnsiTheme="minorEastAsia" w:eastAsiaTheme="minorEastAsia"/>
          <w:sz w:val="24"/>
        </w:rPr>
        <w:t>（五）参加采购活动前三年内，在经营活动中没有重大违法记录；</w:t>
      </w:r>
    </w:p>
    <w:p w14:paraId="7A49D588">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六）参加本项目投标供应商需具备良好的商业信誉，且未被“信用中国”（www.creditchina.gov.cn）、中国政府采购网（www.ccgp.gov.cn）列入失信被执行人、重大税收违法案件当事人名单、采购严重违法失信行为记录名单，否则将被拒绝（以开标当日采购人或采购代理机构核实的查询结果为准）。</w:t>
      </w:r>
    </w:p>
    <w:p w14:paraId="40A5EDE5">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（七）</w:t>
      </w:r>
      <w:r>
        <w:rPr>
          <w:rFonts w:cs="宋体" w:asciiTheme="minorEastAsia" w:hAnsiTheme="minorEastAsia" w:eastAsiaTheme="minorEastAsia"/>
          <w:sz w:val="24"/>
        </w:rPr>
        <w:t>本项目拒绝联合体投标，禁止转包。</w:t>
      </w:r>
    </w:p>
    <w:p w14:paraId="51066758">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特定资格要求：无</w:t>
      </w:r>
    </w:p>
    <w:p w14:paraId="5901C933">
      <w:pPr>
        <w:spacing w:line="408" w:lineRule="auto"/>
        <w:ind w:firstLine="482" w:firstLineChars="200"/>
        <w:rPr>
          <w:rFonts w:cs="Arial" w:asciiTheme="minorEastAsia" w:hAnsiTheme="minorEastAsia" w:eastAsiaTheme="minorEastAsia"/>
          <w:sz w:val="24"/>
          <w:lang w:eastAsia="zh-TW"/>
        </w:rPr>
      </w:pPr>
      <w:r>
        <w:rPr>
          <w:rFonts w:hint="eastAsia" w:cs="Arial" w:asciiTheme="minorEastAsia" w:hAnsiTheme="minorEastAsia" w:eastAsiaTheme="minorEastAsia"/>
          <w:b/>
          <w:bCs/>
          <w:sz w:val="24"/>
        </w:rPr>
        <w:t>六</w:t>
      </w:r>
      <w:r>
        <w:rPr>
          <w:rFonts w:hint="eastAsia" w:cs="Arial" w:asciiTheme="minorEastAsia" w:hAnsiTheme="minorEastAsia" w:eastAsiaTheme="minorEastAsia"/>
          <w:b/>
          <w:bCs/>
          <w:sz w:val="24"/>
          <w:lang w:eastAsia="zh-TW"/>
        </w:rPr>
        <w:t>、采购文件的获取</w:t>
      </w:r>
      <w:r>
        <w:rPr>
          <w:rFonts w:hint="eastAsia" w:cs="Arial" w:asciiTheme="minorEastAsia" w:hAnsiTheme="minorEastAsia" w:eastAsiaTheme="minorEastAsia"/>
          <w:sz w:val="24"/>
          <w:lang w:eastAsia="zh-TW"/>
        </w:rPr>
        <w:t>：</w:t>
      </w:r>
    </w:p>
    <w:p w14:paraId="32447135">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1、本项目招标文件实行“</w:t>
      </w:r>
      <w:r>
        <w:rPr>
          <w:rFonts w:hint="eastAsia" w:asciiTheme="minorEastAsia" w:hAnsiTheme="minorEastAsia" w:eastAsiaTheme="minorEastAsia"/>
          <w:b/>
          <w:bCs/>
          <w:kern w:val="0"/>
          <w:sz w:val="24"/>
          <w:lang w:eastAsia="zh-CN"/>
        </w:rPr>
        <w:t>乐采云平台</w:t>
      </w:r>
      <w:r>
        <w:rPr>
          <w:rFonts w:hint="eastAsia" w:asciiTheme="minorEastAsia" w:hAnsiTheme="minorEastAsia" w:eastAsiaTheme="minorEastAsia"/>
          <w:b/>
          <w:bCs/>
          <w:kern w:val="0"/>
          <w:sz w:val="24"/>
        </w:rPr>
        <w:t>”在线获取，不提供招标文件纸质版。供应商获取招标文件前应先完成“</w:t>
      </w:r>
      <w:r>
        <w:rPr>
          <w:rFonts w:hint="eastAsia" w:asciiTheme="minorEastAsia" w:hAnsiTheme="minorEastAsia" w:eastAsiaTheme="minorEastAsia"/>
          <w:b/>
          <w:bCs/>
          <w:kern w:val="0"/>
          <w:sz w:val="24"/>
          <w:lang w:eastAsia="zh-CN"/>
        </w:rPr>
        <w:t>乐采云平台</w:t>
      </w:r>
      <w:r>
        <w:rPr>
          <w:rFonts w:hint="eastAsia" w:asciiTheme="minorEastAsia" w:hAnsiTheme="minorEastAsia" w:eastAsiaTheme="minorEastAsia"/>
          <w:b/>
          <w:bCs/>
          <w:kern w:val="0"/>
          <w:sz w:val="24"/>
        </w:rPr>
        <w:t>”的账号注册；</w:t>
      </w:r>
    </w:p>
    <w:p w14:paraId="24D3CAE6">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2、地点：</w:t>
      </w:r>
      <w:r>
        <w:rPr>
          <w:rFonts w:hint="eastAsia" w:asciiTheme="minorEastAsia" w:hAnsiTheme="minorEastAsia" w:eastAsiaTheme="minorEastAsia"/>
          <w:b/>
          <w:bCs/>
          <w:kern w:val="0"/>
          <w:sz w:val="24"/>
          <w:lang w:eastAsia="zh-CN"/>
        </w:rPr>
        <w:t>乐采云政企采购网</w:t>
      </w:r>
      <w:r>
        <w:rPr>
          <w:rFonts w:hint="eastAsia" w:asciiTheme="minorEastAsia" w:hAnsiTheme="minorEastAsia" w:eastAsiaTheme="minorEastAsia"/>
          <w:b/>
          <w:bCs/>
          <w:kern w:val="0"/>
          <w:sz w:val="24"/>
        </w:rPr>
        <w:t>（http://</w:t>
      </w:r>
      <w:r>
        <w:rPr>
          <w:rFonts w:hint="eastAsia" w:asciiTheme="minorEastAsia" w:hAnsiTheme="minorEastAsia" w:eastAsiaTheme="minorEastAsia"/>
          <w:b/>
          <w:bCs/>
          <w:kern w:val="0"/>
          <w:sz w:val="24"/>
          <w:lang w:eastAsia="zh-CN"/>
        </w:rPr>
        <w:t>www.lecaiyun.com</w:t>
      </w:r>
      <w:r>
        <w:rPr>
          <w:rFonts w:hint="eastAsia" w:asciiTheme="minorEastAsia" w:hAnsiTheme="minorEastAsia" w:eastAsiaTheme="minorEastAsia"/>
          <w:b/>
          <w:bCs/>
          <w:kern w:val="0"/>
          <w:sz w:val="24"/>
        </w:rPr>
        <w:t>）；</w:t>
      </w:r>
    </w:p>
    <w:p w14:paraId="0118927B">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3、方式：潜在供应商登陆</w:t>
      </w:r>
      <w:r>
        <w:rPr>
          <w:rFonts w:hint="eastAsia" w:asciiTheme="minorEastAsia" w:hAnsiTheme="minorEastAsia" w:eastAsiaTheme="minorEastAsia"/>
          <w:b/>
          <w:bCs/>
          <w:kern w:val="0"/>
          <w:sz w:val="24"/>
          <w:lang w:eastAsia="zh-CN"/>
        </w:rPr>
        <w:t>乐采云</w:t>
      </w:r>
      <w:r>
        <w:rPr>
          <w:rFonts w:hint="eastAsia" w:asciiTheme="minorEastAsia" w:hAnsiTheme="minorEastAsia" w:eastAsiaTheme="minorEastAsia"/>
          <w:b/>
          <w:bCs/>
          <w:kern w:val="0"/>
          <w:sz w:val="24"/>
        </w:rPr>
        <w:t>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656A4E51">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4、供应商获取招标文件时须提交的文件资料：无；</w:t>
      </w:r>
    </w:p>
    <w:p w14:paraId="5E3C2771">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5、提示：招标公告附件内的招标文件（或采购需求）仅供阅览使用，供应商只有在“</w:t>
      </w:r>
      <w:r>
        <w:rPr>
          <w:rFonts w:hint="eastAsia" w:asciiTheme="minorEastAsia" w:hAnsiTheme="minorEastAsia" w:eastAsiaTheme="minorEastAsia"/>
          <w:b/>
          <w:bCs/>
          <w:kern w:val="0"/>
          <w:sz w:val="24"/>
          <w:lang w:eastAsia="zh-CN"/>
        </w:rPr>
        <w:t>乐采云平台</w:t>
      </w:r>
      <w:r>
        <w:rPr>
          <w:rFonts w:hint="eastAsia" w:asciiTheme="minorEastAsia" w:hAnsiTheme="minorEastAsia" w:eastAsiaTheme="minorEastAsia"/>
          <w:b/>
          <w:bCs/>
          <w:kern w:val="0"/>
          <w:sz w:val="24"/>
        </w:rPr>
        <w:t>”完成获取招标文件申请并下载了招标文件后才视作依法获取招标文件（法律法规所指的供应商获取招标文件时间以供应商完成获取招标文件申请后下载招标文件的时间为准）。</w:t>
      </w:r>
    </w:p>
    <w:p w14:paraId="7D37F6F1">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注：请供应商按上述要求获取招标文件，如未在“</w:t>
      </w:r>
      <w:r>
        <w:rPr>
          <w:rFonts w:hint="eastAsia" w:asciiTheme="minorEastAsia" w:hAnsiTheme="minorEastAsia" w:eastAsiaTheme="minorEastAsia"/>
          <w:b/>
          <w:bCs/>
          <w:kern w:val="0"/>
          <w:sz w:val="24"/>
          <w:lang w:eastAsia="zh-CN"/>
        </w:rPr>
        <w:t>乐采云</w:t>
      </w:r>
      <w:r>
        <w:rPr>
          <w:rFonts w:hint="eastAsia" w:asciiTheme="minorEastAsia" w:hAnsiTheme="minorEastAsia" w:eastAsiaTheme="minorEastAsia"/>
          <w:b/>
          <w:bCs/>
          <w:kern w:val="0"/>
          <w:sz w:val="24"/>
        </w:rPr>
        <w:t>”系统内完成相关流程，引起的投标无效责任自负。</w:t>
      </w:r>
    </w:p>
    <w:p w14:paraId="793B4A51">
      <w:pPr>
        <w:spacing w:line="360" w:lineRule="auto"/>
        <w:ind w:firstLine="482" w:firstLineChars="200"/>
        <w:rPr>
          <w:rFonts w:hint="eastAsia" w:asciiTheme="minorEastAsia" w:hAnsiTheme="minorEastAsia" w:eastAsiaTheme="minorEastAsia"/>
          <w:b/>
          <w:bCs/>
          <w:color w:val="FF0000"/>
          <w:sz w:val="24"/>
          <w:lang w:eastAsia="zh-CN"/>
        </w:rPr>
      </w:pPr>
      <w:r>
        <w:rPr>
          <w:rFonts w:hint="eastAsia" w:cs="Arial" w:asciiTheme="minorEastAsia" w:hAnsiTheme="minorEastAsia" w:eastAsiaTheme="minorEastAsia"/>
          <w:b/>
          <w:bCs/>
          <w:color w:val="000000"/>
          <w:sz w:val="24"/>
        </w:rPr>
        <w:t>七、投标截止时间和地点：</w:t>
      </w:r>
      <w:bookmarkStart w:id="52" w:name="_GoBack"/>
      <w:bookmarkEnd w:id="52"/>
      <w:r>
        <w:rPr>
          <w:rFonts w:hint="eastAsia" w:asciiTheme="minorEastAsia" w:hAnsiTheme="minorEastAsia" w:eastAsiaTheme="minorEastAsia"/>
          <w:b/>
          <w:bCs/>
          <w:color w:val="FF0000"/>
          <w:sz w:val="24"/>
          <w:lang w:eastAsia="zh-CN"/>
        </w:rPr>
        <w:t>2025年07月02日10时00分</w:t>
      </w:r>
    </w:p>
    <w:p w14:paraId="03126155">
      <w:pPr>
        <w:snapToGrid w:val="0"/>
        <w:spacing w:line="360" w:lineRule="auto"/>
        <w:ind w:firstLine="482" w:firstLineChars="200"/>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rPr>
        <w:t>八、开标时间及地点：</w:t>
      </w:r>
    </w:p>
    <w:p w14:paraId="3E0C8EB3">
      <w:pPr>
        <w:snapToGrid w:val="0"/>
        <w:spacing w:line="360" w:lineRule="auto"/>
        <w:ind w:firstLine="540" w:firstLineChars="225"/>
        <w:rPr>
          <w:rFonts w:cs="Arial" w:asciiTheme="minorEastAsia" w:hAnsiTheme="minorEastAsia" w:eastAsiaTheme="minorEastAsia"/>
          <w:sz w:val="24"/>
        </w:rPr>
      </w:pPr>
      <w:r>
        <w:rPr>
          <w:rFonts w:hint="eastAsia" w:asciiTheme="minorEastAsia" w:hAnsiTheme="minorEastAsia" w:eastAsiaTheme="minorEastAsia"/>
          <w:sz w:val="24"/>
        </w:rPr>
        <w:t>本次招标将</w:t>
      </w:r>
      <w:r>
        <w:rPr>
          <w:rFonts w:hint="eastAsia" w:asciiTheme="minorEastAsia" w:hAnsiTheme="minorEastAsia" w:eastAsiaTheme="minorEastAsia"/>
          <w:b/>
          <w:bCs/>
          <w:color w:val="FF0000"/>
          <w:sz w:val="24"/>
          <w:lang w:eastAsia="zh-CN"/>
        </w:rPr>
        <w:t>2025年07月02日10时00分</w:t>
      </w:r>
      <w:r>
        <w:rPr>
          <w:rFonts w:hint="eastAsia" w:asciiTheme="minorEastAsia" w:hAnsiTheme="minorEastAsia" w:eastAsiaTheme="minorEastAsia"/>
          <w:sz w:val="24"/>
        </w:rPr>
        <w:t>在</w:t>
      </w:r>
      <w:r>
        <w:rPr>
          <w:rFonts w:hint="eastAsia" w:cs="Arial" w:asciiTheme="minorEastAsia" w:hAnsiTheme="minorEastAsia" w:eastAsiaTheme="minorEastAsia"/>
          <w:sz w:val="24"/>
          <w:lang w:eastAsia="zh-CN"/>
        </w:rPr>
        <w:t>乐采云</w:t>
      </w:r>
      <w:r>
        <w:rPr>
          <w:rFonts w:hint="eastAsia" w:cs="Arial" w:asciiTheme="minorEastAsia" w:hAnsiTheme="minorEastAsia" w:eastAsiaTheme="minorEastAsia"/>
          <w:sz w:val="24"/>
        </w:rPr>
        <w:t>在线开标。</w:t>
      </w:r>
    </w:p>
    <w:p w14:paraId="1B588C63">
      <w:pPr>
        <w:snapToGrid w:val="0"/>
        <w:spacing w:line="360" w:lineRule="auto"/>
        <w:ind w:firstLine="542" w:firstLineChars="225"/>
        <w:rPr>
          <w:rFonts w:cs="Arial" w:asciiTheme="minorEastAsia" w:hAnsiTheme="minorEastAsia" w:eastAsiaTheme="minorEastAsia"/>
          <w:b/>
          <w:bCs/>
          <w:sz w:val="24"/>
        </w:rPr>
      </w:pPr>
      <w:r>
        <w:rPr>
          <w:rFonts w:hint="eastAsia" w:cs="Arial" w:asciiTheme="minorEastAsia" w:hAnsiTheme="minorEastAsia" w:eastAsiaTheme="minorEastAsia"/>
          <w:b/>
          <w:bCs/>
          <w:sz w:val="24"/>
        </w:rPr>
        <w:t>九、投标保证金：</w:t>
      </w:r>
      <w:r>
        <w:rPr>
          <w:rFonts w:hint="eastAsia" w:asciiTheme="minorEastAsia" w:hAnsiTheme="minorEastAsia" w:eastAsiaTheme="minorEastAsia"/>
          <w:sz w:val="24"/>
        </w:rPr>
        <w:t>无</w:t>
      </w:r>
    </w:p>
    <w:p w14:paraId="0F7AE553">
      <w:pPr>
        <w:snapToGrid w:val="0"/>
        <w:spacing w:line="360" w:lineRule="auto"/>
        <w:ind w:firstLine="482" w:firstLineChars="200"/>
        <w:rPr>
          <w:rFonts w:cs="Arial" w:asciiTheme="minorEastAsia" w:hAnsiTheme="minorEastAsia" w:eastAsiaTheme="minorEastAsia"/>
          <w:b/>
          <w:bCs/>
          <w:sz w:val="24"/>
        </w:rPr>
      </w:pPr>
      <w:r>
        <w:rPr>
          <w:rFonts w:hint="eastAsia" w:cs="Arial" w:asciiTheme="minorEastAsia" w:hAnsiTheme="minorEastAsia" w:eastAsiaTheme="minorEastAsia"/>
          <w:b/>
          <w:bCs/>
          <w:sz w:val="24"/>
        </w:rPr>
        <w:t>十、在线投标响应（电子投标）说明</w:t>
      </w:r>
    </w:p>
    <w:p w14:paraId="6E5F988A">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1、本项目通过“</w:t>
      </w:r>
      <w:r>
        <w:rPr>
          <w:rFonts w:hint="eastAsia" w:asciiTheme="minorEastAsia" w:hAnsiTheme="minorEastAsia" w:eastAsiaTheme="minorEastAsia"/>
          <w:b/>
          <w:bCs/>
          <w:sz w:val="24"/>
          <w:lang w:eastAsia="zh-CN"/>
        </w:rPr>
        <w:t>乐采云平台</w:t>
      </w:r>
      <w:r>
        <w:rPr>
          <w:rFonts w:hint="eastAsia" w:asciiTheme="minorEastAsia" w:hAnsiTheme="minorEastAsia" w:eastAsiaTheme="minorEastAsia"/>
          <w:b/>
          <w:bCs/>
          <w:sz w:val="24"/>
        </w:rPr>
        <w:t>（</w:t>
      </w:r>
      <w:r>
        <w:rPr>
          <w:rFonts w:hint="eastAsia" w:asciiTheme="minorEastAsia" w:hAnsiTheme="minorEastAsia" w:eastAsiaTheme="minorEastAsia"/>
          <w:b/>
          <w:bCs/>
          <w:sz w:val="24"/>
          <w:lang w:eastAsia="zh-CN"/>
        </w:rPr>
        <w:t>www.lecaiyun.com</w:t>
      </w:r>
      <w:r>
        <w:rPr>
          <w:rFonts w:hint="eastAsia" w:asciiTheme="minorEastAsia" w:hAnsiTheme="minorEastAsia" w:eastAsiaTheme="minorEastAsia"/>
          <w:b/>
          <w:bCs/>
          <w:sz w:val="24"/>
        </w:rPr>
        <w:t>）”实行在线投标响应（电子投标），供应商应先安装“</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电子交易客户端”，并按照本招标文件和“</w:t>
      </w:r>
      <w:r>
        <w:rPr>
          <w:rFonts w:hint="eastAsia" w:asciiTheme="minorEastAsia" w:hAnsiTheme="minorEastAsia" w:eastAsiaTheme="minorEastAsia"/>
          <w:b/>
          <w:bCs/>
          <w:sz w:val="24"/>
          <w:lang w:eastAsia="zh-CN"/>
        </w:rPr>
        <w:t>乐采云平台</w:t>
      </w:r>
      <w:r>
        <w:rPr>
          <w:rFonts w:hint="eastAsia" w:asciiTheme="minorEastAsia" w:hAnsiTheme="minorEastAsia" w:eastAsiaTheme="minorEastAsia"/>
          <w:b/>
          <w:bCs/>
          <w:sz w:val="24"/>
        </w:rPr>
        <w:t>”的要求，通过“</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电子交易客户端”编制并加密投标文件。供应商未按规定加密的投标文件，“</w:t>
      </w:r>
      <w:r>
        <w:rPr>
          <w:rFonts w:hint="eastAsia" w:asciiTheme="minorEastAsia" w:hAnsiTheme="minorEastAsia" w:eastAsiaTheme="minorEastAsia"/>
          <w:b/>
          <w:bCs/>
          <w:sz w:val="24"/>
          <w:lang w:eastAsia="zh-CN"/>
        </w:rPr>
        <w:t>乐采云平台</w:t>
      </w:r>
      <w:r>
        <w:rPr>
          <w:rFonts w:hint="eastAsia" w:asciiTheme="minorEastAsia" w:hAnsiTheme="minorEastAsia" w:eastAsiaTheme="minorEastAsia"/>
          <w:b/>
          <w:bCs/>
          <w:sz w:val="24"/>
        </w:rPr>
        <w:t>”将予以拒收。</w:t>
      </w:r>
    </w:p>
    <w:p w14:paraId="38155ECD">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电子交易客户端”请自行前往“浙江政府采购网-下载专区-电子交易客户端”进行下载；电子投标具体操作流程详见本公告附件《供应商项目采购-电子招投标操作指南》；通过“</w:t>
      </w:r>
      <w:r>
        <w:rPr>
          <w:rFonts w:hint="eastAsia" w:asciiTheme="minorEastAsia" w:hAnsiTheme="minorEastAsia" w:eastAsiaTheme="minorEastAsia"/>
          <w:b/>
          <w:bCs/>
          <w:sz w:val="24"/>
          <w:lang w:eastAsia="zh-CN"/>
        </w:rPr>
        <w:t>乐采云平台</w:t>
      </w:r>
      <w:r>
        <w:rPr>
          <w:rFonts w:hint="eastAsia" w:asciiTheme="minorEastAsia" w:hAnsiTheme="minorEastAsia" w:eastAsiaTheme="minorEastAsia"/>
          <w:b/>
          <w:bCs/>
          <w:sz w:val="24"/>
        </w:rPr>
        <w:t>”参与在线投标时如遇平台技术问题详询400-881-7190。</w:t>
      </w:r>
    </w:p>
    <w:p w14:paraId="7B0F5893">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2、为确保网上操作合法、有效和安全，投标供应商应当在投标截止时间前完成在“</w:t>
      </w:r>
      <w:r>
        <w:rPr>
          <w:rFonts w:hint="eastAsia" w:asciiTheme="minorEastAsia" w:hAnsiTheme="minorEastAsia" w:eastAsiaTheme="minorEastAsia"/>
          <w:b/>
          <w:bCs/>
          <w:sz w:val="24"/>
          <w:lang w:eastAsia="zh-CN"/>
        </w:rPr>
        <w:t>乐采云平台</w:t>
      </w:r>
      <w:r>
        <w:rPr>
          <w:rFonts w:hint="eastAsia" w:asciiTheme="minorEastAsia" w:hAnsiTheme="minorEastAsia" w:eastAsiaTheme="minorEastAsia"/>
          <w:b/>
          <w:bCs/>
          <w:sz w:val="24"/>
        </w:rPr>
        <w:t>”的身份认证，确保在电子投标过程中能够对相关数据电文进行加密和使用电子签章。使用“</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Theme="minorEastAsia" w:hAnsiTheme="minorEastAsia" w:eastAsiaTheme="minorEastAsia"/>
          <w:b/>
          <w:bCs/>
          <w:sz w:val="24"/>
        </w:rPr>
        <w:t>CA驱动和申领流程</w:t>
      </w:r>
      <w:r>
        <w:rPr>
          <w:rFonts w:hint="eastAsia" w:asciiTheme="minorEastAsia" w:hAnsiTheme="minorEastAsia" w:eastAsiaTheme="minorEastAsia"/>
          <w:b/>
          <w:bCs/>
          <w:sz w:val="24"/>
        </w:rPr>
        <w:fldChar w:fldCharType="end"/>
      </w:r>
      <w:r>
        <w:rPr>
          <w:rFonts w:hint="eastAsia" w:asciiTheme="minorEastAsia" w:hAnsiTheme="minorEastAsia" w:eastAsiaTheme="minorEastAsia"/>
          <w:b/>
          <w:bCs/>
          <w:sz w:val="24"/>
        </w:rPr>
        <w:t>”进行查阅；</w:t>
      </w:r>
    </w:p>
    <w:p w14:paraId="679D7FD8">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3、投标供应商应当在投标截止时间前，将生成的“电子加密投标文件”上传递交至“</w:t>
      </w:r>
      <w:r>
        <w:rPr>
          <w:rFonts w:hint="eastAsia" w:asciiTheme="minorEastAsia" w:hAnsiTheme="minorEastAsia" w:eastAsiaTheme="minorEastAsia"/>
          <w:b/>
          <w:bCs/>
          <w:sz w:val="24"/>
          <w:lang w:eastAsia="zh-CN"/>
        </w:rPr>
        <w:t>乐采云平台</w:t>
      </w:r>
      <w:r>
        <w:rPr>
          <w:rFonts w:hint="eastAsia" w:asciiTheme="minorEastAsia" w:hAnsiTheme="minorEastAsia" w:eastAsiaTheme="minorEastAsia"/>
          <w:b/>
          <w:bCs/>
          <w:sz w:val="24"/>
        </w:rPr>
        <w:t>”。投标截止时间以后上传递交的投标文件将被“</w:t>
      </w:r>
      <w:r>
        <w:rPr>
          <w:rFonts w:hint="eastAsia" w:asciiTheme="minorEastAsia" w:hAnsiTheme="minorEastAsia" w:eastAsiaTheme="minorEastAsia"/>
          <w:b/>
          <w:bCs/>
          <w:sz w:val="24"/>
          <w:lang w:eastAsia="zh-CN"/>
        </w:rPr>
        <w:t>乐采云平台</w:t>
      </w:r>
      <w:r>
        <w:rPr>
          <w:rFonts w:hint="eastAsia" w:asciiTheme="minorEastAsia" w:hAnsiTheme="minorEastAsia" w:eastAsiaTheme="minorEastAsia"/>
          <w:b/>
          <w:bCs/>
          <w:sz w:val="24"/>
        </w:rPr>
        <w:t>”拒收。</w:t>
      </w:r>
    </w:p>
    <w:p w14:paraId="74BD33AB">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4、投标供应商在“</w:t>
      </w:r>
      <w:r>
        <w:rPr>
          <w:rFonts w:hint="eastAsia" w:asciiTheme="minorEastAsia" w:hAnsiTheme="minorEastAsia" w:eastAsiaTheme="minorEastAsia"/>
          <w:b/>
          <w:bCs/>
          <w:sz w:val="24"/>
          <w:lang w:eastAsia="zh-CN"/>
        </w:rPr>
        <w:t>乐采云平台</w:t>
      </w:r>
      <w:r>
        <w:rPr>
          <w:rFonts w:hint="eastAsia" w:asciiTheme="minorEastAsia" w:hAnsiTheme="minorEastAsia" w:eastAsiaTheme="minorEastAsia"/>
          <w:b/>
          <w:bCs/>
          <w:sz w:val="24"/>
        </w:rPr>
        <w:t>”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14:paraId="61315122">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5、通过“</w:t>
      </w:r>
      <w:r>
        <w:rPr>
          <w:rFonts w:hint="eastAsia" w:asciiTheme="minorEastAsia" w:hAnsiTheme="minorEastAsia" w:eastAsiaTheme="minorEastAsia"/>
          <w:b/>
          <w:bCs/>
          <w:sz w:val="24"/>
          <w:lang w:eastAsia="zh-CN"/>
        </w:rPr>
        <w:t>乐采云平台</w:t>
      </w:r>
      <w:r>
        <w:rPr>
          <w:rFonts w:hint="eastAsia" w:asciiTheme="minorEastAsia" w:hAnsiTheme="minorEastAsia" w:eastAsiaTheme="minorEastAsia"/>
          <w:b/>
          <w:bCs/>
          <w:sz w:val="24"/>
        </w:rPr>
        <w:t>”上传递交的“电子加密投标文件”无法按时解密，投标供应商递交了备份投标文件的，以备份投标文件为依据，否则视为投标文件撤回。通过“</w:t>
      </w:r>
      <w:r>
        <w:rPr>
          <w:rFonts w:hint="eastAsia" w:asciiTheme="minorEastAsia" w:hAnsiTheme="minorEastAsia" w:eastAsiaTheme="minorEastAsia"/>
          <w:b/>
          <w:bCs/>
          <w:sz w:val="24"/>
          <w:lang w:eastAsia="zh-CN"/>
        </w:rPr>
        <w:t>乐采云平台</w:t>
      </w:r>
      <w:r>
        <w:rPr>
          <w:rFonts w:hint="eastAsia" w:asciiTheme="minorEastAsia" w:hAnsiTheme="minorEastAsia" w:eastAsiaTheme="minorEastAsia"/>
          <w:b/>
          <w:bCs/>
          <w:sz w:val="24"/>
        </w:rPr>
        <w:t>”上传递交的“电子加密投标文件”已按时解密的，“备份投标文件”自动失效。投标供应商仅递交备份投标文件的，投标无效。</w:t>
      </w:r>
    </w:p>
    <w:p w14:paraId="3AC674DE">
      <w:pPr>
        <w:spacing w:line="360" w:lineRule="auto"/>
        <w:ind w:firstLine="482" w:firstLineChars="200"/>
        <w:outlineLvl w:val="1"/>
        <w:rPr>
          <w:rFonts w:cs="Arial" w:asciiTheme="minorEastAsia" w:hAnsiTheme="minorEastAsia" w:eastAsiaTheme="minorEastAsia"/>
          <w:b/>
          <w:bCs/>
          <w:sz w:val="24"/>
        </w:rPr>
      </w:pPr>
      <w:r>
        <w:rPr>
          <w:rFonts w:hint="eastAsia" w:cs="Arial" w:asciiTheme="minorEastAsia" w:hAnsiTheme="minorEastAsia" w:eastAsiaTheme="minorEastAsia"/>
          <w:b/>
          <w:bCs/>
          <w:sz w:val="24"/>
        </w:rPr>
        <w:t>十一、其他事项：</w:t>
      </w:r>
    </w:p>
    <w:p w14:paraId="6BF58107">
      <w:pPr>
        <w:pStyle w:val="170"/>
        <w:rPr>
          <w:rFonts w:asciiTheme="minorEastAsia" w:hAnsiTheme="minorEastAsia" w:eastAsiaTheme="minorEastAsia"/>
        </w:rPr>
      </w:pPr>
      <w:r>
        <w:rPr>
          <w:rFonts w:hint="eastAsia" w:asciiTheme="minorEastAsia" w:hAnsiTheme="minorEastAsia" w:eastAsiaTheme="minorEastAsia"/>
        </w:rPr>
        <w:t>投标人如不派代表或不准时参加开标大会的,不得对采购相关人员、开标过程和开标结果提出异议。</w:t>
      </w:r>
    </w:p>
    <w:p w14:paraId="03D52071">
      <w:pPr>
        <w:spacing w:line="360" w:lineRule="auto"/>
        <w:ind w:firstLine="472" w:firstLineChars="196"/>
        <w:outlineLvl w:val="1"/>
        <w:rPr>
          <w:rFonts w:cs="Arial" w:asciiTheme="minorEastAsia" w:hAnsiTheme="minorEastAsia" w:eastAsiaTheme="minorEastAsia"/>
          <w:b/>
          <w:bCs/>
          <w:sz w:val="24"/>
        </w:rPr>
      </w:pPr>
      <w:r>
        <w:rPr>
          <w:rFonts w:cs="Arial" w:asciiTheme="minorEastAsia" w:hAnsiTheme="minorEastAsia" w:eastAsiaTheme="minorEastAsia"/>
          <w:b/>
          <w:bCs/>
          <w:sz w:val="24"/>
        </w:rPr>
        <w:t>十</w:t>
      </w:r>
      <w:r>
        <w:rPr>
          <w:rFonts w:hint="eastAsia" w:cs="Arial" w:asciiTheme="minorEastAsia" w:hAnsiTheme="minorEastAsia" w:eastAsiaTheme="minorEastAsia"/>
          <w:b/>
          <w:bCs/>
          <w:sz w:val="24"/>
        </w:rPr>
        <w:t>二</w:t>
      </w:r>
      <w:r>
        <w:rPr>
          <w:rFonts w:cs="Arial" w:asciiTheme="minorEastAsia" w:hAnsiTheme="minorEastAsia" w:eastAsiaTheme="minorEastAsia"/>
          <w:b/>
          <w:bCs/>
          <w:sz w:val="24"/>
        </w:rPr>
        <w:t>、业务咨询：</w:t>
      </w:r>
    </w:p>
    <w:p w14:paraId="0AFE5CEC">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1、采购机构名称：桐庐鸿泰工程咨询有限公司</w:t>
      </w:r>
    </w:p>
    <w:p w14:paraId="7E7A54A3">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地址：浙江省桐庐县城南街道迎春南路88号华桐大厦20楼</w:t>
      </w:r>
    </w:p>
    <w:p w14:paraId="78262C01">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联系人：孙鸣</w:t>
      </w:r>
    </w:p>
    <w:p w14:paraId="4DD0F47E">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联系电话：0571-64622020/15168292397</w:t>
      </w:r>
    </w:p>
    <w:p w14:paraId="5871D4D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书面质疑受理地点：桐庐县城南街道迎春南路88号华桐大厦20楼</w:t>
      </w:r>
    </w:p>
    <w:p w14:paraId="59FD9F2B">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联系人：</w:t>
      </w:r>
      <w:r>
        <w:rPr>
          <w:rFonts w:hint="eastAsia" w:asciiTheme="minorEastAsia" w:hAnsiTheme="minorEastAsia" w:eastAsiaTheme="minorEastAsia"/>
          <w:sz w:val="24"/>
          <w:lang w:eastAsia="zh-CN"/>
        </w:rPr>
        <w:t>许洪波</w:t>
      </w:r>
    </w:p>
    <w:p w14:paraId="0BCFED7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联系电话：</w:t>
      </w:r>
      <w:r>
        <w:rPr>
          <w:rFonts w:hint="eastAsia" w:asciiTheme="minorEastAsia" w:hAnsiTheme="minorEastAsia" w:eastAsiaTheme="minorEastAsia"/>
          <w:sz w:val="24"/>
          <w:lang w:val="en-US" w:eastAsia="zh-CN"/>
        </w:rPr>
        <w:t>15857150539</w:t>
      </w:r>
      <w:r>
        <w:rPr>
          <w:rFonts w:hint="eastAsia" w:asciiTheme="minorEastAsia" w:hAnsiTheme="minorEastAsia" w:eastAsiaTheme="minorEastAsia"/>
          <w:sz w:val="24"/>
        </w:rPr>
        <w:t xml:space="preserve">  </w:t>
      </w:r>
    </w:p>
    <w:p w14:paraId="3830C567">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采购单位：</w:t>
      </w:r>
      <w:r>
        <w:rPr>
          <w:rFonts w:hint="eastAsia" w:asciiTheme="minorEastAsia" w:hAnsiTheme="minorEastAsia" w:eastAsiaTheme="minorEastAsia"/>
          <w:sz w:val="24"/>
          <w:lang w:eastAsia="zh-CN"/>
        </w:rPr>
        <w:t>桐庐潇洒公共交通有限责任公司</w:t>
      </w:r>
    </w:p>
    <w:p w14:paraId="7DA15550">
      <w:pPr>
        <w:snapToGrid w:val="0"/>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地址：浙江省杭州市桐庐县乔林路728号</w:t>
      </w:r>
    </w:p>
    <w:p w14:paraId="0F6223CC">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联系人：</w:t>
      </w:r>
      <w:r>
        <w:rPr>
          <w:rFonts w:hint="eastAsia" w:asciiTheme="minorEastAsia" w:hAnsiTheme="minorEastAsia" w:eastAsiaTheme="minorEastAsia"/>
          <w:sz w:val="24"/>
          <w:lang w:eastAsia="zh-CN"/>
        </w:rPr>
        <w:t xml:space="preserve"> 许文豪</w:t>
      </w:r>
    </w:p>
    <w:p w14:paraId="6F7650D1">
      <w:pPr>
        <w:snapToGrid w:val="0"/>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联系电话：</w:t>
      </w:r>
      <w:r>
        <w:rPr>
          <w:rFonts w:hint="eastAsia" w:asciiTheme="minorEastAsia" w:hAnsiTheme="minorEastAsia" w:eastAsiaTheme="minorEastAsia"/>
          <w:sz w:val="24"/>
          <w:lang w:val="en-US" w:eastAsia="zh-CN"/>
        </w:rPr>
        <w:t xml:space="preserve"> 15969908927</w:t>
      </w:r>
    </w:p>
    <w:p w14:paraId="6BD91B91">
      <w:pPr>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同级采购监督管理部门            </w:t>
      </w:r>
    </w:p>
    <w:p w14:paraId="3E23402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名称：</w:t>
      </w:r>
      <w:r>
        <w:rPr>
          <w:rFonts w:hint="eastAsia" w:asciiTheme="minorEastAsia" w:hAnsiTheme="minorEastAsia" w:eastAsiaTheme="minorEastAsia"/>
          <w:sz w:val="24"/>
          <w:lang w:eastAsia="zh-CN"/>
        </w:rPr>
        <w:t>桐庐县交通发展集团有限公司</w:t>
      </w:r>
      <w:r>
        <w:rPr>
          <w:rFonts w:hint="eastAsia" w:asciiTheme="minorEastAsia" w:hAnsiTheme="minorEastAsia" w:eastAsiaTheme="minorEastAsia"/>
          <w:sz w:val="24"/>
        </w:rPr>
        <w:t xml:space="preserve">            </w:t>
      </w:r>
    </w:p>
    <w:p w14:paraId="26A96E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地址：浙江省杭州市桐庐县</w:t>
      </w:r>
      <w:r>
        <w:rPr>
          <w:rFonts w:hint="eastAsia" w:asciiTheme="minorEastAsia" w:hAnsiTheme="minorEastAsia" w:eastAsiaTheme="minorEastAsia"/>
          <w:sz w:val="24"/>
          <w:lang w:eastAsia="zh-CN"/>
        </w:rPr>
        <w:t>城南街道广丰路</w:t>
      </w:r>
      <w:r>
        <w:rPr>
          <w:rFonts w:hint="eastAsia" w:asciiTheme="minorEastAsia" w:hAnsiTheme="minorEastAsia" w:eastAsiaTheme="minorEastAsia"/>
          <w:sz w:val="24"/>
          <w:lang w:val="en-US" w:eastAsia="zh-CN"/>
        </w:rPr>
        <w:t>288号桐庐综合客运枢纽</w:t>
      </w:r>
    </w:p>
    <w:p w14:paraId="0EE625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联系人 ：</w:t>
      </w:r>
      <w:r>
        <w:rPr>
          <w:rFonts w:hint="eastAsia" w:asciiTheme="minorEastAsia" w:hAnsiTheme="minorEastAsia" w:eastAsiaTheme="minorEastAsia"/>
          <w:sz w:val="24"/>
          <w:lang w:eastAsia="zh-CN"/>
        </w:rPr>
        <w:t>武红飞</w:t>
      </w:r>
      <w:r>
        <w:rPr>
          <w:rFonts w:hint="eastAsia" w:asciiTheme="minorEastAsia" w:hAnsiTheme="minorEastAsia" w:eastAsiaTheme="minorEastAsia"/>
          <w:sz w:val="24"/>
        </w:rPr>
        <w:t>            </w:t>
      </w:r>
    </w:p>
    <w:p w14:paraId="0E4EEA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监督投诉电话：</w:t>
      </w:r>
      <w:r>
        <w:rPr>
          <w:rFonts w:hint="eastAsia" w:asciiTheme="minorEastAsia" w:hAnsiTheme="minorEastAsia" w:eastAsiaTheme="minorEastAsia"/>
          <w:sz w:val="24"/>
          <w:lang w:val="en-US" w:eastAsia="zh-CN"/>
        </w:rPr>
        <w:t>18888950862</w:t>
      </w:r>
    </w:p>
    <w:p w14:paraId="5135FD95">
      <w:pPr>
        <w:snapToGrid w:val="0"/>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w:t>
      </w:r>
      <w:bookmarkStart w:id="0" w:name="_Hlk521930958"/>
    </w:p>
    <w:p w14:paraId="4D187000">
      <w:pPr>
        <w:spacing w:line="360" w:lineRule="auto"/>
        <w:rPr>
          <w:rFonts w:hint="default" w:ascii="宋体" w:hAnsi="宋体" w:eastAsiaTheme="minorEastAsia"/>
          <w:sz w:val="24"/>
          <w:lang w:val="en-US" w:eastAsia="zh-CN"/>
        </w:rPr>
      </w:pPr>
    </w:p>
    <w:p w14:paraId="251BEAF1">
      <w:pPr>
        <w:spacing w:line="360" w:lineRule="auto"/>
        <w:ind w:firstLine="700" w:firstLineChars="292"/>
        <w:rPr>
          <w:rFonts w:asciiTheme="minorEastAsia" w:hAnsiTheme="minorEastAsia" w:eastAsiaTheme="minorEastAsia"/>
          <w:sz w:val="24"/>
        </w:rPr>
      </w:pPr>
    </w:p>
    <w:p w14:paraId="17FCB200">
      <w:pPr>
        <w:spacing w:line="360" w:lineRule="auto"/>
        <w:ind w:firstLine="700" w:firstLineChars="292"/>
        <w:rPr>
          <w:rFonts w:asciiTheme="minorEastAsia" w:hAnsiTheme="minorEastAsia" w:eastAsiaTheme="minorEastAsia"/>
          <w:sz w:val="24"/>
        </w:rPr>
        <w:sectPr>
          <w:footerReference r:id="rId11" w:type="default"/>
          <w:pgSz w:w="11910" w:h="16840"/>
          <w:pgMar w:top="1134" w:right="1344" w:bottom="1134" w:left="1304" w:header="0" w:footer="993" w:gutter="0"/>
          <w:cols w:space="0" w:num="1"/>
        </w:sectPr>
      </w:pPr>
    </w:p>
    <w:p w14:paraId="7FE5FCF4">
      <w:pPr>
        <w:numPr>
          <w:ilvl w:val="0"/>
          <w:numId w:val="7"/>
        </w:numPr>
        <w:snapToGrid w:val="0"/>
        <w:spacing w:line="360" w:lineRule="auto"/>
        <w:ind w:firstLine="42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招标需求</w:t>
      </w:r>
    </w:p>
    <w:p w14:paraId="00145B58">
      <w:pPr>
        <w:pStyle w:val="18"/>
        <w:snapToGrid w:val="0"/>
        <w:spacing w:line="360" w:lineRule="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一、项目情况</w:t>
      </w:r>
    </w:p>
    <w:p w14:paraId="77C2E35A">
      <w:pPr>
        <w:pStyle w:val="15"/>
        <w:spacing w:after="120" w:line="360" w:lineRule="auto"/>
        <w:ind w:firstLine="480" w:firstLineChars="200"/>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对桐庐县范围内各乡镇、地区的非智能公交站牌（亭）按项目清单要求进行制作、安装，并按照采购人要求将相关数据制表上报。</w:t>
      </w:r>
    </w:p>
    <w:p w14:paraId="61B99CBD">
      <w:pPr>
        <w:pStyle w:val="15"/>
        <w:spacing w:after="120" w:line="360" w:lineRule="auto"/>
        <w:rPr>
          <w:rFonts w:hint="eastAsia"/>
          <w:lang w:val="en-US" w:eastAsia="zh-CN"/>
        </w:rPr>
      </w:pPr>
      <w:r>
        <w:rPr>
          <w:rFonts w:hint="eastAsia" w:ascii="宋体" w:hAnsi="宋体" w:cs="宋体"/>
          <w:b/>
          <w:bCs/>
          <w:kern w:val="2"/>
          <w:sz w:val="32"/>
          <w:szCs w:val="32"/>
          <w:lang w:val="en-US" w:eastAsia="zh-CN" w:bidi="ar-SA"/>
        </w:rPr>
        <w:t>二、</w:t>
      </w:r>
      <w:r>
        <w:rPr>
          <w:rFonts w:hint="eastAsia" w:ascii="宋体" w:hAnsi="宋体" w:eastAsia="宋体" w:cs="宋体"/>
          <w:b/>
          <w:bCs/>
          <w:kern w:val="2"/>
          <w:sz w:val="32"/>
          <w:szCs w:val="32"/>
          <w:lang w:val="en-US" w:eastAsia="zh-CN" w:bidi="ar-SA"/>
        </w:rPr>
        <w:t>采购清单</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077"/>
        <w:gridCol w:w="1538"/>
        <w:gridCol w:w="1120"/>
        <w:gridCol w:w="1091"/>
        <w:gridCol w:w="3846"/>
      </w:tblGrid>
      <w:tr w14:paraId="00EE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14:paraId="1B4AE5E8">
            <w:pPr>
              <w:jc w:val="center"/>
              <w:rPr>
                <w:rFonts w:hint="eastAsia" w:eastAsia="宋体"/>
                <w:vertAlign w:val="baseline"/>
                <w:lang w:eastAsia="zh-CN"/>
              </w:rPr>
            </w:pPr>
            <w:r>
              <w:rPr>
                <w:rFonts w:hint="eastAsia"/>
                <w:vertAlign w:val="baseline"/>
                <w:lang w:eastAsia="zh-CN"/>
              </w:rPr>
              <w:t>序号</w:t>
            </w:r>
          </w:p>
        </w:tc>
        <w:tc>
          <w:tcPr>
            <w:tcW w:w="1125" w:type="dxa"/>
            <w:vAlign w:val="center"/>
          </w:tcPr>
          <w:p w14:paraId="2BA64324">
            <w:pPr>
              <w:jc w:val="center"/>
              <w:rPr>
                <w:rFonts w:hint="eastAsia" w:eastAsia="宋体"/>
                <w:vertAlign w:val="baseline"/>
                <w:lang w:eastAsia="zh-CN"/>
              </w:rPr>
            </w:pPr>
            <w:r>
              <w:rPr>
                <w:rFonts w:hint="eastAsia"/>
                <w:vertAlign w:val="baseline"/>
                <w:lang w:eastAsia="zh-CN"/>
              </w:rPr>
              <w:t>名称</w:t>
            </w:r>
          </w:p>
        </w:tc>
        <w:tc>
          <w:tcPr>
            <w:tcW w:w="1620" w:type="dxa"/>
            <w:vAlign w:val="center"/>
          </w:tcPr>
          <w:p w14:paraId="579CF698">
            <w:pPr>
              <w:jc w:val="center"/>
              <w:rPr>
                <w:rFonts w:hint="eastAsia" w:eastAsia="宋体"/>
                <w:vertAlign w:val="baseline"/>
                <w:lang w:eastAsia="zh-CN"/>
              </w:rPr>
            </w:pPr>
            <w:r>
              <w:rPr>
                <w:rFonts w:hint="eastAsia"/>
                <w:vertAlign w:val="baseline"/>
                <w:lang w:eastAsia="zh-CN"/>
              </w:rPr>
              <w:t>参数</w:t>
            </w:r>
          </w:p>
        </w:tc>
        <w:tc>
          <w:tcPr>
            <w:tcW w:w="1155" w:type="dxa"/>
            <w:vAlign w:val="center"/>
          </w:tcPr>
          <w:p w14:paraId="42C86ADC">
            <w:pPr>
              <w:jc w:val="center"/>
              <w:rPr>
                <w:rFonts w:hint="eastAsia" w:eastAsia="宋体"/>
                <w:vertAlign w:val="baseline"/>
                <w:lang w:eastAsia="zh-CN"/>
              </w:rPr>
            </w:pPr>
            <w:r>
              <w:rPr>
                <w:rFonts w:hint="eastAsia"/>
                <w:vertAlign w:val="baseline"/>
                <w:lang w:eastAsia="zh-CN"/>
              </w:rPr>
              <w:t>数量</w:t>
            </w:r>
          </w:p>
        </w:tc>
        <w:tc>
          <w:tcPr>
            <w:tcW w:w="1140" w:type="dxa"/>
            <w:vAlign w:val="center"/>
          </w:tcPr>
          <w:p w14:paraId="66478157">
            <w:pPr>
              <w:jc w:val="center"/>
              <w:rPr>
                <w:rFonts w:hint="eastAsia" w:eastAsia="宋体"/>
                <w:vertAlign w:val="baseline"/>
                <w:lang w:eastAsia="zh-CN"/>
              </w:rPr>
            </w:pPr>
            <w:r>
              <w:rPr>
                <w:rFonts w:hint="eastAsia"/>
                <w:vertAlign w:val="baseline"/>
                <w:lang w:eastAsia="zh-CN"/>
              </w:rPr>
              <w:t>单位</w:t>
            </w:r>
          </w:p>
        </w:tc>
        <w:tc>
          <w:tcPr>
            <w:tcW w:w="2648" w:type="dxa"/>
            <w:vAlign w:val="center"/>
          </w:tcPr>
          <w:p w14:paraId="4505A919">
            <w:pPr>
              <w:jc w:val="center"/>
              <w:rPr>
                <w:rFonts w:hint="eastAsia" w:eastAsia="宋体"/>
                <w:vertAlign w:val="baseline"/>
                <w:lang w:eastAsia="zh-CN"/>
              </w:rPr>
            </w:pPr>
            <w:r>
              <w:rPr>
                <w:rFonts w:hint="eastAsia"/>
                <w:vertAlign w:val="baseline"/>
                <w:lang w:eastAsia="zh-CN"/>
              </w:rPr>
              <w:t>图例</w:t>
            </w:r>
          </w:p>
        </w:tc>
      </w:tr>
      <w:tr w14:paraId="46CA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5" w:hRule="atLeast"/>
          <w:jc w:val="center"/>
        </w:trPr>
        <w:tc>
          <w:tcPr>
            <w:tcW w:w="834" w:type="dxa"/>
            <w:vAlign w:val="center"/>
          </w:tcPr>
          <w:p w14:paraId="7757DA3B">
            <w:pPr>
              <w:jc w:val="center"/>
              <w:rPr>
                <w:rFonts w:hint="default"/>
                <w:vertAlign w:val="baseline"/>
                <w:lang w:val="en-US" w:eastAsia="zh-CN"/>
              </w:rPr>
            </w:pPr>
            <w:r>
              <w:rPr>
                <w:rFonts w:hint="eastAsia"/>
                <w:vertAlign w:val="baseline"/>
                <w:lang w:val="en-US" w:eastAsia="zh-CN"/>
              </w:rPr>
              <w:t>1</w:t>
            </w:r>
          </w:p>
        </w:tc>
        <w:tc>
          <w:tcPr>
            <w:tcW w:w="1125" w:type="dxa"/>
            <w:vAlign w:val="center"/>
          </w:tcPr>
          <w:p w14:paraId="447D418C">
            <w:pPr>
              <w:jc w:val="center"/>
              <w:rPr>
                <w:rFonts w:hint="default"/>
                <w:vertAlign w:val="baseline"/>
                <w:lang w:val="en-US" w:eastAsia="zh-CN"/>
              </w:rPr>
            </w:pPr>
            <w:r>
              <w:rPr>
                <w:rFonts w:hint="eastAsia"/>
                <w:vertAlign w:val="baseline"/>
                <w:lang w:eastAsia="zh-CN"/>
              </w:rPr>
              <w:t>站牌</w:t>
            </w:r>
            <w:r>
              <w:rPr>
                <w:rFonts w:hint="eastAsia"/>
                <w:vertAlign w:val="baseline"/>
                <w:lang w:val="en-US" w:eastAsia="zh-CN"/>
              </w:rPr>
              <w:t>1</w:t>
            </w:r>
          </w:p>
        </w:tc>
        <w:tc>
          <w:tcPr>
            <w:tcW w:w="1620" w:type="dxa"/>
            <w:vAlign w:val="center"/>
          </w:tcPr>
          <w:p w14:paraId="5133515D">
            <w:pPr>
              <w:jc w:val="center"/>
              <w:rPr>
                <w:rFonts w:hint="eastAsia"/>
                <w:vertAlign w:val="baseline"/>
                <w:lang w:eastAsia="zh-CN"/>
              </w:rPr>
            </w:pPr>
            <w:r>
              <w:rPr>
                <w:rFonts w:hint="eastAsia"/>
                <w:vertAlign w:val="baseline"/>
                <w:lang w:eastAsia="zh-CN"/>
              </w:rPr>
              <w:t>详见附件</w:t>
            </w:r>
          </w:p>
        </w:tc>
        <w:tc>
          <w:tcPr>
            <w:tcW w:w="1155" w:type="dxa"/>
            <w:vAlign w:val="center"/>
          </w:tcPr>
          <w:p w14:paraId="39FD0035">
            <w:pPr>
              <w:jc w:val="center"/>
              <w:rPr>
                <w:rFonts w:hint="default"/>
                <w:vertAlign w:val="baseline"/>
                <w:lang w:val="en-US" w:eastAsia="zh-CN"/>
              </w:rPr>
            </w:pPr>
            <w:r>
              <w:rPr>
                <w:rFonts w:hint="eastAsia"/>
                <w:vertAlign w:val="baseline"/>
                <w:lang w:val="en-US" w:eastAsia="zh-CN"/>
              </w:rPr>
              <w:t>2242</w:t>
            </w:r>
          </w:p>
        </w:tc>
        <w:tc>
          <w:tcPr>
            <w:tcW w:w="1140" w:type="dxa"/>
            <w:vAlign w:val="center"/>
          </w:tcPr>
          <w:p w14:paraId="31EDD73B">
            <w:pPr>
              <w:jc w:val="center"/>
              <w:rPr>
                <w:rFonts w:hint="eastAsia"/>
                <w:vertAlign w:val="baseline"/>
                <w:lang w:eastAsia="zh-CN"/>
              </w:rPr>
            </w:pPr>
            <w:r>
              <w:rPr>
                <w:rFonts w:hint="eastAsia"/>
                <w:vertAlign w:val="baseline"/>
                <w:lang w:eastAsia="zh-CN"/>
              </w:rPr>
              <w:t>块</w:t>
            </w:r>
          </w:p>
        </w:tc>
        <w:tc>
          <w:tcPr>
            <w:tcW w:w="2648" w:type="dxa"/>
            <w:vAlign w:val="center"/>
          </w:tcPr>
          <w:p w14:paraId="77189C2C">
            <w:pPr>
              <w:jc w:val="center"/>
              <w:rPr>
                <w:rFonts w:hint="eastAsia"/>
                <w:vertAlign w:val="baseline"/>
                <w:lang w:eastAsia="zh-CN"/>
              </w:rPr>
            </w:pPr>
            <w:r>
              <w:drawing>
                <wp:inline distT="0" distB="0" distL="114300" distR="114300">
                  <wp:extent cx="1247775" cy="4454525"/>
                  <wp:effectExtent l="0" t="0" r="9525"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0"/>
                          <a:stretch>
                            <a:fillRect/>
                          </a:stretch>
                        </pic:blipFill>
                        <pic:spPr>
                          <a:xfrm>
                            <a:off x="0" y="0"/>
                            <a:ext cx="1247775" cy="4454525"/>
                          </a:xfrm>
                          <a:prstGeom prst="rect">
                            <a:avLst/>
                          </a:prstGeom>
                          <a:noFill/>
                          <a:ln>
                            <a:noFill/>
                          </a:ln>
                        </pic:spPr>
                      </pic:pic>
                    </a:graphicData>
                  </a:graphic>
                </wp:inline>
              </w:drawing>
            </w:r>
          </w:p>
        </w:tc>
      </w:tr>
      <w:tr w14:paraId="1C20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jc w:val="center"/>
        </w:trPr>
        <w:tc>
          <w:tcPr>
            <w:tcW w:w="834" w:type="dxa"/>
            <w:vAlign w:val="center"/>
          </w:tcPr>
          <w:p w14:paraId="1FFADDA3">
            <w:pPr>
              <w:jc w:val="center"/>
              <w:rPr>
                <w:rFonts w:hint="default"/>
                <w:vertAlign w:val="baseline"/>
                <w:lang w:val="en-US" w:eastAsia="zh-CN"/>
              </w:rPr>
            </w:pPr>
            <w:r>
              <w:rPr>
                <w:rFonts w:hint="eastAsia"/>
                <w:vertAlign w:val="baseline"/>
                <w:lang w:val="en-US" w:eastAsia="zh-CN"/>
              </w:rPr>
              <w:t>2</w:t>
            </w:r>
          </w:p>
        </w:tc>
        <w:tc>
          <w:tcPr>
            <w:tcW w:w="1125" w:type="dxa"/>
            <w:vAlign w:val="center"/>
          </w:tcPr>
          <w:p w14:paraId="64824C0F">
            <w:pPr>
              <w:jc w:val="center"/>
              <w:rPr>
                <w:rFonts w:hint="default"/>
                <w:vertAlign w:val="baseline"/>
                <w:lang w:val="en-US" w:eastAsia="zh-CN"/>
              </w:rPr>
            </w:pPr>
            <w:r>
              <w:rPr>
                <w:rFonts w:hint="eastAsia"/>
                <w:vertAlign w:val="baseline"/>
                <w:lang w:eastAsia="zh-CN"/>
              </w:rPr>
              <w:t>站牌</w:t>
            </w:r>
            <w:r>
              <w:rPr>
                <w:rFonts w:hint="eastAsia"/>
                <w:vertAlign w:val="baseline"/>
                <w:lang w:val="en-US" w:eastAsia="zh-CN"/>
              </w:rPr>
              <w:t>2</w:t>
            </w:r>
          </w:p>
        </w:tc>
        <w:tc>
          <w:tcPr>
            <w:tcW w:w="1620" w:type="dxa"/>
            <w:vAlign w:val="center"/>
          </w:tcPr>
          <w:p w14:paraId="2FC8CF56">
            <w:pPr>
              <w:jc w:val="center"/>
              <w:rPr>
                <w:rFonts w:hint="eastAsia"/>
                <w:vertAlign w:val="baseline"/>
                <w:lang w:eastAsia="zh-CN"/>
              </w:rPr>
            </w:pPr>
            <w:r>
              <w:rPr>
                <w:rFonts w:hint="eastAsia"/>
                <w:vertAlign w:val="baseline"/>
                <w:lang w:eastAsia="zh-CN"/>
              </w:rPr>
              <w:t>详见附件</w:t>
            </w:r>
          </w:p>
        </w:tc>
        <w:tc>
          <w:tcPr>
            <w:tcW w:w="1155" w:type="dxa"/>
            <w:vAlign w:val="center"/>
          </w:tcPr>
          <w:p w14:paraId="40025C46">
            <w:pPr>
              <w:jc w:val="center"/>
              <w:rPr>
                <w:rFonts w:hint="default"/>
                <w:vertAlign w:val="baseline"/>
                <w:lang w:val="en-US" w:eastAsia="zh-CN"/>
              </w:rPr>
            </w:pPr>
            <w:r>
              <w:rPr>
                <w:rFonts w:hint="eastAsia"/>
                <w:vertAlign w:val="baseline"/>
                <w:lang w:val="en-US" w:eastAsia="zh-CN"/>
              </w:rPr>
              <w:t>106</w:t>
            </w:r>
          </w:p>
        </w:tc>
        <w:tc>
          <w:tcPr>
            <w:tcW w:w="1140" w:type="dxa"/>
            <w:vAlign w:val="center"/>
          </w:tcPr>
          <w:p w14:paraId="5EB0A4B2">
            <w:pPr>
              <w:jc w:val="center"/>
              <w:rPr>
                <w:rFonts w:hint="eastAsia"/>
                <w:vertAlign w:val="baseline"/>
                <w:lang w:eastAsia="zh-CN"/>
              </w:rPr>
            </w:pPr>
            <w:r>
              <w:rPr>
                <w:rFonts w:hint="eastAsia"/>
                <w:vertAlign w:val="baseline"/>
                <w:lang w:eastAsia="zh-CN"/>
              </w:rPr>
              <w:t>块</w:t>
            </w:r>
          </w:p>
        </w:tc>
        <w:tc>
          <w:tcPr>
            <w:tcW w:w="2648" w:type="dxa"/>
            <w:vAlign w:val="center"/>
          </w:tcPr>
          <w:p w14:paraId="4F09F80A">
            <w:pPr>
              <w:jc w:val="center"/>
            </w:pPr>
            <w:r>
              <w:drawing>
                <wp:inline distT="0" distB="0" distL="114300" distR="114300">
                  <wp:extent cx="1525270" cy="3841115"/>
                  <wp:effectExtent l="0" t="0" r="17780" b="698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1"/>
                          <a:stretch>
                            <a:fillRect/>
                          </a:stretch>
                        </pic:blipFill>
                        <pic:spPr>
                          <a:xfrm>
                            <a:off x="0" y="0"/>
                            <a:ext cx="1525270" cy="3841115"/>
                          </a:xfrm>
                          <a:prstGeom prst="rect">
                            <a:avLst/>
                          </a:prstGeom>
                          <a:noFill/>
                          <a:ln>
                            <a:noFill/>
                          </a:ln>
                        </pic:spPr>
                      </pic:pic>
                    </a:graphicData>
                  </a:graphic>
                </wp:inline>
              </w:drawing>
            </w:r>
          </w:p>
        </w:tc>
      </w:tr>
      <w:tr w14:paraId="0BB9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14:paraId="761203E7">
            <w:pPr>
              <w:jc w:val="center"/>
              <w:rPr>
                <w:rFonts w:hint="default"/>
                <w:vertAlign w:val="baseline"/>
                <w:lang w:val="en-US" w:eastAsia="zh-CN"/>
              </w:rPr>
            </w:pPr>
            <w:r>
              <w:rPr>
                <w:rFonts w:hint="eastAsia"/>
                <w:vertAlign w:val="baseline"/>
                <w:lang w:val="en-US" w:eastAsia="zh-CN"/>
              </w:rPr>
              <w:t>3</w:t>
            </w:r>
          </w:p>
        </w:tc>
        <w:tc>
          <w:tcPr>
            <w:tcW w:w="1125" w:type="dxa"/>
            <w:vAlign w:val="center"/>
          </w:tcPr>
          <w:p w14:paraId="1E2DD9F1">
            <w:pPr>
              <w:jc w:val="center"/>
              <w:rPr>
                <w:rFonts w:hint="default"/>
                <w:vertAlign w:val="baseline"/>
                <w:lang w:val="en-US" w:eastAsia="zh-CN"/>
              </w:rPr>
            </w:pPr>
            <w:r>
              <w:rPr>
                <w:rFonts w:hint="eastAsia"/>
                <w:vertAlign w:val="baseline"/>
                <w:lang w:eastAsia="zh-CN"/>
              </w:rPr>
              <w:t>站牌</w:t>
            </w:r>
            <w:r>
              <w:rPr>
                <w:rFonts w:hint="eastAsia"/>
                <w:vertAlign w:val="baseline"/>
                <w:lang w:val="en-US" w:eastAsia="zh-CN"/>
              </w:rPr>
              <w:t>3</w:t>
            </w:r>
          </w:p>
        </w:tc>
        <w:tc>
          <w:tcPr>
            <w:tcW w:w="1620" w:type="dxa"/>
            <w:vAlign w:val="center"/>
          </w:tcPr>
          <w:p w14:paraId="412400C8">
            <w:pPr>
              <w:jc w:val="center"/>
              <w:rPr>
                <w:rFonts w:hint="eastAsia"/>
                <w:vertAlign w:val="baseline"/>
                <w:lang w:eastAsia="zh-CN"/>
              </w:rPr>
            </w:pPr>
            <w:r>
              <w:rPr>
                <w:rFonts w:hint="eastAsia"/>
                <w:vertAlign w:val="baseline"/>
                <w:lang w:eastAsia="zh-CN"/>
              </w:rPr>
              <w:t>详见附件</w:t>
            </w:r>
          </w:p>
        </w:tc>
        <w:tc>
          <w:tcPr>
            <w:tcW w:w="1155" w:type="dxa"/>
            <w:vAlign w:val="center"/>
          </w:tcPr>
          <w:p w14:paraId="43360417">
            <w:pPr>
              <w:jc w:val="center"/>
              <w:rPr>
                <w:rFonts w:hint="default"/>
                <w:vertAlign w:val="baseline"/>
                <w:lang w:val="en-US" w:eastAsia="zh-CN"/>
              </w:rPr>
            </w:pPr>
            <w:r>
              <w:rPr>
                <w:rFonts w:hint="eastAsia"/>
                <w:vertAlign w:val="baseline"/>
                <w:lang w:val="en-US" w:eastAsia="zh-CN"/>
              </w:rPr>
              <w:t>193</w:t>
            </w:r>
          </w:p>
        </w:tc>
        <w:tc>
          <w:tcPr>
            <w:tcW w:w="1140" w:type="dxa"/>
            <w:vAlign w:val="center"/>
          </w:tcPr>
          <w:p w14:paraId="4098B449">
            <w:pPr>
              <w:jc w:val="center"/>
              <w:rPr>
                <w:rFonts w:hint="eastAsia"/>
                <w:vertAlign w:val="baseline"/>
                <w:lang w:eastAsia="zh-CN"/>
              </w:rPr>
            </w:pPr>
            <w:r>
              <w:rPr>
                <w:rFonts w:hint="eastAsia"/>
                <w:vertAlign w:val="baseline"/>
                <w:lang w:eastAsia="zh-CN"/>
              </w:rPr>
              <w:t>块</w:t>
            </w:r>
          </w:p>
        </w:tc>
        <w:tc>
          <w:tcPr>
            <w:tcW w:w="2648" w:type="dxa"/>
            <w:vAlign w:val="center"/>
          </w:tcPr>
          <w:p w14:paraId="04AD9F4B">
            <w:pPr>
              <w:jc w:val="center"/>
            </w:pPr>
            <w:r>
              <w:drawing>
                <wp:inline distT="0" distB="0" distL="114300" distR="114300">
                  <wp:extent cx="1571625" cy="4134485"/>
                  <wp:effectExtent l="0" t="0" r="9525" b="1841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2"/>
                          <a:stretch>
                            <a:fillRect/>
                          </a:stretch>
                        </pic:blipFill>
                        <pic:spPr>
                          <a:xfrm>
                            <a:off x="0" y="0"/>
                            <a:ext cx="1571625" cy="4134485"/>
                          </a:xfrm>
                          <a:prstGeom prst="rect">
                            <a:avLst/>
                          </a:prstGeom>
                          <a:noFill/>
                          <a:ln>
                            <a:noFill/>
                          </a:ln>
                        </pic:spPr>
                      </pic:pic>
                    </a:graphicData>
                  </a:graphic>
                </wp:inline>
              </w:drawing>
            </w:r>
          </w:p>
        </w:tc>
      </w:tr>
      <w:tr w14:paraId="4351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jc w:val="center"/>
        </w:trPr>
        <w:tc>
          <w:tcPr>
            <w:tcW w:w="834" w:type="dxa"/>
            <w:vAlign w:val="center"/>
          </w:tcPr>
          <w:p w14:paraId="1AAA5D31">
            <w:pPr>
              <w:jc w:val="center"/>
              <w:rPr>
                <w:rFonts w:hint="default"/>
                <w:vertAlign w:val="baseline"/>
                <w:lang w:val="en-US" w:eastAsia="zh-CN"/>
              </w:rPr>
            </w:pPr>
            <w:r>
              <w:rPr>
                <w:rFonts w:hint="eastAsia"/>
                <w:vertAlign w:val="baseline"/>
                <w:lang w:val="en-US" w:eastAsia="zh-CN"/>
              </w:rPr>
              <w:t>4</w:t>
            </w:r>
          </w:p>
        </w:tc>
        <w:tc>
          <w:tcPr>
            <w:tcW w:w="1125" w:type="dxa"/>
            <w:vAlign w:val="center"/>
          </w:tcPr>
          <w:p w14:paraId="7C92787D">
            <w:pPr>
              <w:jc w:val="center"/>
              <w:rPr>
                <w:rFonts w:hint="eastAsia"/>
                <w:vertAlign w:val="baseline"/>
                <w:lang w:eastAsia="zh-CN"/>
              </w:rPr>
            </w:pPr>
            <w:r>
              <w:rPr>
                <w:rFonts w:hint="eastAsia"/>
                <w:vertAlign w:val="baseline"/>
                <w:lang w:eastAsia="zh-CN"/>
              </w:rPr>
              <w:t>站亭</w:t>
            </w:r>
          </w:p>
        </w:tc>
        <w:tc>
          <w:tcPr>
            <w:tcW w:w="1620" w:type="dxa"/>
            <w:vAlign w:val="center"/>
          </w:tcPr>
          <w:p w14:paraId="4C36466E">
            <w:pPr>
              <w:jc w:val="center"/>
              <w:rPr>
                <w:rFonts w:hint="eastAsia"/>
                <w:vertAlign w:val="baseline"/>
                <w:lang w:eastAsia="zh-CN"/>
              </w:rPr>
            </w:pPr>
            <w:r>
              <w:rPr>
                <w:rFonts w:hint="eastAsia"/>
                <w:vertAlign w:val="baseline"/>
                <w:lang w:eastAsia="zh-CN"/>
              </w:rPr>
              <w:t>详见附件</w:t>
            </w:r>
          </w:p>
        </w:tc>
        <w:tc>
          <w:tcPr>
            <w:tcW w:w="1155" w:type="dxa"/>
            <w:vAlign w:val="center"/>
          </w:tcPr>
          <w:p w14:paraId="273A9E7C">
            <w:pPr>
              <w:jc w:val="center"/>
              <w:rPr>
                <w:rFonts w:hint="default"/>
                <w:vertAlign w:val="baseline"/>
                <w:lang w:val="en-US" w:eastAsia="zh-CN"/>
              </w:rPr>
            </w:pPr>
            <w:r>
              <w:rPr>
                <w:rFonts w:hint="eastAsia"/>
                <w:vertAlign w:val="baseline"/>
                <w:lang w:val="en-US" w:eastAsia="zh-CN"/>
              </w:rPr>
              <w:t>22</w:t>
            </w:r>
          </w:p>
        </w:tc>
        <w:tc>
          <w:tcPr>
            <w:tcW w:w="1140" w:type="dxa"/>
            <w:vAlign w:val="center"/>
          </w:tcPr>
          <w:p w14:paraId="5B919A9E">
            <w:pPr>
              <w:jc w:val="center"/>
              <w:rPr>
                <w:rFonts w:hint="eastAsia"/>
                <w:vertAlign w:val="baseline"/>
                <w:lang w:eastAsia="zh-CN"/>
              </w:rPr>
            </w:pPr>
            <w:r>
              <w:rPr>
                <w:rFonts w:hint="eastAsia"/>
                <w:vertAlign w:val="baseline"/>
                <w:lang w:eastAsia="zh-CN"/>
              </w:rPr>
              <w:t>座</w:t>
            </w:r>
          </w:p>
        </w:tc>
        <w:tc>
          <w:tcPr>
            <w:tcW w:w="2648" w:type="dxa"/>
            <w:vAlign w:val="center"/>
          </w:tcPr>
          <w:p w14:paraId="4969498D">
            <w:pPr>
              <w:jc w:val="center"/>
            </w:pPr>
            <w:r>
              <w:drawing>
                <wp:inline distT="0" distB="0" distL="114300" distR="114300">
                  <wp:extent cx="2305050" cy="2277745"/>
                  <wp:effectExtent l="0" t="0" r="0"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3"/>
                          <a:stretch>
                            <a:fillRect/>
                          </a:stretch>
                        </pic:blipFill>
                        <pic:spPr>
                          <a:xfrm>
                            <a:off x="0" y="0"/>
                            <a:ext cx="2305050" cy="2277745"/>
                          </a:xfrm>
                          <a:prstGeom prst="rect">
                            <a:avLst/>
                          </a:prstGeom>
                          <a:noFill/>
                          <a:ln>
                            <a:noFill/>
                          </a:ln>
                        </pic:spPr>
                      </pic:pic>
                    </a:graphicData>
                  </a:graphic>
                </wp:inline>
              </w:drawing>
            </w:r>
          </w:p>
        </w:tc>
      </w:tr>
      <w:tr w14:paraId="7B71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834" w:type="dxa"/>
            <w:vAlign w:val="center"/>
          </w:tcPr>
          <w:p w14:paraId="2F81B61B">
            <w:pPr>
              <w:jc w:val="center"/>
              <w:rPr>
                <w:rFonts w:hint="default"/>
                <w:vertAlign w:val="baseline"/>
                <w:lang w:val="en-US" w:eastAsia="zh-CN"/>
              </w:rPr>
            </w:pPr>
            <w:r>
              <w:rPr>
                <w:rFonts w:hint="eastAsia"/>
                <w:vertAlign w:val="baseline"/>
                <w:lang w:val="en-US" w:eastAsia="zh-CN"/>
              </w:rPr>
              <w:t>5</w:t>
            </w:r>
          </w:p>
        </w:tc>
        <w:tc>
          <w:tcPr>
            <w:tcW w:w="1125" w:type="dxa"/>
            <w:vAlign w:val="center"/>
          </w:tcPr>
          <w:p w14:paraId="77445BA5">
            <w:pPr>
              <w:jc w:val="center"/>
              <w:rPr>
                <w:rFonts w:hint="eastAsia"/>
                <w:vertAlign w:val="baseline"/>
                <w:lang w:eastAsia="zh-CN"/>
              </w:rPr>
            </w:pPr>
            <w:r>
              <w:rPr>
                <w:rFonts w:hint="eastAsia"/>
                <w:vertAlign w:val="baseline"/>
                <w:lang w:eastAsia="zh-CN"/>
              </w:rPr>
              <w:t>信息板更换</w:t>
            </w:r>
          </w:p>
        </w:tc>
        <w:tc>
          <w:tcPr>
            <w:tcW w:w="1620" w:type="dxa"/>
            <w:vAlign w:val="center"/>
          </w:tcPr>
          <w:p w14:paraId="713FF911">
            <w:pPr>
              <w:jc w:val="center"/>
              <w:rPr>
                <w:rFonts w:hint="eastAsia"/>
                <w:vertAlign w:val="baseline"/>
                <w:lang w:eastAsia="zh-CN"/>
              </w:rPr>
            </w:pPr>
            <w:r>
              <w:rPr>
                <w:rFonts w:hint="eastAsia"/>
                <w:vertAlign w:val="baseline"/>
                <w:lang w:eastAsia="zh-CN"/>
              </w:rPr>
              <w:t>详见附件</w:t>
            </w:r>
          </w:p>
        </w:tc>
        <w:tc>
          <w:tcPr>
            <w:tcW w:w="1155" w:type="dxa"/>
            <w:vAlign w:val="center"/>
          </w:tcPr>
          <w:p w14:paraId="50D1934D">
            <w:pPr>
              <w:jc w:val="center"/>
              <w:rPr>
                <w:rFonts w:hint="default"/>
                <w:vertAlign w:val="baseline"/>
                <w:lang w:val="en-US" w:eastAsia="zh-CN"/>
              </w:rPr>
            </w:pPr>
            <w:r>
              <w:rPr>
                <w:rFonts w:hint="eastAsia"/>
                <w:vertAlign w:val="baseline"/>
                <w:lang w:val="en-US" w:eastAsia="zh-CN"/>
              </w:rPr>
              <w:t>158</w:t>
            </w:r>
          </w:p>
        </w:tc>
        <w:tc>
          <w:tcPr>
            <w:tcW w:w="1140" w:type="dxa"/>
            <w:vAlign w:val="center"/>
          </w:tcPr>
          <w:p w14:paraId="2E63CA57">
            <w:pPr>
              <w:jc w:val="center"/>
              <w:rPr>
                <w:rFonts w:hint="eastAsia"/>
                <w:vertAlign w:val="baseline"/>
                <w:lang w:eastAsia="zh-CN"/>
              </w:rPr>
            </w:pPr>
            <w:r>
              <w:rPr>
                <w:rFonts w:hint="eastAsia"/>
                <w:vertAlign w:val="baseline"/>
                <w:lang w:eastAsia="zh-CN"/>
              </w:rPr>
              <w:t>块</w:t>
            </w:r>
          </w:p>
        </w:tc>
        <w:tc>
          <w:tcPr>
            <w:tcW w:w="2648" w:type="dxa"/>
            <w:vAlign w:val="center"/>
          </w:tcPr>
          <w:p w14:paraId="6BFBEA2B">
            <w:pPr>
              <w:jc w:val="center"/>
              <w:rPr>
                <w:rFonts w:hint="eastAsia" w:eastAsia="宋体"/>
                <w:lang w:val="en-US" w:eastAsia="zh-CN"/>
              </w:rPr>
            </w:pPr>
            <w:r>
              <w:rPr>
                <w:rFonts w:hint="eastAsia"/>
                <w:lang w:val="en-US" w:eastAsia="zh-CN"/>
              </w:rPr>
              <w:t>/</w:t>
            </w:r>
          </w:p>
        </w:tc>
      </w:tr>
    </w:tbl>
    <w:p w14:paraId="456C8C29">
      <w:pPr>
        <w:numPr>
          <w:ilvl w:val="0"/>
          <w:numId w:val="0"/>
        </w:numPr>
        <w:spacing w:line="360" w:lineRule="auto"/>
        <w:rPr>
          <w:rFonts w:hint="eastAsia"/>
          <w:lang w:val="en-US" w:eastAsia="zh-CN"/>
        </w:rPr>
      </w:pPr>
    </w:p>
    <w:p w14:paraId="0D814127">
      <w:pPr>
        <w:widowControl/>
        <w:snapToGrid w:val="0"/>
        <w:spacing w:line="360" w:lineRule="auto"/>
        <w:rPr>
          <w:rFonts w:hint="eastAsia" w:ascii="宋体" w:hAnsi="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三、</w:t>
      </w:r>
      <w:r>
        <w:rPr>
          <w:rFonts w:hint="eastAsia" w:ascii="宋体" w:hAnsi="宋体" w:cs="宋体"/>
          <w:b/>
          <w:bCs/>
          <w:kern w:val="2"/>
          <w:sz w:val="32"/>
          <w:szCs w:val="32"/>
          <w:lang w:val="en-US" w:eastAsia="zh-CN" w:bidi="ar-SA"/>
        </w:rPr>
        <w:t>报价需求</w:t>
      </w:r>
    </w:p>
    <w:p w14:paraId="2CB0FB5C">
      <w:pPr>
        <w:numPr>
          <w:ilvl w:val="0"/>
          <w:numId w:val="8"/>
        </w:numPr>
        <w:spacing w:line="360" w:lineRule="auto"/>
        <w:ind w:left="0" w:leftChars="0" w:firstLine="0" w:firstLineChars="0"/>
        <w:jc w:val="left"/>
        <w:rPr>
          <w:rFonts w:hint="eastAsia" w:ascii="宋体" w:cs="宋体"/>
          <w:sz w:val="24"/>
          <w:lang w:eastAsia="zh-CN"/>
        </w:rPr>
      </w:pPr>
      <w:r>
        <w:rPr>
          <w:rFonts w:hint="eastAsia" w:ascii="宋体" w:cs="宋体"/>
          <w:sz w:val="24"/>
          <w:lang w:eastAsia="zh-CN"/>
        </w:rPr>
        <w:t>为应对本项目履约过程中出现的不可预估事宜，本项目设置了</w:t>
      </w:r>
      <w:r>
        <w:rPr>
          <w:rFonts w:hint="eastAsia" w:ascii="宋体" w:cs="宋体"/>
          <w:sz w:val="24"/>
          <w:lang w:val="en-US" w:eastAsia="zh-CN"/>
        </w:rPr>
        <w:t>50万元备用金，此备用金为不可竞争费用，报价时不得下浮或减扣。备用金仅用于处理不可预估事宜的支出，使用前需上报采购人，采购人同意后方可支出并按实际使用支出结算。项目结算时会将未使用的备用金金额从合同总价中扣除。</w:t>
      </w:r>
      <w:r>
        <w:rPr>
          <w:rFonts w:hint="eastAsia" w:ascii="宋体" w:cs="宋体"/>
          <w:sz w:val="24"/>
          <w:lang w:eastAsia="zh-CN"/>
        </w:rPr>
        <w:t>请投标供应商综合考虑在报价内。</w:t>
      </w:r>
    </w:p>
    <w:p w14:paraId="07AA31EB">
      <w:pPr>
        <w:numPr>
          <w:ilvl w:val="0"/>
          <w:numId w:val="8"/>
        </w:numPr>
        <w:spacing w:line="360" w:lineRule="auto"/>
        <w:ind w:left="0" w:leftChars="0" w:firstLine="0" w:firstLineChars="0"/>
        <w:jc w:val="left"/>
        <w:rPr>
          <w:rFonts w:hint="eastAsia" w:ascii="宋体" w:cs="宋体"/>
          <w:sz w:val="24"/>
          <w:lang w:val="en-US" w:eastAsia="zh-CN"/>
        </w:rPr>
      </w:pPr>
      <w:r>
        <w:rPr>
          <w:rFonts w:hint="eastAsia" w:ascii="宋体" w:eastAsia="宋体" w:cs="宋体"/>
          <w:sz w:val="24"/>
          <w:lang w:val="en-US" w:eastAsia="zh-CN"/>
        </w:rPr>
        <w:t>供货安装时</w:t>
      </w:r>
      <w:r>
        <w:rPr>
          <w:rFonts w:hint="eastAsia" w:ascii="宋体" w:cs="宋体"/>
          <w:sz w:val="24"/>
          <w:lang w:val="en-US" w:eastAsia="zh-CN"/>
        </w:rPr>
        <w:t>必须严格按照项目图纸施工，</w:t>
      </w:r>
      <w:r>
        <w:rPr>
          <w:rFonts w:hint="eastAsia" w:ascii="宋体" w:eastAsia="宋体" w:cs="宋体"/>
          <w:sz w:val="24"/>
          <w:lang w:val="en-US" w:eastAsia="zh-CN"/>
        </w:rPr>
        <w:t>产生的必要施工</w:t>
      </w:r>
      <w:r>
        <w:rPr>
          <w:rFonts w:hint="eastAsia" w:ascii="宋体" w:eastAsia="宋体" w:cs="宋体"/>
          <w:sz w:val="24"/>
          <w:lang w:eastAsia="zh-CN"/>
        </w:rPr>
        <w:t>不另计费，请投标供应商综合考虑在报价内。</w:t>
      </w:r>
      <w:r>
        <w:rPr>
          <w:rFonts w:hint="eastAsia" w:ascii="宋体" w:eastAsia="宋体" w:cs="宋体"/>
          <w:sz w:val="24"/>
          <w:lang w:eastAsia="zh-CN"/>
        </w:rPr>
        <w:br w:type="textWrapping"/>
      </w:r>
      <w:r>
        <w:rPr>
          <w:rFonts w:hint="eastAsia" w:ascii="宋体" w:eastAsia="宋体" w:cs="宋体"/>
          <w:sz w:val="24"/>
          <w:lang w:val="en-US" w:eastAsia="zh-CN"/>
        </w:rPr>
        <w:t>3、</w:t>
      </w:r>
      <w:r>
        <w:rPr>
          <w:rFonts w:hint="eastAsia" w:ascii="宋体" w:cs="宋体"/>
          <w:sz w:val="24"/>
          <w:lang w:val="en-US" w:eastAsia="zh-CN"/>
        </w:rPr>
        <w:t>质保期内</w:t>
      </w:r>
      <w:r>
        <w:rPr>
          <w:rFonts w:hint="eastAsia" w:ascii="宋体" w:eastAsia="宋体" w:cs="宋体"/>
          <w:sz w:val="24"/>
          <w:lang w:val="en-US" w:eastAsia="zh-CN"/>
        </w:rPr>
        <w:t>中标供应商应安排人员对站牌（亭）进行巡查，发现情况或收到采购人通知后，应</w:t>
      </w:r>
      <w:r>
        <w:rPr>
          <w:rFonts w:hint="eastAsia" w:ascii="宋体" w:cs="宋体"/>
          <w:sz w:val="24"/>
          <w:lang w:val="en-US" w:eastAsia="zh-CN"/>
        </w:rPr>
        <w:t>在24小时内响应</w:t>
      </w:r>
      <w:r>
        <w:rPr>
          <w:rFonts w:hint="eastAsia" w:ascii="宋体" w:eastAsia="宋体" w:cs="宋体"/>
          <w:sz w:val="24"/>
          <w:lang w:val="en-US" w:eastAsia="zh-CN"/>
        </w:rPr>
        <w:t>，5-10天内对破损或丢失的站牌（亭）进行维修或增补，此费用请供应商综合考虑在报价内。</w:t>
      </w:r>
      <w:r>
        <w:rPr>
          <w:rFonts w:hint="eastAsia" w:ascii="宋体" w:eastAsia="宋体" w:cs="宋体"/>
          <w:sz w:val="24"/>
          <w:lang w:val="en-US" w:eastAsia="zh-CN"/>
        </w:rPr>
        <w:br w:type="textWrapping"/>
      </w:r>
      <w:r>
        <w:rPr>
          <w:rFonts w:hint="eastAsia" w:ascii="宋体" w:cs="宋体"/>
          <w:sz w:val="24"/>
          <w:lang w:val="en-US" w:eastAsia="zh-CN"/>
        </w:rPr>
        <w:t>4、本项目投标报价包含以下费用（包括但不限于生产费、包装费、运输费、基础施工费、拆除费、场地复原费、交通管制费、项目保险费、人工费、巡查费、税费等一切项目履约时可预见产生的费用），请投标人综合考虑后报价。</w:t>
      </w:r>
    </w:p>
    <w:p w14:paraId="68B0F64F">
      <w:pPr>
        <w:numPr>
          <w:ilvl w:val="0"/>
          <w:numId w:val="0"/>
        </w:numPr>
        <w:spacing w:line="360" w:lineRule="auto"/>
        <w:ind w:leftChars="-7"/>
        <w:jc w:val="left"/>
        <w:rPr>
          <w:rFonts w:hint="eastAsia" w:ascii="宋体" w:cs="宋体"/>
          <w:sz w:val="24"/>
        </w:rPr>
      </w:pPr>
      <w:r>
        <w:rPr>
          <w:rFonts w:hint="eastAsia" w:ascii="宋体" w:cs="宋体"/>
          <w:sz w:val="24"/>
          <w:lang w:val="en-US" w:eastAsia="zh-CN"/>
        </w:rPr>
        <w:t>5、旧站牌需进行拆除并运送至甲方指定地点，该费用</w:t>
      </w:r>
      <w:r>
        <w:rPr>
          <w:rFonts w:hint="eastAsia" w:ascii="宋体" w:eastAsia="宋体" w:cs="宋体"/>
          <w:sz w:val="24"/>
          <w:lang w:eastAsia="zh-CN"/>
        </w:rPr>
        <w:t>不另计费，请投标供应商综合考虑在报价内。</w:t>
      </w:r>
      <w:r>
        <w:rPr>
          <w:rFonts w:hint="eastAsia" w:ascii="宋体" w:eastAsia="宋体" w:cs="宋体"/>
          <w:sz w:val="24"/>
          <w:lang w:eastAsia="zh-CN"/>
        </w:rPr>
        <w:br w:type="textWrapping"/>
      </w:r>
      <w:r>
        <w:rPr>
          <w:rFonts w:hint="eastAsia" w:ascii="宋体" w:hAnsi="宋体" w:eastAsia="宋体" w:cs="宋体"/>
          <w:b/>
          <w:bCs/>
          <w:kern w:val="2"/>
          <w:sz w:val="32"/>
          <w:szCs w:val="32"/>
          <w:lang w:val="en-US" w:eastAsia="zh-CN" w:bidi="ar-SA"/>
        </w:rPr>
        <w:t>四、商务需求</w:t>
      </w:r>
      <w:r>
        <w:rPr>
          <w:rFonts w:hint="eastAsia" w:ascii="宋体" w:hAnsi="宋体" w:cs="宋体"/>
          <w:b/>
          <w:bCs/>
          <w:sz w:val="24"/>
        </w:rPr>
        <w:br w:type="textWrapping"/>
      </w:r>
      <w:r>
        <w:rPr>
          <w:rFonts w:hint="eastAsia" w:ascii="宋体" w:cs="宋体"/>
          <w:sz w:val="24"/>
        </w:rPr>
        <w:t>1、</w:t>
      </w:r>
      <w:r>
        <w:rPr>
          <w:rFonts w:hint="eastAsia" w:ascii="宋体" w:cs="宋体"/>
          <w:sz w:val="24"/>
          <w:lang w:eastAsia="zh-CN"/>
        </w:rPr>
        <w:t>履约过程及相关商品符合</w:t>
      </w:r>
      <w:r>
        <w:rPr>
          <w:rFonts w:hint="eastAsia" w:ascii="宋体" w:cs="宋体"/>
          <w:sz w:val="24"/>
        </w:rPr>
        <w:t>国家、浙江省、</w:t>
      </w:r>
      <w:r>
        <w:rPr>
          <w:rFonts w:hint="eastAsia" w:ascii="宋体" w:cs="宋体"/>
          <w:sz w:val="24"/>
          <w:lang w:val="en-US" w:eastAsia="zh-CN"/>
        </w:rPr>
        <w:t>杭州</w:t>
      </w:r>
      <w:r>
        <w:rPr>
          <w:rFonts w:hint="eastAsia" w:ascii="宋体" w:cs="宋体"/>
          <w:sz w:val="24"/>
        </w:rPr>
        <w:t>市和</w:t>
      </w:r>
      <w:r>
        <w:rPr>
          <w:rFonts w:hint="eastAsia" w:ascii="宋体" w:cs="宋体"/>
          <w:sz w:val="24"/>
          <w:lang w:val="en-US" w:eastAsia="zh-CN"/>
        </w:rPr>
        <w:t>桐庐县</w:t>
      </w:r>
      <w:r>
        <w:rPr>
          <w:rFonts w:hint="eastAsia" w:ascii="宋体" w:cs="宋体"/>
          <w:sz w:val="24"/>
        </w:rPr>
        <w:t>相关法律、法规及行业标准。</w:t>
      </w:r>
    </w:p>
    <w:p w14:paraId="4479B372">
      <w:pPr>
        <w:spacing w:line="440" w:lineRule="exact"/>
        <w:ind w:left="-420" w:leftChars="0" w:firstLine="420" w:firstLineChars="175"/>
        <w:rPr>
          <w:rFonts w:hint="eastAsia" w:ascii="宋体" w:eastAsia="宋体" w:cs="宋体"/>
          <w:sz w:val="24"/>
          <w:lang w:eastAsia="zh-CN"/>
        </w:rPr>
      </w:pPr>
      <w:r>
        <w:rPr>
          <w:rFonts w:hint="eastAsia" w:ascii="宋体" w:eastAsia="宋体" w:cs="宋体"/>
          <w:sz w:val="24"/>
        </w:rPr>
        <w:t>2、</w:t>
      </w:r>
      <w:r>
        <w:rPr>
          <w:rFonts w:hint="eastAsia" w:ascii="宋体" w:eastAsia="宋体" w:cs="宋体"/>
          <w:sz w:val="24"/>
          <w:lang w:eastAsia="zh-CN"/>
        </w:rPr>
        <w:t>所供货品必须为全新，供应商在供货前应提供样品或明确供货型号款式，交由采购人检验。经由采购人同意后方可进场安装。如未经采购人检验擅自供货安装的，采购人有权要求无条件退货，并保有向供应商追究赔偿的相关权利。</w:t>
      </w:r>
    </w:p>
    <w:p w14:paraId="60815E80">
      <w:pPr>
        <w:spacing w:line="440" w:lineRule="exact"/>
        <w:ind w:left="-420" w:leftChars="0" w:firstLine="420" w:firstLineChars="175"/>
        <w:rPr>
          <w:rFonts w:hint="eastAsia" w:ascii="宋体" w:cs="宋体"/>
          <w:sz w:val="24"/>
          <w:lang w:val="en-US" w:eastAsia="zh-CN"/>
        </w:rPr>
      </w:pPr>
      <w:r>
        <w:rPr>
          <w:rFonts w:hint="eastAsia" w:ascii="宋体" w:eastAsia="宋体" w:cs="宋体"/>
          <w:sz w:val="24"/>
          <w:lang w:eastAsia="zh-CN"/>
        </w:rPr>
        <w:t>3、在安装过程中，供应商应派遣相关的专业人员进行安装且安装过程须符合相关安全规范。若在过程中出现未按照相关安全规范履约而产生的安全事故，一律由供应商承担责任，采购人无需负责。</w:t>
      </w:r>
      <w:r>
        <w:rPr>
          <w:rFonts w:hint="eastAsia" w:ascii="宋体" w:cs="宋体"/>
          <w:sz w:val="24"/>
          <w:lang w:val="en-US" w:eastAsia="zh-CN"/>
        </w:rPr>
        <w:t xml:space="preserve"> </w:t>
      </w:r>
    </w:p>
    <w:p w14:paraId="01BCC698">
      <w:pPr>
        <w:spacing w:line="440" w:lineRule="exact"/>
        <w:ind w:left="-420" w:leftChars="0" w:firstLine="420" w:firstLineChars="175"/>
        <w:rPr>
          <w:rFonts w:hint="default" w:ascii="宋体" w:cs="宋体"/>
          <w:sz w:val="24"/>
          <w:lang w:val="en-US" w:eastAsia="zh-CN"/>
        </w:rPr>
      </w:pPr>
      <w:r>
        <w:rPr>
          <w:rFonts w:hint="eastAsia" w:ascii="宋体" w:cs="宋体"/>
          <w:sz w:val="24"/>
          <w:lang w:val="en-US" w:eastAsia="zh-CN"/>
        </w:rPr>
        <w:t>4、中标供应商在履约过程中，应配合采购人要求，如实收集、填写相关数据，并将数据按照采购人要求制作电子文档提交采购人。（表格式样参考招标附件）</w:t>
      </w:r>
    </w:p>
    <w:p w14:paraId="188FA164">
      <w:pPr>
        <w:spacing w:line="440" w:lineRule="exact"/>
        <w:ind w:left="-420" w:leftChars="0" w:firstLine="420" w:firstLineChars="175"/>
        <w:rPr>
          <w:rFonts w:hint="eastAsia" w:ascii="宋体" w:eastAsia="宋体" w:cs="宋体"/>
          <w:sz w:val="24"/>
          <w:lang w:val="en-US" w:eastAsia="zh-CN"/>
        </w:rPr>
      </w:pPr>
      <w:r>
        <w:rPr>
          <w:rFonts w:hint="eastAsia" w:ascii="宋体" w:cs="宋体"/>
          <w:sz w:val="24"/>
          <w:lang w:val="en-US" w:eastAsia="zh-CN"/>
        </w:rPr>
        <w:t>5</w:t>
      </w:r>
      <w:r>
        <w:rPr>
          <w:rFonts w:hint="eastAsia" w:ascii="宋体" w:eastAsia="宋体" w:cs="宋体"/>
          <w:sz w:val="24"/>
          <w:lang w:val="en-US" w:eastAsia="zh-CN"/>
        </w:rPr>
        <w:t>、服务期及质保期：</w:t>
      </w:r>
    </w:p>
    <w:p w14:paraId="3227635B">
      <w:pPr>
        <w:spacing w:line="440" w:lineRule="exact"/>
        <w:rPr>
          <w:rFonts w:hint="eastAsia" w:ascii="宋体" w:eastAsia="宋体" w:cs="宋体"/>
          <w:sz w:val="24"/>
          <w:lang w:val="en-US" w:eastAsia="zh-CN"/>
        </w:rPr>
      </w:pPr>
      <w:r>
        <w:rPr>
          <w:rFonts w:hint="eastAsia" w:ascii="宋体" w:eastAsia="宋体" w:cs="宋体"/>
          <w:sz w:val="24"/>
          <w:lang w:val="en-US" w:eastAsia="zh-CN"/>
        </w:rPr>
        <w:t>服务期：</w:t>
      </w:r>
      <w:r>
        <w:rPr>
          <w:rFonts w:hint="eastAsia" w:ascii="宋体" w:cs="宋体"/>
          <w:sz w:val="24"/>
          <w:lang w:val="en-US" w:eastAsia="zh-CN"/>
        </w:rPr>
        <w:t>2025年8月25日前安装完毕</w:t>
      </w:r>
      <w:r>
        <w:rPr>
          <w:rFonts w:hint="eastAsia" w:ascii="宋体" w:eastAsia="宋体" w:cs="宋体"/>
          <w:sz w:val="24"/>
          <w:lang w:val="en-US" w:eastAsia="zh-CN"/>
        </w:rPr>
        <w:t>。</w:t>
      </w:r>
    </w:p>
    <w:p w14:paraId="3F7809C8">
      <w:pPr>
        <w:spacing w:line="440" w:lineRule="exact"/>
        <w:ind w:left="-420" w:leftChars="0" w:firstLine="420" w:firstLineChars="175"/>
        <w:rPr>
          <w:rFonts w:hint="eastAsia" w:ascii="宋体" w:eastAsia="宋体" w:cs="宋体"/>
          <w:sz w:val="24"/>
          <w:lang w:val="en-US" w:eastAsia="zh-CN"/>
        </w:rPr>
      </w:pPr>
      <w:r>
        <w:rPr>
          <w:rFonts w:hint="eastAsia" w:ascii="宋体" w:eastAsia="宋体" w:cs="宋体"/>
          <w:sz w:val="24"/>
          <w:lang w:val="en-US" w:eastAsia="zh-CN"/>
        </w:rPr>
        <w:t>质保期：</w:t>
      </w:r>
      <w:r>
        <w:rPr>
          <w:rFonts w:hint="eastAsia" w:ascii="宋体" w:cs="宋体"/>
          <w:sz w:val="24"/>
          <w:lang w:val="en-US" w:eastAsia="zh-CN"/>
        </w:rPr>
        <w:t>质保期三年，质保期内免费维修</w:t>
      </w:r>
      <w:r>
        <w:rPr>
          <w:rFonts w:hint="eastAsia" w:ascii="宋体" w:cs="宋体"/>
          <w:color w:val="FF0000"/>
          <w:sz w:val="24"/>
          <w:lang w:val="en-US" w:eastAsia="zh-CN"/>
        </w:rPr>
        <w:t>或增补</w:t>
      </w:r>
      <w:r>
        <w:rPr>
          <w:rFonts w:hint="eastAsia" w:ascii="宋体" w:cs="宋体"/>
          <w:sz w:val="24"/>
          <w:lang w:val="en-US" w:eastAsia="zh-CN"/>
        </w:rPr>
        <w:t>受损及丢失的站牌（亭）</w:t>
      </w:r>
      <w:r>
        <w:rPr>
          <w:rFonts w:hint="eastAsia" w:ascii="宋体" w:eastAsia="宋体" w:cs="宋体"/>
          <w:sz w:val="24"/>
          <w:lang w:val="en-US" w:eastAsia="zh-CN"/>
        </w:rPr>
        <w:t>。</w:t>
      </w:r>
    </w:p>
    <w:p w14:paraId="2F4B3487">
      <w:pPr>
        <w:numPr>
          <w:ilvl w:val="0"/>
          <w:numId w:val="9"/>
        </w:numPr>
        <w:spacing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履约保证金及付款方式</w:t>
      </w:r>
    </w:p>
    <w:p w14:paraId="28E5D092">
      <w:pPr>
        <w:numPr>
          <w:ilvl w:val="0"/>
          <w:numId w:val="0"/>
        </w:numPr>
        <w:spacing w:line="440" w:lineRule="exact"/>
        <w:rPr>
          <w:rFonts w:hint="eastAsia" w:ascii="宋体" w:hAnsi="宋体" w:eastAsia="宋体" w:cs="宋体"/>
          <w:bCs/>
          <w:sz w:val="24"/>
          <w:lang w:val="en-US" w:eastAsia="zh-CN"/>
        </w:rPr>
      </w:pPr>
      <w:r>
        <w:rPr>
          <w:rFonts w:hint="eastAsia" w:ascii="宋体" w:hAnsi="宋体" w:eastAsia="宋体" w:cs="宋体"/>
          <w:bCs/>
          <w:sz w:val="24"/>
          <w:lang w:val="en-US" w:eastAsia="zh-CN"/>
        </w:rPr>
        <w:t>1.履约保证金：</w:t>
      </w:r>
      <w:r>
        <w:rPr>
          <w:rFonts w:hint="eastAsia" w:ascii="宋体" w:hAnsi="宋体" w:eastAsia="宋体" w:cs="宋体"/>
          <w:bCs/>
          <w:sz w:val="24"/>
        </w:rPr>
        <w:t>签订合同</w:t>
      </w:r>
      <w:r>
        <w:rPr>
          <w:rFonts w:hint="eastAsia" w:ascii="宋体" w:hAnsi="宋体" w:eastAsia="宋体" w:cs="宋体"/>
          <w:bCs/>
          <w:sz w:val="24"/>
          <w:lang w:eastAsia="zh-CN"/>
        </w:rPr>
        <w:t>前</w:t>
      </w:r>
      <w:r>
        <w:rPr>
          <w:rFonts w:hint="eastAsia" w:ascii="宋体" w:hAnsi="宋体" w:eastAsia="宋体" w:cs="宋体"/>
          <w:bCs/>
          <w:sz w:val="24"/>
        </w:rPr>
        <w:t>，中标人应向采购人交纳合同</w:t>
      </w:r>
      <w:r>
        <w:rPr>
          <w:rFonts w:hint="eastAsia" w:ascii="宋体" w:hAnsi="宋体" w:eastAsia="宋体" w:cs="宋体"/>
          <w:bCs/>
          <w:sz w:val="24"/>
          <w:highlight w:val="none"/>
          <w:lang w:eastAsia="zh-CN"/>
        </w:rPr>
        <w:t>总金额的</w:t>
      </w:r>
      <w:r>
        <w:rPr>
          <w:rFonts w:hint="eastAsia" w:ascii="宋体" w:hAnsi="宋体" w:eastAsia="宋体" w:cs="宋体"/>
          <w:bCs/>
          <w:color w:val="FF0000"/>
          <w:sz w:val="24"/>
          <w:highlight w:val="none"/>
          <w:lang w:val="en-US" w:eastAsia="zh-CN"/>
        </w:rPr>
        <w:t>1</w:t>
      </w:r>
      <w:r>
        <w:rPr>
          <w:rFonts w:hint="eastAsia" w:ascii="宋体" w:hAnsi="宋体" w:eastAsia="宋体" w:cs="宋体"/>
          <w:bCs/>
          <w:color w:val="FF0000"/>
          <w:sz w:val="24"/>
          <w:highlight w:val="none"/>
          <w:lang w:eastAsia="zh-CN"/>
        </w:rPr>
        <w:t>%</w:t>
      </w:r>
      <w:r>
        <w:rPr>
          <w:rFonts w:hint="eastAsia" w:ascii="宋体" w:hAnsi="宋体" w:eastAsia="宋体" w:cs="宋体"/>
          <w:bCs/>
          <w:sz w:val="24"/>
          <w:highlight w:val="none"/>
        </w:rPr>
        <w:t>作为履约保证金，履约保证金在合同履行完毕无误无息退还。履约保证金可采用现金（电汇或银行汇票形式）或银行保函或保险公司保函或融资担保公司保函等形式缴纳。</w:t>
      </w:r>
    </w:p>
    <w:p w14:paraId="69E99A40">
      <w:pPr>
        <w:spacing w:line="360" w:lineRule="auto"/>
        <w:ind w:left="-420" w:leftChars="-200" w:right="-313" w:rightChars="-149" w:firstLine="480" w:firstLineChars="200"/>
        <w:jc w:val="left"/>
        <w:rPr>
          <w:rFonts w:hint="eastAsia" w:ascii="宋体" w:hAnsi="宋体" w:eastAsia="宋体" w:cs="宋体"/>
          <w:bCs/>
          <w:sz w:val="24"/>
          <w:lang w:eastAsia="zh-CN"/>
        </w:rPr>
      </w:pPr>
      <w:r>
        <w:rPr>
          <w:rFonts w:hint="eastAsia" w:ascii="宋体" w:hAnsi="宋体" w:eastAsia="宋体" w:cs="宋体"/>
          <w:bCs/>
          <w:sz w:val="24"/>
          <w:lang w:val="en-US" w:eastAsia="zh-CN"/>
        </w:rPr>
        <w:t>2.</w:t>
      </w:r>
      <w:r>
        <w:rPr>
          <w:rFonts w:hint="eastAsia" w:ascii="宋体" w:hAnsi="宋体" w:eastAsia="宋体" w:cs="宋体"/>
          <w:bCs/>
          <w:sz w:val="24"/>
          <w:lang w:eastAsia="zh-CN"/>
        </w:rPr>
        <w:t>付款方式：</w:t>
      </w:r>
    </w:p>
    <w:p w14:paraId="474D5C75">
      <w:pPr>
        <w:spacing w:line="360" w:lineRule="auto"/>
        <w:ind w:left="-420" w:leftChars="-200" w:right="-313" w:rightChars="-149"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lang w:eastAsia="zh-CN"/>
        </w:rPr>
        <w:t>①签订合同后的</w:t>
      </w:r>
      <w:r>
        <w:rPr>
          <w:rFonts w:hint="eastAsia" w:ascii="宋体" w:hAnsi="宋体" w:eastAsia="宋体" w:cs="宋体"/>
          <w:bCs/>
          <w:sz w:val="24"/>
          <w:lang w:val="en-US" w:eastAsia="zh-CN"/>
        </w:rPr>
        <w:t>7个工作日内支付合同总价30%的预付款；</w:t>
      </w:r>
    </w:p>
    <w:p w14:paraId="333A1135">
      <w:pPr>
        <w:spacing w:line="360" w:lineRule="auto"/>
        <w:ind w:left="-420" w:leftChars="-200" w:right="-313" w:rightChars="-149"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②项目验收合格</w:t>
      </w:r>
      <w:r>
        <w:rPr>
          <w:rFonts w:hint="eastAsia" w:ascii="宋体" w:hAnsi="宋体" w:cs="宋体"/>
          <w:bCs/>
          <w:sz w:val="24"/>
          <w:lang w:val="en-US" w:eastAsia="zh-CN"/>
        </w:rPr>
        <w:t>并经审计后</w:t>
      </w:r>
      <w:r>
        <w:rPr>
          <w:rFonts w:hint="eastAsia" w:ascii="宋体" w:hAnsi="宋体" w:eastAsia="宋体" w:cs="宋体"/>
          <w:bCs/>
          <w:sz w:val="24"/>
          <w:lang w:val="en-US" w:eastAsia="zh-CN"/>
        </w:rPr>
        <w:t>一个月内支付至</w:t>
      </w:r>
      <w:r>
        <w:rPr>
          <w:rFonts w:hint="eastAsia" w:ascii="宋体" w:hAnsi="宋体" w:cs="宋体"/>
          <w:bCs/>
          <w:sz w:val="24"/>
          <w:lang w:val="en-US" w:eastAsia="zh-CN"/>
        </w:rPr>
        <w:t>审定价格</w:t>
      </w:r>
      <w:r>
        <w:rPr>
          <w:rFonts w:hint="eastAsia" w:ascii="宋体" w:hAnsi="宋体" w:eastAsia="宋体" w:cs="宋体"/>
          <w:bCs/>
          <w:sz w:val="24"/>
          <w:lang w:val="en-US" w:eastAsia="zh-CN"/>
        </w:rPr>
        <w:t>的</w:t>
      </w:r>
      <w:r>
        <w:rPr>
          <w:rFonts w:hint="eastAsia" w:ascii="宋体" w:hAnsi="宋体" w:cs="宋体"/>
          <w:bCs/>
          <w:sz w:val="24"/>
          <w:lang w:val="en-US" w:eastAsia="zh-CN"/>
        </w:rPr>
        <w:t>60</w:t>
      </w:r>
      <w:r>
        <w:rPr>
          <w:rFonts w:hint="eastAsia" w:ascii="宋体" w:hAnsi="宋体" w:eastAsia="宋体" w:cs="宋体"/>
          <w:bCs/>
          <w:sz w:val="24"/>
          <w:lang w:val="en-US" w:eastAsia="zh-CN"/>
        </w:rPr>
        <w:t>%；</w:t>
      </w:r>
    </w:p>
    <w:p w14:paraId="0F53E9FA">
      <w:pPr>
        <w:spacing w:line="360" w:lineRule="auto"/>
        <w:ind w:left="40" w:leftChars="19" w:right="-313" w:rightChars="-149" w:firstLine="19" w:firstLineChars="8"/>
        <w:jc w:val="left"/>
        <w:rPr>
          <w:rFonts w:hint="default" w:ascii="宋体" w:hAnsi="宋体" w:eastAsia="宋体" w:cs="宋体"/>
          <w:bCs/>
          <w:sz w:val="24"/>
          <w:lang w:val="en-US" w:eastAsia="zh-CN"/>
        </w:rPr>
      </w:pPr>
      <w:r>
        <w:rPr>
          <w:rFonts w:hint="eastAsia" w:ascii="宋体" w:hAnsi="宋体" w:eastAsia="宋体" w:cs="宋体"/>
          <w:bCs/>
          <w:sz w:val="24"/>
          <w:lang w:val="en-US" w:eastAsia="zh-CN"/>
        </w:rPr>
        <w:t>③</w:t>
      </w:r>
      <w:r>
        <w:rPr>
          <w:rFonts w:hint="eastAsia" w:ascii="宋体" w:hAnsi="宋体" w:cs="宋体"/>
          <w:bCs/>
          <w:sz w:val="24"/>
          <w:lang w:val="en-US" w:eastAsia="zh-CN"/>
        </w:rPr>
        <w:t>2026年9月支付至审定价的70%；</w:t>
      </w:r>
      <w:r>
        <w:rPr>
          <w:rFonts w:hint="eastAsia" w:ascii="宋体" w:hAnsi="宋体" w:cs="宋体"/>
          <w:bCs/>
          <w:sz w:val="24"/>
          <w:lang w:val="en-US" w:eastAsia="zh-CN"/>
        </w:rPr>
        <w:br w:type="textWrapping"/>
      </w:r>
      <w:r>
        <w:rPr>
          <w:rFonts w:hint="eastAsia" w:ascii="宋体" w:hAnsi="宋体" w:cs="宋体"/>
          <w:bCs/>
          <w:sz w:val="24"/>
          <w:lang w:val="en-US" w:eastAsia="zh-CN"/>
        </w:rPr>
        <w:t>④2027年9月支付至审定价的80%；</w:t>
      </w:r>
      <w:r>
        <w:rPr>
          <w:rFonts w:hint="eastAsia" w:ascii="宋体" w:hAnsi="宋体" w:cs="宋体"/>
          <w:bCs/>
          <w:sz w:val="24"/>
          <w:lang w:val="en-US" w:eastAsia="zh-CN"/>
        </w:rPr>
        <w:br w:type="textWrapping"/>
      </w:r>
      <w:r>
        <w:rPr>
          <w:rFonts w:hint="eastAsia" w:ascii="宋体" w:hAnsi="宋体" w:cs="宋体"/>
          <w:bCs/>
          <w:sz w:val="24"/>
          <w:lang w:val="en-US" w:eastAsia="zh-CN"/>
        </w:rPr>
        <w:t>⑤其余款项在质保期到期后一个月内支付完成。</w:t>
      </w:r>
    </w:p>
    <w:p w14:paraId="29EBF431">
      <w:pPr>
        <w:spacing w:line="360" w:lineRule="auto"/>
        <w:ind w:left="-420" w:leftChars="-200" w:right="-313" w:rightChars="-149" w:firstLine="480" w:firstLineChars="200"/>
        <w:jc w:val="left"/>
        <w:rPr>
          <w:rFonts w:hint="eastAsia" w:ascii="宋体" w:hAnsi="宋体" w:cs="宋体"/>
          <w:bCs/>
          <w:sz w:val="24"/>
          <w:lang w:val="en-US" w:eastAsia="zh-CN"/>
        </w:rPr>
      </w:pPr>
      <w:r>
        <w:rPr>
          <w:rFonts w:hint="eastAsia" w:ascii="宋体" w:hAnsi="宋体" w:eastAsia="宋体" w:cs="宋体"/>
          <w:bCs/>
          <w:sz w:val="24"/>
          <w:lang w:val="en-US" w:eastAsia="zh-CN"/>
        </w:rPr>
        <w:t>注:</w:t>
      </w:r>
      <w:r>
        <w:rPr>
          <w:rFonts w:hint="eastAsia" w:ascii="宋体" w:hAnsi="宋体" w:cs="宋体"/>
          <w:bCs/>
          <w:sz w:val="24"/>
          <w:lang w:val="en-US" w:eastAsia="zh-CN"/>
        </w:rPr>
        <w:t>1、</w:t>
      </w:r>
      <w:r>
        <w:rPr>
          <w:rFonts w:hint="eastAsia" w:ascii="宋体" w:hAnsi="宋体" w:eastAsia="宋体" w:cs="宋体"/>
          <w:bCs/>
          <w:sz w:val="24"/>
          <w:lang w:val="en-US" w:eastAsia="zh-CN"/>
        </w:rPr>
        <w:t>中标供应商</w:t>
      </w:r>
      <w:r>
        <w:rPr>
          <w:rFonts w:hint="default" w:ascii="宋体" w:hAnsi="宋体" w:eastAsia="宋体" w:cs="宋体"/>
          <w:bCs/>
          <w:sz w:val="24"/>
          <w:lang w:val="en-US" w:eastAsia="zh-CN"/>
        </w:rPr>
        <w:t>在采购人支付每一笔货款之前，应至少提前7日向采购人开具并交付相应货款的</w:t>
      </w:r>
      <w:r>
        <w:rPr>
          <w:rFonts w:hint="eastAsia" w:ascii="宋体" w:hAnsi="宋体" w:cs="宋体"/>
          <w:bCs/>
          <w:sz w:val="24"/>
          <w:lang w:val="en-US" w:eastAsia="zh-CN"/>
        </w:rPr>
        <w:t>专用发票。</w:t>
      </w:r>
    </w:p>
    <w:p w14:paraId="1DFA7816">
      <w:pPr>
        <w:numPr>
          <w:ilvl w:val="0"/>
          <w:numId w:val="0"/>
        </w:numPr>
        <w:spacing w:line="360" w:lineRule="auto"/>
        <w:ind w:leftChars="0" w:right="-313" w:rightChars="-149"/>
        <w:jc w:val="left"/>
        <w:rPr>
          <w:rFonts w:hint="eastAsia" w:ascii="宋体" w:hAnsi="宋体" w:cs="宋体"/>
          <w:bCs/>
          <w:sz w:val="24"/>
          <w:lang w:val="en-US" w:eastAsia="zh-CN"/>
        </w:rPr>
      </w:pPr>
      <w:r>
        <w:rPr>
          <w:rFonts w:hint="default" w:ascii="宋体" w:hAnsi="宋体" w:cs="宋体"/>
          <w:bCs/>
          <w:sz w:val="24"/>
          <w:lang w:val="en-US" w:eastAsia="zh-CN"/>
        </w:rPr>
        <w:t>2</w:t>
      </w:r>
      <w:r>
        <w:rPr>
          <w:rFonts w:hint="eastAsia" w:ascii="宋体" w:hAnsi="宋体" w:cs="宋体"/>
          <w:bCs/>
          <w:sz w:val="24"/>
          <w:lang w:val="en-US" w:eastAsia="zh-CN"/>
        </w:rPr>
        <w:t>、本项目含50万元备用金，此金额不下浮或减扣，按实际支出结算。此费用单独结算。</w:t>
      </w:r>
    </w:p>
    <w:p w14:paraId="00F6BF20">
      <w:pPr>
        <w:numPr>
          <w:ilvl w:val="0"/>
          <w:numId w:val="0"/>
        </w:numPr>
        <w:spacing w:line="360" w:lineRule="auto"/>
        <w:ind w:leftChars="0" w:right="-313" w:rightChars="-149"/>
        <w:jc w:val="left"/>
        <w:rPr>
          <w:rFonts w:ascii="宋体" w:hAnsi="宋体" w:cs="宋体"/>
          <w:kern w:val="0"/>
          <w:sz w:val="24"/>
        </w:rPr>
      </w:pPr>
      <w:r>
        <w:rPr>
          <w:rFonts w:hint="eastAsia" w:ascii="宋体" w:hAnsi="宋体" w:cs="宋体"/>
          <w:bCs/>
          <w:sz w:val="24"/>
          <w:lang w:val="en-US" w:eastAsia="zh-CN"/>
        </w:rPr>
        <w:t>3、项目质保期内采购人将对中标供应商进行年度考核，根据考核成绩支付当年度款项（优秀等次不扣除当年所付款项，良好等次扣除当</w:t>
      </w:r>
      <w:r>
        <w:rPr>
          <w:rFonts w:hint="eastAsia" w:ascii="宋体" w:hAnsi="宋体" w:eastAsia="宋体" w:cs="宋体"/>
          <w:bCs/>
          <w:sz w:val="24"/>
          <w:lang w:val="en-US" w:eastAsia="zh-CN"/>
        </w:rPr>
        <w:t>年所付款项的10%，合格等次扣</w:t>
      </w:r>
      <w:r>
        <w:rPr>
          <w:rFonts w:hint="eastAsia" w:ascii="宋体" w:hAnsi="宋体" w:cs="宋体"/>
          <w:bCs/>
          <w:sz w:val="24"/>
          <w:lang w:val="en-US" w:eastAsia="zh-CN"/>
        </w:rPr>
        <w:t>除当年所付款项的20%，不合格等次扣除当年所付款项的百分之80%。考核制度标准见附件）</w:t>
      </w:r>
      <w:r>
        <w:rPr>
          <w:rFonts w:hint="eastAsia" w:ascii="宋体" w:hAnsi="宋体" w:cs="宋体"/>
          <w:b/>
          <w:bCs/>
          <w:sz w:val="24"/>
        </w:rPr>
        <w:br w:type="textWrapping"/>
      </w:r>
      <w:r>
        <w:rPr>
          <w:rFonts w:hint="eastAsia" w:ascii="宋体" w:hAnsi="宋体" w:eastAsia="宋体" w:cs="宋体"/>
          <w:b/>
          <w:bCs/>
          <w:kern w:val="2"/>
          <w:sz w:val="32"/>
          <w:szCs w:val="32"/>
          <w:lang w:val="en-US" w:eastAsia="zh-CN" w:bidi="ar-SA"/>
        </w:rPr>
        <w:t>五、代理费用：</w:t>
      </w:r>
      <w:r>
        <w:rPr>
          <w:rFonts w:hint="eastAsia" w:ascii="宋体" w:hAnsi="宋体" w:cs="宋体"/>
          <w:b/>
          <w:bCs/>
          <w:sz w:val="24"/>
        </w:rPr>
        <w:br w:type="textWrapping"/>
      </w:r>
      <w:r>
        <w:rPr>
          <w:rFonts w:hint="eastAsia" w:ascii="宋体" w:hAnsi="宋体" w:cs="宋体"/>
          <w:b/>
          <w:bCs/>
          <w:sz w:val="24"/>
          <w:lang w:val="en-US" w:eastAsia="zh-CN"/>
        </w:rPr>
        <w:t xml:space="preserve">   </w:t>
      </w:r>
      <w:r>
        <w:rPr>
          <w:rFonts w:hint="eastAsia" w:ascii="宋体" w:hAnsi="宋体" w:cs="宋体"/>
          <w:kern w:val="0"/>
          <w:sz w:val="24"/>
        </w:rPr>
        <w:t>本项目招标代理费：按浙价服[2003]77号文件（货物类）收费标准计取。</w:t>
      </w:r>
    </w:p>
    <w:p w14:paraId="2FD07325">
      <w:pPr>
        <w:widowControl/>
        <w:snapToGrid w:val="0"/>
        <w:spacing w:line="360" w:lineRule="auto"/>
        <w:rPr>
          <w:rFonts w:ascii="宋体" w:hAnsi="宋体" w:cs="宋体"/>
          <w:kern w:val="0"/>
          <w:sz w:val="24"/>
        </w:rPr>
      </w:pPr>
      <w:r>
        <w:rPr>
          <w:rFonts w:hint="eastAsia" w:ascii="宋体" w:hAnsi="宋体" w:cs="宋体"/>
          <w:kern w:val="0"/>
          <w:sz w:val="24"/>
        </w:rPr>
        <w:t>开标过程中产生的其他费用按实际支出收取；</w:t>
      </w:r>
    </w:p>
    <w:p w14:paraId="48056CEF">
      <w:pPr>
        <w:sectPr>
          <w:pgSz w:w="11910" w:h="16840"/>
          <w:pgMar w:top="1134" w:right="1344" w:bottom="1134" w:left="1304" w:header="0" w:footer="993" w:gutter="0"/>
          <w:cols w:space="0" w:num="1"/>
        </w:sectPr>
      </w:pPr>
      <w:r>
        <w:rPr>
          <w:rFonts w:hint="eastAsia" w:ascii="宋体" w:hAnsi="宋体" w:cs="宋体"/>
          <w:kern w:val="0"/>
          <w:sz w:val="24"/>
        </w:rPr>
        <w:t>以上费用均由中标单位在领取中标通知书时，一次性支付给代理公司，上述费用应含在投标报价中（不得单独列项），投标人在投标报价让利中考虑上述费用。</w:t>
      </w:r>
      <w:r>
        <w:rPr>
          <w:rFonts w:hint="eastAsia" w:ascii="宋体" w:hAnsi="宋体" w:cs="宋体"/>
          <w:b/>
          <w:bCs/>
          <w:sz w:val="24"/>
        </w:rPr>
        <w:br w:type="textWrapping"/>
      </w:r>
    </w:p>
    <w:bookmarkEnd w:id="0"/>
    <w:p w14:paraId="1BD077C8">
      <w:pPr>
        <w:snapToGrid w:val="0"/>
        <w:spacing w:line="360" w:lineRule="auto"/>
        <w:rPr>
          <w:rFonts w:ascii="宋体" w:hAnsi="宋体" w:cs="宋体"/>
          <w:sz w:val="24"/>
        </w:rPr>
      </w:pPr>
    </w:p>
    <w:p w14:paraId="7A1F260D">
      <w:pPr>
        <w:spacing w:line="360" w:lineRule="auto"/>
        <w:ind w:firstLine="480" w:firstLineChars="200"/>
        <w:jc w:val="left"/>
        <w:rPr>
          <w:rFonts w:ascii="宋体" w:hAnsi="宋体" w:cs="仿宋"/>
          <w:sz w:val="24"/>
          <w:highlight w:val="yellow"/>
        </w:rPr>
      </w:pPr>
    </w:p>
    <w:p w14:paraId="35586957">
      <w:pPr>
        <w:pStyle w:val="31"/>
        <w:numPr>
          <w:ilvl w:val="0"/>
          <w:numId w:val="10"/>
        </w:numPr>
        <w:adjustRightInd w:val="0"/>
        <w:snapToGrid w:val="0"/>
        <w:spacing w:after="0" w:line="360" w:lineRule="auto"/>
        <w:ind w:firstLine="0" w:firstLineChars="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投标人须知</w:t>
      </w:r>
    </w:p>
    <w:p w14:paraId="1DF02C5D">
      <w:pPr>
        <w:pStyle w:val="31"/>
        <w:adjustRightInd w:val="0"/>
        <w:snapToGrid w:val="0"/>
        <w:spacing w:after="0" w:line="360" w:lineRule="auto"/>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前附表</w:t>
      </w:r>
    </w:p>
    <w:tbl>
      <w:tblPr>
        <w:tblStyle w:val="33"/>
        <w:tblW w:w="99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068"/>
      </w:tblGrid>
      <w:tr w14:paraId="2D17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2" w:type="dxa"/>
            <w:vAlign w:val="center"/>
          </w:tcPr>
          <w:p w14:paraId="2CA08D06">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9068" w:type="dxa"/>
            <w:vAlign w:val="center"/>
          </w:tcPr>
          <w:p w14:paraId="5965ECA7">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内容、要求</w:t>
            </w:r>
          </w:p>
        </w:tc>
      </w:tr>
      <w:tr w14:paraId="71C0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72" w:type="dxa"/>
            <w:vAlign w:val="center"/>
          </w:tcPr>
          <w:p w14:paraId="6913840B">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9068" w:type="dxa"/>
            <w:vAlign w:val="center"/>
          </w:tcPr>
          <w:p w14:paraId="405EDDBF">
            <w:pPr>
              <w:rPr>
                <w:rFonts w:hint="eastAsia" w:asciiTheme="minorEastAsia" w:hAnsiTheme="minorEastAsia" w:eastAsiaTheme="minorEastAsia"/>
                <w:color w:val="000000"/>
                <w:sz w:val="24"/>
                <w:lang w:eastAsia="zh-CN"/>
              </w:rPr>
            </w:pPr>
            <w:r>
              <w:rPr>
                <w:rFonts w:hint="eastAsia" w:asciiTheme="minorEastAsia" w:hAnsiTheme="minorEastAsia" w:eastAsiaTheme="minorEastAsia"/>
                <w:sz w:val="24"/>
              </w:rPr>
              <w:t>项目名</w:t>
            </w:r>
            <w:r>
              <w:rPr>
                <w:rFonts w:hint="eastAsia" w:asciiTheme="minorEastAsia" w:hAnsiTheme="minorEastAsia" w:eastAsiaTheme="minorEastAsia"/>
                <w:color w:val="000000"/>
                <w:sz w:val="24"/>
              </w:rPr>
              <w:t>称：</w:t>
            </w:r>
            <w:r>
              <w:rPr>
                <w:rFonts w:hint="eastAsia" w:asciiTheme="minorEastAsia" w:hAnsiTheme="minorEastAsia" w:eastAsiaTheme="minorEastAsia"/>
                <w:b/>
                <w:bCs/>
                <w:sz w:val="24"/>
                <w:lang w:eastAsia="zh-CN"/>
              </w:rPr>
              <w:t>桐庐县非智能公交站牌（亭）提升改造项目</w:t>
            </w:r>
          </w:p>
        </w:tc>
      </w:tr>
      <w:tr w14:paraId="22D4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2" w:type="dxa"/>
            <w:vAlign w:val="center"/>
          </w:tcPr>
          <w:p w14:paraId="7B823E90">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9068" w:type="dxa"/>
            <w:vAlign w:val="center"/>
          </w:tcPr>
          <w:p w14:paraId="0556C606">
            <w:pPr>
              <w:rPr>
                <w:rFonts w:asciiTheme="minorEastAsia" w:hAnsiTheme="minorEastAsia" w:eastAsiaTheme="minorEastAsia"/>
                <w:sz w:val="24"/>
              </w:rPr>
            </w:pPr>
            <w:r>
              <w:rPr>
                <w:rFonts w:hint="eastAsia" w:asciiTheme="minorEastAsia" w:hAnsiTheme="minorEastAsia" w:eastAsiaTheme="minorEastAsia"/>
                <w:color w:val="000000"/>
                <w:sz w:val="24"/>
              </w:rPr>
              <w:t>采购数量及单位：详见招标需求。</w:t>
            </w:r>
          </w:p>
        </w:tc>
      </w:tr>
      <w:tr w14:paraId="03EC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2" w:type="dxa"/>
            <w:vAlign w:val="center"/>
          </w:tcPr>
          <w:p w14:paraId="7A70C463">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9068" w:type="dxa"/>
            <w:vAlign w:val="center"/>
          </w:tcPr>
          <w:p w14:paraId="182844A8">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投标报价及费用：1.本项目投标应以人民币报价；2.</w:t>
            </w:r>
            <w:r>
              <w:rPr>
                <w:rFonts w:hint="eastAsia" w:asciiTheme="minorEastAsia" w:hAnsiTheme="minorEastAsia" w:eastAsiaTheme="minorEastAsia"/>
                <w:sz w:val="24"/>
              </w:rPr>
              <w:t>不论投标结果如何，投标人均应自行承担所有与投标有关的全部费用。</w:t>
            </w:r>
          </w:p>
        </w:tc>
      </w:tr>
      <w:tr w14:paraId="3D0C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2" w:type="dxa"/>
            <w:vAlign w:val="center"/>
          </w:tcPr>
          <w:p w14:paraId="6C578485">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p>
        </w:tc>
        <w:tc>
          <w:tcPr>
            <w:tcW w:w="9068" w:type="dxa"/>
            <w:vAlign w:val="center"/>
          </w:tcPr>
          <w:p w14:paraId="6A2E83E0">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投标保证金：按照采购公告要求交纳。</w:t>
            </w:r>
          </w:p>
        </w:tc>
      </w:tr>
      <w:tr w14:paraId="622E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72" w:type="dxa"/>
            <w:vAlign w:val="center"/>
          </w:tcPr>
          <w:p w14:paraId="0540B5F9">
            <w:pPr>
              <w:snapToGrid w:val="0"/>
              <w:jc w:val="center"/>
              <w:rPr>
                <w:rFonts w:asciiTheme="minorEastAsia" w:hAnsiTheme="minorEastAsia" w:eastAsiaTheme="minorEastAsia"/>
                <w:color w:val="000000"/>
                <w:sz w:val="24"/>
              </w:rPr>
            </w:pPr>
            <w:r>
              <w:rPr>
                <w:rFonts w:hint="eastAsia" w:asciiTheme="minorEastAsia" w:hAnsiTheme="minorEastAsia" w:eastAsiaTheme="minorEastAsia"/>
                <w:sz w:val="24"/>
              </w:rPr>
              <w:t>5</w:t>
            </w:r>
          </w:p>
        </w:tc>
        <w:tc>
          <w:tcPr>
            <w:tcW w:w="9068" w:type="dxa"/>
            <w:vAlign w:val="center"/>
          </w:tcPr>
          <w:p w14:paraId="5217ADFB">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答疑与澄清：投标人如认为招标文件表述不清晰、存在歧视性或者其他违法内容的，应当于</w:t>
            </w:r>
            <w:r>
              <w:rPr>
                <w:rFonts w:hint="eastAsia" w:asciiTheme="minorEastAsia" w:hAnsiTheme="minorEastAsia" w:eastAsiaTheme="minorEastAsia"/>
                <w:b/>
                <w:bCs/>
                <w:color w:val="FF0000"/>
                <w:sz w:val="24"/>
                <w:lang w:eastAsia="zh-CN"/>
              </w:rPr>
              <w:t>开标日期</w:t>
            </w:r>
            <w:r>
              <w:rPr>
                <w:rFonts w:hint="eastAsia" w:asciiTheme="minorEastAsia" w:hAnsiTheme="minorEastAsia" w:eastAsiaTheme="minorEastAsia"/>
                <w:b/>
                <w:bCs/>
                <w:color w:val="FF0000"/>
                <w:sz w:val="24"/>
              </w:rPr>
              <w:t>前</w:t>
            </w:r>
            <w:r>
              <w:rPr>
                <w:rFonts w:hint="eastAsia" w:asciiTheme="minorEastAsia" w:hAnsiTheme="minorEastAsia" w:eastAsiaTheme="minorEastAsia"/>
                <w:b/>
                <w:bCs/>
                <w:color w:val="FF0000"/>
                <w:sz w:val="24"/>
                <w:lang w:val="en-US" w:eastAsia="zh-CN"/>
              </w:rPr>
              <w:t>15日</w:t>
            </w:r>
            <w:r>
              <w:rPr>
                <w:rFonts w:hint="eastAsia" w:asciiTheme="minorEastAsia" w:hAnsiTheme="minorEastAsia" w:eastAsiaTheme="minorEastAsia"/>
                <w:sz w:val="24"/>
              </w:rPr>
              <w:t>，以书面形式要求采购机构或采购人作出书面解释、澄清或者向采购机构提出书面质疑，逾期不再受理；如有投标人提出质疑的，采购机构视情况将以答复；答疑内容是招标文件的组成部分，将在提交投标文件截止时间15日前，</w:t>
            </w:r>
            <w:r>
              <w:rPr>
                <w:rFonts w:hint="eastAsia" w:asciiTheme="minorEastAsia" w:hAnsiTheme="minorEastAsia" w:eastAsiaTheme="minorEastAsia"/>
                <w:sz w:val="24"/>
                <w:highlight w:val="yellow"/>
              </w:rPr>
              <w:t>在</w:t>
            </w:r>
            <w:r>
              <w:rPr>
                <w:rFonts w:hint="eastAsia" w:asciiTheme="minorEastAsia" w:hAnsiTheme="minorEastAsia" w:eastAsiaTheme="minorEastAsia"/>
                <w:sz w:val="24"/>
                <w:highlight w:val="yellow"/>
                <w:lang w:eastAsia="zh-CN"/>
              </w:rPr>
              <w:t>乐采云政企采购</w:t>
            </w:r>
            <w:r>
              <w:rPr>
                <w:rFonts w:hint="eastAsia" w:asciiTheme="minorEastAsia" w:hAnsiTheme="minorEastAsia" w:eastAsiaTheme="minorEastAsia"/>
                <w:sz w:val="24"/>
                <w:highlight w:val="yellow"/>
              </w:rPr>
              <w:t>网（https://</w:t>
            </w:r>
            <w:r>
              <w:rPr>
                <w:rFonts w:hint="eastAsia" w:asciiTheme="minorEastAsia" w:hAnsiTheme="minorEastAsia" w:eastAsiaTheme="minorEastAsia"/>
                <w:sz w:val="24"/>
                <w:highlight w:val="yellow"/>
                <w:lang w:eastAsia="zh-CN"/>
              </w:rPr>
              <w:t>www.lecaiyun.com</w:t>
            </w:r>
            <w:r>
              <w:rPr>
                <w:rFonts w:hint="eastAsia" w:asciiTheme="minorEastAsia" w:hAnsiTheme="minorEastAsia" w:eastAsiaTheme="minorEastAsia"/>
                <w:sz w:val="24"/>
                <w:highlight w:val="yellow"/>
              </w:rPr>
              <w:t>/）上发布更正公告，在开标前，</w:t>
            </w:r>
            <w:r>
              <w:rPr>
                <w:rFonts w:hint="eastAsia" w:asciiTheme="minorEastAsia" w:hAnsiTheme="minorEastAsia" w:eastAsiaTheme="minorEastAsia"/>
                <w:sz w:val="24"/>
              </w:rPr>
              <w:t>请投标人自行到网上查看和下载，投标人因漏看带来的后果由投标人自行承担。</w:t>
            </w:r>
          </w:p>
        </w:tc>
      </w:tr>
      <w:tr w14:paraId="2882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22FBA8E7">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p>
        </w:tc>
        <w:tc>
          <w:tcPr>
            <w:tcW w:w="9068" w:type="dxa"/>
            <w:vAlign w:val="center"/>
          </w:tcPr>
          <w:p w14:paraId="4098159A">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投标文件组成：</w:t>
            </w:r>
            <w:r>
              <w:rPr>
                <w:rFonts w:hint="eastAsia" w:asciiTheme="minorEastAsia" w:hAnsiTheme="minorEastAsia" w:eastAsiaTheme="minorEastAsia"/>
                <w:b/>
                <w:bCs/>
                <w:sz w:val="24"/>
              </w:rPr>
              <w:t>“资格文件”“商务技术文件”和“报价文件”</w:t>
            </w:r>
            <w:r>
              <w:rPr>
                <w:rFonts w:hint="eastAsia" w:asciiTheme="minorEastAsia" w:hAnsiTheme="minorEastAsia" w:eastAsiaTheme="minorEastAsia"/>
                <w:color w:val="000000"/>
                <w:sz w:val="24"/>
              </w:rPr>
              <w:t>三部分组成。</w:t>
            </w:r>
          </w:p>
        </w:tc>
      </w:tr>
      <w:tr w14:paraId="2F3F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7A0DC00B">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w:t>
            </w:r>
          </w:p>
        </w:tc>
        <w:tc>
          <w:tcPr>
            <w:tcW w:w="9068" w:type="dxa"/>
            <w:vAlign w:val="center"/>
          </w:tcPr>
          <w:p w14:paraId="6FEF6E28">
            <w:pPr>
              <w:autoSpaceDE w:val="0"/>
              <w:autoSpaceDN w:val="0"/>
              <w:snapToGrid w:val="0"/>
              <w:textAlignment w:val="bottom"/>
              <w:rPr>
                <w:rFonts w:asciiTheme="minorEastAsia" w:hAnsiTheme="minorEastAsia" w:eastAsiaTheme="minorEastAsia"/>
                <w:b/>
                <w:color w:val="FF0000"/>
                <w:sz w:val="24"/>
              </w:rPr>
            </w:pPr>
            <w:r>
              <w:rPr>
                <w:rFonts w:hint="eastAsia" w:asciiTheme="minorEastAsia" w:hAnsiTheme="minorEastAsia" w:eastAsiaTheme="minorEastAsia"/>
                <w:b/>
                <w:color w:val="FF0000"/>
                <w:sz w:val="24"/>
              </w:rPr>
              <w:t>投标文件的签章按照采购文件要求签章。</w:t>
            </w:r>
          </w:p>
        </w:tc>
      </w:tr>
      <w:tr w14:paraId="3E09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2DE80059">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w:t>
            </w:r>
          </w:p>
        </w:tc>
        <w:tc>
          <w:tcPr>
            <w:tcW w:w="9068" w:type="dxa"/>
            <w:vAlign w:val="center"/>
          </w:tcPr>
          <w:p w14:paraId="28728BFE">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投标文件的编制：供应商应先安装“</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电子交易客户端”，并按照本招标文件和“</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”的要求，通过“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电子交易客户端”编制并加密投标文件。</w:t>
            </w:r>
          </w:p>
        </w:tc>
      </w:tr>
      <w:tr w14:paraId="01E2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62875B0A">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w:t>
            </w:r>
          </w:p>
        </w:tc>
        <w:tc>
          <w:tcPr>
            <w:tcW w:w="9068" w:type="dxa"/>
            <w:vAlign w:val="center"/>
          </w:tcPr>
          <w:p w14:paraId="36C82EFA">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投标文件的形式：电子投标文件（包括“电子加密投标文件”和“备份投标文件”，在投标文件编制完成后同时生成）；</w:t>
            </w:r>
          </w:p>
          <w:p w14:paraId="17533F43">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（1）“电子加密投标文件”是指通过“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电子交易客户端”完成投标文件编制后生成并加密的数据电文形式的投标文件。</w:t>
            </w:r>
          </w:p>
          <w:p w14:paraId="549B698A">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（2）“备份投标文件”是指与“电子加密投标文件”同时生成的数据电文形式的电子文件（备份标书），其他方式编制的备份投标文件视为无效备份投标文件。</w:t>
            </w:r>
          </w:p>
        </w:tc>
      </w:tr>
      <w:tr w14:paraId="09A4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66AD9942">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w:t>
            </w:r>
          </w:p>
        </w:tc>
        <w:tc>
          <w:tcPr>
            <w:tcW w:w="9068" w:type="dxa"/>
            <w:vAlign w:val="center"/>
          </w:tcPr>
          <w:p w14:paraId="46080B77">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投标文件份数：（1）“电子加密投标文件”：在线上传递交、一份。（2）“备份投标文件”：密封包装后（邮寄形式）投标截止时间前递交、一份。</w:t>
            </w:r>
            <w:r>
              <w:rPr>
                <w:rFonts w:hint="eastAsia" w:ascii="宋体" w:hAnsi="宋体" w:cs="宋体"/>
                <w:b/>
                <w:sz w:val="24"/>
              </w:rPr>
              <w:t>（但采购人、采购机构不强制或变相强制投标人提交备份磋商响应文件</w:t>
            </w:r>
            <w:r>
              <w:rPr>
                <w:rFonts w:hint="eastAsia" w:ascii="宋体" w:hAnsi="宋体" w:cs="宋体"/>
                <w:sz w:val="24"/>
              </w:rPr>
              <w:t>）</w:t>
            </w:r>
          </w:p>
          <w:p w14:paraId="2C9CCAD9">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（邮寄地址：桐庐县迎春南路88号桦桐大厦20楼孙鸣收）</w:t>
            </w:r>
          </w:p>
        </w:tc>
      </w:tr>
      <w:tr w14:paraId="7BA4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 w:type="dxa"/>
            <w:vAlign w:val="center"/>
          </w:tcPr>
          <w:p w14:paraId="4864FBFE">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w:t>
            </w:r>
          </w:p>
        </w:tc>
        <w:tc>
          <w:tcPr>
            <w:tcW w:w="9068" w:type="dxa"/>
            <w:vAlign w:val="center"/>
          </w:tcPr>
          <w:p w14:paraId="2956A0CA">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投标文件的上传和递交：</w:t>
            </w:r>
          </w:p>
          <w:p w14:paraId="780AEB85">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（1）“电子加密投标文件”的上传、递交：</w:t>
            </w:r>
          </w:p>
          <w:p w14:paraId="05B5CF88">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a.投标供应商应在投标截止时间前将“电子加密投标文件”成功上传递交至“</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”，否则投标无效。</w:t>
            </w:r>
          </w:p>
          <w:p w14:paraId="291E31F8">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b.“电子加密投标文件”成功上传递交后，供应商可自行打印投标文件接收回执。</w:t>
            </w:r>
          </w:p>
          <w:p w14:paraId="75372452">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（2）“备份投标文件”的密封包装、递交：</w:t>
            </w:r>
          </w:p>
          <w:p w14:paraId="71E5D578">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a.投标供应商在“</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”完成“电子加密投标文件”的上传递交后，还可以（邮寄形式）在投标截止时间前递交以介质（U盘）存储的 “备份投标文件”（一份）；</w:t>
            </w:r>
          </w:p>
          <w:p w14:paraId="7C7CE2D8">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b.“备份投标文件”应当密封包装，并在包装上标注投标项目名称、投标单位名称并加盖公章。没有密封包装或者逾期邮寄送达至投标地点的“备份投标文件”将不予接收；</w:t>
            </w:r>
          </w:p>
          <w:p w14:paraId="4AF97298">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c.通过“</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”成功上传递交的“电子加密投标文件”已按时解密的，“备份投标文件”自动失效。投标截止时间前，投标供应商仅递交了“备份投标文件”而</w:t>
            </w:r>
          </w:p>
          <w:p w14:paraId="65E00FC2">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未将“电子加密投标文件”成功上传至“</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”的，投标无效。</w:t>
            </w:r>
          </w:p>
        </w:tc>
      </w:tr>
      <w:tr w14:paraId="2CAD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2" w:type="dxa"/>
            <w:vAlign w:val="center"/>
          </w:tcPr>
          <w:p w14:paraId="058E45F6">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w:t>
            </w:r>
          </w:p>
        </w:tc>
        <w:tc>
          <w:tcPr>
            <w:tcW w:w="9068" w:type="dxa"/>
            <w:vAlign w:val="center"/>
          </w:tcPr>
          <w:p w14:paraId="3AD90628">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电子加密投标文件的解密和异常情况处理：</w:t>
            </w:r>
          </w:p>
          <w:p w14:paraId="2991ADCC">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（1）开标后，采购组织机构将向各投标供应商发出“电子加密投标文件”的解密通知，各投标供应商代表应当在接到解密通知后30分钟内自行完成“电子加密投标文件”的在线解密。</w:t>
            </w:r>
          </w:p>
          <w:p w14:paraId="1AAFA648">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（2）通过“</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”成功上传递交的“电子加密投标文件”无法按时解密，投标供应商如按规定递交了“备份投标文件”的，以“备份投标文件”为依据（由采购组织机构按“</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”操作规范将“备份投标文件”上传至“</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”，上传成功后，“电子加密投标文件”自动失效），否则视为投标文件撤回。</w:t>
            </w:r>
          </w:p>
          <w:p w14:paraId="7567E8B7">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（3）投标截止时间前，投标供应商仅递交了“备份投标文件”而未将电子加密投标文件上传至“</w:t>
            </w:r>
            <w:r>
              <w:rPr>
                <w:rFonts w:hint="eastAsia" w:asciiTheme="minorEastAsia" w:hAnsiTheme="minorEastAsia" w:eastAsiaTheme="minorEastAsia"/>
                <w:color w:val="000000"/>
                <w:sz w:val="24"/>
                <w:lang w:eastAsia="zh-CN"/>
              </w:rPr>
              <w:t>乐采云平台</w:t>
            </w:r>
            <w:r>
              <w:rPr>
                <w:rFonts w:hint="eastAsia" w:asciiTheme="minorEastAsia" w:hAnsiTheme="minorEastAsia" w:eastAsiaTheme="minorEastAsia"/>
                <w:color w:val="000000"/>
                <w:sz w:val="24"/>
              </w:rPr>
              <w:t>”的，投标无效。</w:t>
            </w:r>
          </w:p>
        </w:tc>
      </w:tr>
      <w:tr w14:paraId="0C3B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72" w:type="dxa"/>
            <w:vAlign w:val="center"/>
          </w:tcPr>
          <w:p w14:paraId="1BF02A18">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9068" w:type="dxa"/>
            <w:vAlign w:val="center"/>
          </w:tcPr>
          <w:p w14:paraId="34A78AD0">
            <w:pPr>
              <w:autoSpaceDE w:val="0"/>
              <w:autoSpaceDN w:val="0"/>
              <w:snapToGrid w:val="0"/>
              <w:textAlignment w:val="bottom"/>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10"/>
                <w:sz w:val="24"/>
              </w:rPr>
              <w:t>潜在供应商需在</w:t>
            </w:r>
            <w:r>
              <w:rPr>
                <w:rFonts w:hint="eastAsia" w:cs="宋体" w:asciiTheme="minorEastAsia" w:hAnsiTheme="minorEastAsia" w:eastAsiaTheme="minorEastAsia"/>
                <w:b/>
                <w:color w:val="000000"/>
                <w:kern w:val="10"/>
                <w:sz w:val="24"/>
                <w:lang w:eastAsia="zh-CN"/>
              </w:rPr>
              <w:t>乐采云政企采购网</w:t>
            </w:r>
            <w:r>
              <w:rPr>
                <w:rFonts w:hint="eastAsia" w:cs="宋体" w:asciiTheme="minorEastAsia" w:hAnsiTheme="minorEastAsia" w:eastAsiaTheme="minorEastAsia"/>
                <w:b/>
                <w:color w:val="000000"/>
                <w:kern w:val="10"/>
                <w:sz w:val="24"/>
              </w:rPr>
              <w:drawing>
                <wp:inline distT="0" distB="0" distL="0" distR="0">
                  <wp:extent cx="190500" cy="142875"/>
                  <wp:effectExtent l="19050" t="0" r="0" b="0"/>
                  <wp:docPr id="1027" name="图片 1" descr="IMG_257"/>
                  <wp:cNvGraphicFramePr/>
                  <a:graphic xmlns:a="http://schemas.openxmlformats.org/drawingml/2006/main">
                    <a:graphicData uri="http://schemas.openxmlformats.org/drawingml/2006/picture">
                      <pic:pic xmlns:pic="http://schemas.openxmlformats.org/drawingml/2006/picture">
                        <pic:nvPicPr>
                          <pic:cNvPr id="1027" name="图片 1" descr="IMG_257"/>
                          <pic:cNvPicPr/>
                        </pic:nvPicPr>
                        <pic:blipFill>
                          <a:blip r:embed="rId24" cstate="print"/>
                          <a:srcRect/>
                          <a:stretch>
                            <a:fillRect/>
                          </a:stretch>
                        </pic:blipFill>
                        <pic:spPr>
                          <a:xfrm>
                            <a:off x="0" y="0"/>
                            <a:ext cx="190500" cy="142875"/>
                          </a:xfrm>
                          <a:prstGeom prst="rect">
                            <a:avLst/>
                          </a:prstGeom>
                          <a:ln>
                            <a:noFill/>
                          </a:ln>
                        </pic:spPr>
                      </pic:pic>
                    </a:graphicData>
                  </a:graphic>
                </wp:inline>
              </w:drawing>
            </w:r>
            <w:r>
              <w:rPr>
                <w:rFonts w:hint="eastAsia" w:cs="宋体" w:asciiTheme="minorEastAsia" w:hAnsiTheme="minorEastAsia" w:eastAsiaTheme="minorEastAsia"/>
                <w:b/>
                <w:color w:val="000000"/>
                <w:kern w:val="10"/>
                <w:sz w:val="24"/>
              </w:rPr>
              <w:t>http://</w:t>
            </w:r>
            <w:r>
              <w:rPr>
                <w:rFonts w:hint="eastAsia" w:cs="宋体" w:asciiTheme="minorEastAsia" w:hAnsiTheme="minorEastAsia" w:eastAsiaTheme="minorEastAsia"/>
                <w:b/>
                <w:color w:val="000000"/>
                <w:kern w:val="10"/>
                <w:sz w:val="24"/>
                <w:lang w:eastAsia="zh-CN"/>
              </w:rPr>
              <w:t>www.lecaiyun.com</w:t>
            </w:r>
            <w:r>
              <w:rPr>
                <w:rFonts w:hint="eastAsia" w:cs="宋体" w:asciiTheme="minorEastAsia" w:hAnsiTheme="minorEastAsia" w:eastAsiaTheme="minorEastAsia"/>
                <w:b/>
                <w:color w:val="000000"/>
                <w:kern w:val="10"/>
                <w:sz w:val="24"/>
              </w:rPr>
              <w:t>/进行免费注册，具体详见</w:t>
            </w:r>
            <w:r>
              <w:rPr>
                <w:rFonts w:hint="eastAsia" w:cs="宋体" w:asciiTheme="minorEastAsia" w:hAnsiTheme="minorEastAsia" w:eastAsiaTheme="minorEastAsia"/>
                <w:b/>
                <w:color w:val="000000"/>
                <w:kern w:val="10"/>
                <w:sz w:val="24"/>
                <w:lang w:eastAsia="zh-CN"/>
              </w:rPr>
              <w:t>乐采云政企采购网</w:t>
            </w:r>
            <w:r>
              <w:rPr>
                <w:rFonts w:hint="eastAsia" w:cs="宋体" w:asciiTheme="minorEastAsia" w:hAnsiTheme="minorEastAsia" w:eastAsiaTheme="minorEastAsia"/>
                <w:b/>
                <w:color w:val="000000"/>
                <w:kern w:val="10"/>
                <w:sz w:val="24"/>
              </w:rPr>
              <w:t>供应商注册要求。</w:t>
            </w:r>
          </w:p>
        </w:tc>
      </w:tr>
      <w:tr w14:paraId="7EA1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72" w:type="dxa"/>
            <w:vAlign w:val="center"/>
          </w:tcPr>
          <w:p w14:paraId="5106ECE9">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w:t>
            </w:r>
          </w:p>
        </w:tc>
        <w:tc>
          <w:tcPr>
            <w:tcW w:w="9068" w:type="dxa"/>
            <w:vAlign w:val="center"/>
          </w:tcPr>
          <w:p w14:paraId="531BA8BB">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投标截止时间：</w:t>
            </w:r>
            <w:r>
              <w:rPr>
                <w:rFonts w:hint="eastAsia" w:asciiTheme="minorEastAsia" w:hAnsiTheme="minorEastAsia" w:eastAsiaTheme="minorEastAsia"/>
                <w:b/>
                <w:bCs/>
                <w:color w:val="FF0000"/>
                <w:sz w:val="24"/>
                <w:lang w:eastAsia="zh-CN"/>
              </w:rPr>
              <w:t>2025年07月02日10时00分</w:t>
            </w:r>
            <w:r>
              <w:rPr>
                <w:rFonts w:hint="eastAsia" w:asciiTheme="minorEastAsia" w:hAnsiTheme="minorEastAsia" w:eastAsiaTheme="minorEastAsia"/>
                <w:sz w:val="24"/>
              </w:rPr>
              <w:t>。</w:t>
            </w:r>
          </w:p>
          <w:p w14:paraId="1A9DD2F2">
            <w:pPr>
              <w:snapToGrid w:val="0"/>
              <w:spacing w:line="360" w:lineRule="auto"/>
              <w:rPr>
                <w:rFonts w:asciiTheme="minorEastAsia" w:hAnsiTheme="minorEastAsia" w:eastAsiaTheme="minorEastAsia"/>
                <w:color w:val="000000"/>
                <w:sz w:val="24"/>
              </w:rPr>
            </w:pPr>
            <w:r>
              <w:rPr>
                <w:rFonts w:hint="eastAsia" w:cs="华文中宋" w:asciiTheme="minorEastAsia" w:hAnsiTheme="minorEastAsia" w:eastAsiaTheme="minorEastAsia"/>
                <w:color w:val="FF0000"/>
                <w:sz w:val="24"/>
              </w:rPr>
              <w:t>通过</w:t>
            </w:r>
            <w:r>
              <w:rPr>
                <w:rFonts w:hint="eastAsia" w:cs="华文中宋" w:asciiTheme="minorEastAsia" w:hAnsiTheme="minorEastAsia" w:eastAsiaTheme="minorEastAsia"/>
                <w:color w:val="FF0000"/>
                <w:sz w:val="24"/>
                <w:lang w:eastAsia="zh-CN"/>
              </w:rPr>
              <w:t>乐采云政企采购网乐采云平台</w:t>
            </w:r>
            <w:r>
              <w:rPr>
                <w:rFonts w:hint="eastAsia" w:cs="华文中宋" w:asciiTheme="minorEastAsia" w:hAnsiTheme="minorEastAsia" w:eastAsiaTheme="minorEastAsia"/>
                <w:color w:val="FF0000"/>
                <w:sz w:val="24"/>
              </w:rPr>
              <w:t>实行在线投标响应。</w:t>
            </w:r>
          </w:p>
        </w:tc>
      </w:tr>
      <w:tr w14:paraId="27CC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 w:type="dxa"/>
            <w:vAlign w:val="center"/>
          </w:tcPr>
          <w:p w14:paraId="0E3750BF">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15</w:t>
            </w:r>
          </w:p>
        </w:tc>
        <w:tc>
          <w:tcPr>
            <w:tcW w:w="9068" w:type="dxa"/>
            <w:vAlign w:val="center"/>
          </w:tcPr>
          <w:p w14:paraId="751B6062">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开标时间及地点：</w:t>
            </w:r>
            <w:r>
              <w:rPr>
                <w:rFonts w:hint="eastAsia" w:cs="Arial" w:asciiTheme="minorEastAsia" w:hAnsiTheme="minorEastAsia" w:eastAsiaTheme="minorEastAsia"/>
                <w:sz w:val="24"/>
              </w:rPr>
              <w:t>本次招标将于</w:t>
            </w:r>
            <w:r>
              <w:rPr>
                <w:rFonts w:hint="eastAsia" w:asciiTheme="minorEastAsia" w:hAnsiTheme="minorEastAsia" w:eastAsiaTheme="minorEastAsia"/>
                <w:b/>
                <w:bCs/>
                <w:color w:val="FF0000"/>
                <w:sz w:val="24"/>
                <w:lang w:eastAsia="zh-CN"/>
              </w:rPr>
              <w:t>2025年07月02日10时00分</w:t>
            </w:r>
            <w:r>
              <w:rPr>
                <w:rFonts w:hint="eastAsia" w:cs="Arial" w:asciiTheme="minorEastAsia" w:hAnsiTheme="minorEastAsia" w:eastAsiaTheme="minorEastAsia"/>
                <w:sz w:val="24"/>
                <w:lang w:eastAsia="zh-CN"/>
              </w:rPr>
              <w:t>乐采云</w:t>
            </w:r>
            <w:r>
              <w:rPr>
                <w:rFonts w:hint="eastAsia" w:cs="Arial" w:asciiTheme="minorEastAsia" w:hAnsiTheme="minorEastAsia" w:eastAsiaTheme="minorEastAsia"/>
                <w:sz w:val="24"/>
              </w:rPr>
              <w:t>在线开标。</w:t>
            </w:r>
          </w:p>
        </w:tc>
      </w:tr>
      <w:tr w14:paraId="0947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72" w:type="dxa"/>
            <w:vAlign w:val="center"/>
          </w:tcPr>
          <w:p w14:paraId="4977F2CD">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16</w:t>
            </w:r>
          </w:p>
        </w:tc>
        <w:tc>
          <w:tcPr>
            <w:tcW w:w="9068" w:type="dxa"/>
            <w:vAlign w:val="center"/>
          </w:tcPr>
          <w:p w14:paraId="388E51E8">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评标办法及标准：按照招标文件评标办法及评分标准。</w:t>
            </w:r>
          </w:p>
        </w:tc>
      </w:tr>
      <w:tr w14:paraId="5684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2" w:type="dxa"/>
            <w:vAlign w:val="center"/>
          </w:tcPr>
          <w:p w14:paraId="008981C0">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17</w:t>
            </w:r>
          </w:p>
        </w:tc>
        <w:tc>
          <w:tcPr>
            <w:tcW w:w="9068" w:type="dxa"/>
            <w:vAlign w:val="center"/>
          </w:tcPr>
          <w:p w14:paraId="39F892A9">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中标（成交）公告：采购人确定中标人后，在</w:t>
            </w:r>
            <w:r>
              <w:rPr>
                <w:rFonts w:hint="eastAsia" w:asciiTheme="minorEastAsia" w:hAnsiTheme="minorEastAsia" w:eastAsiaTheme="minorEastAsia"/>
                <w:sz w:val="24"/>
                <w:lang w:eastAsia="zh-CN"/>
              </w:rPr>
              <w:t>乐采云政企采购网</w:t>
            </w:r>
            <w:r>
              <w:rPr>
                <w:rFonts w:hint="eastAsia" w:asciiTheme="minorEastAsia" w:hAnsiTheme="minorEastAsia" w:eastAsiaTheme="minorEastAsia"/>
                <w:sz w:val="24"/>
              </w:rPr>
              <w:t>（http://</w:t>
            </w:r>
            <w:r>
              <w:rPr>
                <w:rFonts w:hint="eastAsia" w:asciiTheme="minorEastAsia" w:hAnsiTheme="minorEastAsia" w:eastAsiaTheme="minorEastAsia"/>
                <w:sz w:val="24"/>
                <w:lang w:eastAsia="zh-CN"/>
              </w:rPr>
              <w:t>www.lecaiyun.com</w:t>
            </w:r>
            <w:r>
              <w:rPr>
                <w:rFonts w:hint="eastAsia" w:asciiTheme="minorEastAsia" w:hAnsiTheme="minorEastAsia" w:eastAsiaTheme="minorEastAsia"/>
                <w:sz w:val="24"/>
              </w:rPr>
              <w:t>/）上进行1个工作日的中标（成交）公告。</w:t>
            </w:r>
          </w:p>
        </w:tc>
      </w:tr>
      <w:tr w14:paraId="044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72" w:type="dxa"/>
            <w:vAlign w:val="center"/>
          </w:tcPr>
          <w:p w14:paraId="4F5899A1">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18</w:t>
            </w:r>
          </w:p>
        </w:tc>
        <w:tc>
          <w:tcPr>
            <w:tcW w:w="9068" w:type="dxa"/>
            <w:vAlign w:val="center"/>
          </w:tcPr>
          <w:p w14:paraId="549A8CAC">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中标（成交）通知书：成交结果在中标（成交）公告时，代理机构以书面形式发出《成交通知书》。</w:t>
            </w:r>
          </w:p>
        </w:tc>
      </w:tr>
      <w:tr w14:paraId="3830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2" w:type="dxa"/>
            <w:vAlign w:val="center"/>
          </w:tcPr>
          <w:p w14:paraId="3FE534D1">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19</w:t>
            </w:r>
          </w:p>
        </w:tc>
        <w:tc>
          <w:tcPr>
            <w:tcW w:w="9068" w:type="dxa"/>
            <w:vAlign w:val="center"/>
          </w:tcPr>
          <w:p w14:paraId="533D9506">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签订合同：中标通知书发出后</w:t>
            </w:r>
            <w:r>
              <w:rPr>
                <w:rFonts w:hint="eastAsia" w:asciiTheme="minorEastAsia" w:hAnsiTheme="minorEastAsia" w:eastAsiaTheme="minorEastAsia"/>
                <w:sz w:val="24"/>
              </w:rPr>
              <w:t>30</w:t>
            </w:r>
            <w:r>
              <w:rPr>
                <w:rFonts w:hint="eastAsia" w:asciiTheme="minorEastAsia" w:hAnsiTheme="minorEastAsia" w:eastAsiaTheme="minorEastAsia"/>
                <w:color w:val="000000"/>
                <w:sz w:val="24"/>
              </w:rPr>
              <w:t>日内。</w:t>
            </w:r>
          </w:p>
        </w:tc>
      </w:tr>
      <w:tr w14:paraId="5287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72" w:type="dxa"/>
            <w:vAlign w:val="center"/>
          </w:tcPr>
          <w:p w14:paraId="4B275A86">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20</w:t>
            </w:r>
          </w:p>
        </w:tc>
        <w:tc>
          <w:tcPr>
            <w:tcW w:w="9068" w:type="dxa"/>
            <w:vAlign w:val="center"/>
          </w:tcPr>
          <w:p w14:paraId="59FA6C56">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投标文件有效期：</w:t>
            </w:r>
            <w:r>
              <w:rPr>
                <w:rFonts w:hint="eastAsia" w:cs="Arial" w:asciiTheme="minorEastAsia" w:hAnsiTheme="minorEastAsia" w:eastAsiaTheme="minorEastAsia"/>
                <w:color w:val="000000"/>
                <w:sz w:val="24"/>
                <w:u w:val="single"/>
              </w:rPr>
              <w:t>90</w:t>
            </w:r>
            <w:r>
              <w:rPr>
                <w:rFonts w:hint="eastAsia" w:cs="Arial" w:asciiTheme="minorEastAsia" w:hAnsiTheme="minorEastAsia" w:eastAsiaTheme="minorEastAsia"/>
                <w:color w:val="000000"/>
                <w:sz w:val="24"/>
              </w:rPr>
              <w:t xml:space="preserve"> 天。</w:t>
            </w:r>
          </w:p>
        </w:tc>
      </w:tr>
      <w:tr w14:paraId="1C58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72" w:type="dxa"/>
            <w:vAlign w:val="center"/>
          </w:tcPr>
          <w:p w14:paraId="2CD9E82C">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21</w:t>
            </w:r>
          </w:p>
        </w:tc>
        <w:tc>
          <w:tcPr>
            <w:tcW w:w="9068" w:type="dxa"/>
            <w:vAlign w:val="center"/>
          </w:tcPr>
          <w:p w14:paraId="1E59AF4B">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解释：本招标文件的解释权属于招标采购单位。</w:t>
            </w:r>
          </w:p>
        </w:tc>
      </w:tr>
      <w:tr w14:paraId="0822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2" w:type="dxa"/>
            <w:vAlign w:val="center"/>
          </w:tcPr>
          <w:p w14:paraId="6379AA40">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22</w:t>
            </w:r>
          </w:p>
        </w:tc>
        <w:tc>
          <w:tcPr>
            <w:tcW w:w="9068" w:type="dxa"/>
            <w:vAlign w:val="center"/>
          </w:tcPr>
          <w:p w14:paraId="06BF1878">
            <w:pPr>
              <w:snapToGrid w:val="0"/>
              <w:rPr>
                <w:rFonts w:asciiTheme="minorEastAsia" w:hAnsiTheme="minorEastAsia" w:eastAsiaTheme="minorEastAsia"/>
                <w:sz w:val="24"/>
              </w:rPr>
            </w:pPr>
            <w:r>
              <w:rPr>
                <w:rFonts w:hint="eastAsia" w:asciiTheme="minorEastAsia" w:hAnsiTheme="minorEastAsia" w:eastAsiaTheme="minorEastAsia"/>
                <w:b/>
                <w:color w:val="FF0000"/>
                <w:sz w:val="24"/>
              </w:rPr>
              <w:t>本次招标设定最高限价，最高限价为人民币：</w:t>
            </w:r>
            <w:r>
              <w:rPr>
                <w:rFonts w:hint="eastAsia" w:asciiTheme="minorEastAsia" w:hAnsiTheme="minorEastAsia" w:eastAsiaTheme="minorEastAsia"/>
                <w:b/>
                <w:color w:val="FF0000"/>
                <w:sz w:val="24"/>
                <w:u w:val="single"/>
                <w:lang w:val="en-US" w:eastAsia="zh-CN"/>
              </w:rPr>
              <w:t>962.5536万元</w:t>
            </w:r>
            <w:r>
              <w:rPr>
                <w:rFonts w:hint="eastAsia" w:asciiTheme="minorEastAsia" w:hAnsiTheme="minorEastAsia" w:eastAsiaTheme="minorEastAsia"/>
                <w:b/>
                <w:color w:val="FF0000"/>
                <w:sz w:val="24"/>
              </w:rPr>
              <w:t>。</w:t>
            </w:r>
          </w:p>
        </w:tc>
      </w:tr>
    </w:tbl>
    <w:p w14:paraId="7BFA0708">
      <w:pPr>
        <w:pStyle w:val="18"/>
        <w:snapToGrid w:val="0"/>
        <w:spacing w:before="120" w:after="120"/>
        <w:ind w:firstLine="482" w:firstLineChars="200"/>
        <w:rPr>
          <w:rFonts w:asciiTheme="minorEastAsia" w:hAnsiTheme="minorEastAsia" w:eastAsiaTheme="minorEastAsia"/>
          <w:b/>
          <w:sz w:val="24"/>
        </w:rPr>
      </w:pPr>
      <w:bookmarkStart w:id="1" w:name="_Toc91899903"/>
      <w:r>
        <w:rPr>
          <w:rFonts w:hint="eastAsia" w:asciiTheme="minorEastAsia" w:hAnsiTheme="minorEastAsia" w:eastAsiaTheme="minorEastAsia"/>
          <w:b/>
          <w:sz w:val="24"/>
        </w:rPr>
        <w:t>一、总  则</w:t>
      </w:r>
    </w:p>
    <w:p w14:paraId="3D385F2A">
      <w:pPr>
        <w:tabs>
          <w:tab w:val="left" w:pos="360"/>
          <w:tab w:val="left" w:pos="540"/>
          <w:tab w:val="left" w:pos="720"/>
        </w:tabs>
        <w:snapToGrid w:val="0"/>
        <w:ind w:firstLine="482" w:firstLineChars="200"/>
        <w:jc w:val="left"/>
        <w:outlineLvl w:val="1"/>
        <w:rPr>
          <w:rFonts w:asciiTheme="minorEastAsia" w:hAnsiTheme="minorEastAsia" w:eastAsiaTheme="minorEastAsia"/>
          <w:b/>
          <w:color w:val="000000"/>
          <w:sz w:val="24"/>
        </w:rPr>
      </w:pPr>
      <w:bookmarkStart w:id="2" w:name="_Toc177824939"/>
      <w:bookmarkStart w:id="3" w:name="_Toc177870537"/>
      <w:bookmarkStart w:id="4" w:name="_Toc177825120"/>
      <w:bookmarkStart w:id="5" w:name="_Toc177824872"/>
      <w:r>
        <w:rPr>
          <w:rFonts w:hint="eastAsia" w:asciiTheme="minorEastAsia" w:hAnsiTheme="minorEastAsia" w:eastAsiaTheme="minorEastAsia"/>
          <w:b/>
          <w:color w:val="000000"/>
          <w:sz w:val="24"/>
        </w:rPr>
        <w:t>（一）适用范围</w:t>
      </w:r>
      <w:bookmarkEnd w:id="2"/>
      <w:bookmarkEnd w:id="3"/>
      <w:bookmarkEnd w:id="4"/>
      <w:bookmarkEnd w:id="5"/>
    </w:p>
    <w:p w14:paraId="0A786B55">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本招标文件适用于</w:t>
      </w:r>
      <w:r>
        <w:rPr>
          <w:rFonts w:hint="eastAsia" w:asciiTheme="minorEastAsia" w:hAnsiTheme="minorEastAsia" w:eastAsiaTheme="minorEastAsia"/>
          <w:b/>
          <w:bCs/>
          <w:sz w:val="24"/>
          <w:u w:val="single"/>
          <w:lang w:eastAsia="zh-CN"/>
        </w:rPr>
        <w:t>桐庐县非智能公交站牌（亭）提升改造项目</w:t>
      </w:r>
      <w:r>
        <w:rPr>
          <w:rFonts w:hint="eastAsia" w:asciiTheme="minorEastAsia" w:hAnsiTheme="minorEastAsia" w:eastAsiaTheme="minorEastAsia"/>
          <w:color w:val="000000"/>
          <w:sz w:val="24"/>
        </w:rPr>
        <w:t>的招标、评标、定标、验收、合同履约、付款等（法律、法规另有规定的，从其规定）。</w:t>
      </w:r>
    </w:p>
    <w:p w14:paraId="31ACD4DD">
      <w:pPr>
        <w:snapToGrid w:val="0"/>
        <w:ind w:firstLine="482" w:firstLineChars="200"/>
        <w:jc w:val="left"/>
        <w:outlineLvl w:val="1"/>
        <w:rPr>
          <w:rFonts w:asciiTheme="minorEastAsia" w:hAnsiTheme="minorEastAsia" w:eastAsiaTheme="minorEastAsia"/>
          <w:b/>
          <w:color w:val="000000"/>
          <w:sz w:val="24"/>
        </w:rPr>
      </w:pPr>
      <w:bookmarkStart w:id="6" w:name="_Toc177824940"/>
      <w:bookmarkStart w:id="7" w:name="_Toc177824873"/>
      <w:bookmarkStart w:id="8" w:name="_Toc177870538"/>
      <w:bookmarkStart w:id="9" w:name="_Toc177825121"/>
      <w:r>
        <w:rPr>
          <w:rFonts w:hint="eastAsia" w:asciiTheme="minorEastAsia" w:hAnsiTheme="minorEastAsia" w:eastAsiaTheme="minorEastAsia"/>
          <w:b/>
          <w:color w:val="000000"/>
          <w:sz w:val="24"/>
        </w:rPr>
        <w:t>（二）定义</w:t>
      </w:r>
      <w:bookmarkEnd w:id="6"/>
      <w:bookmarkEnd w:id="7"/>
      <w:bookmarkEnd w:id="8"/>
      <w:bookmarkEnd w:id="9"/>
    </w:p>
    <w:p w14:paraId="6E7798AA">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1.“供应商”系指向采购机构提交投标文件的单位。</w:t>
      </w:r>
    </w:p>
    <w:p w14:paraId="208C62E3">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2.“采购人”系指</w:t>
      </w:r>
      <w:r>
        <w:rPr>
          <w:rFonts w:hint="eastAsia" w:asciiTheme="minorEastAsia" w:hAnsiTheme="minorEastAsia" w:eastAsiaTheme="minorEastAsia"/>
          <w:sz w:val="24"/>
          <w:lang w:eastAsia="zh-CN"/>
        </w:rPr>
        <w:t>桐庐潇洒公共交通有限责任公司</w:t>
      </w:r>
      <w:r>
        <w:rPr>
          <w:rFonts w:hint="eastAsia" w:asciiTheme="minorEastAsia" w:hAnsiTheme="minorEastAsia" w:eastAsiaTheme="minorEastAsia"/>
          <w:sz w:val="24"/>
        </w:rPr>
        <w:t>。</w:t>
      </w:r>
    </w:p>
    <w:p w14:paraId="15A27413">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3.“采购机构”系指桐庐鸿泰工程咨询有限公司。</w:t>
      </w:r>
    </w:p>
    <w:p w14:paraId="01AA46C7">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4.“服务”系指招标文件规定投标人须承担的本项目</w:t>
      </w:r>
      <w:r>
        <w:rPr>
          <w:rFonts w:hint="eastAsia" w:cs="宋体" w:asciiTheme="minorEastAsia" w:hAnsiTheme="minorEastAsia" w:eastAsiaTheme="minorEastAsia"/>
          <w:bCs/>
          <w:sz w:val="24"/>
        </w:rPr>
        <w:t>服务所有工作内容</w:t>
      </w:r>
      <w:r>
        <w:rPr>
          <w:rFonts w:hint="eastAsia" w:asciiTheme="minorEastAsia" w:hAnsiTheme="minorEastAsia" w:eastAsiaTheme="minorEastAsia"/>
          <w:sz w:val="24"/>
        </w:rPr>
        <w:t>。</w:t>
      </w:r>
    </w:p>
    <w:p w14:paraId="01E5CED5">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5.“书面形式”包括信函、传真、电报、电子文档等。</w:t>
      </w:r>
    </w:p>
    <w:p w14:paraId="37BCB64E">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z w:val="24"/>
        </w:rPr>
        <w:t>”系指实质性要求条款。</w:t>
      </w:r>
    </w:p>
    <w:p w14:paraId="2445D71D">
      <w:pPr>
        <w:snapToGrid w:val="0"/>
        <w:ind w:firstLine="482" w:firstLineChars="200"/>
        <w:jc w:val="left"/>
        <w:outlineLvl w:val="1"/>
        <w:rPr>
          <w:rFonts w:asciiTheme="minorEastAsia" w:hAnsiTheme="minorEastAsia" w:eastAsiaTheme="minorEastAsia"/>
          <w:b/>
          <w:color w:val="000000"/>
          <w:sz w:val="24"/>
        </w:rPr>
      </w:pPr>
      <w:bookmarkStart w:id="10" w:name="_Toc177870539"/>
      <w:r>
        <w:rPr>
          <w:rFonts w:hint="eastAsia" w:asciiTheme="minorEastAsia" w:hAnsiTheme="minorEastAsia" w:eastAsiaTheme="minorEastAsia"/>
          <w:b/>
          <w:color w:val="000000"/>
          <w:sz w:val="24"/>
        </w:rPr>
        <w:t>（三）招标方式</w:t>
      </w:r>
      <w:bookmarkEnd w:id="10"/>
    </w:p>
    <w:p w14:paraId="698EDCAE">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本次招标采用公开招标方式进行。</w:t>
      </w:r>
    </w:p>
    <w:p w14:paraId="3B2F4FAF">
      <w:pPr>
        <w:snapToGrid w:val="0"/>
        <w:spacing w:line="360" w:lineRule="auto"/>
        <w:ind w:firstLine="482" w:firstLineChars="200"/>
        <w:jc w:val="left"/>
        <w:rPr>
          <w:rFonts w:asciiTheme="minorEastAsia" w:hAnsiTheme="minorEastAsia" w:eastAsiaTheme="minorEastAsia"/>
          <w:b/>
          <w:sz w:val="24"/>
        </w:rPr>
      </w:pPr>
      <w:bookmarkStart w:id="11" w:name="_Toc177824874"/>
      <w:bookmarkStart w:id="12" w:name="_Toc177825122"/>
      <w:bookmarkStart w:id="13" w:name="_Toc177824941"/>
      <w:bookmarkStart w:id="14" w:name="_Toc177870540"/>
      <w:r>
        <w:rPr>
          <w:rFonts w:hint="eastAsia" w:asciiTheme="minorEastAsia" w:hAnsiTheme="minorEastAsia" w:eastAsiaTheme="minorEastAsia"/>
          <w:b/>
          <w:sz w:val="24"/>
        </w:rPr>
        <w:t>（四）投标委托</w:t>
      </w:r>
      <w:bookmarkEnd w:id="11"/>
      <w:bookmarkEnd w:id="12"/>
      <w:bookmarkEnd w:id="13"/>
      <w:bookmarkEnd w:id="14"/>
    </w:p>
    <w:p w14:paraId="4F4DE069">
      <w:pPr>
        <w:snapToGrid w:val="0"/>
        <w:spacing w:line="360" w:lineRule="auto"/>
        <w:ind w:firstLine="480" w:firstLineChars="200"/>
        <w:jc w:val="left"/>
        <w:outlineLvl w:val="1"/>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投标人代表须携带居民身份证、法定代表人出具的授权委托书。</w:t>
      </w:r>
    </w:p>
    <w:p w14:paraId="31FEE64A">
      <w:pPr>
        <w:snapToGrid w:val="0"/>
        <w:spacing w:line="360" w:lineRule="auto"/>
        <w:ind w:firstLine="482" w:firstLineChars="200"/>
        <w:jc w:val="left"/>
        <w:outlineLvl w:val="1"/>
        <w:rPr>
          <w:rFonts w:asciiTheme="minorEastAsia" w:hAnsiTheme="minorEastAsia" w:eastAsiaTheme="minorEastAsia"/>
          <w:b/>
          <w:color w:val="000000"/>
          <w:sz w:val="24"/>
        </w:rPr>
      </w:pPr>
      <w:bookmarkStart w:id="15" w:name="_Toc177825123"/>
      <w:bookmarkStart w:id="16" w:name="_Toc177824942"/>
      <w:bookmarkStart w:id="17" w:name="_Toc177870541"/>
      <w:bookmarkStart w:id="18" w:name="_Toc177824875"/>
      <w:r>
        <w:rPr>
          <w:rFonts w:hint="eastAsia" w:asciiTheme="minorEastAsia" w:hAnsiTheme="minorEastAsia" w:eastAsiaTheme="minorEastAsia"/>
          <w:b/>
          <w:color w:val="000000"/>
          <w:sz w:val="24"/>
        </w:rPr>
        <w:t>（五）投标费用</w:t>
      </w:r>
      <w:bookmarkEnd w:id="15"/>
      <w:bookmarkEnd w:id="16"/>
      <w:bookmarkEnd w:id="17"/>
      <w:bookmarkEnd w:id="18"/>
    </w:p>
    <w:p w14:paraId="7A2780C9">
      <w:pPr>
        <w:snapToGrid w:val="0"/>
        <w:spacing w:line="360" w:lineRule="auto"/>
        <w:ind w:firstLine="480" w:firstLineChars="200"/>
        <w:jc w:val="left"/>
        <w:outlineLvl w:val="1"/>
        <w:rPr>
          <w:rFonts w:asciiTheme="minorEastAsia" w:hAnsiTheme="minorEastAsia" w:eastAsiaTheme="minorEastAsia"/>
          <w:b/>
          <w:color w:val="000000"/>
          <w:sz w:val="24"/>
        </w:rPr>
      </w:pPr>
      <w:r>
        <w:rPr>
          <w:rFonts w:hint="eastAsia" w:asciiTheme="minorEastAsia" w:hAnsiTheme="minorEastAsia" w:eastAsiaTheme="minorEastAsia"/>
          <w:sz w:val="24"/>
        </w:rPr>
        <w:t>不论投标结果如何，投标人均应自行承担所有与投标有关的全部费用。</w:t>
      </w:r>
    </w:p>
    <w:p w14:paraId="226906DB">
      <w:pPr>
        <w:snapToGrid w:val="0"/>
        <w:spacing w:line="360" w:lineRule="auto"/>
        <w:ind w:firstLine="602" w:firstLineChars="250"/>
        <w:jc w:val="left"/>
        <w:outlineLvl w:val="1"/>
        <w:rPr>
          <w:rFonts w:asciiTheme="minorEastAsia" w:hAnsiTheme="minorEastAsia" w:eastAsiaTheme="minorEastAsia"/>
          <w:b/>
          <w:color w:val="000000"/>
          <w:sz w:val="24"/>
        </w:rPr>
      </w:pPr>
      <w:bookmarkStart w:id="19" w:name="_Toc177870542"/>
      <w:r>
        <w:rPr>
          <w:rFonts w:hint="eastAsia" w:asciiTheme="minorEastAsia" w:hAnsiTheme="minorEastAsia" w:eastAsiaTheme="minorEastAsia"/>
          <w:b/>
          <w:sz w:val="24"/>
        </w:rPr>
        <w:t>（六）</w:t>
      </w:r>
      <w:r>
        <w:rPr>
          <w:rFonts w:hint="eastAsia" w:asciiTheme="minorEastAsia" w:hAnsiTheme="minorEastAsia" w:eastAsiaTheme="minorEastAsia"/>
          <w:b/>
          <w:color w:val="000000"/>
          <w:sz w:val="24"/>
        </w:rPr>
        <w:t>特别说明：</w:t>
      </w:r>
      <w:bookmarkEnd w:id="19"/>
    </w:p>
    <w:p w14:paraId="34CDC32C">
      <w:pPr>
        <w:spacing w:line="360" w:lineRule="auto"/>
        <w:ind w:firstLine="464" w:firstLineChars="220"/>
        <w:rPr>
          <w:rFonts w:cs="宋体" w:asciiTheme="minorEastAsia" w:hAnsiTheme="minorEastAsia" w:eastAsiaTheme="minorEastAsia"/>
          <w:color w:val="FF0000"/>
          <w:sz w:val="24"/>
        </w:rPr>
      </w:pPr>
      <w:bookmarkStart w:id="20" w:name="_Toc177870543"/>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1.</w:t>
      </w:r>
      <w:r>
        <w:rPr>
          <w:rFonts w:asciiTheme="minorEastAsia" w:hAnsiTheme="minorEastAsia" w:eastAsiaTheme="minorEastAsia"/>
          <w:sz w:val="24"/>
        </w:rPr>
        <w:t xml:space="preserve"> 直接或者间接受采购人控制的当事人，或者与采购人受共同上级控制的</w:t>
      </w:r>
      <w:r>
        <w:rPr>
          <w:rFonts w:hint="eastAsia" w:cs="宋体" w:asciiTheme="minorEastAsia" w:hAnsiTheme="minorEastAsia" w:eastAsiaTheme="minorEastAsia"/>
          <w:sz w:val="24"/>
        </w:rPr>
        <w:t>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5180E7D3">
      <w:pPr>
        <w:pStyle w:val="18"/>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2.投标人投标所使用的资格、信誉、荣誉、业绩与企业认证必须为本企业所拥有。投标人投标所使用的采购项目实施人员可以为其控股公司的工作人员。</w:t>
      </w:r>
    </w:p>
    <w:p w14:paraId="4E56579C">
      <w:pPr>
        <w:pStyle w:val="18"/>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4339D0A8">
      <w:pPr>
        <w:pStyle w:val="18"/>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4.投标人应仔细阅读招标文件的所有内容，按照招标文件的要求提交投标文件。投标文件应对招标文件的要求作出实质性响应，并对所提供的全部资料的真实性承担法律责任。</w:t>
      </w:r>
    </w:p>
    <w:p w14:paraId="6047C98F">
      <w:pPr>
        <w:pStyle w:val="18"/>
        <w:snapToGrid w:val="0"/>
        <w:spacing w:line="360" w:lineRule="auto"/>
        <w:ind w:firstLine="422" w:firstLineChars="200"/>
        <w:rPr>
          <w:rFonts w:cs="宋体"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cs="宋体" w:asciiTheme="minorEastAsia" w:hAnsiTheme="minorEastAsia" w:eastAsiaTheme="minorEastAsia"/>
          <w:sz w:val="24"/>
        </w:rPr>
        <w:t>5、本次招标项目不得转包分包。本项目不接受联合体投标。</w:t>
      </w:r>
    </w:p>
    <w:p w14:paraId="6F8BE894">
      <w:pPr>
        <w:pStyle w:val="18"/>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（七）质疑</w:t>
      </w:r>
      <w:bookmarkEnd w:id="20"/>
      <w:r>
        <w:rPr>
          <w:rFonts w:hint="eastAsia" w:asciiTheme="minorEastAsia" w:hAnsiTheme="minorEastAsia" w:eastAsiaTheme="minorEastAsia"/>
          <w:b/>
          <w:bCs/>
          <w:sz w:val="24"/>
        </w:rPr>
        <w:t>和投诉</w:t>
      </w:r>
    </w:p>
    <w:p w14:paraId="30AD23C2">
      <w:pPr>
        <w:pStyle w:val="18"/>
        <w:snapToGrid w:val="0"/>
        <w:spacing w:line="360" w:lineRule="auto"/>
        <w:ind w:firstLine="480" w:firstLineChars="200"/>
        <w:rPr>
          <w:rFonts w:asciiTheme="minorEastAsia" w:hAnsiTheme="minorEastAsia" w:eastAsiaTheme="minorEastAsia"/>
          <w:sz w:val="24"/>
        </w:rPr>
      </w:pPr>
      <w:bookmarkStart w:id="21" w:name="_Toc177870544"/>
      <w:r>
        <w:rPr>
          <w:rFonts w:hint="eastAsia" w:asciiTheme="minorEastAsia" w:hAnsiTheme="minorEastAsia" w:eastAsiaTheme="minorEastAsia"/>
          <w:bCs/>
          <w:sz w:val="24"/>
        </w:rPr>
        <w:t>1.投标人认为招标过程和中标结果使自己的合法权益受到损害的，应当在知道或者应知其权益受到损害之日起七个工作日内，以书面形式向采购机构提出质疑。</w:t>
      </w:r>
      <w:r>
        <w:rPr>
          <w:rFonts w:hint="eastAsia" w:asciiTheme="minorEastAsia" w:hAnsiTheme="minorEastAsia" w:eastAsiaTheme="minorEastAsia"/>
          <w:sz w:val="24"/>
        </w:rPr>
        <w:t>投标人对采购机构的质疑答复不满意或者招标采购人未在规定时间内作出答复的，可以在答复期满后十五个工作日内向同级采购监管部门投诉。</w:t>
      </w:r>
    </w:p>
    <w:p w14:paraId="7A7A1471">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2.投标供应商在法定质疑期内一次性提出针对同一采购程序环节的质疑。</w:t>
      </w:r>
    </w:p>
    <w:p w14:paraId="22AC88CD">
      <w:pPr>
        <w:pStyle w:val="18"/>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3.投标人认可采购机构在质疑答复程序中启用的调查和复评等程序，在该程序操作过程未明显违反法律禁止性规定时，不得提出疑义；</w:t>
      </w:r>
    </w:p>
    <w:p w14:paraId="753701EC">
      <w:pPr>
        <w:pStyle w:val="18"/>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质疑、投诉应当采用书面形式，质疑书、投诉书均应明确阐述招标文件、招标过程和中标结果中使自己合法权益受到损害的实质性内容，提供相关事实、依据和证据及其来源或线索，便于有关单位调查、答复和处理，否者不予受理。</w:t>
      </w:r>
    </w:p>
    <w:p w14:paraId="7CA65945">
      <w:pPr>
        <w:pStyle w:val="18"/>
        <w:snapToGrid w:val="0"/>
        <w:spacing w:line="360" w:lineRule="auto"/>
        <w:ind w:firstLine="436" w:firstLineChars="181"/>
        <w:outlineLvl w:val="0"/>
        <w:rPr>
          <w:rFonts w:asciiTheme="minorEastAsia" w:hAnsiTheme="minorEastAsia" w:eastAsiaTheme="minorEastAsia"/>
          <w:b/>
          <w:sz w:val="24"/>
        </w:rPr>
      </w:pPr>
      <w:r>
        <w:rPr>
          <w:rFonts w:hint="eastAsia" w:asciiTheme="minorEastAsia" w:hAnsiTheme="minorEastAsia" w:eastAsiaTheme="minorEastAsia"/>
          <w:b/>
          <w:sz w:val="24"/>
        </w:rPr>
        <w:t>二 、招标文件</w:t>
      </w:r>
      <w:bookmarkEnd w:id="21"/>
    </w:p>
    <w:p w14:paraId="2DC19914">
      <w:pPr>
        <w:snapToGrid w:val="0"/>
        <w:spacing w:line="360" w:lineRule="auto"/>
        <w:ind w:firstLine="316" w:firstLineChars="131"/>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（一）招标文件的构成。本招标文件由以下部分组成：</w:t>
      </w:r>
    </w:p>
    <w:p w14:paraId="7DDB142C">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1.招标公告</w:t>
      </w:r>
    </w:p>
    <w:p w14:paraId="08D73B22">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2.招标需求</w:t>
      </w:r>
    </w:p>
    <w:p w14:paraId="111D0776">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3.投标人须知</w:t>
      </w:r>
    </w:p>
    <w:p w14:paraId="5E910474">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4.评标办法及标准</w:t>
      </w:r>
    </w:p>
    <w:p w14:paraId="2CF6A79D">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5.</w:t>
      </w:r>
      <w:r>
        <w:rPr>
          <w:rFonts w:hint="eastAsia" w:asciiTheme="minorEastAsia" w:hAnsiTheme="minorEastAsia" w:eastAsiaTheme="minorEastAsia"/>
          <w:color w:val="000000"/>
          <w:sz w:val="24"/>
          <w:lang w:eastAsia="zh-CN"/>
        </w:rPr>
        <w:t>国企</w:t>
      </w:r>
      <w:r>
        <w:rPr>
          <w:rFonts w:hint="eastAsia" w:asciiTheme="minorEastAsia" w:hAnsiTheme="minorEastAsia" w:eastAsiaTheme="minorEastAsia"/>
          <w:color w:val="000000"/>
          <w:sz w:val="24"/>
        </w:rPr>
        <w:t>采购合同</w:t>
      </w:r>
    </w:p>
    <w:p w14:paraId="396B0BA2">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6.投标文件格式</w:t>
      </w:r>
    </w:p>
    <w:p w14:paraId="3364C5C7">
      <w:pPr>
        <w:snapToGrid w:val="0"/>
        <w:spacing w:line="360" w:lineRule="auto"/>
        <w:ind w:firstLine="318" w:firstLineChars="132"/>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（二）投标人的风险</w:t>
      </w:r>
    </w:p>
    <w:p w14:paraId="0BD2C5BC">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投标人没有按照招标文件要求提供全部资料，或者投标人没有对招标文件在各方面者作出实质性响应是投标人的风险，并可能导致其投标被拒绝。</w:t>
      </w:r>
    </w:p>
    <w:p w14:paraId="44C3BCBE">
      <w:pPr>
        <w:pStyle w:val="8"/>
        <w:widowControl w:val="0"/>
        <w:numPr>
          <w:ilvl w:val="0"/>
          <w:numId w:val="0"/>
        </w:numPr>
        <w:tabs>
          <w:tab w:val="left" w:pos="360"/>
        </w:tabs>
        <w:snapToGrid w:val="0"/>
        <w:spacing w:after="120" w:line="360" w:lineRule="auto"/>
        <w:ind w:firstLine="318" w:firstLineChars="132"/>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 xml:space="preserve">（三）招标文件的澄清与修改 </w:t>
      </w:r>
    </w:p>
    <w:p w14:paraId="735AF795">
      <w:pPr>
        <w:pStyle w:val="18"/>
        <w:snapToGrid w:val="0"/>
        <w:spacing w:line="360" w:lineRule="auto"/>
        <w:ind w:firstLine="436" w:firstLineChars="182"/>
        <w:rPr>
          <w:rFonts w:asciiTheme="minorEastAsia" w:hAnsiTheme="minorEastAsia" w:eastAsiaTheme="minorEastAsia"/>
          <w:sz w:val="24"/>
        </w:rPr>
      </w:pPr>
      <w:bookmarkStart w:id="22" w:name="_Toc177870545"/>
      <w:r>
        <w:rPr>
          <w:rFonts w:asciiTheme="minorEastAsia" w:hAnsiTheme="minorEastAsia" w:eastAsiaTheme="minorEastAsia"/>
          <w:sz w:val="24"/>
        </w:rPr>
        <w:t>1.</w:t>
      </w:r>
      <w:r>
        <w:rPr>
          <w:rFonts w:hint="eastAsia" w:asciiTheme="minorEastAsia" w:hAnsiTheme="minorEastAsia" w:eastAsiaTheme="minorEastAsia"/>
          <w:sz w:val="24"/>
        </w:rPr>
        <w:t>投标人应认真阅读本招标文件，发现其中有误或有要求不合理的，投标人必须在</w:t>
      </w:r>
      <w:r>
        <w:rPr>
          <w:rFonts w:hint="eastAsia" w:asciiTheme="minorEastAsia" w:hAnsiTheme="minorEastAsia" w:eastAsiaTheme="minorEastAsia"/>
          <w:b/>
          <w:bCs/>
          <w:color w:val="FF0000"/>
          <w:sz w:val="24"/>
        </w:rPr>
        <w:t>前附表第5项规定的时间</w:t>
      </w:r>
      <w:r>
        <w:rPr>
          <w:rFonts w:hint="eastAsia" w:asciiTheme="minorEastAsia" w:hAnsiTheme="minorEastAsia" w:eastAsiaTheme="minorEastAsia"/>
          <w:b/>
          <w:color w:val="FF0000"/>
          <w:sz w:val="24"/>
        </w:rPr>
        <w:t>前</w:t>
      </w:r>
      <w:r>
        <w:rPr>
          <w:rFonts w:hint="eastAsia" w:asciiTheme="minorEastAsia" w:hAnsiTheme="minorEastAsia" w:eastAsiaTheme="minorEastAsia"/>
          <w:sz w:val="24"/>
        </w:rPr>
        <w:t>以书面形式要求采购人或采购机构澄清。</w:t>
      </w:r>
    </w:p>
    <w:p w14:paraId="124BE74F">
      <w:pPr>
        <w:pStyle w:val="18"/>
        <w:snapToGrid w:val="0"/>
        <w:spacing w:line="360" w:lineRule="auto"/>
        <w:ind w:firstLine="439" w:firstLineChars="182"/>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cs="宋体" w:asciiTheme="minorEastAsia" w:hAnsiTheme="minorEastAsia" w:eastAsiaTheme="minorEastAsia"/>
          <w:b/>
          <w:sz w:val="24"/>
        </w:rPr>
        <w:t xml:space="preserve"> 采购机构对已发出的招标文件进行必要澄清、答复、修改或补充的，将在招标文件要求提交投标文件截止时间15日前，在</w:t>
      </w:r>
      <w:r>
        <w:rPr>
          <w:rFonts w:hint="eastAsia" w:cs="宋体" w:asciiTheme="minorEastAsia" w:hAnsiTheme="minorEastAsia" w:eastAsiaTheme="minorEastAsia"/>
          <w:b/>
          <w:color w:val="000000"/>
          <w:kern w:val="10"/>
          <w:sz w:val="24"/>
          <w:lang w:eastAsia="zh-CN"/>
        </w:rPr>
        <w:t>乐采云政企采购网</w:t>
      </w:r>
      <w:r>
        <w:rPr>
          <w:rFonts w:hint="eastAsia" w:cs="宋体" w:asciiTheme="minorEastAsia" w:hAnsiTheme="minorEastAsia" w:eastAsiaTheme="minorEastAsia"/>
          <w:b/>
          <w:sz w:val="24"/>
        </w:rPr>
        <w:t>（https://</w:t>
      </w:r>
      <w:r>
        <w:rPr>
          <w:rFonts w:hint="eastAsia" w:cs="宋体" w:asciiTheme="minorEastAsia" w:hAnsiTheme="minorEastAsia" w:eastAsiaTheme="minorEastAsia"/>
          <w:b/>
          <w:sz w:val="24"/>
          <w:lang w:eastAsia="zh-CN"/>
        </w:rPr>
        <w:t>www.lecaiyun.com</w:t>
      </w:r>
      <w:r>
        <w:rPr>
          <w:rFonts w:hint="eastAsia" w:cs="宋体" w:asciiTheme="minorEastAsia" w:hAnsiTheme="minorEastAsia" w:eastAsiaTheme="minorEastAsia"/>
          <w:b/>
          <w:sz w:val="24"/>
        </w:rPr>
        <w:t>/）发布更正公告，请投标人自行到网上查看和下载，投标人因漏看带来的后果由投标人自行承担</w:t>
      </w:r>
      <w:r>
        <w:rPr>
          <w:rFonts w:hint="eastAsia" w:cs="宋体" w:asciiTheme="minorEastAsia" w:hAnsiTheme="minorEastAsia" w:eastAsiaTheme="minorEastAsia"/>
          <w:sz w:val="24"/>
        </w:rPr>
        <w:t>。</w:t>
      </w:r>
    </w:p>
    <w:p w14:paraId="4C24ABE1">
      <w:pPr>
        <w:pStyle w:val="1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3.招标文件澄清、答复、修改、补充的内容为招标文件的组成部分。当招标文件与招标文件的答复、澄清、修改、补充通知就同一内容的表述不一致时，以最后发出的文件为准。</w:t>
      </w:r>
    </w:p>
    <w:p w14:paraId="29FAF4AA">
      <w:pPr>
        <w:pStyle w:val="1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4.招标文件的澄清、答复、修改或补充都应该通过采购机构以法定形式发布，采购人非通过采购机构，不得擅自澄清、答复、修改或补充招标文件。</w:t>
      </w:r>
    </w:p>
    <w:p w14:paraId="765DD000">
      <w:pPr>
        <w:pStyle w:val="18"/>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5.投标供应商一旦参与本次采购活动，即被视为接受了本招标文件的所有内容，如有任何异议，均已在答疑截止时间前提出。</w:t>
      </w:r>
    </w:p>
    <w:p w14:paraId="58ABF65F">
      <w:pPr>
        <w:pStyle w:val="18"/>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6、若有必要，招标代理机构将酌情延长递交投标文件的截止日期。</w:t>
      </w:r>
    </w:p>
    <w:p w14:paraId="1A09ECBF">
      <w:pPr>
        <w:pStyle w:val="18"/>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三、投标文件</w:t>
      </w:r>
      <w:bookmarkEnd w:id="22"/>
      <w:r>
        <w:rPr>
          <w:rFonts w:hint="eastAsia" w:asciiTheme="minorEastAsia" w:hAnsiTheme="minorEastAsia" w:eastAsiaTheme="minorEastAsia"/>
          <w:b/>
          <w:sz w:val="24"/>
        </w:rPr>
        <w:t>的编制</w:t>
      </w:r>
    </w:p>
    <w:p w14:paraId="1914F7F2">
      <w:pPr>
        <w:snapToGrid w:val="0"/>
        <w:spacing w:line="360" w:lineRule="auto"/>
        <w:ind w:firstLine="482" w:firstLineChars="200"/>
        <w:jc w:val="left"/>
        <w:outlineLvl w:val="0"/>
        <w:rPr>
          <w:rFonts w:asciiTheme="minorEastAsia" w:hAnsiTheme="minorEastAsia" w:eastAsiaTheme="minorEastAsia"/>
          <w:b/>
          <w:color w:val="000000"/>
          <w:sz w:val="24"/>
        </w:rPr>
      </w:pPr>
      <w:bookmarkStart w:id="23" w:name="_Toc177824876"/>
      <w:bookmarkStart w:id="24" w:name="_Toc177825124"/>
      <w:bookmarkStart w:id="25" w:name="_Toc177870546"/>
      <w:bookmarkStart w:id="26" w:name="_Toc177824943"/>
      <w:r>
        <w:rPr>
          <w:rFonts w:hint="eastAsia" w:asciiTheme="minorEastAsia" w:hAnsiTheme="minorEastAsia" w:eastAsiaTheme="minorEastAsia"/>
          <w:b/>
          <w:color w:val="000000"/>
          <w:sz w:val="24"/>
        </w:rPr>
        <w:t>（一）投标文件的组成</w:t>
      </w:r>
      <w:bookmarkEnd w:id="23"/>
      <w:bookmarkEnd w:id="24"/>
      <w:bookmarkEnd w:id="25"/>
      <w:bookmarkEnd w:id="26"/>
    </w:p>
    <w:p w14:paraId="265D46FD">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投标文件由资格文件、商务技术文件、报价文件三部分组成。</w:t>
      </w:r>
    </w:p>
    <w:p w14:paraId="00B77087">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1.资格文件（不含报价）</w:t>
      </w:r>
    </w:p>
    <w:p w14:paraId="06A4B19E">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）营业执照的复印件或事业单位的《事业单位法人证书》复印件；</w:t>
      </w:r>
    </w:p>
    <w:p w14:paraId="26810148">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（2）法定代表人授权委托书(格式见附件)；</w:t>
      </w:r>
    </w:p>
    <w:p w14:paraId="27E03ABD">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（3）投标声明书 (格式见附件，含重大违法记录声明)；</w:t>
      </w:r>
    </w:p>
    <w:p w14:paraId="4B23BDB9">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（4）具有履行合同所必需的设备和专业技术能力的承诺函；(格式见附件)；</w:t>
      </w:r>
    </w:p>
    <w:p w14:paraId="5B99FA13">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（5）具有良好的商业信誉和健全的财务会计制度的承诺函(格式见附件)；</w:t>
      </w:r>
    </w:p>
    <w:p w14:paraId="503ABC1C">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（6）有依法缴纳税收和社会保障资金的良好记录的承诺函(格式见附件)；</w:t>
      </w:r>
    </w:p>
    <w:p w14:paraId="5761B7FC">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（7）供应商认为应该提交说明的其他资料。</w:t>
      </w:r>
    </w:p>
    <w:p w14:paraId="1B56A9F8">
      <w:pPr>
        <w:snapToGrid w:val="0"/>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lang w:val="en-US" w:eastAsia="zh-CN"/>
        </w:rPr>
        <w:t>2</w:t>
      </w:r>
      <w:r>
        <w:rPr>
          <w:rFonts w:hint="eastAsia" w:asciiTheme="minorEastAsia" w:hAnsiTheme="minorEastAsia" w:eastAsiaTheme="minorEastAsia"/>
          <w:b/>
          <w:color w:val="000000"/>
          <w:sz w:val="24"/>
        </w:rPr>
        <w:t>.商务技术文件</w:t>
      </w:r>
      <w:r>
        <w:rPr>
          <w:rFonts w:hint="eastAsia" w:asciiTheme="minorEastAsia" w:hAnsiTheme="minorEastAsia" w:eastAsiaTheme="minorEastAsia"/>
          <w:color w:val="000000"/>
          <w:sz w:val="24"/>
        </w:rPr>
        <w:t>（内容结合评标办法，均不含报价）</w:t>
      </w:r>
      <w:r>
        <w:rPr>
          <w:rFonts w:hint="eastAsia" w:asciiTheme="minorEastAsia" w:hAnsiTheme="minorEastAsia" w:eastAsiaTheme="minorEastAsia"/>
          <w:b/>
          <w:color w:val="000000"/>
          <w:sz w:val="24"/>
        </w:rPr>
        <w:t>：</w:t>
      </w:r>
    </w:p>
    <w:p w14:paraId="1B5A9A0A">
      <w:pPr>
        <w:snapToGrid w:val="0"/>
        <w:spacing w:line="360" w:lineRule="auto"/>
        <w:ind w:left="0" w:leftChars="0" w:firstLine="458" w:firstLineChars="191"/>
        <w:jc w:val="left"/>
        <w:rPr>
          <w:rFonts w:ascii="宋体" w:hAnsi="宋体" w:cs="宋体"/>
          <w:sz w:val="24"/>
        </w:rPr>
      </w:pPr>
      <w:r>
        <w:rPr>
          <w:rFonts w:hint="eastAsia" w:ascii="宋体" w:hAnsi="宋体" w:cs="宋体"/>
          <w:sz w:val="24"/>
        </w:rPr>
        <w:t>（1）供应商自评分表</w:t>
      </w:r>
    </w:p>
    <w:p w14:paraId="3FBF147B">
      <w:pPr>
        <w:snapToGrid w:val="0"/>
        <w:spacing w:line="360" w:lineRule="auto"/>
        <w:ind w:firstLine="360" w:firstLineChars="150"/>
        <w:rPr>
          <w:rFonts w:ascii="宋体" w:hAnsi="宋体" w:cs="宋体"/>
          <w:sz w:val="24"/>
        </w:rPr>
      </w:pPr>
      <w:r>
        <w:rPr>
          <w:rFonts w:hint="eastAsia" w:ascii="宋体" w:hAnsi="宋体" w:cs="宋体"/>
          <w:sz w:val="24"/>
        </w:rPr>
        <w:t>（2）业绩（格式见附件）；</w:t>
      </w:r>
    </w:p>
    <w:p w14:paraId="33CB903A">
      <w:pPr>
        <w:snapToGrid w:val="0"/>
        <w:spacing w:line="360" w:lineRule="auto"/>
        <w:ind w:firstLine="360" w:firstLineChars="150"/>
        <w:rPr>
          <w:rFonts w:ascii="宋体" w:hAnsi="宋体" w:cs="宋体"/>
          <w:sz w:val="24"/>
        </w:rPr>
      </w:pPr>
      <w:r>
        <w:rPr>
          <w:rFonts w:hint="eastAsia" w:ascii="宋体" w:hAnsi="宋体" w:cs="宋体"/>
          <w:sz w:val="24"/>
        </w:rPr>
        <w:t>（3）拟投入的项目负责人及班组成员证书及社保证明材料（格式见附件）；</w:t>
      </w:r>
    </w:p>
    <w:p w14:paraId="3397FE72">
      <w:pPr>
        <w:snapToGrid w:val="0"/>
        <w:spacing w:line="360" w:lineRule="auto"/>
        <w:ind w:firstLine="360" w:firstLineChars="150"/>
        <w:rPr>
          <w:rFonts w:ascii="宋体" w:hAnsi="宋体" w:cs="宋体"/>
          <w:sz w:val="24"/>
        </w:rPr>
      </w:pPr>
      <w:r>
        <w:rPr>
          <w:rFonts w:hint="eastAsia" w:ascii="宋体" w:hAnsi="宋体" w:cs="宋体"/>
          <w:sz w:val="24"/>
        </w:rPr>
        <w:t>（4）投标标的清单（格式见附件）</w:t>
      </w:r>
    </w:p>
    <w:p w14:paraId="007F8596">
      <w:pPr>
        <w:snapToGrid w:val="0"/>
        <w:spacing w:line="360" w:lineRule="auto"/>
        <w:ind w:firstLine="360" w:firstLineChars="150"/>
        <w:rPr>
          <w:rFonts w:ascii="宋体" w:hAnsi="宋体" w:cs="宋体"/>
          <w:sz w:val="24"/>
        </w:rPr>
      </w:pPr>
      <w:r>
        <w:rPr>
          <w:rFonts w:hint="eastAsia" w:ascii="宋体" w:hAnsi="宋体" w:cs="宋体"/>
          <w:sz w:val="24"/>
        </w:rPr>
        <w:t>（5）商务技术偏离表（格式见附件）</w:t>
      </w:r>
    </w:p>
    <w:p w14:paraId="51D78A0A">
      <w:pPr>
        <w:snapToGrid w:val="0"/>
        <w:spacing w:line="360" w:lineRule="auto"/>
        <w:ind w:firstLine="360" w:firstLineChars="150"/>
        <w:rPr>
          <w:rFonts w:ascii="宋体" w:hAnsi="宋体" w:cs="宋体"/>
          <w:sz w:val="24"/>
        </w:rPr>
      </w:pPr>
      <w:r>
        <w:rPr>
          <w:rFonts w:hint="eastAsia" w:ascii="宋体" w:hAnsi="宋体" w:cs="宋体"/>
          <w:sz w:val="24"/>
        </w:rPr>
        <w:t>（6）实施方案</w:t>
      </w:r>
    </w:p>
    <w:p w14:paraId="7B9D59E9">
      <w:pPr>
        <w:snapToGrid w:val="0"/>
        <w:spacing w:line="360" w:lineRule="auto"/>
        <w:ind w:firstLine="360" w:firstLineChars="150"/>
        <w:rPr>
          <w:rFonts w:ascii="宋体" w:hAnsi="宋体" w:cs="宋体"/>
          <w:sz w:val="24"/>
        </w:rPr>
      </w:pPr>
      <w:r>
        <w:rPr>
          <w:rFonts w:hint="eastAsia" w:ascii="宋体" w:hAnsi="宋体" w:cs="宋体"/>
          <w:sz w:val="24"/>
        </w:rPr>
        <w:t>（7）各项保证措施保障措施</w:t>
      </w:r>
    </w:p>
    <w:p w14:paraId="665DC083">
      <w:pPr>
        <w:snapToGrid w:val="0"/>
        <w:spacing w:line="360" w:lineRule="auto"/>
        <w:ind w:firstLine="360" w:firstLineChars="150"/>
        <w:rPr>
          <w:rFonts w:ascii="宋体" w:hAnsi="宋体" w:cs="宋体"/>
          <w:sz w:val="24"/>
        </w:rPr>
      </w:pPr>
      <w:r>
        <w:rPr>
          <w:rFonts w:hint="eastAsia" w:ascii="宋体" w:hAnsi="宋体" w:cs="宋体"/>
          <w:sz w:val="24"/>
        </w:rPr>
        <w:t>（8）突发事件应急预案</w:t>
      </w:r>
    </w:p>
    <w:p w14:paraId="6755CB07">
      <w:pPr>
        <w:snapToGrid w:val="0"/>
        <w:spacing w:line="360" w:lineRule="auto"/>
        <w:ind w:firstLine="360" w:firstLineChars="150"/>
        <w:rPr>
          <w:rFonts w:ascii="宋体" w:hAnsi="宋体" w:cs="宋体"/>
          <w:sz w:val="24"/>
        </w:rPr>
      </w:pPr>
      <w:r>
        <w:rPr>
          <w:rFonts w:hint="eastAsia" w:ascii="宋体" w:hAnsi="宋体" w:cs="宋体"/>
          <w:sz w:val="24"/>
        </w:rPr>
        <w:t>（9）售后服务</w:t>
      </w:r>
    </w:p>
    <w:p w14:paraId="03E1FA4F">
      <w:pPr>
        <w:snapToGrid w:val="0"/>
        <w:spacing w:line="360" w:lineRule="auto"/>
        <w:ind w:firstLine="360" w:firstLineChars="150"/>
        <w:rPr>
          <w:rFonts w:ascii="宋体" w:hAnsi="宋体" w:cs="宋体"/>
          <w:sz w:val="24"/>
        </w:rPr>
      </w:pPr>
      <w:r>
        <w:rPr>
          <w:rFonts w:hint="eastAsia" w:ascii="宋体" w:hAnsi="宋体" w:cs="宋体"/>
          <w:sz w:val="24"/>
        </w:rPr>
        <w:t>（10）投标人认为需要说明的其他文件等。</w:t>
      </w:r>
    </w:p>
    <w:p w14:paraId="5DE7EC1C">
      <w:pPr>
        <w:spacing w:line="360" w:lineRule="auto"/>
        <w:ind w:firstLine="723" w:firstLineChars="3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3.报价文件：</w:t>
      </w:r>
    </w:p>
    <w:p w14:paraId="7057B52B">
      <w:pPr>
        <w:spacing w:line="360" w:lineRule="auto"/>
        <w:ind w:firstLine="480" w:firstLineChars="200"/>
        <w:rPr>
          <w:rFonts w:asciiTheme="minorEastAsia" w:hAnsiTheme="minorEastAsia" w:eastAsiaTheme="minorEastAsia"/>
          <w:color w:val="000000"/>
          <w:sz w:val="24"/>
        </w:rPr>
      </w:pPr>
      <w:bookmarkStart w:id="27" w:name="_Toc177870547"/>
      <w:bookmarkStart w:id="28" w:name="_Toc177824944"/>
      <w:bookmarkStart w:id="29" w:name="_Toc177825125"/>
      <w:bookmarkStart w:id="30" w:name="_Toc177824877"/>
      <w:r>
        <w:rPr>
          <w:rFonts w:hint="eastAsia" w:asciiTheme="minorEastAsia" w:hAnsiTheme="minorEastAsia" w:eastAsiaTheme="minorEastAsia"/>
          <w:color w:val="000000"/>
          <w:sz w:val="24"/>
        </w:rPr>
        <w:t>（1）投标函（格式见附件）</w:t>
      </w:r>
    </w:p>
    <w:p w14:paraId="4AB08BC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（2）开标一览表（格式见附件）</w:t>
      </w:r>
    </w:p>
    <w:p w14:paraId="4346E1B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（3）报价明细表（格式见附件）</w:t>
      </w:r>
    </w:p>
    <w:p w14:paraId="3A371795">
      <w:pPr>
        <w:tabs>
          <w:tab w:val="left" w:pos="5025"/>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（4）投标人需要说明的其他文件和说明（格式略）</w:t>
      </w:r>
    </w:p>
    <w:p w14:paraId="737461FC">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（二）投标文件的语言及计量</w:t>
      </w:r>
      <w:bookmarkEnd w:id="27"/>
      <w:bookmarkEnd w:id="28"/>
      <w:bookmarkEnd w:id="29"/>
      <w:bookmarkEnd w:id="30"/>
    </w:p>
    <w:p w14:paraId="6992EC96">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1.投标文件以及投标人与采购机构就有关投标事宜的所有来往函电，均应以中文汉语书写。除签名、盖章、专用名称等特殊情形外，以中文汉语以外的文字表述的投标文件视同未提供。</w:t>
      </w:r>
    </w:p>
    <w:p w14:paraId="211BD16F">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2.投标计量单位，招标文件已有明确规定的，使用招标文件规定的计量单位；招标文件没有规定的，应采用中华人民共和国法定计量单位（货币单位：人民币元），否则视同未响应。</w:t>
      </w:r>
      <w:bookmarkStart w:id="31" w:name="_Toc177824945"/>
      <w:bookmarkStart w:id="32" w:name="_Toc177824878"/>
      <w:bookmarkStart w:id="33" w:name="_Toc177870548"/>
      <w:bookmarkStart w:id="34" w:name="_Toc177825126"/>
    </w:p>
    <w:p w14:paraId="68C7BC65">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（三）投标报价</w:t>
      </w:r>
      <w:bookmarkEnd w:id="31"/>
      <w:bookmarkEnd w:id="32"/>
      <w:bookmarkEnd w:id="33"/>
      <w:bookmarkEnd w:id="34"/>
    </w:p>
    <w:p w14:paraId="343A1706">
      <w:pPr>
        <w:pStyle w:val="18"/>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1.投标报价应按招标文件中相关附表格式填写。</w:t>
      </w:r>
    </w:p>
    <w:p w14:paraId="6BDED729">
      <w:pPr>
        <w:pStyle w:val="18"/>
        <w:snapToGrid w:val="0"/>
        <w:spacing w:line="360" w:lineRule="auto"/>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lang w:val="zh-CN"/>
        </w:rPr>
        <w:t xml:space="preserve"> 投标报价是履行合同的最终价格，包括完成本项目所需的一切费用(包括人工费、措施费、管理费、利润、税金等)。</w:t>
      </w:r>
    </w:p>
    <w:p w14:paraId="58829451">
      <w:pPr>
        <w:tabs>
          <w:tab w:val="left" w:pos="454"/>
          <w:tab w:val="left" w:pos="720"/>
        </w:tabs>
        <w:autoSpaceDE w:val="0"/>
        <w:autoSpaceDN w:val="0"/>
        <w:adjustRightInd w:val="0"/>
        <w:spacing w:line="360" w:lineRule="auto"/>
        <w:ind w:firstLine="480"/>
        <w:jc w:val="left"/>
        <w:rPr>
          <w:rFonts w:asciiTheme="minorEastAsia" w:hAnsiTheme="minorEastAsia" w:eastAsiaTheme="minorEastAsia"/>
          <w:kern w:val="0"/>
          <w:sz w:val="24"/>
          <w:lang w:val="zh-CN"/>
        </w:rPr>
      </w:pPr>
      <w:r>
        <w:rPr>
          <w:rFonts w:hint="eastAsia" w:asciiTheme="minorEastAsia" w:hAnsiTheme="minorEastAsia" w:eastAsiaTheme="minorEastAsia"/>
          <w:color w:val="000000"/>
          <w:sz w:val="24"/>
        </w:rPr>
        <w:t>3.投标文件只允许有一个报价，有选择性的报价将不予接受；</w:t>
      </w:r>
      <w:r>
        <w:rPr>
          <w:rFonts w:hint="eastAsia" w:asciiTheme="minorEastAsia" w:hAnsiTheme="minorEastAsia" w:eastAsiaTheme="minorEastAsia"/>
          <w:kern w:val="0"/>
          <w:sz w:val="24"/>
          <w:lang w:val="zh-CN"/>
        </w:rPr>
        <w:t>投标报价应按招标文件中相关附表格式填报，该投标报价应与明细报价汇总相等，且不允许出现报价优惠等字样（明细出现“0”元，视同赠送）。</w:t>
      </w:r>
    </w:p>
    <w:p w14:paraId="56EC71DD">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（四）投标文件有效期</w:t>
      </w:r>
    </w:p>
    <w:p w14:paraId="60986EB5">
      <w:pPr>
        <w:tabs>
          <w:tab w:val="left" w:pos="525"/>
        </w:tabs>
        <w:snapToGrid w:val="0"/>
        <w:spacing w:line="360" w:lineRule="auto"/>
        <w:ind w:firstLine="477" w:firstLineChars="199"/>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1.自投标截止日起</w:t>
      </w:r>
      <w:r>
        <w:rPr>
          <w:rFonts w:hint="eastAsia" w:asciiTheme="minorEastAsia" w:hAnsiTheme="minorEastAsia" w:eastAsiaTheme="minorEastAsia"/>
          <w:color w:val="000000"/>
          <w:sz w:val="24"/>
          <w:u w:val="single"/>
        </w:rPr>
        <w:t xml:space="preserve"> 90 </w:t>
      </w:r>
      <w:r>
        <w:rPr>
          <w:rFonts w:hint="eastAsia" w:asciiTheme="minorEastAsia" w:hAnsiTheme="minorEastAsia" w:eastAsiaTheme="minorEastAsia"/>
          <w:color w:val="000000"/>
          <w:sz w:val="24"/>
        </w:rPr>
        <w:t>天投标书应保持有效。有效期短于这个规定期限的投标将被拒绝。</w:t>
      </w:r>
    </w:p>
    <w:p w14:paraId="359F4C8D">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2.在特殊情况下，采购机构可与投标人协商延长投标书的有效期，这种要求和答复均以书面形式进行。</w:t>
      </w:r>
      <w:bookmarkStart w:id="35" w:name="_Toc177824946"/>
      <w:bookmarkStart w:id="36" w:name="_Toc177870549"/>
      <w:bookmarkStart w:id="37" w:name="_Toc177825127"/>
      <w:bookmarkStart w:id="38" w:name="_Toc177824879"/>
    </w:p>
    <w:p w14:paraId="2C3A618A">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3.投标人可拒绝接受延期要求。同意延长有效期的，但不能修改投标文件。</w:t>
      </w:r>
      <w:bookmarkEnd w:id="35"/>
      <w:bookmarkEnd w:id="36"/>
      <w:bookmarkEnd w:id="37"/>
      <w:bookmarkEnd w:id="38"/>
    </w:p>
    <w:p w14:paraId="5E0D7401">
      <w:pPr>
        <w:snapToGrid w:val="0"/>
        <w:spacing w:line="360" w:lineRule="auto"/>
        <w:ind w:firstLine="480"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color w:val="000000"/>
          <w:sz w:val="24"/>
        </w:rPr>
        <w:t>4.中标人的投标文件自开标之日起至合同履行完毕止均应保持有效。</w:t>
      </w:r>
      <w:bookmarkStart w:id="39" w:name="_Toc177824947"/>
      <w:bookmarkStart w:id="40" w:name="_Toc177825128"/>
      <w:bookmarkStart w:id="41" w:name="_Toc177824880"/>
      <w:bookmarkStart w:id="42" w:name="_Toc177870550"/>
    </w:p>
    <w:p w14:paraId="5669DC43">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（五）投标保证金</w:t>
      </w:r>
      <w:bookmarkEnd w:id="39"/>
      <w:bookmarkEnd w:id="40"/>
      <w:bookmarkEnd w:id="41"/>
      <w:bookmarkEnd w:id="42"/>
    </w:p>
    <w:p w14:paraId="556EB032">
      <w:pPr>
        <w:spacing w:line="360" w:lineRule="auto"/>
        <w:ind w:firstLine="480" w:firstLineChars="200"/>
        <w:rPr>
          <w:rFonts w:asciiTheme="minorEastAsia" w:hAnsiTheme="minorEastAsia" w:eastAsiaTheme="minorEastAsia"/>
          <w:color w:val="000000"/>
          <w:kern w:val="0"/>
          <w:sz w:val="24"/>
          <w:szCs w:val="21"/>
        </w:rPr>
      </w:pPr>
      <w:r>
        <w:rPr>
          <w:rFonts w:hint="eastAsia" w:asciiTheme="minorEastAsia" w:hAnsiTheme="minorEastAsia" w:eastAsiaTheme="minorEastAsia"/>
          <w:color w:val="000000"/>
          <w:kern w:val="0"/>
          <w:sz w:val="24"/>
          <w:szCs w:val="21"/>
        </w:rPr>
        <w:t>本项目无需缴纳投标保证金。</w:t>
      </w:r>
    </w:p>
    <w:p w14:paraId="53380166">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（六）串通投标认定</w:t>
      </w:r>
    </w:p>
    <w:p w14:paraId="1CC93DD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有下列情形之一的，视为投标人串通投标，其投标无效：</w:t>
      </w:r>
    </w:p>
    <w:p w14:paraId="4280634D">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1、不同投标人的投标文件由同一单位或者个人编制；</w:t>
      </w:r>
    </w:p>
    <w:p w14:paraId="358DEB9A">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2、不同投标人委托同一单位或者个人办理投标事宜；</w:t>
      </w:r>
    </w:p>
    <w:p w14:paraId="2081F257">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3、不同投标人的投标文件载明的项目管理成员或者联系人员为同一人；</w:t>
      </w:r>
    </w:p>
    <w:p w14:paraId="22FCCC7F">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4、不同投标人的投标文件异常一致或者投标报价呈规律性差异；</w:t>
      </w:r>
    </w:p>
    <w:p w14:paraId="4F6E9CD3">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5、不同投标人的投标文件相互混装；</w:t>
      </w:r>
    </w:p>
    <w:p w14:paraId="48BAAE07">
      <w:pPr>
        <w:snapToGrid w:val="0"/>
        <w:spacing w:line="360" w:lineRule="auto"/>
        <w:jc w:val="left"/>
        <w:outlineLvl w:val="0"/>
        <w:rPr>
          <w:rFonts w:asciiTheme="minorEastAsia" w:hAnsiTheme="minorEastAsia" w:eastAsiaTheme="minorEastAsia"/>
          <w:b/>
          <w:color w:val="000000"/>
          <w:sz w:val="24"/>
        </w:rPr>
      </w:pPr>
      <w:bookmarkStart w:id="43" w:name="_Toc177824948"/>
      <w:bookmarkStart w:id="44" w:name="_Toc177824881"/>
      <w:bookmarkStart w:id="45" w:name="_Toc177870551"/>
      <w:bookmarkStart w:id="46" w:name="_Toc177825129"/>
      <w:r>
        <w:rPr>
          <w:rFonts w:hint="eastAsia" w:asciiTheme="minorEastAsia" w:hAnsiTheme="minorEastAsia" w:eastAsiaTheme="minorEastAsia"/>
          <w:b/>
          <w:color w:val="000000"/>
          <w:sz w:val="24"/>
        </w:rPr>
        <w:t xml:space="preserve">   （七）投标文件的签署和份数</w:t>
      </w:r>
      <w:bookmarkEnd w:id="43"/>
      <w:bookmarkEnd w:id="44"/>
      <w:bookmarkEnd w:id="45"/>
      <w:bookmarkEnd w:id="46"/>
    </w:p>
    <w:p w14:paraId="33EFD062">
      <w:pPr>
        <w:pStyle w:val="9"/>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1.《投标文件》的签章：见《前附表》；</w:t>
      </w:r>
    </w:p>
    <w:p w14:paraId="1B967476">
      <w:pPr>
        <w:pStyle w:val="9"/>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2.《投标文件》应由投标供应商法定代表人或其授权代表签字（或盖章），并加盖投标供应商公章。</w:t>
      </w:r>
    </w:p>
    <w:p w14:paraId="15548F0D">
      <w:pPr>
        <w:pStyle w:val="9"/>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3.电子签章操作指南详见采购公告附件《供应商项目采购-电子招投标操作指南》。</w:t>
      </w:r>
    </w:p>
    <w:p w14:paraId="6A31A878">
      <w:pPr>
        <w:snapToGrid w:val="0"/>
        <w:spacing w:line="360" w:lineRule="auto"/>
        <w:ind w:firstLine="236" w:firstLineChars="98"/>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（八）</w:t>
      </w:r>
      <w:r>
        <w:rPr>
          <w:rFonts w:hint="eastAsia" w:asciiTheme="minorEastAsia" w:hAnsiTheme="minorEastAsia" w:eastAsiaTheme="minorEastAsia"/>
          <w:b/>
          <w:sz w:val="24"/>
          <w:lang w:val="zh-CN"/>
        </w:rPr>
        <w:t>投标文件的包装、递交、修改和撤回</w:t>
      </w:r>
    </w:p>
    <w:p w14:paraId="12B3D77C">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1.投标文件的形式：见《前附表》；</w:t>
      </w:r>
    </w:p>
    <w:p w14:paraId="0AFB2655">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2.“电子加密投标文件”：“电子加密投标文件”是指通过“</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电子交易客户端”完成投标文件编制后生成并加密的数据电文形式的投标文件。</w:t>
      </w:r>
    </w:p>
    <w:p w14:paraId="79A3E002">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3.“备份投标文件”：“备份投标文件”是指与“电子加密投标文件”同时生成的数据电文形式的电子文件（备份标书），其他方式编制的“备份投标文件”视为无效的“备份投标文件”。</w:t>
      </w:r>
    </w:p>
    <w:p w14:paraId="6246AF26">
      <w:pPr>
        <w:snapToGrid w:val="0"/>
        <w:spacing w:line="360" w:lineRule="auto"/>
        <w:ind w:firstLine="236" w:firstLineChars="98"/>
        <w:outlineLvl w:val="2"/>
        <w:rPr>
          <w:rFonts w:asciiTheme="minorEastAsia" w:hAnsiTheme="minorEastAsia" w:eastAsiaTheme="minorEastAsia"/>
          <w:b/>
          <w:sz w:val="24"/>
        </w:rPr>
      </w:pPr>
      <w:bookmarkStart w:id="47" w:name="_Toc177870552"/>
      <w:r>
        <w:rPr>
          <w:rFonts w:hint="eastAsia" w:asciiTheme="minorEastAsia" w:hAnsiTheme="minorEastAsia" w:eastAsiaTheme="minorEastAsia"/>
          <w:b/>
          <w:sz w:val="24"/>
        </w:rPr>
        <w:t>（九）投标无效的情形</w:t>
      </w:r>
      <w:bookmarkEnd w:id="47"/>
    </w:p>
    <w:p w14:paraId="74628DFE">
      <w:pPr>
        <w:snapToGrid w:val="0"/>
        <w:spacing w:line="360" w:lineRule="auto"/>
        <w:ind w:firstLine="480" w:firstLineChars="200"/>
        <w:rPr>
          <w:rFonts w:asciiTheme="minorEastAsia" w:hAnsiTheme="minorEastAsia" w:eastAsiaTheme="minorEastAsia"/>
          <w:sz w:val="24"/>
          <w:szCs w:val="20"/>
        </w:rPr>
      </w:pPr>
      <w:bookmarkStart w:id="48" w:name="_Toc177870553"/>
      <w:r>
        <w:rPr>
          <w:rFonts w:hint="eastAsia" w:asciiTheme="minorEastAsia" w:hAnsiTheme="minorEastAsia" w:eastAsiaTheme="minorEastAsia"/>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bookmarkEnd w:id="48"/>
    <w:p w14:paraId="7E0BA0A0">
      <w:pPr>
        <w:numPr>
          <w:ilvl w:val="0"/>
          <w:numId w:val="11"/>
        </w:num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在符合性审查时，如发现下列情形之一的，投标文件将被视为无效投标：</w:t>
      </w:r>
    </w:p>
    <w:p w14:paraId="7455F973">
      <w:pPr>
        <w:snapToGrid w:val="0"/>
        <w:spacing w:line="360" w:lineRule="auto"/>
        <w:ind w:firstLine="480" w:firstLineChars="200"/>
        <w:rPr>
          <w:rFonts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1）投标有效期不足的；</w:t>
      </w:r>
    </w:p>
    <w:p w14:paraId="45C723B8">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（2）电子投标文件解密失败且未在规定时间内提交备份投标文件的；或仅提交备份投标文件的；</w:t>
      </w:r>
    </w:p>
    <w:p w14:paraId="39C0A2DD">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（3）供应商被列入失信被执行人、重大税收违法案件当事人名单、政府采购严重违法失信行为记录名单的；</w:t>
      </w:r>
    </w:p>
    <w:p w14:paraId="0E5E5FBF">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（4）投标文件未按招标文件要求签署、盖章的；</w:t>
      </w:r>
    </w:p>
    <w:p w14:paraId="6F195F78">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（5）与招标文件有重大偏离、未满足带“▲”号实质性指标的投标文件；</w:t>
      </w:r>
    </w:p>
    <w:p w14:paraId="08A73BB2">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（6）对一个标项提供两个投标方案的；</w:t>
      </w:r>
    </w:p>
    <w:p w14:paraId="65829865">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（7）商务技术文件中出现投标价格信息的；</w:t>
      </w:r>
    </w:p>
    <w:p w14:paraId="441E4F51">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（8）供应商被视为串通投标的；</w:t>
      </w:r>
    </w:p>
    <w:p w14:paraId="4E53C78A">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（9）投标文件含有采购人不能接受的附加条件的；</w:t>
      </w:r>
    </w:p>
    <w:p w14:paraId="65B28F03">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（10）不符合法律、法规和本招标文件规定的其他实质性要求的。</w:t>
      </w:r>
    </w:p>
    <w:p w14:paraId="2173810F">
      <w:pPr>
        <w:snapToGrid w:val="0"/>
        <w:spacing w:line="360" w:lineRule="auto"/>
        <w:ind w:firstLine="600" w:firstLineChars="250"/>
        <w:rPr>
          <w:rFonts w:asciiTheme="minorEastAsia" w:hAnsiTheme="minorEastAsia" w:eastAsiaTheme="minorEastAsia"/>
          <w:b/>
          <w:sz w:val="24"/>
        </w:rPr>
      </w:pPr>
      <w:r>
        <w:rPr>
          <w:rFonts w:hint="eastAsia" w:asciiTheme="minorEastAsia" w:hAnsiTheme="minorEastAsia" w:eastAsiaTheme="minorEastAsia"/>
          <w:sz w:val="24"/>
          <w:lang w:val="zh-CN"/>
        </w:rPr>
        <w:t>2.在技术评议时，如发现下列情形之一的，投标文件将被视为无效投标：</w:t>
      </w:r>
    </w:p>
    <w:p w14:paraId="4EEF1470">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）未提供或未如实提供投标货物的技术参数，或者投标文件标明的响应或偏离与事实不符或虚假投标的；</w:t>
      </w:r>
    </w:p>
    <w:p w14:paraId="6091BAB8">
      <w:pPr>
        <w:autoSpaceDE w:val="0"/>
        <w:autoSpaceDN w:val="0"/>
        <w:adjustRightInd w:val="0"/>
        <w:spacing w:line="360" w:lineRule="auto"/>
        <w:ind w:firstLine="480" w:firstLineChars="200"/>
        <w:rPr>
          <w:rFonts w:asciiTheme="minorEastAsia" w:hAnsiTheme="minorEastAsia" w:eastAsiaTheme="minorEastAsia"/>
          <w:b/>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2</w:t>
      </w:r>
      <w:r>
        <w:rPr>
          <w:rFonts w:hint="eastAsia" w:asciiTheme="minorEastAsia" w:hAnsiTheme="minorEastAsia" w:eastAsiaTheme="minorEastAsia"/>
          <w:sz w:val="24"/>
          <w:lang w:val="zh-CN"/>
        </w:rPr>
        <w:t>）明显不符合招标文件标明的规格型号、质量标准的；或者与招标文件中标</w:t>
      </w:r>
      <w:r>
        <w:rPr>
          <w:rFonts w:asciiTheme="minorEastAsia" w:hAnsiTheme="minorEastAsia" w:eastAsiaTheme="minorEastAsia"/>
          <w:sz w:val="24"/>
          <w:lang w:val="zh-CN"/>
        </w:rPr>
        <w:t>“</w:t>
      </w:r>
      <w:r>
        <w:rPr>
          <w:rFonts w:hint="eastAsia" w:asciiTheme="minorEastAsia" w:hAnsiTheme="minorEastAsia" w:eastAsiaTheme="minorEastAsia"/>
          <w:b/>
          <w:color w:val="000000"/>
          <w:szCs w:val="21"/>
        </w:rPr>
        <w:t>▲</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的技术指标、主要功能项目发生实质性偏离的；</w:t>
      </w:r>
    </w:p>
    <w:p w14:paraId="0F5DDE9E">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（3）投标技术方案不明确，存在一个或一个以上备选（替代）投标方案的；</w:t>
      </w:r>
    </w:p>
    <w:p w14:paraId="71B92CAA">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（4）与其他参加本次投标供应商的投标文件（商务技术文件）的文字表述内容相同连续20行以上或者差错相同2处以上的；</w:t>
      </w:r>
    </w:p>
    <w:p w14:paraId="4D323B7B">
      <w:pPr>
        <w:autoSpaceDE w:val="0"/>
        <w:autoSpaceDN w:val="0"/>
        <w:adjustRightInd w:val="0"/>
        <w:spacing w:line="360" w:lineRule="auto"/>
        <w:ind w:firstLine="600" w:firstLineChars="250"/>
        <w:rPr>
          <w:rFonts w:asciiTheme="minorEastAsia" w:hAnsiTheme="minorEastAsia" w:eastAsiaTheme="minorEastAsia"/>
          <w:sz w:val="24"/>
          <w:lang w:val="zh-CN"/>
        </w:rPr>
      </w:pPr>
      <w:r>
        <w:rPr>
          <w:rFonts w:hint="eastAsia" w:asciiTheme="minorEastAsia" w:hAnsiTheme="minorEastAsia" w:eastAsiaTheme="minorEastAsia"/>
          <w:sz w:val="24"/>
          <w:lang w:val="zh-CN"/>
        </w:rPr>
        <w:t>3.在报价评议时，如发现下列情形之一的，投标文件将被视为无效投标：</w:t>
      </w:r>
    </w:p>
    <w:p w14:paraId="108D30BD">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（1）未采用人民币报价或者未按照招标文件标明的币种报价的；</w:t>
      </w:r>
    </w:p>
    <w:p w14:paraId="0B46D723">
      <w:pPr>
        <w:autoSpaceDE w:val="0"/>
        <w:autoSpaceDN w:val="0"/>
        <w:adjustRightInd w:val="0"/>
        <w:spacing w:line="360" w:lineRule="auto"/>
        <w:ind w:left="482"/>
        <w:rPr>
          <w:rFonts w:asciiTheme="minorEastAsia" w:hAnsiTheme="minorEastAsia" w:eastAsiaTheme="minorEastAsia"/>
          <w:b/>
          <w:sz w:val="24"/>
          <w:lang w:val="zh-CN"/>
        </w:rPr>
      </w:pPr>
      <w:r>
        <w:rPr>
          <w:rFonts w:hint="eastAsia" w:asciiTheme="minorEastAsia" w:hAnsiTheme="minorEastAsia" w:eastAsiaTheme="minorEastAsia"/>
          <w:sz w:val="24"/>
          <w:lang w:val="zh-CN"/>
        </w:rPr>
        <w:t>（2）投标总报价超出招标文件规定的上限价的，或者投标单价超出招标文件规定的上限价的；</w:t>
      </w:r>
    </w:p>
    <w:p w14:paraId="37C197C2">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（3）投标函的投标报价与开标一览表的总价不一致的；</w:t>
      </w:r>
    </w:p>
    <w:p w14:paraId="64428F7D">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（4）投标报价具有选择性，唱标价格与投标文件承诺的优惠/折扣后价格不一致的。</w:t>
      </w:r>
    </w:p>
    <w:p w14:paraId="683D9416">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4.符合招标文件明确规定的其他无效投标条款的。</w:t>
      </w:r>
    </w:p>
    <w:p w14:paraId="0D10A23D">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5.有下列情形之一的，投标无效且将投标文件、询标记录等报监管部门或有关职能部门查处：</w:t>
      </w:r>
    </w:p>
    <w:p w14:paraId="21BAA1C1">
      <w:pPr>
        <w:autoSpaceDE w:val="0"/>
        <w:autoSpaceDN w:val="0"/>
        <w:adjustRightInd w:val="0"/>
        <w:spacing w:line="360" w:lineRule="auto"/>
        <w:ind w:left="480"/>
        <w:rPr>
          <w:rFonts w:asciiTheme="minorEastAsia" w:hAnsiTheme="minorEastAsia" w:eastAsiaTheme="minorEastAsia"/>
          <w:sz w:val="24"/>
          <w:lang w:val="zh-CN"/>
        </w:rPr>
      </w:pPr>
      <w:r>
        <w:rPr>
          <w:rFonts w:hint="eastAsia" w:asciiTheme="minorEastAsia" w:hAnsiTheme="minorEastAsia" w:eastAsiaTheme="minorEastAsia"/>
          <w:sz w:val="24"/>
          <w:lang w:val="zh-CN"/>
        </w:rPr>
        <w:t>（1）未如实提供产品质量、性能等方面的缺陷或停产淘汰、债权债务、违法记录信息，影响或者可能影响中标结果的；</w:t>
      </w:r>
    </w:p>
    <w:p w14:paraId="4B638521">
      <w:pPr>
        <w:pStyle w:val="16"/>
        <w:snapToGrid w:val="0"/>
        <w:spacing w:line="360" w:lineRule="auto"/>
        <w:ind w:leftChars="0"/>
        <w:rPr>
          <w:rFonts w:asciiTheme="minorEastAsia" w:hAnsiTheme="minorEastAsia" w:eastAsiaTheme="minorEastAsia"/>
          <w:sz w:val="24"/>
          <w:lang w:val="zh-CN"/>
        </w:rPr>
      </w:pPr>
      <w:r>
        <w:rPr>
          <w:rFonts w:hint="eastAsia" w:asciiTheme="minorEastAsia" w:hAnsiTheme="minorEastAsia" w:eastAsiaTheme="minorEastAsia"/>
          <w:sz w:val="24"/>
          <w:lang w:val="zh-CN"/>
        </w:rPr>
        <w:t>（2）采购活动中有其他违法违规行为的；</w:t>
      </w:r>
    </w:p>
    <w:p w14:paraId="660F1D8E">
      <w:pPr>
        <w:pStyle w:val="16"/>
        <w:snapToGrid w:val="0"/>
        <w:spacing w:after="0" w:line="360" w:lineRule="auto"/>
        <w:ind w:left="0" w:leftChars="0"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四、开标</w:t>
      </w:r>
    </w:p>
    <w:p w14:paraId="5E433602">
      <w:pPr>
        <w:pStyle w:val="16"/>
        <w:snapToGrid w:val="0"/>
        <w:spacing w:after="0" w:line="360" w:lineRule="auto"/>
        <w:ind w:left="0" w:leftChars="0" w:firstLine="354" w:firstLineChars="147"/>
        <w:outlineLvl w:val="1"/>
        <w:rPr>
          <w:rFonts w:asciiTheme="minorEastAsia" w:hAnsiTheme="minorEastAsia" w:eastAsiaTheme="minorEastAsia"/>
          <w:b/>
          <w:sz w:val="24"/>
        </w:rPr>
      </w:pPr>
      <w:r>
        <w:rPr>
          <w:rFonts w:hint="eastAsia" w:asciiTheme="minorEastAsia" w:hAnsiTheme="minorEastAsia" w:eastAsiaTheme="minorEastAsia"/>
          <w:b/>
          <w:sz w:val="24"/>
        </w:rPr>
        <w:t>（一）开标准备</w:t>
      </w:r>
    </w:p>
    <w:p w14:paraId="29661356">
      <w:pPr>
        <w:autoSpaceDE w:val="0"/>
        <w:autoSpaceDN w:val="0"/>
        <w:adjustRightInd w:val="0"/>
        <w:spacing w:line="360" w:lineRule="auto"/>
        <w:ind w:firstLine="354"/>
        <w:rPr>
          <w:rFonts w:asciiTheme="minorEastAsia" w:hAnsiTheme="minorEastAsia" w:eastAsiaTheme="minorEastAsia"/>
          <w:sz w:val="24"/>
          <w:lang w:val="zh-CN"/>
        </w:rPr>
      </w:pPr>
      <w:r>
        <w:rPr>
          <w:rFonts w:hint="eastAsia" w:asciiTheme="minorEastAsia" w:hAnsiTheme="minorEastAsia" w:eastAsiaTheme="minorEastAsia"/>
          <w:sz w:val="24"/>
          <w:lang w:val="zh-CN"/>
        </w:rPr>
        <w:t>采购组织机构将按照招标文件规定的时间通过“乐采云平台”组织开标、开启投标文件，所有供应商均应当准时在线参加</w:t>
      </w:r>
    </w:p>
    <w:p w14:paraId="5E9F0416">
      <w:pPr>
        <w:pStyle w:val="18"/>
        <w:snapToGrid w:val="0"/>
        <w:spacing w:line="360" w:lineRule="auto"/>
        <w:ind w:firstLine="354" w:firstLineChars="147"/>
        <w:rPr>
          <w:rFonts w:asciiTheme="minorEastAsia" w:hAnsiTheme="minorEastAsia" w:eastAsiaTheme="minorEastAsia"/>
          <w:b/>
          <w:color w:val="FF0000"/>
          <w:sz w:val="24"/>
        </w:rPr>
      </w:pPr>
      <w:r>
        <w:rPr>
          <w:rFonts w:hint="eastAsia" w:asciiTheme="minorEastAsia" w:hAnsiTheme="minorEastAsia" w:eastAsiaTheme="minorEastAsia"/>
          <w:b/>
          <w:sz w:val="24"/>
        </w:rPr>
        <w:t xml:space="preserve">（二） </w:t>
      </w:r>
      <w:r>
        <w:rPr>
          <w:rFonts w:hint="eastAsia" w:asciiTheme="minorEastAsia" w:hAnsiTheme="minorEastAsia" w:eastAsiaTheme="minorEastAsia"/>
          <w:b/>
          <w:color w:val="000000"/>
          <w:sz w:val="24"/>
        </w:rPr>
        <w:t>开标准备：</w:t>
      </w:r>
    </w:p>
    <w:p w14:paraId="15DF00C0">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1、开标的准备工作由采购组织机构负责落实；</w:t>
      </w:r>
    </w:p>
    <w:p w14:paraId="2073CCEB">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采购组织机构将按照招标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CB0BDDC">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（三）开标流程</w:t>
      </w:r>
    </w:p>
    <w:p w14:paraId="72C6F18A">
      <w:pPr>
        <w:pStyle w:val="18"/>
        <w:snapToGrid w:val="0"/>
        <w:spacing w:line="360" w:lineRule="auto"/>
        <w:ind w:firstLine="470" w:firstLineChars="196"/>
        <w:rPr>
          <w:rFonts w:asciiTheme="minorEastAsia" w:hAnsiTheme="minorEastAsia" w:eastAsiaTheme="minorEastAsia"/>
          <w:sz w:val="24"/>
          <w:szCs w:val="24"/>
          <w:lang w:val="zh-CN"/>
        </w:rPr>
      </w:pPr>
      <w:r>
        <w:rPr>
          <w:rFonts w:asciiTheme="minorEastAsia" w:hAnsiTheme="minorEastAsia" w:eastAsiaTheme="minorEastAsia"/>
          <w:sz w:val="24"/>
          <w:szCs w:val="24"/>
          <w:lang w:val="zh-CN"/>
        </w:rPr>
        <w:t>1</w:t>
      </w:r>
      <w:r>
        <w:rPr>
          <w:rFonts w:hint="eastAsia" w:asciiTheme="minorEastAsia" w:hAnsiTheme="minorEastAsia" w:eastAsiaTheme="minorEastAsia"/>
          <w:sz w:val="24"/>
          <w:szCs w:val="24"/>
          <w:lang w:val="zh-CN"/>
        </w:rPr>
        <w:t>.</w:t>
      </w:r>
      <w:r>
        <w:rPr>
          <w:rFonts w:asciiTheme="minorEastAsia" w:hAnsiTheme="minorEastAsia" w:eastAsiaTheme="minorEastAsia"/>
          <w:sz w:val="24"/>
          <w:szCs w:val="24"/>
          <w:lang w:val="zh-CN"/>
        </w:rPr>
        <w:t>投标截止时间后</w:t>
      </w:r>
      <w:r>
        <w:rPr>
          <w:rFonts w:hint="eastAsia" w:asciiTheme="minorEastAsia" w:hAnsiTheme="minorEastAsia" w:eastAsiaTheme="minorEastAsia"/>
          <w:sz w:val="24"/>
          <w:szCs w:val="24"/>
          <w:lang w:val="zh-CN"/>
        </w:rPr>
        <w:t>，采购组织机构向各投标供应商发出电子加密投标文件【开始解密】通知，由供应商按招标文件规定的时间内自行进行投标文件解密。在线解密电子投标文件时间为开标时间起半个小时内。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0926C450">
      <w:pPr>
        <w:pStyle w:val="18"/>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2.评标委员会对资格和商务技术响应文件进行评审；</w:t>
      </w:r>
    </w:p>
    <w:p w14:paraId="47C26406">
      <w:pPr>
        <w:pStyle w:val="18"/>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3.在系统上公开资格和商务技术评审结果；</w:t>
      </w:r>
    </w:p>
    <w:p w14:paraId="5336B838">
      <w:pPr>
        <w:pStyle w:val="18"/>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4.在系统上公开报价开标情况；</w:t>
      </w:r>
    </w:p>
    <w:p w14:paraId="67B36A1F">
      <w:pPr>
        <w:pStyle w:val="18"/>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5.评标委员会对报价情况进行评审；</w:t>
      </w:r>
    </w:p>
    <w:p w14:paraId="55849986">
      <w:pPr>
        <w:pStyle w:val="18"/>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6.在系统上公布评审结果。</w:t>
      </w:r>
    </w:p>
    <w:p w14:paraId="5F520CC1">
      <w:pPr>
        <w:spacing w:line="360" w:lineRule="auto"/>
        <w:ind w:firstLine="426" w:firstLineChars="177"/>
        <w:jc w:val="left"/>
        <w:rPr>
          <w:rFonts w:cs="Arial" w:asciiTheme="minorEastAsia" w:hAnsiTheme="minorEastAsia" w:eastAsiaTheme="minorEastAsia"/>
          <w:b/>
          <w:color w:val="000000"/>
          <w:kern w:val="0"/>
          <w:sz w:val="24"/>
        </w:rPr>
      </w:pPr>
      <w:r>
        <w:rPr>
          <w:rFonts w:hint="eastAsia" w:cs="Arial" w:asciiTheme="minorEastAsia" w:hAnsiTheme="minorEastAsia" w:eastAsiaTheme="minorEastAsia"/>
          <w:b/>
          <w:color w:val="000000"/>
          <w:kern w:val="0"/>
          <w:sz w:val="24"/>
        </w:rPr>
        <w:t>特别说明：如遇“</w:t>
      </w:r>
      <w:r>
        <w:rPr>
          <w:rFonts w:hint="eastAsia" w:cs="Arial" w:asciiTheme="minorEastAsia" w:hAnsiTheme="minorEastAsia" w:eastAsiaTheme="minorEastAsia"/>
          <w:b/>
          <w:color w:val="000000"/>
          <w:kern w:val="0"/>
          <w:sz w:val="24"/>
          <w:lang w:eastAsia="zh-CN"/>
        </w:rPr>
        <w:t>乐采云平台</w:t>
      </w:r>
      <w:r>
        <w:rPr>
          <w:rFonts w:hint="eastAsia" w:cs="Arial" w:asciiTheme="minorEastAsia" w:hAnsiTheme="minorEastAsia" w:eastAsiaTheme="minorEastAsia"/>
          <w:b/>
          <w:color w:val="000000"/>
          <w:kern w:val="0"/>
          <w:sz w:val="24"/>
        </w:rPr>
        <w:t>”电子化开标或评审程序调整的，按调整后程序执行。</w:t>
      </w:r>
    </w:p>
    <w:p w14:paraId="1771111E">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（四）投标供应商资格审查</w:t>
      </w:r>
    </w:p>
    <w:p w14:paraId="4D467815">
      <w:pPr>
        <w:pStyle w:val="18"/>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1、开标大会第一阶段结束后，采购人或采购代理机构首先依法对各投标供应商的资格进行审查，审查各投标供应商的资格是否满足招标文件的要求。</w:t>
      </w:r>
      <w:r>
        <w:rPr>
          <w:rFonts w:asciiTheme="minorEastAsia" w:hAnsiTheme="minorEastAsia" w:eastAsiaTheme="minorEastAsia"/>
          <w:sz w:val="24"/>
          <w:szCs w:val="24"/>
          <w:lang w:val="zh-CN"/>
        </w:rPr>
        <w:t>采购人或采购代理机构对投标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w:t>
      </w:r>
      <w:r>
        <w:rPr>
          <w:rFonts w:hint="eastAsia" w:asciiTheme="minorEastAsia" w:hAnsiTheme="minorEastAsia" w:eastAsiaTheme="minorEastAsia"/>
          <w:sz w:val="24"/>
          <w:szCs w:val="24"/>
          <w:lang w:val="zh-CN"/>
        </w:rPr>
        <w:t>提交</w:t>
      </w:r>
      <w:r>
        <w:rPr>
          <w:rFonts w:asciiTheme="minorEastAsia" w:hAnsiTheme="minorEastAsia" w:eastAsiaTheme="minorEastAsia"/>
          <w:sz w:val="24"/>
          <w:szCs w:val="24"/>
          <w:lang w:val="zh-CN"/>
        </w:rPr>
        <w:t>的资格证明材料仅负审核的责任。如发现投标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所提</w:t>
      </w:r>
      <w:r>
        <w:rPr>
          <w:rFonts w:hint="eastAsia" w:asciiTheme="minorEastAsia" w:hAnsiTheme="minorEastAsia" w:eastAsiaTheme="minorEastAsia"/>
          <w:sz w:val="24"/>
          <w:szCs w:val="24"/>
          <w:lang w:val="zh-CN"/>
        </w:rPr>
        <w:t>交</w:t>
      </w:r>
      <w:r>
        <w:rPr>
          <w:rFonts w:asciiTheme="minorEastAsia" w:hAnsiTheme="minorEastAsia" w:eastAsiaTheme="minorEastAsia"/>
          <w:sz w:val="24"/>
          <w:szCs w:val="24"/>
          <w:lang w:val="zh-CN"/>
        </w:rPr>
        <w:t>的资格证明材料不合法或</w:t>
      </w:r>
      <w:r>
        <w:rPr>
          <w:rFonts w:hint="eastAsia" w:asciiTheme="minorEastAsia" w:hAnsiTheme="minorEastAsia" w:eastAsiaTheme="minorEastAsia"/>
          <w:sz w:val="24"/>
          <w:szCs w:val="24"/>
          <w:lang w:val="zh-CN"/>
        </w:rPr>
        <w:t>与事实不符</w:t>
      </w:r>
      <w:r>
        <w:rPr>
          <w:rFonts w:asciiTheme="minorEastAsia" w:hAnsiTheme="minorEastAsia" w:eastAsiaTheme="minorEastAsia"/>
          <w:sz w:val="24"/>
          <w:szCs w:val="24"/>
          <w:lang w:val="zh-CN"/>
        </w:rPr>
        <w:t>，采购人可取消</w:t>
      </w:r>
      <w:r>
        <w:rPr>
          <w:rFonts w:hint="eastAsia" w:asciiTheme="minorEastAsia" w:hAnsiTheme="minorEastAsia" w:eastAsiaTheme="minorEastAsia"/>
          <w:sz w:val="24"/>
          <w:szCs w:val="24"/>
          <w:lang w:val="zh-CN"/>
        </w:rPr>
        <w:t>其</w:t>
      </w:r>
      <w:r>
        <w:rPr>
          <w:rFonts w:asciiTheme="minorEastAsia" w:hAnsiTheme="minorEastAsia" w:eastAsiaTheme="minorEastAsia"/>
          <w:sz w:val="24"/>
          <w:szCs w:val="24"/>
          <w:lang w:val="zh-CN"/>
        </w:rPr>
        <w:t>中标资格并追究投标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的法律责任。</w:t>
      </w:r>
    </w:p>
    <w:p w14:paraId="1E7A144F">
      <w:pPr>
        <w:pStyle w:val="18"/>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43B14F4F">
      <w:pPr>
        <w:pStyle w:val="18"/>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3、单位负责人为同一人或者存在直接控股、管理关系的不同供应商参加同一合同项下的国企采购活动的，相关投标供应商均作资格无效处理。</w:t>
      </w:r>
    </w:p>
    <w:p w14:paraId="7BE6BAA1">
      <w:pPr>
        <w:autoSpaceDE w:val="0"/>
        <w:autoSpaceDN w:val="0"/>
        <w:adjustRightInd w:val="0"/>
        <w:spacing w:line="360" w:lineRule="auto"/>
        <w:ind w:firstLine="482" w:firstLineChars="200"/>
        <w:rPr>
          <w:rFonts w:asciiTheme="minorEastAsia" w:hAnsiTheme="minorEastAsia" w:eastAsiaTheme="minorEastAsia"/>
          <w:b/>
          <w:sz w:val="24"/>
          <w:lang w:val="zh-CN"/>
        </w:rPr>
      </w:pPr>
      <w:r>
        <w:rPr>
          <w:rFonts w:hint="eastAsia" w:asciiTheme="minorEastAsia" w:hAnsiTheme="minorEastAsia" w:eastAsiaTheme="minorEastAsia"/>
          <w:b/>
          <w:sz w:val="24"/>
          <w:lang w:val="zh-CN"/>
        </w:rPr>
        <w:t>五、评标</w:t>
      </w:r>
    </w:p>
    <w:p w14:paraId="370F23F2">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（一）组建评标委员会</w:t>
      </w:r>
    </w:p>
    <w:p w14:paraId="15FAF2A1">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采购机构依法组建由</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lang w:val="zh-CN"/>
        </w:rPr>
        <w:t xml:space="preserve">人以上（含）奇数的人员组成的评标委员会，负责对投标文件进行审查、质询、评审和比较等。评标委员会由采购人代表和采购咨询专家组成，其中采购咨询专家人数不少于成员总数的三分之二。 </w:t>
      </w:r>
    </w:p>
    <w:p w14:paraId="3C06766F">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（二）评标的依据</w:t>
      </w:r>
    </w:p>
    <w:p w14:paraId="3684DF14">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本项目采用不公开方式评标，评标的依据为招标文件和投标文件。</w:t>
      </w:r>
    </w:p>
    <w:p w14:paraId="24925B5F">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（三）评标程序</w:t>
      </w:r>
    </w:p>
    <w:p w14:paraId="0D881FF4">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1.资格审查</w:t>
      </w:r>
    </w:p>
    <w:p w14:paraId="6024753E">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14:paraId="327621D0">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评标委员会对供应商的投标文件的完整性、合法性等进行审查。</w:t>
      </w:r>
    </w:p>
    <w:p w14:paraId="5A4A1255">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2.实质审查与比较</w:t>
      </w:r>
    </w:p>
    <w:p w14:paraId="70D8B5B4">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（1）评标委员会审查投标文件的实质性内容是否符合招标文件的实质性要求。</w:t>
      </w:r>
    </w:p>
    <w:p w14:paraId="6E6C2CBD">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（2）评标委员会将根据供应商的投标文件进行审查、核对,如有疑问,将对供应商进行询标,供应商要向评标委员会澄清有关问题,并最终以书面形式进行答复。</w:t>
      </w:r>
    </w:p>
    <w:p w14:paraId="490DDE79">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（3）各供应商的商务技术得分按照评标委员会成员的独立评分结果汇总数后的算术平均分计算。</w:t>
      </w:r>
    </w:p>
    <w:p w14:paraId="0B09312E">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（4）评标委员会根据供应商的报价,计算各供应商的价格分。</w:t>
      </w:r>
    </w:p>
    <w:p w14:paraId="24DB0297">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（5）评标委员会完成评标后,评委对各部分得分汇总,得出本项目最终得分,评标委员会按评标原则推荐中标候选人同时起草评标报告。</w:t>
      </w:r>
    </w:p>
    <w:p w14:paraId="1F63AD11">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（四）澄清问题的形式</w:t>
      </w:r>
    </w:p>
    <w:p w14:paraId="2D8A9557">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授权代表签字或盖章确认，并不得超出投标文件的范围或者改变投标文件的实质性内容。</w:t>
      </w:r>
    </w:p>
    <w:p w14:paraId="504D857B">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（五）错误修正</w:t>
      </w:r>
    </w:p>
    <w:p w14:paraId="66D7C8A5">
      <w:pPr>
        <w:pStyle w:val="18"/>
        <w:snapToGrid w:val="0"/>
        <w:spacing w:line="360" w:lineRule="auto"/>
        <w:ind w:firstLine="434" w:firstLineChars="181"/>
        <w:rPr>
          <w:rFonts w:asciiTheme="minorEastAsia" w:hAnsiTheme="minorEastAsia" w:eastAsiaTheme="minorEastAsia"/>
          <w:sz w:val="24"/>
        </w:rPr>
      </w:pPr>
      <w:bookmarkStart w:id="49" w:name="_Toc177870555"/>
      <w:r>
        <w:rPr>
          <w:rFonts w:hint="eastAsia" w:asciiTheme="minorEastAsia" w:hAnsiTheme="minorEastAsia" w:eastAsiaTheme="minorEastAsia"/>
          <w:sz w:val="24"/>
        </w:rPr>
        <w:t>投标文件如果出现计算或表达上的错误，修正错误的原则如下：</w:t>
      </w:r>
    </w:p>
    <w:p w14:paraId="6F09F00C">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1.对不同文字文本投标文件的解释发生异议的，以中文文本为准。</w:t>
      </w:r>
    </w:p>
    <w:p w14:paraId="6AFD7726">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2.投标文件报价出现前后不一致的，除招标文件另有规定外，按照下列规定修正： </w:t>
      </w:r>
    </w:p>
    <w:p w14:paraId="733431A9">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（1）投标文件中开标一览表（报价表）内容与投标文件中相应内容不一致的，以开标一览表（报价表）为准； </w:t>
      </w:r>
    </w:p>
    <w:p w14:paraId="220A4B24">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（2）电子交易平台客户端里开标一览表录入的投标报价信息与扫描上传的报价文件不一致的，以扫描上传的报价文件为准。</w:t>
      </w:r>
    </w:p>
    <w:p w14:paraId="277F6D15">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（3）大写金额和小写金额不一致的，以大写金额为准； </w:t>
      </w:r>
    </w:p>
    <w:p w14:paraId="3A935E68">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（4）单价金额小数点或者百分比有明显错位的，以开标一览表的总价为准，并修改单价； </w:t>
      </w:r>
    </w:p>
    <w:p w14:paraId="1646C80C">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（5）总价金额与按单价汇总金额不一致的，以单价金额计算结果为准。 </w:t>
      </w:r>
    </w:p>
    <w:p w14:paraId="0E997FB8">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同时出现两种以上不一致的，按照前款规定的顺序修正。投标人同意后，调整后的投标报价对投标人起约束作用。如果投标人不接受修正后的报价，则其投标将被拒绝。</w:t>
      </w:r>
    </w:p>
    <w:p w14:paraId="2D217548">
      <w:pPr>
        <w:pStyle w:val="18"/>
        <w:snapToGrid w:val="0"/>
        <w:spacing w:line="360" w:lineRule="auto"/>
        <w:ind w:firstLine="557" w:firstLineChars="231"/>
        <w:rPr>
          <w:rFonts w:asciiTheme="minorEastAsia" w:hAnsiTheme="minorEastAsia" w:eastAsiaTheme="minorEastAsia"/>
          <w:b/>
          <w:sz w:val="24"/>
        </w:rPr>
      </w:pPr>
      <w:r>
        <w:rPr>
          <w:rFonts w:hint="eastAsia" w:asciiTheme="minorEastAsia" w:hAnsiTheme="minorEastAsia" w:eastAsiaTheme="minorEastAsia"/>
          <w:b/>
          <w:color w:val="000000"/>
          <w:sz w:val="24"/>
        </w:rPr>
        <w:t xml:space="preserve">（六） </w:t>
      </w:r>
      <w:r>
        <w:rPr>
          <w:rFonts w:hint="eastAsia" w:asciiTheme="minorEastAsia" w:hAnsiTheme="minorEastAsia" w:eastAsiaTheme="minorEastAsia"/>
          <w:b/>
          <w:sz w:val="24"/>
        </w:rPr>
        <w:t>评标过程的保密</w:t>
      </w:r>
    </w:p>
    <w:p w14:paraId="1953A595">
      <w:pPr>
        <w:pStyle w:val="18"/>
        <w:snapToGrid w:val="0"/>
        <w:spacing w:line="360" w:lineRule="auto"/>
        <w:ind w:firstLine="556" w:firstLineChars="232"/>
        <w:rPr>
          <w:rFonts w:asciiTheme="minorEastAsia" w:hAnsiTheme="minorEastAsia" w:eastAsiaTheme="minorEastAsia"/>
          <w:color w:val="000000"/>
          <w:sz w:val="24"/>
        </w:rPr>
      </w:pPr>
      <w:r>
        <w:rPr>
          <w:rFonts w:hint="eastAsia" w:asciiTheme="minorEastAsia" w:hAnsiTheme="minorEastAsia" w:eastAsiaTheme="minorEastAsia"/>
          <w:sz w:val="24"/>
        </w:rPr>
        <w:t>凡是属于审查、澄清、评审和比较的有关资料以及授标建议，任何人均不得向投标人或其他无关的人员透露。</w:t>
      </w:r>
      <w:r>
        <w:rPr>
          <w:rFonts w:hint="eastAsia" w:asciiTheme="minorEastAsia" w:hAnsiTheme="minorEastAsia" w:eastAsiaTheme="minorEastAsia"/>
          <w:sz w:val="24"/>
          <w:lang w:val="zh-CN"/>
        </w:rPr>
        <w:t>本项目评标过程实行全程录像监控，</w:t>
      </w:r>
      <w:r>
        <w:rPr>
          <w:rFonts w:hint="eastAsia" w:asciiTheme="minorEastAsia" w:hAnsiTheme="minorEastAsia" w:eastAsiaTheme="minorEastAsia"/>
          <w:sz w:val="24"/>
        </w:rPr>
        <w:t>投标人在评标过程中，所进行的力图影响评标结果的不公正活动，可能导致其投标被拒绝。</w:t>
      </w:r>
    </w:p>
    <w:p w14:paraId="6F65DA07">
      <w:pPr>
        <w:pStyle w:val="18"/>
        <w:tabs>
          <w:tab w:val="left" w:pos="630"/>
        </w:tabs>
        <w:snapToGrid w:val="0"/>
        <w:spacing w:line="360" w:lineRule="auto"/>
        <w:ind w:firstLine="439" w:firstLineChars="182"/>
        <w:rPr>
          <w:rFonts w:asciiTheme="minorEastAsia" w:hAnsiTheme="minorEastAsia" w:eastAsiaTheme="minorEastAsia"/>
          <w:b/>
          <w:sz w:val="24"/>
        </w:rPr>
      </w:pPr>
      <w:r>
        <w:rPr>
          <w:rFonts w:hint="eastAsia" w:asciiTheme="minorEastAsia" w:hAnsiTheme="minorEastAsia" w:eastAsiaTheme="minorEastAsia"/>
          <w:b/>
          <w:sz w:val="24"/>
        </w:rPr>
        <w:t>（七）评标原则和评标办法</w:t>
      </w:r>
    </w:p>
    <w:bookmarkEnd w:id="49"/>
    <w:p w14:paraId="60EA82FB">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1.评标原则。评标委员会必须公平、公正、客观，不带任何倾向性和启发性；不得向外界透露任何与评标有关的内容；任何单位和个人不得干扰、影响评标的正常进行；评标委员会及有关工作人员不得私下与投标人接触； </w:t>
      </w:r>
    </w:p>
    <w:p w14:paraId="7ACE7030">
      <w:pPr>
        <w:autoSpaceDE w:val="0"/>
        <w:autoSpaceDN w:val="0"/>
        <w:adjustRightInd w:val="0"/>
        <w:spacing w:line="276"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2.评标办法。根据采购项目的实际情况采用综合评分法。本项目的具体评标办法详见《第四章：评标办法及评分标准》。</w:t>
      </w:r>
    </w:p>
    <w:p w14:paraId="1BCAD526">
      <w:pPr>
        <w:pStyle w:val="18"/>
        <w:snapToGrid w:val="0"/>
        <w:spacing w:line="360" w:lineRule="auto"/>
        <w:ind w:firstLine="436" w:firstLineChars="181"/>
        <w:outlineLvl w:val="1"/>
        <w:rPr>
          <w:rFonts w:asciiTheme="minorEastAsia" w:hAnsiTheme="minorEastAsia" w:eastAsiaTheme="minorEastAsia"/>
          <w:b/>
          <w:sz w:val="24"/>
        </w:rPr>
      </w:pPr>
      <w:r>
        <w:rPr>
          <w:rFonts w:hint="eastAsia" w:asciiTheme="minorEastAsia" w:hAnsiTheme="minorEastAsia" w:eastAsiaTheme="minorEastAsia"/>
          <w:b/>
          <w:sz w:val="24"/>
        </w:rPr>
        <w:t>六、中标公示和定标</w:t>
      </w:r>
    </w:p>
    <w:p w14:paraId="712D7D8D">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1.中标公示：采购机构在评标结束后将采购结果确认函交采购人确认，采购结果经采购人确认后，将采购结果在发布招标公告的网站上进行1个工作日的中标公示。</w:t>
      </w:r>
    </w:p>
    <w:p w14:paraId="08790218">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2.质疑：相关投标人如对采购结果有异议需提出质疑的，应当在中标公示结束前以书面形式向采购机构提出。</w:t>
      </w:r>
    </w:p>
    <w:p w14:paraId="674D873A">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3.质疑处理：相关投标人提出质疑后，采购人有权要求中标候选人提供相关证明材料。</w:t>
      </w:r>
    </w:p>
    <w:p w14:paraId="0FFF82E8">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4.采购人应在收到采购结果确认函后5个工作日内对采购结果进行确认。如有投标人对采购结果提出质疑的，采购人可在质疑处理完毕后确定中标人。</w:t>
      </w:r>
    </w:p>
    <w:p w14:paraId="6371EDEE">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5.采购结果在中标公示结束后，采购机构以书面形式发出《中标通知书》。如有投标人在中标公示期间提出质疑的，按照相关法规执行。</w:t>
      </w:r>
    </w:p>
    <w:p w14:paraId="5CD31165">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七、合同授予</w:t>
      </w:r>
    </w:p>
    <w:p w14:paraId="29CC8748">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中标人应在中标通知书发出后30日内与采购人签订合同。</w:t>
      </w:r>
    </w:p>
    <w:p w14:paraId="7CA6E69B">
      <w:pPr>
        <w:pStyle w:val="18"/>
        <w:snapToGrid w:val="0"/>
        <w:spacing w:after="120" w:line="360" w:lineRule="auto"/>
        <w:ind w:firstLine="470" w:firstLineChars="196"/>
        <w:rPr>
          <w:rFonts w:asciiTheme="minorEastAsia" w:hAnsiTheme="minorEastAsia" w:eastAsiaTheme="minorEastAsia"/>
          <w:sz w:val="24"/>
          <w:lang w:val="zh-CN"/>
        </w:rPr>
      </w:pPr>
      <w:r>
        <w:rPr>
          <w:rFonts w:asciiTheme="minorEastAsia" w:hAnsiTheme="minorEastAsia" w:eastAsiaTheme="minorEastAsia"/>
          <w:sz w:val="24"/>
          <w:lang w:val="zh-CN"/>
        </w:rPr>
        <w:t>2.</w:t>
      </w:r>
      <w:r>
        <w:rPr>
          <w:rFonts w:hint="eastAsia" w:asciiTheme="minorEastAsia" w:hAnsiTheme="minorEastAsia" w:eastAsiaTheme="minorEastAsia"/>
          <w:sz w:val="24"/>
          <w:lang w:val="zh-CN"/>
        </w:rPr>
        <w:t>中标人拖延、拒签合同的</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将被取消中标资格。</w:t>
      </w:r>
    </w:p>
    <w:bookmarkEnd w:id="1"/>
    <w:p w14:paraId="5DBF4A45">
      <w:pPr>
        <w:autoSpaceDE w:val="0"/>
        <w:autoSpaceDN w:val="0"/>
        <w:adjustRightInd w:val="0"/>
        <w:spacing w:line="360" w:lineRule="auto"/>
        <w:ind w:firstLine="437"/>
        <w:rPr>
          <w:rFonts w:asciiTheme="minorEastAsia" w:hAnsiTheme="minorEastAsia" w:eastAsiaTheme="minorEastAsia"/>
          <w:sz w:val="24"/>
        </w:rPr>
        <w:sectPr>
          <w:pgSz w:w="11910" w:h="16840"/>
          <w:pgMar w:top="1134" w:right="1344" w:bottom="1134" w:left="1304" w:header="0" w:footer="993" w:gutter="0"/>
          <w:cols w:space="0" w:num="1"/>
        </w:sectPr>
      </w:pPr>
      <w:bookmarkStart w:id="50" w:name="_Hlk521930991"/>
    </w:p>
    <w:p w14:paraId="2B1097EB">
      <w:pPr>
        <w:pStyle w:val="31"/>
        <w:adjustRightInd w:val="0"/>
        <w:snapToGrid w:val="0"/>
        <w:spacing w:after="0"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sz w:val="32"/>
          <w:szCs w:val="32"/>
        </w:rPr>
        <w:t>第四章  评标办法及评分标准</w:t>
      </w:r>
    </w:p>
    <w:bookmarkEnd w:id="50"/>
    <w:p w14:paraId="182530CC">
      <w:pPr>
        <w:spacing w:after="120" w:afterLines="50" w:line="240" w:lineRule="auto"/>
        <w:rPr>
          <w:rFonts w:asciiTheme="minorEastAsia" w:hAnsiTheme="minorEastAsia" w:eastAsiaTheme="minorEastAsia"/>
          <w:b/>
          <w:sz w:val="24"/>
        </w:rPr>
      </w:pPr>
      <w:r>
        <w:rPr>
          <w:rFonts w:hint="eastAsia" w:asciiTheme="minorEastAsia" w:hAnsiTheme="minorEastAsia" w:eastAsiaTheme="minorEastAsia"/>
          <w:b/>
          <w:sz w:val="24"/>
        </w:rPr>
        <w:t>一、总则</w:t>
      </w:r>
    </w:p>
    <w:p w14:paraId="0407FA1A">
      <w:pPr>
        <w:spacing w:after="120" w:afterLines="50"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14:paraId="58DF7800">
      <w:pPr>
        <w:autoSpaceDE w:val="0"/>
        <w:autoSpaceDN w:val="0"/>
        <w:adjustRightIn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二、评标内容及标准</w:t>
      </w:r>
    </w:p>
    <w:p w14:paraId="165AB9A6">
      <w:pPr>
        <w:widowControl/>
        <w:spacing w:line="276"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（一）价格分（</w:t>
      </w:r>
      <w:r>
        <w:rPr>
          <w:rFonts w:hint="eastAsia" w:asciiTheme="minorEastAsia" w:hAnsiTheme="minorEastAsia" w:eastAsiaTheme="minorEastAsia"/>
          <w:b/>
          <w:bCs/>
          <w:sz w:val="24"/>
          <w:lang w:val="en-US" w:eastAsia="zh-CN"/>
        </w:rPr>
        <w:t>3</w:t>
      </w:r>
      <w:r>
        <w:rPr>
          <w:rFonts w:hint="eastAsia" w:asciiTheme="minorEastAsia" w:hAnsiTheme="minorEastAsia" w:eastAsiaTheme="minorEastAsia"/>
          <w:b/>
          <w:bCs/>
          <w:sz w:val="24"/>
        </w:rPr>
        <w:t>0分）</w:t>
      </w:r>
    </w:p>
    <w:p w14:paraId="53B89E4F">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、价格分采用低价优先法计算，即满足招标文件要求且投标价格最低的投标报价为评标基准价，其价格分为满分，其他投标人的价格分按照下列公式计算：</w:t>
      </w:r>
    </w:p>
    <w:p w14:paraId="474A761C">
      <w:pPr>
        <w:autoSpaceDE w:val="0"/>
        <w:autoSpaceDN w:val="0"/>
        <w:adjustRightInd w:val="0"/>
        <w:spacing w:line="276" w:lineRule="auto"/>
        <w:ind w:firstLine="437"/>
        <w:rPr>
          <w:rFonts w:asciiTheme="minorEastAsia" w:hAnsiTheme="minorEastAsia" w:eastAsiaTheme="minorEastAsia"/>
          <w:color w:val="0000FF"/>
          <w:sz w:val="24"/>
        </w:rPr>
      </w:pPr>
      <w:r>
        <w:rPr>
          <w:rFonts w:hint="eastAsia" w:asciiTheme="minorEastAsia" w:hAnsiTheme="minorEastAsia" w:eastAsiaTheme="minorEastAsia"/>
          <w:sz w:val="24"/>
          <w:lang w:val="zh-CN"/>
        </w:rPr>
        <w:t>价格分</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（评标基准价</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投标报价）×</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val="zh-CN"/>
        </w:rPr>
        <w:t>0</w:t>
      </w:r>
    </w:p>
    <w:p w14:paraId="51832ED8">
      <w:pPr>
        <w:autoSpaceDE w:val="0"/>
        <w:autoSpaceDN w:val="0"/>
        <w:adjustRightInd w:val="0"/>
        <w:spacing w:line="276" w:lineRule="auto"/>
        <w:ind w:left="17" w:leftChars="8" w:firstLine="420" w:firstLineChars="175"/>
        <w:rPr>
          <w:rFonts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2、投标人的投标报价超过设定的上限价的作为无效标处理。</w:t>
      </w:r>
      <w:r>
        <w:rPr>
          <w:rFonts w:hint="eastAsia" w:cs="宋体" w:asciiTheme="minorEastAsia" w:hAnsiTheme="minorEastAsia" w:eastAsiaTheme="minorEastAsia"/>
          <w:b/>
          <w:bCs/>
          <w:sz w:val="24"/>
        </w:rPr>
        <w:t>本项目最高限价为</w:t>
      </w:r>
      <w:r>
        <w:rPr>
          <w:rFonts w:hint="eastAsia" w:asciiTheme="minorEastAsia" w:hAnsiTheme="minorEastAsia" w:eastAsiaTheme="minorEastAsia"/>
          <w:b/>
          <w:color w:val="FF0000"/>
          <w:sz w:val="24"/>
          <w:u w:val="single"/>
          <w:lang w:val="en-US" w:eastAsia="zh-CN"/>
        </w:rPr>
        <w:t>962.5536万元</w:t>
      </w:r>
      <w:r>
        <w:rPr>
          <w:rFonts w:hint="eastAsia" w:cs="宋体" w:asciiTheme="minorEastAsia" w:hAnsiTheme="minorEastAsia" w:eastAsiaTheme="minorEastAsia"/>
          <w:b/>
          <w:bCs/>
          <w:sz w:val="24"/>
        </w:rPr>
        <w:t>。</w:t>
      </w:r>
    </w:p>
    <w:p w14:paraId="2F91DA01">
      <w:pPr>
        <w:tabs>
          <w:tab w:val="left" w:pos="3870"/>
          <w:tab w:val="left" w:pos="4085"/>
        </w:tabs>
        <w:snapToGrid w:val="0"/>
        <w:spacing w:after="120" w:afterLines="50" w:line="276"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报价是中标的一个重要因素，但最低报价不是中标的唯一依据。</w:t>
      </w:r>
    </w:p>
    <w:p w14:paraId="3CBBAC65">
      <w:pPr>
        <w:tabs>
          <w:tab w:val="left" w:pos="3870"/>
          <w:tab w:val="left" w:pos="4085"/>
        </w:tabs>
        <w:snapToGrid w:val="0"/>
        <w:spacing w:after="120" w:afterLines="50" w:line="276" w:lineRule="auto"/>
        <w:ind w:firstLine="480" w:firstLineChars="200"/>
        <w:jc w:val="left"/>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4、若投标供应商报价低于最高限价的50%，须提供成本分析表。且评审小组有权对投标供应商进行询标，过程中对于明显不合理且无合理说明的报价有权认定为恶意报价，作废标处理。</w:t>
      </w:r>
    </w:p>
    <w:p w14:paraId="45F59D70">
      <w:pPr>
        <w:pStyle w:val="18"/>
        <w:adjustRightInd w:val="0"/>
        <w:snapToGrid w:val="0"/>
        <w:spacing w:line="360" w:lineRule="auto"/>
        <w:ind w:firstLine="48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（二）商务技术部分的评分标准（</w:t>
      </w:r>
      <w:r>
        <w:rPr>
          <w:rFonts w:hint="eastAsia" w:asciiTheme="minorEastAsia" w:hAnsiTheme="minorEastAsia" w:eastAsiaTheme="minorEastAsia"/>
          <w:b/>
          <w:bCs/>
          <w:sz w:val="24"/>
          <w:szCs w:val="24"/>
          <w:lang w:val="en-US" w:eastAsia="zh-CN"/>
        </w:rPr>
        <w:t>7</w:t>
      </w:r>
      <w:r>
        <w:rPr>
          <w:rFonts w:hint="eastAsia" w:asciiTheme="minorEastAsia" w:hAnsiTheme="minorEastAsia" w:eastAsiaTheme="minorEastAsia"/>
          <w:b/>
          <w:bCs/>
          <w:sz w:val="24"/>
          <w:szCs w:val="24"/>
        </w:rPr>
        <w:t>0分）</w:t>
      </w:r>
    </w:p>
    <w:tbl>
      <w:tblPr>
        <w:tblStyle w:val="33"/>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927"/>
        <w:gridCol w:w="5760"/>
        <w:gridCol w:w="834"/>
      </w:tblGrid>
      <w:tr w14:paraId="53A4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7" w:type="dxa"/>
            <w:noWrap w:val="0"/>
            <w:vAlign w:val="center"/>
          </w:tcPr>
          <w:p w14:paraId="4844E93F">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1927" w:type="dxa"/>
            <w:shd w:val="clear" w:color="auto" w:fill="auto"/>
            <w:noWrap w:val="0"/>
            <w:vAlign w:val="center"/>
          </w:tcPr>
          <w:p w14:paraId="30CA60B0">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评分项目</w:t>
            </w:r>
          </w:p>
        </w:tc>
        <w:tc>
          <w:tcPr>
            <w:tcW w:w="5760" w:type="dxa"/>
            <w:shd w:val="clear" w:color="auto" w:fill="auto"/>
            <w:noWrap w:val="0"/>
            <w:vAlign w:val="center"/>
          </w:tcPr>
          <w:p w14:paraId="2A1BE39C">
            <w:pPr>
              <w:pStyle w:val="18"/>
              <w:keepNext w:val="0"/>
              <w:keepLines w:val="0"/>
              <w:pageBreakBefore w:val="0"/>
              <w:widowControl w:val="0"/>
              <w:kinsoku/>
              <w:wordWrap/>
              <w:overflowPunct/>
              <w:topLinePunct w:val="0"/>
              <w:autoSpaceDN/>
              <w:bidi w:val="0"/>
              <w:snapToGrid w:val="0"/>
              <w:spacing w:line="240" w:lineRule="auto"/>
              <w:jc w:val="center"/>
              <w:rPr>
                <w:rFonts w:hint="eastAsia" w:ascii="宋体" w:hAnsi="宋体" w:eastAsia="宋体" w:cs="宋体"/>
                <w:b w:val="0"/>
                <w:bCs w:val="0"/>
                <w:snapToGrid w:val="0"/>
                <w:kern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
              </w:rPr>
              <w:t>评标标准</w:t>
            </w:r>
          </w:p>
        </w:tc>
        <w:tc>
          <w:tcPr>
            <w:tcW w:w="834" w:type="dxa"/>
            <w:noWrap w:val="0"/>
            <w:vAlign w:val="center"/>
          </w:tcPr>
          <w:p w14:paraId="73ADF7AA">
            <w:pPr>
              <w:keepNext w:val="0"/>
              <w:keepLines w:val="0"/>
              <w:pageBreakBefore w:val="0"/>
              <w:widowControl w:val="0"/>
              <w:kinsoku/>
              <w:wordWrap/>
              <w:overflowPunct/>
              <w:topLinePunct w:val="0"/>
              <w:autoSpaceDN/>
              <w:bidi w:val="0"/>
              <w:spacing w:line="240" w:lineRule="auto"/>
              <w:jc w:val="center"/>
              <w:outlineLvl w:val="0"/>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sz w:val="24"/>
                <w:szCs w:val="24"/>
                <w:highlight w:val="none"/>
                <w:lang w:val="en-US" w:eastAsia="zh-CN" w:bidi="ar"/>
              </w:rPr>
              <w:t>分值</w:t>
            </w:r>
          </w:p>
        </w:tc>
      </w:tr>
      <w:tr w14:paraId="69EC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77" w:type="dxa"/>
            <w:noWrap w:val="0"/>
            <w:vAlign w:val="center"/>
          </w:tcPr>
          <w:p w14:paraId="33945794">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1</w:t>
            </w:r>
          </w:p>
        </w:tc>
        <w:tc>
          <w:tcPr>
            <w:tcW w:w="1927" w:type="dxa"/>
            <w:shd w:val="clear" w:color="auto" w:fill="auto"/>
            <w:noWrap w:val="0"/>
            <w:vAlign w:val="center"/>
          </w:tcPr>
          <w:p w14:paraId="37697610">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安装施工组织方案</w:t>
            </w:r>
          </w:p>
        </w:tc>
        <w:tc>
          <w:tcPr>
            <w:tcW w:w="5760" w:type="dxa"/>
            <w:shd w:val="clear" w:color="auto" w:fill="auto"/>
            <w:noWrap w:val="0"/>
            <w:vAlign w:val="center"/>
          </w:tcPr>
          <w:p w14:paraId="7D76FA4A">
            <w:pPr>
              <w:keepNext w:val="0"/>
              <w:keepLines w:val="0"/>
              <w:pageBreakBefore w:val="0"/>
              <w:widowControl w:val="0"/>
              <w:kinsoku/>
              <w:wordWrap/>
              <w:overflowPunct/>
              <w:topLinePunct w:val="0"/>
              <w:autoSpaceDN/>
              <w:bidi w:val="0"/>
              <w:spacing w:line="240" w:lineRule="auto"/>
              <w:jc w:val="left"/>
              <w:rPr>
                <w:rFonts w:hint="default"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根据施工（含基础）技术方案、设备材料制作、安装方案：现场实施技术方案与措施的科学性、合理性、规范性和可操作性等综合评定打分。</w:t>
            </w:r>
            <w:r>
              <w:rPr>
                <w:rFonts w:hint="eastAsia" w:ascii="宋体" w:hAnsi="宋体" w:eastAsia="宋体" w:cs="宋体"/>
                <w:b w:val="0"/>
                <w:bCs w:val="0"/>
                <w:color w:val="000000"/>
                <w:kern w:val="0"/>
                <w:sz w:val="24"/>
                <w:szCs w:val="24"/>
                <w:highlight w:val="none"/>
                <w:lang w:val="en-US" w:eastAsia="zh-CN" w:bidi="ar-SA"/>
              </w:rPr>
              <w:br w:type="textWrapping"/>
            </w:r>
            <w:r>
              <w:rPr>
                <w:rFonts w:hint="eastAsia" w:ascii="宋体" w:hAnsi="宋体" w:eastAsia="宋体" w:cs="宋体"/>
                <w:b w:val="0"/>
                <w:bCs w:val="0"/>
                <w:color w:val="000000"/>
                <w:kern w:val="0"/>
                <w:sz w:val="24"/>
                <w:szCs w:val="24"/>
                <w:highlight w:val="none"/>
                <w:lang w:val="zh-CN" w:eastAsia="zh-CN" w:bidi="ar-SA"/>
              </w:rPr>
              <w:t>方案详尽到位，得</w:t>
            </w:r>
            <w:r>
              <w:rPr>
                <w:rFonts w:hint="eastAsia" w:ascii="宋体" w:hAnsi="宋体" w:eastAsia="宋体" w:cs="宋体"/>
                <w:b w:val="0"/>
                <w:bCs w:val="0"/>
                <w:color w:val="000000"/>
                <w:kern w:val="0"/>
                <w:sz w:val="24"/>
                <w:szCs w:val="24"/>
                <w:highlight w:val="none"/>
                <w:lang w:val="en-US" w:eastAsia="zh-CN" w:bidi="ar-SA"/>
              </w:rPr>
              <w:t>6-</w:t>
            </w:r>
            <w:r>
              <w:rPr>
                <w:rFonts w:hint="eastAsia" w:ascii="宋体" w:hAnsi="宋体" w:cs="宋体"/>
                <w:b w:val="0"/>
                <w:bCs w:val="0"/>
                <w:color w:val="000000"/>
                <w:kern w:val="0"/>
                <w:sz w:val="24"/>
                <w:szCs w:val="24"/>
                <w:highlight w:val="none"/>
                <w:lang w:val="en-US" w:eastAsia="zh-CN" w:bidi="ar-SA"/>
              </w:rPr>
              <w:t>4</w:t>
            </w:r>
            <w:r>
              <w:rPr>
                <w:rFonts w:hint="eastAsia" w:ascii="宋体" w:hAnsi="宋体" w:eastAsia="宋体" w:cs="宋体"/>
                <w:b w:val="0"/>
                <w:bCs w:val="0"/>
                <w:color w:val="000000"/>
                <w:kern w:val="0"/>
                <w:sz w:val="24"/>
                <w:szCs w:val="24"/>
                <w:highlight w:val="none"/>
                <w:lang w:val="en-US" w:eastAsia="zh-CN" w:bidi="ar-SA"/>
              </w:rPr>
              <w:t>分</w:t>
            </w:r>
            <w:r>
              <w:rPr>
                <w:rFonts w:hint="eastAsia" w:ascii="宋体" w:hAnsi="宋体" w:eastAsia="宋体" w:cs="宋体"/>
                <w:b w:val="0"/>
                <w:bCs w:val="0"/>
                <w:color w:val="000000"/>
                <w:kern w:val="0"/>
                <w:sz w:val="24"/>
                <w:szCs w:val="24"/>
                <w:highlight w:val="none"/>
                <w:lang w:val="zh-CN" w:eastAsia="zh-CN" w:bidi="ar-SA"/>
              </w:rPr>
              <w:t>；</w:t>
            </w:r>
            <w:r>
              <w:rPr>
                <w:rFonts w:hint="eastAsia" w:ascii="宋体" w:hAnsi="宋体" w:eastAsia="宋体" w:cs="宋体"/>
                <w:b w:val="0"/>
                <w:bCs w:val="0"/>
                <w:color w:val="000000"/>
                <w:kern w:val="0"/>
                <w:sz w:val="24"/>
                <w:szCs w:val="24"/>
                <w:highlight w:val="none"/>
                <w:lang w:val="zh-CN" w:eastAsia="zh-CN" w:bidi="ar-SA"/>
              </w:rPr>
              <w:br w:type="textWrapping"/>
            </w:r>
            <w:r>
              <w:rPr>
                <w:rFonts w:hint="eastAsia" w:ascii="宋体" w:hAnsi="宋体" w:eastAsia="宋体" w:cs="宋体"/>
                <w:b w:val="0"/>
                <w:bCs w:val="0"/>
                <w:color w:val="000000"/>
                <w:kern w:val="0"/>
                <w:sz w:val="24"/>
                <w:szCs w:val="24"/>
                <w:highlight w:val="none"/>
                <w:lang w:val="zh-CN" w:eastAsia="zh-CN" w:bidi="ar-SA"/>
              </w:rPr>
              <w:t>方案较为合理，得</w:t>
            </w:r>
            <w:r>
              <w:rPr>
                <w:rFonts w:hint="eastAsia" w:ascii="宋体" w:hAnsi="宋体" w:cs="宋体"/>
                <w:b w:val="0"/>
                <w:bCs w:val="0"/>
                <w:color w:val="000000"/>
                <w:kern w:val="0"/>
                <w:sz w:val="24"/>
                <w:szCs w:val="24"/>
                <w:highlight w:val="none"/>
                <w:lang w:val="en-US" w:eastAsia="zh-CN" w:bidi="ar-SA"/>
              </w:rPr>
              <w:t>3</w:t>
            </w:r>
            <w:r>
              <w:rPr>
                <w:rFonts w:hint="eastAsia" w:ascii="宋体" w:hAnsi="宋体" w:eastAsia="宋体" w:cs="宋体"/>
                <w:b w:val="0"/>
                <w:bCs w:val="0"/>
                <w:color w:val="000000"/>
                <w:kern w:val="0"/>
                <w:sz w:val="24"/>
                <w:szCs w:val="24"/>
                <w:highlight w:val="none"/>
                <w:lang w:val="en-US" w:eastAsia="zh-CN" w:bidi="ar-SA"/>
              </w:rPr>
              <w:t>.9-</w:t>
            </w:r>
            <w:r>
              <w:rPr>
                <w:rFonts w:hint="eastAsia" w:ascii="宋体" w:hAnsi="宋体" w:cs="宋体"/>
                <w:b w:val="0"/>
                <w:bCs w:val="0"/>
                <w:color w:val="000000"/>
                <w:kern w:val="0"/>
                <w:sz w:val="24"/>
                <w:szCs w:val="24"/>
                <w:highlight w:val="none"/>
                <w:lang w:val="en-US" w:eastAsia="zh-CN" w:bidi="ar-SA"/>
              </w:rPr>
              <w:t>2</w:t>
            </w:r>
            <w:r>
              <w:rPr>
                <w:rFonts w:hint="eastAsia" w:ascii="宋体" w:hAnsi="宋体" w:eastAsia="宋体" w:cs="宋体"/>
                <w:b w:val="0"/>
                <w:bCs w:val="0"/>
                <w:color w:val="000000"/>
                <w:kern w:val="0"/>
                <w:sz w:val="24"/>
                <w:szCs w:val="24"/>
                <w:highlight w:val="none"/>
                <w:lang w:val="zh-CN" w:eastAsia="zh-CN" w:bidi="ar-SA"/>
              </w:rPr>
              <w:t>分</w:t>
            </w:r>
            <w:bookmarkStart w:id="51" w:name="OLE_LINK30"/>
            <w:r>
              <w:rPr>
                <w:rFonts w:hint="eastAsia" w:ascii="宋体" w:hAnsi="宋体" w:eastAsia="宋体" w:cs="宋体"/>
                <w:b w:val="0"/>
                <w:bCs w:val="0"/>
                <w:color w:val="000000"/>
                <w:kern w:val="0"/>
                <w:sz w:val="24"/>
                <w:szCs w:val="24"/>
                <w:highlight w:val="none"/>
                <w:lang w:val="zh-CN" w:eastAsia="zh-CN" w:bidi="ar-SA"/>
              </w:rPr>
              <w:t>；</w:t>
            </w:r>
            <w:r>
              <w:rPr>
                <w:rFonts w:hint="eastAsia" w:ascii="宋体" w:hAnsi="宋体" w:eastAsia="宋体" w:cs="宋体"/>
                <w:b w:val="0"/>
                <w:bCs w:val="0"/>
                <w:color w:val="000000"/>
                <w:kern w:val="0"/>
                <w:sz w:val="24"/>
                <w:szCs w:val="24"/>
                <w:highlight w:val="none"/>
                <w:lang w:val="zh-CN" w:eastAsia="zh-CN" w:bidi="ar-SA"/>
              </w:rPr>
              <w:br w:type="textWrapping"/>
            </w:r>
            <w:bookmarkEnd w:id="51"/>
            <w:r>
              <w:rPr>
                <w:rFonts w:hint="eastAsia" w:ascii="宋体" w:hAnsi="宋体" w:cs="宋体"/>
                <w:b w:val="0"/>
                <w:bCs w:val="0"/>
                <w:color w:val="000000"/>
                <w:kern w:val="0"/>
                <w:sz w:val="24"/>
                <w:szCs w:val="24"/>
                <w:highlight w:val="none"/>
                <w:lang w:val="zh-CN" w:eastAsia="zh-CN" w:bidi="ar-SA"/>
              </w:rPr>
              <w:t>方案较差，得</w:t>
            </w:r>
            <w:r>
              <w:rPr>
                <w:rFonts w:hint="eastAsia" w:ascii="宋体" w:hAnsi="宋体" w:cs="宋体"/>
                <w:b w:val="0"/>
                <w:bCs w:val="0"/>
                <w:color w:val="000000"/>
                <w:kern w:val="0"/>
                <w:sz w:val="24"/>
                <w:szCs w:val="24"/>
                <w:highlight w:val="none"/>
                <w:lang w:val="en-US" w:eastAsia="zh-CN" w:bidi="ar-SA"/>
              </w:rPr>
              <w:t>1.9-0分。</w:t>
            </w:r>
          </w:p>
        </w:tc>
        <w:tc>
          <w:tcPr>
            <w:tcW w:w="834" w:type="dxa"/>
            <w:noWrap w:val="0"/>
            <w:vAlign w:val="center"/>
          </w:tcPr>
          <w:p w14:paraId="11B6E173">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6</w:t>
            </w:r>
          </w:p>
        </w:tc>
      </w:tr>
      <w:tr w14:paraId="53EE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77" w:type="dxa"/>
            <w:noWrap w:val="0"/>
            <w:vAlign w:val="center"/>
          </w:tcPr>
          <w:p w14:paraId="6E4AABE0">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2</w:t>
            </w:r>
          </w:p>
        </w:tc>
        <w:tc>
          <w:tcPr>
            <w:tcW w:w="1927" w:type="dxa"/>
            <w:shd w:val="clear" w:color="auto" w:fill="auto"/>
            <w:noWrap w:val="0"/>
            <w:vAlign w:val="center"/>
          </w:tcPr>
          <w:p w14:paraId="72D6D889">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施工交通组织方案</w:t>
            </w:r>
          </w:p>
        </w:tc>
        <w:tc>
          <w:tcPr>
            <w:tcW w:w="5760" w:type="dxa"/>
            <w:shd w:val="clear" w:color="auto" w:fill="auto"/>
            <w:noWrap w:val="0"/>
            <w:vAlign w:val="center"/>
          </w:tcPr>
          <w:p w14:paraId="2949E795">
            <w:pPr>
              <w:keepNext w:val="0"/>
              <w:keepLines w:val="0"/>
              <w:pageBreakBefore w:val="0"/>
              <w:widowControl w:val="0"/>
              <w:kinsoku/>
              <w:wordWrap/>
              <w:overflowPunct/>
              <w:topLinePunct w:val="0"/>
              <w:autoSpaceDN/>
              <w:bidi w:val="0"/>
              <w:spacing w:line="240" w:lineRule="auto"/>
              <w:jc w:val="lef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根据供应商交通组织方案的科学性、合理性、规范性和可操作性等综合评定打分。</w:t>
            </w:r>
            <w:r>
              <w:rPr>
                <w:rFonts w:hint="eastAsia" w:ascii="宋体" w:hAnsi="宋体" w:eastAsia="宋体" w:cs="宋体"/>
                <w:b w:val="0"/>
                <w:bCs w:val="0"/>
                <w:color w:val="000000"/>
                <w:kern w:val="0"/>
                <w:sz w:val="24"/>
                <w:szCs w:val="24"/>
                <w:highlight w:val="none"/>
                <w:lang w:val="en-US" w:eastAsia="zh-CN" w:bidi="ar-SA"/>
              </w:rPr>
              <w:br w:type="textWrapping"/>
            </w:r>
            <w:r>
              <w:rPr>
                <w:rFonts w:hint="eastAsia" w:ascii="宋体" w:hAnsi="宋体" w:eastAsia="宋体" w:cs="宋体"/>
                <w:b w:val="0"/>
                <w:bCs w:val="0"/>
                <w:color w:val="000000"/>
                <w:kern w:val="0"/>
                <w:sz w:val="24"/>
                <w:szCs w:val="24"/>
                <w:highlight w:val="none"/>
                <w:lang w:val="zh-CN" w:eastAsia="zh-CN" w:bidi="ar-SA"/>
              </w:rPr>
              <w:t>方案详尽到位，得</w:t>
            </w:r>
            <w:r>
              <w:rPr>
                <w:rFonts w:hint="eastAsia" w:ascii="宋体" w:hAnsi="宋体" w:eastAsia="宋体" w:cs="宋体"/>
                <w:b w:val="0"/>
                <w:bCs w:val="0"/>
                <w:color w:val="000000"/>
                <w:kern w:val="0"/>
                <w:sz w:val="24"/>
                <w:szCs w:val="24"/>
                <w:highlight w:val="none"/>
                <w:lang w:val="en-US" w:eastAsia="zh-CN" w:bidi="ar-SA"/>
              </w:rPr>
              <w:t>6-</w:t>
            </w:r>
            <w:r>
              <w:rPr>
                <w:rFonts w:hint="eastAsia" w:ascii="宋体" w:hAnsi="宋体" w:cs="宋体"/>
                <w:b w:val="0"/>
                <w:bCs w:val="0"/>
                <w:color w:val="000000"/>
                <w:kern w:val="0"/>
                <w:sz w:val="24"/>
                <w:szCs w:val="24"/>
                <w:highlight w:val="none"/>
                <w:lang w:val="en-US" w:eastAsia="zh-CN" w:bidi="ar-SA"/>
              </w:rPr>
              <w:t>4</w:t>
            </w:r>
            <w:r>
              <w:rPr>
                <w:rFonts w:hint="eastAsia" w:ascii="宋体" w:hAnsi="宋体" w:eastAsia="宋体" w:cs="宋体"/>
                <w:b w:val="0"/>
                <w:bCs w:val="0"/>
                <w:color w:val="000000"/>
                <w:kern w:val="0"/>
                <w:sz w:val="24"/>
                <w:szCs w:val="24"/>
                <w:highlight w:val="none"/>
                <w:lang w:val="en-US" w:eastAsia="zh-CN" w:bidi="ar-SA"/>
              </w:rPr>
              <w:t>分</w:t>
            </w:r>
            <w:r>
              <w:rPr>
                <w:rFonts w:hint="eastAsia" w:ascii="宋体" w:hAnsi="宋体" w:eastAsia="宋体" w:cs="宋体"/>
                <w:b w:val="0"/>
                <w:bCs w:val="0"/>
                <w:color w:val="000000"/>
                <w:kern w:val="0"/>
                <w:sz w:val="24"/>
                <w:szCs w:val="24"/>
                <w:highlight w:val="none"/>
                <w:lang w:val="zh-CN" w:eastAsia="zh-CN" w:bidi="ar-SA"/>
              </w:rPr>
              <w:t>；</w:t>
            </w:r>
            <w:r>
              <w:rPr>
                <w:rFonts w:hint="eastAsia" w:ascii="宋体" w:hAnsi="宋体" w:eastAsia="宋体" w:cs="宋体"/>
                <w:b w:val="0"/>
                <w:bCs w:val="0"/>
                <w:color w:val="000000"/>
                <w:kern w:val="0"/>
                <w:sz w:val="24"/>
                <w:szCs w:val="24"/>
                <w:highlight w:val="none"/>
                <w:lang w:val="zh-CN" w:eastAsia="zh-CN" w:bidi="ar-SA"/>
              </w:rPr>
              <w:br w:type="textWrapping"/>
            </w:r>
            <w:r>
              <w:rPr>
                <w:rFonts w:hint="eastAsia" w:ascii="宋体" w:hAnsi="宋体" w:eastAsia="宋体" w:cs="宋体"/>
                <w:b w:val="0"/>
                <w:bCs w:val="0"/>
                <w:color w:val="000000"/>
                <w:kern w:val="0"/>
                <w:sz w:val="24"/>
                <w:szCs w:val="24"/>
                <w:highlight w:val="none"/>
                <w:lang w:val="zh-CN" w:eastAsia="zh-CN" w:bidi="ar-SA"/>
              </w:rPr>
              <w:t>方案较为合理，得</w:t>
            </w:r>
            <w:r>
              <w:rPr>
                <w:rFonts w:hint="eastAsia" w:ascii="宋体" w:hAnsi="宋体" w:cs="宋体"/>
                <w:b w:val="0"/>
                <w:bCs w:val="0"/>
                <w:color w:val="000000"/>
                <w:kern w:val="0"/>
                <w:sz w:val="24"/>
                <w:szCs w:val="24"/>
                <w:highlight w:val="none"/>
                <w:lang w:val="en-US" w:eastAsia="zh-CN" w:bidi="ar-SA"/>
              </w:rPr>
              <w:t>3</w:t>
            </w:r>
            <w:r>
              <w:rPr>
                <w:rFonts w:hint="eastAsia" w:ascii="宋体" w:hAnsi="宋体" w:eastAsia="宋体" w:cs="宋体"/>
                <w:b w:val="0"/>
                <w:bCs w:val="0"/>
                <w:color w:val="000000"/>
                <w:kern w:val="0"/>
                <w:sz w:val="24"/>
                <w:szCs w:val="24"/>
                <w:highlight w:val="none"/>
                <w:lang w:val="en-US" w:eastAsia="zh-CN" w:bidi="ar-SA"/>
              </w:rPr>
              <w:t>.9-</w:t>
            </w:r>
            <w:r>
              <w:rPr>
                <w:rFonts w:hint="eastAsia" w:ascii="宋体" w:hAnsi="宋体" w:cs="宋体"/>
                <w:b w:val="0"/>
                <w:bCs w:val="0"/>
                <w:color w:val="000000"/>
                <w:kern w:val="0"/>
                <w:sz w:val="24"/>
                <w:szCs w:val="24"/>
                <w:highlight w:val="none"/>
                <w:lang w:val="en-US" w:eastAsia="zh-CN" w:bidi="ar-SA"/>
              </w:rPr>
              <w:t>2</w:t>
            </w:r>
            <w:r>
              <w:rPr>
                <w:rFonts w:hint="eastAsia" w:ascii="宋体" w:hAnsi="宋体" w:eastAsia="宋体" w:cs="宋体"/>
                <w:b w:val="0"/>
                <w:bCs w:val="0"/>
                <w:color w:val="000000"/>
                <w:kern w:val="0"/>
                <w:sz w:val="24"/>
                <w:szCs w:val="24"/>
                <w:highlight w:val="none"/>
                <w:lang w:val="zh-CN" w:eastAsia="zh-CN" w:bidi="ar-SA"/>
              </w:rPr>
              <w:t>分；</w:t>
            </w:r>
            <w:r>
              <w:rPr>
                <w:rFonts w:hint="eastAsia" w:ascii="宋体" w:hAnsi="宋体" w:eastAsia="宋体" w:cs="宋体"/>
                <w:b w:val="0"/>
                <w:bCs w:val="0"/>
                <w:color w:val="000000"/>
                <w:kern w:val="0"/>
                <w:sz w:val="24"/>
                <w:szCs w:val="24"/>
                <w:highlight w:val="none"/>
                <w:lang w:val="zh-CN" w:eastAsia="zh-CN" w:bidi="ar-SA"/>
              </w:rPr>
              <w:br w:type="textWrapping"/>
            </w:r>
            <w:r>
              <w:rPr>
                <w:rFonts w:hint="eastAsia" w:ascii="宋体" w:hAnsi="宋体" w:cs="宋体"/>
                <w:b w:val="0"/>
                <w:bCs w:val="0"/>
                <w:color w:val="000000"/>
                <w:kern w:val="0"/>
                <w:sz w:val="24"/>
                <w:szCs w:val="24"/>
                <w:highlight w:val="none"/>
                <w:lang w:val="zh-CN" w:eastAsia="zh-CN" w:bidi="ar-SA"/>
              </w:rPr>
              <w:t>方案较差，得</w:t>
            </w:r>
            <w:r>
              <w:rPr>
                <w:rFonts w:hint="eastAsia" w:ascii="宋体" w:hAnsi="宋体" w:cs="宋体"/>
                <w:b w:val="0"/>
                <w:bCs w:val="0"/>
                <w:color w:val="000000"/>
                <w:kern w:val="0"/>
                <w:sz w:val="24"/>
                <w:szCs w:val="24"/>
                <w:highlight w:val="none"/>
                <w:lang w:val="en-US" w:eastAsia="zh-CN" w:bidi="ar-SA"/>
              </w:rPr>
              <w:t>1.9-0分。</w:t>
            </w:r>
          </w:p>
        </w:tc>
        <w:tc>
          <w:tcPr>
            <w:tcW w:w="834" w:type="dxa"/>
            <w:noWrap w:val="0"/>
            <w:vAlign w:val="center"/>
          </w:tcPr>
          <w:p w14:paraId="2D74337B">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6</w:t>
            </w:r>
          </w:p>
        </w:tc>
      </w:tr>
      <w:tr w14:paraId="1E84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77" w:type="dxa"/>
            <w:noWrap w:val="0"/>
            <w:vAlign w:val="center"/>
          </w:tcPr>
          <w:p w14:paraId="4C8B8401">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3</w:t>
            </w:r>
          </w:p>
        </w:tc>
        <w:tc>
          <w:tcPr>
            <w:tcW w:w="1927" w:type="dxa"/>
            <w:shd w:val="clear" w:color="auto" w:fill="auto"/>
            <w:noWrap w:val="0"/>
            <w:vAlign w:val="center"/>
          </w:tcPr>
          <w:p w14:paraId="3B435AAA">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施工所用原材料的综合评价</w:t>
            </w:r>
          </w:p>
        </w:tc>
        <w:tc>
          <w:tcPr>
            <w:tcW w:w="5760" w:type="dxa"/>
            <w:shd w:val="clear" w:color="auto" w:fill="auto"/>
            <w:noWrap w:val="0"/>
            <w:vAlign w:val="center"/>
          </w:tcPr>
          <w:p w14:paraId="7DAA0252">
            <w:pPr>
              <w:keepNext w:val="0"/>
              <w:keepLines w:val="0"/>
              <w:pageBreakBefore w:val="0"/>
              <w:widowControl w:val="0"/>
              <w:kinsoku/>
              <w:wordWrap/>
              <w:overflowPunct/>
              <w:topLinePunct w:val="0"/>
              <w:autoSpaceDN/>
              <w:bidi w:val="0"/>
              <w:spacing w:line="240" w:lineRule="auto"/>
              <w:jc w:val="lef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根据供应商针对本项目的原材料（钢材、混凝土、公交站牌等，具体按各标项内容）进货渠道及其质量管理措施等综合评定打分。</w:t>
            </w:r>
            <w:r>
              <w:rPr>
                <w:rFonts w:hint="eastAsia" w:ascii="宋体" w:hAnsi="宋体" w:eastAsia="宋体" w:cs="宋体"/>
                <w:b w:val="0"/>
                <w:bCs w:val="0"/>
                <w:color w:val="000000"/>
                <w:kern w:val="0"/>
                <w:sz w:val="24"/>
                <w:szCs w:val="24"/>
                <w:highlight w:val="none"/>
                <w:lang w:val="en-US" w:eastAsia="zh-CN" w:bidi="ar-SA"/>
              </w:rPr>
              <w:br w:type="textWrapping"/>
            </w:r>
            <w:r>
              <w:rPr>
                <w:rFonts w:hint="eastAsia" w:ascii="宋体" w:hAnsi="宋体" w:eastAsia="宋体" w:cs="宋体"/>
                <w:b w:val="0"/>
                <w:bCs w:val="0"/>
                <w:color w:val="000000"/>
                <w:kern w:val="0"/>
                <w:sz w:val="24"/>
                <w:szCs w:val="24"/>
                <w:highlight w:val="none"/>
                <w:lang w:val="zh-CN" w:eastAsia="zh-CN" w:bidi="ar-SA"/>
              </w:rPr>
              <w:t>方案详尽到位，得</w:t>
            </w:r>
            <w:r>
              <w:rPr>
                <w:rFonts w:hint="eastAsia" w:ascii="宋体" w:hAnsi="宋体" w:eastAsia="宋体" w:cs="宋体"/>
                <w:b w:val="0"/>
                <w:bCs w:val="0"/>
                <w:color w:val="000000"/>
                <w:kern w:val="0"/>
                <w:sz w:val="24"/>
                <w:szCs w:val="24"/>
                <w:highlight w:val="none"/>
                <w:lang w:val="en-US" w:eastAsia="zh-CN" w:bidi="ar-SA"/>
              </w:rPr>
              <w:t>6-</w:t>
            </w:r>
            <w:r>
              <w:rPr>
                <w:rFonts w:hint="eastAsia" w:ascii="宋体" w:hAnsi="宋体" w:cs="宋体"/>
                <w:b w:val="0"/>
                <w:bCs w:val="0"/>
                <w:color w:val="000000"/>
                <w:kern w:val="0"/>
                <w:sz w:val="24"/>
                <w:szCs w:val="24"/>
                <w:highlight w:val="none"/>
                <w:lang w:val="en-US" w:eastAsia="zh-CN" w:bidi="ar-SA"/>
              </w:rPr>
              <w:t>4</w:t>
            </w:r>
            <w:r>
              <w:rPr>
                <w:rFonts w:hint="eastAsia" w:ascii="宋体" w:hAnsi="宋体" w:eastAsia="宋体" w:cs="宋体"/>
                <w:b w:val="0"/>
                <w:bCs w:val="0"/>
                <w:color w:val="000000"/>
                <w:kern w:val="0"/>
                <w:sz w:val="24"/>
                <w:szCs w:val="24"/>
                <w:highlight w:val="none"/>
                <w:lang w:val="en-US" w:eastAsia="zh-CN" w:bidi="ar-SA"/>
              </w:rPr>
              <w:t>分</w:t>
            </w:r>
            <w:r>
              <w:rPr>
                <w:rFonts w:hint="eastAsia" w:ascii="宋体" w:hAnsi="宋体" w:eastAsia="宋体" w:cs="宋体"/>
                <w:b w:val="0"/>
                <w:bCs w:val="0"/>
                <w:color w:val="000000"/>
                <w:kern w:val="0"/>
                <w:sz w:val="24"/>
                <w:szCs w:val="24"/>
                <w:highlight w:val="none"/>
                <w:lang w:val="zh-CN" w:eastAsia="zh-CN" w:bidi="ar-SA"/>
              </w:rPr>
              <w:t>；</w:t>
            </w:r>
            <w:r>
              <w:rPr>
                <w:rFonts w:hint="eastAsia" w:ascii="宋体" w:hAnsi="宋体" w:eastAsia="宋体" w:cs="宋体"/>
                <w:b w:val="0"/>
                <w:bCs w:val="0"/>
                <w:color w:val="000000"/>
                <w:kern w:val="0"/>
                <w:sz w:val="24"/>
                <w:szCs w:val="24"/>
                <w:highlight w:val="none"/>
                <w:lang w:val="zh-CN" w:eastAsia="zh-CN" w:bidi="ar-SA"/>
              </w:rPr>
              <w:br w:type="textWrapping"/>
            </w:r>
            <w:r>
              <w:rPr>
                <w:rFonts w:hint="eastAsia" w:ascii="宋体" w:hAnsi="宋体" w:eastAsia="宋体" w:cs="宋体"/>
                <w:b w:val="0"/>
                <w:bCs w:val="0"/>
                <w:color w:val="000000"/>
                <w:kern w:val="0"/>
                <w:sz w:val="24"/>
                <w:szCs w:val="24"/>
                <w:highlight w:val="none"/>
                <w:lang w:val="zh-CN" w:eastAsia="zh-CN" w:bidi="ar-SA"/>
              </w:rPr>
              <w:t>方案较为合理，得</w:t>
            </w:r>
            <w:r>
              <w:rPr>
                <w:rFonts w:hint="eastAsia" w:ascii="宋体" w:hAnsi="宋体" w:cs="宋体"/>
                <w:b w:val="0"/>
                <w:bCs w:val="0"/>
                <w:color w:val="000000"/>
                <w:kern w:val="0"/>
                <w:sz w:val="24"/>
                <w:szCs w:val="24"/>
                <w:highlight w:val="none"/>
                <w:lang w:val="en-US" w:eastAsia="zh-CN" w:bidi="ar-SA"/>
              </w:rPr>
              <w:t>3</w:t>
            </w:r>
            <w:r>
              <w:rPr>
                <w:rFonts w:hint="eastAsia" w:ascii="宋体" w:hAnsi="宋体" w:eastAsia="宋体" w:cs="宋体"/>
                <w:b w:val="0"/>
                <w:bCs w:val="0"/>
                <w:color w:val="000000"/>
                <w:kern w:val="0"/>
                <w:sz w:val="24"/>
                <w:szCs w:val="24"/>
                <w:highlight w:val="none"/>
                <w:lang w:val="en-US" w:eastAsia="zh-CN" w:bidi="ar-SA"/>
              </w:rPr>
              <w:t>.9-</w:t>
            </w:r>
            <w:r>
              <w:rPr>
                <w:rFonts w:hint="eastAsia" w:ascii="宋体" w:hAnsi="宋体" w:cs="宋体"/>
                <w:b w:val="0"/>
                <w:bCs w:val="0"/>
                <w:color w:val="000000"/>
                <w:kern w:val="0"/>
                <w:sz w:val="24"/>
                <w:szCs w:val="24"/>
                <w:highlight w:val="none"/>
                <w:lang w:val="en-US" w:eastAsia="zh-CN" w:bidi="ar-SA"/>
              </w:rPr>
              <w:t>2</w:t>
            </w:r>
            <w:r>
              <w:rPr>
                <w:rFonts w:hint="eastAsia" w:ascii="宋体" w:hAnsi="宋体" w:eastAsia="宋体" w:cs="宋体"/>
                <w:b w:val="0"/>
                <w:bCs w:val="0"/>
                <w:color w:val="000000"/>
                <w:kern w:val="0"/>
                <w:sz w:val="24"/>
                <w:szCs w:val="24"/>
                <w:highlight w:val="none"/>
                <w:lang w:val="zh-CN" w:eastAsia="zh-CN" w:bidi="ar-SA"/>
              </w:rPr>
              <w:t>分；</w:t>
            </w:r>
            <w:r>
              <w:rPr>
                <w:rFonts w:hint="eastAsia" w:ascii="宋体" w:hAnsi="宋体" w:eastAsia="宋体" w:cs="宋体"/>
                <w:b w:val="0"/>
                <w:bCs w:val="0"/>
                <w:color w:val="000000"/>
                <w:kern w:val="0"/>
                <w:sz w:val="24"/>
                <w:szCs w:val="24"/>
                <w:highlight w:val="none"/>
                <w:lang w:val="zh-CN" w:eastAsia="zh-CN" w:bidi="ar-SA"/>
              </w:rPr>
              <w:br w:type="textWrapping"/>
            </w:r>
            <w:r>
              <w:rPr>
                <w:rFonts w:hint="eastAsia" w:ascii="宋体" w:hAnsi="宋体" w:cs="宋体"/>
                <w:b w:val="0"/>
                <w:bCs w:val="0"/>
                <w:color w:val="000000"/>
                <w:kern w:val="0"/>
                <w:sz w:val="24"/>
                <w:szCs w:val="24"/>
                <w:highlight w:val="none"/>
                <w:lang w:val="zh-CN" w:eastAsia="zh-CN" w:bidi="ar-SA"/>
              </w:rPr>
              <w:t>方案较差，得</w:t>
            </w:r>
            <w:r>
              <w:rPr>
                <w:rFonts w:hint="eastAsia" w:ascii="宋体" w:hAnsi="宋体" w:cs="宋体"/>
                <w:b w:val="0"/>
                <w:bCs w:val="0"/>
                <w:color w:val="000000"/>
                <w:kern w:val="0"/>
                <w:sz w:val="24"/>
                <w:szCs w:val="24"/>
                <w:highlight w:val="none"/>
                <w:lang w:val="en-US" w:eastAsia="zh-CN" w:bidi="ar-SA"/>
              </w:rPr>
              <w:t>1.9-0分。</w:t>
            </w:r>
          </w:p>
        </w:tc>
        <w:tc>
          <w:tcPr>
            <w:tcW w:w="834" w:type="dxa"/>
            <w:noWrap w:val="0"/>
            <w:vAlign w:val="center"/>
          </w:tcPr>
          <w:p w14:paraId="0CD688E8">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6</w:t>
            </w:r>
          </w:p>
        </w:tc>
      </w:tr>
      <w:tr w14:paraId="6B97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7" w:type="dxa"/>
            <w:noWrap w:val="0"/>
            <w:vAlign w:val="center"/>
          </w:tcPr>
          <w:p w14:paraId="5557C109">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4</w:t>
            </w:r>
          </w:p>
        </w:tc>
        <w:tc>
          <w:tcPr>
            <w:tcW w:w="1927" w:type="dxa"/>
            <w:shd w:val="clear" w:color="auto" w:fill="auto"/>
            <w:noWrap w:val="0"/>
            <w:vAlign w:val="center"/>
          </w:tcPr>
          <w:p w14:paraId="5F24CE96">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在服务过程中与采购单位的协作配合执行措施</w:t>
            </w:r>
          </w:p>
        </w:tc>
        <w:tc>
          <w:tcPr>
            <w:tcW w:w="5760" w:type="dxa"/>
            <w:shd w:val="clear" w:color="auto" w:fill="auto"/>
            <w:noWrap w:val="0"/>
            <w:vAlign w:val="center"/>
          </w:tcPr>
          <w:p w14:paraId="0DEB2302">
            <w:pPr>
              <w:keepNext w:val="0"/>
              <w:keepLines w:val="0"/>
              <w:pageBreakBefore w:val="0"/>
              <w:widowControl w:val="0"/>
              <w:kinsoku/>
              <w:wordWrap/>
              <w:overflowPunct/>
              <w:topLinePunct w:val="0"/>
              <w:autoSpaceDN/>
              <w:bidi w:val="0"/>
              <w:spacing w:line="240" w:lineRule="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根据供应商</w:t>
            </w:r>
            <w:r>
              <w:rPr>
                <w:rFonts w:hint="eastAsia" w:ascii="宋体" w:hAnsi="宋体" w:eastAsia="宋体" w:cs="宋体"/>
                <w:b w:val="0"/>
                <w:bCs w:val="0"/>
                <w:color w:val="000000"/>
                <w:kern w:val="0"/>
                <w:sz w:val="24"/>
                <w:szCs w:val="24"/>
                <w:highlight w:val="none"/>
              </w:rPr>
              <w:t>在服务过程中与采购单位的协作配合执行措施完整详细、合理可行、操作性强、符合本项目现行实际情况的要求</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lang w:eastAsia="zh-CN"/>
              </w:rPr>
              <w:br w:type="textWrapping"/>
            </w:r>
            <w:r>
              <w:rPr>
                <w:rFonts w:hint="eastAsia" w:ascii="宋体" w:hAnsi="宋体" w:eastAsia="宋体" w:cs="宋体"/>
                <w:b w:val="0"/>
                <w:bCs w:val="0"/>
                <w:color w:val="000000"/>
                <w:kern w:val="0"/>
                <w:sz w:val="24"/>
                <w:szCs w:val="24"/>
                <w:highlight w:val="none"/>
                <w:lang w:val="zh-CN" w:eastAsia="zh-CN" w:bidi="ar-SA"/>
              </w:rPr>
              <w:t>方案详尽到位，得</w:t>
            </w:r>
            <w:r>
              <w:rPr>
                <w:rFonts w:hint="eastAsia" w:ascii="宋体" w:hAnsi="宋体" w:cs="宋体"/>
                <w:b w:val="0"/>
                <w:bCs w:val="0"/>
                <w:color w:val="000000"/>
                <w:kern w:val="0"/>
                <w:sz w:val="24"/>
                <w:szCs w:val="24"/>
                <w:highlight w:val="none"/>
                <w:lang w:val="en-US" w:eastAsia="zh-CN" w:bidi="ar-SA"/>
              </w:rPr>
              <w:t>5</w:t>
            </w:r>
            <w:r>
              <w:rPr>
                <w:rFonts w:hint="eastAsia" w:ascii="宋体" w:hAnsi="宋体" w:eastAsia="宋体" w:cs="宋体"/>
                <w:b w:val="0"/>
                <w:bCs w:val="0"/>
                <w:color w:val="000000"/>
                <w:kern w:val="0"/>
                <w:sz w:val="24"/>
                <w:szCs w:val="24"/>
                <w:highlight w:val="none"/>
                <w:lang w:val="en-US" w:eastAsia="zh-CN" w:bidi="ar-SA"/>
              </w:rPr>
              <w:t>-</w:t>
            </w:r>
            <w:r>
              <w:rPr>
                <w:rFonts w:hint="eastAsia" w:ascii="宋体" w:hAnsi="宋体" w:cs="宋体"/>
                <w:b w:val="0"/>
                <w:bCs w:val="0"/>
                <w:color w:val="000000"/>
                <w:kern w:val="0"/>
                <w:sz w:val="24"/>
                <w:szCs w:val="24"/>
                <w:highlight w:val="none"/>
                <w:lang w:val="en-US" w:eastAsia="zh-CN" w:bidi="ar-SA"/>
              </w:rPr>
              <w:t>3</w:t>
            </w:r>
            <w:r>
              <w:rPr>
                <w:rFonts w:hint="eastAsia" w:ascii="宋体" w:hAnsi="宋体" w:eastAsia="宋体" w:cs="宋体"/>
                <w:b w:val="0"/>
                <w:bCs w:val="0"/>
                <w:color w:val="000000"/>
                <w:kern w:val="0"/>
                <w:sz w:val="24"/>
                <w:szCs w:val="24"/>
                <w:highlight w:val="none"/>
                <w:lang w:val="en-US" w:eastAsia="zh-CN" w:bidi="ar-SA"/>
              </w:rPr>
              <w:t>分</w:t>
            </w:r>
            <w:r>
              <w:rPr>
                <w:rFonts w:hint="eastAsia" w:ascii="宋体" w:hAnsi="宋体" w:eastAsia="宋体" w:cs="宋体"/>
                <w:b w:val="0"/>
                <w:bCs w:val="0"/>
                <w:color w:val="000000"/>
                <w:kern w:val="0"/>
                <w:sz w:val="24"/>
                <w:szCs w:val="24"/>
                <w:highlight w:val="none"/>
                <w:lang w:val="zh-CN" w:eastAsia="zh-CN" w:bidi="ar-SA"/>
              </w:rPr>
              <w:t>；</w:t>
            </w:r>
            <w:r>
              <w:rPr>
                <w:rFonts w:hint="eastAsia" w:ascii="宋体" w:hAnsi="宋体" w:eastAsia="宋体" w:cs="宋体"/>
                <w:b w:val="0"/>
                <w:bCs w:val="0"/>
                <w:color w:val="000000"/>
                <w:kern w:val="0"/>
                <w:sz w:val="24"/>
                <w:szCs w:val="24"/>
                <w:highlight w:val="none"/>
                <w:lang w:val="zh-CN" w:eastAsia="zh-CN" w:bidi="ar-SA"/>
              </w:rPr>
              <w:br w:type="textWrapping"/>
            </w:r>
            <w:r>
              <w:rPr>
                <w:rFonts w:hint="eastAsia" w:ascii="宋体" w:hAnsi="宋体" w:eastAsia="宋体" w:cs="宋体"/>
                <w:b w:val="0"/>
                <w:bCs w:val="0"/>
                <w:color w:val="000000"/>
                <w:kern w:val="0"/>
                <w:sz w:val="24"/>
                <w:szCs w:val="24"/>
                <w:highlight w:val="none"/>
                <w:lang w:val="zh-CN" w:eastAsia="zh-CN" w:bidi="ar-SA"/>
              </w:rPr>
              <w:t>方案较为合理，得</w:t>
            </w:r>
            <w:r>
              <w:rPr>
                <w:rFonts w:hint="eastAsia" w:ascii="宋体" w:hAnsi="宋体" w:cs="宋体"/>
                <w:b w:val="0"/>
                <w:bCs w:val="0"/>
                <w:color w:val="000000"/>
                <w:kern w:val="0"/>
                <w:sz w:val="24"/>
                <w:szCs w:val="24"/>
                <w:highlight w:val="none"/>
                <w:lang w:val="en-US" w:eastAsia="zh-CN" w:bidi="ar-SA"/>
              </w:rPr>
              <w:t>2</w:t>
            </w:r>
            <w:r>
              <w:rPr>
                <w:rFonts w:hint="eastAsia" w:ascii="宋体" w:hAnsi="宋体" w:eastAsia="宋体" w:cs="宋体"/>
                <w:b w:val="0"/>
                <w:bCs w:val="0"/>
                <w:color w:val="000000"/>
                <w:kern w:val="0"/>
                <w:sz w:val="24"/>
                <w:szCs w:val="24"/>
                <w:highlight w:val="none"/>
                <w:lang w:val="en-US" w:eastAsia="zh-CN" w:bidi="ar-SA"/>
              </w:rPr>
              <w:t>.9-</w:t>
            </w:r>
            <w:r>
              <w:rPr>
                <w:rFonts w:hint="eastAsia" w:ascii="宋体" w:hAnsi="宋体" w:cs="宋体"/>
                <w:b w:val="0"/>
                <w:bCs w:val="0"/>
                <w:color w:val="000000"/>
                <w:kern w:val="0"/>
                <w:sz w:val="24"/>
                <w:szCs w:val="24"/>
                <w:highlight w:val="none"/>
                <w:lang w:val="en-US" w:eastAsia="zh-CN" w:bidi="ar-SA"/>
              </w:rPr>
              <w:t>1</w:t>
            </w:r>
            <w:r>
              <w:rPr>
                <w:rFonts w:hint="eastAsia" w:ascii="宋体" w:hAnsi="宋体" w:eastAsia="宋体" w:cs="宋体"/>
                <w:b w:val="0"/>
                <w:bCs w:val="0"/>
                <w:color w:val="000000"/>
                <w:kern w:val="0"/>
                <w:sz w:val="24"/>
                <w:szCs w:val="24"/>
                <w:highlight w:val="none"/>
                <w:lang w:val="zh-CN" w:eastAsia="zh-CN" w:bidi="ar-SA"/>
              </w:rPr>
              <w:t>分；</w:t>
            </w:r>
            <w:r>
              <w:rPr>
                <w:rFonts w:hint="eastAsia" w:ascii="宋体" w:hAnsi="宋体" w:eastAsia="宋体" w:cs="宋体"/>
                <w:b w:val="0"/>
                <w:bCs w:val="0"/>
                <w:color w:val="000000"/>
                <w:kern w:val="0"/>
                <w:sz w:val="24"/>
                <w:szCs w:val="24"/>
                <w:highlight w:val="none"/>
                <w:lang w:val="zh-CN" w:eastAsia="zh-CN" w:bidi="ar-SA"/>
              </w:rPr>
              <w:br w:type="textWrapping"/>
            </w:r>
            <w:r>
              <w:rPr>
                <w:rFonts w:hint="eastAsia" w:ascii="宋体" w:hAnsi="宋体" w:cs="宋体"/>
                <w:b w:val="0"/>
                <w:bCs w:val="0"/>
                <w:color w:val="000000"/>
                <w:kern w:val="0"/>
                <w:sz w:val="24"/>
                <w:szCs w:val="24"/>
                <w:highlight w:val="none"/>
                <w:lang w:val="zh-CN" w:eastAsia="zh-CN" w:bidi="ar-SA"/>
              </w:rPr>
              <w:t>方案较差，得</w:t>
            </w:r>
            <w:r>
              <w:rPr>
                <w:rFonts w:hint="eastAsia" w:ascii="宋体" w:hAnsi="宋体" w:cs="宋体"/>
                <w:b w:val="0"/>
                <w:bCs w:val="0"/>
                <w:color w:val="000000"/>
                <w:kern w:val="0"/>
                <w:sz w:val="24"/>
                <w:szCs w:val="24"/>
                <w:highlight w:val="none"/>
                <w:lang w:val="en-US" w:eastAsia="zh-CN" w:bidi="ar-SA"/>
              </w:rPr>
              <w:t>0.9-0分。</w:t>
            </w:r>
          </w:p>
        </w:tc>
        <w:tc>
          <w:tcPr>
            <w:tcW w:w="834" w:type="dxa"/>
            <w:noWrap w:val="0"/>
            <w:vAlign w:val="center"/>
          </w:tcPr>
          <w:p w14:paraId="6DD46E8B">
            <w:pPr>
              <w:pStyle w:val="23"/>
              <w:keepNext w:val="0"/>
              <w:keepLines w:val="0"/>
              <w:pageBreakBefore w:val="0"/>
              <w:widowControl w:val="0"/>
              <w:pBdr>
                <w:bottom w:val="none" w:color="auto" w:sz="0" w:space="0"/>
              </w:pBdr>
              <w:tabs>
                <w:tab w:val="clear" w:pos="4153"/>
                <w:tab w:val="clear" w:pos="8306"/>
              </w:tabs>
              <w:kinsoku/>
              <w:wordWrap/>
              <w:overflowPunct/>
              <w:topLinePunct w:val="0"/>
              <w:autoSpaceDN/>
              <w:bidi w:val="0"/>
              <w:spacing w:line="240" w:lineRule="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5</w:t>
            </w:r>
          </w:p>
        </w:tc>
      </w:tr>
      <w:tr w14:paraId="671E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jc w:val="center"/>
        </w:trPr>
        <w:tc>
          <w:tcPr>
            <w:tcW w:w="777" w:type="dxa"/>
            <w:noWrap w:val="0"/>
            <w:vAlign w:val="center"/>
          </w:tcPr>
          <w:p w14:paraId="181A911A">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5</w:t>
            </w:r>
          </w:p>
        </w:tc>
        <w:tc>
          <w:tcPr>
            <w:tcW w:w="1927" w:type="dxa"/>
            <w:shd w:val="clear" w:color="auto" w:fill="auto"/>
            <w:noWrap w:val="0"/>
            <w:vAlign w:val="center"/>
          </w:tcPr>
          <w:p w14:paraId="0056C200">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项目负责人</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lang w:val="en-US" w:eastAsia="zh-CN"/>
              </w:rPr>
              <w:t>技术负人、项目组成员</w:t>
            </w:r>
          </w:p>
        </w:tc>
        <w:tc>
          <w:tcPr>
            <w:tcW w:w="5760" w:type="dxa"/>
            <w:shd w:val="clear" w:color="auto" w:fill="auto"/>
            <w:noWrap w:val="0"/>
            <w:vAlign w:val="center"/>
          </w:tcPr>
          <w:p w14:paraId="51C4BC42">
            <w:pPr>
              <w:keepNext w:val="0"/>
              <w:keepLines w:val="0"/>
              <w:pageBreakBefore w:val="0"/>
              <w:widowControl w:val="0"/>
              <w:kinsoku/>
              <w:wordWrap/>
              <w:overflowPunct/>
              <w:topLinePunct w:val="0"/>
              <w:autoSpaceDE w:val="0"/>
              <w:autoSpaceDN/>
              <w:bidi w:val="0"/>
              <w:spacing w:line="240" w:lineRule="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项目负责人具有公路</w:t>
            </w:r>
            <w:r>
              <w:rPr>
                <w:rFonts w:hint="eastAsia" w:ascii="宋体" w:hAnsi="宋体" w:eastAsia="宋体" w:cs="宋体"/>
                <w:bCs/>
                <w:sz w:val="24"/>
                <w:szCs w:val="24"/>
                <w:highlight w:val="none"/>
                <w:lang w:eastAsia="zh-CN"/>
              </w:rPr>
              <w:t>或市政</w:t>
            </w:r>
            <w:r>
              <w:rPr>
                <w:rFonts w:hint="eastAsia" w:ascii="宋体" w:hAnsi="宋体" w:eastAsia="宋体" w:cs="宋体"/>
                <w:bCs/>
                <w:sz w:val="24"/>
                <w:szCs w:val="24"/>
                <w:highlight w:val="none"/>
              </w:rPr>
              <w:t>工程二级建造师证书的得</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具有公路</w:t>
            </w:r>
            <w:r>
              <w:rPr>
                <w:rFonts w:hint="eastAsia" w:ascii="宋体" w:hAnsi="宋体" w:eastAsia="宋体" w:cs="宋体"/>
                <w:bCs/>
                <w:sz w:val="24"/>
                <w:szCs w:val="24"/>
                <w:highlight w:val="none"/>
                <w:lang w:eastAsia="zh-CN"/>
              </w:rPr>
              <w:t>或市政</w:t>
            </w:r>
            <w:r>
              <w:rPr>
                <w:rFonts w:hint="eastAsia" w:ascii="宋体" w:hAnsi="宋体" w:eastAsia="宋体" w:cs="宋体"/>
                <w:bCs/>
                <w:sz w:val="24"/>
                <w:szCs w:val="24"/>
                <w:highlight w:val="none"/>
              </w:rPr>
              <w:t>工程</w:t>
            </w:r>
            <w:r>
              <w:rPr>
                <w:rFonts w:hint="eastAsia" w:ascii="宋体" w:hAnsi="宋体" w:eastAsia="宋体" w:cs="宋体"/>
                <w:bCs/>
                <w:sz w:val="24"/>
                <w:szCs w:val="24"/>
                <w:highlight w:val="none"/>
                <w:lang w:eastAsia="zh-CN"/>
              </w:rPr>
              <w:t>一</w:t>
            </w:r>
            <w:r>
              <w:rPr>
                <w:rFonts w:hint="eastAsia" w:ascii="宋体" w:hAnsi="宋体" w:eastAsia="宋体" w:cs="宋体"/>
                <w:bCs/>
                <w:sz w:val="24"/>
                <w:szCs w:val="24"/>
                <w:highlight w:val="none"/>
              </w:rPr>
              <w:t>级建造师证书的得</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eastAsia="zh-CN"/>
              </w:rPr>
              <w:t>；</w:t>
            </w:r>
          </w:p>
          <w:p w14:paraId="61C8AB22">
            <w:pPr>
              <w:keepNext w:val="0"/>
              <w:keepLines w:val="0"/>
              <w:pageBreakBefore w:val="0"/>
              <w:widowControl w:val="0"/>
              <w:kinsoku/>
              <w:wordWrap/>
              <w:overflowPunct/>
              <w:topLinePunct w:val="0"/>
              <w:autoSpaceDE w:val="0"/>
              <w:autoSpaceDN/>
              <w:bidi w:val="0"/>
              <w:spacing w:line="240" w:lineRule="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具有中级</w:t>
            </w:r>
            <w:r>
              <w:rPr>
                <w:rFonts w:hint="eastAsia" w:ascii="宋体" w:hAnsi="宋体" w:eastAsia="宋体" w:cs="宋体"/>
                <w:bCs/>
                <w:sz w:val="24"/>
                <w:szCs w:val="24"/>
                <w:highlight w:val="none"/>
                <w:lang w:eastAsia="zh-CN"/>
              </w:rPr>
              <w:t>工程类</w:t>
            </w:r>
            <w:r>
              <w:rPr>
                <w:rFonts w:hint="eastAsia" w:ascii="宋体" w:hAnsi="宋体" w:eastAsia="宋体" w:cs="宋体"/>
                <w:bCs/>
                <w:sz w:val="24"/>
                <w:szCs w:val="24"/>
                <w:highlight w:val="none"/>
              </w:rPr>
              <w:t>职称证书的得</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具有</w:t>
            </w:r>
            <w:r>
              <w:rPr>
                <w:rFonts w:hint="eastAsia" w:ascii="宋体" w:hAnsi="宋体" w:eastAsia="宋体" w:cs="宋体"/>
                <w:bCs/>
                <w:sz w:val="24"/>
                <w:szCs w:val="24"/>
                <w:highlight w:val="none"/>
                <w:lang w:eastAsia="zh-CN"/>
              </w:rPr>
              <w:t>高</w:t>
            </w:r>
            <w:r>
              <w:rPr>
                <w:rFonts w:hint="eastAsia" w:ascii="宋体" w:hAnsi="宋体" w:eastAsia="宋体" w:cs="宋体"/>
                <w:bCs/>
                <w:sz w:val="24"/>
                <w:szCs w:val="24"/>
                <w:highlight w:val="none"/>
              </w:rPr>
              <w:t>级</w:t>
            </w:r>
            <w:r>
              <w:rPr>
                <w:rFonts w:hint="eastAsia" w:ascii="宋体" w:hAnsi="宋体" w:eastAsia="宋体" w:cs="宋体"/>
                <w:bCs/>
                <w:sz w:val="24"/>
                <w:szCs w:val="24"/>
                <w:highlight w:val="none"/>
                <w:lang w:eastAsia="zh-CN"/>
              </w:rPr>
              <w:t>及以上工程类</w:t>
            </w:r>
            <w:r>
              <w:rPr>
                <w:rFonts w:hint="eastAsia" w:ascii="宋体" w:hAnsi="宋体" w:eastAsia="宋体" w:cs="宋体"/>
                <w:bCs/>
                <w:sz w:val="24"/>
                <w:szCs w:val="24"/>
                <w:highlight w:val="none"/>
              </w:rPr>
              <w:t>职称证书的得</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eastAsia="zh-CN"/>
              </w:rPr>
              <w:t>；</w:t>
            </w:r>
          </w:p>
          <w:p w14:paraId="0BE857E6">
            <w:pPr>
              <w:keepNext w:val="0"/>
              <w:keepLines w:val="0"/>
              <w:pageBreakBefore w:val="0"/>
              <w:widowControl w:val="0"/>
              <w:kinsoku/>
              <w:wordWrap/>
              <w:overflowPunct/>
              <w:topLinePunct w:val="0"/>
              <w:autoSpaceDE w:val="0"/>
              <w:autoSpaceDN/>
              <w:bidi w:val="0"/>
              <w:spacing w:line="240" w:lineRule="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3、</w:t>
            </w:r>
            <w:r>
              <w:rPr>
                <w:rFonts w:hint="eastAsia" w:ascii="宋体" w:hAnsi="宋体" w:eastAsia="宋体" w:cs="宋体"/>
                <w:bCs/>
                <w:sz w:val="24"/>
                <w:szCs w:val="24"/>
                <w:highlight w:val="none"/>
              </w:rPr>
              <w:t>项目组成员中（项目负责人、技术负责人除外），具有安全员C证、</w:t>
            </w:r>
            <w:r>
              <w:rPr>
                <w:rFonts w:hint="eastAsia" w:ascii="宋体" w:hAnsi="宋体" w:eastAsia="宋体" w:cs="宋体"/>
                <w:bCs/>
                <w:sz w:val="24"/>
                <w:szCs w:val="24"/>
                <w:highlight w:val="none"/>
                <w:lang w:val="en-US" w:eastAsia="zh-CN"/>
              </w:rPr>
              <w:t>公路</w:t>
            </w:r>
            <w:r>
              <w:rPr>
                <w:rFonts w:hint="eastAsia" w:ascii="宋体" w:hAnsi="宋体" w:cs="宋体"/>
                <w:bCs/>
                <w:sz w:val="24"/>
                <w:szCs w:val="24"/>
                <w:highlight w:val="none"/>
                <w:lang w:val="en-US" w:eastAsia="zh-CN"/>
              </w:rPr>
              <w:t>或市政</w:t>
            </w:r>
            <w:r>
              <w:rPr>
                <w:rFonts w:hint="eastAsia" w:ascii="宋体" w:hAnsi="宋体" w:eastAsia="宋体" w:cs="宋体"/>
                <w:bCs/>
                <w:sz w:val="24"/>
                <w:szCs w:val="24"/>
                <w:highlight w:val="none"/>
              </w:rPr>
              <w:t>质量员、</w:t>
            </w:r>
            <w:r>
              <w:rPr>
                <w:rFonts w:hint="eastAsia" w:ascii="宋体" w:hAnsi="宋体" w:eastAsia="宋体" w:cs="宋体"/>
                <w:bCs/>
                <w:sz w:val="24"/>
                <w:szCs w:val="24"/>
                <w:highlight w:val="none"/>
                <w:lang w:val="en-US" w:eastAsia="zh-CN"/>
              </w:rPr>
              <w:t>公路</w:t>
            </w:r>
            <w:r>
              <w:rPr>
                <w:rFonts w:hint="eastAsia" w:ascii="宋体" w:hAnsi="宋体" w:cs="宋体"/>
                <w:bCs/>
                <w:sz w:val="24"/>
                <w:szCs w:val="24"/>
                <w:highlight w:val="none"/>
                <w:lang w:val="en-US" w:eastAsia="zh-CN"/>
              </w:rPr>
              <w:t>或市政</w:t>
            </w:r>
            <w:r>
              <w:rPr>
                <w:rFonts w:hint="eastAsia" w:ascii="宋体" w:hAnsi="宋体" w:eastAsia="宋体" w:cs="宋体"/>
                <w:bCs/>
                <w:sz w:val="24"/>
                <w:szCs w:val="24"/>
                <w:highlight w:val="none"/>
              </w:rPr>
              <w:t>施工员</w:t>
            </w:r>
            <w:r>
              <w:rPr>
                <w:rFonts w:hint="eastAsia" w:ascii="宋体" w:hAnsi="宋体" w:eastAsia="宋体" w:cs="宋体"/>
                <w:bCs/>
                <w:sz w:val="24"/>
                <w:szCs w:val="24"/>
                <w:highlight w:val="none"/>
                <w:lang w:eastAsia="zh-CN"/>
              </w:rPr>
              <w:t>证书的，每本证书得</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val="en-US" w:eastAsia="zh-CN"/>
              </w:rPr>
              <w:t>分，满分6分</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lang w:eastAsia="zh-CN"/>
              </w:rPr>
              <w:t>质量员、施工员各</w:t>
            </w:r>
            <w:r>
              <w:rPr>
                <w:rFonts w:hint="eastAsia" w:ascii="宋体" w:hAnsi="宋体" w:cs="宋体"/>
                <w:b w:val="0"/>
                <w:bCs w:val="0"/>
                <w:color w:val="000000"/>
                <w:kern w:val="0"/>
                <w:sz w:val="24"/>
                <w:szCs w:val="24"/>
                <w:highlight w:val="none"/>
                <w:lang w:val="en-US" w:eastAsia="zh-CN"/>
              </w:rPr>
              <w:t>1名，安全员4名，按1人1证计算</w:t>
            </w:r>
            <w:r>
              <w:rPr>
                <w:rFonts w:hint="eastAsia" w:ascii="宋体" w:hAnsi="宋体" w:eastAsia="宋体" w:cs="宋体"/>
                <w:b w:val="0"/>
                <w:bCs w:val="0"/>
                <w:color w:val="000000"/>
                <w:kern w:val="0"/>
                <w:sz w:val="24"/>
                <w:szCs w:val="24"/>
                <w:highlight w:val="none"/>
                <w:lang w:eastAsia="zh-CN"/>
              </w:rPr>
              <w:t>）</w:t>
            </w:r>
          </w:p>
          <w:p w14:paraId="75A16C7B">
            <w:pPr>
              <w:keepNext w:val="0"/>
              <w:keepLines w:val="0"/>
              <w:pageBreakBefore w:val="0"/>
              <w:widowControl w:val="0"/>
              <w:kinsoku/>
              <w:wordWrap/>
              <w:overflowPunct/>
              <w:topLinePunct w:val="0"/>
              <w:autoSpaceDN/>
              <w:bidi w:val="0"/>
              <w:spacing w:line="240" w:lineRule="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color w:val="000000"/>
                <w:kern w:val="0"/>
                <w:sz w:val="24"/>
                <w:szCs w:val="24"/>
                <w:highlight w:val="none"/>
                <w:lang w:val="en-US" w:eastAsia="zh-CN"/>
              </w:rPr>
              <w:t>（提供证书及开标前连续三个月的社保证明，聘用企业名称应与投标人名称一致）。</w:t>
            </w:r>
          </w:p>
        </w:tc>
        <w:tc>
          <w:tcPr>
            <w:tcW w:w="834" w:type="dxa"/>
            <w:noWrap w:val="0"/>
            <w:vAlign w:val="center"/>
          </w:tcPr>
          <w:p w14:paraId="7C47C52F">
            <w:pPr>
              <w:pStyle w:val="23"/>
              <w:keepNext w:val="0"/>
              <w:keepLines w:val="0"/>
              <w:pageBreakBefore w:val="0"/>
              <w:widowControl w:val="0"/>
              <w:pBdr>
                <w:bottom w:val="none" w:color="auto" w:sz="0" w:space="0"/>
              </w:pBdr>
              <w:tabs>
                <w:tab w:val="clear" w:pos="4153"/>
                <w:tab w:val="clear" w:pos="8306"/>
              </w:tabs>
              <w:kinsoku/>
              <w:wordWrap/>
              <w:overflowPunct/>
              <w:topLinePunct w:val="0"/>
              <w:autoSpaceDN/>
              <w:bidi w:val="0"/>
              <w:spacing w:line="240" w:lineRule="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14</w:t>
            </w:r>
          </w:p>
        </w:tc>
      </w:tr>
      <w:tr w14:paraId="44DA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777" w:type="dxa"/>
            <w:noWrap w:val="0"/>
            <w:vAlign w:val="center"/>
          </w:tcPr>
          <w:p w14:paraId="26E24AFA">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6</w:t>
            </w:r>
          </w:p>
        </w:tc>
        <w:tc>
          <w:tcPr>
            <w:tcW w:w="1927" w:type="dxa"/>
            <w:shd w:val="clear" w:color="auto" w:fill="auto"/>
            <w:noWrap w:val="0"/>
            <w:vAlign w:val="center"/>
          </w:tcPr>
          <w:p w14:paraId="7835DA0A">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主要</w:t>
            </w:r>
            <w:r>
              <w:rPr>
                <w:rFonts w:hint="eastAsia" w:ascii="宋体" w:hAnsi="宋体" w:eastAsia="宋体" w:cs="宋体"/>
                <w:b w:val="0"/>
                <w:bCs w:val="0"/>
                <w:color w:val="000000"/>
                <w:kern w:val="0"/>
                <w:sz w:val="24"/>
                <w:szCs w:val="24"/>
                <w:highlight w:val="none"/>
                <w:lang w:val="en-US" w:eastAsia="zh-CN"/>
              </w:rPr>
              <w:t>施工</w:t>
            </w:r>
            <w:r>
              <w:rPr>
                <w:rFonts w:hint="eastAsia" w:ascii="宋体" w:hAnsi="宋体" w:eastAsia="宋体" w:cs="宋体"/>
                <w:b w:val="0"/>
                <w:bCs w:val="0"/>
                <w:color w:val="000000"/>
                <w:kern w:val="0"/>
                <w:sz w:val="24"/>
                <w:szCs w:val="24"/>
                <w:highlight w:val="none"/>
              </w:rPr>
              <w:t>设备</w:t>
            </w:r>
          </w:p>
        </w:tc>
        <w:tc>
          <w:tcPr>
            <w:tcW w:w="5760" w:type="dxa"/>
            <w:shd w:val="clear" w:color="auto" w:fill="auto"/>
            <w:noWrap w:val="0"/>
            <w:vAlign w:val="center"/>
          </w:tcPr>
          <w:p w14:paraId="5CB6F11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val="zh-CN"/>
              </w:rPr>
              <w:t>供应商</w:t>
            </w:r>
            <w:r>
              <w:rPr>
                <w:rFonts w:hint="eastAsia" w:ascii="宋体" w:hAnsi="宋体" w:eastAsia="宋体" w:cs="宋体"/>
                <w:b w:val="0"/>
                <w:bCs w:val="0"/>
                <w:color w:val="000000"/>
                <w:kern w:val="0"/>
                <w:sz w:val="24"/>
                <w:szCs w:val="24"/>
                <w:highlight w:val="none"/>
                <w:lang w:val="en-US" w:eastAsia="zh-CN"/>
              </w:rPr>
              <w:t>提供</w:t>
            </w:r>
            <w:r>
              <w:rPr>
                <w:rFonts w:hint="eastAsia" w:ascii="宋体" w:hAnsi="宋体" w:eastAsia="宋体" w:cs="宋体"/>
                <w:b w:val="0"/>
                <w:bCs w:val="0"/>
                <w:color w:val="000000"/>
                <w:kern w:val="0"/>
                <w:sz w:val="24"/>
                <w:szCs w:val="24"/>
                <w:highlight w:val="none"/>
              </w:rPr>
              <w:t>工程作业车辆</w:t>
            </w:r>
            <w:r>
              <w:rPr>
                <w:rFonts w:hint="eastAsia" w:ascii="宋体" w:hAnsi="宋体" w:eastAsia="宋体" w:cs="宋体"/>
                <w:b w:val="0"/>
                <w:bCs w:val="0"/>
                <w:color w:val="000000"/>
                <w:kern w:val="0"/>
                <w:sz w:val="24"/>
                <w:szCs w:val="24"/>
                <w:highlight w:val="none"/>
                <w:lang w:val="en-US" w:eastAsia="zh-CN"/>
              </w:rPr>
              <w:t>，每1辆得2分，</w:t>
            </w:r>
            <w:r>
              <w:rPr>
                <w:rFonts w:hint="eastAsia" w:ascii="宋体" w:hAnsi="宋体" w:eastAsia="宋体" w:cs="宋体"/>
                <w:b w:val="0"/>
                <w:bCs w:val="0"/>
                <w:color w:val="000000"/>
                <w:kern w:val="0"/>
                <w:sz w:val="24"/>
                <w:szCs w:val="24"/>
                <w:highlight w:val="none"/>
              </w:rPr>
              <w:t>最多得</w:t>
            </w:r>
            <w:r>
              <w:rPr>
                <w:rFonts w:hint="eastAsia" w:ascii="宋体" w:hAnsi="宋体" w:cs="宋体"/>
                <w:b w:val="0"/>
                <w:bCs w:val="0"/>
                <w:color w:val="000000"/>
                <w:kern w:val="0"/>
                <w:sz w:val="24"/>
                <w:szCs w:val="24"/>
                <w:highlight w:val="none"/>
                <w:lang w:val="en-US" w:eastAsia="zh-CN"/>
              </w:rPr>
              <w:t>6</w:t>
            </w:r>
            <w:r>
              <w:rPr>
                <w:rFonts w:hint="eastAsia" w:ascii="宋体" w:hAnsi="宋体" w:eastAsia="宋体" w:cs="宋体"/>
                <w:b w:val="0"/>
                <w:bCs w:val="0"/>
                <w:color w:val="000000"/>
                <w:kern w:val="0"/>
                <w:sz w:val="24"/>
                <w:szCs w:val="24"/>
                <w:highlight w:val="none"/>
              </w:rPr>
              <w:t>分。</w:t>
            </w:r>
          </w:p>
          <w:p w14:paraId="2E646DC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000000"/>
                <w:kern w:val="0"/>
                <w:sz w:val="24"/>
                <w:szCs w:val="24"/>
                <w:highlight w:val="none"/>
              </w:rPr>
              <w:t>注：按国家规定必须上牌的车辆需提供车辆行驶证、购置发票、车辆登记证及提供清晰带有车牌号的正面、后面、45度斜侧面的照片</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lang w:val="en-US" w:eastAsia="zh-CN"/>
              </w:rPr>
              <w:t>租赁的还须提供租赁合同。</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en-US" w:eastAsia="zh-CN"/>
              </w:rPr>
              <w:t>租赁设备除提供上述材料外还需提供相关租赁合同</w:t>
            </w:r>
            <w:r>
              <w:rPr>
                <w:rFonts w:hint="eastAsia" w:ascii="宋体" w:hAnsi="宋体" w:eastAsia="宋体" w:cs="宋体"/>
                <w:b w:val="0"/>
                <w:bCs w:val="0"/>
                <w:color w:val="000000"/>
                <w:kern w:val="0"/>
                <w:sz w:val="24"/>
                <w:szCs w:val="24"/>
                <w:highlight w:val="none"/>
                <w:lang w:val="zh-CN"/>
              </w:rPr>
              <w:t>复印件。)</w:t>
            </w:r>
          </w:p>
        </w:tc>
        <w:tc>
          <w:tcPr>
            <w:tcW w:w="834" w:type="dxa"/>
            <w:noWrap w:val="0"/>
            <w:vAlign w:val="center"/>
          </w:tcPr>
          <w:p w14:paraId="2581739D">
            <w:pPr>
              <w:pStyle w:val="23"/>
              <w:keepNext w:val="0"/>
              <w:keepLines w:val="0"/>
              <w:pageBreakBefore w:val="0"/>
              <w:widowControl w:val="0"/>
              <w:pBdr>
                <w:bottom w:val="none" w:color="auto" w:sz="0" w:space="0"/>
              </w:pBdr>
              <w:tabs>
                <w:tab w:val="clear" w:pos="4153"/>
                <w:tab w:val="clear" w:pos="8306"/>
              </w:tabs>
              <w:kinsoku/>
              <w:wordWrap/>
              <w:overflowPunct/>
              <w:topLinePunct w:val="0"/>
              <w:autoSpaceDN/>
              <w:bidi w:val="0"/>
              <w:spacing w:line="240" w:lineRule="auto"/>
              <w:rPr>
                <w:rFonts w:hint="eastAsia"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6</w:t>
            </w:r>
          </w:p>
        </w:tc>
      </w:tr>
      <w:tr w14:paraId="4BD3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77" w:type="dxa"/>
            <w:shd w:val="clear" w:color="auto" w:fill="auto"/>
            <w:noWrap w:val="0"/>
            <w:vAlign w:val="center"/>
          </w:tcPr>
          <w:p w14:paraId="761ED6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7</w:t>
            </w:r>
          </w:p>
        </w:tc>
        <w:tc>
          <w:tcPr>
            <w:tcW w:w="1927" w:type="dxa"/>
            <w:shd w:val="clear" w:color="auto" w:fill="auto"/>
            <w:noWrap w:val="0"/>
            <w:vAlign w:val="center"/>
          </w:tcPr>
          <w:p w14:paraId="211EFE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生产经营场所</w:t>
            </w:r>
          </w:p>
        </w:tc>
        <w:tc>
          <w:tcPr>
            <w:tcW w:w="5760" w:type="dxa"/>
            <w:shd w:val="clear" w:color="auto" w:fill="auto"/>
            <w:noWrap w:val="0"/>
            <w:vAlign w:val="center"/>
          </w:tcPr>
          <w:p w14:paraId="04A1245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供应商或所投货品厂商施工生产经营场所：1000平方以内得1分，1000（含）-2000平方米得2分，2000（含）平方米以上得3分</w:t>
            </w:r>
            <w:r>
              <w:rPr>
                <w:rFonts w:hint="eastAsia" w:ascii="宋体" w:hAnsi="宋体" w:eastAsia="宋体" w:cs="宋体"/>
                <w:b w:val="0"/>
                <w:bCs w:val="0"/>
                <w:color w:val="000000"/>
                <w:kern w:val="0"/>
                <w:sz w:val="24"/>
                <w:szCs w:val="24"/>
                <w:highlight w:val="none"/>
                <w:lang w:val="en-US" w:eastAsia="zh-CN"/>
              </w:rPr>
              <w:br w:type="textWrapping"/>
            </w:r>
            <w:r>
              <w:rPr>
                <w:rFonts w:hint="eastAsia" w:ascii="宋体" w:hAnsi="宋体" w:eastAsia="宋体" w:cs="宋体"/>
                <w:b w:val="0"/>
                <w:bCs w:val="0"/>
                <w:color w:val="000000"/>
                <w:kern w:val="0"/>
                <w:sz w:val="24"/>
                <w:szCs w:val="24"/>
                <w:highlight w:val="none"/>
                <w:lang w:val="en-US" w:eastAsia="zh-CN"/>
              </w:rPr>
              <w:t>（</w:t>
            </w:r>
            <w:r>
              <w:rPr>
                <w:rFonts w:hint="eastAsia" w:ascii="宋体" w:hAnsi="宋体" w:eastAsia="宋体" w:cs="宋体"/>
                <w:b w:val="0"/>
                <w:bCs w:val="0"/>
                <w:color w:val="000000"/>
                <w:kern w:val="0"/>
                <w:sz w:val="24"/>
                <w:szCs w:val="24"/>
                <w:highlight w:val="none"/>
                <w:lang w:val="zh-CN" w:eastAsia="zh-CN"/>
              </w:rPr>
              <w:t>提供相关产权证书，若场所为租赁，提供相关产权证书及租赁合同</w:t>
            </w:r>
            <w:r>
              <w:rPr>
                <w:rFonts w:hint="eastAsia" w:ascii="宋体" w:hAnsi="宋体" w:eastAsia="宋体" w:cs="宋体"/>
                <w:b w:val="0"/>
                <w:bCs w:val="0"/>
                <w:color w:val="000000"/>
                <w:kern w:val="0"/>
                <w:sz w:val="24"/>
                <w:szCs w:val="24"/>
                <w:highlight w:val="none"/>
                <w:lang w:val="en-US" w:eastAsia="zh-CN"/>
              </w:rPr>
              <w:t>）</w:t>
            </w:r>
          </w:p>
        </w:tc>
        <w:tc>
          <w:tcPr>
            <w:tcW w:w="834" w:type="dxa"/>
            <w:shd w:val="clear" w:color="auto" w:fill="auto"/>
            <w:noWrap w:val="0"/>
            <w:vAlign w:val="center"/>
          </w:tcPr>
          <w:p w14:paraId="4B0013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3</w:t>
            </w:r>
          </w:p>
        </w:tc>
      </w:tr>
      <w:tr w14:paraId="6C0A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777" w:type="dxa"/>
            <w:noWrap w:val="0"/>
            <w:vAlign w:val="center"/>
          </w:tcPr>
          <w:p w14:paraId="1B4B483C">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8</w:t>
            </w:r>
          </w:p>
        </w:tc>
        <w:tc>
          <w:tcPr>
            <w:tcW w:w="1927" w:type="dxa"/>
            <w:shd w:val="clear" w:color="auto" w:fill="auto"/>
            <w:noWrap w:val="0"/>
            <w:vAlign w:val="center"/>
          </w:tcPr>
          <w:p w14:paraId="7D7331D3">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rPr>
              <w:t>体系认证</w:t>
            </w:r>
          </w:p>
        </w:tc>
        <w:tc>
          <w:tcPr>
            <w:tcW w:w="5760" w:type="dxa"/>
            <w:shd w:val="clear" w:color="auto" w:fill="auto"/>
            <w:noWrap w:val="0"/>
            <w:vAlign w:val="center"/>
          </w:tcPr>
          <w:p w14:paraId="543D5C11">
            <w:pPr>
              <w:keepNext w:val="0"/>
              <w:keepLines w:val="0"/>
              <w:pageBreakBefore w:val="0"/>
              <w:widowControl w:val="0"/>
              <w:kinsoku/>
              <w:wordWrap/>
              <w:overflowPunct/>
              <w:topLinePunct w:val="0"/>
              <w:autoSpaceDE w:val="0"/>
              <w:autoSpaceDN/>
              <w:bidi w:val="0"/>
              <w:spacing w:line="240" w:lineRule="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体系认证：</w:t>
            </w:r>
          </w:p>
          <w:p w14:paraId="777E21BA">
            <w:pPr>
              <w:keepNext w:val="0"/>
              <w:keepLines w:val="0"/>
              <w:pageBreakBefore w:val="0"/>
              <w:widowControl w:val="0"/>
              <w:kinsoku/>
              <w:wordWrap/>
              <w:overflowPunct/>
              <w:topLinePunct w:val="0"/>
              <w:autoSpaceDE w:val="0"/>
              <w:autoSpaceDN/>
              <w:bidi w:val="0"/>
              <w:spacing w:line="240" w:lineRule="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供应商具有有效期内质量管理体系认证证书、环境管理体系认证证书、职业健康安全管理体系认证证书的，每个得1分，最高得3分。</w:t>
            </w:r>
          </w:p>
          <w:p w14:paraId="0E213AB2">
            <w:pPr>
              <w:keepNext w:val="0"/>
              <w:keepLines w:val="0"/>
              <w:pageBreakBefore w:val="0"/>
              <w:widowControl w:val="0"/>
              <w:kinsoku/>
              <w:wordWrap/>
              <w:overflowPunct/>
              <w:topLinePunct w:val="0"/>
              <w:autoSpaceDE w:val="0"/>
              <w:autoSpaceDN/>
              <w:bidi w:val="0"/>
              <w:spacing w:line="24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rPr>
              <w:t>(提供有效期内证书复印件和全国认证认可信息公共服务平台查询截图，否则不得分)</w:t>
            </w:r>
          </w:p>
        </w:tc>
        <w:tc>
          <w:tcPr>
            <w:tcW w:w="834" w:type="dxa"/>
            <w:noWrap w:val="0"/>
            <w:vAlign w:val="center"/>
          </w:tcPr>
          <w:p w14:paraId="18DDC83F">
            <w:pPr>
              <w:pStyle w:val="23"/>
              <w:keepNext w:val="0"/>
              <w:keepLines w:val="0"/>
              <w:pageBreakBefore w:val="0"/>
              <w:widowControl w:val="0"/>
              <w:pBdr>
                <w:bottom w:val="none" w:color="auto" w:sz="0" w:space="0"/>
              </w:pBdr>
              <w:tabs>
                <w:tab w:val="clear" w:pos="4153"/>
                <w:tab w:val="clear" w:pos="8306"/>
              </w:tabs>
              <w:kinsoku/>
              <w:wordWrap/>
              <w:overflowPunct/>
              <w:topLinePunct w:val="0"/>
              <w:autoSpaceDN/>
              <w:bidi w:val="0"/>
              <w:spacing w:line="240" w:lineRule="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3</w:t>
            </w:r>
          </w:p>
        </w:tc>
      </w:tr>
      <w:tr w14:paraId="4FEA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77" w:type="dxa"/>
            <w:noWrap w:val="0"/>
            <w:vAlign w:val="center"/>
          </w:tcPr>
          <w:p w14:paraId="33F72059">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9</w:t>
            </w:r>
          </w:p>
        </w:tc>
        <w:tc>
          <w:tcPr>
            <w:tcW w:w="1927" w:type="dxa"/>
            <w:shd w:val="clear" w:color="auto" w:fill="auto"/>
            <w:noWrap w:val="0"/>
            <w:vAlign w:val="center"/>
          </w:tcPr>
          <w:p w14:paraId="6C5C2C21">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rPr>
              <w:t>服务</w:t>
            </w:r>
            <w:r>
              <w:rPr>
                <w:rFonts w:hint="eastAsia" w:ascii="宋体" w:hAnsi="宋体" w:eastAsia="宋体" w:cs="宋体"/>
                <w:b w:val="0"/>
                <w:bCs w:val="0"/>
                <w:color w:val="000000"/>
                <w:kern w:val="0"/>
                <w:sz w:val="24"/>
                <w:szCs w:val="24"/>
                <w:highlight w:val="none"/>
              </w:rPr>
              <w:t>承诺</w:t>
            </w:r>
          </w:p>
        </w:tc>
        <w:tc>
          <w:tcPr>
            <w:tcW w:w="5760" w:type="dxa"/>
            <w:shd w:val="clear" w:color="auto" w:fill="auto"/>
            <w:noWrap w:val="0"/>
            <w:vAlign w:val="center"/>
          </w:tcPr>
          <w:p w14:paraId="3793F06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根据供应商承诺的服务方式、物料准备情况以及其他为本项目提供更好服务的相关承诺进行打分。</w:t>
            </w:r>
          </w:p>
          <w:p w14:paraId="651BB83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kern w:val="0"/>
                <w:sz w:val="24"/>
                <w:szCs w:val="24"/>
                <w:highlight w:val="yellow"/>
                <w:lang w:val="en-US" w:eastAsia="zh-CN" w:bidi="ar-SA"/>
              </w:rPr>
            </w:pPr>
            <w:r>
              <w:rPr>
                <w:rFonts w:hint="eastAsia" w:ascii="宋体" w:hAnsi="宋体" w:eastAsia="宋体" w:cs="宋体"/>
                <w:b w:val="0"/>
                <w:bCs w:val="0"/>
                <w:color w:val="000000"/>
                <w:kern w:val="0"/>
                <w:sz w:val="24"/>
                <w:szCs w:val="24"/>
                <w:highlight w:val="none"/>
                <w:lang w:val="zh-CN" w:eastAsia="zh-CN"/>
              </w:rPr>
              <w:t>方案详尽到位，得</w:t>
            </w:r>
            <w:r>
              <w:rPr>
                <w:rFonts w:hint="eastAsia" w:ascii="宋体" w:hAnsi="宋体" w:eastAsia="宋体" w:cs="宋体"/>
                <w:b w:val="0"/>
                <w:bCs w:val="0"/>
                <w:color w:val="000000"/>
                <w:kern w:val="0"/>
                <w:sz w:val="24"/>
                <w:szCs w:val="24"/>
                <w:highlight w:val="none"/>
                <w:lang w:val="en-US" w:eastAsia="zh-CN"/>
              </w:rPr>
              <w:t>4-3分</w:t>
            </w:r>
            <w:r>
              <w:rPr>
                <w:rFonts w:hint="eastAsia" w:ascii="宋体" w:hAnsi="宋体" w:eastAsia="宋体" w:cs="宋体"/>
                <w:b w:val="0"/>
                <w:bCs w:val="0"/>
                <w:color w:val="000000"/>
                <w:kern w:val="0"/>
                <w:sz w:val="24"/>
                <w:szCs w:val="24"/>
                <w:highlight w:val="none"/>
                <w:lang w:val="zh-CN" w:eastAsia="zh-CN"/>
              </w:rPr>
              <w:t>；</w:t>
            </w:r>
            <w:r>
              <w:rPr>
                <w:rFonts w:hint="eastAsia" w:ascii="宋体" w:hAnsi="宋体" w:eastAsia="宋体" w:cs="宋体"/>
                <w:b w:val="0"/>
                <w:bCs w:val="0"/>
                <w:color w:val="000000"/>
                <w:kern w:val="0"/>
                <w:sz w:val="24"/>
                <w:szCs w:val="24"/>
                <w:highlight w:val="none"/>
                <w:lang w:val="zh-CN" w:eastAsia="zh-CN"/>
              </w:rPr>
              <w:br w:type="textWrapping"/>
            </w:r>
            <w:r>
              <w:rPr>
                <w:rFonts w:hint="eastAsia" w:ascii="宋体" w:hAnsi="宋体" w:eastAsia="宋体" w:cs="宋体"/>
                <w:b w:val="0"/>
                <w:bCs w:val="0"/>
                <w:color w:val="000000"/>
                <w:kern w:val="0"/>
                <w:sz w:val="24"/>
                <w:szCs w:val="24"/>
                <w:highlight w:val="none"/>
                <w:lang w:val="zh-CN" w:eastAsia="zh-CN"/>
              </w:rPr>
              <w:t>方案较为合理，得</w:t>
            </w:r>
            <w:r>
              <w:rPr>
                <w:rFonts w:hint="eastAsia" w:ascii="宋体" w:hAnsi="宋体" w:eastAsia="宋体" w:cs="宋体"/>
                <w:b w:val="0"/>
                <w:bCs w:val="0"/>
                <w:color w:val="000000"/>
                <w:kern w:val="0"/>
                <w:sz w:val="24"/>
                <w:szCs w:val="24"/>
                <w:highlight w:val="none"/>
                <w:lang w:val="en-US" w:eastAsia="zh-CN"/>
              </w:rPr>
              <w:t>2.9-1</w:t>
            </w:r>
            <w:r>
              <w:rPr>
                <w:rFonts w:hint="eastAsia" w:ascii="宋体" w:hAnsi="宋体" w:eastAsia="宋体" w:cs="宋体"/>
                <w:b w:val="0"/>
                <w:bCs w:val="0"/>
                <w:color w:val="000000"/>
                <w:kern w:val="0"/>
                <w:sz w:val="24"/>
                <w:szCs w:val="24"/>
                <w:highlight w:val="none"/>
                <w:lang w:val="zh-CN" w:eastAsia="zh-CN"/>
              </w:rPr>
              <w:t>分；</w:t>
            </w:r>
            <w:r>
              <w:rPr>
                <w:rFonts w:hint="eastAsia" w:ascii="宋体" w:hAnsi="宋体" w:eastAsia="宋体" w:cs="宋体"/>
                <w:b w:val="0"/>
                <w:bCs w:val="0"/>
                <w:color w:val="000000"/>
                <w:kern w:val="0"/>
                <w:sz w:val="24"/>
                <w:szCs w:val="24"/>
                <w:highlight w:val="none"/>
                <w:lang w:val="zh-CN" w:eastAsia="zh-CN"/>
              </w:rPr>
              <w:br w:type="textWrapping"/>
            </w:r>
            <w:r>
              <w:rPr>
                <w:rFonts w:hint="eastAsia" w:ascii="宋体" w:hAnsi="宋体" w:eastAsia="宋体" w:cs="宋体"/>
                <w:b w:val="0"/>
                <w:bCs w:val="0"/>
                <w:color w:val="000000"/>
                <w:kern w:val="0"/>
                <w:sz w:val="24"/>
                <w:szCs w:val="24"/>
                <w:highlight w:val="none"/>
                <w:lang w:val="zh-CN" w:eastAsia="zh-CN"/>
              </w:rPr>
              <w:t>方案较差，得</w:t>
            </w:r>
            <w:r>
              <w:rPr>
                <w:rFonts w:hint="eastAsia" w:ascii="宋体" w:hAnsi="宋体" w:eastAsia="宋体" w:cs="宋体"/>
                <w:b w:val="0"/>
                <w:bCs w:val="0"/>
                <w:color w:val="000000"/>
                <w:kern w:val="0"/>
                <w:sz w:val="24"/>
                <w:szCs w:val="24"/>
                <w:highlight w:val="none"/>
                <w:lang w:val="en-US" w:eastAsia="zh-CN"/>
              </w:rPr>
              <w:t>0.9-0分。</w:t>
            </w:r>
          </w:p>
        </w:tc>
        <w:tc>
          <w:tcPr>
            <w:tcW w:w="834" w:type="dxa"/>
            <w:noWrap w:val="0"/>
            <w:vAlign w:val="center"/>
          </w:tcPr>
          <w:p w14:paraId="62A0F0EF">
            <w:pPr>
              <w:pStyle w:val="23"/>
              <w:keepNext w:val="0"/>
              <w:keepLines w:val="0"/>
              <w:pageBreakBefore w:val="0"/>
              <w:widowControl w:val="0"/>
              <w:pBdr>
                <w:bottom w:val="none" w:color="auto" w:sz="0" w:space="0"/>
              </w:pBdr>
              <w:tabs>
                <w:tab w:val="clear" w:pos="4153"/>
                <w:tab w:val="clear" w:pos="8306"/>
              </w:tabs>
              <w:kinsoku/>
              <w:wordWrap/>
              <w:overflowPunct/>
              <w:topLinePunct w:val="0"/>
              <w:autoSpaceDN/>
              <w:bidi w:val="0"/>
              <w:spacing w:line="240" w:lineRule="auto"/>
              <w:rPr>
                <w:rFonts w:hint="eastAsia" w:ascii="宋体" w:hAnsi="宋体" w:eastAsia="宋体" w:cs="宋体"/>
                <w:b w:val="0"/>
                <w:bCs w:val="0"/>
                <w:color w:val="000000"/>
                <w:kern w:val="0"/>
                <w:sz w:val="24"/>
                <w:szCs w:val="24"/>
                <w:highlight w:val="yellow"/>
                <w:lang w:val="en-US" w:eastAsia="zh-CN"/>
              </w:rPr>
            </w:pPr>
            <w:r>
              <w:rPr>
                <w:rFonts w:hint="eastAsia" w:ascii="宋体" w:hAnsi="宋体" w:eastAsia="宋体" w:cs="宋体"/>
                <w:b w:val="0"/>
                <w:bCs w:val="0"/>
                <w:color w:val="000000"/>
                <w:kern w:val="0"/>
                <w:sz w:val="24"/>
                <w:szCs w:val="24"/>
                <w:highlight w:val="none"/>
                <w:lang w:val="en-US" w:eastAsia="zh-CN" w:bidi="ar-SA"/>
              </w:rPr>
              <w:t>4</w:t>
            </w:r>
          </w:p>
        </w:tc>
      </w:tr>
      <w:tr w14:paraId="5BD7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77" w:type="dxa"/>
            <w:noWrap w:val="0"/>
            <w:vAlign w:val="center"/>
          </w:tcPr>
          <w:p w14:paraId="5A6F7A9E">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w:t>
            </w:r>
            <w:r>
              <w:rPr>
                <w:rFonts w:hint="eastAsia" w:ascii="宋体" w:hAnsi="宋体" w:cs="宋体"/>
                <w:b w:val="0"/>
                <w:bCs w:val="0"/>
                <w:color w:val="000000"/>
                <w:kern w:val="0"/>
                <w:sz w:val="24"/>
                <w:szCs w:val="24"/>
                <w:highlight w:val="none"/>
                <w:lang w:val="en-US" w:eastAsia="zh-CN"/>
              </w:rPr>
              <w:t>0</w:t>
            </w:r>
          </w:p>
        </w:tc>
        <w:tc>
          <w:tcPr>
            <w:tcW w:w="1927" w:type="dxa"/>
            <w:shd w:val="clear" w:color="auto" w:fill="auto"/>
            <w:noWrap w:val="0"/>
            <w:vAlign w:val="center"/>
          </w:tcPr>
          <w:p w14:paraId="4BA87AE2">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现场踏勘</w:t>
            </w:r>
          </w:p>
        </w:tc>
        <w:tc>
          <w:tcPr>
            <w:tcW w:w="5760" w:type="dxa"/>
            <w:shd w:val="clear" w:color="auto" w:fill="auto"/>
            <w:noWrap w:val="0"/>
            <w:vAlign w:val="center"/>
          </w:tcPr>
          <w:p w14:paraId="31A569DA">
            <w:pPr>
              <w:keepNext w:val="0"/>
              <w:keepLines w:val="0"/>
              <w:pageBreakBefore w:val="0"/>
              <w:widowControl w:val="0"/>
              <w:kinsoku/>
              <w:wordWrap/>
              <w:overflowPunct/>
              <w:topLinePunct w:val="0"/>
              <w:autoSpaceDE w:val="0"/>
              <w:autoSpaceDN/>
              <w:bidi w:val="0"/>
              <w:spacing w:line="240" w:lineRule="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1.</w:t>
            </w:r>
            <w:r>
              <w:rPr>
                <w:rFonts w:hint="eastAsia" w:ascii="宋体" w:hAnsi="宋体" w:eastAsia="宋体" w:cs="宋体"/>
                <w:b w:val="0"/>
                <w:bCs w:val="0"/>
                <w:color w:val="000000"/>
                <w:kern w:val="0"/>
                <w:sz w:val="24"/>
                <w:szCs w:val="24"/>
                <w:highlight w:val="none"/>
                <w:lang w:eastAsia="zh-CN"/>
              </w:rPr>
              <w:t>供应商</w:t>
            </w:r>
            <w:r>
              <w:rPr>
                <w:rFonts w:hint="eastAsia" w:ascii="宋体" w:hAnsi="宋体" w:eastAsia="宋体" w:cs="宋体"/>
                <w:b w:val="0"/>
                <w:bCs w:val="0"/>
                <w:color w:val="000000"/>
                <w:kern w:val="0"/>
                <w:sz w:val="24"/>
                <w:szCs w:val="24"/>
                <w:highlight w:val="none"/>
              </w:rPr>
              <w:t>根据本项目实际情况，进行现场充分踏勘（自行组织），提供现场踏勘情况提供影像资料，得3分；</w:t>
            </w:r>
          </w:p>
          <w:p w14:paraId="534BAB50">
            <w:pPr>
              <w:keepNext w:val="0"/>
              <w:keepLines w:val="0"/>
              <w:pageBreakBefore w:val="0"/>
              <w:widowControl w:val="0"/>
              <w:kinsoku/>
              <w:wordWrap/>
              <w:overflowPunct/>
              <w:topLinePunct w:val="0"/>
              <w:autoSpaceDN/>
              <w:bidi w:val="0"/>
              <w:spacing w:line="240" w:lineRule="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2.投标方案根据现场踏勘情况，编制合理、科学，</w:t>
            </w:r>
            <w:r>
              <w:rPr>
                <w:rFonts w:hint="eastAsia" w:ascii="宋体" w:hAnsi="宋体" w:eastAsia="宋体" w:cs="宋体"/>
                <w:b w:val="0"/>
                <w:bCs w:val="0"/>
                <w:color w:val="000000"/>
                <w:kern w:val="0"/>
                <w:sz w:val="24"/>
                <w:szCs w:val="24"/>
                <w:highlight w:val="none"/>
                <w:lang w:val="zh-CN" w:eastAsia="zh-CN" w:bidi="ar-SA"/>
              </w:rPr>
              <w:t>方案详尽到位，得</w:t>
            </w:r>
            <w:r>
              <w:rPr>
                <w:rFonts w:hint="eastAsia" w:ascii="宋体" w:hAnsi="宋体" w:cs="宋体"/>
                <w:b w:val="0"/>
                <w:bCs w:val="0"/>
                <w:color w:val="000000"/>
                <w:kern w:val="0"/>
                <w:sz w:val="24"/>
                <w:szCs w:val="24"/>
                <w:highlight w:val="none"/>
                <w:lang w:val="en-US" w:eastAsia="zh-CN" w:bidi="ar-SA"/>
              </w:rPr>
              <w:t>3</w:t>
            </w:r>
            <w:r>
              <w:rPr>
                <w:rFonts w:hint="eastAsia" w:ascii="宋体" w:hAnsi="宋体" w:eastAsia="宋体" w:cs="宋体"/>
                <w:b w:val="0"/>
                <w:bCs w:val="0"/>
                <w:color w:val="000000"/>
                <w:kern w:val="0"/>
                <w:sz w:val="24"/>
                <w:szCs w:val="24"/>
                <w:highlight w:val="none"/>
                <w:lang w:val="en-US" w:eastAsia="zh-CN" w:bidi="ar-SA"/>
              </w:rPr>
              <w:t>-</w:t>
            </w:r>
            <w:r>
              <w:rPr>
                <w:rFonts w:hint="eastAsia" w:ascii="宋体" w:hAnsi="宋体" w:cs="宋体"/>
                <w:b w:val="0"/>
                <w:bCs w:val="0"/>
                <w:color w:val="000000"/>
                <w:kern w:val="0"/>
                <w:sz w:val="24"/>
                <w:szCs w:val="24"/>
                <w:highlight w:val="none"/>
                <w:lang w:val="en-US" w:eastAsia="zh-CN" w:bidi="ar-SA"/>
              </w:rPr>
              <w:t>2</w:t>
            </w:r>
            <w:r>
              <w:rPr>
                <w:rFonts w:hint="eastAsia" w:ascii="宋体" w:hAnsi="宋体" w:eastAsia="宋体" w:cs="宋体"/>
                <w:b w:val="0"/>
                <w:bCs w:val="0"/>
                <w:color w:val="000000"/>
                <w:kern w:val="0"/>
                <w:sz w:val="24"/>
                <w:szCs w:val="24"/>
                <w:highlight w:val="none"/>
                <w:lang w:val="en-US" w:eastAsia="zh-CN" w:bidi="ar-SA"/>
              </w:rPr>
              <w:t>分</w:t>
            </w:r>
            <w:r>
              <w:rPr>
                <w:rFonts w:hint="eastAsia" w:ascii="宋体" w:hAnsi="宋体" w:eastAsia="宋体" w:cs="宋体"/>
                <w:b w:val="0"/>
                <w:bCs w:val="0"/>
                <w:color w:val="000000"/>
                <w:kern w:val="0"/>
                <w:sz w:val="24"/>
                <w:szCs w:val="24"/>
                <w:highlight w:val="none"/>
                <w:lang w:val="zh-CN" w:eastAsia="zh-CN" w:bidi="ar-SA"/>
              </w:rPr>
              <w:t>；</w:t>
            </w:r>
            <w:r>
              <w:rPr>
                <w:rFonts w:hint="eastAsia" w:ascii="宋体" w:hAnsi="宋体" w:eastAsia="宋体" w:cs="宋体"/>
                <w:b w:val="0"/>
                <w:bCs w:val="0"/>
                <w:color w:val="000000"/>
                <w:kern w:val="0"/>
                <w:sz w:val="24"/>
                <w:szCs w:val="24"/>
                <w:highlight w:val="none"/>
                <w:lang w:val="zh-CN" w:eastAsia="zh-CN" w:bidi="ar-SA"/>
              </w:rPr>
              <w:br w:type="textWrapping"/>
            </w:r>
            <w:r>
              <w:rPr>
                <w:rFonts w:hint="eastAsia" w:ascii="宋体" w:hAnsi="宋体" w:eastAsia="宋体" w:cs="宋体"/>
                <w:b w:val="0"/>
                <w:bCs w:val="0"/>
                <w:color w:val="000000"/>
                <w:kern w:val="0"/>
                <w:sz w:val="24"/>
                <w:szCs w:val="24"/>
                <w:highlight w:val="none"/>
                <w:lang w:val="zh-CN" w:eastAsia="zh-CN" w:bidi="ar-SA"/>
              </w:rPr>
              <w:t>方案较为合理，得</w:t>
            </w:r>
            <w:r>
              <w:rPr>
                <w:rFonts w:hint="eastAsia" w:ascii="宋体" w:hAnsi="宋体" w:cs="宋体"/>
                <w:b w:val="0"/>
                <w:bCs w:val="0"/>
                <w:color w:val="000000"/>
                <w:kern w:val="0"/>
                <w:sz w:val="24"/>
                <w:szCs w:val="24"/>
                <w:highlight w:val="none"/>
                <w:lang w:val="en-US" w:eastAsia="zh-CN" w:bidi="ar-SA"/>
              </w:rPr>
              <w:t>1</w:t>
            </w:r>
            <w:r>
              <w:rPr>
                <w:rFonts w:hint="eastAsia" w:ascii="宋体" w:hAnsi="宋体" w:eastAsia="宋体" w:cs="宋体"/>
                <w:b w:val="0"/>
                <w:bCs w:val="0"/>
                <w:color w:val="000000"/>
                <w:kern w:val="0"/>
                <w:sz w:val="24"/>
                <w:szCs w:val="24"/>
                <w:highlight w:val="none"/>
                <w:lang w:val="en-US" w:eastAsia="zh-CN" w:bidi="ar-SA"/>
              </w:rPr>
              <w:t>.9-</w:t>
            </w:r>
            <w:r>
              <w:rPr>
                <w:rFonts w:hint="eastAsia" w:ascii="宋体" w:hAnsi="宋体" w:cs="宋体"/>
                <w:b w:val="0"/>
                <w:bCs w:val="0"/>
                <w:color w:val="000000"/>
                <w:kern w:val="0"/>
                <w:sz w:val="24"/>
                <w:szCs w:val="24"/>
                <w:highlight w:val="none"/>
                <w:lang w:val="en-US" w:eastAsia="zh-CN" w:bidi="ar-SA"/>
              </w:rPr>
              <w:t>1</w:t>
            </w:r>
            <w:r>
              <w:rPr>
                <w:rFonts w:hint="eastAsia" w:ascii="宋体" w:hAnsi="宋体" w:eastAsia="宋体" w:cs="宋体"/>
                <w:b w:val="0"/>
                <w:bCs w:val="0"/>
                <w:color w:val="000000"/>
                <w:kern w:val="0"/>
                <w:sz w:val="24"/>
                <w:szCs w:val="24"/>
                <w:highlight w:val="none"/>
                <w:lang w:val="zh-CN" w:eastAsia="zh-CN" w:bidi="ar-SA"/>
              </w:rPr>
              <w:t>分；</w:t>
            </w:r>
            <w:r>
              <w:rPr>
                <w:rFonts w:hint="eastAsia" w:ascii="宋体" w:hAnsi="宋体" w:eastAsia="宋体" w:cs="宋体"/>
                <w:b w:val="0"/>
                <w:bCs w:val="0"/>
                <w:color w:val="000000"/>
                <w:kern w:val="0"/>
                <w:sz w:val="24"/>
                <w:szCs w:val="24"/>
                <w:highlight w:val="none"/>
                <w:lang w:val="zh-CN" w:eastAsia="zh-CN" w:bidi="ar-SA"/>
              </w:rPr>
              <w:br w:type="textWrapping"/>
            </w:r>
            <w:r>
              <w:rPr>
                <w:rFonts w:hint="eastAsia" w:ascii="宋体" w:hAnsi="宋体" w:cs="宋体"/>
                <w:b w:val="0"/>
                <w:bCs w:val="0"/>
                <w:color w:val="000000"/>
                <w:kern w:val="0"/>
                <w:sz w:val="24"/>
                <w:szCs w:val="24"/>
                <w:highlight w:val="none"/>
                <w:lang w:val="zh-CN" w:eastAsia="zh-CN" w:bidi="ar-SA"/>
              </w:rPr>
              <w:t>方案较差，得</w:t>
            </w:r>
            <w:r>
              <w:rPr>
                <w:rFonts w:hint="eastAsia" w:ascii="宋体" w:hAnsi="宋体" w:cs="宋体"/>
                <w:b w:val="0"/>
                <w:bCs w:val="0"/>
                <w:color w:val="000000"/>
                <w:kern w:val="0"/>
                <w:sz w:val="24"/>
                <w:szCs w:val="24"/>
                <w:highlight w:val="none"/>
                <w:lang w:val="en-US" w:eastAsia="zh-CN" w:bidi="ar-SA"/>
              </w:rPr>
              <w:t>0.9-0分。</w:t>
            </w:r>
          </w:p>
        </w:tc>
        <w:tc>
          <w:tcPr>
            <w:tcW w:w="834" w:type="dxa"/>
            <w:noWrap w:val="0"/>
            <w:vAlign w:val="center"/>
          </w:tcPr>
          <w:p w14:paraId="716B6295">
            <w:pPr>
              <w:pStyle w:val="23"/>
              <w:keepNext w:val="0"/>
              <w:keepLines w:val="0"/>
              <w:pageBreakBefore w:val="0"/>
              <w:widowControl w:val="0"/>
              <w:pBdr>
                <w:bottom w:val="none" w:color="auto" w:sz="0" w:space="0"/>
              </w:pBdr>
              <w:tabs>
                <w:tab w:val="clear" w:pos="4153"/>
                <w:tab w:val="clear" w:pos="8306"/>
              </w:tabs>
              <w:kinsoku/>
              <w:wordWrap/>
              <w:overflowPunct/>
              <w:topLinePunct w:val="0"/>
              <w:autoSpaceDN/>
              <w:bidi w:val="0"/>
              <w:spacing w:line="240" w:lineRule="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6</w:t>
            </w:r>
          </w:p>
        </w:tc>
      </w:tr>
      <w:tr w14:paraId="61D6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7" w:type="dxa"/>
            <w:noWrap w:val="0"/>
            <w:vAlign w:val="center"/>
          </w:tcPr>
          <w:p w14:paraId="3DB658C5">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w:t>
            </w:r>
            <w:r>
              <w:rPr>
                <w:rFonts w:hint="eastAsia" w:ascii="宋体" w:hAnsi="宋体" w:cs="宋体"/>
                <w:b w:val="0"/>
                <w:bCs w:val="0"/>
                <w:color w:val="000000"/>
                <w:kern w:val="0"/>
                <w:sz w:val="24"/>
                <w:szCs w:val="24"/>
                <w:highlight w:val="none"/>
                <w:lang w:val="en-US" w:eastAsia="zh-CN"/>
              </w:rPr>
              <w:t>1</w:t>
            </w:r>
          </w:p>
        </w:tc>
        <w:tc>
          <w:tcPr>
            <w:tcW w:w="1927" w:type="dxa"/>
            <w:shd w:val="clear" w:color="auto" w:fill="auto"/>
            <w:noWrap w:val="0"/>
            <w:vAlign w:val="center"/>
          </w:tcPr>
          <w:p w14:paraId="04B8406D">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优惠承诺</w:t>
            </w:r>
          </w:p>
        </w:tc>
        <w:tc>
          <w:tcPr>
            <w:tcW w:w="5760" w:type="dxa"/>
            <w:shd w:val="clear" w:color="auto" w:fill="auto"/>
            <w:noWrap w:val="0"/>
            <w:vAlign w:val="center"/>
          </w:tcPr>
          <w:p w14:paraId="3E9056CF">
            <w:pPr>
              <w:keepNext w:val="0"/>
              <w:keepLines w:val="0"/>
              <w:pageBreakBefore w:val="0"/>
              <w:widowControl w:val="0"/>
              <w:kinsoku/>
              <w:wordWrap/>
              <w:overflowPunct/>
              <w:topLinePunct w:val="0"/>
              <w:autoSpaceDN/>
              <w:bidi w:val="0"/>
              <w:spacing w:line="240" w:lineRule="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en-US" w:eastAsia="zh-CN" w:bidi="ar-SA"/>
              </w:rPr>
              <w:t>根据供应商提供的优惠承诺的实际性与优惠性进行综合评分。</w:t>
            </w:r>
            <w:r>
              <w:rPr>
                <w:rFonts w:hint="eastAsia" w:ascii="宋体" w:hAnsi="宋体" w:eastAsia="宋体" w:cs="宋体"/>
                <w:b w:val="0"/>
                <w:bCs w:val="0"/>
                <w:color w:val="000000"/>
                <w:kern w:val="0"/>
                <w:sz w:val="24"/>
                <w:szCs w:val="24"/>
                <w:highlight w:val="none"/>
                <w:lang w:val="en-US" w:eastAsia="zh-CN" w:bidi="ar-SA"/>
              </w:rPr>
              <w:br w:type="textWrapping"/>
            </w:r>
            <w:r>
              <w:rPr>
                <w:rFonts w:hint="eastAsia" w:ascii="宋体" w:hAnsi="宋体" w:eastAsia="宋体" w:cs="宋体"/>
                <w:b w:val="0"/>
                <w:bCs w:val="0"/>
                <w:color w:val="000000"/>
                <w:kern w:val="0"/>
                <w:sz w:val="24"/>
                <w:szCs w:val="24"/>
                <w:highlight w:val="none"/>
                <w:lang w:val="zh-CN" w:eastAsia="zh-CN" w:bidi="ar-SA"/>
              </w:rPr>
              <w:t>方案详尽到位，得</w:t>
            </w:r>
            <w:r>
              <w:rPr>
                <w:rFonts w:hint="eastAsia" w:ascii="宋体" w:hAnsi="宋体" w:eastAsia="宋体" w:cs="宋体"/>
                <w:b w:val="0"/>
                <w:bCs w:val="0"/>
                <w:color w:val="000000"/>
                <w:kern w:val="0"/>
                <w:sz w:val="24"/>
                <w:szCs w:val="24"/>
                <w:highlight w:val="none"/>
                <w:lang w:val="en-US" w:eastAsia="zh-CN" w:bidi="ar-SA"/>
              </w:rPr>
              <w:t>5-3分</w:t>
            </w:r>
            <w:r>
              <w:rPr>
                <w:rFonts w:hint="eastAsia" w:ascii="宋体" w:hAnsi="宋体" w:eastAsia="宋体" w:cs="宋体"/>
                <w:b w:val="0"/>
                <w:bCs w:val="0"/>
                <w:color w:val="000000"/>
                <w:kern w:val="0"/>
                <w:sz w:val="24"/>
                <w:szCs w:val="24"/>
                <w:highlight w:val="none"/>
                <w:lang w:val="zh-CN" w:eastAsia="zh-CN" w:bidi="ar-SA"/>
              </w:rPr>
              <w:t>；</w:t>
            </w:r>
            <w:r>
              <w:rPr>
                <w:rFonts w:hint="eastAsia" w:ascii="宋体" w:hAnsi="宋体" w:eastAsia="宋体" w:cs="宋体"/>
                <w:b w:val="0"/>
                <w:bCs w:val="0"/>
                <w:color w:val="000000"/>
                <w:kern w:val="0"/>
                <w:sz w:val="24"/>
                <w:szCs w:val="24"/>
                <w:highlight w:val="none"/>
                <w:lang w:val="zh-CN" w:eastAsia="zh-CN" w:bidi="ar-SA"/>
              </w:rPr>
              <w:br w:type="textWrapping"/>
            </w:r>
            <w:r>
              <w:rPr>
                <w:rFonts w:hint="eastAsia" w:ascii="宋体" w:hAnsi="宋体" w:eastAsia="宋体" w:cs="宋体"/>
                <w:b w:val="0"/>
                <w:bCs w:val="0"/>
                <w:color w:val="000000"/>
                <w:kern w:val="0"/>
                <w:sz w:val="24"/>
                <w:szCs w:val="24"/>
                <w:highlight w:val="none"/>
                <w:lang w:val="zh-CN" w:eastAsia="zh-CN" w:bidi="ar-SA"/>
              </w:rPr>
              <w:t>方案较为合理，得</w:t>
            </w:r>
            <w:r>
              <w:rPr>
                <w:rFonts w:hint="eastAsia" w:ascii="宋体" w:hAnsi="宋体" w:eastAsia="宋体" w:cs="宋体"/>
                <w:b w:val="0"/>
                <w:bCs w:val="0"/>
                <w:color w:val="000000"/>
                <w:kern w:val="0"/>
                <w:sz w:val="24"/>
                <w:szCs w:val="24"/>
                <w:highlight w:val="none"/>
                <w:lang w:val="en-US" w:eastAsia="zh-CN" w:bidi="ar-SA"/>
              </w:rPr>
              <w:t>2.9-1</w:t>
            </w:r>
            <w:r>
              <w:rPr>
                <w:rFonts w:hint="eastAsia" w:ascii="宋体" w:hAnsi="宋体" w:eastAsia="宋体" w:cs="宋体"/>
                <w:b w:val="0"/>
                <w:bCs w:val="0"/>
                <w:color w:val="000000"/>
                <w:kern w:val="0"/>
                <w:sz w:val="24"/>
                <w:szCs w:val="24"/>
                <w:highlight w:val="none"/>
                <w:lang w:val="zh-CN" w:eastAsia="zh-CN" w:bidi="ar-SA"/>
              </w:rPr>
              <w:t>分；</w:t>
            </w:r>
            <w:r>
              <w:rPr>
                <w:rFonts w:hint="eastAsia" w:ascii="宋体" w:hAnsi="宋体" w:eastAsia="宋体" w:cs="宋体"/>
                <w:b w:val="0"/>
                <w:bCs w:val="0"/>
                <w:color w:val="000000"/>
                <w:kern w:val="0"/>
                <w:sz w:val="24"/>
                <w:szCs w:val="24"/>
                <w:highlight w:val="none"/>
                <w:lang w:val="zh-CN" w:eastAsia="zh-CN" w:bidi="ar-SA"/>
              </w:rPr>
              <w:br w:type="textWrapping"/>
            </w:r>
            <w:r>
              <w:rPr>
                <w:rFonts w:hint="eastAsia" w:ascii="宋体" w:hAnsi="宋体" w:eastAsia="宋体" w:cs="宋体"/>
                <w:b w:val="0"/>
                <w:bCs w:val="0"/>
                <w:color w:val="000000"/>
                <w:kern w:val="0"/>
                <w:sz w:val="24"/>
                <w:szCs w:val="24"/>
                <w:highlight w:val="none"/>
                <w:lang w:val="zh-CN" w:eastAsia="zh-CN" w:bidi="ar-SA"/>
              </w:rPr>
              <w:t>方案较差，得</w:t>
            </w:r>
            <w:r>
              <w:rPr>
                <w:rFonts w:hint="eastAsia" w:ascii="宋体" w:hAnsi="宋体" w:eastAsia="宋体" w:cs="宋体"/>
                <w:b w:val="0"/>
                <w:bCs w:val="0"/>
                <w:color w:val="000000"/>
                <w:kern w:val="0"/>
                <w:sz w:val="24"/>
                <w:szCs w:val="24"/>
                <w:highlight w:val="none"/>
                <w:lang w:val="en-US" w:eastAsia="zh-CN" w:bidi="ar-SA"/>
              </w:rPr>
              <w:t>0.9-0分。</w:t>
            </w:r>
          </w:p>
        </w:tc>
        <w:tc>
          <w:tcPr>
            <w:tcW w:w="834" w:type="dxa"/>
            <w:noWrap w:val="0"/>
            <w:vAlign w:val="center"/>
          </w:tcPr>
          <w:p w14:paraId="6675100A">
            <w:pPr>
              <w:keepNext w:val="0"/>
              <w:keepLines w:val="0"/>
              <w:pageBreakBefore w:val="0"/>
              <w:widowControl w:val="0"/>
              <w:kinsoku/>
              <w:wordWrap/>
              <w:overflowPunct/>
              <w:topLinePunct w:val="0"/>
              <w:autoSpaceDN/>
              <w:bidi w:val="0"/>
              <w:spacing w:line="240" w:lineRule="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5</w:t>
            </w:r>
          </w:p>
        </w:tc>
      </w:tr>
      <w:tr w14:paraId="643D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77" w:type="dxa"/>
            <w:noWrap w:val="0"/>
            <w:vAlign w:val="center"/>
          </w:tcPr>
          <w:p w14:paraId="2F8AE5B6">
            <w:pPr>
              <w:keepNext w:val="0"/>
              <w:keepLines w:val="0"/>
              <w:pageBreakBefore w:val="0"/>
              <w:widowControl w:val="0"/>
              <w:kinsoku/>
              <w:wordWrap/>
              <w:overflowPunct/>
              <w:topLinePunct w:val="0"/>
              <w:autoSpaceDN/>
              <w:bidi w:val="0"/>
              <w:spacing w:line="240"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12</w:t>
            </w:r>
          </w:p>
        </w:tc>
        <w:tc>
          <w:tcPr>
            <w:tcW w:w="1927" w:type="dxa"/>
            <w:vMerge w:val="restart"/>
            <w:shd w:val="clear" w:color="auto" w:fill="auto"/>
            <w:noWrap w:val="0"/>
            <w:vAlign w:val="center"/>
          </w:tcPr>
          <w:p w14:paraId="1DE69ACB">
            <w:pPr>
              <w:keepNext w:val="0"/>
              <w:keepLines w:val="0"/>
              <w:pageBreakBefore w:val="0"/>
              <w:widowControl w:val="0"/>
              <w:kinsoku/>
              <w:wordWrap/>
              <w:overflowPunct/>
              <w:topLinePunct w:val="0"/>
              <w:autoSpaceDN/>
              <w:bidi w:val="0"/>
              <w:spacing w:line="240" w:lineRule="auto"/>
              <w:jc w:val="center"/>
              <w:rPr>
                <w:rFonts w:hint="eastAsia" w:ascii="宋体" w:hAnsi="宋体" w:eastAsia="宋体" w:cs="宋体"/>
                <w:b w:val="0"/>
                <w:bCs w:val="0"/>
                <w:color w:val="000000"/>
                <w:kern w:val="0"/>
                <w:sz w:val="24"/>
                <w:szCs w:val="24"/>
                <w:highlight w:val="none"/>
                <w:lang w:eastAsia="zh-CN"/>
              </w:rPr>
            </w:pPr>
            <w:r>
              <w:rPr>
                <w:rFonts w:hint="eastAsia" w:ascii="宋体" w:hAnsi="宋体" w:cs="宋体"/>
                <w:b w:val="0"/>
                <w:bCs w:val="0"/>
                <w:color w:val="000000"/>
                <w:kern w:val="0"/>
                <w:sz w:val="24"/>
                <w:szCs w:val="24"/>
                <w:highlight w:val="none"/>
                <w:lang w:eastAsia="zh-CN"/>
              </w:rPr>
              <w:t>承诺函</w:t>
            </w:r>
          </w:p>
        </w:tc>
        <w:tc>
          <w:tcPr>
            <w:tcW w:w="5760" w:type="dxa"/>
            <w:shd w:val="clear" w:color="auto" w:fill="auto"/>
            <w:noWrap w:val="0"/>
            <w:vAlign w:val="center"/>
          </w:tcPr>
          <w:p w14:paraId="6D3334CE">
            <w:pPr>
              <w:keepNext w:val="0"/>
              <w:keepLines w:val="0"/>
              <w:pageBreakBefore w:val="0"/>
              <w:widowControl w:val="0"/>
              <w:kinsoku/>
              <w:wordWrap/>
              <w:overflowPunct/>
              <w:topLinePunct w:val="0"/>
              <w:autoSpaceDN/>
              <w:bidi w:val="0"/>
              <w:spacing w:line="240" w:lineRule="auto"/>
              <w:rPr>
                <w:rFonts w:hint="default"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投标供应商承诺，接到采购人站牌维修及增补任务通知的24小时内响应，5-10天内完成站牌维修及增补任务。</w:t>
            </w:r>
            <w:r>
              <w:rPr>
                <w:rFonts w:hint="eastAsia" w:ascii="宋体" w:hAnsi="宋体" w:eastAsia="宋体" w:cs="宋体"/>
                <w:b w:val="0"/>
                <w:bCs w:val="0"/>
                <w:color w:val="000000"/>
                <w:kern w:val="0"/>
                <w:sz w:val="24"/>
                <w:szCs w:val="24"/>
                <w:highlight w:val="none"/>
                <w:lang w:val="en-US" w:eastAsia="zh-CN" w:bidi="ar-SA"/>
              </w:rPr>
              <w:br w:type="textWrapping"/>
            </w:r>
            <w:r>
              <w:rPr>
                <w:rFonts w:hint="eastAsia" w:ascii="宋体" w:hAnsi="宋体" w:eastAsia="宋体" w:cs="宋体"/>
                <w:b w:val="0"/>
                <w:bCs w:val="0"/>
                <w:color w:val="000000"/>
                <w:kern w:val="0"/>
                <w:sz w:val="24"/>
                <w:szCs w:val="24"/>
                <w:highlight w:val="none"/>
                <w:lang w:val="en-US" w:eastAsia="zh-CN" w:bidi="ar-SA"/>
              </w:rPr>
              <w:t>（提供承诺函，格式自拟）</w:t>
            </w:r>
          </w:p>
        </w:tc>
        <w:tc>
          <w:tcPr>
            <w:tcW w:w="834" w:type="dxa"/>
            <w:noWrap w:val="0"/>
            <w:vAlign w:val="center"/>
          </w:tcPr>
          <w:p w14:paraId="12A8573D">
            <w:pPr>
              <w:keepNext w:val="0"/>
              <w:keepLines w:val="0"/>
              <w:pageBreakBefore w:val="0"/>
              <w:widowControl w:val="0"/>
              <w:kinsoku/>
              <w:wordWrap/>
              <w:overflowPunct/>
              <w:topLinePunct w:val="0"/>
              <w:autoSpaceDN/>
              <w:bidi w:val="0"/>
              <w:spacing w:line="240" w:lineRule="auto"/>
              <w:rPr>
                <w:rFonts w:hint="default"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3</w:t>
            </w:r>
          </w:p>
        </w:tc>
      </w:tr>
      <w:tr w14:paraId="2EB1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77" w:type="dxa"/>
            <w:noWrap w:val="0"/>
            <w:vAlign w:val="center"/>
          </w:tcPr>
          <w:p w14:paraId="71659F71">
            <w:pPr>
              <w:keepNext w:val="0"/>
              <w:keepLines w:val="0"/>
              <w:pageBreakBefore w:val="0"/>
              <w:widowControl w:val="0"/>
              <w:kinsoku/>
              <w:wordWrap/>
              <w:overflowPunct/>
              <w:topLinePunct w:val="0"/>
              <w:autoSpaceDN/>
              <w:bidi w:val="0"/>
              <w:spacing w:line="240" w:lineRule="auto"/>
              <w:jc w:val="center"/>
              <w:rPr>
                <w:rFonts w:hint="default" w:ascii="宋体" w:hAnsi="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13</w:t>
            </w:r>
          </w:p>
        </w:tc>
        <w:tc>
          <w:tcPr>
            <w:tcW w:w="1927" w:type="dxa"/>
            <w:vMerge w:val="continue"/>
            <w:shd w:val="clear" w:color="auto" w:fill="auto"/>
            <w:noWrap w:val="0"/>
            <w:vAlign w:val="center"/>
          </w:tcPr>
          <w:p w14:paraId="03F29CD1">
            <w:pPr>
              <w:keepNext w:val="0"/>
              <w:keepLines w:val="0"/>
              <w:pageBreakBefore w:val="0"/>
              <w:widowControl w:val="0"/>
              <w:kinsoku/>
              <w:wordWrap/>
              <w:overflowPunct/>
              <w:topLinePunct w:val="0"/>
              <w:autoSpaceDN/>
              <w:bidi w:val="0"/>
              <w:spacing w:line="240" w:lineRule="auto"/>
              <w:jc w:val="center"/>
              <w:rPr>
                <w:rFonts w:hint="eastAsia" w:ascii="宋体" w:hAnsi="宋体" w:cs="宋体"/>
                <w:b w:val="0"/>
                <w:bCs w:val="0"/>
                <w:color w:val="000000"/>
                <w:kern w:val="0"/>
                <w:sz w:val="24"/>
                <w:szCs w:val="24"/>
                <w:highlight w:val="none"/>
                <w:lang w:eastAsia="zh-CN"/>
              </w:rPr>
            </w:pPr>
          </w:p>
        </w:tc>
        <w:tc>
          <w:tcPr>
            <w:tcW w:w="5760" w:type="dxa"/>
            <w:shd w:val="clear" w:color="auto" w:fill="auto"/>
            <w:noWrap w:val="0"/>
            <w:vAlign w:val="center"/>
          </w:tcPr>
          <w:p w14:paraId="5354BCDB">
            <w:pPr>
              <w:keepNext w:val="0"/>
              <w:keepLines w:val="0"/>
              <w:pageBreakBefore w:val="0"/>
              <w:widowControl w:val="0"/>
              <w:kinsoku/>
              <w:wordWrap/>
              <w:overflowPunct/>
              <w:topLinePunct w:val="0"/>
              <w:autoSpaceDN/>
              <w:bidi w:val="0"/>
              <w:spacing w:line="240" w:lineRule="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投标供应商承诺，质保期内组织人员对项目范围内公交站牌进行巡查，发现问题及时更补。</w:t>
            </w:r>
            <w:r>
              <w:rPr>
                <w:rFonts w:hint="eastAsia" w:ascii="宋体" w:hAnsi="宋体" w:eastAsia="宋体" w:cs="宋体"/>
                <w:b w:val="0"/>
                <w:bCs w:val="0"/>
                <w:color w:val="000000"/>
                <w:kern w:val="0"/>
                <w:sz w:val="24"/>
                <w:szCs w:val="24"/>
                <w:highlight w:val="none"/>
                <w:lang w:val="en-US" w:eastAsia="zh-CN" w:bidi="ar-SA"/>
              </w:rPr>
              <w:br w:type="textWrapping"/>
            </w:r>
            <w:r>
              <w:rPr>
                <w:rFonts w:hint="eastAsia" w:ascii="宋体" w:hAnsi="宋体" w:eastAsia="宋体" w:cs="宋体"/>
                <w:b w:val="0"/>
                <w:bCs w:val="0"/>
                <w:color w:val="000000"/>
                <w:kern w:val="0"/>
                <w:sz w:val="24"/>
                <w:szCs w:val="24"/>
                <w:highlight w:val="none"/>
                <w:lang w:val="en-US" w:eastAsia="zh-CN" w:bidi="ar-SA"/>
              </w:rPr>
              <w:t>（提供承诺函，格式自拟）</w:t>
            </w:r>
          </w:p>
        </w:tc>
        <w:tc>
          <w:tcPr>
            <w:tcW w:w="834" w:type="dxa"/>
            <w:noWrap w:val="0"/>
            <w:vAlign w:val="center"/>
          </w:tcPr>
          <w:p w14:paraId="28FA869C">
            <w:pPr>
              <w:keepNext w:val="0"/>
              <w:keepLines w:val="0"/>
              <w:pageBreakBefore w:val="0"/>
              <w:widowControl w:val="0"/>
              <w:kinsoku/>
              <w:wordWrap/>
              <w:overflowPunct/>
              <w:topLinePunct w:val="0"/>
              <w:autoSpaceDN/>
              <w:bidi w:val="0"/>
              <w:spacing w:line="240" w:lineRule="auto"/>
              <w:rPr>
                <w:rFonts w:hint="default"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3</w:t>
            </w:r>
          </w:p>
        </w:tc>
      </w:tr>
    </w:tbl>
    <w:p w14:paraId="7E7C4F12">
      <w:pPr>
        <w:spacing w:after="120" w:afterLines="50" w:line="240" w:lineRule="auto"/>
        <w:rPr>
          <w:rFonts w:asciiTheme="minorEastAsia" w:hAnsiTheme="minorEastAsia" w:eastAsiaTheme="minorEastAsia"/>
          <w:b/>
          <w:bCs/>
          <w:color w:val="000000"/>
          <w:sz w:val="24"/>
        </w:rPr>
      </w:pPr>
      <w:r>
        <w:rPr>
          <w:rFonts w:asciiTheme="minorEastAsia" w:hAnsiTheme="minorEastAsia" w:eastAsiaTheme="minorEastAsia"/>
          <w:b/>
          <w:bCs/>
          <w:color w:val="000000"/>
          <w:sz w:val="24"/>
        </w:rPr>
        <w:t>（</w:t>
      </w:r>
      <w:r>
        <w:rPr>
          <w:rFonts w:hint="eastAsia" w:asciiTheme="minorEastAsia" w:hAnsiTheme="minorEastAsia" w:eastAsiaTheme="minorEastAsia"/>
          <w:b/>
          <w:bCs/>
          <w:color w:val="000000"/>
          <w:sz w:val="24"/>
        </w:rPr>
        <w:t>二</w:t>
      </w:r>
      <w:r>
        <w:rPr>
          <w:rFonts w:asciiTheme="minorEastAsia" w:hAnsiTheme="minorEastAsia" w:eastAsiaTheme="minorEastAsia"/>
          <w:b/>
          <w:bCs/>
          <w:color w:val="000000"/>
          <w:sz w:val="24"/>
        </w:rPr>
        <w:t>）商务技术分的计算</w:t>
      </w:r>
    </w:p>
    <w:p w14:paraId="0C79D79D">
      <w:pPr>
        <w:spacing w:after="120" w:line="24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商务技术分按照评标委员会成员的独立评分结果汇总数,以算术平均分计算，计算公式为：</w:t>
      </w:r>
    </w:p>
    <w:p w14:paraId="171EAE4D">
      <w:pPr>
        <w:spacing w:after="120"/>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商务技术分=（评标委员会所有成员评分合计数）/（评标委员会组成人员数）</w:t>
      </w:r>
    </w:p>
    <w:p w14:paraId="51503749">
      <w:pPr>
        <w:spacing w:line="360" w:lineRule="auto"/>
        <w:ind w:left="87" w:right="172"/>
        <w:jc w:val="center"/>
        <w:rPr>
          <w:b/>
          <w:sz w:val="72"/>
        </w:rPr>
        <w:sectPr>
          <w:pgSz w:w="11910" w:h="16840"/>
          <w:pgMar w:top="1134" w:right="1344" w:bottom="1134" w:left="1304" w:header="0" w:footer="993" w:gutter="0"/>
          <w:cols w:space="0" w:num="1"/>
        </w:sectPr>
      </w:pPr>
    </w:p>
    <w:p w14:paraId="54513788">
      <w:pPr>
        <w:pStyle w:val="126"/>
        <w:spacing w:before="0"/>
        <w:ind w:firstLine="320" w:firstLineChars="100"/>
        <w:jc w:val="center"/>
        <w:rPr>
          <w:rFonts w:ascii="宋体" w:hAnsi="宋体"/>
          <w:sz w:val="32"/>
          <w:szCs w:val="32"/>
        </w:rPr>
      </w:pPr>
      <w:r>
        <w:rPr>
          <w:rFonts w:hint="eastAsia" w:ascii="宋体" w:hAnsi="宋体"/>
          <w:sz w:val="32"/>
          <w:szCs w:val="32"/>
        </w:rPr>
        <w:t>第五章采购合同（范本）</w:t>
      </w:r>
    </w:p>
    <w:p w14:paraId="6CE2E736">
      <w:pPr>
        <w:pStyle w:val="126"/>
        <w:spacing w:before="0"/>
        <w:ind w:firstLineChars="0"/>
        <w:jc w:val="center"/>
        <w:rPr>
          <w:rFonts w:ascii="Times New Roman" w:hAnsi="Times New Roman"/>
        </w:rPr>
      </w:pPr>
      <w:r>
        <w:rPr>
          <w:rFonts w:ascii="Times New Roman" w:hAnsi="Times New Roman"/>
        </w:rPr>
        <w:t xml:space="preserve">  （具体文本以实际签署的为准）</w:t>
      </w:r>
    </w:p>
    <w:p w14:paraId="74D173C3">
      <w:pPr>
        <w:pStyle w:val="126"/>
        <w:spacing w:before="0"/>
        <w:ind w:firstLine="0" w:firstLineChars="0"/>
        <w:jc w:val="left"/>
        <w:rPr>
          <w:rFonts w:hAnsi="宋体" w:cs="宋体"/>
        </w:rPr>
      </w:pPr>
      <w:r>
        <w:rPr>
          <w:rFonts w:hint="eastAsia" w:hAnsi="宋体" w:cs="宋体"/>
        </w:rPr>
        <w:t xml:space="preserve">项目名称：                                       </w:t>
      </w:r>
    </w:p>
    <w:p w14:paraId="066E430D">
      <w:pPr>
        <w:pStyle w:val="18"/>
        <w:snapToGrid w:val="0"/>
        <w:spacing w:line="360" w:lineRule="auto"/>
        <w:rPr>
          <w:rFonts w:hAnsi="宋体" w:cs="宋体"/>
          <w:sz w:val="24"/>
        </w:rPr>
      </w:pPr>
      <w:r>
        <w:rPr>
          <w:rFonts w:hint="eastAsia" w:hAnsi="宋体" w:cs="宋体"/>
          <w:sz w:val="24"/>
        </w:rPr>
        <w:t>项目编号：</w:t>
      </w:r>
    </w:p>
    <w:p w14:paraId="3869ADB9">
      <w:pPr>
        <w:pStyle w:val="18"/>
        <w:snapToGrid w:val="0"/>
        <w:spacing w:line="360" w:lineRule="auto"/>
        <w:rPr>
          <w:rFonts w:hAnsi="宋体" w:cs="宋体"/>
          <w:sz w:val="24"/>
        </w:rPr>
      </w:pPr>
      <w:r>
        <w:rPr>
          <w:rFonts w:hint="eastAsia" w:hAnsi="宋体" w:cs="宋体"/>
          <w:sz w:val="24"/>
        </w:rPr>
        <w:t xml:space="preserve">甲方：（买方）                      </w:t>
      </w:r>
      <w:r>
        <w:rPr>
          <w:rFonts w:hint="eastAsia" w:hAnsi="宋体" w:cs="宋体"/>
          <w:color w:val="FF0000"/>
          <w:sz w:val="24"/>
        </w:rPr>
        <w:t xml:space="preserve">   </w:t>
      </w:r>
      <w:r>
        <w:rPr>
          <w:rFonts w:hint="eastAsia" w:hAnsi="宋体" w:cs="宋体"/>
          <w:sz w:val="24"/>
        </w:rPr>
        <w:t xml:space="preserve">          </w:t>
      </w:r>
    </w:p>
    <w:p w14:paraId="46FDB963">
      <w:pPr>
        <w:pStyle w:val="18"/>
        <w:snapToGrid w:val="0"/>
        <w:spacing w:line="360" w:lineRule="auto"/>
        <w:rPr>
          <w:rFonts w:hAnsi="宋体" w:cs="宋体"/>
          <w:sz w:val="24"/>
        </w:rPr>
      </w:pPr>
      <w:r>
        <w:rPr>
          <w:rFonts w:hint="eastAsia" w:hAnsi="宋体" w:cs="宋体"/>
          <w:sz w:val="24"/>
        </w:rPr>
        <w:t>乙方：（卖方）</w:t>
      </w:r>
    </w:p>
    <w:p w14:paraId="04768EDA">
      <w:pPr>
        <w:pStyle w:val="18"/>
        <w:snapToGrid w:val="0"/>
        <w:spacing w:line="360" w:lineRule="auto"/>
        <w:ind w:firstLine="480" w:firstLineChars="200"/>
        <w:rPr>
          <w:rFonts w:hAnsi="宋体" w:cs="宋体"/>
          <w:b/>
          <w:sz w:val="24"/>
        </w:rPr>
      </w:pPr>
      <w:r>
        <w:rPr>
          <w:rFonts w:hint="eastAsia" w:hAnsi="宋体" w:cs="宋体"/>
          <w:sz w:val="24"/>
        </w:rPr>
        <w:t>甲、乙双方根据</w:t>
      </w:r>
      <w:r>
        <w:rPr>
          <w:rFonts w:hint="eastAsia" w:hAnsi="宋体" w:cs="宋体"/>
          <w:sz w:val="24"/>
          <w:u w:val="single"/>
        </w:rPr>
        <w:t xml:space="preserve">                            </w:t>
      </w:r>
      <w:r>
        <w:rPr>
          <w:rFonts w:hint="eastAsia" w:hAnsi="宋体" w:cs="宋体"/>
          <w:sz w:val="24"/>
        </w:rPr>
        <w:t>招标的结果，签署本合同。</w:t>
      </w:r>
    </w:p>
    <w:p w14:paraId="0D369D16">
      <w:pPr>
        <w:pStyle w:val="18"/>
        <w:snapToGrid w:val="0"/>
        <w:spacing w:line="360" w:lineRule="auto"/>
        <w:rPr>
          <w:rFonts w:hAnsi="宋体" w:cs="宋体"/>
          <w:b/>
          <w:sz w:val="24"/>
        </w:rPr>
      </w:pPr>
      <w:r>
        <w:rPr>
          <w:rFonts w:hint="eastAsia" w:hAnsi="宋体" w:cs="宋体"/>
          <w:b/>
          <w:sz w:val="24"/>
        </w:rPr>
        <w:t>一、货物内容</w:t>
      </w:r>
    </w:p>
    <w:p w14:paraId="7E398BA5">
      <w:pPr>
        <w:pStyle w:val="18"/>
        <w:snapToGrid w:val="0"/>
        <w:spacing w:line="360" w:lineRule="auto"/>
        <w:ind w:firstLine="480" w:firstLineChars="200"/>
        <w:rPr>
          <w:rFonts w:hAnsi="宋体" w:cs="宋体"/>
          <w:sz w:val="24"/>
        </w:rPr>
      </w:pPr>
      <w:r>
        <w:rPr>
          <w:rFonts w:hint="eastAsia" w:hAnsi="宋体" w:cs="宋体"/>
          <w:sz w:val="24"/>
        </w:rPr>
        <w:t xml:space="preserve">1. 货物名称：                         </w:t>
      </w:r>
    </w:p>
    <w:p w14:paraId="6EDA091E">
      <w:pPr>
        <w:pStyle w:val="18"/>
        <w:snapToGrid w:val="0"/>
        <w:spacing w:line="360" w:lineRule="auto"/>
        <w:ind w:firstLine="480" w:firstLineChars="200"/>
        <w:rPr>
          <w:rFonts w:hAnsi="宋体" w:cs="宋体"/>
          <w:sz w:val="24"/>
        </w:rPr>
      </w:pPr>
      <w:r>
        <w:rPr>
          <w:rFonts w:hint="eastAsia" w:hAnsi="宋体" w:cs="宋体"/>
          <w:sz w:val="24"/>
        </w:rPr>
        <w:t>2. 型号规格：</w:t>
      </w:r>
    </w:p>
    <w:p w14:paraId="7FEF1ED9">
      <w:pPr>
        <w:pStyle w:val="18"/>
        <w:snapToGrid w:val="0"/>
        <w:spacing w:line="360" w:lineRule="auto"/>
        <w:ind w:firstLine="480" w:firstLineChars="200"/>
        <w:rPr>
          <w:rFonts w:hAnsi="宋体" w:cs="宋体"/>
          <w:sz w:val="24"/>
        </w:rPr>
      </w:pPr>
      <w:r>
        <w:rPr>
          <w:rFonts w:hint="eastAsia" w:hAnsi="宋体" w:cs="宋体"/>
          <w:sz w:val="24"/>
        </w:rPr>
        <w:t xml:space="preserve">3. 技术参数：                         </w:t>
      </w:r>
    </w:p>
    <w:p w14:paraId="0FB5FDA9">
      <w:pPr>
        <w:pStyle w:val="18"/>
        <w:snapToGrid w:val="0"/>
        <w:spacing w:line="360" w:lineRule="auto"/>
        <w:ind w:firstLine="480" w:firstLineChars="200"/>
        <w:rPr>
          <w:rFonts w:hint="eastAsia" w:hAnsi="宋体" w:cs="宋体"/>
          <w:sz w:val="24"/>
        </w:rPr>
      </w:pPr>
      <w:r>
        <w:rPr>
          <w:rFonts w:hint="eastAsia" w:hAnsi="宋体" w:cs="宋体"/>
          <w:sz w:val="24"/>
        </w:rPr>
        <w:t>4. 数量（单位）：</w:t>
      </w:r>
    </w:p>
    <w:p w14:paraId="04623750">
      <w:pPr>
        <w:pStyle w:val="18"/>
        <w:snapToGrid w:val="0"/>
        <w:spacing w:line="360" w:lineRule="auto"/>
        <w:ind w:firstLine="480" w:firstLineChars="200"/>
        <w:rPr>
          <w:rFonts w:hint="eastAsia" w:hAnsi="宋体" w:eastAsia="宋体" w:cs="宋体"/>
          <w:sz w:val="24"/>
          <w:lang w:eastAsia="zh-CN"/>
        </w:rPr>
      </w:pPr>
      <w:r>
        <w:rPr>
          <w:rFonts w:hint="eastAsia" w:hAnsi="宋体" w:cs="宋体"/>
          <w:sz w:val="24"/>
          <w:lang w:eastAsia="zh-CN"/>
        </w:rPr>
        <w:t>（清单后附）</w:t>
      </w:r>
    </w:p>
    <w:p w14:paraId="455DE6AB">
      <w:pPr>
        <w:pStyle w:val="18"/>
        <w:snapToGrid w:val="0"/>
        <w:spacing w:line="360" w:lineRule="auto"/>
        <w:rPr>
          <w:rFonts w:hAnsi="宋体" w:cs="宋体"/>
          <w:b/>
          <w:sz w:val="24"/>
        </w:rPr>
      </w:pPr>
      <w:r>
        <w:rPr>
          <w:rFonts w:hint="eastAsia" w:hAnsi="宋体" w:cs="宋体"/>
          <w:b/>
          <w:sz w:val="24"/>
        </w:rPr>
        <w:t>二、合同金额</w:t>
      </w:r>
    </w:p>
    <w:p w14:paraId="4E0EE192">
      <w:pPr>
        <w:pStyle w:val="18"/>
        <w:snapToGrid w:val="0"/>
        <w:spacing w:line="360" w:lineRule="auto"/>
        <w:ind w:left="479" w:leftChars="228" w:firstLine="69" w:firstLineChars="29"/>
        <w:rPr>
          <w:rFonts w:hAnsi="宋体" w:cs="宋体"/>
          <w:sz w:val="24"/>
        </w:rPr>
      </w:pPr>
      <w:r>
        <w:rPr>
          <w:rFonts w:hint="eastAsia" w:hAnsi="宋体" w:cs="宋体"/>
          <w:sz w:val="24"/>
        </w:rPr>
        <w:t>本合同金额为（大写）：________元（￥_______元）人民币。</w:t>
      </w:r>
    </w:p>
    <w:p w14:paraId="4E7C4C9A">
      <w:pPr>
        <w:pStyle w:val="18"/>
        <w:snapToGrid w:val="0"/>
        <w:spacing w:line="360" w:lineRule="auto"/>
        <w:rPr>
          <w:rFonts w:hAnsi="宋体" w:cs="宋体"/>
          <w:b/>
          <w:sz w:val="24"/>
        </w:rPr>
      </w:pPr>
      <w:r>
        <w:rPr>
          <w:rFonts w:hint="eastAsia" w:hAnsi="宋体" w:cs="宋体"/>
          <w:b/>
          <w:sz w:val="24"/>
        </w:rPr>
        <w:t>三、技术资料</w:t>
      </w:r>
    </w:p>
    <w:p w14:paraId="2E57E0CA">
      <w:pPr>
        <w:pStyle w:val="18"/>
        <w:snapToGrid w:val="0"/>
        <w:spacing w:line="360" w:lineRule="auto"/>
        <w:ind w:firstLine="480" w:firstLineChars="200"/>
        <w:rPr>
          <w:rFonts w:hAnsi="宋体" w:cs="宋体"/>
          <w:sz w:val="24"/>
        </w:rPr>
      </w:pPr>
      <w:r>
        <w:rPr>
          <w:rFonts w:hint="eastAsia" w:hAnsi="宋体" w:cs="宋体"/>
          <w:sz w:val="24"/>
        </w:rPr>
        <w:t>1.乙方应按招标文件规定的时间向甲方提供使用货物的有关技术资料。</w:t>
      </w:r>
    </w:p>
    <w:p w14:paraId="674C7A6F">
      <w:pPr>
        <w:snapToGrid w:val="0"/>
        <w:spacing w:line="360" w:lineRule="auto"/>
        <w:ind w:firstLine="480" w:firstLineChars="200"/>
        <w:rPr>
          <w:rFonts w:ascii="宋体" w:hAnsi="宋体" w:cs="宋体"/>
          <w:sz w:val="24"/>
        </w:rPr>
      </w:pPr>
      <w:r>
        <w:rPr>
          <w:rFonts w:hint="eastAsia" w:ascii="宋体" w:hAnsi="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5FAC060">
      <w:pPr>
        <w:pStyle w:val="18"/>
        <w:snapToGrid w:val="0"/>
        <w:spacing w:line="360" w:lineRule="auto"/>
        <w:ind w:left="412" w:hanging="412" w:hangingChars="171"/>
        <w:rPr>
          <w:rFonts w:hAnsi="宋体" w:cs="宋体"/>
          <w:b/>
          <w:sz w:val="24"/>
        </w:rPr>
      </w:pPr>
      <w:r>
        <w:rPr>
          <w:rFonts w:hint="eastAsia" w:hAnsi="宋体" w:cs="宋体"/>
          <w:b/>
          <w:sz w:val="24"/>
        </w:rPr>
        <w:t>四、知识产权</w:t>
      </w:r>
    </w:p>
    <w:p w14:paraId="4862DBFF">
      <w:pPr>
        <w:pStyle w:val="18"/>
        <w:snapToGrid w:val="0"/>
        <w:spacing w:line="360" w:lineRule="auto"/>
        <w:ind w:firstLine="480" w:firstLineChars="200"/>
        <w:rPr>
          <w:rFonts w:hAnsi="宋体" w:cs="宋体"/>
          <w:bCs/>
          <w:sz w:val="24"/>
        </w:rPr>
      </w:pPr>
      <w:r>
        <w:rPr>
          <w:rFonts w:hint="eastAsia" w:hAnsi="宋体" w:cs="宋体"/>
          <w:sz w:val="24"/>
        </w:rPr>
        <w:t>乙方应保证所提供的货物或其任何一部分均不会侵犯任何第三方的知识产权</w:t>
      </w:r>
      <w:r>
        <w:rPr>
          <w:rFonts w:hint="eastAsia" w:hAnsi="宋体" w:cs="宋体"/>
          <w:bCs/>
          <w:sz w:val="24"/>
        </w:rPr>
        <w:t>。</w:t>
      </w:r>
    </w:p>
    <w:p w14:paraId="6E4B6D3E">
      <w:pPr>
        <w:pStyle w:val="18"/>
        <w:snapToGrid w:val="0"/>
        <w:spacing w:line="360" w:lineRule="auto"/>
        <w:rPr>
          <w:rFonts w:hAnsi="宋体" w:cs="宋体"/>
          <w:sz w:val="24"/>
          <w:u w:val="single"/>
        </w:rPr>
      </w:pPr>
      <w:r>
        <w:rPr>
          <w:rFonts w:hint="eastAsia" w:hAnsi="宋体" w:cs="宋体"/>
          <w:b/>
          <w:sz w:val="24"/>
        </w:rPr>
        <w:t>五、产权担保</w:t>
      </w:r>
    </w:p>
    <w:p w14:paraId="5E7BFBA4">
      <w:pPr>
        <w:pStyle w:val="18"/>
        <w:snapToGrid w:val="0"/>
        <w:spacing w:line="360" w:lineRule="auto"/>
        <w:ind w:firstLine="480" w:firstLineChars="200"/>
        <w:rPr>
          <w:rFonts w:hAnsi="宋体" w:cs="宋体"/>
          <w:sz w:val="24"/>
        </w:rPr>
      </w:pPr>
      <w:r>
        <w:rPr>
          <w:rFonts w:hint="eastAsia" w:hAnsi="宋体" w:cs="宋体"/>
          <w:sz w:val="24"/>
        </w:rPr>
        <w:t>乙方保证所交付的货物的所有权完全属于乙方且无任何抵押、查封等产权瑕疵。</w:t>
      </w:r>
    </w:p>
    <w:p w14:paraId="1C7FCF63">
      <w:pPr>
        <w:pStyle w:val="18"/>
        <w:widowControl/>
        <w:numPr>
          <w:ilvl w:val="0"/>
          <w:numId w:val="12"/>
        </w:numPr>
        <w:snapToGrid w:val="0"/>
        <w:spacing w:line="360" w:lineRule="auto"/>
        <w:ind w:left="410" w:hanging="410" w:hangingChars="170"/>
        <w:rPr>
          <w:rFonts w:hAnsi="宋体" w:cs="宋体"/>
          <w:b/>
          <w:sz w:val="24"/>
        </w:rPr>
      </w:pPr>
      <w:r>
        <w:rPr>
          <w:rFonts w:hint="eastAsia" w:hAnsi="宋体" w:cs="宋体"/>
          <w:b/>
          <w:sz w:val="24"/>
        </w:rPr>
        <w:t>履约保证金</w:t>
      </w:r>
    </w:p>
    <w:p w14:paraId="64BB1C8A">
      <w:pPr>
        <w:spacing w:line="360" w:lineRule="auto"/>
        <w:ind w:firstLine="480" w:firstLineChars="200"/>
      </w:pPr>
      <w:r>
        <w:rPr>
          <w:rFonts w:hint="eastAsia" w:ascii="宋体" w:hAnsi="宋体" w:cs="宋体"/>
          <w:sz w:val="24"/>
        </w:rPr>
        <w:t>签订合同时，中标人应向采购人交纳合同金额的</w:t>
      </w:r>
      <w:r>
        <w:rPr>
          <w:rFonts w:hint="eastAsia" w:ascii="宋体" w:hAnsi="宋体" w:cs="宋体"/>
          <w:sz w:val="24"/>
          <w:lang w:val="en-US" w:eastAsia="zh-CN"/>
        </w:rPr>
        <w:t>1</w:t>
      </w:r>
      <w:r>
        <w:rPr>
          <w:rFonts w:hint="eastAsia" w:ascii="宋体" w:hAnsi="宋体" w:cs="宋体"/>
          <w:sz w:val="24"/>
        </w:rPr>
        <w:t>%作为履约保证金。中标人应当以支票、汇票、本票或者金融机构、担保机构出具的保函等非现金形式提交。</w:t>
      </w:r>
      <w:r>
        <w:rPr>
          <w:rFonts w:hint="eastAsia" w:ascii="宋体" w:hAnsi="宋体"/>
          <w:sz w:val="24"/>
        </w:rPr>
        <w:t>验收合格之日起30天内无息退还（不计息）。</w:t>
      </w:r>
    </w:p>
    <w:p w14:paraId="4274ADB5">
      <w:pPr>
        <w:pStyle w:val="18"/>
        <w:snapToGrid w:val="0"/>
        <w:spacing w:line="360" w:lineRule="auto"/>
        <w:ind w:left="410" w:hanging="410" w:hangingChars="170"/>
        <w:rPr>
          <w:rFonts w:hAnsi="宋体" w:cs="宋体"/>
          <w:b/>
          <w:sz w:val="24"/>
        </w:rPr>
      </w:pPr>
      <w:r>
        <w:rPr>
          <w:rFonts w:hint="eastAsia" w:hAnsi="宋体" w:cs="宋体"/>
          <w:b/>
          <w:sz w:val="24"/>
        </w:rPr>
        <w:t>七、转包或分包</w:t>
      </w:r>
    </w:p>
    <w:p w14:paraId="3EB7564F">
      <w:pPr>
        <w:snapToGrid w:val="0"/>
        <w:spacing w:line="360" w:lineRule="auto"/>
        <w:ind w:firstLine="480" w:firstLineChars="200"/>
        <w:rPr>
          <w:rFonts w:ascii="宋体" w:hAnsi="宋体" w:cs="宋体"/>
          <w:sz w:val="24"/>
        </w:rPr>
      </w:pPr>
      <w:r>
        <w:rPr>
          <w:rFonts w:hint="eastAsia" w:ascii="宋体" w:hAnsi="宋体" w:cs="宋体"/>
          <w:sz w:val="24"/>
        </w:rPr>
        <w:t>1.本合同范围的货物，应由乙方直接供应，不得转让他人供应；</w:t>
      </w:r>
    </w:p>
    <w:p w14:paraId="2EF0E44F">
      <w:pPr>
        <w:snapToGrid w:val="0"/>
        <w:spacing w:line="360" w:lineRule="auto"/>
        <w:ind w:firstLine="480" w:firstLineChars="200"/>
        <w:rPr>
          <w:rFonts w:ascii="宋体" w:hAnsi="宋体" w:cs="宋体"/>
          <w:sz w:val="24"/>
        </w:rPr>
      </w:pPr>
      <w:r>
        <w:rPr>
          <w:rFonts w:hint="eastAsia" w:ascii="宋体" w:hAnsi="宋体" w:cs="宋体"/>
          <w:sz w:val="24"/>
        </w:rPr>
        <w:t>2.除非得到甲方的书面同意，乙方不得将本合同范围的货物全部或部分分包给他人供应；</w:t>
      </w:r>
    </w:p>
    <w:p w14:paraId="0596DF05">
      <w:pPr>
        <w:snapToGrid w:val="0"/>
        <w:spacing w:line="360" w:lineRule="auto"/>
        <w:ind w:firstLine="480" w:firstLineChars="200"/>
        <w:rPr>
          <w:rFonts w:ascii="宋体" w:hAnsi="宋体" w:cs="宋体"/>
          <w:sz w:val="24"/>
        </w:rPr>
      </w:pPr>
      <w:r>
        <w:rPr>
          <w:rFonts w:hint="eastAsia" w:ascii="宋体" w:hAnsi="宋体" w:cs="宋体"/>
          <w:sz w:val="24"/>
        </w:rPr>
        <w:t>3.如有转让和未经甲方同意的分包行为，甲方有权解除合同，没收履约保证金并追究乙方的违约责任。因此给甲方造成损失的，由乙方全额赔偿。</w:t>
      </w:r>
    </w:p>
    <w:p w14:paraId="5276B869">
      <w:pPr>
        <w:pStyle w:val="18"/>
        <w:snapToGrid w:val="0"/>
        <w:spacing w:line="360" w:lineRule="auto"/>
        <w:rPr>
          <w:rFonts w:hAnsi="宋体" w:cs="宋体"/>
          <w:b/>
          <w:sz w:val="24"/>
        </w:rPr>
      </w:pPr>
      <w:r>
        <w:rPr>
          <w:rFonts w:hint="eastAsia" w:hAnsi="宋体" w:cs="宋体"/>
          <w:b/>
          <w:sz w:val="24"/>
        </w:rPr>
        <w:t>八、质保期和质保金</w:t>
      </w:r>
    </w:p>
    <w:p w14:paraId="6CF7D2B0">
      <w:pPr>
        <w:adjustRightInd w:val="0"/>
        <w:spacing w:line="360" w:lineRule="auto"/>
        <w:ind w:firstLine="480" w:firstLineChars="200"/>
        <w:jc w:val="left"/>
        <w:rPr>
          <w:rFonts w:ascii="宋体" w:hAnsi="宋体" w:cs="宋体"/>
          <w:sz w:val="24"/>
        </w:rPr>
      </w:pPr>
      <w:r>
        <w:rPr>
          <w:rFonts w:hint="eastAsia" w:ascii="宋体" w:hAnsi="宋体" w:cs="宋体"/>
          <w:sz w:val="24"/>
        </w:rPr>
        <w:t>1.质保期</w:t>
      </w:r>
      <w:r>
        <w:rPr>
          <w:rFonts w:hint="eastAsia" w:ascii="宋体" w:hAnsi="宋体" w:cs="宋体"/>
          <w:sz w:val="24"/>
          <w:u w:val="single"/>
        </w:rPr>
        <w:t xml:space="preserve">      </w:t>
      </w:r>
      <w:r>
        <w:rPr>
          <w:rFonts w:hint="eastAsia" w:ascii="宋体" w:hAnsi="宋体" w:cs="宋体"/>
          <w:sz w:val="24"/>
        </w:rPr>
        <w:t>年。（自交货验收合格之日起计）</w:t>
      </w:r>
    </w:p>
    <w:p w14:paraId="3F340B73">
      <w:pPr>
        <w:adjustRightInd w:val="0"/>
        <w:spacing w:line="360" w:lineRule="auto"/>
        <w:ind w:firstLine="480" w:firstLineChars="200"/>
        <w:jc w:val="left"/>
        <w:rPr>
          <w:rFonts w:ascii="宋体" w:hAnsi="宋体" w:cs="宋体"/>
          <w:b/>
          <w:color w:val="000000"/>
          <w:sz w:val="24"/>
        </w:rPr>
      </w:pPr>
      <w:r>
        <w:rPr>
          <w:rFonts w:hint="eastAsia" w:ascii="宋体" w:hAnsi="宋体" w:cs="宋体"/>
          <w:sz w:val="24"/>
        </w:rPr>
        <w:t>2.质保金</w:t>
      </w:r>
      <w:r>
        <w:rPr>
          <w:rFonts w:hint="eastAsia" w:hAnsi="宋体" w:cs="宋体"/>
          <w:sz w:val="24"/>
          <w:u w:val="single"/>
        </w:rPr>
        <w:t xml:space="preserve">      </w:t>
      </w:r>
      <w:r>
        <w:rPr>
          <w:rFonts w:hint="eastAsia" w:hAnsi="宋体" w:cs="宋体"/>
          <w:sz w:val="24"/>
        </w:rPr>
        <w:t>元</w:t>
      </w:r>
      <w:r>
        <w:rPr>
          <w:rFonts w:hint="eastAsia" w:ascii="宋体" w:hAnsi="宋体" w:cs="宋体"/>
          <w:color w:val="000000"/>
          <w:sz w:val="24"/>
        </w:rPr>
        <w:t>。</w:t>
      </w:r>
    </w:p>
    <w:p w14:paraId="30C34999">
      <w:pPr>
        <w:pStyle w:val="18"/>
        <w:snapToGrid w:val="0"/>
        <w:spacing w:line="360" w:lineRule="auto"/>
        <w:rPr>
          <w:rFonts w:hAnsi="宋体" w:cs="宋体"/>
          <w:b/>
          <w:sz w:val="24"/>
        </w:rPr>
      </w:pPr>
      <w:r>
        <w:rPr>
          <w:rFonts w:hint="eastAsia" w:hAnsi="宋体" w:cs="宋体"/>
          <w:b/>
          <w:sz w:val="24"/>
        </w:rPr>
        <w:t>九、供货期、交货方式及交货地点</w:t>
      </w:r>
    </w:p>
    <w:p w14:paraId="1A3E961F">
      <w:pPr>
        <w:spacing w:line="360" w:lineRule="auto"/>
        <w:ind w:firstLine="480" w:firstLineChars="200"/>
        <w:rPr>
          <w:rFonts w:ascii="宋体" w:hAnsi="宋体" w:cs="宋体"/>
          <w:bCs/>
          <w:sz w:val="24"/>
        </w:rPr>
      </w:pPr>
      <w:r>
        <w:rPr>
          <w:rFonts w:hint="eastAsia" w:ascii="宋体" w:hAnsi="宋体" w:cs="宋体"/>
          <w:bCs/>
          <w:sz w:val="24"/>
        </w:rPr>
        <w:t>1.供货期：</w:t>
      </w:r>
      <w:r>
        <w:rPr>
          <w:rFonts w:hint="eastAsia" w:ascii="宋体" w:hAnsi="宋体" w:cs="宋体"/>
          <w:bCs/>
          <w:sz w:val="24"/>
          <w:lang w:eastAsia="zh-CN"/>
        </w:rPr>
        <w:t>2025年8月25日前安装完毕。</w:t>
      </w:r>
    </w:p>
    <w:p w14:paraId="47557A31">
      <w:pPr>
        <w:spacing w:line="360" w:lineRule="auto"/>
        <w:ind w:firstLine="480" w:firstLineChars="200"/>
        <w:rPr>
          <w:rFonts w:ascii="宋体" w:hAnsi="宋体" w:cs="宋体"/>
          <w:bCs/>
          <w:color w:val="000000"/>
          <w:sz w:val="24"/>
        </w:rPr>
      </w:pPr>
      <w:r>
        <w:rPr>
          <w:rFonts w:hint="eastAsia" w:ascii="宋体" w:hAnsi="宋体" w:cs="宋体"/>
          <w:bCs/>
          <w:color w:val="000000"/>
          <w:sz w:val="24"/>
        </w:rPr>
        <w:t xml:space="preserve">2.交货方式：由乙方直接将货物送至现场并由乙方安装完毕，由甲方项目采购人监交、鉴证。               </w:t>
      </w:r>
    </w:p>
    <w:p w14:paraId="3AEDA9A8">
      <w:pPr>
        <w:pStyle w:val="18"/>
        <w:snapToGrid w:val="0"/>
        <w:spacing w:line="360" w:lineRule="auto"/>
        <w:ind w:firstLine="480" w:firstLineChars="200"/>
        <w:rPr>
          <w:rFonts w:hAnsi="宋体" w:cs="宋体"/>
          <w:b/>
          <w:color w:val="000000"/>
          <w:sz w:val="24"/>
        </w:rPr>
      </w:pPr>
      <w:r>
        <w:rPr>
          <w:rFonts w:hint="eastAsia" w:hAnsi="宋体" w:cs="宋体"/>
          <w:bCs/>
          <w:color w:val="000000"/>
          <w:sz w:val="24"/>
        </w:rPr>
        <w:t>3. 交货地点：</w:t>
      </w:r>
      <w:r>
        <w:rPr>
          <w:rFonts w:hint="eastAsia" w:hAnsi="宋体" w:cs="宋体"/>
          <w:sz w:val="24"/>
        </w:rPr>
        <w:t>根据采购人要求送货至指定地点。</w:t>
      </w:r>
    </w:p>
    <w:p w14:paraId="42A588FF">
      <w:pPr>
        <w:pStyle w:val="18"/>
        <w:snapToGrid w:val="0"/>
        <w:spacing w:line="360" w:lineRule="auto"/>
        <w:rPr>
          <w:rFonts w:hAnsi="宋体" w:cs="宋体"/>
          <w:b/>
          <w:color w:val="000000"/>
          <w:sz w:val="24"/>
        </w:rPr>
      </w:pPr>
      <w:r>
        <w:rPr>
          <w:rFonts w:hint="eastAsia" w:hAnsi="宋体" w:cs="宋体"/>
          <w:b/>
          <w:color w:val="000000"/>
          <w:sz w:val="24"/>
        </w:rPr>
        <w:t>十、货款支付</w:t>
      </w:r>
    </w:p>
    <w:p w14:paraId="6997A85A">
      <w:pPr>
        <w:spacing w:line="360" w:lineRule="auto"/>
        <w:ind w:left="0" w:leftChars="0" w:right="-313" w:rightChars="-149" w:firstLine="420" w:firstLineChars="175"/>
        <w:jc w:val="left"/>
        <w:rPr>
          <w:rFonts w:hint="eastAsia" w:ascii="宋体" w:hAnsi="宋体" w:eastAsia="宋体" w:cs="宋体"/>
          <w:bCs/>
          <w:sz w:val="24"/>
          <w:lang w:val="en-US" w:eastAsia="zh-CN"/>
        </w:rPr>
      </w:pPr>
      <w:r>
        <w:rPr>
          <w:rFonts w:hint="eastAsia" w:ascii="宋体" w:hAnsi="宋体" w:eastAsia="宋体" w:cs="宋体"/>
          <w:bCs/>
          <w:sz w:val="24"/>
          <w:lang w:eastAsia="zh-CN"/>
        </w:rPr>
        <w:t>①签订合同后的</w:t>
      </w:r>
      <w:r>
        <w:rPr>
          <w:rFonts w:hint="eastAsia" w:ascii="宋体" w:hAnsi="宋体" w:eastAsia="宋体" w:cs="宋体"/>
          <w:bCs/>
          <w:sz w:val="24"/>
          <w:lang w:val="en-US" w:eastAsia="zh-CN"/>
        </w:rPr>
        <w:t>7个工作日内支付合同总价30%的预付款；</w:t>
      </w:r>
    </w:p>
    <w:p w14:paraId="1E4EBADE">
      <w:pPr>
        <w:spacing w:line="360" w:lineRule="auto"/>
        <w:ind w:left="0" w:leftChars="0" w:right="-313" w:rightChars="-149" w:firstLine="420" w:firstLineChars="175"/>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②项目验收合格</w:t>
      </w:r>
      <w:r>
        <w:rPr>
          <w:rFonts w:hint="eastAsia" w:ascii="宋体" w:hAnsi="宋体" w:cs="宋体"/>
          <w:bCs/>
          <w:sz w:val="24"/>
          <w:lang w:val="en-US" w:eastAsia="zh-CN"/>
        </w:rPr>
        <w:t>并经审计后</w:t>
      </w:r>
      <w:r>
        <w:rPr>
          <w:rFonts w:hint="eastAsia" w:ascii="宋体" w:hAnsi="宋体" w:eastAsia="宋体" w:cs="宋体"/>
          <w:bCs/>
          <w:sz w:val="24"/>
          <w:lang w:val="en-US" w:eastAsia="zh-CN"/>
        </w:rPr>
        <w:t>一个月内支付至</w:t>
      </w:r>
      <w:r>
        <w:rPr>
          <w:rFonts w:hint="eastAsia" w:ascii="宋体" w:hAnsi="宋体" w:cs="宋体"/>
          <w:bCs/>
          <w:sz w:val="24"/>
          <w:lang w:val="en-US" w:eastAsia="zh-CN"/>
        </w:rPr>
        <w:t>审定价格</w:t>
      </w:r>
      <w:r>
        <w:rPr>
          <w:rFonts w:hint="eastAsia" w:ascii="宋体" w:hAnsi="宋体" w:eastAsia="宋体" w:cs="宋体"/>
          <w:bCs/>
          <w:sz w:val="24"/>
          <w:lang w:val="en-US" w:eastAsia="zh-CN"/>
        </w:rPr>
        <w:t>的</w:t>
      </w:r>
      <w:r>
        <w:rPr>
          <w:rFonts w:hint="eastAsia" w:ascii="宋体" w:hAnsi="宋体" w:cs="宋体"/>
          <w:bCs/>
          <w:sz w:val="24"/>
          <w:lang w:val="en-US" w:eastAsia="zh-CN"/>
        </w:rPr>
        <w:t>60</w:t>
      </w:r>
      <w:r>
        <w:rPr>
          <w:rFonts w:hint="eastAsia" w:ascii="宋体" w:hAnsi="宋体" w:eastAsia="宋体" w:cs="宋体"/>
          <w:bCs/>
          <w:sz w:val="24"/>
          <w:lang w:val="en-US" w:eastAsia="zh-CN"/>
        </w:rPr>
        <w:t>%；</w:t>
      </w:r>
    </w:p>
    <w:p w14:paraId="085741CE">
      <w:pPr>
        <w:spacing w:line="360" w:lineRule="auto"/>
        <w:ind w:left="539" w:leftChars="228" w:right="-313" w:rightChars="-149" w:hanging="60" w:hangingChars="25"/>
        <w:jc w:val="left"/>
        <w:rPr>
          <w:rFonts w:hint="eastAsia" w:ascii="宋体" w:hAnsi="宋体" w:cs="宋体"/>
          <w:bCs/>
          <w:sz w:val="24"/>
          <w:lang w:val="en-US" w:eastAsia="zh-CN"/>
        </w:rPr>
      </w:pPr>
      <w:r>
        <w:rPr>
          <w:rFonts w:hint="eastAsia" w:ascii="宋体" w:hAnsi="宋体" w:eastAsia="宋体" w:cs="宋体"/>
          <w:bCs/>
          <w:sz w:val="24"/>
          <w:lang w:val="en-US" w:eastAsia="zh-CN"/>
        </w:rPr>
        <w:t>③</w:t>
      </w:r>
      <w:r>
        <w:rPr>
          <w:rFonts w:hint="eastAsia" w:ascii="宋体" w:hAnsi="宋体" w:cs="宋体"/>
          <w:bCs/>
          <w:sz w:val="24"/>
          <w:lang w:val="en-US" w:eastAsia="zh-CN"/>
        </w:rPr>
        <w:t>2026年9月支付至审定价的70%；</w:t>
      </w:r>
    </w:p>
    <w:p w14:paraId="2B9D2151">
      <w:pPr>
        <w:spacing w:line="360" w:lineRule="auto"/>
        <w:ind w:left="539" w:leftChars="228" w:right="-313" w:rightChars="-149" w:hanging="60" w:hangingChars="25"/>
        <w:jc w:val="left"/>
        <w:rPr>
          <w:rFonts w:hint="eastAsia" w:ascii="宋体" w:hAnsi="宋体" w:cs="宋体"/>
          <w:bCs/>
          <w:sz w:val="24"/>
          <w:lang w:val="en-US" w:eastAsia="zh-CN"/>
        </w:rPr>
      </w:pPr>
      <w:r>
        <w:rPr>
          <w:rFonts w:hint="eastAsia" w:ascii="宋体" w:hAnsi="宋体" w:cs="宋体"/>
          <w:bCs/>
          <w:sz w:val="24"/>
          <w:lang w:val="en-US" w:eastAsia="zh-CN"/>
        </w:rPr>
        <w:t>④2027年9月支付至审定价的80%；</w:t>
      </w:r>
    </w:p>
    <w:p w14:paraId="4A568849">
      <w:pPr>
        <w:spacing w:line="360" w:lineRule="auto"/>
        <w:ind w:left="539" w:leftChars="228" w:right="-313" w:rightChars="-149" w:hanging="60" w:hangingChars="25"/>
        <w:jc w:val="left"/>
        <w:rPr>
          <w:rFonts w:hint="default" w:ascii="宋体" w:hAnsi="宋体" w:eastAsia="宋体" w:cs="宋体"/>
          <w:bCs/>
          <w:sz w:val="24"/>
          <w:lang w:val="en-US" w:eastAsia="zh-CN"/>
        </w:rPr>
      </w:pPr>
      <w:r>
        <w:rPr>
          <w:rFonts w:hint="eastAsia" w:ascii="宋体" w:hAnsi="宋体" w:cs="宋体"/>
          <w:bCs/>
          <w:sz w:val="24"/>
          <w:lang w:val="en-US" w:eastAsia="zh-CN"/>
        </w:rPr>
        <w:t>⑤其余款项在质保期到期后一个月内支付完成。</w:t>
      </w:r>
    </w:p>
    <w:p w14:paraId="7AC77AFB">
      <w:pPr>
        <w:spacing w:line="360" w:lineRule="auto"/>
        <w:ind w:left="0" w:leftChars="0" w:right="-313" w:rightChars="-149" w:firstLine="420" w:firstLineChars="175"/>
        <w:jc w:val="left"/>
        <w:rPr>
          <w:rFonts w:hint="eastAsia" w:ascii="宋体" w:hAnsi="宋体" w:cs="宋体"/>
          <w:bCs/>
          <w:sz w:val="24"/>
          <w:lang w:val="en-US" w:eastAsia="zh-CN"/>
        </w:rPr>
      </w:pPr>
      <w:r>
        <w:rPr>
          <w:rFonts w:hint="eastAsia" w:ascii="宋体" w:hAnsi="宋体" w:eastAsia="宋体" w:cs="宋体"/>
          <w:bCs/>
          <w:sz w:val="24"/>
          <w:lang w:val="en-US" w:eastAsia="zh-CN"/>
        </w:rPr>
        <w:t>注:</w:t>
      </w:r>
      <w:r>
        <w:rPr>
          <w:rFonts w:hint="eastAsia" w:ascii="宋体" w:hAnsi="宋体" w:cs="宋体"/>
          <w:bCs/>
          <w:sz w:val="24"/>
          <w:lang w:val="en-US" w:eastAsia="zh-CN"/>
        </w:rPr>
        <w:t>1、</w:t>
      </w:r>
      <w:r>
        <w:rPr>
          <w:rFonts w:hint="eastAsia" w:ascii="宋体" w:hAnsi="宋体" w:eastAsia="宋体" w:cs="宋体"/>
          <w:bCs/>
          <w:sz w:val="24"/>
          <w:lang w:val="en-US" w:eastAsia="zh-CN"/>
        </w:rPr>
        <w:t>中标供应商</w:t>
      </w:r>
      <w:r>
        <w:rPr>
          <w:rFonts w:hint="default" w:ascii="宋体" w:hAnsi="宋体" w:eastAsia="宋体" w:cs="宋体"/>
          <w:bCs/>
          <w:sz w:val="24"/>
          <w:lang w:val="en-US" w:eastAsia="zh-CN"/>
        </w:rPr>
        <w:t>在采购人支付每一笔货款之前，应至少提前7日向采购人开具并交付相应货款的</w:t>
      </w:r>
      <w:r>
        <w:rPr>
          <w:rFonts w:hint="eastAsia" w:ascii="宋体" w:hAnsi="宋体" w:cs="宋体"/>
          <w:bCs/>
          <w:sz w:val="24"/>
          <w:lang w:val="en-US" w:eastAsia="zh-CN"/>
        </w:rPr>
        <w:t>专用发票。</w:t>
      </w:r>
    </w:p>
    <w:p w14:paraId="24292120">
      <w:pPr>
        <w:numPr>
          <w:ilvl w:val="0"/>
          <w:numId w:val="0"/>
        </w:numPr>
        <w:spacing w:line="360" w:lineRule="auto"/>
        <w:ind w:leftChars="175" w:right="-313" w:rightChars="-149"/>
        <w:jc w:val="left"/>
        <w:rPr>
          <w:rFonts w:hint="eastAsia" w:ascii="宋体" w:hAnsi="宋体" w:cs="宋体"/>
          <w:bCs/>
          <w:sz w:val="24"/>
          <w:lang w:val="en-US" w:eastAsia="zh-CN"/>
        </w:rPr>
      </w:pPr>
      <w:r>
        <w:rPr>
          <w:rFonts w:hint="eastAsia" w:ascii="宋体" w:hAnsi="宋体" w:cs="宋体"/>
          <w:bCs/>
          <w:sz w:val="24"/>
          <w:lang w:val="en-US" w:eastAsia="zh-CN"/>
        </w:rPr>
        <w:t>2、本项目含50万元备用金，此金额不下浮或减扣，按实际支出结算。此费用单独结算。</w:t>
      </w:r>
    </w:p>
    <w:p w14:paraId="2A90C6AD">
      <w:pPr>
        <w:rPr>
          <w:rFonts w:hint="eastAsia" w:ascii="宋体" w:hAnsi="宋体" w:cs="宋体"/>
          <w:bCs/>
          <w:sz w:val="24"/>
          <w:lang w:val="en-US" w:eastAsia="zh-CN"/>
        </w:rPr>
      </w:pPr>
      <w:r>
        <w:rPr>
          <w:rFonts w:hint="eastAsia" w:ascii="宋体" w:hAnsi="宋体" w:cs="宋体"/>
          <w:bCs/>
          <w:sz w:val="24"/>
          <w:lang w:val="en-US" w:eastAsia="zh-CN"/>
        </w:rPr>
        <w:t>项目质保期内采购人将对中标供应商进行年度考核（满分100分，90分及以上优秀，76-89分良好，60-75分及以上合格，59及以下不合格），根据考核成绩支付当年度款项（优秀及以上全额发放，良好发放应发金额的90%，合格发放应发金额的80%，不合格发放应发金额的20%。考核制度标准见附件）</w:t>
      </w:r>
    </w:p>
    <w:p w14:paraId="548D2F14">
      <w:pPr>
        <w:pStyle w:val="18"/>
        <w:snapToGrid w:val="0"/>
        <w:spacing w:line="360" w:lineRule="auto"/>
        <w:rPr>
          <w:rFonts w:hAnsi="宋体" w:cs="宋体"/>
          <w:b/>
          <w:sz w:val="24"/>
        </w:rPr>
      </w:pPr>
      <w:r>
        <w:rPr>
          <w:rFonts w:hint="eastAsia" w:hAnsi="宋体" w:cs="宋体"/>
          <w:b/>
          <w:sz w:val="24"/>
        </w:rPr>
        <w:t>十一、税费</w:t>
      </w:r>
    </w:p>
    <w:p w14:paraId="1CB314EE">
      <w:pPr>
        <w:pStyle w:val="18"/>
        <w:snapToGrid w:val="0"/>
        <w:spacing w:line="360" w:lineRule="auto"/>
        <w:ind w:firstLine="480" w:firstLineChars="200"/>
        <w:rPr>
          <w:rFonts w:hAnsi="宋体" w:cs="宋体"/>
          <w:bCs/>
          <w:color w:val="000000"/>
          <w:sz w:val="24"/>
        </w:rPr>
      </w:pPr>
      <w:r>
        <w:rPr>
          <w:rFonts w:hint="eastAsia" w:hAnsi="宋体" w:cs="宋体"/>
          <w:bCs/>
          <w:color w:val="000000"/>
          <w:sz w:val="24"/>
        </w:rPr>
        <w:t>本合同执行中相关的一切税费均由乙方负担。</w:t>
      </w:r>
    </w:p>
    <w:p w14:paraId="606743E4">
      <w:pPr>
        <w:pStyle w:val="18"/>
        <w:snapToGrid w:val="0"/>
        <w:spacing w:line="360" w:lineRule="auto"/>
        <w:ind w:left="412" w:hanging="412" w:hangingChars="171"/>
        <w:rPr>
          <w:rFonts w:hAnsi="宋体" w:cs="宋体"/>
          <w:sz w:val="24"/>
        </w:rPr>
      </w:pPr>
      <w:r>
        <w:rPr>
          <w:rFonts w:hint="eastAsia" w:hAnsi="宋体" w:cs="宋体"/>
          <w:b/>
          <w:sz w:val="24"/>
        </w:rPr>
        <w:t>十二、质量保证及售后服务</w:t>
      </w:r>
    </w:p>
    <w:p w14:paraId="6B8EE83B">
      <w:pPr>
        <w:spacing w:line="360" w:lineRule="auto"/>
        <w:ind w:firstLine="480" w:firstLineChars="200"/>
        <w:rPr>
          <w:rFonts w:ascii="宋体" w:hAnsi="宋体" w:cs="宋体"/>
          <w:bCs/>
          <w:color w:val="000000"/>
          <w:sz w:val="24"/>
        </w:rPr>
      </w:pPr>
      <w:r>
        <w:rPr>
          <w:rFonts w:hint="eastAsia" w:ascii="宋体" w:hAnsi="宋体" w:cs="宋体"/>
          <w:bCs/>
          <w:color w:val="000000"/>
          <w:sz w:val="24"/>
        </w:rPr>
        <w:t>1. 乙方应按招标文件规定的货物性能、技术要求、质量标准向甲方提供未经使用的全新产品。</w:t>
      </w:r>
    </w:p>
    <w:p w14:paraId="7662522B">
      <w:pPr>
        <w:pStyle w:val="18"/>
        <w:snapToGrid w:val="0"/>
        <w:spacing w:line="360" w:lineRule="auto"/>
        <w:ind w:firstLine="480" w:firstLineChars="200"/>
        <w:rPr>
          <w:rFonts w:hAnsi="宋体" w:cs="宋体"/>
          <w:sz w:val="24"/>
        </w:rPr>
      </w:pPr>
      <w:r>
        <w:rPr>
          <w:rFonts w:hint="eastAsia" w:hAnsi="宋体" w:cs="宋体"/>
          <w:sz w:val="24"/>
        </w:rPr>
        <w:t>2. 乙方提供的货物在质保期内因货物本身的质量问题发生故障，乙方应负责免费更换。对达不到技术要求者，根据实际情况，经双方协商，可按以下办法处理：</w:t>
      </w:r>
    </w:p>
    <w:p w14:paraId="44D00C75">
      <w:pPr>
        <w:pStyle w:val="18"/>
        <w:snapToGrid w:val="0"/>
        <w:spacing w:line="360" w:lineRule="auto"/>
        <w:ind w:firstLine="480" w:firstLineChars="200"/>
        <w:rPr>
          <w:rFonts w:hAnsi="宋体" w:cs="宋体"/>
          <w:sz w:val="24"/>
        </w:rPr>
      </w:pPr>
      <w:r>
        <w:rPr>
          <w:rFonts w:hint="eastAsia" w:hAnsi="宋体" w:cs="宋体"/>
          <w:sz w:val="24"/>
        </w:rPr>
        <w:t>⑴更换：由乙方承担所发生的全部费用。</w:t>
      </w:r>
    </w:p>
    <w:p w14:paraId="5381C50B">
      <w:pPr>
        <w:pStyle w:val="18"/>
        <w:snapToGrid w:val="0"/>
        <w:spacing w:line="360" w:lineRule="auto"/>
        <w:ind w:firstLine="480" w:firstLineChars="200"/>
        <w:rPr>
          <w:rFonts w:hAnsi="宋体" w:cs="宋体"/>
          <w:sz w:val="24"/>
        </w:rPr>
      </w:pPr>
      <w:r>
        <w:rPr>
          <w:rFonts w:hint="eastAsia" w:hAnsi="宋体" w:cs="宋体"/>
          <w:sz w:val="24"/>
        </w:rPr>
        <w:t>⑵贬值处理：由甲乙双方合议定价。</w:t>
      </w:r>
    </w:p>
    <w:p w14:paraId="7E2F606E">
      <w:pPr>
        <w:pStyle w:val="18"/>
        <w:snapToGrid w:val="0"/>
        <w:spacing w:line="360" w:lineRule="auto"/>
        <w:ind w:firstLine="480" w:firstLineChars="200"/>
        <w:rPr>
          <w:rFonts w:hAnsi="宋体" w:cs="宋体"/>
          <w:sz w:val="24"/>
        </w:rPr>
      </w:pPr>
      <w:r>
        <w:rPr>
          <w:rFonts w:hint="eastAsia" w:hAnsi="宋体" w:cs="宋体"/>
          <w:sz w:val="24"/>
        </w:rPr>
        <w:t>⑶退货处理：乙方应退还甲方支付的合同款，同时应承担该货物的直接费用（运输、保险、检验、货款利息及银行手续费等）。</w:t>
      </w:r>
    </w:p>
    <w:p w14:paraId="16AB665A">
      <w:pPr>
        <w:pStyle w:val="18"/>
        <w:snapToGrid w:val="0"/>
        <w:spacing w:line="360" w:lineRule="auto"/>
        <w:ind w:firstLine="480" w:firstLineChars="200"/>
        <w:rPr>
          <w:rFonts w:hAnsi="宋体" w:cs="宋体"/>
          <w:sz w:val="24"/>
        </w:rPr>
      </w:pPr>
      <w:r>
        <w:rPr>
          <w:rFonts w:hint="eastAsia" w:hAnsi="宋体" w:cs="宋体"/>
          <w:sz w:val="24"/>
        </w:rPr>
        <w:t>3. 如在使用过程中发生质量问题，乙方在接到甲方通知后</w:t>
      </w:r>
      <w:r>
        <w:rPr>
          <w:rFonts w:hint="eastAsia" w:hAnsi="宋体" w:cs="宋体"/>
          <w:color w:val="000000"/>
          <w:sz w:val="24"/>
        </w:rPr>
        <w:t>在</w:t>
      </w:r>
      <w:r>
        <w:rPr>
          <w:rFonts w:hint="eastAsia" w:hAnsi="宋体" w:cs="宋体"/>
          <w:color w:val="000000"/>
          <w:sz w:val="24"/>
          <w:u w:val="single"/>
        </w:rPr>
        <w:t xml:space="preserve">  </w:t>
      </w:r>
      <w:r>
        <w:rPr>
          <w:rFonts w:hint="eastAsia" w:hAnsi="宋体" w:cs="宋体"/>
          <w:color w:val="000000"/>
          <w:sz w:val="24"/>
        </w:rPr>
        <w:t>小时</w:t>
      </w:r>
      <w:r>
        <w:rPr>
          <w:rFonts w:hint="eastAsia" w:hAnsi="宋体" w:cs="宋体"/>
          <w:sz w:val="24"/>
        </w:rPr>
        <w:t>内到达甲方现场。</w:t>
      </w:r>
    </w:p>
    <w:p w14:paraId="094AC28D">
      <w:pPr>
        <w:pStyle w:val="18"/>
        <w:snapToGrid w:val="0"/>
        <w:spacing w:line="360" w:lineRule="auto"/>
        <w:ind w:firstLine="480" w:firstLineChars="200"/>
        <w:rPr>
          <w:rFonts w:hAnsi="宋体" w:cs="宋体"/>
          <w:sz w:val="24"/>
        </w:rPr>
      </w:pPr>
      <w:r>
        <w:rPr>
          <w:rFonts w:hint="eastAsia" w:hAnsi="宋体" w:cs="宋体"/>
          <w:sz w:val="24"/>
        </w:rPr>
        <w:t>4. 在质保期内，乙方应对货物出现的质量及安全问题负责处理解决并承担一切费用。</w:t>
      </w:r>
    </w:p>
    <w:p w14:paraId="54F889B9">
      <w:pPr>
        <w:pStyle w:val="18"/>
        <w:snapToGrid w:val="0"/>
        <w:spacing w:line="360" w:lineRule="auto"/>
        <w:ind w:firstLine="480" w:firstLineChars="200"/>
        <w:rPr>
          <w:rFonts w:hAnsi="宋体" w:cs="宋体"/>
          <w:color w:val="000000"/>
          <w:sz w:val="24"/>
        </w:rPr>
      </w:pPr>
      <w:r>
        <w:rPr>
          <w:rFonts w:hint="eastAsia" w:hAnsi="宋体" w:cs="宋体"/>
          <w:sz w:val="24"/>
        </w:rPr>
        <w:t>5.</w:t>
      </w:r>
      <w:r>
        <w:rPr>
          <w:rFonts w:hint="eastAsia" w:hAnsi="宋体" w:cs="宋体"/>
          <w:color w:val="000000"/>
          <w:sz w:val="24"/>
        </w:rPr>
        <w:t>上述的</w:t>
      </w:r>
      <w:r>
        <w:rPr>
          <w:rFonts w:hint="eastAsia" w:hAnsi="宋体" w:cs="宋体"/>
          <w:sz w:val="24"/>
        </w:rPr>
        <w:t>货物</w:t>
      </w:r>
      <w:r>
        <w:rPr>
          <w:rFonts w:hint="eastAsia" w:hAnsi="宋体" w:cs="宋体"/>
          <w:color w:val="000000"/>
          <w:sz w:val="24"/>
        </w:rPr>
        <w:t>免费保修期为</w:t>
      </w:r>
      <w:r>
        <w:rPr>
          <w:rFonts w:hint="eastAsia" w:hAnsi="宋体" w:cs="宋体"/>
          <w:color w:val="000000"/>
          <w:sz w:val="24"/>
          <w:u w:val="single"/>
        </w:rPr>
        <w:t xml:space="preserve">     </w:t>
      </w:r>
      <w:r>
        <w:rPr>
          <w:rFonts w:hint="eastAsia" w:hAnsi="宋体" w:cs="宋体"/>
          <w:color w:val="000000"/>
          <w:sz w:val="24"/>
        </w:rPr>
        <w:t>年，超过保修期的维修时只收部件成本费。</w:t>
      </w:r>
    </w:p>
    <w:p w14:paraId="1893352F">
      <w:pPr>
        <w:pStyle w:val="18"/>
        <w:snapToGrid w:val="0"/>
        <w:spacing w:line="360" w:lineRule="auto"/>
        <w:rPr>
          <w:rFonts w:hAnsi="宋体" w:cs="宋体"/>
          <w:b/>
          <w:sz w:val="24"/>
        </w:rPr>
      </w:pPr>
      <w:r>
        <w:rPr>
          <w:rFonts w:hint="eastAsia" w:hAnsi="宋体" w:cs="宋体"/>
          <w:b/>
          <w:sz w:val="24"/>
        </w:rPr>
        <w:t>十三、验收</w:t>
      </w:r>
    </w:p>
    <w:p w14:paraId="513ECBEB">
      <w:pPr>
        <w:spacing w:line="360" w:lineRule="auto"/>
        <w:ind w:firstLine="480" w:firstLineChars="200"/>
        <w:rPr>
          <w:rFonts w:ascii="宋体" w:hAnsi="宋体" w:cs="宋体"/>
          <w:bCs/>
          <w:color w:val="000000"/>
          <w:sz w:val="24"/>
        </w:rPr>
      </w:pPr>
      <w:r>
        <w:rPr>
          <w:rFonts w:hint="eastAsia" w:ascii="宋体" w:hAnsi="宋体" w:cs="宋体"/>
          <w:bCs/>
          <w:color w:val="000000"/>
          <w:sz w:val="24"/>
        </w:rPr>
        <w:t>1. 甲方对乙方提交的货物依据招标文件上的技术规格要求和国家有关质量标准进行现场初步验收，外观、说明书符合招标文件技术要求的，给予签收，初步验收不合格的不予签收。货到后，安装完毕、试运行结束后，甲方需在五个工作日内验收。</w:t>
      </w:r>
    </w:p>
    <w:p w14:paraId="1C924D25">
      <w:pPr>
        <w:spacing w:line="360" w:lineRule="auto"/>
        <w:ind w:firstLine="480" w:firstLineChars="200"/>
        <w:rPr>
          <w:rFonts w:ascii="宋体" w:hAnsi="宋体" w:cs="宋体"/>
          <w:bCs/>
          <w:color w:val="000000"/>
          <w:sz w:val="24"/>
        </w:rPr>
      </w:pPr>
      <w:r>
        <w:rPr>
          <w:rFonts w:hint="eastAsia" w:ascii="宋体" w:hAnsi="宋体" w:cs="宋体"/>
          <w:bCs/>
          <w:color w:val="000000"/>
          <w:sz w:val="24"/>
        </w:rPr>
        <w:t>2. 乙方交货前应对产品作出全面检查和对验收文件进行整理，并列出清单，作为甲方收货验收和使用的技术条件依据，检验的结果应随货物交甲方。</w:t>
      </w:r>
    </w:p>
    <w:p w14:paraId="16D7E3C9">
      <w:pPr>
        <w:spacing w:line="360" w:lineRule="auto"/>
        <w:ind w:firstLine="480" w:firstLineChars="200"/>
        <w:rPr>
          <w:rFonts w:ascii="宋体" w:hAnsi="宋体" w:cs="宋体"/>
          <w:bCs/>
          <w:color w:val="000000"/>
          <w:sz w:val="24"/>
        </w:rPr>
      </w:pPr>
      <w:r>
        <w:rPr>
          <w:rFonts w:hint="eastAsia" w:ascii="宋体" w:hAnsi="宋体" w:cs="宋体"/>
          <w:bCs/>
          <w:color w:val="000000"/>
          <w:sz w:val="24"/>
        </w:rPr>
        <w:t>3. 甲方对乙方提供的货物在使用前进行调试时，乙方需负责安装并培训甲方的使用操作人员，并协助甲方一起调试，直到符合技术要求，甲方才做最终验收。</w:t>
      </w:r>
    </w:p>
    <w:p w14:paraId="6B52F668">
      <w:pPr>
        <w:spacing w:line="360" w:lineRule="auto"/>
        <w:ind w:firstLine="480" w:firstLineChars="200"/>
        <w:rPr>
          <w:rFonts w:ascii="宋体" w:hAnsi="宋体" w:cs="宋体"/>
          <w:bCs/>
          <w:color w:val="000000"/>
          <w:sz w:val="24"/>
        </w:rPr>
      </w:pPr>
      <w:r>
        <w:rPr>
          <w:rFonts w:hint="eastAsia" w:ascii="宋体" w:hAnsi="宋体" w:cs="宋体"/>
          <w:bCs/>
          <w:color w:val="000000"/>
          <w:sz w:val="24"/>
        </w:rPr>
        <w:t>4. 验收时乙方必须在现场，验收完毕后作出验收结果报告；验收费用由乙方负责。</w:t>
      </w:r>
    </w:p>
    <w:p w14:paraId="634FD060">
      <w:pPr>
        <w:pStyle w:val="18"/>
        <w:snapToGrid w:val="0"/>
        <w:spacing w:line="360" w:lineRule="auto"/>
        <w:rPr>
          <w:rFonts w:hAnsi="宋体" w:cs="宋体"/>
          <w:b/>
          <w:sz w:val="24"/>
        </w:rPr>
      </w:pPr>
      <w:r>
        <w:rPr>
          <w:rFonts w:hint="eastAsia" w:hAnsi="宋体" w:cs="宋体"/>
          <w:b/>
          <w:sz w:val="24"/>
        </w:rPr>
        <w:t>十四、货物包装、发运及运输</w:t>
      </w:r>
    </w:p>
    <w:p w14:paraId="637347A3">
      <w:pPr>
        <w:spacing w:line="360" w:lineRule="auto"/>
        <w:ind w:firstLine="480" w:firstLineChars="200"/>
        <w:rPr>
          <w:rFonts w:ascii="宋体" w:hAnsi="宋体" w:cs="宋体"/>
          <w:bCs/>
          <w:color w:val="000000"/>
          <w:sz w:val="24"/>
        </w:rPr>
      </w:pPr>
      <w:r>
        <w:rPr>
          <w:rFonts w:hint="eastAsia" w:ascii="宋体" w:hAnsi="宋体" w:cs="宋体"/>
          <w:bCs/>
          <w:color w:val="000000"/>
          <w:sz w:val="24"/>
        </w:rPr>
        <w:t>1. 乙方应在货物发运前对其进行满足运输距离、防潮、防震、防锈和防破损装卸等要求包装，以保证货物安全运达甲方指定地点。</w:t>
      </w:r>
    </w:p>
    <w:p w14:paraId="3AD70BB8">
      <w:pPr>
        <w:spacing w:line="360" w:lineRule="auto"/>
        <w:ind w:firstLine="480" w:firstLineChars="200"/>
        <w:rPr>
          <w:rFonts w:ascii="宋体" w:hAnsi="宋体" w:cs="宋体"/>
          <w:bCs/>
          <w:color w:val="000000"/>
          <w:sz w:val="24"/>
        </w:rPr>
      </w:pPr>
      <w:r>
        <w:rPr>
          <w:rFonts w:hint="eastAsia" w:ascii="宋体" w:hAnsi="宋体" w:cs="宋体"/>
          <w:bCs/>
          <w:color w:val="000000"/>
          <w:sz w:val="24"/>
        </w:rPr>
        <w:t>2. 使用说明书、质量检验证明书、随配附件和工具以及清单一并附于货物内。</w:t>
      </w:r>
    </w:p>
    <w:p w14:paraId="26EDAAA4">
      <w:pPr>
        <w:spacing w:line="360" w:lineRule="auto"/>
        <w:ind w:firstLine="480" w:firstLineChars="200"/>
        <w:rPr>
          <w:rFonts w:ascii="宋体" w:hAnsi="宋体" w:cs="宋体"/>
          <w:bCs/>
          <w:color w:val="000000"/>
          <w:sz w:val="24"/>
        </w:rPr>
      </w:pPr>
      <w:r>
        <w:rPr>
          <w:rFonts w:hint="eastAsia" w:ascii="宋体" w:hAnsi="宋体" w:cs="宋体"/>
          <w:bCs/>
          <w:color w:val="000000"/>
          <w:sz w:val="24"/>
        </w:rPr>
        <w:t>3. 乙方在货物发运手续办理完毕后24小时内或货到甲方48小时前通知甲方，以准备接货。</w:t>
      </w:r>
    </w:p>
    <w:p w14:paraId="147C7E40">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lang w:val="en-US" w:eastAsia="zh-CN"/>
        </w:rPr>
        <w:t>4</w:t>
      </w:r>
      <w:r>
        <w:rPr>
          <w:rFonts w:hint="eastAsia" w:ascii="宋体" w:hAnsi="宋体" w:cs="宋体"/>
          <w:bCs/>
          <w:color w:val="000000"/>
          <w:sz w:val="24"/>
        </w:rPr>
        <w:t>. 货物</w:t>
      </w:r>
      <w:r>
        <w:rPr>
          <w:rFonts w:hint="eastAsia" w:ascii="宋体" w:hAnsi="宋体" w:cs="宋体"/>
          <w:bCs/>
          <w:color w:val="000000"/>
          <w:sz w:val="24"/>
          <w:lang w:val="en-US" w:eastAsia="zh-CN"/>
        </w:rPr>
        <w:t>需</w:t>
      </w:r>
      <w:r>
        <w:rPr>
          <w:rFonts w:hint="eastAsia" w:ascii="宋体" w:hAnsi="宋体" w:cs="宋体"/>
          <w:bCs/>
          <w:color w:val="000000"/>
          <w:sz w:val="24"/>
        </w:rPr>
        <w:t>在规定的交付期限内由乙方送达甲方指定的地点，乙方同时需通知甲方货物已送达。</w:t>
      </w:r>
    </w:p>
    <w:p w14:paraId="2FD65663">
      <w:pPr>
        <w:spacing w:line="360" w:lineRule="auto"/>
        <w:ind w:firstLine="480" w:firstLineChars="200"/>
        <w:rPr>
          <w:rFonts w:hint="default" w:ascii="宋体" w:hAnsi="宋体" w:eastAsia="宋体" w:cs="宋体"/>
          <w:bCs/>
          <w:color w:val="000000"/>
          <w:sz w:val="24"/>
          <w:lang w:val="en-US" w:eastAsia="zh-CN"/>
        </w:rPr>
      </w:pPr>
      <w:r>
        <w:rPr>
          <w:rFonts w:hint="eastAsia" w:ascii="宋体" w:hAnsi="宋体" w:cs="宋体"/>
          <w:bCs/>
          <w:color w:val="000000"/>
          <w:sz w:val="24"/>
          <w:lang w:val="en-US" w:eastAsia="zh-CN"/>
        </w:rPr>
        <w:t>5</w:t>
      </w:r>
      <w:r>
        <w:rPr>
          <w:rFonts w:hint="eastAsia" w:ascii="宋体" w:hAnsi="宋体" w:cs="宋体"/>
          <w:bCs/>
          <w:color w:val="000000"/>
          <w:sz w:val="24"/>
        </w:rPr>
        <w:t>. 货物在验收之前的到场接货均应由乙方负责</w:t>
      </w:r>
      <w:r>
        <w:rPr>
          <w:rFonts w:hint="eastAsia" w:ascii="宋体" w:hAnsi="宋体" w:cs="宋体"/>
          <w:bCs/>
          <w:color w:val="000000"/>
          <w:sz w:val="24"/>
          <w:lang w:eastAsia="zh-CN"/>
        </w:rPr>
        <w:t>，</w:t>
      </w:r>
      <w:r>
        <w:rPr>
          <w:rFonts w:hint="eastAsia" w:ascii="宋体" w:hAnsi="宋体" w:cs="宋体"/>
          <w:bCs/>
          <w:color w:val="000000"/>
          <w:sz w:val="24"/>
          <w:lang w:val="en-US" w:eastAsia="zh-CN"/>
        </w:rPr>
        <w:t>在验收前发生的风险均由乙方承担。</w:t>
      </w:r>
    </w:p>
    <w:p w14:paraId="3A047A51">
      <w:pPr>
        <w:spacing w:line="360" w:lineRule="auto"/>
        <w:ind w:firstLine="480" w:firstLineChars="200"/>
        <w:rPr>
          <w:rFonts w:hint="eastAsia" w:ascii="宋体" w:hAnsi="宋体" w:cs="宋体"/>
          <w:bCs/>
          <w:color w:val="000000"/>
          <w:sz w:val="24"/>
        </w:rPr>
      </w:pPr>
    </w:p>
    <w:p w14:paraId="4EBDFD8B">
      <w:pPr>
        <w:pStyle w:val="18"/>
        <w:snapToGrid w:val="0"/>
        <w:spacing w:line="360" w:lineRule="auto"/>
        <w:rPr>
          <w:rFonts w:hAnsi="宋体" w:cs="宋体"/>
          <w:b/>
          <w:sz w:val="24"/>
        </w:rPr>
      </w:pPr>
      <w:r>
        <w:rPr>
          <w:rFonts w:hint="eastAsia" w:hAnsi="宋体" w:cs="宋体"/>
          <w:b/>
          <w:sz w:val="24"/>
        </w:rPr>
        <w:t>十五、违约责任</w:t>
      </w:r>
    </w:p>
    <w:p w14:paraId="6D92DF4F">
      <w:pPr>
        <w:spacing w:line="360" w:lineRule="auto"/>
        <w:ind w:firstLine="480" w:firstLineChars="200"/>
        <w:rPr>
          <w:rFonts w:ascii="宋体" w:hAnsi="宋体" w:cs="宋体"/>
          <w:bCs/>
          <w:color w:val="000000"/>
          <w:sz w:val="24"/>
        </w:rPr>
      </w:pPr>
      <w:r>
        <w:rPr>
          <w:rFonts w:hint="eastAsia" w:ascii="宋体" w:hAnsi="宋体" w:cs="宋体"/>
          <w:bCs/>
          <w:color w:val="000000"/>
          <w:sz w:val="24"/>
        </w:rPr>
        <w:t>1. 甲方无正当理由拒收货物的，甲方向乙方偿付拒收货款总值的百分之五违约金。</w:t>
      </w:r>
    </w:p>
    <w:p w14:paraId="72F181EF">
      <w:pPr>
        <w:spacing w:line="360" w:lineRule="auto"/>
        <w:ind w:firstLine="480" w:firstLineChars="200"/>
        <w:rPr>
          <w:rFonts w:ascii="宋体" w:hAnsi="宋体" w:cs="宋体"/>
          <w:bCs/>
          <w:color w:val="000000"/>
          <w:sz w:val="24"/>
        </w:rPr>
      </w:pPr>
      <w:r>
        <w:rPr>
          <w:rFonts w:hint="eastAsia" w:ascii="宋体" w:hAnsi="宋体" w:cs="宋体"/>
          <w:bCs/>
          <w:color w:val="000000"/>
          <w:sz w:val="24"/>
        </w:rPr>
        <w:t>2. 甲方无故逾期验收和办理货款支付手续的,甲方应按逾期付款总额每日万分之五向乙方支付违约金。</w:t>
      </w:r>
    </w:p>
    <w:p w14:paraId="5110AA6F">
      <w:pPr>
        <w:spacing w:line="360" w:lineRule="auto"/>
        <w:ind w:firstLine="480" w:firstLineChars="200"/>
        <w:rPr>
          <w:rFonts w:ascii="宋体" w:hAnsi="宋体" w:cs="宋体"/>
          <w:bCs/>
          <w:color w:val="000000"/>
          <w:sz w:val="24"/>
        </w:rPr>
      </w:pPr>
      <w:r>
        <w:rPr>
          <w:rFonts w:hint="eastAsia" w:ascii="宋体" w:hAnsi="宋体" w:cs="宋体"/>
          <w:bCs/>
          <w:color w:val="000000"/>
          <w:sz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F37A6C4">
      <w:pPr>
        <w:spacing w:line="360" w:lineRule="auto"/>
        <w:ind w:firstLine="480" w:firstLineChars="200"/>
        <w:rPr>
          <w:rFonts w:ascii="宋体" w:hAnsi="宋体" w:cs="宋体"/>
          <w:bCs/>
          <w:color w:val="000000"/>
          <w:sz w:val="24"/>
        </w:rPr>
      </w:pPr>
      <w:r>
        <w:rPr>
          <w:rFonts w:hint="eastAsia" w:ascii="宋体" w:hAnsi="宋体" w:cs="宋体"/>
          <w:bCs/>
          <w:color w:val="000000"/>
          <w:sz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08ED997">
      <w:pPr>
        <w:pStyle w:val="18"/>
        <w:snapToGrid w:val="0"/>
        <w:spacing w:line="360" w:lineRule="auto"/>
        <w:rPr>
          <w:rFonts w:hAnsi="宋体" w:cs="宋体"/>
          <w:b/>
          <w:sz w:val="24"/>
        </w:rPr>
      </w:pPr>
      <w:r>
        <w:rPr>
          <w:rFonts w:hint="eastAsia" w:hAnsi="宋体" w:cs="宋体"/>
          <w:b/>
          <w:sz w:val="24"/>
        </w:rPr>
        <w:t>十六、不可抗力事件处理</w:t>
      </w:r>
    </w:p>
    <w:p w14:paraId="268077F6">
      <w:pPr>
        <w:spacing w:line="360" w:lineRule="auto"/>
        <w:ind w:firstLine="480" w:firstLineChars="200"/>
        <w:rPr>
          <w:rFonts w:ascii="宋体" w:hAnsi="宋体" w:cs="宋体"/>
          <w:bCs/>
          <w:color w:val="000000"/>
          <w:sz w:val="24"/>
        </w:rPr>
      </w:pPr>
      <w:r>
        <w:rPr>
          <w:rFonts w:hint="eastAsia" w:ascii="宋体" w:hAnsi="宋体" w:cs="宋体"/>
          <w:bCs/>
          <w:color w:val="000000"/>
          <w:sz w:val="24"/>
        </w:rPr>
        <w:t>1.在合同有效期内，任何一方因不可抗力事件导致不能履行合同，则合同履行期可延长，其延长期与不可抗力影响期相同。</w:t>
      </w:r>
    </w:p>
    <w:p w14:paraId="31422710">
      <w:pPr>
        <w:spacing w:line="360" w:lineRule="auto"/>
        <w:ind w:firstLine="480" w:firstLineChars="200"/>
        <w:rPr>
          <w:rFonts w:ascii="宋体" w:hAnsi="宋体" w:cs="宋体"/>
          <w:bCs/>
          <w:color w:val="000000"/>
          <w:sz w:val="24"/>
        </w:rPr>
      </w:pPr>
      <w:r>
        <w:rPr>
          <w:rFonts w:hint="eastAsia" w:ascii="宋体" w:hAnsi="宋体" w:cs="宋体"/>
          <w:bCs/>
          <w:color w:val="000000"/>
          <w:sz w:val="24"/>
        </w:rPr>
        <w:t>2.不可抗力事件发生后，应立即通知对方，并寄送有关权威机构出具的证明。</w:t>
      </w:r>
    </w:p>
    <w:p w14:paraId="1E4986DE">
      <w:pPr>
        <w:spacing w:line="360" w:lineRule="auto"/>
        <w:ind w:firstLine="480" w:firstLineChars="200"/>
        <w:rPr>
          <w:rFonts w:ascii="宋体" w:hAnsi="宋体" w:cs="宋体"/>
          <w:bCs/>
          <w:color w:val="000000"/>
          <w:sz w:val="24"/>
        </w:rPr>
      </w:pPr>
      <w:r>
        <w:rPr>
          <w:rFonts w:hint="eastAsia" w:ascii="宋体" w:hAnsi="宋体" w:cs="宋体"/>
          <w:bCs/>
          <w:color w:val="000000"/>
          <w:sz w:val="24"/>
        </w:rPr>
        <w:t>3.不可抗力事件延续120天以上，双方应通过友好协商，确定是否继续履行合同。</w:t>
      </w:r>
    </w:p>
    <w:p w14:paraId="550BFB2B">
      <w:pPr>
        <w:pStyle w:val="18"/>
        <w:snapToGrid w:val="0"/>
        <w:spacing w:line="360" w:lineRule="auto"/>
        <w:rPr>
          <w:rFonts w:hAnsi="宋体" w:cs="宋体"/>
          <w:b/>
          <w:sz w:val="24"/>
        </w:rPr>
      </w:pPr>
      <w:r>
        <w:rPr>
          <w:rFonts w:hint="eastAsia" w:hAnsi="宋体" w:cs="宋体"/>
          <w:b/>
          <w:sz w:val="24"/>
        </w:rPr>
        <w:t>十七、诉讼</w:t>
      </w:r>
    </w:p>
    <w:p w14:paraId="3C24347D">
      <w:pPr>
        <w:spacing w:line="360" w:lineRule="auto"/>
        <w:ind w:firstLine="480" w:firstLineChars="200"/>
        <w:rPr>
          <w:rFonts w:ascii="宋体" w:hAnsi="宋体" w:cs="宋体"/>
          <w:bCs/>
          <w:color w:val="000000"/>
          <w:sz w:val="24"/>
        </w:rPr>
      </w:pPr>
      <w:r>
        <w:rPr>
          <w:rFonts w:hint="eastAsia" w:ascii="宋体" w:hAnsi="宋体" w:cs="宋体"/>
          <w:bCs/>
          <w:color w:val="000000"/>
          <w:sz w:val="24"/>
        </w:rPr>
        <w:t xml:space="preserve"> 双方在执行合同中所发生的一切争议，应通过协商解决。如协商不成，可向甲方所在地法院起诉。</w:t>
      </w:r>
    </w:p>
    <w:p w14:paraId="41889C1F">
      <w:pPr>
        <w:pStyle w:val="18"/>
        <w:snapToGrid w:val="0"/>
        <w:spacing w:line="360" w:lineRule="auto"/>
        <w:rPr>
          <w:rFonts w:hAnsi="宋体" w:cs="宋体"/>
          <w:b/>
          <w:sz w:val="24"/>
        </w:rPr>
      </w:pPr>
      <w:r>
        <w:rPr>
          <w:rFonts w:hint="eastAsia" w:hAnsi="宋体" w:cs="宋体"/>
          <w:b/>
          <w:sz w:val="24"/>
        </w:rPr>
        <w:t>十八、合同生效及其它</w:t>
      </w:r>
    </w:p>
    <w:p w14:paraId="7C1F9206">
      <w:pPr>
        <w:pStyle w:val="18"/>
        <w:snapToGrid w:val="0"/>
        <w:spacing w:line="360" w:lineRule="auto"/>
        <w:ind w:firstLine="480" w:firstLineChars="200"/>
        <w:rPr>
          <w:rFonts w:hAnsi="宋体" w:cs="宋体"/>
          <w:sz w:val="24"/>
        </w:rPr>
      </w:pPr>
      <w:r>
        <w:rPr>
          <w:rFonts w:hint="eastAsia" w:hAnsi="宋体" w:cs="宋体"/>
          <w:sz w:val="24"/>
        </w:rPr>
        <w:t>1.合同经双方法定代表人或授权代表签字并加盖单位公章后生效。</w:t>
      </w:r>
    </w:p>
    <w:p w14:paraId="436B753B">
      <w:pPr>
        <w:pStyle w:val="18"/>
        <w:snapToGrid w:val="0"/>
        <w:spacing w:line="360" w:lineRule="auto"/>
        <w:ind w:firstLine="480" w:firstLineChars="200"/>
        <w:rPr>
          <w:rFonts w:hAnsi="宋体" w:cs="宋体"/>
          <w:sz w:val="24"/>
        </w:rPr>
      </w:pPr>
      <w:r>
        <w:rPr>
          <w:rFonts w:hint="eastAsia" w:hAnsi="宋体" w:cs="宋体"/>
          <w:sz w:val="24"/>
        </w:rPr>
        <w:t>2.合同执行中涉及采购资金和采购内容修改或补充的，须经</w:t>
      </w:r>
      <w:r>
        <w:rPr>
          <w:rFonts w:hint="eastAsia" w:hAnsi="宋体" w:cs="宋体"/>
          <w:sz w:val="24"/>
          <w:lang w:eastAsia="zh-CN"/>
        </w:rPr>
        <w:t>监管</w:t>
      </w:r>
      <w:r>
        <w:rPr>
          <w:rFonts w:hint="eastAsia" w:hAnsi="宋体" w:cs="宋体"/>
          <w:sz w:val="24"/>
        </w:rPr>
        <w:t>部门审批，并签书面补充协议报监督管理部门备案，方可作为主合同不可分割的一部分。</w:t>
      </w:r>
    </w:p>
    <w:p w14:paraId="150CA301">
      <w:pPr>
        <w:pStyle w:val="18"/>
        <w:snapToGrid w:val="0"/>
        <w:spacing w:line="360" w:lineRule="auto"/>
        <w:ind w:left="479" w:leftChars="228"/>
        <w:rPr>
          <w:rFonts w:hAnsi="宋体" w:cs="宋体"/>
          <w:sz w:val="24"/>
        </w:rPr>
      </w:pPr>
      <w:r>
        <w:rPr>
          <w:rFonts w:hint="eastAsia" w:hAnsi="宋体" w:cs="宋体"/>
          <w:sz w:val="24"/>
        </w:rPr>
        <w:t>3.本合同未尽事宜，遵照《民法典》有关条文执行。</w:t>
      </w:r>
    </w:p>
    <w:p w14:paraId="2BA37A39">
      <w:pPr>
        <w:pStyle w:val="18"/>
        <w:snapToGrid w:val="0"/>
        <w:spacing w:line="360" w:lineRule="auto"/>
        <w:ind w:firstLine="480" w:firstLineChars="200"/>
        <w:jc w:val="left"/>
        <w:rPr>
          <w:rFonts w:hAnsi="宋体" w:cs="宋体"/>
          <w:sz w:val="24"/>
        </w:rPr>
      </w:pPr>
      <w:r>
        <w:rPr>
          <w:rFonts w:hint="eastAsia" w:hAnsi="宋体" w:cs="宋体"/>
          <w:sz w:val="24"/>
        </w:rPr>
        <w:t>4.本合同正本一式</w:t>
      </w:r>
      <w:r>
        <w:rPr>
          <w:rFonts w:hint="eastAsia" w:hAnsi="宋体" w:cs="宋体"/>
          <w:sz w:val="24"/>
          <w:u w:val="single"/>
        </w:rPr>
        <w:t xml:space="preserve">    </w:t>
      </w:r>
      <w:r>
        <w:rPr>
          <w:rFonts w:hint="eastAsia" w:hAnsi="宋体" w:cs="宋体"/>
          <w:sz w:val="24"/>
        </w:rPr>
        <w:t>份，甲方执</w:t>
      </w:r>
      <w:r>
        <w:rPr>
          <w:rFonts w:hint="eastAsia" w:hAnsi="宋体" w:cs="宋体"/>
          <w:sz w:val="24"/>
          <w:u w:val="single"/>
        </w:rPr>
        <w:t xml:space="preserve">    </w:t>
      </w:r>
      <w:r>
        <w:rPr>
          <w:rFonts w:hint="eastAsia" w:hAnsi="宋体" w:cs="宋体"/>
          <w:sz w:val="24"/>
        </w:rPr>
        <w:t>份，乙方执</w:t>
      </w:r>
      <w:r>
        <w:rPr>
          <w:rFonts w:hint="eastAsia" w:hAnsi="宋体" w:cs="宋体"/>
          <w:sz w:val="24"/>
          <w:u w:val="single"/>
        </w:rPr>
        <w:t xml:space="preserve">    </w:t>
      </w:r>
      <w:r>
        <w:rPr>
          <w:rFonts w:hint="eastAsia" w:hAnsi="宋体" w:cs="宋体"/>
          <w:sz w:val="24"/>
        </w:rPr>
        <w:t>份，具同等法律效力。</w:t>
      </w:r>
    </w:p>
    <w:p w14:paraId="25BA5E37">
      <w:pPr>
        <w:pStyle w:val="18"/>
        <w:snapToGrid w:val="0"/>
        <w:spacing w:line="360" w:lineRule="auto"/>
        <w:ind w:left="479" w:leftChars="114" w:hanging="240" w:hangingChars="100"/>
        <w:rPr>
          <w:rFonts w:hAnsi="宋体" w:cs="宋体"/>
          <w:sz w:val="24"/>
        </w:rPr>
      </w:pPr>
      <w:r>
        <w:rPr>
          <w:rFonts w:hint="eastAsia" w:hAnsi="宋体" w:cs="宋体"/>
          <w:sz w:val="24"/>
        </w:rPr>
        <w:t xml:space="preserve">甲方：                                   乙方： </w:t>
      </w:r>
    </w:p>
    <w:p w14:paraId="14825A9A">
      <w:pPr>
        <w:pStyle w:val="18"/>
        <w:snapToGrid w:val="0"/>
        <w:spacing w:line="360" w:lineRule="auto"/>
        <w:rPr>
          <w:rFonts w:hAnsi="宋体" w:cs="宋体"/>
          <w:sz w:val="24"/>
        </w:rPr>
      </w:pPr>
      <w:r>
        <w:rPr>
          <w:rFonts w:hint="eastAsia" w:hAnsi="宋体" w:cs="宋体"/>
          <w:sz w:val="24"/>
        </w:rPr>
        <w:t xml:space="preserve">  地址：                                   地址：</w:t>
      </w:r>
    </w:p>
    <w:p w14:paraId="28BA6D4B">
      <w:pPr>
        <w:pStyle w:val="18"/>
        <w:snapToGrid w:val="0"/>
        <w:spacing w:line="360" w:lineRule="auto"/>
        <w:ind w:firstLine="240" w:firstLineChars="100"/>
        <w:rPr>
          <w:rFonts w:hAnsi="宋体" w:cs="宋体"/>
          <w:sz w:val="24"/>
        </w:rPr>
      </w:pPr>
      <w:r>
        <w:rPr>
          <w:rFonts w:hint="eastAsia" w:hAnsi="宋体" w:cs="宋体"/>
          <w:sz w:val="24"/>
        </w:rPr>
        <w:t xml:space="preserve">法定（授权）代表人：                     法定（授权）代表人：    </w:t>
      </w:r>
    </w:p>
    <w:p w14:paraId="349E73D6">
      <w:pPr>
        <w:pStyle w:val="18"/>
        <w:snapToGrid w:val="0"/>
        <w:spacing w:line="360" w:lineRule="auto"/>
        <w:jc w:val="center"/>
        <w:rPr>
          <w:rFonts w:hAnsi="宋体" w:cs="宋体"/>
          <w:sz w:val="24"/>
        </w:rPr>
      </w:pPr>
      <w:r>
        <w:rPr>
          <w:rFonts w:hint="eastAsia" w:hAnsi="宋体" w:cs="宋体"/>
          <w:sz w:val="24"/>
        </w:rPr>
        <w:t xml:space="preserve">                           开户银行：</w:t>
      </w:r>
    </w:p>
    <w:p w14:paraId="45163FC9">
      <w:pPr>
        <w:pStyle w:val="18"/>
        <w:snapToGrid w:val="0"/>
        <w:spacing w:line="360" w:lineRule="auto"/>
        <w:jc w:val="center"/>
        <w:rPr>
          <w:rFonts w:hAnsi="宋体" w:cs="宋体"/>
          <w:sz w:val="24"/>
        </w:rPr>
      </w:pPr>
      <w:r>
        <w:rPr>
          <w:rFonts w:hint="eastAsia" w:hAnsi="宋体" w:cs="宋体"/>
          <w:sz w:val="24"/>
        </w:rPr>
        <w:t xml:space="preserve">                           银行账号：</w:t>
      </w:r>
    </w:p>
    <w:p w14:paraId="7D93D102">
      <w:pPr>
        <w:pStyle w:val="18"/>
        <w:snapToGrid w:val="0"/>
        <w:spacing w:line="360" w:lineRule="auto"/>
        <w:ind w:firstLine="5280" w:firstLineChars="2200"/>
        <w:rPr>
          <w:rFonts w:hAnsi="宋体" w:cs="宋体"/>
          <w:sz w:val="24"/>
        </w:rPr>
      </w:pPr>
      <w:r>
        <w:rPr>
          <w:rFonts w:hint="eastAsia" w:hAnsi="宋体" w:cs="宋体"/>
          <w:sz w:val="24"/>
        </w:rPr>
        <w:t>联系电话：</w:t>
      </w:r>
    </w:p>
    <w:p w14:paraId="3793D141">
      <w:pPr>
        <w:spacing w:line="360" w:lineRule="auto"/>
        <w:ind w:firstLine="240" w:firstLineChars="100"/>
        <w:rPr>
          <w:rFonts w:hAnsi="宋体"/>
          <w:sz w:val="24"/>
        </w:rPr>
      </w:pPr>
      <w:r>
        <w:rPr>
          <w:rFonts w:hint="eastAsia" w:hAnsi="宋体" w:cs="宋体"/>
          <w:sz w:val="24"/>
        </w:rPr>
        <w:t>签字日期：      年  月  日               签字日期：      年  月  日</w:t>
      </w:r>
    </w:p>
    <w:p w14:paraId="34106C71">
      <w:pPr>
        <w:spacing w:line="360" w:lineRule="auto"/>
        <w:outlineLvl w:val="0"/>
        <w:rPr>
          <w:rFonts w:cs="宋体" w:asciiTheme="minorEastAsia" w:hAnsiTheme="minorEastAsia" w:eastAsiaTheme="minorEastAsia"/>
          <w:b/>
          <w:sz w:val="36"/>
          <w:szCs w:val="20"/>
        </w:rPr>
      </w:pPr>
    </w:p>
    <w:p w14:paraId="13952E4B">
      <w:pPr>
        <w:spacing w:line="360" w:lineRule="auto"/>
        <w:outlineLvl w:val="0"/>
        <w:rPr>
          <w:rFonts w:cs="宋体" w:asciiTheme="minorEastAsia" w:hAnsiTheme="minorEastAsia" w:eastAsiaTheme="minorEastAsia"/>
          <w:b/>
          <w:sz w:val="36"/>
          <w:szCs w:val="20"/>
        </w:rPr>
      </w:pPr>
    </w:p>
    <w:p w14:paraId="7EFE5896">
      <w:pPr>
        <w:spacing w:line="360" w:lineRule="auto"/>
        <w:outlineLvl w:val="0"/>
        <w:rPr>
          <w:rFonts w:cs="宋体" w:asciiTheme="minorEastAsia" w:hAnsiTheme="minorEastAsia" w:eastAsiaTheme="minorEastAsia"/>
          <w:b/>
          <w:sz w:val="36"/>
          <w:szCs w:val="20"/>
        </w:rPr>
      </w:pPr>
    </w:p>
    <w:p w14:paraId="4C334E93">
      <w:pPr>
        <w:spacing w:line="360" w:lineRule="auto"/>
        <w:outlineLvl w:val="0"/>
        <w:rPr>
          <w:rFonts w:cs="宋体" w:asciiTheme="minorEastAsia" w:hAnsiTheme="minorEastAsia" w:eastAsiaTheme="minorEastAsia"/>
          <w:b/>
          <w:sz w:val="36"/>
          <w:szCs w:val="20"/>
        </w:rPr>
      </w:pPr>
    </w:p>
    <w:p w14:paraId="3A79E744">
      <w:pPr>
        <w:spacing w:line="360" w:lineRule="auto"/>
        <w:outlineLvl w:val="0"/>
        <w:rPr>
          <w:rFonts w:cs="宋体" w:asciiTheme="minorEastAsia" w:hAnsiTheme="minorEastAsia" w:eastAsiaTheme="minorEastAsia"/>
          <w:b/>
          <w:sz w:val="36"/>
          <w:szCs w:val="20"/>
        </w:rPr>
      </w:pPr>
    </w:p>
    <w:p w14:paraId="0455C5E1">
      <w:pPr>
        <w:spacing w:line="360" w:lineRule="auto"/>
        <w:outlineLvl w:val="0"/>
        <w:rPr>
          <w:rFonts w:cs="宋体" w:asciiTheme="minorEastAsia" w:hAnsiTheme="minorEastAsia" w:eastAsiaTheme="minorEastAsia"/>
          <w:b/>
          <w:sz w:val="36"/>
          <w:szCs w:val="20"/>
        </w:rPr>
      </w:pPr>
    </w:p>
    <w:p w14:paraId="34878022">
      <w:pPr>
        <w:spacing w:line="360" w:lineRule="auto"/>
        <w:outlineLvl w:val="0"/>
        <w:rPr>
          <w:rFonts w:cs="宋体" w:asciiTheme="minorEastAsia" w:hAnsiTheme="minorEastAsia" w:eastAsiaTheme="minorEastAsia"/>
          <w:b/>
          <w:sz w:val="36"/>
          <w:szCs w:val="20"/>
        </w:rPr>
      </w:pPr>
    </w:p>
    <w:p w14:paraId="5A580908">
      <w:pPr>
        <w:spacing w:line="360" w:lineRule="auto"/>
        <w:outlineLvl w:val="0"/>
        <w:rPr>
          <w:rFonts w:cs="宋体" w:asciiTheme="minorEastAsia" w:hAnsiTheme="minorEastAsia" w:eastAsiaTheme="minorEastAsia"/>
          <w:b/>
          <w:sz w:val="36"/>
          <w:szCs w:val="20"/>
        </w:rPr>
      </w:pPr>
    </w:p>
    <w:p w14:paraId="79652879">
      <w:pPr>
        <w:spacing w:line="360" w:lineRule="auto"/>
        <w:outlineLvl w:val="0"/>
        <w:rPr>
          <w:rFonts w:cs="宋体" w:asciiTheme="minorEastAsia" w:hAnsiTheme="minorEastAsia" w:eastAsiaTheme="minorEastAsia"/>
          <w:b/>
          <w:sz w:val="36"/>
          <w:szCs w:val="20"/>
        </w:rPr>
      </w:pPr>
    </w:p>
    <w:p w14:paraId="258FCAB4">
      <w:pPr>
        <w:spacing w:line="360" w:lineRule="auto"/>
        <w:outlineLvl w:val="0"/>
        <w:rPr>
          <w:rFonts w:cs="宋体" w:asciiTheme="minorEastAsia" w:hAnsiTheme="minorEastAsia" w:eastAsiaTheme="minorEastAsia"/>
          <w:b/>
          <w:sz w:val="36"/>
          <w:szCs w:val="20"/>
        </w:rPr>
      </w:pPr>
    </w:p>
    <w:p w14:paraId="29866F0D">
      <w:pPr>
        <w:spacing w:line="360" w:lineRule="auto"/>
        <w:outlineLvl w:val="0"/>
        <w:rPr>
          <w:rFonts w:cs="宋体" w:asciiTheme="minorEastAsia" w:hAnsiTheme="minorEastAsia" w:eastAsiaTheme="minorEastAsia"/>
          <w:b/>
          <w:sz w:val="36"/>
          <w:szCs w:val="20"/>
        </w:rPr>
      </w:pPr>
    </w:p>
    <w:p w14:paraId="139577D3">
      <w:pPr>
        <w:spacing w:line="360" w:lineRule="auto"/>
        <w:outlineLvl w:val="0"/>
        <w:rPr>
          <w:rFonts w:cs="宋体" w:asciiTheme="minorEastAsia" w:hAnsiTheme="minorEastAsia" w:eastAsiaTheme="minorEastAsia"/>
          <w:b/>
          <w:sz w:val="36"/>
          <w:szCs w:val="20"/>
        </w:rPr>
      </w:pPr>
    </w:p>
    <w:p w14:paraId="5CBB5594">
      <w:pPr>
        <w:spacing w:line="360" w:lineRule="auto"/>
        <w:outlineLvl w:val="0"/>
        <w:rPr>
          <w:rFonts w:cs="宋体" w:asciiTheme="minorEastAsia" w:hAnsiTheme="minorEastAsia" w:eastAsiaTheme="minorEastAsia"/>
          <w:b/>
          <w:sz w:val="36"/>
          <w:szCs w:val="20"/>
        </w:rPr>
      </w:pPr>
    </w:p>
    <w:p w14:paraId="7AC4F3F4">
      <w:pPr>
        <w:spacing w:line="360" w:lineRule="auto"/>
        <w:outlineLvl w:val="0"/>
        <w:rPr>
          <w:rFonts w:cs="宋体" w:asciiTheme="minorEastAsia" w:hAnsiTheme="minorEastAsia" w:eastAsiaTheme="minorEastAsia"/>
          <w:b/>
          <w:sz w:val="36"/>
          <w:szCs w:val="20"/>
        </w:rPr>
      </w:pPr>
    </w:p>
    <w:p w14:paraId="54BE8C79">
      <w:pPr>
        <w:spacing w:line="360" w:lineRule="auto"/>
        <w:outlineLvl w:val="0"/>
        <w:rPr>
          <w:rFonts w:cs="宋体" w:asciiTheme="minorEastAsia" w:hAnsiTheme="minorEastAsia" w:eastAsiaTheme="minorEastAsia"/>
          <w:b/>
          <w:sz w:val="36"/>
          <w:szCs w:val="20"/>
        </w:rPr>
      </w:pPr>
    </w:p>
    <w:p w14:paraId="2F06F4CE">
      <w:pPr>
        <w:spacing w:line="360" w:lineRule="auto"/>
        <w:outlineLvl w:val="0"/>
        <w:rPr>
          <w:rFonts w:cs="宋体" w:asciiTheme="minorEastAsia" w:hAnsiTheme="minorEastAsia" w:eastAsiaTheme="minorEastAsia"/>
          <w:b/>
          <w:sz w:val="36"/>
          <w:szCs w:val="20"/>
        </w:rPr>
      </w:pPr>
    </w:p>
    <w:p w14:paraId="6A9070E1">
      <w:pPr>
        <w:spacing w:line="500" w:lineRule="exact"/>
        <w:jc w:val="center"/>
        <w:rPr>
          <w:rFonts w:hint="eastAsia" w:ascii="宋体" w:hAnsi="宋体" w:cs="宋体"/>
          <w:sz w:val="18"/>
          <w:szCs w:val="18"/>
        </w:rPr>
      </w:pPr>
      <w:r>
        <w:rPr>
          <w:rFonts w:hint="eastAsia" w:ascii="宋体" w:hAnsi="宋体" w:cs="宋体"/>
          <w:b/>
          <w:szCs w:val="21"/>
        </w:rPr>
        <w:t>安全生产协议书</w:t>
      </w:r>
    </w:p>
    <w:p w14:paraId="7176E1D6">
      <w:pPr>
        <w:spacing w:line="360" w:lineRule="auto"/>
        <w:ind w:firstLine="420" w:firstLineChars="200"/>
        <w:rPr>
          <w:rFonts w:hint="eastAsia" w:ascii="宋体" w:hAnsi="宋体" w:cs="宋体"/>
          <w:szCs w:val="21"/>
        </w:rPr>
      </w:pPr>
      <w:r>
        <w:rPr>
          <w:rFonts w:hint="eastAsia" w:ascii="宋体" w:hAnsi="宋体" w:cs="宋体"/>
          <w:szCs w:val="21"/>
        </w:rPr>
        <w:t>为在</w:t>
      </w:r>
      <w:r>
        <w:rPr>
          <w:rFonts w:hint="eastAsia" w:ascii="宋体" w:hAnsi="宋体" w:cs="宋体"/>
          <w:b/>
          <w:color w:val="000000"/>
          <w:szCs w:val="21"/>
          <w:u w:val="single"/>
          <w:lang w:val="en-US" w:eastAsia="zh-CN"/>
        </w:rPr>
        <w:t xml:space="preserve">           </w:t>
      </w:r>
      <w:r>
        <w:rPr>
          <w:rFonts w:hint="eastAsia" w:ascii="宋体" w:hAnsi="宋体" w:cs="宋体"/>
          <w:b/>
          <w:color w:val="000000"/>
          <w:szCs w:val="21"/>
          <w:u w:val="single"/>
        </w:rPr>
        <w:t xml:space="preserve">     </w:t>
      </w:r>
      <w:r>
        <w:rPr>
          <w:rFonts w:hint="eastAsia" w:ascii="宋体" w:hAnsi="宋体" w:cs="宋体"/>
          <w:bCs/>
          <w:szCs w:val="21"/>
        </w:rPr>
        <w:t>合同的实施过程中创造安全、高效的施工环境，切实搞好本项目的安全管理工作，本项目的建设单位</w:t>
      </w:r>
      <w:r>
        <w:rPr>
          <w:rFonts w:hint="eastAsia" w:ascii="宋体" w:hAnsi="宋体" w:cs="宋体"/>
          <w:b/>
          <w:color w:val="000000"/>
          <w:szCs w:val="21"/>
          <w:u w:val="single"/>
          <w:lang w:val="en-US" w:eastAsia="zh-CN"/>
        </w:rPr>
        <w:t xml:space="preserve">           </w:t>
      </w:r>
      <w:r>
        <w:rPr>
          <w:rFonts w:hint="eastAsia" w:ascii="宋体" w:hAnsi="宋体" w:cs="宋体"/>
          <w:bCs/>
          <w:szCs w:val="21"/>
        </w:rPr>
        <w:t>（以下简称“甲方”）与施工单位</w:t>
      </w:r>
      <w:r>
        <w:rPr>
          <w:rFonts w:hint="eastAsia" w:ascii="宋体" w:hAnsi="宋体" w:eastAsia="宋体" w:cs="宋体"/>
          <w:b/>
          <w:color w:val="000000"/>
          <w:szCs w:val="21"/>
          <w:u w:val="single"/>
          <w:lang w:val="en-US" w:eastAsia="zh-CN"/>
        </w:rPr>
        <w:t xml:space="preserve">        </w:t>
      </w:r>
      <w:r>
        <w:rPr>
          <w:rFonts w:hint="eastAsia" w:ascii="宋体" w:hAnsi="宋体" w:cs="宋体"/>
          <w:bCs/>
          <w:szCs w:val="21"/>
        </w:rPr>
        <w:t>（以下简称“乙</w:t>
      </w:r>
      <w:r>
        <w:rPr>
          <w:rFonts w:hint="eastAsia" w:ascii="宋体" w:hAnsi="宋体" w:cs="宋体"/>
          <w:szCs w:val="21"/>
        </w:rPr>
        <w:t>方”），特此签订安全生产协议书：</w:t>
      </w:r>
    </w:p>
    <w:p w14:paraId="6B631BBF">
      <w:pPr>
        <w:numPr>
          <w:ilvl w:val="0"/>
          <w:numId w:val="13"/>
        </w:numPr>
        <w:spacing w:line="360" w:lineRule="auto"/>
        <w:rPr>
          <w:rFonts w:hint="eastAsia" w:ascii="宋体" w:hAnsi="宋体" w:cs="宋体"/>
          <w:b/>
          <w:szCs w:val="21"/>
        </w:rPr>
      </w:pPr>
      <w:r>
        <w:rPr>
          <w:rFonts w:hint="eastAsia" w:ascii="宋体" w:hAnsi="宋体" w:cs="宋体"/>
          <w:b/>
          <w:szCs w:val="21"/>
        </w:rPr>
        <w:t>甲方职责</w:t>
      </w:r>
    </w:p>
    <w:p w14:paraId="5704667C">
      <w:pPr>
        <w:spacing w:line="360" w:lineRule="auto"/>
        <w:ind w:firstLine="420" w:firstLineChars="200"/>
        <w:rPr>
          <w:rFonts w:hint="eastAsia" w:ascii="宋体" w:hAnsi="宋体" w:cs="宋体"/>
          <w:spacing w:val="-2"/>
          <w:szCs w:val="21"/>
        </w:rPr>
      </w:pPr>
      <w:r>
        <w:rPr>
          <w:rFonts w:hint="eastAsia" w:ascii="宋体" w:hAnsi="宋体" w:cs="宋体"/>
          <w:szCs w:val="21"/>
        </w:rPr>
        <w:t>（一）</w:t>
      </w:r>
      <w:r>
        <w:rPr>
          <w:rFonts w:hint="eastAsia" w:ascii="宋体" w:hAnsi="宋体" w:cs="宋体"/>
          <w:spacing w:val="-2"/>
          <w:szCs w:val="21"/>
        </w:rPr>
        <w:t>遵守国家有关安全生产的法律法规，认真执行工程承包合同中的有关安全要求。</w:t>
      </w:r>
    </w:p>
    <w:p w14:paraId="35FA12D2">
      <w:pPr>
        <w:spacing w:line="360" w:lineRule="auto"/>
        <w:ind w:firstLine="420" w:firstLineChars="200"/>
        <w:rPr>
          <w:rFonts w:hint="eastAsia" w:ascii="宋体" w:hAnsi="宋体" w:cs="宋体"/>
          <w:szCs w:val="21"/>
        </w:rPr>
      </w:pPr>
      <w:r>
        <w:rPr>
          <w:rFonts w:hint="eastAsia" w:ascii="宋体" w:hAnsi="宋体" w:cs="宋体"/>
          <w:szCs w:val="21"/>
        </w:rPr>
        <w:t>（二）按照“安全第一、预防为主”和坚持“管生产必须管安全”的原则进行安全生产管理，做到生产与安全工作同时计划、布置、检查、总结和评比。</w:t>
      </w:r>
    </w:p>
    <w:p w14:paraId="12423311">
      <w:pPr>
        <w:spacing w:line="360" w:lineRule="auto"/>
        <w:rPr>
          <w:rFonts w:hint="eastAsia" w:ascii="宋体" w:hAnsi="宋体" w:cs="宋体"/>
          <w:szCs w:val="21"/>
        </w:rPr>
      </w:pPr>
      <w:r>
        <w:rPr>
          <w:rFonts w:hint="eastAsia" w:ascii="宋体" w:hAnsi="宋体" w:cs="宋体"/>
          <w:szCs w:val="21"/>
        </w:rPr>
        <w:t xml:space="preserve">    （三）重要的安全设施必须坚持与主体工程“三同时”的原则，即：同时设计、审批，同时施工，同时验收、投入使用。</w:t>
      </w:r>
    </w:p>
    <w:p w14:paraId="686AB2C3">
      <w:pPr>
        <w:spacing w:line="360" w:lineRule="auto"/>
        <w:rPr>
          <w:rFonts w:hint="eastAsia" w:ascii="宋体" w:hAnsi="宋体" w:cs="宋体"/>
          <w:szCs w:val="21"/>
        </w:rPr>
      </w:pPr>
      <w:r>
        <w:rPr>
          <w:rFonts w:hint="eastAsia" w:ascii="宋体" w:hAnsi="宋体" w:cs="宋体"/>
          <w:szCs w:val="21"/>
        </w:rPr>
        <w:t xml:space="preserve">    （四）定期召开安全生产调度会，及时传达中央及地方有关安全生产的精神。</w:t>
      </w:r>
    </w:p>
    <w:p w14:paraId="273EFDEA">
      <w:pPr>
        <w:spacing w:line="360" w:lineRule="auto"/>
        <w:rPr>
          <w:rFonts w:hint="eastAsia" w:ascii="宋体" w:hAnsi="宋体" w:cs="宋体"/>
          <w:szCs w:val="21"/>
        </w:rPr>
      </w:pPr>
      <w:r>
        <w:rPr>
          <w:rFonts w:hint="eastAsia" w:ascii="宋体" w:hAnsi="宋体" w:cs="宋体"/>
          <w:szCs w:val="21"/>
        </w:rPr>
        <w:t xml:space="preserve">    （五）组织对乙方施工现场安全生产检查，监督乙方及时处理发现的各种安全隐患。</w:t>
      </w:r>
    </w:p>
    <w:p w14:paraId="3E61F0C2">
      <w:pPr>
        <w:numPr>
          <w:ilvl w:val="0"/>
          <w:numId w:val="13"/>
        </w:numPr>
        <w:spacing w:line="360" w:lineRule="auto"/>
        <w:rPr>
          <w:rFonts w:hint="eastAsia" w:ascii="宋体" w:hAnsi="宋体" w:cs="宋体"/>
          <w:b/>
          <w:szCs w:val="21"/>
        </w:rPr>
      </w:pPr>
      <w:r>
        <w:rPr>
          <w:rFonts w:hint="eastAsia" w:ascii="宋体" w:hAnsi="宋体" w:cs="宋体"/>
          <w:b/>
          <w:szCs w:val="21"/>
        </w:rPr>
        <w:t>乙方职责</w:t>
      </w:r>
    </w:p>
    <w:p w14:paraId="2044D2C8">
      <w:pPr>
        <w:spacing w:line="360" w:lineRule="auto"/>
        <w:ind w:firstLine="420" w:firstLineChars="200"/>
        <w:rPr>
          <w:rFonts w:hint="eastAsia" w:ascii="宋体" w:hAnsi="宋体" w:cs="宋体"/>
          <w:szCs w:val="21"/>
        </w:rPr>
      </w:pPr>
      <w:r>
        <w:rPr>
          <w:rFonts w:hint="eastAsia" w:ascii="宋体" w:hAnsi="宋体" w:cs="宋体"/>
          <w:szCs w:val="21"/>
        </w:rPr>
        <w:t>（一）严格遵守国家有关安全生产的法律法规、水利部颁发的有关工程施工安全技术规程的安全生产规定，认真执行工程承包合同中的有关安全要求。</w:t>
      </w:r>
    </w:p>
    <w:p w14:paraId="0E11A522">
      <w:pPr>
        <w:spacing w:line="360" w:lineRule="auto"/>
        <w:rPr>
          <w:rFonts w:hint="eastAsia" w:ascii="宋体" w:hAnsi="宋体" w:cs="宋体"/>
          <w:szCs w:val="21"/>
        </w:rPr>
      </w:pPr>
      <w:r>
        <w:rPr>
          <w:rFonts w:hint="eastAsia" w:ascii="宋体" w:hAnsi="宋体" w:cs="宋体"/>
          <w:szCs w:val="21"/>
        </w:rPr>
        <w:t xml:space="preserve">    （二）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E4CDE0F">
      <w:pPr>
        <w:spacing w:line="360" w:lineRule="auto"/>
        <w:rPr>
          <w:rFonts w:hint="eastAsia" w:ascii="宋体" w:hAnsi="宋体" w:cs="宋体"/>
          <w:szCs w:val="21"/>
        </w:rPr>
      </w:pPr>
      <w:r>
        <w:rPr>
          <w:rFonts w:hint="eastAsia" w:ascii="宋体" w:hAnsi="宋体" w:cs="宋体"/>
          <w:szCs w:val="21"/>
        </w:rPr>
        <w:t xml:space="preserve">    （三）建立健全安全生产责任制。从派往项目实施的项目负责人（项目负责人）到生产工人（包括临时雇请的民工）的安全生产管理系统必须做到纵向到底，一环不漏；各职能部门、人员的安全生产责任制做到横向到边，人人有责。项目负责人（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EDD092F">
      <w:pPr>
        <w:spacing w:line="360" w:lineRule="auto"/>
        <w:rPr>
          <w:rFonts w:hint="eastAsia" w:ascii="宋体" w:hAnsi="宋体" w:cs="宋体"/>
          <w:szCs w:val="21"/>
        </w:rPr>
      </w:pPr>
      <w:r>
        <w:rPr>
          <w:rFonts w:hint="eastAsia" w:ascii="宋体" w:hAnsi="宋体" w:cs="宋体"/>
          <w:szCs w:val="21"/>
        </w:rPr>
        <w:t xml:space="preserve">    （四）乙方在任何时候都应采取各种合理的预防措施，防止其员工发生任何违法、违禁、暴力或妨碍治安的行为。</w:t>
      </w:r>
    </w:p>
    <w:p w14:paraId="2A09EBDD">
      <w:pPr>
        <w:spacing w:line="360" w:lineRule="auto"/>
        <w:rPr>
          <w:rFonts w:hint="eastAsia" w:ascii="宋体" w:hAnsi="宋体" w:cs="宋体"/>
          <w:szCs w:val="21"/>
        </w:rPr>
      </w:pPr>
      <w:r>
        <w:rPr>
          <w:rFonts w:hint="eastAsia" w:ascii="宋体" w:hAnsi="宋体" w:cs="宋体"/>
          <w:szCs w:val="21"/>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项目负责人）必须承担管理责任</w:t>
      </w:r>
      <w:r>
        <w:rPr>
          <w:rFonts w:hint="eastAsia" w:ascii="宋体" w:hAnsi="宋体" w:eastAsia="宋体" w:cs="宋体"/>
          <w:kern w:val="2"/>
          <w:sz w:val="21"/>
          <w:szCs w:val="21"/>
        </w:rPr>
        <w:t>，若因此发生任何安全事故的，责任由承包人自行承担，与发包人无关</w:t>
      </w:r>
      <w:r>
        <w:rPr>
          <w:rFonts w:hint="eastAsia" w:ascii="宋体" w:hAnsi="宋体" w:cs="宋体"/>
          <w:szCs w:val="21"/>
        </w:rPr>
        <w:t>。</w:t>
      </w:r>
    </w:p>
    <w:p w14:paraId="1B37E236">
      <w:pPr>
        <w:spacing w:line="360" w:lineRule="auto"/>
        <w:rPr>
          <w:rFonts w:hint="eastAsia" w:ascii="宋体" w:hAnsi="宋体" w:cs="宋体"/>
          <w:szCs w:val="21"/>
        </w:rPr>
      </w:pPr>
      <w:r>
        <w:rPr>
          <w:rFonts w:hint="eastAsia" w:ascii="宋体" w:hAnsi="宋体" w:cs="宋体"/>
          <w:szCs w:val="21"/>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2C525FDD">
      <w:pPr>
        <w:spacing w:line="360" w:lineRule="auto"/>
        <w:rPr>
          <w:rFonts w:hint="eastAsia" w:ascii="宋体" w:hAnsi="宋体" w:cs="宋体"/>
          <w:szCs w:val="21"/>
        </w:rPr>
      </w:pPr>
      <w:r>
        <w:rPr>
          <w:rFonts w:hint="eastAsia" w:ascii="宋体" w:hAnsi="宋体" w:cs="宋体"/>
          <w:szCs w:val="21"/>
        </w:rPr>
        <w:t xml:space="preserve">    （七）操作人员上岗，必须按规定穿戴防护用品。施工负责人和安全检查员应随时检查劳动防护用品的穿戴情况，不按规定穿戴防护用品的人员不得上岗。</w:t>
      </w:r>
    </w:p>
    <w:p w14:paraId="003C02C2">
      <w:pPr>
        <w:spacing w:line="360" w:lineRule="auto"/>
        <w:rPr>
          <w:rFonts w:hint="eastAsia" w:ascii="宋体" w:hAnsi="宋体" w:cs="宋体"/>
          <w:szCs w:val="21"/>
        </w:rPr>
      </w:pPr>
      <w:r>
        <w:rPr>
          <w:rFonts w:hint="eastAsia" w:ascii="宋体" w:hAnsi="宋体" w:cs="宋体"/>
          <w:szCs w:val="21"/>
        </w:rPr>
        <w:t xml:space="preserve">    （八）所有施工机具设备和高空作业的设备均应定期检查，并有安全员的签字记录，保证其经常处于完好状态；不合格的机具、设备和劳动保护用品严禁使用。</w:t>
      </w:r>
    </w:p>
    <w:p w14:paraId="56A23C55">
      <w:pPr>
        <w:spacing w:line="360" w:lineRule="auto"/>
        <w:rPr>
          <w:rFonts w:hint="eastAsia" w:ascii="宋体" w:hAnsi="宋体" w:cs="宋体"/>
          <w:szCs w:val="21"/>
        </w:rPr>
      </w:pPr>
      <w:r>
        <w:rPr>
          <w:rFonts w:hint="eastAsia" w:ascii="宋体" w:hAnsi="宋体" w:cs="宋体"/>
          <w:szCs w:val="21"/>
        </w:rPr>
        <w:t xml:space="preserve">    （九）所有施工中采用新技术，新工艺、新设备、新材料时，必须制定相应的安全技术措施，施工现场必须具有相关的安全标志牌。</w:t>
      </w:r>
    </w:p>
    <w:p w14:paraId="3F76C940">
      <w:pPr>
        <w:spacing w:line="360" w:lineRule="auto"/>
        <w:rPr>
          <w:rFonts w:hint="eastAsia" w:ascii="宋体" w:hAnsi="宋体" w:cs="宋体"/>
          <w:szCs w:val="21"/>
        </w:rPr>
      </w:pPr>
      <w:r>
        <w:rPr>
          <w:rFonts w:hint="eastAsia" w:ascii="宋体" w:hAnsi="宋体" w:cs="宋体"/>
          <w:szCs w:val="21"/>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3435596">
      <w:pPr>
        <w:spacing w:line="360" w:lineRule="auto"/>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第三条  违约责任</w:t>
      </w:r>
    </w:p>
    <w:p w14:paraId="38F3BB83">
      <w:pPr>
        <w:spacing w:line="360" w:lineRule="auto"/>
        <w:rPr>
          <w:rFonts w:hint="eastAsia" w:ascii="宋体" w:hAnsi="宋体" w:cs="宋体"/>
          <w:szCs w:val="21"/>
        </w:rPr>
      </w:pPr>
      <w:r>
        <w:rPr>
          <w:rFonts w:hint="eastAsia" w:ascii="宋体" w:hAnsi="宋体" w:cs="宋体"/>
          <w:b/>
          <w:szCs w:val="21"/>
        </w:rPr>
        <w:t xml:space="preserve">  </w:t>
      </w:r>
      <w:r>
        <w:rPr>
          <w:rFonts w:hint="eastAsia" w:ascii="宋体" w:hAnsi="宋体" w:eastAsia="宋体" w:cs="宋体"/>
          <w:kern w:val="2"/>
          <w:sz w:val="21"/>
          <w:szCs w:val="21"/>
        </w:rPr>
        <w:t>本工程施工过程中，施工范围区域内发生的一切安全事故均由乙方（承包人）自行承担，且若因此给甲方（发包人）造成损失的，乙方仍应全额赔偿。</w:t>
      </w:r>
      <w:r>
        <w:rPr>
          <w:rFonts w:hint="eastAsia" w:ascii="宋体" w:hAnsi="宋体" w:eastAsia="宋体" w:cs="宋体"/>
          <w:szCs w:val="21"/>
        </w:rPr>
        <w:t>。</w:t>
      </w:r>
    </w:p>
    <w:p w14:paraId="652FB49E">
      <w:pPr>
        <w:spacing w:line="360" w:lineRule="auto"/>
        <w:ind w:firstLine="360"/>
        <w:rPr>
          <w:rFonts w:hint="eastAsia" w:ascii="宋体" w:hAnsi="宋体" w:cs="宋体"/>
          <w:spacing w:val="-8"/>
          <w:szCs w:val="21"/>
        </w:rPr>
      </w:pPr>
      <w:r>
        <w:rPr>
          <w:rFonts w:hint="eastAsia" w:ascii="宋体" w:hAnsi="宋体" w:cs="宋体"/>
          <w:szCs w:val="21"/>
        </w:rPr>
        <w:t>由双方法定代表人或其授权的代理人签署与加盖公章后生效，全部工程竣工验收后失效。</w:t>
      </w:r>
    </w:p>
    <w:p w14:paraId="73EDCF4D">
      <w:pPr>
        <w:spacing w:line="360" w:lineRule="auto"/>
        <w:rPr>
          <w:rFonts w:hint="eastAsia" w:ascii="宋体" w:hAnsi="宋体" w:cs="宋体"/>
          <w:snapToGrid w:val="0"/>
          <w:szCs w:val="21"/>
          <w:u w:val="single"/>
        </w:rPr>
      </w:pPr>
      <w:r>
        <w:rPr>
          <w:rFonts w:hint="eastAsia" w:ascii="宋体" w:hAnsi="宋体" w:cs="宋体"/>
          <w:snapToGrid w:val="0"/>
          <w:w w:val="84"/>
          <w:szCs w:val="21"/>
        </w:rPr>
        <w:t xml:space="preserve">    </w:t>
      </w:r>
      <w:r>
        <w:rPr>
          <w:rFonts w:hint="eastAsia" w:ascii="宋体" w:hAnsi="宋体" w:cs="宋体"/>
          <w:snapToGrid w:val="0"/>
          <w:spacing w:val="131"/>
          <w:szCs w:val="21"/>
        </w:rPr>
        <w:t>甲方</w:t>
      </w:r>
      <w:r>
        <w:rPr>
          <w:rFonts w:hint="eastAsia" w:ascii="宋体" w:hAnsi="宋体" w:cs="宋体"/>
          <w:snapToGrid w:val="0"/>
          <w:szCs w:val="21"/>
        </w:rPr>
        <w:t>：</w:t>
      </w:r>
      <w:r>
        <w:rPr>
          <w:rFonts w:hint="eastAsia" w:ascii="宋体" w:hAnsi="宋体" w:cs="宋体"/>
          <w:snapToGrid w:val="0"/>
          <w:szCs w:val="21"/>
          <w:u w:val="single"/>
        </w:rPr>
        <w:t xml:space="preserve">        （盖单位章）</w:t>
      </w:r>
      <w:r>
        <w:rPr>
          <w:rFonts w:hint="eastAsia" w:ascii="宋体" w:hAnsi="宋体" w:cs="宋体"/>
          <w:snapToGrid w:val="0"/>
          <w:szCs w:val="21"/>
        </w:rPr>
        <w:t xml:space="preserve">             </w:t>
      </w:r>
      <w:r>
        <w:rPr>
          <w:rFonts w:hint="eastAsia" w:ascii="宋体" w:hAnsi="宋体" w:cs="宋体"/>
          <w:snapToGrid w:val="0"/>
          <w:spacing w:val="131"/>
          <w:szCs w:val="21"/>
        </w:rPr>
        <w:t>乙方</w:t>
      </w:r>
      <w:r>
        <w:rPr>
          <w:rFonts w:hint="eastAsia" w:ascii="宋体" w:hAnsi="宋体" w:cs="宋体"/>
          <w:snapToGrid w:val="0"/>
          <w:szCs w:val="21"/>
        </w:rPr>
        <w:t>：</w:t>
      </w:r>
      <w:r>
        <w:rPr>
          <w:rFonts w:hint="eastAsia" w:ascii="宋体" w:hAnsi="宋体" w:cs="宋体"/>
          <w:snapToGrid w:val="0"/>
          <w:szCs w:val="21"/>
          <w:u w:val="single"/>
        </w:rPr>
        <w:t xml:space="preserve">          （盖单位章）    </w:t>
      </w:r>
    </w:p>
    <w:p w14:paraId="7C804BE5">
      <w:pPr>
        <w:spacing w:line="360" w:lineRule="auto"/>
        <w:rPr>
          <w:rFonts w:hint="eastAsia" w:ascii="宋体" w:hAnsi="宋体" w:cs="宋体"/>
          <w:snapToGrid w:val="0"/>
          <w:spacing w:val="34"/>
          <w:w w:val="84"/>
          <w:szCs w:val="21"/>
        </w:rPr>
      </w:pPr>
      <w:r>
        <w:rPr>
          <w:rFonts w:hint="eastAsia" w:ascii="宋体" w:hAnsi="宋体" w:cs="宋体"/>
          <w:snapToGrid w:val="0"/>
          <w:szCs w:val="21"/>
        </w:rPr>
        <w:t xml:space="preserve">   </w:t>
      </w:r>
      <w:r>
        <w:rPr>
          <w:rFonts w:hint="eastAsia" w:ascii="宋体" w:hAnsi="宋体" w:cs="宋体"/>
          <w:snapToGrid w:val="0"/>
          <w:spacing w:val="34"/>
          <w:w w:val="84"/>
          <w:szCs w:val="21"/>
        </w:rPr>
        <w:t>法定代表</w:t>
      </w:r>
      <w:r>
        <w:rPr>
          <w:rFonts w:hint="eastAsia" w:ascii="宋体" w:hAnsi="宋体" w:cs="宋体"/>
          <w:snapToGrid w:val="0"/>
          <w:spacing w:val="3"/>
          <w:w w:val="84"/>
          <w:szCs w:val="21"/>
        </w:rPr>
        <w:t>人</w:t>
      </w:r>
      <w:r>
        <w:rPr>
          <w:rFonts w:hint="eastAsia" w:ascii="宋体" w:hAnsi="宋体" w:cs="宋体"/>
          <w:snapToGrid w:val="0"/>
          <w:szCs w:val="21"/>
        </w:rPr>
        <w:t xml:space="preserve">                                      </w:t>
      </w:r>
      <w:r>
        <w:rPr>
          <w:rFonts w:hint="eastAsia" w:ascii="宋体" w:hAnsi="宋体" w:cs="宋体"/>
          <w:snapToGrid w:val="0"/>
          <w:spacing w:val="34"/>
          <w:w w:val="84"/>
          <w:szCs w:val="21"/>
        </w:rPr>
        <w:t>法定代表人</w:t>
      </w:r>
    </w:p>
    <w:p w14:paraId="6050D876">
      <w:pPr>
        <w:pStyle w:val="18"/>
        <w:adjustRightInd w:val="0"/>
        <w:spacing w:line="360" w:lineRule="auto"/>
        <w:rPr>
          <w:rFonts w:hint="eastAsia" w:hAnsi="宋体" w:cs="宋体"/>
          <w:snapToGrid w:val="0"/>
          <w:spacing w:val="-20"/>
          <w:kern w:val="0"/>
        </w:rPr>
      </w:pPr>
      <w:r>
        <w:rPr>
          <w:rFonts w:hint="eastAsia" w:hAnsi="宋体" w:cs="宋体"/>
          <w:snapToGrid w:val="0"/>
          <w:kern w:val="0"/>
        </w:rPr>
        <w:t xml:space="preserve">  </w:t>
      </w:r>
      <w:r>
        <w:rPr>
          <w:rFonts w:hint="eastAsia" w:hAnsi="宋体" w:cs="宋体"/>
          <w:snapToGrid w:val="0"/>
          <w:spacing w:val="13"/>
          <w:w w:val="68"/>
          <w:kern w:val="0"/>
        </w:rPr>
        <w:t>或其委托代理</w:t>
      </w:r>
      <w:r>
        <w:rPr>
          <w:rFonts w:hint="eastAsia" w:hAnsi="宋体" w:cs="宋体"/>
          <w:snapToGrid w:val="0"/>
          <w:w w:val="68"/>
          <w:kern w:val="0"/>
        </w:rPr>
        <w:t>人</w:t>
      </w:r>
      <w:r>
        <w:rPr>
          <w:rFonts w:hint="eastAsia" w:hAnsi="宋体" w:cs="宋体"/>
          <w:snapToGrid w:val="0"/>
          <w:kern w:val="0"/>
        </w:rPr>
        <w:t>：</w:t>
      </w:r>
      <w:r>
        <w:rPr>
          <w:rFonts w:hint="eastAsia" w:hAnsi="宋体" w:cs="宋体"/>
          <w:snapToGrid w:val="0"/>
          <w:u w:val="single"/>
        </w:rPr>
        <w:t xml:space="preserve">      </w:t>
      </w:r>
      <w:r>
        <w:rPr>
          <w:rFonts w:hint="eastAsia" w:hAnsi="宋体" w:cs="宋体"/>
          <w:snapToGrid w:val="0"/>
          <w:spacing w:val="-20"/>
          <w:kern w:val="0"/>
        </w:rPr>
        <w:t>（签字或盖章）</w:t>
      </w:r>
      <w:r>
        <w:rPr>
          <w:rFonts w:hint="eastAsia" w:hAnsi="宋体" w:cs="宋体"/>
          <w:snapToGrid w:val="0"/>
          <w:kern w:val="0"/>
        </w:rPr>
        <w:t xml:space="preserve">           </w:t>
      </w:r>
      <w:r>
        <w:rPr>
          <w:rFonts w:hint="eastAsia" w:hAnsi="宋体" w:cs="宋体"/>
          <w:snapToGrid w:val="0"/>
          <w:spacing w:val="13"/>
          <w:w w:val="68"/>
          <w:kern w:val="0"/>
        </w:rPr>
        <w:t>或其委托代理</w:t>
      </w:r>
      <w:r>
        <w:rPr>
          <w:rFonts w:hint="eastAsia" w:hAnsi="宋体" w:cs="宋体"/>
          <w:snapToGrid w:val="0"/>
          <w:w w:val="68"/>
          <w:kern w:val="0"/>
        </w:rPr>
        <w:t>人</w:t>
      </w:r>
      <w:r>
        <w:rPr>
          <w:rFonts w:hint="eastAsia" w:hAnsi="宋体" w:cs="宋体"/>
          <w:snapToGrid w:val="0"/>
        </w:rPr>
        <w:t>：</w:t>
      </w:r>
      <w:r>
        <w:rPr>
          <w:rFonts w:hint="eastAsia" w:hAnsi="宋体" w:cs="宋体"/>
          <w:snapToGrid w:val="0"/>
          <w:u w:val="single"/>
        </w:rPr>
        <w:t xml:space="preserve">             </w:t>
      </w:r>
      <w:r>
        <w:rPr>
          <w:rFonts w:hint="eastAsia" w:hAnsi="宋体" w:cs="宋体"/>
          <w:snapToGrid w:val="0"/>
          <w:spacing w:val="-20"/>
          <w:kern w:val="0"/>
        </w:rPr>
        <w:t>（签字或盖章）</w:t>
      </w:r>
    </w:p>
    <w:p w14:paraId="493DB4E4">
      <w:pPr>
        <w:spacing w:line="360" w:lineRule="auto"/>
        <w:rPr>
          <w:rFonts w:hint="eastAsia" w:ascii="宋体" w:hAnsi="宋体" w:cs="宋体"/>
          <w:snapToGrid w:val="0"/>
          <w:szCs w:val="21"/>
        </w:rPr>
      </w:pPr>
    </w:p>
    <w:p w14:paraId="1472EFB5">
      <w:pPr>
        <w:spacing w:line="360" w:lineRule="auto"/>
        <w:ind w:firstLine="420" w:firstLineChars="200"/>
        <w:jc w:val="center"/>
        <w:rPr>
          <w:rFonts w:hint="eastAsia" w:ascii="宋体" w:hAnsi="宋体" w:cs="宋体"/>
          <w:b/>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日                                 </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r>
        <w:rPr>
          <w:rFonts w:hint="eastAsia" w:ascii="宋体" w:hAnsi="宋体" w:cs="宋体"/>
          <w:b/>
          <w:szCs w:val="21"/>
        </w:rPr>
        <w:br w:type="page"/>
      </w:r>
      <w:r>
        <w:rPr>
          <w:rFonts w:hint="eastAsia" w:ascii="宋体" w:hAnsi="宋体" w:cs="宋体"/>
          <w:b/>
          <w:szCs w:val="21"/>
        </w:rPr>
        <w:t>廉政合同</w:t>
      </w:r>
    </w:p>
    <w:p w14:paraId="6837925C">
      <w:pPr>
        <w:snapToGrid w:val="0"/>
        <w:spacing w:line="360" w:lineRule="auto"/>
        <w:ind w:firstLine="420" w:firstLineChars="200"/>
        <w:rPr>
          <w:rFonts w:hint="eastAsia" w:ascii="宋体" w:hAnsi="宋体" w:cs="宋体"/>
          <w:szCs w:val="21"/>
        </w:rPr>
      </w:pPr>
    </w:p>
    <w:p w14:paraId="18DD6184">
      <w:pPr>
        <w:snapToGrid w:val="0"/>
        <w:spacing w:line="360" w:lineRule="auto"/>
        <w:ind w:firstLine="420" w:firstLineChars="200"/>
        <w:rPr>
          <w:rFonts w:hint="eastAsia" w:ascii="宋体" w:hAnsi="宋体" w:cs="宋体"/>
          <w:color w:val="000000"/>
          <w:szCs w:val="21"/>
        </w:rPr>
      </w:pPr>
      <w:r>
        <w:rPr>
          <w:rFonts w:hint="eastAsia" w:ascii="宋体" w:hAnsi="宋体" w:cs="宋体"/>
          <w:szCs w:val="21"/>
        </w:rPr>
        <w:t>为严格执行《建筑法》、《招标投标法》、《反不正当竞争法》以及有关工程建设、廉政建设的规定，做好工程建设中的党风廉政建设，保证工程建设高效优质，保证建设资金的安全和有效使用以及投资效益，</w:t>
      </w:r>
      <w:r>
        <w:rPr>
          <w:rFonts w:hint="eastAsia" w:ascii="宋体" w:hAnsi="宋体" w:cs="宋体"/>
          <w:b/>
          <w:bCs/>
          <w:szCs w:val="21"/>
          <w:u w:val="single"/>
          <w:lang w:val="en-US" w:eastAsia="zh-CN"/>
        </w:rPr>
        <w:t xml:space="preserve">              </w:t>
      </w:r>
      <w:r>
        <w:rPr>
          <w:rFonts w:hint="eastAsia" w:ascii="宋体" w:hAnsi="宋体" w:cs="宋体"/>
          <w:b/>
          <w:bCs/>
          <w:szCs w:val="21"/>
          <w:u w:val="single"/>
        </w:rPr>
        <w:t xml:space="preserve">   </w:t>
      </w:r>
      <w:r>
        <w:rPr>
          <w:rFonts w:hint="eastAsia" w:ascii="宋体" w:hAnsi="宋体" w:cs="宋体"/>
          <w:b/>
          <w:color w:val="000000"/>
          <w:szCs w:val="21"/>
          <w:u w:val="single"/>
        </w:rPr>
        <w:t xml:space="preserve"> </w:t>
      </w:r>
      <w:r>
        <w:rPr>
          <w:rFonts w:hint="eastAsia" w:ascii="宋体" w:hAnsi="宋体" w:cs="宋体"/>
          <w:szCs w:val="21"/>
        </w:rPr>
        <w:t>项目的招标单位</w:t>
      </w:r>
      <w:r>
        <w:rPr>
          <w:rFonts w:hint="eastAsia" w:ascii="宋体" w:hAnsi="宋体" w:cs="宋体"/>
          <w:b/>
          <w:color w:val="000000"/>
          <w:szCs w:val="21"/>
          <w:u w:val="single"/>
          <w:lang w:val="en-US" w:eastAsia="zh-CN"/>
        </w:rPr>
        <w:t xml:space="preserve">               </w:t>
      </w:r>
      <w:r>
        <w:rPr>
          <w:rFonts w:hint="eastAsia" w:ascii="宋体" w:hAnsi="宋体" w:cs="宋体"/>
          <w:b/>
          <w:color w:val="000000"/>
          <w:szCs w:val="21"/>
          <w:u w:val="single"/>
        </w:rPr>
        <w:t xml:space="preserve">  </w:t>
      </w:r>
      <w:r>
        <w:rPr>
          <w:rFonts w:hint="eastAsia" w:ascii="宋体" w:hAnsi="宋体" w:cs="宋体"/>
          <w:szCs w:val="21"/>
        </w:rPr>
        <w:t>（以下简称甲方）与施工单位</w:t>
      </w:r>
      <w:r>
        <w:rPr>
          <w:rFonts w:hint="eastAsia" w:ascii="宋体" w:hAnsi="宋体" w:eastAsia="宋体" w:cs="宋体"/>
          <w:b/>
          <w:color w:val="000000"/>
          <w:szCs w:val="21"/>
          <w:u w:val="single"/>
          <w:lang w:val="en-US" w:eastAsia="zh-CN"/>
        </w:rPr>
        <w:t xml:space="preserve">              </w:t>
      </w:r>
      <w:r>
        <w:rPr>
          <w:rFonts w:hint="eastAsia" w:ascii="宋体" w:hAnsi="宋体" w:cs="宋体"/>
          <w:szCs w:val="21"/>
        </w:rPr>
        <w:t>（以下简称乙方），特订立如下合同。</w:t>
      </w:r>
    </w:p>
    <w:p w14:paraId="3D1C4BA5">
      <w:pPr>
        <w:snapToGrid w:val="0"/>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第一条  甲乙双方的权利和义务</w:t>
      </w:r>
    </w:p>
    <w:p w14:paraId="4E688BEF">
      <w:pPr>
        <w:snapToGrid w:val="0"/>
        <w:spacing w:line="360" w:lineRule="auto"/>
        <w:ind w:firstLine="420" w:firstLineChars="200"/>
        <w:rPr>
          <w:rFonts w:hint="eastAsia" w:ascii="宋体" w:hAnsi="宋体" w:cs="宋体"/>
          <w:szCs w:val="21"/>
        </w:rPr>
      </w:pPr>
      <w:r>
        <w:rPr>
          <w:rFonts w:hint="eastAsia" w:ascii="宋体" w:hAnsi="宋体" w:cs="宋体"/>
          <w:szCs w:val="21"/>
        </w:rPr>
        <w:t>（一）严格遵守党和国家有关法律法规及建筑部的有关廉政规定。</w:t>
      </w:r>
    </w:p>
    <w:p w14:paraId="4EBCC0D2">
      <w:pPr>
        <w:snapToGrid w:val="0"/>
        <w:spacing w:line="360" w:lineRule="auto"/>
        <w:ind w:firstLine="420" w:firstLineChars="200"/>
        <w:rPr>
          <w:rFonts w:hint="eastAsia" w:ascii="宋体" w:hAnsi="宋体" w:cs="宋体"/>
          <w:szCs w:val="21"/>
        </w:rPr>
      </w:pPr>
      <w:r>
        <w:rPr>
          <w:rFonts w:hint="eastAsia" w:ascii="宋体" w:hAnsi="宋体" w:cs="宋体"/>
          <w:szCs w:val="21"/>
        </w:rPr>
        <w:t>（二）双方的业务活动坚持公开、公平、公正、诚信、透明的原则（除法律认定的商业秘密和合同文件另有规定之外），不得损害国家和集体利益，违反工程建设管理规章制度。</w:t>
      </w:r>
    </w:p>
    <w:p w14:paraId="4A5A365E">
      <w:pPr>
        <w:snapToGrid w:val="0"/>
        <w:spacing w:line="360" w:lineRule="auto"/>
        <w:ind w:firstLine="420" w:firstLineChars="200"/>
        <w:rPr>
          <w:rFonts w:hint="eastAsia" w:ascii="宋体" w:hAnsi="宋体" w:cs="宋体"/>
          <w:szCs w:val="21"/>
        </w:rPr>
      </w:pPr>
      <w:r>
        <w:rPr>
          <w:rFonts w:hint="eastAsia" w:ascii="宋体" w:hAnsi="宋体" w:cs="宋体"/>
          <w:szCs w:val="21"/>
        </w:rPr>
        <w:t>（三）建立健全廉政制度，开展廉政教育，设立廉政告示牌，公布举报电话，监督并认真查处违法违纪行为。</w:t>
      </w:r>
    </w:p>
    <w:p w14:paraId="797E6EF4">
      <w:pPr>
        <w:pStyle w:val="16"/>
        <w:snapToGrid w:val="0"/>
        <w:spacing w:line="360" w:lineRule="auto"/>
        <w:ind w:firstLine="420"/>
        <w:rPr>
          <w:rFonts w:hint="eastAsia" w:cs="宋体"/>
          <w:sz w:val="21"/>
          <w:szCs w:val="21"/>
        </w:rPr>
      </w:pPr>
      <w:r>
        <w:rPr>
          <w:rFonts w:hint="eastAsia" w:cs="宋体"/>
          <w:sz w:val="21"/>
          <w:szCs w:val="21"/>
        </w:rPr>
        <w:t>（四）发现对方在业务活动中有违反廉政规定的行为，有及时提醒对方纠正的权利和义务。</w:t>
      </w:r>
    </w:p>
    <w:p w14:paraId="46AAA8EA">
      <w:pPr>
        <w:pStyle w:val="16"/>
        <w:snapToGrid w:val="0"/>
        <w:spacing w:line="360" w:lineRule="auto"/>
        <w:ind w:firstLine="420"/>
        <w:rPr>
          <w:rFonts w:hint="eastAsia" w:cs="宋体"/>
          <w:sz w:val="21"/>
          <w:szCs w:val="21"/>
        </w:rPr>
      </w:pPr>
      <w:r>
        <w:rPr>
          <w:rFonts w:hint="eastAsia" w:cs="宋体"/>
          <w:sz w:val="21"/>
          <w:szCs w:val="21"/>
        </w:rPr>
        <w:t>（五）发现对方严重违反本合同义务条款的行为，有向其上级有关部门举报、建议给予处理并要求告知处理结果的权利。</w:t>
      </w:r>
    </w:p>
    <w:p w14:paraId="0A32710C">
      <w:pPr>
        <w:snapToGrid w:val="0"/>
        <w:spacing w:line="360" w:lineRule="auto"/>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第二条  甲方的义务</w:t>
      </w:r>
    </w:p>
    <w:p w14:paraId="0F0325B0">
      <w:pPr>
        <w:snapToGrid w:val="0"/>
        <w:spacing w:line="360" w:lineRule="auto"/>
        <w:rPr>
          <w:rFonts w:hint="eastAsia" w:ascii="宋体" w:hAnsi="宋体" w:cs="宋体"/>
          <w:szCs w:val="21"/>
        </w:rPr>
      </w:pPr>
      <w:r>
        <w:rPr>
          <w:rFonts w:hint="eastAsia" w:ascii="宋体" w:hAnsi="宋体" w:cs="宋体"/>
          <w:szCs w:val="21"/>
        </w:rPr>
        <w:t xml:space="preserve">    （一）甲方及其工作人员不得索要或接受乙方的礼金、礼券、有价证券和物品，不得在乙方报销任何应由甲方或个人支付的费用等。</w:t>
      </w:r>
    </w:p>
    <w:p w14:paraId="6380D886">
      <w:pPr>
        <w:snapToGrid w:val="0"/>
        <w:spacing w:line="360" w:lineRule="auto"/>
        <w:ind w:firstLine="420" w:firstLineChars="200"/>
        <w:rPr>
          <w:rFonts w:hint="eastAsia" w:ascii="宋体" w:hAnsi="宋体" w:cs="宋体"/>
          <w:szCs w:val="21"/>
        </w:rPr>
      </w:pPr>
      <w:r>
        <w:rPr>
          <w:rFonts w:hint="eastAsia" w:ascii="宋体" w:hAnsi="宋体" w:cs="宋体"/>
          <w:szCs w:val="21"/>
        </w:rPr>
        <w:t>（二）甲方工作人员不得参加乙方安排的宴请和娱乐活动；不得接受乙方提供的通讯工具、交通工具和高档办公用品等。</w:t>
      </w:r>
    </w:p>
    <w:p w14:paraId="0C894E99">
      <w:pPr>
        <w:snapToGrid w:val="0"/>
        <w:spacing w:line="360" w:lineRule="auto"/>
        <w:ind w:firstLine="420" w:firstLineChars="200"/>
        <w:rPr>
          <w:rFonts w:hint="eastAsia" w:ascii="宋体" w:hAnsi="宋体" w:cs="宋体"/>
          <w:szCs w:val="21"/>
        </w:rPr>
      </w:pPr>
      <w:r>
        <w:rPr>
          <w:rFonts w:hint="eastAsia" w:ascii="宋体" w:hAnsi="宋体" w:cs="宋体"/>
          <w:szCs w:val="21"/>
        </w:rPr>
        <w:t>（三）甲方及其工作人员不得要求或者接受乙方为其住房装修、操办婚丧嫁娶、安排配偶子女的工作以及出国出境、旅游等。</w:t>
      </w:r>
    </w:p>
    <w:p w14:paraId="16AE80CB">
      <w:pPr>
        <w:snapToGrid w:val="0"/>
        <w:spacing w:line="360" w:lineRule="auto"/>
        <w:ind w:firstLine="420" w:firstLineChars="200"/>
        <w:rPr>
          <w:rFonts w:hint="eastAsia" w:ascii="宋体" w:hAnsi="宋体" w:cs="宋体"/>
          <w:szCs w:val="21"/>
        </w:rPr>
      </w:pPr>
      <w:r>
        <w:rPr>
          <w:rFonts w:hint="eastAsia" w:ascii="宋体" w:hAnsi="宋体" w:cs="宋体"/>
          <w:szCs w:val="21"/>
        </w:rPr>
        <w:t>（四）甲方工作人员的配偶、子女及下属单位不得从事与甲方工程有关的材料设备供应、工程分包、劳务等经济活动。</w:t>
      </w:r>
    </w:p>
    <w:p w14:paraId="09DC27CA">
      <w:pPr>
        <w:pStyle w:val="20"/>
        <w:snapToGrid w:val="0"/>
        <w:spacing w:line="360" w:lineRule="auto"/>
        <w:rPr>
          <w:rFonts w:hint="eastAsia" w:ascii="宋体" w:hAnsi="宋体" w:cs="宋体"/>
          <w:szCs w:val="21"/>
        </w:rPr>
      </w:pPr>
      <w:r>
        <w:rPr>
          <w:rFonts w:hint="eastAsia" w:ascii="宋体" w:hAnsi="宋体" w:cs="宋体"/>
          <w:szCs w:val="21"/>
        </w:rPr>
        <w:t>（五）甲方及其工作人员不得经任何理由向乙方推荐分包单位，不得要求乙方购买合同规定外的材料和设备。</w:t>
      </w:r>
    </w:p>
    <w:p w14:paraId="6F20E862">
      <w:pPr>
        <w:snapToGrid w:val="0"/>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第三条  乙方义务</w:t>
      </w:r>
    </w:p>
    <w:p w14:paraId="10C99179">
      <w:pPr>
        <w:snapToGrid w:val="0"/>
        <w:spacing w:line="360" w:lineRule="auto"/>
        <w:rPr>
          <w:rFonts w:hint="eastAsia" w:ascii="宋体" w:hAnsi="宋体" w:cs="宋体"/>
          <w:szCs w:val="21"/>
        </w:rPr>
      </w:pPr>
      <w:r>
        <w:rPr>
          <w:rFonts w:hint="eastAsia" w:ascii="宋体" w:hAnsi="宋体" w:cs="宋体"/>
          <w:szCs w:val="21"/>
        </w:rPr>
        <w:t xml:space="preserve">    （一）乙方不得以任何理由向甲方及其工作人员行贿或馈赠礼金、有价证券、贵重礼品。</w:t>
      </w:r>
    </w:p>
    <w:p w14:paraId="4C3A4563">
      <w:pPr>
        <w:snapToGrid w:val="0"/>
        <w:spacing w:line="360" w:lineRule="auto"/>
        <w:ind w:firstLine="420" w:firstLineChars="200"/>
        <w:rPr>
          <w:rFonts w:hint="eastAsia" w:ascii="宋体" w:hAnsi="宋体" w:cs="宋体"/>
          <w:szCs w:val="21"/>
        </w:rPr>
      </w:pPr>
      <w:r>
        <w:rPr>
          <w:rFonts w:hint="eastAsia" w:ascii="宋体" w:hAnsi="宋体" w:cs="宋体"/>
          <w:szCs w:val="21"/>
        </w:rPr>
        <w:t>（二）乙方不得以任何名义为甲方及其工作人员报销应由甲方单位或个人支付的任何费用。</w:t>
      </w:r>
    </w:p>
    <w:p w14:paraId="67D8C75E">
      <w:pPr>
        <w:snapToGrid w:val="0"/>
        <w:spacing w:line="360" w:lineRule="auto"/>
        <w:ind w:firstLine="420" w:firstLineChars="200"/>
        <w:rPr>
          <w:rFonts w:hint="eastAsia" w:ascii="宋体" w:hAnsi="宋体" w:cs="宋体"/>
          <w:szCs w:val="21"/>
        </w:rPr>
      </w:pPr>
      <w:r>
        <w:rPr>
          <w:rFonts w:hint="eastAsia" w:ascii="宋体" w:hAnsi="宋体" w:cs="宋体"/>
          <w:szCs w:val="21"/>
        </w:rPr>
        <w:t>（三）乙方不得以任何理由安排甲方工作人员参加宴请及娱乐活动。</w:t>
      </w:r>
    </w:p>
    <w:p w14:paraId="704560C4">
      <w:pPr>
        <w:snapToGrid w:val="0"/>
        <w:spacing w:line="360" w:lineRule="auto"/>
        <w:ind w:firstLine="420" w:firstLineChars="200"/>
        <w:rPr>
          <w:rFonts w:hint="eastAsia" w:ascii="宋体" w:hAnsi="宋体" w:cs="宋体"/>
          <w:szCs w:val="21"/>
        </w:rPr>
      </w:pPr>
      <w:r>
        <w:rPr>
          <w:rFonts w:hint="eastAsia" w:ascii="宋体" w:hAnsi="宋体" w:cs="宋体"/>
          <w:szCs w:val="21"/>
        </w:rPr>
        <w:t>（四）乙方不得为甲方单位和个人购置或提供通讯工具、交通工具和高档办公用品等。</w:t>
      </w:r>
    </w:p>
    <w:p w14:paraId="0A1866B5">
      <w:pPr>
        <w:snapToGrid w:val="0"/>
        <w:spacing w:line="360" w:lineRule="auto"/>
        <w:ind w:firstLine="517" w:firstLineChars="245"/>
        <w:rPr>
          <w:rFonts w:hint="eastAsia" w:ascii="宋体" w:hAnsi="宋体" w:cs="宋体"/>
          <w:b/>
          <w:szCs w:val="21"/>
        </w:rPr>
      </w:pPr>
      <w:r>
        <w:rPr>
          <w:rFonts w:hint="eastAsia" w:ascii="宋体" w:hAnsi="宋体" w:cs="宋体"/>
          <w:b/>
          <w:szCs w:val="21"/>
        </w:rPr>
        <w:t>第四条  违约责任</w:t>
      </w:r>
    </w:p>
    <w:p w14:paraId="3CE1BBC5">
      <w:pPr>
        <w:snapToGrid w:val="0"/>
        <w:spacing w:line="360" w:lineRule="auto"/>
        <w:ind w:firstLine="420" w:firstLineChars="200"/>
        <w:rPr>
          <w:rFonts w:hint="eastAsia" w:ascii="宋体" w:hAnsi="宋体" w:cs="宋体"/>
          <w:szCs w:val="21"/>
        </w:rPr>
      </w:pPr>
      <w:r>
        <w:rPr>
          <w:rFonts w:hint="eastAsia" w:ascii="宋体" w:hAnsi="宋体" w:cs="宋体"/>
          <w:szCs w:val="21"/>
        </w:rPr>
        <w:t>（一）甲方及其工作人员违反本合同第一、二条，按管理权限，依据有关规定给予党纪、政纪或组织处理；涉嫌犯罪的，移送司法机关追究刑事责任；给乙方单位造成经济损失的，应予以赔偿。</w:t>
      </w:r>
    </w:p>
    <w:p w14:paraId="2133382B">
      <w:pPr>
        <w:snapToGrid w:val="0"/>
        <w:spacing w:line="360" w:lineRule="auto"/>
        <w:ind w:firstLine="420" w:firstLineChars="200"/>
        <w:rPr>
          <w:rFonts w:hint="eastAsia" w:ascii="宋体" w:hAnsi="宋体" w:cs="宋体"/>
          <w:szCs w:val="21"/>
        </w:rPr>
      </w:pPr>
      <w:r>
        <w:rPr>
          <w:rFonts w:hint="eastAsia" w:ascii="宋体" w:hAnsi="宋体" w:cs="宋体"/>
          <w:szCs w:val="21"/>
        </w:rPr>
        <w:t>（二）乙方及其工作人员违反本合同第一、三条，按管理权限，依据有关规定，给予党纪、政纪或组织处理；给甲方单位造成经济损失的，应予以赔偿；情节严重的，甲方建议有关工程建设主管制部门对乙方予以处罚。</w:t>
      </w:r>
    </w:p>
    <w:p w14:paraId="632899AA">
      <w:pPr>
        <w:snapToGrid w:val="0"/>
        <w:spacing w:line="360" w:lineRule="auto"/>
        <w:ind w:firstLine="517" w:firstLineChars="245"/>
        <w:rPr>
          <w:rFonts w:hint="eastAsia" w:ascii="宋体" w:hAnsi="宋体" w:cs="宋体"/>
          <w:b/>
          <w:szCs w:val="21"/>
        </w:rPr>
      </w:pPr>
      <w:r>
        <w:rPr>
          <w:rFonts w:hint="eastAsia" w:ascii="宋体" w:hAnsi="宋体" w:cs="宋体"/>
          <w:b/>
          <w:szCs w:val="21"/>
        </w:rPr>
        <w:t>第五条  双方约定</w:t>
      </w:r>
    </w:p>
    <w:p w14:paraId="051B0425">
      <w:pPr>
        <w:snapToGrid w:val="0"/>
        <w:spacing w:line="360" w:lineRule="auto"/>
        <w:ind w:firstLine="570"/>
        <w:rPr>
          <w:rFonts w:hint="eastAsia" w:ascii="宋体" w:hAnsi="宋体" w:cs="宋体"/>
          <w:szCs w:val="21"/>
        </w:rPr>
      </w:pPr>
      <w:r>
        <w:rPr>
          <w:rFonts w:hint="eastAsia" w:ascii="宋体" w:hAnsi="宋体" w:cs="宋体"/>
          <w:szCs w:val="21"/>
        </w:rPr>
        <w:t>本合同由双方上级单位的纪检监察机关负责监督执行。由甲方或甲方上级单位的纪检监察机关约请乙方或乙方上级部门的纪检监察机关对本合同执行情况进行检查，提出在本合同规定范围内的裁定意见。</w:t>
      </w:r>
    </w:p>
    <w:p w14:paraId="0DAE14C3">
      <w:pPr>
        <w:snapToGrid w:val="0"/>
        <w:spacing w:line="360" w:lineRule="auto"/>
        <w:ind w:firstLine="517" w:firstLineChars="245"/>
        <w:rPr>
          <w:rFonts w:hint="eastAsia" w:ascii="宋体" w:hAnsi="宋体" w:cs="宋体"/>
          <w:b/>
          <w:szCs w:val="21"/>
        </w:rPr>
      </w:pPr>
      <w:r>
        <w:rPr>
          <w:rFonts w:hint="eastAsia" w:ascii="宋体" w:hAnsi="宋体" w:cs="宋体"/>
          <w:b/>
          <w:szCs w:val="21"/>
        </w:rPr>
        <w:t>第六条  本合同有效期为甲乙双方签暑之日起至该工程项目竣工时止。</w:t>
      </w:r>
    </w:p>
    <w:p w14:paraId="3852B15A">
      <w:pPr>
        <w:snapToGrid w:val="0"/>
        <w:spacing w:line="360" w:lineRule="auto"/>
        <w:ind w:firstLine="517" w:firstLineChars="245"/>
        <w:rPr>
          <w:rFonts w:hint="eastAsia" w:ascii="宋体" w:hAnsi="宋体" w:cs="宋体"/>
          <w:b/>
          <w:szCs w:val="21"/>
        </w:rPr>
      </w:pPr>
      <w:r>
        <w:rPr>
          <w:rFonts w:hint="eastAsia" w:ascii="宋体" w:hAnsi="宋体" w:cs="宋体"/>
          <w:b/>
          <w:szCs w:val="21"/>
        </w:rPr>
        <w:t xml:space="preserve">第七条 </w:t>
      </w:r>
      <w:r>
        <w:rPr>
          <w:rFonts w:hint="eastAsia" w:ascii="宋体" w:hAnsi="宋体" w:cs="宋体"/>
          <w:b/>
          <w:szCs w:val="21"/>
          <w:lang w:val="en-US" w:eastAsia="zh-CN"/>
        </w:rPr>
        <w:t xml:space="preserve"> </w:t>
      </w:r>
      <w:r>
        <w:rPr>
          <w:rFonts w:hint="eastAsia" w:ascii="宋体" w:hAnsi="宋体" w:cs="宋体"/>
          <w:b/>
          <w:szCs w:val="21"/>
        </w:rPr>
        <w:t>经合同双方签暑立即生效。</w:t>
      </w:r>
    </w:p>
    <w:p w14:paraId="35A82D69">
      <w:pPr>
        <w:snapToGrid w:val="0"/>
        <w:spacing w:line="360" w:lineRule="auto"/>
        <w:rPr>
          <w:rFonts w:hint="eastAsia" w:ascii="宋体" w:hAnsi="宋体" w:cs="宋体"/>
          <w:szCs w:val="21"/>
        </w:rPr>
      </w:pPr>
    </w:p>
    <w:p w14:paraId="1A86FB1E">
      <w:pPr>
        <w:snapToGrid w:val="0"/>
        <w:spacing w:line="360" w:lineRule="auto"/>
        <w:rPr>
          <w:rFonts w:hint="eastAsia" w:ascii="宋体" w:hAnsi="宋体" w:cs="宋体"/>
          <w:szCs w:val="21"/>
        </w:rPr>
      </w:pPr>
    </w:p>
    <w:p w14:paraId="1F25E114">
      <w:pPr>
        <w:snapToGrid w:val="0"/>
        <w:spacing w:line="360" w:lineRule="auto"/>
        <w:ind w:firstLine="420" w:firstLineChars="200"/>
        <w:rPr>
          <w:rFonts w:hint="eastAsia" w:ascii="宋体" w:hAnsi="宋体" w:cs="宋体"/>
          <w:szCs w:val="21"/>
        </w:rPr>
      </w:pPr>
    </w:p>
    <w:p w14:paraId="57FBD486">
      <w:pPr>
        <w:snapToGrid w:val="0"/>
        <w:spacing w:line="360" w:lineRule="auto"/>
        <w:ind w:firstLine="420" w:firstLineChars="200"/>
        <w:rPr>
          <w:rFonts w:hint="eastAsia" w:ascii="宋体" w:hAnsi="宋体" w:cs="宋体"/>
          <w:szCs w:val="21"/>
        </w:rPr>
      </w:pPr>
      <w:r>
        <w:rPr>
          <w:rFonts w:hint="eastAsia" w:ascii="宋体" w:hAnsi="宋体" w:cs="宋体"/>
          <w:szCs w:val="21"/>
        </w:rPr>
        <w:t>甲方单位：（盖章）                              乙方单位：（盖章）</w:t>
      </w:r>
    </w:p>
    <w:p w14:paraId="74819E9C">
      <w:pPr>
        <w:spacing w:line="360" w:lineRule="auto"/>
        <w:rPr>
          <w:rFonts w:hint="eastAsia" w:ascii="宋体" w:hAnsi="宋体" w:cs="宋体"/>
          <w:snapToGrid w:val="0"/>
          <w:szCs w:val="21"/>
        </w:rPr>
      </w:pPr>
    </w:p>
    <w:p w14:paraId="1C99A4A3">
      <w:pPr>
        <w:spacing w:line="360" w:lineRule="auto"/>
        <w:rPr>
          <w:rFonts w:hint="eastAsia" w:ascii="宋体" w:hAnsi="宋体" w:cs="宋体"/>
          <w:snapToGrid w:val="0"/>
          <w:spacing w:val="34"/>
          <w:w w:val="84"/>
          <w:szCs w:val="21"/>
        </w:rPr>
      </w:pPr>
      <w:r>
        <w:rPr>
          <w:rFonts w:hint="eastAsia" w:ascii="宋体" w:hAnsi="宋体" w:cs="宋体"/>
          <w:szCs w:val="21"/>
        </w:rPr>
        <w:t xml:space="preserve">   </w:t>
      </w:r>
      <w:r>
        <w:rPr>
          <w:rFonts w:hint="eastAsia" w:ascii="宋体" w:hAnsi="宋体" w:cs="宋体"/>
          <w:snapToGrid w:val="0"/>
          <w:szCs w:val="21"/>
        </w:rPr>
        <w:t xml:space="preserve"> </w:t>
      </w:r>
      <w:r>
        <w:rPr>
          <w:rFonts w:hint="eastAsia" w:ascii="宋体" w:hAnsi="宋体" w:cs="宋体"/>
          <w:snapToGrid w:val="0"/>
          <w:spacing w:val="34"/>
          <w:w w:val="84"/>
          <w:szCs w:val="21"/>
        </w:rPr>
        <w:t>法定代表</w:t>
      </w:r>
      <w:r>
        <w:rPr>
          <w:rFonts w:hint="eastAsia" w:ascii="宋体" w:hAnsi="宋体" w:cs="宋体"/>
          <w:snapToGrid w:val="0"/>
          <w:spacing w:val="3"/>
          <w:w w:val="84"/>
          <w:szCs w:val="21"/>
        </w:rPr>
        <w:t>人</w:t>
      </w:r>
      <w:r>
        <w:rPr>
          <w:rFonts w:hint="eastAsia" w:ascii="宋体" w:hAnsi="宋体" w:cs="宋体"/>
          <w:snapToGrid w:val="0"/>
          <w:szCs w:val="21"/>
        </w:rPr>
        <w:t xml:space="preserve">                                      </w:t>
      </w:r>
      <w:r>
        <w:rPr>
          <w:rFonts w:hint="eastAsia" w:ascii="宋体" w:hAnsi="宋体" w:cs="宋体"/>
          <w:snapToGrid w:val="0"/>
          <w:spacing w:val="34"/>
          <w:w w:val="84"/>
          <w:szCs w:val="21"/>
        </w:rPr>
        <w:t>法定代表人</w:t>
      </w:r>
    </w:p>
    <w:p w14:paraId="5A981FF6">
      <w:pPr>
        <w:pStyle w:val="18"/>
        <w:adjustRightInd w:val="0"/>
        <w:spacing w:line="360" w:lineRule="auto"/>
        <w:rPr>
          <w:rFonts w:hint="eastAsia" w:hAnsi="宋体" w:cs="宋体"/>
          <w:snapToGrid w:val="0"/>
          <w:spacing w:val="-20"/>
          <w:kern w:val="0"/>
        </w:rPr>
      </w:pPr>
      <w:r>
        <w:rPr>
          <w:rFonts w:hint="eastAsia" w:hAnsi="宋体" w:cs="宋体"/>
          <w:snapToGrid w:val="0"/>
          <w:kern w:val="0"/>
        </w:rPr>
        <w:t xml:space="preserve">    </w:t>
      </w:r>
      <w:r>
        <w:rPr>
          <w:rFonts w:hint="eastAsia" w:hAnsi="宋体" w:cs="宋体"/>
          <w:snapToGrid w:val="0"/>
          <w:spacing w:val="13"/>
          <w:w w:val="68"/>
          <w:kern w:val="0"/>
        </w:rPr>
        <w:t>或其委托代理</w:t>
      </w:r>
      <w:r>
        <w:rPr>
          <w:rFonts w:hint="eastAsia" w:hAnsi="宋体" w:cs="宋体"/>
          <w:snapToGrid w:val="0"/>
          <w:w w:val="68"/>
          <w:kern w:val="0"/>
        </w:rPr>
        <w:t>人</w:t>
      </w:r>
      <w:r>
        <w:rPr>
          <w:rFonts w:hint="eastAsia" w:hAnsi="宋体" w:cs="宋体"/>
          <w:snapToGrid w:val="0"/>
          <w:kern w:val="0"/>
        </w:rPr>
        <w:t>：</w:t>
      </w:r>
      <w:r>
        <w:rPr>
          <w:rFonts w:hint="eastAsia" w:hAnsi="宋体" w:cs="宋体"/>
          <w:snapToGrid w:val="0"/>
          <w:u w:val="single"/>
        </w:rPr>
        <w:t xml:space="preserve">        </w:t>
      </w:r>
      <w:r>
        <w:rPr>
          <w:rFonts w:hint="eastAsia" w:hAnsi="宋体" w:cs="宋体"/>
          <w:snapToGrid w:val="0"/>
        </w:rPr>
        <w:t xml:space="preserve">  （</w:t>
      </w:r>
      <w:r>
        <w:rPr>
          <w:rFonts w:hint="eastAsia" w:hAnsi="宋体" w:cs="宋体"/>
          <w:snapToGrid w:val="0"/>
          <w:spacing w:val="-20"/>
          <w:kern w:val="0"/>
        </w:rPr>
        <w:t>签字或盖章</w:t>
      </w:r>
      <w:r>
        <w:rPr>
          <w:rFonts w:hint="eastAsia" w:hAnsi="宋体" w:cs="宋体"/>
          <w:snapToGrid w:val="0"/>
        </w:rPr>
        <w:t>）</w:t>
      </w:r>
      <w:r>
        <w:rPr>
          <w:rFonts w:hint="eastAsia" w:hAnsi="宋体" w:cs="宋体"/>
          <w:snapToGrid w:val="0"/>
          <w:kern w:val="0"/>
        </w:rPr>
        <w:t xml:space="preserve">      </w:t>
      </w:r>
      <w:r>
        <w:rPr>
          <w:rFonts w:hint="eastAsia" w:hAnsi="宋体" w:cs="宋体"/>
          <w:snapToGrid w:val="0"/>
          <w:spacing w:val="13"/>
          <w:w w:val="68"/>
          <w:kern w:val="0"/>
        </w:rPr>
        <w:t>或其委托代理</w:t>
      </w:r>
      <w:r>
        <w:rPr>
          <w:rFonts w:hint="eastAsia" w:hAnsi="宋体" w:cs="宋体"/>
          <w:snapToGrid w:val="0"/>
          <w:w w:val="68"/>
          <w:kern w:val="0"/>
        </w:rPr>
        <w:t>人</w:t>
      </w:r>
      <w:r>
        <w:rPr>
          <w:rFonts w:hint="eastAsia" w:hAnsi="宋体" w:cs="宋体"/>
          <w:snapToGrid w:val="0"/>
        </w:rPr>
        <w:t>：</w:t>
      </w:r>
      <w:r>
        <w:rPr>
          <w:rFonts w:hint="eastAsia" w:hAnsi="宋体" w:cs="宋体"/>
          <w:snapToGrid w:val="0"/>
          <w:u w:val="single"/>
        </w:rPr>
        <w:t xml:space="preserve">          </w:t>
      </w:r>
      <w:r>
        <w:rPr>
          <w:rFonts w:hint="eastAsia" w:hAnsi="宋体" w:cs="宋体"/>
          <w:snapToGrid w:val="0"/>
          <w:spacing w:val="-20"/>
          <w:kern w:val="0"/>
        </w:rPr>
        <w:t>（签字或盖章）</w:t>
      </w:r>
    </w:p>
    <w:p w14:paraId="637E658A">
      <w:pPr>
        <w:pStyle w:val="18"/>
        <w:adjustRightInd w:val="0"/>
        <w:spacing w:line="360" w:lineRule="auto"/>
        <w:rPr>
          <w:rFonts w:hAnsi="宋体" w:cs="宋体"/>
          <w:snapToGrid w:val="0"/>
          <w:spacing w:val="-20"/>
          <w:kern w:val="0"/>
        </w:rPr>
      </w:pPr>
      <w:r>
        <w:rPr>
          <w:rFonts w:hint="eastAsia" w:hAnsi="宋体" w:cs="宋体"/>
          <w:snapToGrid w:val="0"/>
          <w:spacing w:val="-20"/>
          <w:kern w:val="0"/>
        </w:rPr>
        <w:t xml:space="preserve">   </w:t>
      </w:r>
    </w:p>
    <w:p w14:paraId="3FE71210">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地址：                                            地址：     </w:t>
      </w:r>
    </w:p>
    <w:p w14:paraId="08BD1A7A">
      <w:pPr>
        <w:snapToGrid w:val="0"/>
        <w:spacing w:line="360" w:lineRule="auto"/>
        <w:rPr>
          <w:rFonts w:ascii="宋体" w:hAnsi="宋体" w:cs="宋体"/>
          <w:szCs w:val="21"/>
        </w:rPr>
      </w:pPr>
      <w:r>
        <w:rPr>
          <w:rFonts w:hint="eastAsia" w:ascii="宋体" w:hAnsi="宋体" w:cs="宋体"/>
          <w:szCs w:val="21"/>
        </w:rPr>
        <w:t xml:space="preserve">      </w:t>
      </w:r>
    </w:p>
    <w:p w14:paraId="63FF4648">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电话：                                            电话： </w:t>
      </w:r>
    </w:p>
    <w:p w14:paraId="70E2AB31">
      <w:pPr>
        <w:snapToGrid w:val="0"/>
        <w:spacing w:line="360" w:lineRule="auto"/>
        <w:rPr>
          <w:rFonts w:hint="eastAsia" w:ascii="宋体" w:hAnsi="宋体" w:cs="宋体"/>
          <w:szCs w:val="21"/>
        </w:rPr>
      </w:pPr>
      <w:r>
        <w:rPr>
          <w:rFonts w:hint="eastAsia" w:ascii="宋体" w:hAnsi="宋体" w:cs="宋体"/>
          <w:szCs w:val="21"/>
        </w:rPr>
        <w:t xml:space="preserve"> </w:t>
      </w:r>
    </w:p>
    <w:p w14:paraId="739E78ED">
      <w:pPr>
        <w:snapToGrid w:val="0"/>
        <w:spacing w:line="360" w:lineRule="auto"/>
        <w:rPr>
          <w:rFonts w:hint="eastAsia" w:ascii="宋体" w:hAnsi="宋体" w:cs="宋体"/>
          <w:szCs w:val="21"/>
        </w:rPr>
      </w:pPr>
      <w:r>
        <w:rPr>
          <w:rFonts w:hint="eastAsia" w:ascii="宋体" w:hAnsi="宋体" w:cs="宋体"/>
          <w:szCs w:val="21"/>
        </w:rPr>
        <w:t xml:space="preserve">      年   月    日                                    年    月    日</w:t>
      </w:r>
    </w:p>
    <w:p w14:paraId="1297AB1B">
      <w:pPr>
        <w:spacing w:line="360" w:lineRule="auto"/>
        <w:ind w:firstLine="420" w:firstLineChars="200"/>
        <w:rPr>
          <w:rFonts w:hint="eastAsia" w:ascii="宋体" w:hAnsi="宋体" w:cs="宋体"/>
          <w:snapToGrid w:val="0"/>
          <w:kern w:val="0"/>
          <w:szCs w:val="21"/>
        </w:rPr>
      </w:pPr>
    </w:p>
    <w:p w14:paraId="5672EFCE">
      <w:pPr>
        <w:spacing w:line="360" w:lineRule="auto"/>
        <w:ind w:firstLine="420" w:firstLineChars="200"/>
        <w:rPr>
          <w:rFonts w:hint="eastAsia" w:ascii="宋体" w:hAnsi="宋体" w:cs="宋体"/>
          <w:snapToGrid w:val="0"/>
          <w:kern w:val="0"/>
          <w:szCs w:val="21"/>
        </w:rPr>
      </w:pPr>
    </w:p>
    <w:p w14:paraId="16D376EF">
      <w:pPr>
        <w:spacing w:line="360" w:lineRule="auto"/>
        <w:ind w:firstLine="420" w:firstLineChars="200"/>
        <w:rPr>
          <w:rFonts w:hint="eastAsia" w:ascii="宋体" w:hAnsi="宋体" w:cs="宋体"/>
          <w:snapToGrid w:val="0"/>
          <w:kern w:val="0"/>
          <w:szCs w:val="21"/>
        </w:rPr>
      </w:pPr>
    </w:p>
    <w:p w14:paraId="6E1CCB05">
      <w:pPr>
        <w:spacing w:line="360" w:lineRule="auto"/>
        <w:rPr>
          <w:rFonts w:hint="eastAsia" w:ascii="宋体" w:hAnsi="宋体" w:cs="宋体"/>
          <w:snapToGrid w:val="0"/>
          <w:kern w:val="0"/>
          <w:szCs w:val="21"/>
        </w:rPr>
      </w:pPr>
    </w:p>
    <w:p w14:paraId="02800564">
      <w:pPr>
        <w:pStyle w:val="22"/>
        <w:spacing w:line="360" w:lineRule="auto"/>
        <w:rPr>
          <w:rFonts w:hint="eastAsia" w:ascii="宋体" w:hAnsi="宋体"/>
          <w:color w:val="000000"/>
          <w:sz w:val="21"/>
          <w:szCs w:val="21"/>
          <w:u w:val="single"/>
        </w:rPr>
      </w:pPr>
    </w:p>
    <w:p w14:paraId="248095D6">
      <w:pPr>
        <w:spacing w:line="360" w:lineRule="auto"/>
        <w:outlineLvl w:val="0"/>
        <w:rPr>
          <w:rFonts w:cs="宋体" w:asciiTheme="minorEastAsia" w:hAnsiTheme="minorEastAsia" w:eastAsiaTheme="minorEastAsia"/>
          <w:b/>
          <w:sz w:val="36"/>
          <w:szCs w:val="20"/>
        </w:rPr>
        <w:sectPr>
          <w:headerReference r:id="rId13" w:type="first"/>
          <w:footerReference r:id="rId15" w:type="first"/>
          <w:headerReference r:id="rId12" w:type="default"/>
          <w:footerReference r:id="rId14" w:type="default"/>
          <w:pgSz w:w="11906" w:h="16838"/>
          <w:pgMar w:top="1440" w:right="1418" w:bottom="1440" w:left="1418" w:header="851" w:footer="992" w:gutter="0"/>
          <w:cols w:space="0" w:num="1"/>
          <w:titlePg/>
          <w:docGrid w:linePitch="312" w:charSpace="0"/>
        </w:sectPr>
      </w:pPr>
    </w:p>
    <w:p w14:paraId="45D537EA">
      <w:pPr>
        <w:pStyle w:val="126"/>
        <w:spacing w:before="0"/>
        <w:ind w:firstLine="320" w:firstLineChars="1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第六章  投标文件格式</w:t>
      </w:r>
    </w:p>
    <w:p w14:paraId="4A732F1D">
      <w:pPr>
        <w:snapToGrid w:val="0"/>
        <w:spacing w:before="120" w:beforeLines="50" w:after="50" w:line="380" w:lineRule="exact"/>
        <w:ind w:firstLine="645"/>
        <w:jc w:val="center"/>
        <w:rPr>
          <w:rFonts w:asciiTheme="minorEastAsia" w:hAnsiTheme="minorEastAsia" w:eastAsiaTheme="minorEastAsia"/>
          <w:bCs/>
          <w:sz w:val="24"/>
        </w:rPr>
      </w:pPr>
    </w:p>
    <w:p w14:paraId="5B6EA306">
      <w:pPr>
        <w:snapToGrid w:val="0"/>
        <w:spacing w:before="120" w:beforeLines="50" w:after="50"/>
        <w:rPr>
          <w:rFonts w:asciiTheme="minorEastAsia" w:hAnsiTheme="minorEastAsia" w:eastAsiaTheme="minorEastAsia"/>
          <w:b/>
          <w:sz w:val="24"/>
        </w:rPr>
      </w:pPr>
      <w:r>
        <w:rPr>
          <w:rFonts w:hint="eastAsia" w:asciiTheme="minorEastAsia" w:hAnsiTheme="minorEastAsia" w:eastAsiaTheme="minorEastAsia"/>
          <w:b/>
          <w:sz w:val="24"/>
        </w:rPr>
        <w:t xml:space="preserve">1.资格文件、商务技术（报价）文件封面格式： </w:t>
      </w:r>
    </w:p>
    <w:p w14:paraId="1A07A98B">
      <w:pPr>
        <w:snapToGrid w:val="0"/>
        <w:spacing w:before="120"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×××（投标人名称）</w:t>
      </w:r>
    </w:p>
    <w:p w14:paraId="07D372DB">
      <w:pPr>
        <w:snapToGrid w:val="0"/>
        <w:spacing w:before="120"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sz w:val="24"/>
          <w:lang w:val="zh-CN"/>
        </w:rPr>
        <w:t>资格文件、商务技术</w:t>
      </w:r>
      <w:r>
        <w:rPr>
          <w:rFonts w:hint="eastAsia" w:asciiTheme="minorEastAsia" w:hAnsiTheme="minorEastAsia" w:eastAsiaTheme="minorEastAsia"/>
          <w:sz w:val="24"/>
        </w:rPr>
        <w:t>（报价）</w:t>
      </w:r>
      <w:r>
        <w:rPr>
          <w:rFonts w:hint="eastAsia" w:asciiTheme="minorEastAsia" w:hAnsiTheme="minorEastAsia" w:eastAsiaTheme="minorEastAsia"/>
          <w:bCs/>
          <w:sz w:val="24"/>
        </w:rPr>
        <w:t>文 件</w:t>
      </w:r>
    </w:p>
    <w:p w14:paraId="5FB8D792">
      <w:pPr>
        <w:snapToGrid w:val="0"/>
        <w:spacing w:before="120" w:beforeLines="50" w:after="50"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项目名称：</w:t>
      </w:r>
    </w:p>
    <w:p w14:paraId="7C70DC57">
      <w:pPr>
        <w:snapToGrid w:val="0"/>
        <w:spacing w:before="120" w:beforeLines="50" w:after="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    项目编号：</w:t>
      </w:r>
    </w:p>
    <w:p w14:paraId="2F3C767A">
      <w:pPr>
        <w:pStyle w:val="9"/>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投标人名称（盖章）：</w:t>
      </w:r>
    </w:p>
    <w:p w14:paraId="39AE3B74">
      <w:pPr>
        <w:pStyle w:val="9"/>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投标人地址：</w:t>
      </w:r>
    </w:p>
    <w:p w14:paraId="25C195AF">
      <w:pPr>
        <w:snapToGrid w:val="0"/>
        <w:spacing w:before="120" w:beforeLines="50" w:after="50" w:line="360" w:lineRule="exact"/>
        <w:ind w:firstLine="4080" w:firstLineChars="1700"/>
        <w:rPr>
          <w:rFonts w:asciiTheme="minorEastAsia" w:hAnsiTheme="minorEastAsia" w:eastAsiaTheme="minorEastAsia"/>
          <w:sz w:val="24"/>
        </w:rPr>
      </w:pPr>
      <w:r>
        <w:rPr>
          <w:rFonts w:hint="eastAsia" w:asciiTheme="minorEastAsia" w:hAnsiTheme="minorEastAsia" w:eastAsiaTheme="minorEastAsia"/>
          <w:sz w:val="24"/>
        </w:rPr>
        <w:t>法定代表人签字或盖章：</w:t>
      </w:r>
    </w:p>
    <w:p w14:paraId="7F0AC402">
      <w:pPr>
        <w:snapToGrid w:val="0"/>
        <w:spacing w:before="120" w:beforeLines="50" w:after="50" w:line="360" w:lineRule="exact"/>
        <w:ind w:firstLine="4080" w:firstLineChars="1700"/>
        <w:rPr>
          <w:rFonts w:asciiTheme="minorEastAsia" w:hAnsiTheme="minorEastAsia" w:eastAsiaTheme="minorEastAsia"/>
          <w:sz w:val="24"/>
        </w:rPr>
      </w:pPr>
    </w:p>
    <w:p w14:paraId="044B25C9">
      <w:pPr>
        <w:snapToGrid w:val="0"/>
        <w:spacing w:before="120" w:beforeLines="50" w:after="50" w:line="360" w:lineRule="exact"/>
        <w:ind w:firstLine="645"/>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1E9A0F51">
      <w:pPr>
        <w:snapToGrid w:val="0"/>
        <w:spacing w:before="120" w:beforeLines="50" w:after="50" w:line="360" w:lineRule="exact"/>
        <w:ind w:firstLine="645"/>
        <w:jc w:val="center"/>
        <w:rPr>
          <w:rFonts w:asciiTheme="minorEastAsia" w:hAnsiTheme="minorEastAsia" w:eastAsiaTheme="minorEastAsia"/>
          <w:bCs/>
          <w:sz w:val="24"/>
        </w:rPr>
      </w:pPr>
    </w:p>
    <w:p w14:paraId="477B0B30">
      <w:pPr>
        <w:snapToGrid w:val="0"/>
        <w:spacing w:before="120" w:beforeLines="50" w:after="50" w:line="380" w:lineRule="exact"/>
        <w:ind w:firstLine="645"/>
        <w:rPr>
          <w:rFonts w:asciiTheme="minorEastAsia" w:hAnsiTheme="minorEastAsia" w:eastAsiaTheme="minorEastAsia"/>
          <w:b/>
          <w:bCs/>
          <w:sz w:val="24"/>
        </w:rPr>
      </w:pPr>
      <w:r>
        <w:rPr>
          <w:rFonts w:hint="eastAsia" w:asciiTheme="minorEastAsia" w:hAnsiTheme="minorEastAsia" w:eastAsiaTheme="minorEastAsia"/>
          <w:sz w:val="24"/>
        </w:rPr>
        <w:t>注：投标人应按资格文件、商务技术文件、报价文件</w:t>
      </w:r>
      <w:r>
        <w:rPr>
          <w:rFonts w:hint="eastAsia" w:asciiTheme="minorEastAsia" w:hAnsiTheme="minorEastAsia" w:eastAsiaTheme="minorEastAsia"/>
          <w:b/>
          <w:sz w:val="24"/>
        </w:rPr>
        <w:t>分别进行编制。</w:t>
      </w:r>
    </w:p>
    <w:p w14:paraId="38E70FF2">
      <w:pPr>
        <w:snapToGrid w:val="0"/>
        <w:spacing w:before="50" w:after="50" w:line="360" w:lineRule="auto"/>
        <w:rPr>
          <w:rFonts w:ascii="宋体" w:hAnsi="宋体" w:cs="宋体"/>
          <w:b/>
          <w:bCs/>
          <w:sz w:val="30"/>
          <w:szCs w:val="30"/>
        </w:rPr>
      </w:pPr>
      <w:r>
        <w:rPr>
          <w:rFonts w:hint="eastAsia" w:asciiTheme="minorEastAsia" w:hAnsiTheme="minorEastAsia" w:eastAsiaTheme="minorEastAsia"/>
          <w:sz w:val="24"/>
        </w:rPr>
        <w:br w:type="page"/>
      </w:r>
      <w:r>
        <w:rPr>
          <w:rFonts w:hint="eastAsia" w:ascii="宋体" w:hAnsi="宋体" w:cs="宋体"/>
          <w:b/>
          <w:bCs/>
          <w:sz w:val="30"/>
          <w:szCs w:val="30"/>
        </w:rPr>
        <w:t>1、资格文件目录</w:t>
      </w:r>
    </w:p>
    <w:p w14:paraId="2185D91A">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）营业执照的复印件或事业单位的《事业单位法人证书》复印件；</w:t>
      </w:r>
    </w:p>
    <w:p w14:paraId="2A8B2C16">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（2）法定代表人授权委托书(格式见附件)；</w:t>
      </w:r>
    </w:p>
    <w:p w14:paraId="215BBACA">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（3）投标声明书 (格式见附件，含重大违法记录声明)；</w:t>
      </w:r>
    </w:p>
    <w:p w14:paraId="7694B369">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（4）具有履行合同所必需的设备和专业技术能力的承诺函；(格式见附件)；</w:t>
      </w:r>
    </w:p>
    <w:p w14:paraId="57DC10DC">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（5）具有良好的商业信誉和健全的财务会计制度的承诺函(格式见附件)；</w:t>
      </w:r>
    </w:p>
    <w:p w14:paraId="69A00563">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（6）有依法缴纳税收和社会保障资金的良好记录的承诺函(格式见附件)；</w:t>
      </w:r>
    </w:p>
    <w:p w14:paraId="55642463">
      <w:pPr>
        <w:snapToGrid w:val="0"/>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（7）投标人认为需要提供说明的其他相关材料。</w:t>
      </w:r>
    </w:p>
    <w:p w14:paraId="6CDD54CE">
      <w:pPr>
        <w:snapToGrid w:val="0"/>
        <w:spacing w:before="50" w:after="50"/>
        <w:jc w:val="center"/>
        <w:rPr>
          <w:rFonts w:asciiTheme="minorEastAsia" w:hAnsiTheme="minorEastAsia" w:eastAsiaTheme="minorEastAsia"/>
          <w:b/>
          <w:sz w:val="36"/>
          <w:szCs w:val="36"/>
        </w:rPr>
        <w:sectPr>
          <w:pgSz w:w="11906" w:h="16838"/>
          <w:pgMar w:top="1400" w:right="1531" w:bottom="471" w:left="1531" w:header="851" w:footer="851" w:gutter="0"/>
          <w:pgNumType w:chapStyle="1" w:chapSep="colon"/>
          <w:cols w:space="720" w:num="1"/>
        </w:sectPr>
      </w:pPr>
    </w:p>
    <w:p w14:paraId="28759011">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法定代表人授权委托书</w:t>
      </w:r>
    </w:p>
    <w:p w14:paraId="3E133C98">
      <w:pPr>
        <w:snapToGrid w:val="0"/>
        <w:spacing w:before="120" w:beforeLines="50" w:after="50"/>
        <w:jc w:val="center"/>
        <w:rPr>
          <w:rFonts w:asciiTheme="minorEastAsia" w:hAnsiTheme="minorEastAsia" w:eastAsiaTheme="minorEastAsia"/>
          <w:b/>
          <w:sz w:val="30"/>
          <w:szCs w:val="30"/>
        </w:rPr>
      </w:pPr>
    </w:p>
    <w:p w14:paraId="173E487A">
      <w:pPr>
        <w:snapToGrid w:val="0"/>
        <w:spacing w:before="120" w:beforeLines="50" w:after="50" w:line="460" w:lineRule="exact"/>
        <w:rPr>
          <w:rFonts w:asciiTheme="minorEastAsia" w:hAnsiTheme="minorEastAsia" w:eastAsiaTheme="minorEastAsia"/>
          <w:b/>
          <w:bCs/>
          <w:sz w:val="24"/>
        </w:rPr>
      </w:pPr>
      <w:r>
        <w:rPr>
          <w:rFonts w:hint="eastAsia" w:asciiTheme="minorEastAsia" w:hAnsiTheme="minorEastAsia" w:eastAsiaTheme="minorEastAsia"/>
          <w:bCs/>
          <w:sz w:val="24"/>
        </w:rPr>
        <w:t>桐庐鸿泰工程咨询有限公司：</w:t>
      </w:r>
    </w:p>
    <w:p w14:paraId="0651547D">
      <w:pPr>
        <w:snapToGrid w:val="0"/>
        <w:spacing w:before="120" w:beforeLines="50" w:after="50" w:line="4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我（姓名）系（投标人名称）的法定代表人，现授权委托本单位在职职工 （姓名）为授权代表，以我方的名义参加项目编号：项目名称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项目的投标活动，并代表我方全权办理针对上述项目的投标、开标、评标、签约等具体事务和签署相关文件。我方对授权代表的签名事项负全部责任。</w:t>
      </w:r>
    </w:p>
    <w:p w14:paraId="61E6E713">
      <w:pPr>
        <w:snapToGrid w:val="0"/>
        <w:spacing w:before="120"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在撤销授权的书面通知以前，本授权书一直有效。授权代表在授权书有效期内签署的所有文件不因授权的撤销而失效。</w:t>
      </w:r>
    </w:p>
    <w:p w14:paraId="533614F3">
      <w:pPr>
        <w:snapToGrid w:val="0"/>
        <w:spacing w:before="120"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授权代表无转委托权，特此委托。</w:t>
      </w:r>
    </w:p>
    <w:p w14:paraId="5C9A4ACE">
      <w:pPr>
        <w:snapToGrid w:val="0"/>
        <w:spacing w:before="120" w:beforeLines="50" w:after="50" w:line="460" w:lineRule="exact"/>
        <w:ind w:firstLine="480"/>
        <w:rPr>
          <w:rFonts w:asciiTheme="minorEastAsia" w:hAnsiTheme="minorEastAsia" w:eastAsiaTheme="minorEastAsia"/>
          <w:sz w:val="30"/>
          <w:szCs w:val="30"/>
        </w:rPr>
      </w:pPr>
    </w:p>
    <w:p w14:paraId="715280BC">
      <w:pPr>
        <w:snapToGrid w:val="0"/>
        <w:spacing w:before="120" w:beforeLines="50" w:after="50" w:line="460" w:lineRule="exact"/>
        <w:ind w:firstLine="480"/>
        <w:rPr>
          <w:rFonts w:asciiTheme="minorEastAsia" w:hAnsiTheme="minorEastAsia" w:eastAsiaTheme="minorEastAsia"/>
          <w:sz w:val="24"/>
        </w:rPr>
      </w:pPr>
    </w:p>
    <w:p w14:paraId="65CE5C0D">
      <w:pPr>
        <w:snapToGrid w:val="0"/>
        <w:spacing w:before="120"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授权代表签名：     职务：</w:t>
      </w:r>
    </w:p>
    <w:p w14:paraId="085DBCCC">
      <w:pPr>
        <w:snapToGrid w:val="0"/>
        <w:spacing w:before="120"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授权代表身份证号码：</w:t>
      </w:r>
    </w:p>
    <w:p w14:paraId="4E50DFE8">
      <w:pPr>
        <w:snapToGrid w:val="0"/>
        <w:spacing w:before="120"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法定代表人（签字或盖章）：   职务：</w:t>
      </w:r>
    </w:p>
    <w:p w14:paraId="672989C6">
      <w:pPr>
        <w:snapToGrid w:val="0"/>
        <w:spacing w:before="120" w:beforeLines="50" w:after="50" w:line="460" w:lineRule="exact"/>
        <w:rPr>
          <w:rFonts w:asciiTheme="minorEastAsia" w:hAnsiTheme="minorEastAsia" w:eastAsiaTheme="minorEastAsia"/>
          <w:sz w:val="24"/>
        </w:rPr>
      </w:pPr>
    </w:p>
    <w:p w14:paraId="4507BA9A">
      <w:pPr>
        <w:snapToGrid w:val="0"/>
        <w:spacing w:before="120" w:beforeLines="50" w:after="50" w:line="460" w:lineRule="exact"/>
        <w:rPr>
          <w:rFonts w:asciiTheme="minorEastAsia" w:hAnsiTheme="minorEastAsia" w:eastAsiaTheme="minorEastAsia"/>
          <w:sz w:val="24"/>
        </w:rPr>
      </w:pPr>
    </w:p>
    <w:p w14:paraId="4B9D2744">
      <w:pPr>
        <w:snapToGrid w:val="0"/>
        <w:spacing w:before="120" w:beforeLines="50" w:after="50" w:line="360" w:lineRule="auto"/>
        <w:rPr>
          <w:rFonts w:asciiTheme="minorEastAsia" w:hAnsiTheme="minorEastAsia" w:eastAsiaTheme="minorEastAsia"/>
          <w:sz w:val="24"/>
        </w:rPr>
      </w:pPr>
      <w:r>
        <w:rPr>
          <w:rFonts w:hint="eastAsia" w:asciiTheme="minorEastAsia" w:hAnsiTheme="minorEastAsia" w:eastAsiaTheme="minorEastAsia"/>
          <w:sz w:val="24"/>
        </w:rPr>
        <w:t>投标人（盖章）：</w:t>
      </w:r>
    </w:p>
    <w:p w14:paraId="234A7CEC">
      <w:pPr>
        <w:widowControl/>
        <w:spacing w:line="360" w:lineRule="auto"/>
        <w:jc w:val="left"/>
        <w:rPr>
          <w:rFonts w:asciiTheme="minorEastAsia" w:hAnsiTheme="minorEastAsia" w:eastAsiaTheme="minorEastAsia"/>
          <w:sz w:val="24"/>
          <w:u w:val="single"/>
        </w:rPr>
        <w:sectPr>
          <w:pgSz w:w="11906" w:h="16838"/>
          <w:pgMar w:top="1400" w:right="1531" w:bottom="471" w:left="1531" w:header="851" w:footer="851" w:gutter="0"/>
          <w:pgNumType w:chapStyle="1" w:chapSep="colon"/>
          <w:cols w:space="720" w:num="1"/>
        </w:sectPr>
      </w:pPr>
      <w:r>
        <w:rPr>
          <w:rFonts w:hint="eastAsia" w:cs="宋体" w:asciiTheme="minorEastAsia" w:hAnsiTheme="minorEastAsia" w:eastAsiaTheme="minorEastAsia"/>
          <w:color w:val="000000"/>
          <w:kern w:val="0"/>
          <w:sz w:val="24"/>
        </w:rPr>
        <w:t>日期：年月日</w:t>
      </w:r>
    </w:p>
    <w:p w14:paraId="3C590427">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 标 声 明 书</w:t>
      </w:r>
    </w:p>
    <w:p w14:paraId="3A75E26A">
      <w:pPr>
        <w:snapToGrid w:val="0"/>
        <w:spacing w:before="120"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致：桐庐鸿泰工程咨询有限公司：</w:t>
      </w:r>
    </w:p>
    <w:p w14:paraId="0D92D819">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（投标人名称）</w:t>
      </w:r>
      <w:r>
        <w:rPr>
          <w:rFonts w:hint="eastAsia" w:asciiTheme="minorEastAsia" w:hAnsiTheme="minorEastAsia" w:eastAsiaTheme="minorEastAsia"/>
          <w:sz w:val="24"/>
        </w:rPr>
        <w:t>系中华人民共和国合法企业，经营地址。</w:t>
      </w:r>
    </w:p>
    <w:p w14:paraId="7A4E5A5B">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w:t>
      </w:r>
      <w:r>
        <w:rPr>
          <w:rFonts w:hint="eastAsia" w:asciiTheme="minorEastAsia" w:hAnsiTheme="minorEastAsia" w:eastAsiaTheme="minorEastAsia"/>
          <w:sz w:val="24"/>
          <w:u w:val="single"/>
        </w:rPr>
        <w:t>（姓名）</w:t>
      </w:r>
      <w:r>
        <w:rPr>
          <w:rFonts w:hint="eastAsia" w:asciiTheme="minorEastAsia" w:hAnsiTheme="minorEastAsia" w:eastAsiaTheme="minorEastAsia"/>
          <w:sz w:val="24"/>
        </w:rPr>
        <w:t>系</w:t>
      </w:r>
      <w:r>
        <w:rPr>
          <w:rFonts w:hint="eastAsia" w:asciiTheme="minorEastAsia" w:hAnsiTheme="minorEastAsia" w:eastAsiaTheme="minorEastAsia"/>
          <w:sz w:val="24"/>
          <w:u w:val="single"/>
        </w:rPr>
        <w:t>（投标人名称）</w:t>
      </w:r>
      <w:r>
        <w:rPr>
          <w:rFonts w:hint="eastAsia" w:asciiTheme="minorEastAsia" w:hAnsiTheme="minorEastAsia" w:eastAsiaTheme="minorEastAsia"/>
          <w:sz w:val="24"/>
        </w:rPr>
        <w:t>的法定代表人，我方愿意参加贵方组织的</w:t>
      </w:r>
      <w:r>
        <w:rPr>
          <w:rFonts w:hint="eastAsia" w:asciiTheme="minorEastAsia" w:hAnsiTheme="minorEastAsia" w:eastAsiaTheme="minorEastAsia"/>
          <w:sz w:val="24"/>
          <w:u w:val="single"/>
        </w:rPr>
        <w:t>（项目名称）（编号为</w:t>
      </w:r>
      <w:r>
        <w:rPr>
          <w:rFonts w:hint="eastAsia" w:asciiTheme="minorEastAsia" w:hAnsiTheme="minorEastAsia" w:eastAsiaTheme="minorEastAsia"/>
          <w:sz w:val="24"/>
          <w:u w:val="single"/>
          <w:lang w:eastAsia="zh-CN"/>
        </w:rPr>
        <w:t>TLHT-CG-2025-018</w:t>
      </w:r>
      <w:r>
        <w:rPr>
          <w:rFonts w:hint="eastAsia" w:asciiTheme="minorEastAsia" w:hAnsiTheme="minorEastAsia" w:eastAsiaTheme="minorEastAsia"/>
          <w:sz w:val="24"/>
          <w:u w:val="single"/>
        </w:rPr>
        <w:t>）</w:t>
      </w:r>
      <w:r>
        <w:rPr>
          <w:rFonts w:hint="eastAsia" w:asciiTheme="minorEastAsia" w:hAnsiTheme="minorEastAsia" w:eastAsiaTheme="minorEastAsia"/>
          <w:sz w:val="24"/>
        </w:rPr>
        <w:t>的投标，为此，我方就本次投标有关事项郑重声明如下：</w:t>
      </w:r>
    </w:p>
    <w:p w14:paraId="79453663">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1、我方已详细审查全部磋商文件，同意磋商文件的各项要求。</w:t>
      </w:r>
    </w:p>
    <w:p w14:paraId="6B812449">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2、我方向贵方提交的所有响应文件、资料都是准确的和真实的。</w:t>
      </w:r>
    </w:p>
    <w:p w14:paraId="03BCD128">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3、若中标，我方将按磋商文件规定履行合同责任和义务。</w:t>
      </w:r>
    </w:p>
    <w:p w14:paraId="08DF0922">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4、我方不是采购人的附属机构；在获知本项目采购信息后，与采购人聘请的为此项目提供咨询服务的公司及其附属机构没有任何联系。</w:t>
      </w:r>
    </w:p>
    <w:p w14:paraId="6DBC26F3">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5、响应文件自开标日起有效期为90天。</w:t>
      </w:r>
    </w:p>
    <w:p w14:paraId="044C5178">
      <w:pPr>
        <w:snapToGrid w:val="0"/>
        <w:spacing w:line="460" w:lineRule="exact"/>
        <w:ind w:firstLine="472" w:firstLineChars="196"/>
        <w:jc w:val="left"/>
        <w:rPr>
          <w:rFonts w:asciiTheme="minorEastAsia" w:hAnsiTheme="minorEastAsia" w:eastAsiaTheme="minorEastAsia"/>
          <w:b/>
          <w:sz w:val="24"/>
        </w:rPr>
      </w:pPr>
      <w:r>
        <w:rPr>
          <w:rFonts w:hint="eastAsia" w:asciiTheme="minorEastAsia" w:hAnsiTheme="minorEastAsia" w:eastAsiaTheme="minorEastAsia"/>
          <w:b/>
          <w:sz w:val="24"/>
        </w:rPr>
        <w:t>6、我方参与本项目前3年内的经营活动中没有重大违法记录；</w:t>
      </w:r>
    </w:p>
    <w:p w14:paraId="75F23435">
      <w:pPr>
        <w:snapToGrid w:val="0"/>
        <w:spacing w:before="120" w:beforeLines="50" w:after="50" w:line="4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7、我方通过“信用中国”网站（www.creditchina.gov.cn）、中国政府采购网（www.ccgp.gov.cn）查询，未被列入失信被执行人、重大税收违法案件当事人名单、政府采购严重违法失信行为记录名单。</w:t>
      </w:r>
    </w:p>
    <w:p w14:paraId="145E9C8A">
      <w:pPr>
        <w:snapToGrid w:val="0"/>
        <w:spacing w:before="120" w:beforeLines="50" w:after="50" w:line="46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8、以上事项如有虚假或隐瞒，我方愿意承担一切后果，并不再寻求任何旨在减轻或免除法律责任的辩解。</w:t>
      </w:r>
    </w:p>
    <w:p w14:paraId="5813ED5F">
      <w:pPr>
        <w:snapToGrid w:val="0"/>
        <w:spacing w:before="120" w:beforeLines="50" w:after="50" w:line="460" w:lineRule="exact"/>
        <w:ind w:firstLine="120" w:firstLineChars="50"/>
        <w:jc w:val="right"/>
        <w:rPr>
          <w:rFonts w:asciiTheme="minorEastAsia" w:hAnsiTheme="minorEastAsia" w:eastAsiaTheme="minorEastAsia"/>
          <w:sz w:val="24"/>
        </w:rPr>
      </w:pPr>
    </w:p>
    <w:p w14:paraId="74F3D9A7">
      <w:pPr>
        <w:snapToGrid w:val="0"/>
        <w:spacing w:before="120" w:beforeLines="50" w:after="50" w:line="360" w:lineRule="auto"/>
        <w:jc w:val="center"/>
        <w:rPr>
          <w:rFonts w:asciiTheme="minorEastAsia" w:hAnsiTheme="minorEastAsia" w:eastAsiaTheme="minorEastAsia"/>
          <w:sz w:val="24"/>
        </w:rPr>
      </w:pPr>
      <w:r>
        <w:rPr>
          <w:rFonts w:hint="eastAsia" w:asciiTheme="minorEastAsia" w:hAnsiTheme="minorEastAsia" w:eastAsiaTheme="minorEastAsia"/>
          <w:sz w:val="24"/>
        </w:rPr>
        <w:t xml:space="preserve">                                   投标人（盖章）：</w:t>
      </w:r>
    </w:p>
    <w:p w14:paraId="6FEDF15E">
      <w:pPr>
        <w:widowControl/>
        <w:spacing w:line="360" w:lineRule="auto"/>
        <w:jc w:val="right"/>
        <w:rPr>
          <w:rFonts w:asciiTheme="minorEastAsia" w:hAnsiTheme="minorEastAsia" w:eastAsiaTheme="minorEastAsia"/>
          <w:sz w:val="24"/>
          <w:u w:val="single"/>
        </w:rPr>
        <w:sectPr>
          <w:pgSz w:w="11906" w:h="16838"/>
          <w:pgMar w:top="1400" w:right="1531" w:bottom="471" w:left="1531" w:header="851" w:footer="851" w:gutter="0"/>
          <w:pgNumType w:chapStyle="1" w:chapSep="colon"/>
          <w:cols w:space="720" w:num="1"/>
        </w:sectPr>
      </w:pPr>
      <w:r>
        <w:rPr>
          <w:rFonts w:hint="eastAsia" w:cs="宋体" w:asciiTheme="minorEastAsia" w:hAnsiTheme="minorEastAsia" w:eastAsiaTheme="minorEastAsia"/>
          <w:color w:val="000000"/>
          <w:kern w:val="0"/>
          <w:sz w:val="24"/>
        </w:rPr>
        <w:t>日期：年月日</w:t>
      </w:r>
    </w:p>
    <w:p w14:paraId="4CFE39D5">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具有履行合同所必需的设备和专业技术能力的承诺函</w:t>
      </w:r>
    </w:p>
    <w:p w14:paraId="61B47E15">
      <w:pPr>
        <w:pStyle w:val="176"/>
        <w:snapToGrid w:val="0"/>
        <w:spacing w:line="500" w:lineRule="exact"/>
        <w:rPr>
          <w:rFonts w:asciiTheme="minorEastAsia" w:hAnsiTheme="minorEastAsia" w:eastAsiaTheme="minorEastAsia"/>
          <w:b/>
          <w:bCs/>
          <w:sz w:val="24"/>
          <w:szCs w:val="22"/>
        </w:rPr>
      </w:pPr>
    </w:p>
    <w:p w14:paraId="44C3A0DF">
      <w:pPr>
        <w:pStyle w:val="176"/>
        <w:snapToGrid w:val="0"/>
        <w:spacing w:line="500" w:lineRule="exact"/>
        <w:ind w:firstLine="480" w:firstLineChars="200"/>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u w:val="single"/>
        </w:rPr>
        <w:t xml:space="preserve">   桐庐鸿泰工程咨询有限公司  </w:t>
      </w:r>
      <w:r>
        <w:rPr>
          <w:rFonts w:hint="eastAsia" w:cs="宋体" w:asciiTheme="minorEastAsia" w:hAnsiTheme="minorEastAsia" w:eastAsiaTheme="minorEastAsia"/>
          <w:bCs/>
          <w:color w:val="000000"/>
          <w:kern w:val="0"/>
          <w:sz w:val="24"/>
          <w:szCs w:val="24"/>
        </w:rPr>
        <w:t>：（采购机构名称）</w:t>
      </w:r>
    </w:p>
    <w:p w14:paraId="75EB57EB">
      <w:pPr>
        <w:pStyle w:val="176"/>
        <w:snapToGrid w:val="0"/>
        <w:spacing w:line="500" w:lineRule="exact"/>
        <w:ind w:firstLine="480" w:firstLineChars="200"/>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我方 （供应商）承诺具有履行合同所必需的设备和专业技术能力。如有虚假，采购人可取消我方任何资格（投标/中标/签订合同），我方对此无任何异议。</w:t>
      </w:r>
    </w:p>
    <w:p w14:paraId="0D006B15">
      <w:pPr>
        <w:pStyle w:val="176"/>
        <w:snapToGrid w:val="0"/>
        <w:spacing w:line="500" w:lineRule="exact"/>
        <w:rPr>
          <w:rFonts w:cs="宋体" w:asciiTheme="minorEastAsia" w:hAnsiTheme="minorEastAsia" w:eastAsiaTheme="minorEastAsia"/>
          <w:sz w:val="24"/>
          <w:szCs w:val="22"/>
        </w:rPr>
      </w:pPr>
    </w:p>
    <w:p w14:paraId="434D9601">
      <w:pPr>
        <w:pStyle w:val="176"/>
        <w:snapToGrid w:val="0"/>
        <w:spacing w:line="500" w:lineRule="exact"/>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特此承诺！</w:t>
      </w:r>
    </w:p>
    <w:p w14:paraId="577AA754">
      <w:pPr>
        <w:spacing w:line="360" w:lineRule="auto"/>
        <w:rPr>
          <w:rFonts w:cs="宋体" w:asciiTheme="minorEastAsia" w:hAnsiTheme="minorEastAsia" w:eastAsiaTheme="minorEastAsia"/>
          <w:color w:val="000000"/>
          <w:sz w:val="24"/>
        </w:rPr>
      </w:pPr>
    </w:p>
    <w:p w14:paraId="46CF3DE3">
      <w:pPr>
        <w:widowControl/>
        <w:spacing w:line="360" w:lineRule="auto"/>
        <w:jc w:val="left"/>
        <w:rPr>
          <w:rFonts w:cs="宋体" w:asciiTheme="minorEastAsia" w:hAnsiTheme="minorEastAsia" w:eastAsiaTheme="minorEastAsia"/>
          <w:color w:val="000000"/>
          <w:kern w:val="0"/>
          <w:sz w:val="24"/>
          <w:u w:val="single"/>
        </w:rPr>
      </w:pPr>
      <w:r>
        <w:rPr>
          <w:rFonts w:hint="eastAsia" w:cs="宋体" w:asciiTheme="minorEastAsia" w:hAnsiTheme="minorEastAsia" w:eastAsiaTheme="minorEastAsia"/>
          <w:color w:val="000000"/>
          <w:kern w:val="0"/>
          <w:sz w:val="24"/>
        </w:rPr>
        <w:t>投标人（盖章）：</w:t>
      </w:r>
    </w:p>
    <w:p w14:paraId="37487ED9">
      <w:pPr>
        <w:widowControl/>
        <w:spacing w:line="360" w:lineRule="auto"/>
        <w:jc w:val="left"/>
        <w:rPr>
          <w:rFonts w:asciiTheme="minorEastAsia" w:hAnsiTheme="minorEastAsia" w:eastAsiaTheme="minorEastAsia"/>
          <w:sz w:val="24"/>
          <w:u w:val="single"/>
        </w:rPr>
        <w:sectPr>
          <w:pgSz w:w="11906" w:h="16838"/>
          <w:pgMar w:top="1400" w:right="1531" w:bottom="471" w:left="1531" w:header="851" w:footer="851" w:gutter="0"/>
          <w:pgNumType w:chapStyle="1" w:chapSep="colon"/>
          <w:cols w:space="720" w:num="1"/>
        </w:sectPr>
      </w:pPr>
      <w:r>
        <w:rPr>
          <w:rFonts w:hint="eastAsia" w:cs="宋体" w:asciiTheme="minorEastAsia" w:hAnsiTheme="minorEastAsia" w:eastAsiaTheme="minorEastAsia"/>
          <w:color w:val="000000"/>
          <w:kern w:val="0"/>
          <w:sz w:val="24"/>
        </w:rPr>
        <w:t>日期：年月日</w:t>
      </w:r>
    </w:p>
    <w:p w14:paraId="47368614">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具有良好的商业信誉和健全的财务会计制度的承诺函 </w:t>
      </w:r>
    </w:p>
    <w:p w14:paraId="74978D91">
      <w:pPr>
        <w:widowControl/>
        <w:jc w:val="left"/>
        <w:rPr>
          <w:rFonts w:cs="宋体" w:asciiTheme="minorEastAsia" w:hAnsiTheme="minorEastAsia" w:eastAsiaTheme="minorEastAsia"/>
          <w:bCs/>
          <w:color w:val="000000"/>
          <w:kern w:val="0"/>
          <w:sz w:val="26"/>
          <w:szCs w:val="26"/>
          <w:u w:val="single"/>
        </w:rPr>
      </w:pPr>
    </w:p>
    <w:p w14:paraId="0781B180">
      <w:pPr>
        <w:widowControl/>
        <w:spacing w:line="360" w:lineRule="auto"/>
        <w:jc w:val="left"/>
        <w:rPr>
          <w:rFonts w:cs="宋体" w:asciiTheme="minorEastAsia" w:hAnsiTheme="minorEastAsia" w:eastAsiaTheme="minorEastAsia"/>
          <w:bCs/>
          <w:sz w:val="24"/>
        </w:rPr>
      </w:pPr>
      <w:r>
        <w:rPr>
          <w:rFonts w:hint="eastAsia" w:cs="宋体" w:asciiTheme="minorEastAsia" w:hAnsiTheme="minorEastAsia" w:eastAsiaTheme="minorEastAsia"/>
          <w:bCs/>
          <w:color w:val="000000"/>
          <w:kern w:val="0"/>
          <w:sz w:val="24"/>
          <w:u w:val="single"/>
        </w:rPr>
        <w:t xml:space="preserve">  桐庐鸿泰工程咨询有限公司 </w:t>
      </w:r>
      <w:r>
        <w:rPr>
          <w:rFonts w:hint="eastAsia" w:cs="宋体" w:asciiTheme="minorEastAsia" w:hAnsiTheme="minorEastAsia" w:eastAsiaTheme="minorEastAsia"/>
          <w:bCs/>
          <w:color w:val="000000"/>
          <w:kern w:val="0"/>
          <w:sz w:val="24"/>
        </w:rPr>
        <w:t xml:space="preserve">：（采购机构名称） </w:t>
      </w:r>
    </w:p>
    <w:p w14:paraId="6C908E57">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rPr>
        <w:t>我方参加（项目编号：</w:t>
      </w:r>
      <w:r>
        <w:rPr>
          <w:rFonts w:hint="eastAsia" w:cs="宋体" w:asciiTheme="minorEastAsia" w:hAnsiTheme="minorEastAsia" w:eastAsiaTheme="minorEastAsia"/>
          <w:color w:val="000000"/>
          <w:kern w:val="0"/>
          <w:sz w:val="24"/>
          <w:lang w:eastAsia="zh-CN"/>
        </w:rPr>
        <w:t>TLHT-CG-2025-018</w:t>
      </w:r>
      <w:r>
        <w:rPr>
          <w:rFonts w:hint="eastAsia" w:cs="宋体" w:asciiTheme="minorEastAsia" w:hAnsiTheme="minorEastAsia" w:eastAsiaTheme="minorEastAsia"/>
          <w:color w:val="000000"/>
          <w:kern w:val="0"/>
          <w:sz w:val="24"/>
        </w:rPr>
        <w:t>）的</w:t>
      </w:r>
      <w:r>
        <w:rPr>
          <w:rFonts w:hint="eastAsia" w:cs="宋体" w:asciiTheme="minorEastAsia" w:hAnsiTheme="minorEastAsia" w:eastAsiaTheme="minorEastAsia"/>
          <w:color w:val="000000"/>
          <w:kern w:val="0"/>
          <w:sz w:val="24"/>
          <w:lang w:eastAsia="zh-CN"/>
        </w:rPr>
        <w:t>国企</w:t>
      </w:r>
      <w:r>
        <w:rPr>
          <w:rFonts w:hint="eastAsia" w:cs="宋体" w:asciiTheme="minorEastAsia" w:hAnsiTheme="minorEastAsia" w:eastAsiaTheme="minorEastAsia"/>
          <w:color w:val="000000"/>
          <w:kern w:val="0"/>
          <w:sz w:val="24"/>
        </w:rPr>
        <w:t xml:space="preserve">采购活动，依据采购文件相关规定，郑重承诺：我方具有良好的商业信誉和健全的财务会计制度，符合本项目采购文件规定的投标供应商资格要求，如中标，我方将按我方投标文件承诺，保证合同顺利履行。如有虚假或隐瞒，采购人可取消我方任何资格（投标/谈判/中标（成交）/签订合同），我方对此无任何异议，并愿意承担一切后果和责任。 </w:t>
      </w:r>
    </w:p>
    <w:p w14:paraId="057ECFDA">
      <w:pPr>
        <w:widowControl/>
        <w:spacing w:line="360" w:lineRule="auto"/>
        <w:jc w:val="left"/>
        <w:rPr>
          <w:rFonts w:cs="宋体" w:asciiTheme="minorEastAsia" w:hAnsiTheme="minorEastAsia" w:eastAsiaTheme="minorEastAsia"/>
          <w:color w:val="000000"/>
          <w:kern w:val="0"/>
          <w:sz w:val="24"/>
        </w:rPr>
      </w:pPr>
    </w:p>
    <w:p w14:paraId="718AA068">
      <w:pPr>
        <w:widowControl/>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rPr>
        <w:t xml:space="preserve">特此承诺！ </w:t>
      </w:r>
    </w:p>
    <w:p w14:paraId="5B43FA82">
      <w:pPr>
        <w:widowControl/>
        <w:spacing w:line="360" w:lineRule="auto"/>
        <w:jc w:val="left"/>
        <w:rPr>
          <w:rFonts w:cs="宋体" w:asciiTheme="minorEastAsia" w:hAnsiTheme="minorEastAsia" w:eastAsiaTheme="minorEastAsia"/>
          <w:color w:val="000000"/>
          <w:kern w:val="0"/>
          <w:sz w:val="24"/>
        </w:rPr>
      </w:pPr>
    </w:p>
    <w:p w14:paraId="75852A28">
      <w:pPr>
        <w:widowControl/>
        <w:spacing w:line="360" w:lineRule="auto"/>
        <w:jc w:val="left"/>
        <w:rPr>
          <w:rFonts w:cs="宋体" w:asciiTheme="minorEastAsia" w:hAnsiTheme="minorEastAsia" w:eastAsiaTheme="minorEastAsia"/>
          <w:color w:val="000000"/>
          <w:kern w:val="0"/>
          <w:sz w:val="24"/>
          <w:u w:val="single"/>
        </w:rPr>
      </w:pPr>
      <w:r>
        <w:rPr>
          <w:rFonts w:hint="eastAsia" w:cs="宋体" w:asciiTheme="minorEastAsia" w:hAnsiTheme="minorEastAsia" w:eastAsiaTheme="minorEastAsia"/>
          <w:color w:val="000000"/>
          <w:kern w:val="0"/>
          <w:sz w:val="24"/>
        </w:rPr>
        <w:t>投标人（盖章）：</w:t>
      </w:r>
    </w:p>
    <w:p w14:paraId="08D4B421">
      <w:pPr>
        <w:widowControl/>
        <w:spacing w:line="360" w:lineRule="auto"/>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日期：年月日</w:t>
      </w:r>
    </w:p>
    <w:p w14:paraId="5ADA1056">
      <w:pPr>
        <w:snapToGrid w:val="0"/>
        <w:spacing w:before="50" w:after="50"/>
        <w:jc w:val="center"/>
        <w:rPr>
          <w:rFonts w:asciiTheme="minorEastAsia" w:hAnsiTheme="minorEastAsia" w:eastAsiaTheme="minorEastAsia"/>
          <w:b/>
          <w:sz w:val="36"/>
          <w:szCs w:val="36"/>
        </w:rPr>
        <w:sectPr>
          <w:pgSz w:w="11906" w:h="16838"/>
          <w:pgMar w:top="1418" w:right="1134" w:bottom="1134" w:left="1418" w:header="851" w:footer="992" w:gutter="0"/>
          <w:cols w:space="425" w:num="1"/>
          <w:docGrid w:type="lines" w:linePitch="312" w:charSpace="0"/>
        </w:sectPr>
      </w:pPr>
    </w:p>
    <w:p w14:paraId="563F3572">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具有依法缴纳税收和社会保障资金的良好记录承诺函</w:t>
      </w:r>
    </w:p>
    <w:p w14:paraId="74BA2A77">
      <w:pPr>
        <w:pStyle w:val="176"/>
        <w:snapToGrid w:val="0"/>
        <w:spacing w:line="500" w:lineRule="exact"/>
        <w:rPr>
          <w:rFonts w:asciiTheme="minorEastAsia" w:hAnsiTheme="minorEastAsia" w:eastAsiaTheme="minorEastAsia"/>
          <w:b/>
          <w:bCs/>
          <w:sz w:val="24"/>
          <w:szCs w:val="22"/>
        </w:rPr>
      </w:pPr>
    </w:p>
    <w:p w14:paraId="7BEBE0C8">
      <w:pPr>
        <w:widowControl/>
        <w:spacing w:line="360" w:lineRule="auto"/>
        <w:jc w:val="left"/>
        <w:rPr>
          <w:rFonts w:cs="宋体" w:asciiTheme="minorEastAsia" w:hAnsiTheme="minorEastAsia" w:eastAsiaTheme="minorEastAsia"/>
          <w:bCs/>
          <w:sz w:val="24"/>
        </w:rPr>
      </w:pPr>
      <w:r>
        <w:rPr>
          <w:rFonts w:hint="eastAsia" w:cs="宋体" w:asciiTheme="minorEastAsia" w:hAnsiTheme="minorEastAsia" w:eastAsiaTheme="minorEastAsia"/>
          <w:bCs/>
          <w:color w:val="000000"/>
          <w:kern w:val="0"/>
          <w:sz w:val="24"/>
          <w:u w:val="single"/>
        </w:rPr>
        <w:t xml:space="preserve">  桐庐鸿泰工程咨询有限公司  </w:t>
      </w:r>
      <w:r>
        <w:rPr>
          <w:rFonts w:hint="eastAsia" w:cs="宋体" w:asciiTheme="minorEastAsia" w:hAnsiTheme="minorEastAsia" w:eastAsiaTheme="minorEastAsia"/>
          <w:bCs/>
          <w:color w:val="000000"/>
          <w:kern w:val="0"/>
          <w:sz w:val="24"/>
        </w:rPr>
        <w:t xml:space="preserve">：（采购机构名称） </w:t>
      </w:r>
    </w:p>
    <w:p w14:paraId="15570424">
      <w:pPr>
        <w:pStyle w:val="176"/>
        <w:snapToGrid w:val="0"/>
        <w:spacing w:line="500" w:lineRule="exact"/>
        <w:ind w:firstLine="480" w:firstLineChars="200"/>
        <w:rPr>
          <w:rFonts w:cs="宋体" w:asciiTheme="minorEastAsia" w:hAnsiTheme="minorEastAsia" w:eastAsiaTheme="minorEastAsia"/>
          <w:sz w:val="24"/>
          <w:szCs w:val="24"/>
        </w:rPr>
      </w:pPr>
      <w:r>
        <w:rPr>
          <w:rFonts w:hint="eastAsia" w:cs="仿宋" w:asciiTheme="minorEastAsia" w:hAnsiTheme="minorEastAsia" w:eastAsiaTheme="minorEastAsia"/>
          <w:sz w:val="24"/>
          <w:szCs w:val="22"/>
        </w:rPr>
        <w:t>我</w:t>
      </w:r>
      <w:r>
        <w:rPr>
          <w:rFonts w:hint="eastAsia" w:cs="宋体" w:asciiTheme="minorEastAsia" w:hAnsiTheme="minorEastAsia" w:eastAsiaTheme="minorEastAsia"/>
          <w:sz w:val="24"/>
          <w:szCs w:val="24"/>
        </w:rPr>
        <w:t>公司郑重声明，我公司严格依法缴纳税收和社会保障资金，本文件中所提供的相关材料均真实有效，不存在虚假、造假行为。如有违反，愿承担一切责任。</w:t>
      </w:r>
    </w:p>
    <w:p w14:paraId="3B6302EF">
      <w:pPr>
        <w:pStyle w:val="176"/>
        <w:snapToGrid w:val="0"/>
        <w:spacing w:line="500" w:lineRule="exact"/>
        <w:rPr>
          <w:rFonts w:cs="宋体" w:asciiTheme="minorEastAsia" w:hAnsiTheme="minorEastAsia" w:eastAsiaTheme="minorEastAsia"/>
          <w:sz w:val="24"/>
          <w:szCs w:val="24"/>
        </w:rPr>
      </w:pPr>
    </w:p>
    <w:p w14:paraId="074C70C1">
      <w:pPr>
        <w:pStyle w:val="176"/>
        <w:snapToGrid w:val="0"/>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特此承诺！</w:t>
      </w:r>
    </w:p>
    <w:p w14:paraId="50A20B6A">
      <w:pPr>
        <w:pStyle w:val="177"/>
        <w:spacing w:line="360" w:lineRule="auto"/>
        <w:rPr>
          <w:rFonts w:cs="宋体" w:asciiTheme="minorEastAsia" w:hAnsiTheme="minorEastAsia" w:eastAsiaTheme="minorEastAsia"/>
          <w:szCs w:val="24"/>
          <w:lang w:val="en-US"/>
        </w:rPr>
      </w:pPr>
    </w:p>
    <w:p w14:paraId="743A38FE">
      <w:pPr>
        <w:pStyle w:val="177"/>
        <w:spacing w:line="360" w:lineRule="auto"/>
        <w:rPr>
          <w:rFonts w:cs="宋体" w:asciiTheme="minorEastAsia" w:hAnsiTheme="minorEastAsia" w:eastAsiaTheme="minorEastAsia"/>
          <w:szCs w:val="24"/>
          <w:lang w:val="en-US"/>
        </w:rPr>
      </w:pPr>
    </w:p>
    <w:p w14:paraId="6F901491">
      <w:pPr>
        <w:widowControl/>
        <w:spacing w:line="360" w:lineRule="auto"/>
        <w:jc w:val="left"/>
        <w:rPr>
          <w:rFonts w:cs="宋体" w:asciiTheme="minorEastAsia" w:hAnsiTheme="minorEastAsia" w:eastAsiaTheme="minorEastAsia"/>
          <w:color w:val="000000"/>
          <w:kern w:val="0"/>
          <w:sz w:val="24"/>
          <w:u w:val="single"/>
        </w:rPr>
      </w:pPr>
      <w:r>
        <w:rPr>
          <w:rFonts w:hint="eastAsia" w:cs="宋体" w:asciiTheme="minorEastAsia" w:hAnsiTheme="minorEastAsia" w:eastAsiaTheme="minorEastAsia"/>
          <w:color w:val="000000"/>
          <w:kern w:val="0"/>
          <w:sz w:val="24"/>
        </w:rPr>
        <w:t>投标人（盖章）：</w:t>
      </w:r>
    </w:p>
    <w:p w14:paraId="4194AEEF">
      <w:pPr>
        <w:spacing w:line="700" w:lineRule="exact"/>
        <w:outlineLvl w:val="3"/>
        <w:rPr>
          <w:rFonts w:asciiTheme="minorEastAsia" w:hAnsiTheme="minorEastAsia" w:eastAsiaTheme="minorEastAsia"/>
          <w:b/>
          <w:sz w:val="24"/>
        </w:rPr>
      </w:pPr>
      <w:r>
        <w:rPr>
          <w:rFonts w:hint="eastAsia" w:cs="宋体" w:asciiTheme="minorEastAsia" w:hAnsiTheme="minorEastAsia" w:eastAsiaTheme="minorEastAsia"/>
          <w:color w:val="000000"/>
          <w:kern w:val="0"/>
          <w:sz w:val="24"/>
        </w:rPr>
        <w:t>日期：年月日</w:t>
      </w:r>
    </w:p>
    <w:p w14:paraId="1656509A">
      <w:pPr>
        <w:snapToGrid w:val="0"/>
        <w:spacing w:line="360" w:lineRule="auto"/>
        <w:ind w:firstLine="602" w:firstLineChars="200"/>
        <w:jc w:val="left"/>
        <w:rPr>
          <w:rFonts w:ascii="宋体" w:hAnsi="宋体" w:cs="宋体"/>
          <w:b/>
          <w:bCs/>
          <w:sz w:val="30"/>
          <w:szCs w:val="30"/>
        </w:rPr>
        <w:sectPr>
          <w:footerReference r:id="rId18" w:type="first"/>
          <w:headerReference r:id="rId16" w:type="default"/>
          <w:footerReference r:id="rId17" w:type="default"/>
          <w:pgSz w:w="11906" w:h="16838"/>
          <w:pgMar w:top="1440" w:right="1440" w:bottom="1440" w:left="1440" w:header="851" w:footer="992" w:gutter="0"/>
          <w:pgNumType w:start="1"/>
          <w:cols w:space="720" w:num="1"/>
          <w:titlePg/>
          <w:docGrid w:linePitch="312" w:charSpace="0"/>
        </w:sectPr>
      </w:pPr>
    </w:p>
    <w:p w14:paraId="2D70557B">
      <w:pPr>
        <w:snapToGrid w:val="0"/>
        <w:spacing w:line="360" w:lineRule="auto"/>
        <w:ind w:firstLine="602" w:firstLineChars="200"/>
        <w:jc w:val="left"/>
        <w:rPr>
          <w:rFonts w:ascii="宋体" w:hAnsi="宋体" w:cs="宋体"/>
          <w:b/>
          <w:bCs/>
          <w:sz w:val="30"/>
          <w:szCs w:val="30"/>
        </w:rPr>
      </w:pPr>
      <w:r>
        <w:rPr>
          <w:rFonts w:hint="eastAsia" w:ascii="宋体" w:hAnsi="宋体" w:cs="宋体"/>
          <w:b/>
          <w:bCs/>
          <w:sz w:val="30"/>
          <w:szCs w:val="30"/>
        </w:rPr>
        <w:t>2.商务技术文件目录</w:t>
      </w:r>
    </w:p>
    <w:p w14:paraId="1EA9EDE1">
      <w:pPr>
        <w:snapToGrid w:val="0"/>
        <w:spacing w:line="360" w:lineRule="auto"/>
        <w:ind w:firstLine="480" w:firstLineChars="200"/>
        <w:jc w:val="left"/>
        <w:rPr>
          <w:rFonts w:ascii="宋体" w:hAnsi="宋体" w:cs="宋体"/>
          <w:sz w:val="24"/>
        </w:rPr>
      </w:pPr>
      <w:r>
        <w:rPr>
          <w:rFonts w:ascii="宋体" w:hAnsi="宋体" w:cs="宋体"/>
          <w:sz w:val="24"/>
        </w:rPr>
        <w:t>（</w:t>
      </w:r>
      <w:r>
        <w:rPr>
          <w:rFonts w:hint="eastAsia" w:ascii="宋体" w:hAnsi="宋体" w:cs="宋体"/>
          <w:sz w:val="24"/>
        </w:rPr>
        <w:t>1</w:t>
      </w:r>
      <w:r>
        <w:rPr>
          <w:rFonts w:ascii="宋体" w:hAnsi="宋体" w:cs="宋体"/>
          <w:sz w:val="24"/>
        </w:rPr>
        <w:t>）</w:t>
      </w:r>
      <w:r>
        <w:rPr>
          <w:rFonts w:hint="eastAsia" w:ascii="宋体" w:hAnsi="宋体" w:cs="宋体"/>
          <w:sz w:val="24"/>
        </w:rPr>
        <w:t>供应商自评分表</w:t>
      </w:r>
    </w:p>
    <w:p w14:paraId="1D63B1C5">
      <w:pPr>
        <w:snapToGrid w:val="0"/>
        <w:spacing w:line="360" w:lineRule="auto"/>
        <w:ind w:firstLine="360" w:firstLineChars="150"/>
        <w:rPr>
          <w:rFonts w:ascii="宋体" w:hAnsi="宋体" w:cs="宋体"/>
          <w:sz w:val="24"/>
        </w:rPr>
      </w:pPr>
      <w:r>
        <w:rPr>
          <w:rFonts w:hint="eastAsia" w:ascii="宋体" w:hAnsi="宋体" w:cs="宋体"/>
          <w:sz w:val="24"/>
        </w:rPr>
        <w:t>（2）业绩（格式见附件）；</w:t>
      </w:r>
    </w:p>
    <w:p w14:paraId="71C15826">
      <w:pPr>
        <w:snapToGrid w:val="0"/>
        <w:spacing w:line="360" w:lineRule="auto"/>
        <w:ind w:firstLine="360" w:firstLineChars="150"/>
        <w:rPr>
          <w:rFonts w:ascii="宋体" w:hAnsi="宋体" w:cs="宋体"/>
          <w:sz w:val="24"/>
        </w:rPr>
      </w:pPr>
      <w:r>
        <w:rPr>
          <w:rFonts w:hint="eastAsia" w:ascii="宋体" w:hAnsi="宋体" w:cs="宋体"/>
          <w:sz w:val="24"/>
        </w:rPr>
        <w:t>（3）拟投入的项目负责人及班组成员证书及社保证明材料（格式见附件）；</w:t>
      </w:r>
    </w:p>
    <w:p w14:paraId="3A608BDF">
      <w:pPr>
        <w:snapToGrid w:val="0"/>
        <w:spacing w:line="360" w:lineRule="auto"/>
        <w:ind w:firstLine="360" w:firstLineChars="150"/>
        <w:rPr>
          <w:rFonts w:ascii="宋体" w:hAnsi="宋体" w:cs="宋体"/>
          <w:sz w:val="24"/>
        </w:rPr>
      </w:pPr>
      <w:r>
        <w:rPr>
          <w:rFonts w:hint="eastAsia" w:ascii="宋体" w:hAnsi="宋体" w:cs="宋体"/>
          <w:sz w:val="24"/>
        </w:rPr>
        <w:t>（4）投标标的清单（格式见附件）</w:t>
      </w:r>
    </w:p>
    <w:p w14:paraId="0B5294C3">
      <w:pPr>
        <w:snapToGrid w:val="0"/>
        <w:spacing w:line="360" w:lineRule="auto"/>
        <w:ind w:firstLine="360" w:firstLineChars="150"/>
        <w:rPr>
          <w:rFonts w:ascii="宋体" w:hAnsi="宋体" w:cs="宋体"/>
          <w:sz w:val="24"/>
        </w:rPr>
      </w:pPr>
      <w:r>
        <w:rPr>
          <w:rFonts w:hint="eastAsia" w:ascii="宋体" w:hAnsi="宋体" w:cs="宋体"/>
          <w:sz w:val="24"/>
        </w:rPr>
        <w:t>（5）商务技术偏离表（格式见附件）</w:t>
      </w:r>
    </w:p>
    <w:p w14:paraId="014130A6">
      <w:pPr>
        <w:snapToGrid w:val="0"/>
        <w:spacing w:line="360" w:lineRule="auto"/>
        <w:ind w:firstLine="360" w:firstLineChars="150"/>
        <w:rPr>
          <w:rFonts w:ascii="宋体" w:hAnsi="宋体" w:cs="宋体"/>
          <w:sz w:val="24"/>
        </w:rPr>
      </w:pPr>
      <w:r>
        <w:rPr>
          <w:rFonts w:hint="eastAsia" w:ascii="宋体" w:hAnsi="宋体" w:cs="宋体"/>
          <w:sz w:val="24"/>
        </w:rPr>
        <w:t>（6）实施方案</w:t>
      </w:r>
    </w:p>
    <w:p w14:paraId="5FDDB9DE">
      <w:pPr>
        <w:snapToGrid w:val="0"/>
        <w:spacing w:line="360" w:lineRule="auto"/>
        <w:ind w:firstLine="360" w:firstLineChars="150"/>
        <w:rPr>
          <w:rFonts w:ascii="宋体" w:hAnsi="宋体" w:cs="宋体"/>
          <w:sz w:val="24"/>
        </w:rPr>
      </w:pPr>
      <w:r>
        <w:rPr>
          <w:rFonts w:hint="eastAsia" w:ascii="宋体" w:hAnsi="宋体" w:cs="宋体"/>
          <w:sz w:val="24"/>
        </w:rPr>
        <w:t>（7）各项保证措施保障措施</w:t>
      </w:r>
    </w:p>
    <w:p w14:paraId="122970E6">
      <w:pPr>
        <w:snapToGrid w:val="0"/>
        <w:spacing w:line="360" w:lineRule="auto"/>
        <w:ind w:firstLine="360" w:firstLineChars="150"/>
        <w:rPr>
          <w:rFonts w:ascii="宋体" w:hAnsi="宋体" w:cs="宋体"/>
          <w:sz w:val="24"/>
        </w:rPr>
      </w:pPr>
      <w:r>
        <w:rPr>
          <w:rFonts w:hint="eastAsia" w:ascii="宋体" w:hAnsi="宋体" w:cs="宋体"/>
          <w:sz w:val="24"/>
        </w:rPr>
        <w:t>（8）突发事件应急预案</w:t>
      </w:r>
    </w:p>
    <w:p w14:paraId="13E664C7">
      <w:pPr>
        <w:snapToGrid w:val="0"/>
        <w:spacing w:line="360" w:lineRule="auto"/>
        <w:ind w:firstLine="360" w:firstLineChars="150"/>
        <w:rPr>
          <w:rFonts w:ascii="宋体" w:hAnsi="宋体" w:cs="宋体"/>
          <w:sz w:val="24"/>
        </w:rPr>
      </w:pPr>
      <w:r>
        <w:rPr>
          <w:rFonts w:hint="eastAsia" w:ascii="宋体" w:hAnsi="宋体" w:cs="宋体"/>
          <w:sz w:val="24"/>
        </w:rPr>
        <w:t>（9）售后服务</w:t>
      </w:r>
    </w:p>
    <w:p w14:paraId="48583AE2">
      <w:pPr>
        <w:snapToGrid w:val="0"/>
        <w:spacing w:line="360" w:lineRule="auto"/>
        <w:ind w:firstLine="360" w:firstLineChars="150"/>
        <w:rPr>
          <w:rFonts w:ascii="宋体" w:hAnsi="宋体" w:cs="宋体"/>
          <w:sz w:val="24"/>
        </w:rPr>
      </w:pPr>
      <w:r>
        <w:rPr>
          <w:rFonts w:hint="eastAsia" w:ascii="宋体" w:hAnsi="宋体" w:cs="宋体"/>
          <w:sz w:val="24"/>
        </w:rPr>
        <w:t>（10）投标人认为需要说明的其他文件等。</w:t>
      </w:r>
    </w:p>
    <w:p w14:paraId="7E771AE8">
      <w:pPr>
        <w:spacing w:line="360" w:lineRule="auto"/>
        <w:rPr>
          <w:rFonts w:asciiTheme="minorEastAsia" w:hAnsiTheme="minorEastAsia" w:eastAsiaTheme="minorEastAsia"/>
          <w:b/>
          <w:sz w:val="24"/>
        </w:rPr>
        <w:sectPr>
          <w:pgSz w:w="11906" w:h="16838"/>
          <w:pgMar w:top="1440" w:right="1440" w:bottom="1440" w:left="1440" w:header="851" w:footer="992" w:gutter="0"/>
          <w:pgNumType w:start="1"/>
          <w:cols w:space="720" w:num="1"/>
          <w:titlePg/>
          <w:docGrid w:linePitch="312" w:charSpace="0"/>
        </w:sectPr>
      </w:pPr>
    </w:p>
    <w:p w14:paraId="6517D16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（1）评分对应表</w:t>
      </w:r>
    </w:p>
    <w:tbl>
      <w:tblPr>
        <w:tblStyle w:val="3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3"/>
        <w:gridCol w:w="3532"/>
        <w:gridCol w:w="2345"/>
      </w:tblGrid>
      <w:tr w14:paraId="283C4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03" w:type="dxa"/>
            <w:tcBorders>
              <w:top w:val="single" w:color="auto" w:sz="4" w:space="0"/>
              <w:left w:val="single" w:color="auto" w:sz="4" w:space="0"/>
              <w:bottom w:val="single" w:color="auto" w:sz="4" w:space="0"/>
              <w:right w:val="single" w:color="auto" w:sz="4" w:space="0"/>
            </w:tcBorders>
            <w:vAlign w:val="center"/>
          </w:tcPr>
          <w:p w14:paraId="63F9F746">
            <w:pPr>
              <w:spacing w:line="580" w:lineRule="exact"/>
              <w:rPr>
                <w:rFonts w:ascii="宋体" w:hAnsi="宋体" w:cs="宋体"/>
                <w:sz w:val="24"/>
              </w:rPr>
            </w:pPr>
            <w:r>
              <w:rPr>
                <w:rFonts w:hint="eastAsia" w:ascii="宋体" w:hAnsi="宋体" w:cs="宋体"/>
                <w:sz w:val="24"/>
              </w:rPr>
              <w:t>评分项目</w:t>
            </w:r>
          </w:p>
        </w:tc>
        <w:tc>
          <w:tcPr>
            <w:tcW w:w="3532" w:type="dxa"/>
            <w:tcBorders>
              <w:top w:val="single" w:color="auto" w:sz="4" w:space="0"/>
              <w:left w:val="nil"/>
              <w:bottom w:val="single" w:color="auto" w:sz="4" w:space="0"/>
              <w:right w:val="single" w:color="auto" w:sz="4" w:space="0"/>
            </w:tcBorders>
            <w:vAlign w:val="center"/>
          </w:tcPr>
          <w:p w14:paraId="3669344B">
            <w:pPr>
              <w:spacing w:line="580" w:lineRule="exact"/>
              <w:rPr>
                <w:rFonts w:ascii="宋体" w:hAnsi="宋体" w:cs="宋体"/>
                <w:sz w:val="24"/>
              </w:rPr>
            </w:pPr>
            <w:r>
              <w:rPr>
                <w:rFonts w:hint="eastAsia" w:ascii="宋体" w:hAnsi="宋体" w:cs="宋体"/>
                <w:sz w:val="24"/>
              </w:rPr>
              <w:t>投标文件对应资料</w:t>
            </w:r>
          </w:p>
        </w:tc>
        <w:tc>
          <w:tcPr>
            <w:tcW w:w="2345" w:type="dxa"/>
            <w:tcBorders>
              <w:top w:val="single" w:color="auto" w:sz="4" w:space="0"/>
              <w:left w:val="nil"/>
              <w:bottom w:val="single" w:color="auto" w:sz="4" w:space="0"/>
              <w:right w:val="single" w:color="auto" w:sz="4" w:space="0"/>
            </w:tcBorders>
            <w:vAlign w:val="center"/>
          </w:tcPr>
          <w:p w14:paraId="53EDEB83">
            <w:pPr>
              <w:spacing w:line="580" w:lineRule="exact"/>
              <w:rPr>
                <w:rFonts w:ascii="宋体" w:hAnsi="宋体" w:cs="宋体"/>
                <w:sz w:val="24"/>
              </w:rPr>
            </w:pPr>
            <w:r>
              <w:rPr>
                <w:rFonts w:hint="eastAsia" w:ascii="宋体" w:hAnsi="宋体" w:cs="宋体"/>
                <w:sz w:val="24"/>
              </w:rPr>
              <w:t>投标文件页码</w:t>
            </w:r>
          </w:p>
        </w:tc>
      </w:tr>
      <w:tr w14:paraId="396D0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600A182A">
            <w:pPr>
              <w:spacing w:line="580" w:lineRule="exact"/>
              <w:rPr>
                <w:rFonts w:ascii="宋体" w:hAnsi="宋体" w:cs="宋体"/>
                <w:sz w:val="24"/>
              </w:rPr>
            </w:pPr>
            <w:r>
              <w:rPr>
                <w:rFonts w:hint="eastAsia" w:ascii="宋体" w:hAnsi="宋体" w:cs="宋体"/>
                <w:sz w:val="24"/>
              </w:rPr>
              <w:t>对应第四章评分办法及评分标准（报价除外）</w:t>
            </w:r>
          </w:p>
        </w:tc>
        <w:tc>
          <w:tcPr>
            <w:tcW w:w="3532" w:type="dxa"/>
            <w:tcBorders>
              <w:top w:val="single" w:color="auto" w:sz="4" w:space="0"/>
              <w:left w:val="nil"/>
              <w:bottom w:val="single" w:color="auto" w:sz="4" w:space="0"/>
              <w:right w:val="single" w:color="auto" w:sz="4" w:space="0"/>
            </w:tcBorders>
          </w:tcPr>
          <w:p w14:paraId="257453B2">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316234ED">
            <w:pPr>
              <w:spacing w:line="580" w:lineRule="exact"/>
              <w:rPr>
                <w:rFonts w:ascii="宋体" w:hAnsi="宋体" w:cs="宋体"/>
                <w:sz w:val="24"/>
              </w:rPr>
            </w:pPr>
          </w:p>
        </w:tc>
      </w:tr>
      <w:tr w14:paraId="601D8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252906EF">
            <w:pPr>
              <w:spacing w:line="580" w:lineRule="exact"/>
              <w:rPr>
                <w:rFonts w:ascii="宋体" w:hAnsi="宋体" w:cs="宋体"/>
                <w:sz w:val="24"/>
              </w:rPr>
            </w:pPr>
            <w:r>
              <w:rPr>
                <w:rFonts w:hint="eastAsia" w:ascii="宋体" w:hAnsi="宋体" w:cs="宋体"/>
                <w:sz w:val="24"/>
              </w:rPr>
              <w:t>……</w:t>
            </w:r>
          </w:p>
        </w:tc>
        <w:tc>
          <w:tcPr>
            <w:tcW w:w="3532" w:type="dxa"/>
            <w:tcBorders>
              <w:top w:val="single" w:color="auto" w:sz="4" w:space="0"/>
              <w:left w:val="nil"/>
              <w:bottom w:val="single" w:color="auto" w:sz="4" w:space="0"/>
              <w:right w:val="single" w:color="auto" w:sz="4" w:space="0"/>
            </w:tcBorders>
          </w:tcPr>
          <w:p w14:paraId="51F592D6">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2831D0D7">
            <w:pPr>
              <w:spacing w:line="580" w:lineRule="exact"/>
              <w:rPr>
                <w:rFonts w:ascii="宋体" w:hAnsi="宋体" w:cs="宋体"/>
                <w:sz w:val="24"/>
              </w:rPr>
            </w:pPr>
          </w:p>
        </w:tc>
      </w:tr>
      <w:tr w14:paraId="12C93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29D3E895">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53A2622D">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38C93675">
            <w:pPr>
              <w:spacing w:line="580" w:lineRule="exact"/>
              <w:rPr>
                <w:rFonts w:ascii="宋体" w:hAnsi="宋体" w:cs="宋体"/>
                <w:sz w:val="24"/>
              </w:rPr>
            </w:pPr>
          </w:p>
        </w:tc>
      </w:tr>
      <w:tr w14:paraId="64087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7DABF2C">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6821455D">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6644EE6E">
            <w:pPr>
              <w:spacing w:line="580" w:lineRule="exact"/>
              <w:rPr>
                <w:rFonts w:ascii="宋体" w:hAnsi="宋体" w:cs="宋体"/>
                <w:sz w:val="24"/>
              </w:rPr>
            </w:pPr>
          </w:p>
        </w:tc>
      </w:tr>
      <w:tr w14:paraId="4303B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47C03F32">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248245FE">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618E5A7A">
            <w:pPr>
              <w:spacing w:line="580" w:lineRule="exact"/>
              <w:rPr>
                <w:rFonts w:ascii="宋体" w:hAnsi="宋体" w:cs="宋体"/>
                <w:sz w:val="24"/>
              </w:rPr>
            </w:pPr>
          </w:p>
        </w:tc>
      </w:tr>
      <w:tr w14:paraId="43FF0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D6EF92F">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2335F81B">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3BCB3408">
            <w:pPr>
              <w:spacing w:line="580" w:lineRule="exact"/>
              <w:rPr>
                <w:rFonts w:ascii="宋体" w:hAnsi="宋体" w:cs="宋体"/>
                <w:sz w:val="24"/>
              </w:rPr>
            </w:pPr>
          </w:p>
        </w:tc>
      </w:tr>
      <w:tr w14:paraId="0A612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69F0681D">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1768DF6F">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03BDF448">
            <w:pPr>
              <w:spacing w:line="580" w:lineRule="exact"/>
              <w:rPr>
                <w:rFonts w:ascii="宋体" w:hAnsi="宋体" w:cs="宋体"/>
                <w:sz w:val="24"/>
              </w:rPr>
            </w:pPr>
          </w:p>
        </w:tc>
      </w:tr>
      <w:tr w14:paraId="6C2A9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45423FF2">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63856F53">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097C9665">
            <w:pPr>
              <w:spacing w:line="580" w:lineRule="exact"/>
              <w:rPr>
                <w:rFonts w:ascii="宋体" w:hAnsi="宋体" w:cs="宋体"/>
                <w:sz w:val="24"/>
              </w:rPr>
            </w:pPr>
          </w:p>
        </w:tc>
      </w:tr>
      <w:tr w14:paraId="790ED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6E111BDB">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0BADEC18">
            <w:pPr>
              <w:spacing w:line="580" w:lineRule="exact"/>
              <w:rPr>
                <w:rFonts w:ascii="宋体" w:hAnsi="宋体" w:cs="宋体"/>
                <w:sz w:val="24"/>
              </w:rPr>
            </w:pPr>
          </w:p>
        </w:tc>
        <w:tc>
          <w:tcPr>
            <w:tcW w:w="2345" w:type="dxa"/>
            <w:tcBorders>
              <w:top w:val="single" w:color="auto" w:sz="4" w:space="0"/>
              <w:left w:val="nil"/>
              <w:bottom w:val="single" w:color="auto" w:sz="4" w:space="0"/>
              <w:right w:val="single" w:color="auto" w:sz="4" w:space="0"/>
            </w:tcBorders>
          </w:tcPr>
          <w:p w14:paraId="7909B8E7">
            <w:pPr>
              <w:spacing w:line="580" w:lineRule="exact"/>
              <w:rPr>
                <w:rFonts w:ascii="宋体" w:hAnsi="宋体" w:cs="宋体"/>
                <w:sz w:val="24"/>
              </w:rPr>
            </w:pPr>
          </w:p>
        </w:tc>
      </w:tr>
    </w:tbl>
    <w:p w14:paraId="5C86B680">
      <w:pPr>
        <w:snapToGrid w:val="0"/>
        <w:spacing w:before="120" w:beforeLines="50" w:after="50" w:line="360" w:lineRule="auto"/>
        <w:rPr>
          <w:rFonts w:ascii="宋体" w:hAnsi="宋体" w:cs="宋体"/>
          <w:sz w:val="24"/>
        </w:rPr>
      </w:pPr>
    </w:p>
    <w:p w14:paraId="650E940D">
      <w:pPr>
        <w:snapToGrid w:val="0"/>
        <w:spacing w:before="120" w:beforeLines="50" w:after="50" w:line="360" w:lineRule="auto"/>
        <w:rPr>
          <w:rFonts w:ascii="宋体" w:hAnsi="宋体" w:cs="宋体"/>
          <w:sz w:val="24"/>
        </w:rPr>
      </w:pPr>
    </w:p>
    <w:p w14:paraId="2F0CED30">
      <w:pPr>
        <w:snapToGrid w:val="0"/>
        <w:spacing w:before="120" w:beforeLines="50" w:after="50" w:line="460" w:lineRule="exact"/>
        <w:ind w:firstLine="120" w:firstLineChars="50"/>
        <w:jc w:val="right"/>
        <w:rPr>
          <w:rFonts w:ascii="宋体" w:hAnsi="宋体" w:cs="宋体"/>
          <w:sz w:val="24"/>
        </w:rPr>
      </w:pPr>
      <w:r>
        <w:rPr>
          <w:rFonts w:hint="eastAsia" w:ascii="宋体" w:hAnsi="宋体" w:cs="宋体"/>
          <w:sz w:val="24"/>
        </w:rPr>
        <w:t>投标人全称（公章）：</w:t>
      </w:r>
    </w:p>
    <w:p w14:paraId="7BAB1856">
      <w:pPr>
        <w:spacing w:before="120" w:beforeLines="50" w:after="120" w:afterLines="50" w:line="480" w:lineRule="exact"/>
        <w:ind w:right="105" w:rightChars="50" w:firstLine="2870" w:firstLineChars="1196"/>
        <w:jc w:val="right"/>
        <w:rPr>
          <w:rFonts w:ascii="宋体" w:hAnsi="宋体" w:cs="宋体"/>
          <w:sz w:val="24"/>
        </w:rPr>
      </w:pPr>
      <w:r>
        <w:rPr>
          <w:rFonts w:hint="eastAsia" w:ascii="宋体" w:hAnsi="宋体" w:cs="宋体"/>
          <w:sz w:val="24"/>
        </w:rPr>
        <w:t>法定代表人或委托代理人：（签字或盖章）</w:t>
      </w:r>
    </w:p>
    <w:p w14:paraId="4A41B32C">
      <w:pPr>
        <w:spacing w:line="360" w:lineRule="auto"/>
        <w:jc w:val="right"/>
        <w:rPr>
          <w:rFonts w:ascii="宋体" w:hAnsi="宋体" w:cs="宋体"/>
          <w:sz w:val="24"/>
        </w:rPr>
      </w:pPr>
      <w:r>
        <w:rPr>
          <w:rFonts w:hint="eastAsia" w:ascii="宋体" w:hAnsi="宋体" w:cs="宋体"/>
          <w:sz w:val="24"/>
        </w:rPr>
        <w:t>日 期：</w:t>
      </w:r>
    </w:p>
    <w:p w14:paraId="0E599D19">
      <w:pPr>
        <w:spacing w:line="360" w:lineRule="auto"/>
        <w:rPr>
          <w:rFonts w:asciiTheme="minorEastAsia" w:hAnsiTheme="minorEastAsia" w:eastAsiaTheme="minorEastAsia"/>
          <w:b/>
          <w:sz w:val="24"/>
        </w:rPr>
        <w:sectPr>
          <w:pgSz w:w="11906" w:h="16838"/>
          <w:pgMar w:top="1440" w:right="1440" w:bottom="1440" w:left="1440" w:header="851" w:footer="992" w:gutter="0"/>
          <w:pgNumType w:start="1"/>
          <w:cols w:space="720" w:num="1"/>
          <w:titlePg/>
          <w:docGrid w:linePitch="312" w:charSpace="0"/>
        </w:sectPr>
      </w:pPr>
    </w:p>
    <w:p w14:paraId="4CAE2EB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拟派本项目主要团队成员表</w:t>
      </w:r>
    </w:p>
    <w:p w14:paraId="42037B44">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投标人全称（加盖公章）： 采购编号：</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1315"/>
        <w:gridCol w:w="2307"/>
        <w:gridCol w:w="1933"/>
        <w:gridCol w:w="1952"/>
      </w:tblGrid>
      <w:tr w14:paraId="0B139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42C9C6F2">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姓名</w:t>
            </w:r>
          </w:p>
        </w:tc>
        <w:tc>
          <w:tcPr>
            <w:tcW w:w="1315" w:type="dxa"/>
            <w:tcBorders>
              <w:top w:val="single" w:color="auto" w:sz="4" w:space="0"/>
              <w:left w:val="single" w:color="auto" w:sz="4" w:space="0"/>
              <w:bottom w:val="single" w:color="auto" w:sz="4" w:space="0"/>
              <w:right w:val="single" w:color="auto" w:sz="4" w:space="0"/>
            </w:tcBorders>
            <w:vAlign w:val="center"/>
          </w:tcPr>
          <w:p w14:paraId="0B10192A">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职位</w:t>
            </w:r>
          </w:p>
        </w:tc>
        <w:tc>
          <w:tcPr>
            <w:tcW w:w="2307" w:type="dxa"/>
            <w:tcBorders>
              <w:top w:val="single" w:color="auto" w:sz="4" w:space="0"/>
              <w:left w:val="single" w:color="auto" w:sz="4" w:space="0"/>
              <w:bottom w:val="single" w:color="auto" w:sz="4" w:space="0"/>
              <w:right w:val="single" w:color="auto" w:sz="4" w:space="0"/>
            </w:tcBorders>
            <w:vAlign w:val="center"/>
          </w:tcPr>
          <w:p w14:paraId="12EB5315">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持何种资格证件</w:t>
            </w:r>
          </w:p>
        </w:tc>
        <w:tc>
          <w:tcPr>
            <w:tcW w:w="1933" w:type="dxa"/>
            <w:tcBorders>
              <w:top w:val="single" w:color="auto" w:sz="4" w:space="0"/>
              <w:left w:val="single" w:color="auto" w:sz="4" w:space="0"/>
              <w:bottom w:val="single" w:color="auto" w:sz="4" w:space="0"/>
              <w:right w:val="single" w:color="auto" w:sz="4" w:space="0"/>
            </w:tcBorders>
            <w:vAlign w:val="center"/>
          </w:tcPr>
          <w:p w14:paraId="10827494">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发证时间</w:t>
            </w:r>
          </w:p>
        </w:tc>
        <w:tc>
          <w:tcPr>
            <w:tcW w:w="1952" w:type="dxa"/>
            <w:tcBorders>
              <w:top w:val="single" w:color="auto" w:sz="4" w:space="0"/>
              <w:left w:val="single" w:color="auto" w:sz="4" w:space="0"/>
              <w:bottom w:val="single" w:color="auto" w:sz="4" w:space="0"/>
              <w:right w:val="single" w:color="auto" w:sz="4" w:space="0"/>
            </w:tcBorders>
            <w:vAlign w:val="center"/>
          </w:tcPr>
          <w:p w14:paraId="5FCE1B37">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从事本工作时间</w:t>
            </w:r>
          </w:p>
        </w:tc>
      </w:tr>
      <w:tr w14:paraId="1BE6C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184C08AF">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7A291DD5">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095AF243">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7EC6DA2B">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7A9A769F">
            <w:pPr>
              <w:spacing w:line="360" w:lineRule="auto"/>
              <w:ind w:firstLine="480"/>
              <w:rPr>
                <w:rFonts w:asciiTheme="minorEastAsia" w:hAnsiTheme="minorEastAsia" w:eastAsiaTheme="minorEastAsia"/>
                <w:bCs/>
                <w:sz w:val="24"/>
              </w:rPr>
            </w:pPr>
          </w:p>
        </w:tc>
      </w:tr>
      <w:tr w14:paraId="119EB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4FE4A3C0">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51DCB53">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09EC728">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5F2B693E">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264961A2">
            <w:pPr>
              <w:spacing w:line="360" w:lineRule="auto"/>
              <w:ind w:firstLine="480"/>
              <w:rPr>
                <w:rFonts w:asciiTheme="minorEastAsia" w:hAnsiTheme="minorEastAsia" w:eastAsiaTheme="minorEastAsia"/>
                <w:bCs/>
                <w:sz w:val="24"/>
              </w:rPr>
            </w:pPr>
          </w:p>
        </w:tc>
      </w:tr>
      <w:tr w14:paraId="2F0E2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2A69AB5D">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3688551B">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69A21F8D">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1EB925F1">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6C95D11E">
            <w:pPr>
              <w:spacing w:line="360" w:lineRule="auto"/>
              <w:ind w:firstLine="480"/>
              <w:rPr>
                <w:rFonts w:asciiTheme="minorEastAsia" w:hAnsiTheme="minorEastAsia" w:eastAsiaTheme="minorEastAsia"/>
                <w:bCs/>
                <w:sz w:val="24"/>
              </w:rPr>
            </w:pPr>
          </w:p>
        </w:tc>
      </w:tr>
      <w:tr w14:paraId="351C4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79AF2FC2">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3BD7D942">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65F57AC8">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89E9B4A">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5D057FA4">
            <w:pPr>
              <w:spacing w:line="360" w:lineRule="auto"/>
              <w:ind w:firstLine="480"/>
              <w:rPr>
                <w:rFonts w:asciiTheme="minorEastAsia" w:hAnsiTheme="minorEastAsia" w:eastAsiaTheme="minorEastAsia"/>
                <w:bCs/>
                <w:sz w:val="24"/>
              </w:rPr>
            </w:pPr>
          </w:p>
        </w:tc>
      </w:tr>
      <w:tr w14:paraId="32636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610A93E6">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757A98DD">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15996A7F">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41007319">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5B777D8D">
            <w:pPr>
              <w:spacing w:line="360" w:lineRule="auto"/>
              <w:ind w:firstLine="480"/>
              <w:rPr>
                <w:rFonts w:asciiTheme="minorEastAsia" w:hAnsiTheme="minorEastAsia" w:eastAsiaTheme="minorEastAsia"/>
                <w:bCs/>
                <w:sz w:val="24"/>
              </w:rPr>
            </w:pPr>
          </w:p>
        </w:tc>
      </w:tr>
      <w:tr w14:paraId="7B513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7E916DE">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5BDA0012">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2F45F1FD">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4F92EED9">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3167627D">
            <w:pPr>
              <w:spacing w:line="360" w:lineRule="auto"/>
              <w:ind w:firstLine="480"/>
              <w:rPr>
                <w:rFonts w:asciiTheme="minorEastAsia" w:hAnsiTheme="minorEastAsia" w:eastAsiaTheme="minorEastAsia"/>
                <w:bCs/>
                <w:sz w:val="24"/>
              </w:rPr>
            </w:pPr>
          </w:p>
        </w:tc>
      </w:tr>
      <w:tr w14:paraId="6D876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4E9D3159">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5177D27">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2651A9C">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1E9EAE6">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20D4E8D">
            <w:pPr>
              <w:spacing w:line="360" w:lineRule="auto"/>
              <w:ind w:firstLine="480"/>
              <w:rPr>
                <w:rFonts w:asciiTheme="minorEastAsia" w:hAnsiTheme="minorEastAsia" w:eastAsiaTheme="minorEastAsia"/>
                <w:bCs/>
                <w:sz w:val="24"/>
              </w:rPr>
            </w:pPr>
          </w:p>
        </w:tc>
      </w:tr>
      <w:tr w14:paraId="79D88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425D04D7">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6DB10462">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6F7E29EB">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192D0E33">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25C8F39D">
            <w:pPr>
              <w:spacing w:line="360" w:lineRule="auto"/>
              <w:ind w:firstLine="480"/>
              <w:rPr>
                <w:rFonts w:asciiTheme="minorEastAsia" w:hAnsiTheme="minorEastAsia" w:eastAsiaTheme="minorEastAsia"/>
                <w:bCs/>
                <w:sz w:val="24"/>
              </w:rPr>
            </w:pPr>
          </w:p>
        </w:tc>
      </w:tr>
      <w:tr w14:paraId="63B0B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3E06D2A3">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13A82962">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25191718">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2B88C081">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2F9F9957">
            <w:pPr>
              <w:spacing w:line="360" w:lineRule="auto"/>
              <w:ind w:firstLine="480"/>
              <w:rPr>
                <w:rFonts w:asciiTheme="minorEastAsia" w:hAnsiTheme="minorEastAsia" w:eastAsiaTheme="minorEastAsia"/>
                <w:bCs/>
                <w:sz w:val="24"/>
              </w:rPr>
            </w:pPr>
          </w:p>
        </w:tc>
      </w:tr>
      <w:tr w14:paraId="268E5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7E97B824">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EB7641A">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47AECCD2">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2CFFD600">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53C0B533">
            <w:pPr>
              <w:spacing w:line="360" w:lineRule="auto"/>
              <w:ind w:firstLine="480"/>
              <w:rPr>
                <w:rFonts w:asciiTheme="minorEastAsia" w:hAnsiTheme="minorEastAsia" w:eastAsiaTheme="minorEastAsia"/>
                <w:bCs/>
                <w:sz w:val="24"/>
              </w:rPr>
            </w:pPr>
          </w:p>
        </w:tc>
      </w:tr>
      <w:tr w14:paraId="4D84F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DCF3E4E">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3B8EEC23">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6CB84F56">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7EC88CF1">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0B31EA81">
            <w:pPr>
              <w:spacing w:line="360" w:lineRule="auto"/>
              <w:ind w:firstLine="480"/>
              <w:rPr>
                <w:rFonts w:asciiTheme="minorEastAsia" w:hAnsiTheme="minorEastAsia" w:eastAsiaTheme="minorEastAsia"/>
                <w:bCs/>
                <w:sz w:val="24"/>
              </w:rPr>
            </w:pPr>
          </w:p>
        </w:tc>
      </w:tr>
      <w:tr w14:paraId="6D55A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3D458F5B">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690A9AFB">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0C14E102">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01E51796">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6FB8E541">
            <w:pPr>
              <w:spacing w:line="360" w:lineRule="auto"/>
              <w:ind w:firstLine="480"/>
              <w:rPr>
                <w:rFonts w:asciiTheme="minorEastAsia" w:hAnsiTheme="minorEastAsia" w:eastAsiaTheme="minorEastAsia"/>
                <w:bCs/>
                <w:sz w:val="24"/>
              </w:rPr>
            </w:pPr>
          </w:p>
        </w:tc>
      </w:tr>
      <w:tr w14:paraId="1AE81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1B44EBB3">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29207293">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40CEBD14">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063D6012">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4668F0F6">
            <w:pPr>
              <w:spacing w:line="360" w:lineRule="auto"/>
              <w:ind w:firstLine="480"/>
              <w:rPr>
                <w:rFonts w:asciiTheme="minorEastAsia" w:hAnsiTheme="minorEastAsia" w:eastAsiaTheme="minorEastAsia"/>
                <w:bCs/>
                <w:sz w:val="24"/>
              </w:rPr>
            </w:pPr>
          </w:p>
        </w:tc>
      </w:tr>
    </w:tbl>
    <w:p w14:paraId="7BE38B1A">
      <w:pPr>
        <w:spacing w:line="360" w:lineRule="auto"/>
        <w:ind w:firstLine="480"/>
        <w:rPr>
          <w:rFonts w:asciiTheme="minorEastAsia" w:hAnsiTheme="minorEastAsia" w:eastAsiaTheme="minorEastAsia"/>
          <w:bCs/>
          <w:sz w:val="24"/>
        </w:rPr>
      </w:pPr>
    </w:p>
    <w:p w14:paraId="1D4CC96D">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法定代表人或其授权委托人：（签字或盖章）</w:t>
      </w:r>
    </w:p>
    <w:p w14:paraId="00248979">
      <w:pPr>
        <w:spacing w:line="360" w:lineRule="auto"/>
        <w:ind w:firstLine="480"/>
        <w:rPr>
          <w:rFonts w:asciiTheme="minorEastAsia" w:hAnsiTheme="minorEastAsia" w:eastAsiaTheme="minorEastAsia"/>
          <w:bCs/>
          <w:sz w:val="24"/>
        </w:rPr>
      </w:pPr>
    </w:p>
    <w:p w14:paraId="0938F2CD">
      <w:pPr>
        <w:spacing w:line="360" w:lineRule="auto"/>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 xml:space="preserve">       　　　　　　　　　　　　　　　　日期：     年  　月   日</w:t>
      </w:r>
    </w:p>
    <w:p w14:paraId="0A13BAB5">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注：1、此表仅提供了表格形式，投标人应根据需要准备足够数量的表格来填写；</w:t>
      </w:r>
    </w:p>
    <w:p w14:paraId="23518D03">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2、请附证书复印件（加盖公章）。</w:t>
      </w:r>
    </w:p>
    <w:p w14:paraId="224D59ED">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3、社保复印件（加盖公章）</w:t>
      </w:r>
    </w:p>
    <w:p w14:paraId="309BB3ED">
      <w:pPr>
        <w:spacing w:line="360" w:lineRule="auto"/>
        <w:outlineLvl w:val="3"/>
        <w:rPr>
          <w:rFonts w:asciiTheme="minorEastAsia" w:hAnsiTheme="minorEastAsia" w:eastAsiaTheme="minorEastAsia"/>
          <w:b/>
          <w:sz w:val="24"/>
        </w:rPr>
        <w:sectPr>
          <w:pgSz w:w="11906" w:h="16838"/>
          <w:pgMar w:top="1440" w:right="1440" w:bottom="1440" w:left="1440" w:header="851" w:footer="992" w:gutter="0"/>
          <w:pgNumType w:start="1"/>
          <w:cols w:space="720" w:num="1"/>
          <w:titlePg/>
          <w:docGrid w:linePitch="312" w:charSpace="0"/>
        </w:sectPr>
      </w:pPr>
    </w:p>
    <w:p w14:paraId="2FE2B7D9">
      <w:pPr>
        <w:spacing w:line="360" w:lineRule="auto"/>
        <w:outlineLvl w:val="3"/>
        <w:rPr>
          <w:rFonts w:asciiTheme="minorEastAsia" w:hAnsiTheme="minorEastAsia" w:eastAsiaTheme="minorEastAsia"/>
          <w:b/>
          <w:sz w:val="24"/>
        </w:rPr>
      </w:pPr>
      <w:r>
        <w:rPr>
          <w:rFonts w:hint="eastAsia" w:asciiTheme="minorEastAsia" w:hAnsiTheme="minorEastAsia" w:eastAsiaTheme="minorEastAsia"/>
          <w:b/>
          <w:sz w:val="24"/>
        </w:rPr>
        <w:t>（3）企业业绩</w:t>
      </w:r>
    </w:p>
    <w:tbl>
      <w:tblPr>
        <w:tblStyle w:val="3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002"/>
        <w:gridCol w:w="1984"/>
        <w:gridCol w:w="1985"/>
        <w:gridCol w:w="2693"/>
      </w:tblGrid>
      <w:tr w14:paraId="21BB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00" w:type="dxa"/>
            <w:noWrap/>
            <w:vAlign w:val="center"/>
          </w:tcPr>
          <w:p w14:paraId="56DE1626">
            <w:pPr>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序号</w:t>
            </w:r>
          </w:p>
        </w:tc>
        <w:tc>
          <w:tcPr>
            <w:tcW w:w="2002" w:type="dxa"/>
            <w:noWrap/>
            <w:vAlign w:val="center"/>
          </w:tcPr>
          <w:p w14:paraId="2DA6911B">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采购方</w:t>
            </w:r>
          </w:p>
        </w:tc>
        <w:tc>
          <w:tcPr>
            <w:tcW w:w="1984" w:type="dxa"/>
            <w:noWrap/>
            <w:vAlign w:val="center"/>
          </w:tcPr>
          <w:p w14:paraId="425C6E25">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合同金额</w:t>
            </w:r>
          </w:p>
        </w:tc>
        <w:tc>
          <w:tcPr>
            <w:tcW w:w="1985" w:type="dxa"/>
            <w:noWrap/>
            <w:vAlign w:val="center"/>
          </w:tcPr>
          <w:p w14:paraId="52867C1C">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签订时间</w:t>
            </w:r>
          </w:p>
        </w:tc>
        <w:tc>
          <w:tcPr>
            <w:tcW w:w="2693" w:type="dxa"/>
            <w:noWrap/>
            <w:vAlign w:val="center"/>
          </w:tcPr>
          <w:p w14:paraId="344FEA62">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备注、合同内容</w:t>
            </w:r>
          </w:p>
        </w:tc>
      </w:tr>
      <w:tr w14:paraId="6F31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0F18A6D7">
            <w:pPr>
              <w:snapToGrid w:val="0"/>
              <w:spacing w:line="360" w:lineRule="auto"/>
              <w:jc w:val="center"/>
              <w:rPr>
                <w:rFonts w:asciiTheme="minorEastAsia" w:hAnsiTheme="minorEastAsia" w:eastAsiaTheme="minorEastAsia"/>
                <w:sz w:val="24"/>
              </w:rPr>
            </w:pPr>
          </w:p>
        </w:tc>
        <w:tc>
          <w:tcPr>
            <w:tcW w:w="2002" w:type="dxa"/>
            <w:noWrap/>
          </w:tcPr>
          <w:p w14:paraId="16A4FC21">
            <w:pPr>
              <w:snapToGrid w:val="0"/>
              <w:spacing w:line="360" w:lineRule="auto"/>
              <w:jc w:val="center"/>
              <w:rPr>
                <w:rFonts w:asciiTheme="minorEastAsia" w:hAnsiTheme="minorEastAsia" w:eastAsiaTheme="minorEastAsia"/>
                <w:sz w:val="24"/>
              </w:rPr>
            </w:pPr>
          </w:p>
        </w:tc>
        <w:tc>
          <w:tcPr>
            <w:tcW w:w="1984" w:type="dxa"/>
            <w:noWrap/>
          </w:tcPr>
          <w:p w14:paraId="359FDFC3">
            <w:pPr>
              <w:snapToGrid w:val="0"/>
              <w:spacing w:line="360" w:lineRule="auto"/>
              <w:rPr>
                <w:rFonts w:asciiTheme="minorEastAsia" w:hAnsiTheme="minorEastAsia" w:eastAsiaTheme="minorEastAsia"/>
                <w:sz w:val="24"/>
              </w:rPr>
            </w:pPr>
          </w:p>
        </w:tc>
        <w:tc>
          <w:tcPr>
            <w:tcW w:w="1985" w:type="dxa"/>
            <w:noWrap/>
          </w:tcPr>
          <w:p w14:paraId="67969822">
            <w:pPr>
              <w:snapToGrid w:val="0"/>
              <w:spacing w:line="360" w:lineRule="auto"/>
              <w:jc w:val="center"/>
              <w:rPr>
                <w:rFonts w:asciiTheme="minorEastAsia" w:hAnsiTheme="minorEastAsia" w:eastAsiaTheme="minorEastAsia"/>
                <w:sz w:val="24"/>
              </w:rPr>
            </w:pPr>
          </w:p>
        </w:tc>
        <w:tc>
          <w:tcPr>
            <w:tcW w:w="2693" w:type="dxa"/>
            <w:noWrap/>
          </w:tcPr>
          <w:p w14:paraId="3737634C">
            <w:pPr>
              <w:snapToGrid w:val="0"/>
              <w:spacing w:line="360" w:lineRule="auto"/>
              <w:jc w:val="center"/>
              <w:rPr>
                <w:rFonts w:asciiTheme="minorEastAsia" w:hAnsiTheme="minorEastAsia" w:eastAsiaTheme="minorEastAsia"/>
                <w:sz w:val="24"/>
              </w:rPr>
            </w:pPr>
          </w:p>
        </w:tc>
      </w:tr>
      <w:tr w14:paraId="6EAB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36D633C1">
            <w:pPr>
              <w:snapToGrid w:val="0"/>
              <w:spacing w:line="360" w:lineRule="auto"/>
              <w:jc w:val="center"/>
              <w:rPr>
                <w:rFonts w:asciiTheme="minorEastAsia" w:hAnsiTheme="minorEastAsia" w:eastAsiaTheme="minorEastAsia"/>
                <w:sz w:val="24"/>
              </w:rPr>
            </w:pPr>
          </w:p>
        </w:tc>
        <w:tc>
          <w:tcPr>
            <w:tcW w:w="2002" w:type="dxa"/>
            <w:noWrap/>
          </w:tcPr>
          <w:p w14:paraId="451B69A9">
            <w:pPr>
              <w:snapToGrid w:val="0"/>
              <w:spacing w:line="360" w:lineRule="auto"/>
              <w:jc w:val="center"/>
              <w:rPr>
                <w:rFonts w:asciiTheme="minorEastAsia" w:hAnsiTheme="minorEastAsia" w:eastAsiaTheme="minorEastAsia"/>
                <w:sz w:val="24"/>
              </w:rPr>
            </w:pPr>
          </w:p>
        </w:tc>
        <w:tc>
          <w:tcPr>
            <w:tcW w:w="1984" w:type="dxa"/>
            <w:noWrap/>
          </w:tcPr>
          <w:p w14:paraId="5062BC65">
            <w:pPr>
              <w:snapToGrid w:val="0"/>
              <w:spacing w:line="360" w:lineRule="auto"/>
              <w:rPr>
                <w:rFonts w:asciiTheme="minorEastAsia" w:hAnsiTheme="minorEastAsia" w:eastAsiaTheme="minorEastAsia"/>
                <w:sz w:val="24"/>
              </w:rPr>
            </w:pPr>
          </w:p>
        </w:tc>
        <w:tc>
          <w:tcPr>
            <w:tcW w:w="1985" w:type="dxa"/>
            <w:noWrap/>
          </w:tcPr>
          <w:p w14:paraId="3805B18C">
            <w:pPr>
              <w:snapToGrid w:val="0"/>
              <w:spacing w:line="360" w:lineRule="auto"/>
              <w:jc w:val="center"/>
              <w:rPr>
                <w:rFonts w:asciiTheme="minorEastAsia" w:hAnsiTheme="minorEastAsia" w:eastAsiaTheme="minorEastAsia"/>
                <w:sz w:val="24"/>
              </w:rPr>
            </w:pPr>
          </w:p>
        </w:tc>
        <w:tc>
          <w:tcPr>
            <w:tcW w:w="2693" w:type="dxa"/>
            <w:noWrap/>
          </w:tcPr>
          <w:p w14:paraId="168246C0">
            <w:pPr>
              <w:snapToGrid w:val="0"/>
              <w:spacing w:line="360" w:lineRule="auto"/>
              <w:jc w:val="center"/>
              <w:rPr>
                <w:rFonts w:asciiTheme="minorEastAsia" w:hAnsiTheme="minorEastAsia" w:eastAsiaTheme="minorEastAsia"/>
                <w:sz w:val="24"/>
              </w:rPr>
            </w:pPr>
          </w:p>
        </w:tc>
      </w:tr>
      <w:tr w14:paraId="50F7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69200C63">
            <w:pPr>
              <w:snapToGrid w:val="0"/>
              <w:spacing w:line="360" w:lineRule="auto"/>
              <w:jc w:val="center"/>
              <w:rPr>
                <w:rFonts w:asciiTheme="minorEastAsia" w:hAnsiTheme="minorEastAsia" w:eastAsiaTheme="minorEastAsia"/>
                <w:sz w:val="24"/>
              </w:rPr>
            </w:pPr>
          </w:p>
        </w:tc>
        <w:tc>
          <w:tcPr>
            <w:tcW w:w="2002" w:type="dxa"/>
            <w:noWrap/>
          </w:tcPr>
          <w:p w14:paraId="40CB56FE">
            <w:pPr>
              <w:snapToGrid w:val="0"/>
              <w:spacing w:line="360" w:lineRule="auto"/>
              <w:jc w:val="center"/>
              <w:rPr>
                <w:rFonts w:asciiTheme="minorEastAsia" w:hAnsiTheme="minorEastAsia" w:eastAsiaTheme="minorEastAsia"/>
                <w:sz w:val="24"/>
              </w:rPr>
            </w:pPr>
          </w:p>
        </w:tc>
        <w:tc>
          <w:tcPr>
            <w:tcW w:w="1984" w:type="dxa"/>
            <w:noWrap/>
          </w:tcPr>
          <w:p w14:paraId="2F554D96">
            <w:pPr>
              <w:snapToGrid w:val="0"/>
              <w:spacing w:line="360" w:lineRule="auto"/>
              <w:rPr>
                <w:rFonts w:asciiTheme="minorEastAsia" w:hAnsiTheme="minorEastAsia" w:eastAsiaTheme="minorEastAsia"/>
                <w:sz w:val="24"/>
              </w:rPr>
            </w:pPr>
          </w:p>
        </w:tc>
        <w:tc>
          <w:tcPr>
            <w:tcW w:w="1985" w:type="dxa"/>
            <w:noWrap/>
          </w:tcPr>
          <w:p w14:paraId="567162F1">
            <w:pPr>
              <w:snapToGrid w:val="0"/>
              <w:spacing w:line="360" w:lineRule="auto"/>
              <w:jc w:val="center"/>
              <w:rPr>
                <w:rFonts w:asciiTheme="minorEastAsia" w:hAnsiTheme="minorEastAsia" w:eastAsiaTheme="minorEastAsia"/>
                <w:sz w:val="24"/>
              </w:rPr>
            </w:pPr>
          </w:p>
        </w:tc>
        <w:tc>
          <w:tcPr>
            <w:tcW w:w="2693" w:type="dxa"/>
            <w:noWrap/>
          </w:tcPr>
          <w:p w14:paraId="3376043C">
            <w:pPr>
              <w:snapToGrid w:val="0"/>
              <w:spacing w:line="360" w:lineRule="auto"/>
              <w:jc w:val="center"/>
              <w:rPr>
                <w:rFonts w:asciiTheme="minorEastAsia" w:hAnsiTheme="minorEastAsia" w:eastAsiaTheme="minorEastAsia"/>
                <w:sz w:val="24"/>
              </w:rPr>
            </w:pPr>
          </w:p>
        </w:tc>
      </w:tr>
      <w:tr w14:paraId="3AB7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00" w:type="dxa"/>
            <w:noWrap/>
          </w:tcPr>
          <w:p w14:paraId="1A39C014">
            <w:pPr>
              <w:snapToGrid w:val="0"/>
              <w:spacing w:line="360" w:lineRule="auto"/>
              <w:jc w:val="center"/>
              <w:rPr>
                <w:rFonts w:asciiTheme="minorEastAsia" w:hAnsiTheme="minorEastAsia" w:eastAsiaTheme="minorEastAsia"/>
                <w:sz w:val="24"/>
              </w:rPr>
            </w:pPr>
          </w:p>
        </w:tc>
        <w:tc>
          <w:tcPr>
            <w:tcW w:w="2002" w:type="dxa"/>
            <w:noWrap/>
          </w:tcPr>
          <w:p w14:paraId="4A39DE5A">
            <w:pPr>
              <w:snapToGrid w:val="0"/>
              <w:spacing w:line="360" w:lineRule="auto"/>
              <w:jc w:val="center"/>
              <w:rPr>
                <w:rFonts w:asciiTheme="minorEastAsia" w:hAnsiTheme="minorEastAsia" w:eastAsiaTheme="minorEastAsia"/>
                <w:sz w:val="24"/>
              </w:rPr>
            </w:pPr>
          </w:p>
        </w:tc>
        <w:tc>
          <w:tcPr>
            <w:tcW w:w="1984" w:type="dxa"/>
            <w:noWrap/>
          </w:tcPr>
          <w:p w14:paraId="60ED90D1">
            <w:pPr>
              <w:snapToGrid w:val="0"/>
              <w:spacing w:line="360" w:lineRule="auto"/>
              <w:rPr>
                <w:rFonts w:asciiTheme="minorEastAsia" w:hAnsiTheme="minorEastAsia" w:eastAsiaTheme="minorEastAsia"/>
                <w:sz w:val="24"/>
              </w:rPr>
            </w:pPr>
          </w:p>
        </w:tc>
        <w:tc>
          <w:tcPr>
            <w:tcW w:w="1985" w:type="dxa"/>
            <w:noWrap/>
          </w:tcPr>
          <w:p w14:paraId="2F023EC1">
            <w:pPr>
              <w:snapToGrid w:val="0"/>
              <w:spacing w:line="360" w:lineRule="auto"/>
              <w:jc w:val="center"/>
              <w:rPr>
                <w:rFonts w:asciiTheme="minorEastAsia" w:hAnsiTheme="minorEastAsia" w:eastAsiaTheme="minorEastAsia"/>
                <w:sz w:val="24"/>
              </w:rPr>
            </w:pPr>
          </w:p>
        </w:tc>
        <w:tc>
          <w:tcPr>
            <w:tcW w:w="2693" w:type="dxa"/>
            <w:noWrap/>
          </w:tcPr>
          <w:p w14:paraId="11D59B48">
            <w:pPr>
              <w:snapToGrid w:val="0"/>
              <w:spacing w:line="360" w:lineRule="auto"/>
              <w:jc w:val="center"/>
              <w:rPr>
                <w:rFonts w:asciiTheme="minorEastAsia" w:hAnsiTheme="minorEastAsia" w:eastAsiaTheme="minorEastAsia"/>
                <w:sz w:val="24"/>
              </w:rPr>
            </w:pPr>
          </w:p>
        </w:tc>
      </w:tr>
      <w:tr w14:paraId="553E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4716790F">
            <w:pPr>
              <w:snapToGrid w:val="0"/>
              <w:spacing w:line="360" w:lineRule="auto"/>
              <w:jc w:val="center"/>
              <w:rPr>
                <w:rFonts w:asciiTheme="minorEastAsia" w:hAnsiTheme="minorEastAsia" w:eastAsiaTheme="minorEastAsia"/>
                <w:sz w:val="24"/>
              </w:rPr>
            </w:pPr>
          </w:p>
        </w:tc>
        <w:tc>
          <w:tcPr>
            <w:tcW w:w="2002" w:type="dxa"/>
            <w:noWrap/>
          </w:tcPr>
          <w:p w14:paraId="6188D204">
            <w:pPr>
              <w:snapToGrid w:val="0"/>
              <w:spacing w:line="360" w:lineRule="auto"/>
              <w:jc w:val="center"/>
              <w:rPr>
                <w:rFonts w:asciiTheme="minorEastAsia" w:hAnsiTheme="minorEastAsia" w:eastAsiaTheme="minorEastAsia"/>
                <w:sz w:val="24"/>
              </w:rPr>
            </w:pPr>
          </w:p>
        </w:tc>
        <w:tc>
          <w:tcPr>
            <w:tcW w:w="1984" w:type="dxa"/>
            <w:noWrap/>
          </w:tcPr>
          <w:p w14:paraId="150678F8">
            <w:pPr>
              <w:snapToGrid w:val="0"/>
              <w:spacing w:line="360" w:lineRule="auto"/>
              <w:rPr>
                <w:rFonts w:asciiTheme="minorEastAsia" w:hAnsiTheme="minorEastAsia" w:eastAsiaTheme="minorEastAsia"/>
                <w:sz w:val="24"/>
              </w:rPr>
            </w:pPr>
          </w:p>
        </w:tc>
        <w:tc>
          <w:tcPr>
            <w:tcW w:w="1985" w:type="dxa"/>
            <w:noWrap/>
          </w:tcPr>
          <w:p w14:paraId="5F42E414">
            <w:pPr>
              <w:snapToGrid w:val="0"/>
              <w:spacing w:line="360" w:lineRule="auto"/>
              <w:jc w:val="center"/>
              <w:rPr>
                <w:rFonts w:asciiTheme="minorEastAsia" w:hAnsiTheme="minorEastAsia" w:eastAsiaTheme="minorEastAsia"/>
                <w:sz w:val="24"/>
              </w:rPr>
            </w:pPr>
          </w:p>
        </w:tc>
        <w:tc>
          <w:tcPr>
            <w:tcW w:w="2693" w:type="dxa"/>
            <w:noWrap/>
          </w:tcPr>
          <w:p w14:paraId="7F082BB1">
            <w:pPr>
              <w:snapToGrid w:val="0"/>
              <w:spacing w:line="360" w:lineRule="auto"/>
              <w:jc w:val="center"/>
              <w:rPr>
                <w:rFonts w:asciiTheme="minorEastAsia" w:hAnsiTheme="minorEastAsia" w:eastAsiaTheme="minorEastAsia"/>
                <w:sz w:val="24"/>
              </w:rPr>
            </w:pPr>
          </w:p>
        </w:tc>
      </w:tr>
      <w:tr w14:paraId="17F6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409D6851">
            <w:pPr>
              <w:snapToGrid w:val="0"/>
              <w:spacing w:line="360" w:lineRule="auto"/>
              <w:jc w:val="center"/>
              <w:rPr>
                <w:rFonts w:asciiTheme="minorEastAsia" w:hAnsiTheme="minorEastAsia" w:eastAsiaTheme="minorEastAsia"/>
                <w:sz w:val="24"/>
              </w:rPr>
            </w:pPr>
          </w:p>
        </w:tc>
        <w:tc>
          <w:tcPr>
            <w:tcW w:w="2002" w:type="dxa"/>
            <w:noWrap/>
          </w:tcPr>
          <w:p w14:paraId="7FEE083E">
            <w:pPr>
              <w:snapToGrid w:val="0"/>
              <w:spacing w:line="360" w:lineRule="auto"/>
              <w:jc w:val="center"/>
              <w:rPr>
                <w:rFonts w:asciiTheme="minorEastAsia" w:hAnsiTheme="minorEastAsia" w:eastAsiaTheme="minorEastAsia"/>
                <w:sz w:val="24"/>
              </w:rPr>
            </w:pPr>
          </w:p>
        </w:tc>
        <w:tc>
          <w:tcPr>
            <w:tcW w:w="1984" w:type="dxa"/>
            <w:noWrap/>
          </w:tcPr>
          <w:p w14:paraId="23383716">
            <w:pPr>
              <w:snapToGrid w:val="0"/>
              <w:spacing w:line="360" w:lineRule="auto"/>
              <w:rPr>
                <w:rFonts w:asciiTheme="minorEastAsia" w:hAnsiTheme="minorEastAsia" w:eastAsiaTheme="minorEastAsia"/>
                <w:sz w:val="24"/>
              </w:rPr>
            </w:pPr>
          </w:p>
        </w:tc>
        <w:tc>
          <w:tcPr>
            <w:tcW w:w="1985" w:type="dxa"/>
            <w:noWrap/>
          </w:tcPr>
          <w:p w14:paraId="0FFF66A9">
            <w:pPr>
              <w:snapToGrid w:val="0"/>
              <w:spacing w:line="360" w:lineRule="auto"/>
              <w:jc w:val="center"/>
              <w:rPr>
                <w:rFonts w:asciiTheme="minorEastAsia" w:hAnsiTheme="minorEastAsia" w:eastAsiaTheme="minorEastAsia"/>
                <w:sz w:val="24"/>
              </w:rPr>
            </w:pPr>
          </w:p>
        </w:tc>
        <w:tc>
          <w:tcPr>
            <w:tcW w:w="2693" w:type="dxa"/>
            <w:noWrap/>
          </w:tcPr>
          <w:p w14:paraId="317DE324">
            <w:pPr>
              <w:snapToGrid w:val="0"/>
              <w:spacing w:line="360" w:lineRule="auto"/>
              <w:jc w:val="center"/>
              <w:rPr>
                <w:rFonts w:asciiTheme="minorEastAsia" w:hAnsiTheme="minorEastAsia" w:eastAsiaTheme="minorEastAsia"/>
                <w:sz w:val="24"/>
              </w:rPr>
            </w:pPr>
          </w:p>
        </w:tc>
      </w:tr>
      <w:tr w14:paraId="579D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283970F2">
            <w:pPr>
              <w:snapToGrid w:val="0"/>
              <w:spacing w:line="360" w:lineRule="auto"/>
              <w:jc w:val="center"/>
              <w:rPr>
                <w:rFonts w:asciiTheme="minorEastAsia" w:hAnsiTheme="minorEastAsia" w:eastAsiaTheme="minorEastAsia"/>
                <w:sz w:val="24"/>
              </w:rPr>
            </w:pPr>
          </w:p>
        </w:tc>
        <w:tc>
          <w:tcPr>
            <w:tcW w:w="2002" w:type="dxa"/>
            <w:noWrap/>
          </w:tcPr>
          <w:p w14:paraId="56E608B9">
            <w:pPr>
              <w:snapToGrid w:val="0"/>
              <w:spacing w:line="360" w:lineRule="auto"/>
              <w:jc w:val="center"/>
              <w:rPr>
                <w:rFonts w:asciiTheme="minorEastAsia" w:hAnsiTheme="minorEastAsia" w:eastAsiaTheme="minorEastAsia"/>
                <w:sz w:val="24"/>
              </w:rPr>
            </w:pPr>
          </w:p>
        </w:tc>
        <w:tc>
          <w:tcPr>
            <w:tcW w:w="1984" w:type="dxa"/>
            <w:noWrap/>
          </w:tcPr>
          <w:p w14:paraId="21D182A5">
            <w:pPr>
              <w:snapToGrid w:val="0"/>
              <w:spacing w:line="360" w:lineRule="auto"/>
              <w:rPr>
                <w:rFonts w:asciiTheme="minorEastAsia" w:hAnsiTheme="minorEastAsia" w:eastAsiaTheme="minorEastAsia"/>
                <w:sz w:val="24"/>
              </w:rPr>
            </w:pPr>
          </w:p>
        </w:tc>
        <w:tc>
          <w:tcPr>
            <w:tcW w:w="1985" w:type="dxa"/>
            <w:noWrap/>
          </w:tcPr>
          <w:p w14:paraId="4D507F4B">
            <w:pPr>
              <w:snapToGrid w:val="0"/>
              <w:spacing w:line="360" w:lineRule="auto"/>
              <w:jc w:val="center"/>
              <w:rPr>
                <w:rFonts w:asciiTheme="minorEastAsia" w:hAnsiTheme="minorEastAsia" w:eastAsiaTheme="minorEastAsia"/>
                <w:sz w:val="24"/>
              </w:rPr>
            </w:pPr>
          </w:p>
        </w:tc>
        <w:tc>
          <w:tcPr>
            <w:tcW w:w="2693" w:type="dxa"/>
            <w:noWrap/>
          </w:tcPr>
          <w:p w14:paraId="72B32588">
            <w:pPr>
              <w:snapToGrid w:val="0"/>
              <w:spacing w:line="360" w:lineRule="auto"/>
              <w:jc w:val="center"/>
              <w:rPr>
                <w:rFonts w:asciiTheme="minorEastAsia" w:hAnsiTheme="minorEastAsia" w:eastAsiaTheme="minorEastAsia"/>
                <w:sz w:val="24"/>
              </w:rPr>
            </w:pPr>
          </w:p>
        </w:tc>
      </w:tr>
    </w:tbl>
    <w:p w14:paraId="2F89CBF0">
      <w:pPr>
        <w:snapToGrid w:val="0"/>
        <w:spacing w:line="360" w:lineRule="auto"/>
        <w:ind w:firstLine="540"/>
        <w:rPr>
          <w:rFonts w:ascii="宋体" w:hAnsi="宋体"/>
          <w:sz w:val="24"/>
        </w:rPr>
      </w:pPr>
    </w:p>
    <w:p w14:paraId="7B2B4E36">
      <w:pPr>
        <w:snapToGrid w:val="0"/>
        <w:spacing w:line="360" w:lineRule="auto"/>
        <w:ind w:firstLine="540"/>
        <w:rPr>
          <w:rFonts w:ascii="宋体" w:hAnsi="宋体"/>
          <w:sz w:val="24"/>
        </w:rPr>
      </w:pPr>
    </w:p>
    <w:p w14:paraId="29A05F5A">
      <w:pPr>
        <w:snapToGrid w:val="0"/>
        <w:spacing w:line="360" w:lineRule="auto"/>
        <w:ind w:firstLine="540"/>
        <w:rPr>
          <w:rFonts w:ascii="宋体" w:hAnsi="宋体"/>
          <w:sz w:val="24"/>
        </w:rPr>
      </w:pPr>
      <w:r>
        <w:rPr>
          <w:rFonts w:hint="eastAsia" w:ascii="宋体" w:hAnsi="宋体"/>
          <w:sz w:val="24"/>
        </w:rPr>
        <w:t>供应商：                     （盖章）</w:t>
      </w:r>
    </w:p>
    <w:p w14:paraId="02AB4AF3">
      <w:pPr>
        <w:snapToGrid w:val="0"/>
        <w:spacing w:line="360" w:lineRule="auto"/>
        <w:ind w:firstLine="540"/>
        <w:rPr>
          <w:rFonts w:ascii="宋体" w:hAnsi="宋体"/>
          <w:sz w:val="24"/>
        </w:rPr>
      </w:pPr>
      <w:r>
        <w:rPr>
          <w:rFonts w:hint="eastAsia" w:ascii="宋体" w:hAnsi="宋体"/>
          <w:sz w:val="24"/>
        </w:rPr>
        <w:t>法定代表人或委托代理人：                （签字或盖章）</w:t>
      </w:r>
    </w:p>
    <w:p w14:paraId="09A3D348">
      <w:pPr>
        <w:snapToGrid w:val="0"/>
        <w:spacing w:line="360" w:lineRule="auto"/>
        <w:ind w:firstLine="540"/>
        <w:rPr>
          <w:rFonts w:ascii="宋体" w:hAnsi="宋体"/>
          <w:sz w:val="24"/>
        </w:rPr>
      </w:pPr>
      <w:r>
        <w:rPr>
          <w:rFonts w:hint="eastAsia" w:ascii="宋体" w:hAnsi="宋体"/>
          <w:sz w:val="24"/>
        </w:rPr>
        <w:t xml:space="preserve">日 期：                    </w:t>
      </w:r>
    </w:p>
    <w:p w14:paraId="6AA62B1D">
      <w:pPr>
        <w:spacing w:line="580" w:lineRule="exact"/>
        <w:rPr>
          <w:rFonts w:asciiTheme="minorEastAsia" w:hAnsiTheme="minorEastAsia" w:eastAsiaTheme="minorEastAsia"/>
          <w:sz w:val="24"/>
        </w:rPr>
      </w:pPr>
      <w:r>
        <w:rPr>
          <w:rFonts w:hint="eastAsia" w:ascii="宋体" w:hAnsi="宋体"/>
          <w:b/>
          <w:spacing w:val="20"/>
          <w:position w:val="2"/>
          <w:sz w:val="24"/>
        </w:rPr>
        <w:br w:type="page"/>
      </w:r>
    </w:p>
    <w:p w14:paraId="537E25FF">
      <w:pPr>
        <w:spacing w:line="360" w:lineRule="auto"/>
        <w:outlineLvl w:val="3"/>
        <w:rPr>
          <w:rFonts w:ascii="宋体" w:hAnsi="宋体"/>
          <w:b/>
          <w:sz w:val="24"/>
        </w:rPr>
      </w:pPr>
      <w:r>
        <w:rPr>
          <w:rFonts w:hint="eastAsia" w:asciiTheme="minorEastAsia" w:hAnsiTheme="minorEastAsia" w:eastAsiaTheme="minorEastAsia"/>
          <w:b/>
          <w:sz w:val="24"/>
        </w:rPr>
        <w:t>（4）</w:t>
      </w:r>
      <w:r>
        <w:rPr>
          <w:rFonts w:hint="eastAsia" w:ascii="宋体" w:hAnsi="宋体"/>
          <w:b/>
          <w:sz w:val="24"/>
        </w:rPr>
        <w:t>投标标的清单</w:t>
      </w:r>
    </w:p>
    <w:tbl>
      <w:tblPr>
        <w:tblStyle w:val="3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52E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C45CC8">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4F58EF">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DAD9384">
            <w:pPr>
              <w:spacing w:line="360" w:lineRule="auto"/>
              <w:jc w:val="center"/>
              <w:rPr>
                <w:rFonts w:ascii="宋体" w:hAnsi="宋体" w:cs="宋体"/>
                <w:b/>
                <w:sz w:val="24"/>
              </w:rPr>
            </w:pPr>
          </w:p>
          <w:p w14:paraId="0652BE56">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EBB39F1">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CFBEA2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6DCB04">
            <w:pPr>
              <w:spacing w:line="360" w:lineRule="auto"/>
              <w:jc w:val="center"/>
              <w:rPr>
                <w:rFonts w:ascii="宋体" w:hAnsi="宋体" w:cs="宋体"/>
                <w:b/>
                <w:sz w:val="24"/>
              </w:rPr>
            </w:pPr>
            <w:r>
              <w:rPr>
                <w:rFonts w:hint="eastAsia" w:ascii="宋体" w:hAnsi="宋体" w:cs="宋体"/>
                <w:b/>
                <w:sz w:val="24"/>
              </w:rPr>
              <w:t>备注</w:t>
            </w:r>
          </w:p>
        </w:tc>
      </w:tr>
      <w:tr w14:paraId="0458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B57C98">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212D44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BC9B9A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58403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DF39D9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25360E1">
            <w:pPr>
              <w:spacing w:line="360" w:lineRule="auto"/>
              <w:jc w:val="center"/>
              <w:rPr>
                <w:rFonts w:ascii="宋体" w:hAnsi="宋体" w:cs="宋体"/>
                <w:sz w:val="24"/>
              </w:rPr>
            </w:pPr>
          </w:p>
        </w:tc>
      </w:tr>
      <w:tr w14:paraId="53FC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EFCC80">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8447C0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A7E771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E7CCA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8B28704">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1BDA07D">
            <w:pPr>
              <w:spacing w:line="360" w:lineRule="auto"/>
              <w:jc w:val="center"/>
              <w:rPr>
                <w:rFonts w:ascii="宋体" w:hAnsi="宋体" w:cs="宋体"/>
                <w:sz w:val="24"/>
              </w:rPr>
            </w:pPr>
          </w:p>
        </w:tc>
      </w:tr>
      <w:tr w14:paraId="0C25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0ADEAE">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1B17A4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8EFBEA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5017C1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DDB38D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456AE16">
            <w:pPr>
              <w:spacing w:line="360" w:lineRule="auto"/>
              <w:jc w:val="center"/>
              <w:rPr>
                <w:rFonts w:ascii="宋体" w:hAnsi="宋体" w:cs="宋体"/>
                <w:sz w:val="24"/>
              </w:rPr>
            </w:pPr>
          </w:p>
        </w:tc>
      </w:tr>
    </w:tbl>
    <w:p w14:paraId="4D0FE514">
      <w:pPr>
        <w:spacing w:line="360" w:lineRule="auto"/>
        <w:ind w:firstLine="643" w:firstLineChars="200"/>
        <w:rPr>
          <w:rFonts w:ascii="宋体" w:hAnsi="宋体" w:cs="宋体"/>
          <w:b/>
          <w:bCs/>
          <w:sz w:val="32"/>
          <w:szCs w:val="32"/>
        </w:rPr>
        <w:sectPr>
          <w:pgSz w:w="11906" w:h="16838"/>
          <w:pgMar w:top="1440" w:right="1440" w:bottom="1440" w:left="1440" w:header="851" w:footer="992" w:gutter="0"/>
          <w:pgNumType w:start="1"/>
          <w:cols w:space="720" w:num="1"/>
          <w:titlePg/>
          <w:docGrid w:linePitch="312" w:charSpace="0"/>
        </w:sectPr>
      </w:pPr>
    </w:p>
    <w:p w14:paraId="5FC94210">
      <w:pPr>
        <w:spacing w:line="360" w:lineRule="auto"/>
        <w:outlineLvl w:val="3"/>
        <w:rPr>
          <w:rFonts w:ascii="宋体" w:hAnsi="宋体"/>
          <w:b/>
          <w:sz w:val="24"/>
        </w:rPr>
      </w:pPr>
      <w:r>
        <w:rPr>
          <w:rFonts w:hint="eastAsia" w:asciiTheme="minorEastAsia" w:hAnsiTheme="minorEastAsia" w:eastAsiaTheme="minorEastAsia"/>
          <w:b/>
          <w:sz w:val="24"/>
        </w:rPr>
        <w:t>（5）</w:t>
      </w:r>
      <w:r>
        <w:rPr>
          <w:rFonts w:hint="eastAsia" w:ascii="宋体" w:hAnsi="宋体"/>
          <w:b/>
          <w:sz w:val="24"/>
        </w:rPr>
        <w:t>商务技术偏离表</w:t>
      </w:r>
    </w:p>
    <w:tbl>
      <w:tblPr>
        <w:tblStyle w:val="3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C6D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148692">
            <w:pPr>
              <w:jc w:val="center"/>
              <w:rPr>
                <w:rFonts w:ascii="宋体" w:hAnsi="宋体" w:cs="宋体"/>
                <w:b/>
                <w:bCs/>
                <w:sz w:val="24"/>
              </w:rPr>
            </w:pPr>
            <w:r>
              <w:rPr>
                <w:rFonts w:hint="eastAsia" w:ascii="宋体" w:hAnsi="宋体" w:cs="宋体"/>
                <w:b/>
                <w:bCs/>
                <w:sz w:val="24"/>
              </w:rPr>
              <w:t>序号</w:t>
            </w:r>
          </w:p>
        </w:tc>
        <w:tc>
          <w:tcPr>
            <w:tcW w:w="3683" w:type="dxa"/>
          </w:tcPr>
          <w:p w14:paraId="6088A57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0777E14">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10EF380">
            <w:pPr>
              <w:jc w:val="center"/>
              <w:rPr>
                <w:rFonts w:ascii="宋体" w:hAnsi="宋体" w:cs="宋体"/>
                <w:b/>
                <w:bCs/>
                <w:sz w:val="24"/>
              </w:rPr>
            </w:pPr>
            <w:r>
              <w:rPr>
                <w:rFonts w:hint="eastAsia" w:ascii="宋体" w:hAnsi="宋体" w:cs="宋体"/>
                <w:b/>
                <w:bCs/>
                <w:sz w:val="24"/>
              </w:rPr>
              <w:t>偏离说明</w:t>
            </w:r>
          </w:p>
        </w:tc>
      </w:tr>
      <w:tr w14:paraId="442B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89047A">
            <w:pPr>
              <w:jc w:val="center"/>
              <w:rPr>
                <w:rFonts w:ascii="宋体" w:hAnsi="宋体" w:cs="宋体"/>
                <w:kern w:val="0"/>
                <w:sz w:val="24"/>
              </w:rPr>
            </w:pPr>
            <w:r>
              <w:rPr>
                <w:rFonts w:hint="eastAsia" w:ascii="宋体" w:hAnsi="宋体" w:cs="宋体"/>
                <w:kern w:val="0"/>
                <w:sz w:val="24"/>
              </w:rPr>
              <w:t>1</w:t>
            </w:r>
          </w:p>
        </w:tc>
        <w:tc>
          <w:tcPr>
            <w:tcW w:w="3683" w:type="dxa"/>
          </w:tcPr>
          <w:p w14:paraId="03E55779">
            <w:pPr>
              <w:jc w:val="center"/>
              <w:rPr>
                <w:rFonts w:ascii="宋体" w:hAnsi="宋体" w:cs="宋体"/>
                <w:b/>
                <w:kern w:val="0"/>
                <w:sz w:val="32"/>
                <w:szCs w:val="32"/>
              </w:rPr>
            </w:pPr>
          </w:p>
        </w:tc>
        <w:tc>
          <w:tcPr>
            <w:tcW w:w="3546" w:type="dxa"/>
          </w:tcPr>
          <w:p w14:paraId="0A995E09">
            <w:pPr>
              <w:jc w:val="center"/>
              <w:rPr>
                <w:rFonts w:ascii="宋体" w:hAnsi="宋体" w:cs="宋体"/>
                <w:b/>
                <w:kern w:val="0"/>
                <w:sz w:val="32"/>
                <w:szCs w:val="32"/>
              </w:rPr>
            </w:pPr>
          </w:p>
        </w:tc>
        <w:tc>
          <w:tcPr>
            <w:tcW w:w="1276" w:type="dxa"/>
          </w:tcPr>
          <w:p w14:paraId="0037083C">
            <w:pPr>
              <w:jc w:val="center"/>
              <w:rPr>
                <w:rFonts w:ascii="宋体" w:hAnsi="宋体" w:cs="宋体"/>
                <w:b/>
                <w:kern w:val="0"/>
                <w:sz w:val="32"/>
                <w:szCs w:val="32"/>
              </w:rPr>
            </w:pPr>
          </w:p>
        </w:tc>
      </w:tr>
      <w:tr w14:paraId="6431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F2D88B">
            <w:pPr>
              <w:jc w:val="center"/>
              <w:rPr>
                <w:rFonts w:ascii="宋体" w:hAnsi="宋体" w:cs="宋体"/>
                <w:kern w:val="0"/>
                <w:sz w:val="24"/>
              </w:rPr>
            </w:pPr>
            <w:r>
              <w:rPr>
                <w:rFonts w:hint="eastAsia" w:ascii="宋体" w:hAnsi="宋体" w:cs="宋体"/>
                <w:kern w:val="0"/>
                <w:sz w:val="24"/>
              </w:rPr>
              <w:t>2</w:t>
            </w:r>
          </w:p>
        </w:tc>
        <w:tc>
          <w:tcPr>
            <w:tcW w:w="3683" w:type="dxa"/>
          </w:tcPr>
          <w:p w14:paraId="7EA626B3">
            <w:pPr>
              <w:jc w:val="center"/>
              <w:rPr>
                <w:rFonts w:ascii="宋体" w:hAnsi="宋体" w:cs="宋体"/>
                <w:b/>
                <w:kern w:val="0"/>
                <w:sz w:val="32"/>
                <w:szCs w:val="32"/>
              </w:rPr>
            </w:pPr>
          </w:p>
        </w:tc>
        <w:tc>
          <w:tcPr>
            <w:tcW w:w="3546" w:type="dxa"/>
          </w:tcPr>
          <w:p w14:paraId="352EC10F">
            <w:pPr>
              <w:jc w:val="center"/>
              <w:rPr>
                <w:rFonts w:ascii="宋体" w:hAnsi="宋体" w:cs="宋体"/>
                <w:b/>
                <w:kern w:val="0"/>
                <w:sz w:val="32"/>
                <w:szCs w:val="32"/>
              </w:rPr>
            </w:pPr>
          </w:p>
        </w:tc>
        <w:tc>
          <w:tcPr>
            <w:tcW w:w="1276" w:type="dxa"/>
          </w:tcPr>
          <w:p w14:paraId="423514D0">
            <w:pPr>
              <w:jc w:val="center"/>
              <w:rPr>
                <w:rFonts w:ascii="宋体" w:hAnsi="宋体" w:cs="宋体"/>
                <w:b/>
                <w:kern w:val="0"/>
                <w:sz w:val="32"/>
                <w:szCs w:val="32"/>
              </w:rPr>
            </w:pPr>
          </w:p>
        </w:tc>
      </w:tr>
      <w:tr w14:paraId="1D33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55F0E0">
            <w:pPr>
              <w:jc w:val="center"/>
              <w:rPr>
                <w:rFonts w:ascii="宋体" w:hAnsi="宋体" w:cs="宋体"/>
                <w:kern w:val="0"/>
                <w:sz w:val="24"/>
              </w:rPr>
            </w:pPr>
            <w:r>
              <w:rPr>
                <w:rFonts w:hint="eastAsia" w:ascii="宋体" w:hAnsi="宋体" w:cs="宋体"/>
                <w:kern w:val="0"/>
                <w:sz w:val="24"/>
              </w:rPr>
              <w:t>……</w:t>
            </w:r>
          </w:p>
        </w:tc>
        <w:tc>
          <w:tcPr>
            <w:tcW w:w="3683" w:type="dxa"/>
          </w:tcPr>
          <w:p w14:paraId="362F8B0D">
            <w:pPr>
              <w:jc w:val="center"/>
              <w:rPr>
                <w:rFonts w:ascii="宋体" w:hAnsi="宋体" w:cs="宋体"/>
                <w:b/>
                <w:kern w:val="0"/>
                <w:sz w:val="32"/>
                <w:szCs w:val="32"/>
              </w:rPr>
            </w:pPr>
          </w:p>
        </w:tc>
        <w:tc>
          <w:tcPr>
            <w:tcW w:w="3546" w:type="dxa"/>
          </w:tcPr>
          <w:p w14:paraId="6FB18518">
            <w:pPr>
              <w:jc w:val="center"/>
              <w:rPr>
                <w:rFonts w:ascii="宋体" w:hAnsi="宋体" w:cs="宋体"/>
                <w:b/>
                <w:kern w:val="0"/>
                <w:sz w:val="32"/>
                <w:szCs w:val="32"/>
              </w:rPr>
            </w:pPr>
          </w:p>
        </w:tc>
        <w:tc>
          <w:tcPr>
            <w:tcW w:w="1276" w:type="dxa"/>
          </w:tcPr>
          <w:p w14:paraId="64DBC2AB">
            <w:pPr>
              <w:jc w:val="center"/>
              <w:rPr>
                <w:rFonts w:ascii="宋体" w:hAnsi="宋体" w:cs="宋体"/>
                <w:b/>
                <w:kern w:val="0"/>
                <w:sz w:val="32"/>
                <w:szCs w:val="32"/>
              </w:rPr>
            </w:pPr>
          </w:p>
        </w:tc>
      </w:tr>
    </w:tbl>
    <w:p w14:paraId="680678A4">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F24D7A7">
      <w:pPr>
        <w:jc w:val="center"/>
        <w:rPr>
          <w:rFonts w:ascii="宋体" w:hAnsi="宋体" w:cs="宋体"/>
          <w:b/>
          <w:kern w:val="0"/>
          <w:sz w:val="32"/>
          <w:szCs w:val="32"/>
        </w:rPr>
      </w:pPr>
    </w:p>
    <w:p w14:paraId="380D918C">
      <w:pPr>
        <w:spacing w:line="360" w:lineRule="auto"/>
        <w:ind w:right="420"/>
        <w:rPr>
          <w:rFonts w:ascii="宋体" w:hAnsi="宋体" w:cs="宋体"/>
          <w:sz w:val="24"/>
        </w:rPr>
      </w:pPr>
      <w:r>
        <w:rPr>
          <w:rFonts w:hint="eastAsia" w:ascii="宋体" w:hAnsi="宋体" w:cs="宋体"/>
          <w:sz w:val="24"/>
        </w:rPr>
        <w:t>注：按本格式和要求提供。</w:t>
      </w:r>
    </w:p>
    <w:p w14:paraId="6D0B6988">
      <w:pPr>
        <w:spacing w:line="360" w:lineRule="auto"/>
        <w:ind w:firstLine="643" w:firstLineChars="200"/>
        <w:rPr>
          <w:rFonts w:ascii="宋体" w:hAnsi="宋体" w:cs="宋体"/>
          <w:b/>
          <w:bCs/>
          <w:sz w:val="32"/>
          <w:szCs w:val="32"/>
        </w:rPr>
        <w:sectPr>
          <w:pgSz w:w="11906" w:h="16838"/>
          <w:pgMar w:top="1440" w:right="1440" w:bottom="1440" w:left="1440" w:header="851" w:footer="992" w:gutter="0"/>
          <w:pgNumType w:start="1"/>
          <w:cols w:space="720" w:num="1"/>
          <w:titlePg/>
          <w:docGrid w:linePitch="312" w:charSpace="0"/>
        </w:sectPr>
      </w:pPr>
    </w:p>
    <w:p w14:paraId="1CE247C0">
      <w:pPr>
        <w:spacing w:line="360" w:lineRule="auto"/>
        <w:ind w:firstLine="643" w:firstLineChars="200"/>
        <w:rPr>
          <w:rFonts w:ascii="宋体" w:hAnsi="宋体" w:cs="宋体"/>
          <w:b/>
          <w:bCs/>
          <w:sz w:val="32"/>
          <w:szCs w:val="32"/>
        </w:rPr>
      </w:pPr>
      <w:r>
        <w:rPr>
          <w:rFonts w:hint="eastAsia" w:ascii="宋体" w:hAnsi="宋体" w:cs="宋体"/>
          <w:b/>
          <w:bCs/>
          <w:sz w:val="32"/>
          <w:szCs w:val="32"/>
        </w:rPr>
        <w:t>3.报价文件目录</w:t>
      </w:r>
    </w:p>
    <w:p w14:paraId="78C17E68">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（1）投标函（格式见附件）</w:t>
      </w:r>
    </w:p>
    <w:p w14:paraId="3824729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（2）开标一览表（格式见附件）</w:t>
      </w:r>
    </w:p>
    <w:p w14:paraId="76622DD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（3）报价明细表（格式见附件）</w:t>
      </w:r>
    </w:p>
    <w:p w14:paraId="096003B0">
      <w:pPr>
        <w:tabs>
          <w:tab w:val="left" w:pos="5025"/>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（4）投标人需要说明的其他文件和说明（格式略）</w:t>
      </w:r>
    </w:p>
    <w:p w14:paraId="53685E31">
      <w:pPr>
        <w:spacing w:line="360" w:lineRule="auto"/>
        <w:rPr>
          <w:rFonts w:asciiTheme="minorEastAsia" w:hAnsiTheme="minorEastAsia" w:eastAsiaTheme="minorEastAsia"/>
          <w:b/>
          <w:sz w:val="24"/>
        </w:rPr>
        <w:sectPr>
          <w:pgSz w:w="11906" w:h="16838"/>
          <w:pgMar w:top="1440" w:right="1440" w:bottom="1440" w:left="1440" w:header="851" w:footer="992" w:gutter="0"/>
          <w:pgNumType w:start="1"/>
          <w:cols w:space="720" w:num="1"/>
          <w:titlePg/>
          <w:docGrid w:linePitch="312" w:charSpace="0"/>
        </w:sectPr>
      </w:pPr>
    </w:p>
    <w:p w14:paraId="5DB1251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（1）投 标 函</w:t>
      </w:r>
    </w:p>
    <w:p w14:paraId="4C228FFD">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致：桐庐鸿泰工程咨询有限公司</w:t>
      </w:r>
    </w:p>
    <w:p w14:paraId="07A62E50">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根据贵方招标文件的要求，正式授权下述签字人</w:t>
      </w:r>
      <w:r>
        <w:rPr>
          <w:rFonts w:hint="eastAsia" w:asciiTheme="minorEastAsia" w:hAnsiTheme="minorEastAsia" w:eastAsiaTheme="minorEastAsia"/>
          <w:sz w:val="24"/>
          <w:u w:val="single"/>
        </w:rPr>
        <w:t xml:space="preserve"> (姓名) </w:t>
      </w:r>
      <w:r>
        <w:rPr>
          <w:rFonts w:hint="eastAsia" w:asciiTheme="minorEastAsia" w:hAnsiTheme="minorEastAsia" w:eastAsiaTheme="minorEastAsia"/>
          <w:sz w:val="24"/>
        </w:rPr>
        <w:t xml:space="preserve">代表投标人 </w:t>
      </w:r>
      <w:r>
        <w:rPr>
          <w:rFonts w:hint="eastAsia" w:asciiTheme="minorEastAsia" w:hAnsiTheme="minorEastAsia" w:eastAsiaTheme="minorEastAsia"/>
          <w:sz w:val="24"/>
          <w:u w:val="single"/>
        </w:rPr>
        <w:t xml:space="preserve">（投标人名称） </w:t>
      </w:r>
      <w:r>
        <w:rPr>
          <w:rFonts w:hint="eastAsia" w:asciiTheme="minorEastAsia" w:hAnsiTheme="minorEastAsia" w:eastAsiaTheme="minorEastAsia"/>
          <w:sz w:val="24"/>
        </w:rPr>
        <w:t>，提交下述文件。据此函，签字人兹宣布同意如下：</w:t>
      </w:r>
    </w:p>
    <w:p w14:paraId="2E461757">
      <w:pPr>
        <w:snapToGrid w:val="0"/>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1.我方已仔细研究了(项目名称) 的招标文件的全部内容，愿意以承诺以下内容：</w:t>
      </w:r>
    </w:p>
    <w:p w14:paraId="51745187">
      <w:pPr>
        <w:snapToGrid w:val="0"/>
        <w:spacing w:line="360" w:lineRule="auto"/>
        <w:ind w:firstLine="120" w:firstLineChars="50"/>
        <w:rPr>
          <w:rFonts w:asciiTheme="minorEastAsia" w:hAnsiTheme="minorEastAsia" w:eastAsiaTheme="minorEastAsia"/>
          <w:sz w:val="24"/>
        </w:rPr>
      </w:pPr>
      <w:r>
        <w:rPr>
          <w:rFonts w:hint="eastAsia" w:asciiTheme="minorEastAsia" w:hAnsiTheme="minorEastAsia" w:eastAsiaTheme="minorEastAsia"/>
          <w:sz w:val="24"/>
        </w:rPr>
        <w:t>人民币(大写)元（小写 元）的投标总报价。</w:t>
      </w:r>
    </w:p>
    <w:p w14:paraId="2DE9446C">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2.我方在投标之前已经与贵</w:t>
      </w:r>
      <w:r>
        <w:rPr>
          <w:rFonts w:hint="eastAsia" w:asciiTheme="minorEastAsia" w:hAnsiTheme="minorEastAsia" w:eastAsiaTheme="minorEastAsia"/>
          <w:sz w:val="24"/>
          <w:lang w:eastAsia="zh-CN"/>
        </w:rPr>
        <w:t>方许文豪</w:t>
      </w:r>
      <w:r>
        <w:rPr>
          <w:rFonts w:hint="eastAsia" w:asciiTheme="minorEastAsia" w:hAnsiTheme="minorEastAsia" w:eastAsiaTheme="minorEastAsia"/>
          <w:sz w:val="24"/>
        </w:rPr>
        <w:t>行了充分的沟通，完全理解并接受招标文件的各项规定和要求，对招标文件的合理性、合法性不再有异议。（包括修改文件）</w:t>
      </w:r>
    </w:p>
    <w:p w14:paraId="3A2FEFAE">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3.我方承诺在投标有效期内（从开标之日起</w:t>
      </w:r>
      <w:r>
        <w:rPr>
          <w:rFonts w:hint="eastAsia" w:asciiTheme="minorEastAsia" w:hAnsiTheme="minorEastAsia" w:eastAsiaTheme="minorEastAsia"/>
          <w:sz w:val="24"/>
          <w:u w:val="single"/>
        </w:rPr>
        <w:t>90</w:t>
      </w:r>
      <w:r>
        <w:rPr>
          <w:rFonts w:hint="eastAsia" w:asciiTheme="minorEastAsia" w:hAnsiTheme="minorEastAsia" w:eastAsiaTheme="minorEastAsia"/>
          <w:sz w:val="24"/>
        </w:rPr>
        <w:t>天），其投标文件中的所有内容对我方具有约束力。如在此有效期内，我方出现下列行为之一者，同意无条件支付贰万元违约保证金。</w:t>
      </w:r>
    </w:p>
    <w:p w14:paraId="39DF7874">
      <w:pPr>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1）在投标有效期内撤回投标文件；</w:t>
      </w:r>
    </w:p>
    <w:p w14:paraId="368343B9">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2）在投标过程中弄虚作假、提供虚假材料的；</w:t>
      </w:r>
    </w:p>
    <w:p w14:paraId="14A6E70E">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3）如果中标不与采购人签订合同的；</w:t>
      </w:r>
    </w:p>
    <w:p w14:paraId="0FD003FA">
      <w:pPr>
        <w:spacing w:line="360" w:lineRule="auto"/>
        <w:ind w:firstLine="480"/>
        <w:jc w:val="left"/>
        <w:rPr>
          <w:rFonts w:asciiTheme="minorEastAsia" w:hAnsiTheme="minorEastAsia" w:eastAsiaTheme="minorEastAsia"/>
          <w:kern w:val="0"/>
          <w:sz w:val="24"/>
        </w:rPr>
      </w:pPr>
      <w:r>
        <w:rPr>
          <w:rFonts w:hint="eastAsia" w:asciiTheme="minorEastAsia" w:hAnsiTheme="minorEastAsia" w:eastAsiaTheme="minorEastAsia"/>
          <w:kern w:val="0"/>
          <w:sz w:val="24"/>
        </w:rPr>
        <w:t>4）有其他严重扰乱招投标程序的。</w:t>
      </w:r>
    </w:p>
    <w:p w14:paraId="6B2D4CAE">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4.如我方中标，我方承诺：</w:t>
      </w:r>
    </w:p>
    <w:p w14:paraId="6DB8AF8A">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1）收到中标通知书后，在中标通知书规定的期限内与采购人签订合同。</w:t>
      </w:r>
    </w:p>
    <w:p w14:paraId="6B108313">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2）在合同约定的期限内完成并移交全部合同工程。</w:t>
      </w:r>
    </w:p>
    <w:p w14:paraId="4CA75BE1">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5.我方在此声明，所递交的投标文件及有关资料内容完整、真实和准确。</w:t>
      </w:r>
    </w:p>
    <w:p w14:paraId="54427655">
      <w:pPr>
        <w:snapToGrid w:val="0"/>
        <w:spacing w:line="360" w:lineRule="auto"/>
        <w:ind w:firstLine="540"/>
        <w:rPr>
          <w:rFonts w:asciiTheme="minorEastAsia" w:hAnsiTheme="minorEastAsia" w:eastAsiaTheme="minorEastAsia"/>
          <w:sz w:val="24"/>
        </w:rPr>
      </w:pPr>
      <w:r>
        <w:rPr>
          <w:rFonts w:hint="eastAsia" w:asciiTheme="minorEastAsia" w:hAnsiTheme="minorEastAsia" w:eastAsiaTheme="minorEastAsia"/>
          <w:sz w:val="24"/>
        </w:rPr>
        <w:t>6.我方理解贵方不一定接受最低报价的投标人，且对招标文件中规定的付款方式无异议。</w:t>
      </w:r>
    </w:p>
    <w:p w14:paraId="79DAF4CF">
      <w:pPr>
        <w:snapToGrid w:val="0"/>
        <w:spacing w:line="360" w:lineRule="auto"/>
        <w:ind w:left="2940" w:leftChars="257" w:hanging="2400" w:hangingChars="1000"/>
        <w:rPr>
          <w:rFonts w:asciiTheme="minorEastAsia" w:hAnsiTheme="minorEastAsia" w:eastAsiaTheme="minorEastAsia"/>
          <w:sz w:val="24"/>
        </w:rPr>
      </w:pPr>
      <w:r>
        <w:rPr>
          <w:rFonts w:hint="eastAsia" w:asciiTheme="minorEastAsia" w:hAnsiTheme="minorEastAsia" w:eastAsiaTheme="minorEastAsia"/>
          <w:sz w:val="24"/>
        </w:rPr>
        <w:t xml:space="preserve">7.（投标人认为需要的其他补充说明）。 </w:t>
      </w:r>
    </w:p>
    <w:p w14:paraId="2005E485">
      <w:pPr>
        <w:snapToGrid w:val="0"/>
        <w:spacing w:line="360" w:lineRule="auto"/>
        <w:ind w:firstLine="2880" w:firstLineChars="1200"/>
        <w:jc w:val="right"/>
        <w:rPr>
          <w:rFonts w:asciiTheme="minorEastAsia" w:hAnsiTheme="minorEastAsia" w:eastAsiaTheme="minorEastAsia"/>
          <w:sz w:val="24"/>
        </w:rPr>
      </w:pPr>
      <w:r>
        <w:rPr>
          <w:rFonts w:hint="eastAsia" w:asciiTheme="minorEastAsia" w:hAnsiTheme="minorEastAsia" w:eastAsiaTheme="minorEastAsia"/>
          <w:sz w:val="24"/>
        </w:rPr>
        <w:t xml:space="preserve">投标人：（盖章） </w:t>
      </w:r>
    </w:p>
    <w:p w14:paraId="503CF6BA">
      <w:pPr>
        <w:snapToGrid w:val="0"/>
        <w:spacing w:line="360" w:lineRule="auto"/>
        <w:ind w:firstLine="2872" w:firstLineChars="1197"/>
        <w:jc w:val="right"/>
        <w:rPr>
          <w:rFonts w:asciiTheme="minorEastAsia" w:hAnsiTheme="minorEastAsia" w:eastAsiaTheme="minorEastAsia"/>
          <w:sz w:val="24"/>
          <w:u w:val="single"/>
        </w:rPr>
      </w:pPr>
      <w:r>
        <w:rPr>
          <w:rFonts w:hint="eastAsia" w:asciiTheme="minorEastAsia" w:hAnsiTheme="minorEastAsia" w:eastAsiaTheme="minorEastAsia"/>
          <w:sz w:val="24"/>
        </w:rPr>
        <w:t>法定代表人：（签字或盖章）</w:t>
      </w:r>
    </w:p>
    <w:p w14:paraId="6A9FE0E2">
      <w:pPr>
        <w:snapToGrid w:val="0"/>
        <w:spacing w:line="360" w:lineRule="auto"/>
        <w:ind w:firstLine="2868" w:firstLineChars="1195"/>
        <w:jc w:val="right"/>
        <w:rPr>
          <w:rFonts w:asciiTheme="minorEastAsia" w:hAnsiTheme="minorEastAsia" w:eastAsiaTheme="minorEastAsia"/>
          <w:sz w:val="24"/>
          <w:u w:val="single"/>
        </w:rPr>
      </w:pPr>
      <w:r>
        <w:rPr>
          <w:rFonts w:hint="eastAsia" w:asciiTheme="minorEastAsia" w:hAnsiTheme="minorEastAsia" w:eastAsiaTheme="minorEastAsia"/>
          <w:sz w:val="24"/>
        </w:rPr>
        <w:t>电话：</w:t>
      </w:r>
    </w:p>
    <w:p w14:paraId="779B0BA5">
      <w:pPr>
        <w:snapToGrid w:val="0"/>
        <w:spacing w:line="360" w:lineRule="auto"/>
        <w:ind w:firstLine="2872" w:firstLineChars="1197"/>
        <w:jc w:val="right"/>
        <w:rPr>
          <w:rFonts w:asciiTheme="minorEastAsia" w:hAnsiTheme="minorEastAsia" w:eastAsiaTheme="minorEastAsia"/>
          <w:sz w:val="24"/>
          <w:u w:val="single"/>
        </w:rPr>
      </w:pPr>
      <w:r>
        <w:rPr>
          <w:rFonts w:hint="eastAsia" w:asciiTheme="minorEastAsia" w:hAnsiTheme="minorEastAsia" w:eastAsiaTheme="minorEastAsia"/>
          <w:sz w:val="24"/>
        </w:rPr>
        <w:t>日期：</w:t>
      </w:r>
    </w:p>
    <w:p w14:paraId="4EA82DD8">
      <w:pPr>
        <w:spacing w:before="120" w:beforeLines="50" w:after="120" w:afterLines="50" w:line="480" w:lineRule="exact"/>
        <w:ind w:right="105" w:rightChars="50"/>
        <w:rPr>
          <w:rFonts w:asciiTheme="minorEastAsia" w:hAnsiTheme="minorEastAsia" w:eastAsiaTheme="minorEastAsia"/>
          <w:b/>
          <w:spacing w:val="20"/>
          <w:position w:val="2"/>
          <w:sz w:val="24"/>
        </w:rPr>
        <w:sectPr>
          <w:pgSz w:w="11906" w:h="16838"/>
          <w:pgMar w:top="1440" w:right="1440" w:bottom="1440" w:left="1440" w:header="851" w:footer="992" w:gutter="0"/>
          <w:pgNumType w:start="1"/>
          <w:cols w:space="720" w:num="1"/>
          <w:titlePg/>
          <w:docGrid w:linePitch="312" w:charSpace="0"/>
        </w:sectPr>
      </w:pPr>
    </w:p>
    <w:p w14:paraId="19B63638">
      <w:pPr>
        <w:spacing w:before="120" w:beforeLines="50" w:after="120" w:afterLines="50" w:line="480" w:lineRule="exact"/>
        <w:ind w:right="105" w:rightChars="50"/>
        <w:rPr>
          <w:rFonts w:asciiTheme="minorEastAsia" w:hAnsiTheme="minorEastAsia" w:eastAsiaTheme="minorEastAsia"/>
          <w:b/>
          <w:spacing w:val="20"/>
          <w:position w:val="2"/>
          <w:sz w:val="24"/>
        </w:rPr>
      </w:pPr>
      <w:r>
        <w:rPr>
          <w:rFonts w:hint="eastAsia" w:asciiTheme="minorEastAsia" w:hAnsiTheme="minorEastAsia" w:eastAsiaTheme="minorEastAsia"/>
          <w:b/>
          <w:spacing w:val="20"/>
          <w:position w:val="2"/>
          <w:sz w:val="24"/>
        </w:rPr>
        <w:t>（2）开标一览表</w:t>
      </w:r>
    </w:p>
    <w:p w14:paraId="030CF78E">
      <w:pPr>
        <w:snapToGrid w:val="0"/>
        <w:spacing w:before="50" w:after="50" w:line="240" w:lineRule="auto"/>
        <w:rPr>
          <w:rFonts w:asciiTheme="minorEastAsia" w:hAnsiTheme="minorEastAsia" w:eastAsiaTheme="minorEastAsia"/>
          <w:sz w:val="24"/>
        </w:rPr>
      </w:pPr>
      <w:r>
        <w:rPr>
          <w:rFonts w:hint="eastAsia" w:cs="宋体" w:asciiTheme="minorEastAsia" w:hAnsiTheme="minorEastAsia" w:eastAsiaTheme="minorEastAsia"/>
          <w:sz w:val="24"/>
        </w:rPr>
        <w:t>投标人名称：</w:t>
      </w:r>
    </w:p>
    <w:p w14:paraId="2A5E0AA0">
      <w:pPr>
        <w:snapToGrid w:val="0"/>
        <w:spacing w:before="50" w:after="50" w:line="240" w:lineRule="auto"/>
        <w:rPr>
          <w:rFonts w:asciiTheme="minorEastAsia" w:hAnsiTheme="minorEastAsia" w:eastAsiaTheme="minorEastAsia"/>
          <w:sz w:val="24"/>
        </w:rPr>
      </w:pPr>
      <w:r>
        <w:rPr>
          <w:rFonts w:hint="eastAsia" w:cs="宋体" w:asciiTheme="minorEastAsia" w:hAnsiTheme="minorEastAsia" w:eastAsiaTheme="minorEastAsia"/>
          <w:sz w:val="24"/>
        </w:rPr>
        <w:t>项目名称：</w:t>
      </w:r>
    </w:p>
    <w:p w14:paraId="2B4775F5">
      <w:pPr>
        <w:snapToGrid w:val="0"/>
        <w:spacing w:before="50" w:after="50"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招标编号：</w:t>
      </w:r>
    </w:p>
    <w:p w14:paraId="3D6DB01A">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3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EE0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3861DA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417" w:type="dxa"/>
            <w:vAlign w:val="center"/>
          </w:tcPr>
          <w:p w14:paraId="45D0F4A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843" w:type="dxa"/>
          </w:tcPr>
          <w:p w14:paraId="5F46322F">
            <w:pPr>
              <w:spacing w:line="360" w:lineRule="auto"/>
              <w:jc w:val="center"/>
              <w:rPr>
                <w:rFonts w:cs="宋体" w:asciiTheme="minorEastAsia" w:hAnsiTheme="minorEastAsia" w:eastAsiaTheme="minorEastAsia"/>
                <w:b/>
                <w:sz w:val="24"/>
              </w:rPr>
            </w:pPr>
          </w:p>
          <w:p w14:paraId="5789DD8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品牌（如果有）</w:t>
            </w:r>
          </w:p>
        </w:tc>
        <w:tc>
          <w:tcPr>
            <w:tcW w:w="3118" w:type="dxa"/>
            <w:vAlign w:val="center"/>
          </w:tcPr>
          <w:p w14:paraId="2EE2903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规格型号（或具体服务）</w:t>
            </w:r>
          </w:p>
        </w:tc>
        <w:tc>
          <w:tcPr>
            <w:tcW w:w="993" w:type="dxa"/>
            <w:vAlign w:val="center"/>
          </w:tcPr>
          <w:p w14:paraId="6C8E7C4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559" w:type="dxa"/>
            <w:vAlign w:val="center"/>
          </w:tcPr>
          <w:p w14:paraId="5D23F3A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984" w:type="dxa"/>
            <w:vAlign w:val="center"/>
          </w:tcPr>
          <w:p w14:paraId="4658A24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3119" w:type="dxa"/>
            <w:vAlign w:val="center"/>
          </w:tcPr>
          <w:p w14:paraId="2E17FEC1">
            <w:pPr>
              <w:spacing w:line="360" w:lineRule="auto"/>
              <w:jc w:val="center"/>
              <w:rPr>
                <w:rFonts w:cs="宋体" w:asciiTheme="minorEastAsia" w:hAnsiTheme="minorEastAsia" w:eastAsiaTheme="minorEastAsia"/>
                <w:b/>
                <w:sz w:val="24"/>
              </w:rPr>
            </w:pPr>
          </w:p>
          <w:p w14:paraId="7A4F22F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服务要求（年限）</w:t>
            </w:r>
          </w:p>
          <w:p w14:paraId="4D492B75">
            <w:pPr>
              <w:spacing w:line="360" w:lineRule="auto"/>
              <w:jc w:val="center"/>
              <w:rPr>
                <w:rFonts w:cs="宋体" w:asciiTheme="minorEastAsia" w:hAnsiTheme="minorEastAsia" w:eastAsiaTheme="minorEastAsia"/>
                <w:b/>
                <w:sz w:val="24"/>
              </w:rPr>
            </w:pPr>
          </w:p>
        </w:tc>
      </w:tr>
      <w:tr w14:paraId="3186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468862E">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417" w:type="dxa"/>
            <w:vAlign w:val="center"/>
          </w:tcPr>
          <w:p w14:paraId="22141038">
            <w:pPr>
              <w:snapToGrid w:val="0"/>
              <w:spacing w:line="360" w:lineRule="auto"/>
              <w:jc w:val="center"/>
              <w:rPr>
                <w:rFonts w:cs="宋体" w:asciiTheme="minorEastAsia" w:hAnsiTheme="minorEastAsia" w:eastAsiaTheme="minorEastAsia"/>
                <w:sz w:val="24"/>
              </w:rPr>
            </w:pPr>
          </w:p>
        </w:tc>
        <w:tc>
          <w:tcPr>
            <w:tcW w:w="1843" w:type="dxa"/>
            <w:vAlign w:val="center"/>
          </w:tcPr>
          <w:p w14:paraId="0EF74D3F">
            <w:pPr>
              <w:snapToGrid w:val="0"/>
              <w:spacing w:line="360" w:lineRule="auto"/>
              <w:jc w:val="center"/>
              <w:rPr>
                <w:rFonts w:cs="宋体" w:asciiTheme="minorEastAsia" w:hAnsiTheme="minorEastAsia" w:eastAsiaTheme="minorEastAsia"/>
                <w:sz w:val="24"/>
              </w:rPr>
            </w:pPr>
          </w:p>
        </w:tc>
        <w:tc>
          <w:tcPr>
            <w:tcW w:w="3118" w:type="dxa"/>
            <w:vAlign w:val="center"/>
          </w:tcPr>
          <w:p w14:paraId="18A8CECD">
            <w:pPr>
              <w:snapToGrid w:val="0"/>
              <w:spacing w:line="360" w:lineRule="auto"/>
              <w:jc w:val="center"/>
              <w:rPr>
                <w:rFonts w:cs="宋体" w:asciiTheme="minorEastAsia" w:hAnsiTheme="minorEastAsia" w:eastAsiaTheme="minorEastAsia"/>
                <w:sz w:val="24"/>
              </w:rPr>
            </w:pPr>
          </w:p>
        </w:tc>
        <w:tc>
          <w:tcPr>
            <w:tcW w:w="993" w:type="dxa"/>
            <w:vAlign w:val="center"/>
          </w:tcPr>
          <w:p w14:paraId="2D78692E">
            <w:pPr>
              <w:snapToGrid w:val="0"/>
              <w:spacing w:line="360" w:lineRule="auto"/>
              <w:jc w:val="center"/>
              <w:rPr>
                <w:rFonts w:cs="宋体" w:asciiTheme="minorEastAsia" w:hAnsiTheme="minorEastAsia" w:eastAsiaTheme="minorEastAsia"/>
                <w:sz w:val="24"/>
              </w:rPr>
            </w:pPr>
          </w:p>
        </w:tc>
        <w:tc>
          <w:tcPr>
            <w:tcW w:w="1559" w:type="dxa"/>
            <w:vAlign w:val="center"/>
          </w:tcPr>
          <w:p w14:paraId="7C0AC114">
            <w:pPr>
              <w:spacing w:line="360" w:lineRule="auto"/>
              <w:jc w:val="center"/>
              <w:rPr>
                <w:rFonts w:cs="宋体" w:asciiTheme="minorEastAsia" w:hAnsiTheme="minorEastAsia" w:eastAsiaTheme="minorEastAsia"/>
                <w:sz w:val="24"/>
              </w:rPr>
            </w:pPr>
          </w:p>
        </w:tc>
        <w:tc>
          <w:tcPr>
            <w:tcW w:w="1984" w:type="dxa"/>
            <w:vAlign w:val="center"/>
          </w:tcPr>
          <w:p w14:paraId="71708062">
            <w:pPr>
              <w:spacing w:line="360" w:lineRule="auto"/>
              <w:jc w:val="center"/>
              <w:rPr>
                <w:rFonts w:cs="宋体" w:asciiTheme="minorEastAsia" w:hAnsiTheme="minorEastAsia" w:eastAsiaTheme="minorEastAsia"/>
                <w:sz w:val="24"/>
              </w:rPr>
            </w:pPr>
          </w:p>
        </w:tc>
        <w:tc>
          <w:tcPr>
            <w:tcW w:w="3119" w:type="dxa"/>
            <w:vAlign w:val="center"/>
          </w:tcPr>
          <w:p w14:paraId="15E0DF0C">
            <w:pPr>
              <w:spacing w:line="360" w:lineRule="auto"/>
              <w:jc w:val="center"/>
              <w:rPr>
                <w:rFonts w:cs="宋体" w:asciiTheme="minorEastAsia" w:hAnsiTheme="minorEastAsia" w:eastAsiaTheme="minorEastAsia"/>
                <w:sz w:val="24"/>
              </w:rPr>
            </w:pPr>
          </w:p>
        </w:tc>
      </w:tr>
      <w:tr w14:paraId="61A9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6663C5A">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417" w:type="dxa"/>
            <w:vAlign w:val="center"/>
          </w:tcPr>
          <w:p w14:paraId="07B8CC45">
            <w:pPr>
              <w:snapToGrid w:val="0"/>
              <w:spacing w:line="360" w:lineRule="auto"/>
              <w:jc w:val="center"/>
              <w:rPr>
                <w:rFonts w:cs="宋体" w:asciiTheme="minorEastAsia" w:hAnsiTheme="minorEastAsia" w:eastAsiaTheme="minorEastAsia"/>
                <w:sz w:val="24"/>
              </w:rPr>
            </w:pPr>
          </w:p>
        </w:tc>
        <w:tc>
          <w:tcPr>
            <w:tcW w:w="1843" w:type="dxa"/>
            <w:vAlign w:val="center"/>
          </w:tcPr>
          <w:p w14:paraId="07601BBC">
            <w:pPr>
              <w:snapToGrid w:val="0"/>
              <w:spacing w:line="360" w:lineRule="auto"/>
              <w:jc w:val="center"/>
              <w:rPr>
                <w:rFonts w:cs="宋体" w:asciiTheme="minorEastAsia" w:hAnsiTheme="minorEastAsia" w:eastAsiaTheme="minorEastAsia"/>
                <w:sz w:val="24"/>
              </w:rPr>
            </w:pPr>
          </w:p>
        </w:tc>
        <w:tc>
          <w:tcPr>
            <w:tcW w:w="3118" w:type="dxa"/>
            <w:vAlign w:val="center"/>
          </w:tcPr>
          <w:p w14:paraId="4996AE57">
            <w:pPr>
              <w:snapToGrid w:val="0"/>
              <w:spacing w:line="360" w:lineRule="auto"/>
              <w:jc w:val="center"/>
              <w:rPr>
                <w:rFonts w:cs="宋体" w:asciiTheme="minorEastAsia" w:hAnsiTheme="minorEastAsia" w:eastAsiaTheme="minorEastAsia"/>
                <w:sz w:val="24"/>
              </w:rPr>
            </w:pPr>
          </w:p>
        </w:tc>
        <w:tc>
          <w:tcPr>
            <w:tcW w:w="993" w:type="dxa"/>
            <w:vAlign w:val="center"/>
          </w:tcPr>
          <w:p w14:paraId="16291229">
            <w:pPr>
              <w:snapToGrid w:val="0"/>
              <w:spacing w:line="360" w:lineRule="auto"/>
              <w:jc w:val="center"/>
              <w:rPr>
                <w:rFonts w:cs="宋体" w:asciiTheme="minorEastAsia" w:hAnsiTheme="minorEastAsia" w:eastAsiaTheme="minorEastAsia"/>
                <w:sz w:val="24"/>
              </w:rPr>
            </w:pPr>
          </w:p>
        </w:tc>
        <w:tc>
          <w:tcPr>
            <w:tcW w:w="1559" w:type="dxa"/>
            <w:vAlign w:val="center"/>
          </w:tcPr>
          <w:p w14:paraId="63E1843A">
            <w:pPr>
              <w:spacing w:line="360" w:lineRule="auto"/>
              <w:jc w:val="center"/>
              <w:rPr>
                <w:rFonts w:cs="宋体" w:asciiTheme="minorEastAsia" w:hAnsiTheme="minorEastAsia" w:eastAsiaTheme="minorEastAsia"/>
                <w:sz w:val="24"/>
              </w:rPr>
            </w:pPr>
          </w:p>
        </w:tc>
        <w:tc>
          <w:tcPr>
            <w:tcW w:w="1984" w:type="dxa"/>
            <w:vAlign w:val="center"/>
          </w:tcPr>
          <w:p w14:paraId="5B8D1485">
            <w:pPr>
              <w:spacing w:line="360" w:lineRule="auto"/>
              <w:jc w:val="center"/>
              <w:rPr>
                <w:rFonts w:cs="宋体" w:asciiTheme="minorEastAsia" w:hAnsiTheme="minorEastAsia" w:eastAsiaTheme="minorEastAsia"/>
                <w:sz w:val="24"/>
              </w:rPr>
            </w:pPr>
          </w:p>
        </w:tc>
        <w:tc>
          <w:tcPr>
            <w:tcW w:w="3119" w:type="dxa"/>
            <w:vAlign w:val="center"/>
          </w:tcPr>
          <w:p w14:paraId="06EDF9CA">
            <w:pPr>
              <w:spacing w:line="360" w:lineRule="auto"/>
              <w:jc w:val="center"/>
              <w:rPr>
                <w:rFonts w:cs="宋体" w:asciiTheme="minorEastAsia" w:hAnsiTheme="minorEastAsia" w:eastAsiaTheme="minorEastAsia"/>
                <w:sz w:val="24"/>
              </w:rPr>
            </w:pPr>
          </w:p>
        </w:tc>
      </w:tr>
      <w:tr w14:paraId="2B33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D545E0">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417" w:type="dxa"/>
            <w:vAlign w:val="center"/>
          </w:tcPr>
          <w:p w14:paraId="0DC5D6F3">
            <w:pPr>
              <w:snapToGrid w:val="0"/>
              <w:spacing w:line="360" w:lineRule="auto"/>
              <w:jc w:val="center"/>
              <w:rPr>
                <w:rFonts w:cs="宋体" w:asciiTheme="minorEastAsia" w:hAnsiTheme="minorEastAsia" w:eastAsiaTheme="minorEastAsia"/>
                <w:sz w:val="24"/>
              </w:rPr>
            </w:pPr>
          </w:p>
        </w:tc>
        <w:tc>
          <w:tcPr>
            <w:tcW w:w="1843" w:type="dxa"/>
            <w:vAlign w:val="center"/>
          </w:tcPr>
          <w:p w14:paraId="1234C201">
            <w:pPr>
              <w:snapToGrid w:val="0"/>
              <w:spacing w:line="360" w:lineRule="auto"/>
              <w:jc w:val="center"/>
              <w:rPr>
                <w:rFonts w:cs="宋体" w:asciiTheme="minorEastAsia" w:hAnsiTheme="minorEastAsia" w:eastAsiaTheme="minorEastAsia"/>
                <w:sz w:val="24"/>
              </w:rPr>
            </w:pPr>
          </w:p>
        </w:tc>
        <w:tc>
          <w:tcPr>
            <w:tcW w:w="3118" w:type="dxa"/>
            <w:vAlign w:val="center"/>
          </w:tcPr>
          <w:p w14:paraId="6334FD5A">
            <w:pPr>
              <w:snapToGrid w:val="0"/>
              <w:spacing w:line="360" w:lineRule="auto"/>
              <w:jc w:val="center"/>
              <w:rPr>
                <w:rFonts w:cs="宋体" w:asciiTheme="minorEastAsia" w:hAnsiTheme="minorEastAsia" w:eastAsiaTheme="minorEastAsia"/>
                <w:sz w:val="24"/>
              </w:rPr>
            </w:pPr>
          </w:p>
        </w:tc>
        <w:tc>
          <w:tcPr>
            <w:tcW w:w="993" w:type="dxa"/>
            <w:vAlign w:val="center"/>
          </w:tcPr>
          <w:p w14:paraId="6611EE06">
            <w:pPr>
              <w:snapToGrid w:val="0"/>
              <w:spacing w:line="360" w:lineRule="auto"/>
              <w:jc w:val="center"/>
              <w:rPr>
                <w:rFonts w:cs="宋体" w:asciiTheme="minorEastAsia" w:hAnsiTheme="minorEastAsia" w:eastAsiaTheme="minorEastAsia"/>
                <w:sz w:val="24"/>
              </w:rPr>
            </w:pPr>
          </w:p>
        </w:tc>
        <w:tc>
          <w:tcPr>
            <w:tcW w:w="1559" w:type="dxa"/>
            <w:vAlign w:val="center"/>
          </w:tcPr>
          <w:p w14:paraId="4AD2DC62">
            <w:pPr>
              <w:spacing w:line="360" w:lineRule="auto"/>
              <w:jc w:val="center"/>
              <w:rPr>
                <w:rFonts w:cs="宋体" w:asciiTheme="minorEastAsia" w:hAnsiTheme="minorEastAsia" w:eastAsiaTheme="minorEastAsia"/>
                <w:sz w:val="24"/>
              </w:rPr>
            </w:pPr>
          </w:p>
        </w:tc>
        <w:tc>
          <w:tcPr>
            <w:tcW w:w="1984" w:type="dxa"/>
            <w:vAlign w:val="center"/>
          </w:tcPr>
          <w:p w14:paraId="33A74E7B">
            <w:pPr>
              <w:spacing w:line="360" w:lineRule="auto"/>
              <w:jc w:val="center"/>
              <w:rPr>
                <w:rFonts w:cs="宋体" w:asciiTheme="minorEastAsia" w:hAnsiTheme="minorEastAsia" w:eastAsiaTheme="minorEastAsia"/>
                <w:sz w:val="24"/>
              </w:rPr>
            </w:pPr>
          </w:p>
        </w:tc>
        <w:tc>
          <w:tcPr>
            <w:tcW w:w="3119" w:type="dxa"/>
            <w:vAlign w:val="center"/>
          </w:tcPr>
          <w:p w14:paraId="07F3C946">
            <w:pPr>
              <w:spacing w:line="360" w:lineRule="auto"/>
              <w:jc w:val="center"/>
              <w:rPr>
                <w:rFonts w:cs="宋体" w:asciiTheme="minorEastAsia" w:hAnsiTheme="minorEastAsia" w:eastAsiaTheme="minorEastAsia"/>
                <w:sz w:val="24"/>
              </w:rPr>
            </w:pPr>
          </w:p>
        </w:tc>
      </w:tr>
      <w:tr w14:paraId="024B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E69DAB7">
            <w:pPr>
              <w:spacing w:line="360" w:lineRule="auto"/>
              <w:jc w:val="center"/>
              <w:rPr>
                <w:rFonts w:cs="宋体" w:asciiTheme="minorEastAsia" w:hAnsiTheme="minorEastAsia" w:eastAsiaTheme="minorEastAsia"/>
                <w:sz w:val="24"/>
              </w:rPr>
            </w:pPr>
          </w:p>
        </w:tc>
        <w:tc>
          <w:tcPr>
            <w:tcW w:w="1417" w:type="dxa"/>
            <w:vAlign w:val="center"/>
          </w:tcPr>
          <w:p w14:paraId="5C8B7EB0">
            <w:pPr>
              <w:snapToGrid w:val="0"/>
              <w:spacing w:line="360" w:lineRule="auto"/>
              <w:jc w:val="center"/>
              <w:rPr>
                <w:rFonts w:cs="宋体" w:asciiTheme="minorEastAsia" w:hAnsiTheme="minorEastAsia" w:eastAsiaTheme="minorEastAsia"/>
                <w:sz w:val="24"/>
              </w:rPr>
            </w:pPr>
          </w:p>
        </w:tc>
        <w:tc>
          <w:tcPr>
            <w:tcW w:w="1843" w:type="dxa"/>
            <w:vAlign w:val="center"/>
          </w:tcPr>
          <w:p w14:paraId="0598F7F1">
            <w:pPr>
              <w:snapToGrid w:val="0"/>
              <w:spacing w:line="360" w:lineRule="auto"/>
              <w:jc w:val="center"/>
              <w:rPr>
                <w:rFonts w:cs="宋体" w:asciiTheme="minorEastAsia" w:hAnsiTheme="minorEastAsia" w:eastAsiaTheme="minorEastAsia"/>
                <w:sz w:val="24"/>
              </w:rPr>
            </w:pPr>
          </w:p>
        </w:tc>
        <w:tc>
          <w:tcPr>
            <w:tcW w:w="3118" w:type="dxa"/>
            <w:vAlign w:val="center"/>
          </w:tcPr>
          <w:p w14:paraId="58BB7828">
            <w:pPr>
              <w:snapToGrid w:val="0"/>
              <w:spacing w:line="360" w:lineRule="auto"/>
              <w:jc w:val="center"/>
              <w:rPr>
                <w:rFonts w:cs="宋体" w:asciiTheme="minorEastAsia" w:hAnsiTheme="minorEastAsia" w:eastAsiaTheme="minorEastAsia"/>
                <w:sz w:val="24"/>
              </w:rPr>
            </w:pPr>
          </w:p>
        </w:tc>
        <w:tc>
          <w:tcPr>
            <w:tcW w:w="993" w:type="dxa"/>
            <w:vAlign w:val="center"/>
          </w:tcPr>
          <w:p w14:paraId="1B2479DF">
            <w:pPr>
              <w:snapToGrid w:val="0"/>
              <w:spacing w:line="360" w:lineRule="auto"/>
              <w:jc w:val="center"/>
              <w:rPr>
                <w:rFonts w:cs="宋体" w:asciiTheme="minorEastAsia" w:hAnsiTheme="minorEastAsia" w:eastAsiaTheme="minorEastAsia"/>
                <w:sz w:val="24"/>
              </w:rPr>
            </w:pPr>
          </w:p>
        </w:tc>
        <w:tc>
          <w:tcPr>
            <w:tcW w:w="1559" w:type="dxa"/>
            <w:vAlign w:val="center"/>
          </w:tcPr>
          <w:p w14:paraId="6FDCD686">
            <w:pPr>
              <w:spacing w:line="360" w:lineRule="auto"/>
              <w:jc w:val="center"/>
              <w:rPr>
                <w:rFonts w:cs="宋体" w:asciiTheme="minorEastAsia" w:hAnsiTheme="minorEastAsia" w:eastAsiaTheme="minorEastAsia"/>
                <w:sz w:val="24"/>
              </w:rPr>
            </w:pPr>
          </w:p>
        </w:tc>
        <w:tc>
          <w:tcPr>
            <w:tcW w:w="1984" w:type="dxa"/>
            <w:vAlign w:val="center"/>
          </w:tcPr>
          <w:p w14:paraId="5F3212EA">
            <w:pPr>
              <w:spacing w:line="360" w:lineRule="auto"/>
              <w:jc w:val="center"/>
              <w:rPr>
                <w:rFonts w:cs="宋体" w:asciiTheme="minorEastAsia" w:hAnsiTheme="minorEastAsia" w:eastAsiaTheme="minorEastAsia"/>
                <w:sz w:val="24"/>
              </w:rPr>
            </w:pPr>
          </w:p>
        </w:tc>
        <w:tc>
          <w:tcPr>
            <w:tcW w:w="3119" w:type="dxa"/>
            <w:vAlign w:val="center"/>
          </w:tcPr>
          <w:p w14:paraId="017529C2">
            <w:pPr>
              <w:spacing w:line="360" w:lineRule="auto"/>
              <w:jc w:val="center"/>
              <w:rPr>
                <w:rFonts w:cs="宋体" w:asciiTheme="minorEastAsia" w:hAnsiTheme="minorEastAsia" w:eastAsiaTheme="minorEastAsia"/>
                <w:sz w:val="24"/>
              </w:rPr>
            </w:pPr>
          </w:p>
        </w:tc>
      </w:tr>
      <w:tr w14:paraId="1D7B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A0EBB5">
            <w:pPr>
              <w:spacing w:line="360" w:lineRule="auto"/>
              <w:jc w:val="center"/>
              <w:rPr>
                <w:rFonts w:cs="宋体" w:asciiTheme="minorEastAsia" w:hAnsiTheme="minorEastAsia" w:eastAsiaTheme="minorEastAsia"/>
                <w:sz w:val="24"/>
              </w:rPr>
            </w:pPr>
          </w:p>
        </w:tc>
        <w:tc>
          <w:tcPr>
            <w:tcW w:w="1417" w:type="dxa"/>
            <w:vAlign w:val="center"/>
          </w:tcPr>
          <w:p w14:paraId="2E665373">
            <w:pPr>
              <w:snapToGrid w:val="0"/>
              <w:spacing w:line="360" w:lineRule="auto"/>
              <w:jc w:val="center"/>
              <w:rPr>
                <w:rFonts w:cs="宋体" w:asciiTheme="minorEastAsia" w:hAnsiTheme="minorEastAsia" w:eastAsiaTheme="minorEastAsia"/>
                <w:sz w:val="24"/>
              </w:rPr>
            </w:pPr>
          </w:p>
        </w:tc>
        <w:tc>
          <w:tcPr>
            <w:tcW w:w="1843" w:type="dxa"/>
            <w:vAlign w:val="center"/>
          </w:tcPr>
          <w:p w14:paraId="27897F5D">
            <w:pPr>
              <w:snapToGrid w:val="0"/>
              <w:spacing w:line="360" w:lineRule="auto"/>
              <w:jc w:val="center"/>
              <w:rPr>
                <w:rFonts w:cs="宋体" w:asciiTheme="minorEastAsia" w:hAnsiTheme="minorEastAsia" w:eastAsiaTheme="minorEastAsia"/>
                <w:sz w:val="24"/>
              </w:rPr>
            </w:pPr>
          </w:p>
        </w:tc>
        <w:tc>
          <w:tcPr>
            <w:tcW w:w="3118" w:type="dxa"/>
            <w:vAlign w:val="center"/>
          </w:tcPr>
          <w:p w14:paraId="48500E63">
            <w:pPr>
              <w:snapToGrid w:val="0"/>
              <w:spacing w:line="360" w:lineRule="auto"/>
              <w:jc w:val="center"/>
              <w:rPr>
                <w:rFonts w:cs="宋体" w:asciiTheme="minorEastAsia" w:hAnsiTheme="minorEastAsia" w:eastAsiaTheme="minorEastAsia"/>
                <w:sz w:val="24"/>
              </w:rPr>
            </w:pPr>
          </w:p>
        </w:tc>
        <w:tc>
          <w:tcPr>
            <w:tcW w:w="993" w:type="dxa"/>
            <w:vAlign w:val="center"/>
          </w:tcPr>
          <w:p w14:paraId="467DE834">
            <w:pPr>
              <w:snapToGrid w:val="0"/>
              <w:spacing w:line="360" w:lineRule="auto"/>
              <w:jc w:val="center"/>
              <w:rPr>
                <w:rFonts w:cs="宋体" w:asciiTheme="minorEastAsia" w:hAnsiTheme="minorEastAsia" w:eastAsiaTheme="minorEastAsia"/>
                <w:sz w:val="24"/>
              </w:rPr>
            </w:pPr>
          </w:p>
        </w:tc>
        <w:tc>
          <w:tcPr>
            <w:tcW w:w="1559" w:type="dxa"/>
            <w:vAlign w:val="center"/>
          </w:tcPr>
          <w:p w14:paraId="326179CD">
            <w:pPr>
              <w:spacing w:line="360" w:lineRule="auto"/>
              <w:jc w:val="center"/>
              <w:rPr>
                <w:rFonts w:cs="宋体" w:asciiTheme="minorEastAsia" w:hAnsiTheme="minorEastAsia" w:eastAsiaTheme="minorEastAsia"/>
                <w:sz w:val="24"/>
              </w:rPr>
            </w:pPr>
          </w:p>
        </w:tc>
        <w:tc>
          <w:tcPr>
            <w:tcW w:w="1984" w:type="dxa"/>
            <w:vAlign w:val="center"/>
          </w:tcPr>
          <w:p w14:paraId="21ADDF05">
            <w:pPr>
              <w:spacing w:line="360" w:lineRule="auto"/>
              <w:jc w:val="center"/>
              <w:rPr>
                <w:rFonts w:cs="宋体" w:asciiTheme="minorEastAsia" w:hAnsiTheme="minorEastAsia" w:eastAsiaTheme="minorEastAsia"/>
                <w:sz w:val="24"/>
              </w:rPr>
            </w:pPr>
          </w:p>
        </w:tc>
        <w:tc>
          <w:tcPr>
            <w:tcW w:w="3119" w:type="dxa"/>
            <w:vAlign w:val="center"/>
          </w:tcPr>
          <w:p w14:paraId="08AEBDC3">
            <w:pPr>
              <w:spacing w:line="360" w:lineRule="auto"/>
              <w:jc w:val="center"/>
              <w:rPr>
                <w:rFonts w:cs="宋体" w:asciiTheme="minorEastAsia" w:hAnsiTheme="minorEastAsia" w:eastAsiaTheme="minorEastAsia"/>
                <w:sz w:val="24"/>
              </w:rPr>
            </w:pPr>
          </w:p>
        </w:tc>
      </w:tr>
      <w:tr w14:paraId="4DA8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C788480">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7655" w:type="dxa"/>
            <w:gridSpan w:val="4"/>
            <w:vAlign w:val="center"/>
          </w:tcPr>
          <w:p w14:paraId="19CA2AD9">
            <w:pPr>
              <w:spacing w:line="360" w:lineRule="auto"/>
              <w:jc w:val="center"/>
              <w:rPr>
                <w:rFonts w:cs="宋体" w:asciiTheme="minorEastAsia" w:hAnsiTheme="minorEastAsia" w:eastAsiaTheme="minorEastAsia"/>
                <w:sz w:val="24"/>
              </w:rPr>
            </w:pPr>
          </w:p>
        </w:tc>
      </w:tr>
      <w:tr w14:paraId="383B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9A9D35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7655" w:type="dxa"/>
            <w:gridSpan w:val="4"/>
            <w:vAlign w:val="center"/>
          </w:tcPr>
          <w:p w14:paraId="3E55270C">
            <w:pPr>
              <w:spacing w:line="360" w:lineRule="auto"/>
              <w:jc w:val="center"/>
              <w:rPr>
                <w:rFonts w:cs="宋体" w:asciiTheme="minorEastAsia" w:hAnsiTheme="minorEastAsia" w:eastAsiaTheme="minorEastAsia"/>
                <w:sz w:val="24"/>
              </w:rPr>
            </w:pPr>
          </w:p>
        </w:tc>
      </w:tr>
    </w:tbl>
    <w:p w14:paraId="34F96C75">
      <w:pPr>
        <w:spacing w:line="360" w:lineRule="auto"/>
        <w:ind w:left="-2" w:leftChars="-1" w:firstLine="480" w:firstLineChars="200"/>
        <w:rPr>
          <w:rFonts w:ascii="宋体" w:hAnsi="宋体"/>
          <w:sz w:val="24"/>
        </w:rPr>
      </w:pPr>
      <w:r>
        <w:rPr>
          <w:rFonts w:hint="eastAsia" w:ascii="宋体" w:hAnsi="宋体"/>
          <w:sz w:val="24"/>
        </w:rPr>
        <w:t>注</w:t>
      </w:r>
      <w:r>
        <w:rPr>
          <w:rFonts w:ascii="宋体" w:hAnsi="宋体"/>
          <w:sz w:val="24"/>
        </w:rPr>
        <w:t xml:space="preserve">: </w:t>
      </w:r>
    </w:p>
    <w:p w14:paraId="7C794C6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w:t>
      </w:r>
      <w:r>
        <w:rPr>
          <w:rFonts w:hint="eastAsia" w:ascii="宋体" w:hAnsi="宋体" w:cs="宋体"/>
          <w:kern w:val="0"/>
          <w:sz w:val="24"/>
          <w:lang w:val="zh-CN"/>
        </w:rPr>
        <w:t>。</w:t>
      </w:r>
    </w:p>
    <w:p w14:paraId="7462AC66">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14:paraId="5E46172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kern w:val="0"/>
          <w:sz w:val="24"/>
          <w:highlight w:val="yellow"/>
          <w:lang w:val="zh-CN"/>
        </w:rPr>
        <w:t>名称、品牌（如果有）、规格型号、数量、单价</w:t>
      </w:r>
      <w:r>
        <w:rPr>
          <w:rFonts w:hint="eastAsia" w:ascii="宋体" w:hAnsi="宋体" w:cs="宋体"/>
          <w:kern w:val="0"/>
          <w:sz w:val="24"/>
          <w:lang w:val="zh-CN"/>
        </w:rPr>
        <w:t>等予以公示。</w:t>
      </w:r>
    </w:p>
    <w:p w14:paraId="36C646D6">
      <w:pPr>
        <w:snapToGrid w:val="0"/>
        <w:spacing w:before="50" w:after="50" w:line="360" w:lineRule="auto"/>
        <w:jc w:val="left"/>
        <w:rPr>
          <w:rFonts w:ascii="宋体" w:hAnsi="宋体"/>
          <w:kern w:val="0"/>
          <w:sz w:val="24"/>
        </w:rPr>
      </w:pPr>
      <w:r>
        <w:rPr>
          <w:rFonts w:hint="eastAsia" w:ascii="宋体" w:hAnsi="宋体" w:cs="仿宋_GB2312"/>
          <w:kern w:val="0"/>
          <w:sz w:val="24"/>
          <w:lang w:val="zh-CN"/>
        </w:rPr>
        <w:t>法定代表人（签字或盖章）：</w:t>
      </w:r>
    </w:p>
    <w:p w14:paraId="52D0B805">
      <w:pPr>
        <w:autoSpaceDE w:val="0"/>
        <w:autoSpaceDN w:val="0"/>
        <w:adjustRightInd w:val="0"/>
        <w:spacing w:line="360" w:lineRule="auto"/>
        <w:rPr>
          <w:rFonts w:ascii="宋体" w:hAnsi="宋体" w:cs="仿宋_GB2312"/>
          <w:kern w:val="0"/>
          <w:sz w:val="24"/>
          <w:u w:val="single"/>
          <w:lang w:val="zh-CN"/>
        </w:rPr>
      </w:pPr>
      <w:r>
        <w:rPr>
          <w:rFonts w:hint="eastAsia" w:ascii="宋体" w:hAnsi="宋体" w:cs="仿宋_GB2312"/>
          <w:kern w:val="0"/>
          <w:sz w:val="24"/>
          <w:lang w:val="zh-CN"/>
        </w:rPr>
        <w:t>授权委托人签字：</w:t>
      </w:r>
    </w:p>
    <w:p w14:paraId="7E9A3C3C">
      <w:pPr>
        <w:autoSpaceDE w:val="0"/>
        <w:autoSpaceDN w:val="0"/>
        <w:adjustRightInd w:val="0"/>
        <w:spacing w:line="360" w:lineRule="auto"/>
        <w:rPr>
          <w:rFonts w:ascii="宋体" w:hAnsi="宋体" w:cs="仿宋_GB2312"/>
          <w:kern w:val="0"/>
          <w:sz w:val="24"/>
          <w:u w:val="single"/>
          <w:lang w:val="zh-CN"/>
        </w:rPr>
      </w:pPr>
      <w:r>
        <w:rPr>
          <w:rFonts w:hint="eastAsia" w:ascii="宋体" w:hAnsi="宋体" w:cs="仿宋_GB2312"/>
          <w:kern w:val="0"/>
          <w:sz w:val="24"/>
          <w:lang w:val="zh-CN"/>
        </w:rPr>
        <w:t>公司盖章</w:t>
      </w:r>
      <w:r>
        <w:rPr>
          <w:rFonts w:ascii="宋体" w:hAnsi="宋体" w:cs="仿宋_GB2312"/>
          <w:kern w:val="0"/>
          <w:sz w:val="24"/>
          <w:lang w:val="zh-CN"/>
        </w:rPr>
        <w:t>:</w:t>
      </w:r>
    </w:p>
    <w:p w14:paraId="6BAA239E">
      <w:pPr>
        <w:spacing w:before="120" w:beforeLines="50" w:after="120" w:afterLines="50" w:line="360" w:lineRule="auto"/>
        <w:ind w:right="105" w:rightChars="50"/>
        <w:rPr>
          <w:rFonts w:ascii="宋体" w:hAnsi="宋体"/>
          <w:b/>
          <w:bCs/>
          <w:szCs w:val="21"/>
        </w:rPr>
      </w:pPr>
      <w:r>
        <w:rPr>
          <w:rFonts w:hint="eastAsia" w:ascii="宋体" w:hAnsi="宋体" w:cs="仿宋_GB2312"/>
          <w:kern w:val="0"/>
          <w:sz w:val="24"/>
          <w:lang w:val="zh-CN"/>
        </w:rPr>
        <w:t>日期</w:t>
      </w:r>
      <w:r>
        <w:rPr>
          <w:rFonts w:hint="eastAsia" w:ascii="宋体" w:hAnsi="宋体" w:cs="仿宋_GB2312"/>
          <w:kern w:val="0"/>
          <w:sz w:val="24"/>
        </w:rPr>
        <w:t>：</w:t>
      </w:r>
      <w:r>
        <w:rPr>
          <w:rFonts w:hint="eastAsia" w:ascii="宋体" w:hAnsi="宋体" w:cs="仿宋_GB2312"/>
          <w:kern w:val="0"/>
          <w:sz w:val="24"/>
          <w:lang w:val="zh-CN"/>
        </w:rPr>
        <w:t>年月日</w:t>
      </w:r>
      <w:r>
        <w:rPr>
          <w:rFonts w:ascii="宋体" w:hAnsi="宋体"/>
          <w:b/>
          <w:bCs/>
          <w:szCs w:val="21"/>
        </w:rPr>
        <w:t xml:space="preserve"> </w:t>
      </w:r>
    </w:p>
    <w:p w14:paraId="7E227858">
      <w:pPr>
        <w:pStyle w:val="5"/>
        <w:numPr>
          <w:ilvl w:val="3"/>
          <w:numId w:val="0"/>
        </w:numPr>
      </w:pPr>
    </w:p>
    <w:p w14:paraId="73C5F809">
      <w:pPr>
        <w:pStyle w:val="5"/>
        <w:numPr>
          <w:ilvl w:val="3"/>
          <w:numId w:val="0"/>
        </w:numPr>
        <w:rPr>
          <w:rFonts w:asciiTheme="minorEastAsia" w:hAnsiTheme="minorEastAsia" w:eastAsiaTheme="minorEastAsia"/>
          <w:spacing w:val="20"/>
          <w:position w:val="2"/>
          <w:sz w:val="24"/>
        </w:rPr>
      </w:pPr>
    </w:p>
    <w:p w14:paraId="48E8D425">
      <w:pPr>
        <w:rPr>
          <w:rFonts w:asciiTheme="minorEastAsia" w:hAnsiTheme="minorEastAsia" w:eastAsiaTheme="minorEastAsia"/>
          <w:b/>
          <w:spacing w:val="20"/>
          <w:position w:val="2"/>
          <w:sz w:val="24"/>
        </w:rPr>
      </w:pPr>
    </w:p>
    <w:p w14:paraId="047110A2">
      <w:pPr>
        <w:snapToGrid w:val="0"/>
        <w:spacing w:before="50" w:after="50" w:line="240" w:lineRule="auto"/>
        <w:rPr>
          <w:rFonts w:cs="宋体" w:asciiTheme="minorEastAsia" w:hAnsiTheme="minorEastAsia" w:eastAsiaTheme="minorEastAsia"/>
          <w:sz w:val="24"/>
        </w:rPr>
      </w:pPr>
    </w:p>
    <w:p w14:paraId="2DAE3302">
      <w:pPr>
        <w:snapToGrid w:val="0"/>
        <w:spacing w:before="50" w:after="50" w:line="240" w:lineRule="auto"/>
        <w:rPr>
          <w:rFonts w:cs="宋体" w:asciiTheme="minorEastAsia" w:hAnsiTheme="minorEastAsia" w:eastAsiaTheme="minorEastAsia"/>
          <w:sz w:val="24"/>
        </w:rPr>
      </w:pPr>
    </w:p>
    <w:p w14:paraId="2C71FF61">
      <w:pPr>
        <w:snapToGrid w:val="0"/>
        <w:spacing w:before="50" w:after="50" w:line="240" w:lineRule="auto"/>
        <w:rPr>
          <w:rFonts w:cs="宋体" w:asciiTheme="minorEastAsia" w:hAnsiTheme="minorEastAsia" w:eastAsiaTheme="minorEastAsia"/>
          <w:sz w:val="24"/>
        </w:rPr>
      </w:pPr>
    </w:p>
    <w:p w14:paraId="410E4292">
      <w:pPr>
        <w:snapToGrid w:val="0"/>
        <w:spacing w:before="50" w:after="50" w:line="240" w:lineRule="auto"/>
        <w:rPr>
          <w:rFonts w:cs="宋体" w:asciiTheme="minorEastAsia" w:hAnsiTheme="minorEastAsia" w:eastAsiaTheme="minorEastAsia"/>
          <w:sz w:val="24"/>
        </w:rPr>
      </w:pPr>
    </w:p>
    <w:p w14:paraId="3A8820C1">
      <w:pPr>
        <w:snapToGrid w:val="0"/>
        <w:spacing w:before="50" w:after="50" w:line="240" w:lineRule="auto"/>
        <w:rPr>
          <w:rFonts w:cs="宋体" w:asciiTheme="minorEastAsia" w:hAnsiTheme="minorEastAsia" w:eastAsiaTheme="minorEastAsia"/>
          <w:sz w:val="24"/>
        </w:rPr>
      </w:pPr>
    </w:p>
    <w:p w14:paraId="59EF515A">
      <w:pPr>
        <w:snapToGrid w:val="0"/>
        <w:spacing w:before="50" w:after="50" w:line="240" w:lineRule="auto"/>
        <w:rPr>
          <w:rFonts w:cs="宋体" w:asciiTheme="minorEastAsia" w:hAnsiTheme="minorEastAsia" w:eastAsiaTheme="minorEastAsia"/>
          <w:sz w:val="24"/>
        </w:rPr>
      </w:pPr>
    </w:p>
    <w:p w14:paraId="6DFD2187">
      <w:pPr>
        <w:snapToGrid w:val="0"/>
        <w:spacing w:before="50" w:after="50" w:line="240" w:lineRule="auto"/>
        <w:rPr>
          <w:rFonts w:cs="宋体" w:asciiTheme="minorEastAsia" w:hAnsiTheme="minorEastAsia" w:eastAsiaTheme="minorEastAsia"/>
          <w:sz w:val="24"/>
        </w:rPr>
      </w:pPr>
    </w:p>
    <w:p w14:paraId="69307B1C">
      <w:pPr>
        <w:snapToGrid w:val="0"/>
        <w:spacing w:before="50" w:after="50"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（3）报价明细表</w:t>
      </w:r>
    </w:p>
    <w:p w14:paraId="1EE030F8">
      <w:pPr>
        <w:snapToGrid w:val="0"/>
        <w:spacing w:before="50" w:after="50" w:line="240" w:lineRule="auto"/>
        <w:rPr>
          <w:rFonts w:asciiTheme="minorEastAsia" w:hAnsiTheme="minorEastAsia" w:eastAsiaTheme="minorEastAsia"/>
          <w:sz w:val="24"/>
        </w:rPr>
      </w:pPr>
      <w:r>
        <w:rPr>
          <w:rFonts w:hint="eastAsia" w:cs="宋体" w:asciiTheme="minorEastAsia" w:hAnsiTheme="minorEastAsia" w:eastAsiaTheme="minorEastAsia"/>
          <w:sz w:val="24"/>
        </w:rPr>
        <w:t>投标人名称：</w:t>
      </w:r>
    </w:p>
    <w:p w14:paraId="1719771F">
      <w:pPr>
        <w:snapToGrid w:val="0"/>
        <w:spacing w:before="50" w:after="50" w:line="240" w:lineRule="auto"/>
        <w:rPr>
          <w:rFonts w:asciiTheme="minorEastAsia" w:hAnsiTheme="minorEastAsia" w:eastAsiaTheme="minorEastAsia"/>
          <w:sz w:val="24"/>
        </w:rPr>
      </w:pPr>
      <w:r>
        <w:rPr>
          <w:rFonts w:hint="eastAsia" w:cs="宋体" w:asciiTheme="minorEastAsia" w:hAnsiTheme="minorEastAsia" w:eastAsiaTheme="minorEastAsia"/>
          <w:sz w:val="24"/>
        </w:rPr>
        <w:t>项目名称：</w:t>
      </w:r>
    </w:p>
    <w:p w14:paraId="1C987C4D">
      <w:pPr>
        <w:snapToGrid w:val="0"/>
        <w:spacing w:before="50" w:after="50"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招标编号：</w:t>
      </w:r>
    </w:p>
    <w:p w14:paraId="7F6A041E">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报价明细表(单位均为人民币元)</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3217"/>
        <w:gridCol w:w="4037"/>
        <w:gridCol w:w="995"/>
        <w:gridCol w:w="1018"/>
        <w:gridCol w:w="2027"/>
        <w:gridCol w:w="2027"/>
      </w:tblGrid>
      <w:tr w14:paraId="2792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49" w:type="dxa"/>
          </w:tcPr>
          <w:p w14:paraId="65167BEE">
            <w:pPr>
              <w:pStyle w:val="5"/>
              <w:numPr>
                <w:ilvl w:val="3"/>
                <w:numId w:val="0"/>
              </w:numPr>
              <w:jc w:val="center"/>
              <w:outlineLvl w:val="3"/>
              <w:rPr>
                <w:lang w:val="zh-CN"/>
              </w:rPr>
            </w:pPr>
            <w:r>
              <w:rPr>
                <w:rFonts w:hint="eastAsia"/>
                <w:lang w:val="zh-CN"/>
              </w:rPr>
              <w:t>序号</w:t>
            </w:r>
          </w:p>
        </w:tc>
        <w:tc>
          <w:tcPr>
            <w:tcW w:w="3217" w:type="dxa"/>
          </w:tcPr>
          <w:p w14:paraId="084A104D">
            <w:pPr>
              <w:pStyle w:val="5"/>
              <w:numPr>
                <w:ilvl w:val="3"/>
                <w:numId w:val="0"/>
              </w:numPr>
              <w:jc w:val="center"/>
              <w:outlineLvl w:val="3"/>
              <w:rPr>
                <w:lang w:val="zh-CN"/>
              </w:rPr>
            </w:pPr>
            <w:r>
              <w:rPr>
                <w:rFonts w:hint="eastAsia"/>
                <w:lang w:val="zh-CN"/>
              </w:rPr>
              <w:t>名称</w:t>
            </w:r>
          </w:p>
        </w:tc>
        <w:tc>
          <w:tcPr>
            <w:tcW w:w="4037" w:type="dxa"/>
          </w:tcPr>
          <w:p w14:paraId="3757D02C">
            <w:pPr>
              <w:pStyle w:val="5"/>
              <w:numPr>
                <w:ilvl w:val="3"/>
                <w:numId w:val="0"/>
              </w:numPr>
              <w:jc w:val="center"/>
              <w:outlineLvl w:val="3"/>
              <w:rPr>
                <w:rFonts w:hint="eastAsia"/>
                <w:lang w:val="zh-CN"/>
              </w:rPr>
            </w:pPr>
            <w:r>
              <w:rPr>
                <w:rFonts w:hint="eastAsia"/>
                <w:lang w:val="zh-CN"/>
              </w:rPr>
              <w:t>规格参数</w:t>
            </w:r>
          </w:p>
        </w:tc>
        <w:tc>
          <w:tcPr>
            <w:tcW w:w="995" w:type="dxa"/>
          </w:tcPr>
          <w:p w14:paraId="7F82133D">
            <w:pPr>
              <w:pStyle w:val="5"/>
              <w:numPr>
                <w:ilvl w:val="3"/>
                <w:numId w:val="0"/>
              </w:numPr>
              <w:jc w:val="center"/>
              <w:outlineLvl w:val="3"/>
              <w:rPr>
                <w:lang w:val="zh-CN"/>
              </w:rPr>
            </w:pPr>
            <w:r>
              <w:rPr>
                <w:rFonts w:hint="eastAsia"/>
                <w:lang w:val="zh-CN"/>
              </w:rPr>
              <w:t>数量</w:t>
            </w:r>
          </w:p>
        </w:tc>
        <w:tc>
          <w:tcPr>
            <w:tcW w:w="1018" w:type="dxa"/>
          </w:tcPr>
          <w:p w14:paraId="6DE9BC9D">
            <w:pPr>
              <w:pStyle w:val="5"/>
              <w:numPr>
                <w:ilvl w:val="3"/>
                <w:numId w:val="0"/>
              </w:numPr>
              <w:jc w:val="center"/>
              <w:outlineLvl w:val="3"/>
              <w:rPr>
                <w:lang w:val="zh-CN"/>
              </w:rPr>
            </w:pPr>
            <w:r>
              <w:rPr>
                <w:rFonts w:hint="eastAsia"/>
                <w:lang w:val="zh-CN"/>
              </w:rPr>
              <w:t>单位</w:t>
            </w:r>
          </w:p>
        </w:tc>
        <w:tc>
          <w:tcPr>
            <w:tcW w:w="2027" w:type="dxa"/>
          </w:tcPr>
          <w:p w14:paraId="7F6EB20D">
            <w:pPr>
              <w:pStyle w:val="5"/>
              <w:numPr>
                <w:ilvl w:val="3"/>
                <w:numId w:val="0"/>
              </w:numPr>
              <w:jc w:val="center"/>
              <w:outlineLvl w:val="3"/>
              <w:rPr>
                <w:lang w:val="zh-CN"/>
              </w:rPr>
            </w:pPr>
            <w:r>
              <w:rPr>
                <w:rFonts w:hint="eastAsia"/>
                <w:lang w:val="zh-CN"/>
              </w:rPr>
              <w:t>报价</w:t>
            </w:r>
          </w:p>
        </w:tc>
        <w:tc>
          <w:tcPr>
            <w:tcW w:w="2027" w:type="dxa"/>
          </w:tcPr>
          <w:p w14:paraId="122555D8">
            <w:pPr>
              <w:pStyle w:val="5"/>
              <w:numPr>
                <w:ilvl w:val="3"/>
                <w:numId w:val="0"/>
              </w:numPr>
              <w:jc w:val="center"/>
              <w:outlineLvl w:val="3"/>
              <w:rPr>
                <w:lang w:val="zh-CN"/>
              </w:rPr>
            </w:pPr>
            <w:r>
              <w:rPr>
                <w:rFonts w:hint="eastAsia"/>
                <w:lang w:val="zh-CN"/>
              </w:rPr>
              <w:t>备注</w:t>
            </w:r>
          </w:p>
        </w:tc>
      </w:tr>
      <w:tr w14:paraId="4747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49" w:type="dxa"/>
          </w:tcPr>
          <w:p w14:paraId="16D6E382">
            <w:pPr>
              <w:pStyle w:val="5"/>
              <w:numPr>
                <w:ilvl w:val="3"/>
                <w:numId w:val="0"/>
              </w:numPr>
              <w:jc w:val="center"/>
              <w:outlineLvl w:val="3"/>
            </w:pPr>
            <w:r>
              <w:rPr>
                <w:rFonts w:hint="eastAsia"/>
              </w:rPr>
              <w:t>1</w:t>
            </w:r>
          </w:p>
        </w:tc>
        <w:tc>
          <w:tcPr>
            <w:tcW w:w="3217" w:type="dxa"/>
          </w:tcPr>
          <w:p w14:paraId="0D865F5D">
            <w:pPr>
              <w:pStyle w:val="5"/>
              <w:numPr>
                <w:ilvl w:val="3"/>
                <w:numId w:val="0"/>
              </w:numPr>
              <w:jc w:val="center"/>
              <w:outlineLvl w:val="3"/>
              <w:rPr>
                <w:lang w:val="zh-CN"/>
              </w:rPr>
            </w:pPr>
            <w:r>
              <w:rPr>
                <w:rFonts w:hint="eastAsia"/>
                <w:lang w:val="zh-CN"/>
              </w:rPr>
              <w:t>备用金</w:t>
            </w:r>
          </w:p>
        </w:tc>
        <w:tc>
          <w:tcPr>
            <w:tcW w:w="4037" w:type="dxa"/>
          </w:tcPr>
          <w:p w14:paraId="230D64FA">
            <w:pPr>
              <w:pStyle w:val="5"/>
              <w:numPr>
                <w:ilvl w:val="3"/>
                <w:numId w:val="0"/>
              </w:numPr>
              <w:jc w:val="center"/>
              <w:outlineLvl w:val="3"/>
              <w:rPr>
                <w:rFonts w:hint="default" w:eastAsia="宋体"/>
                <w:lang w:val="en-US" w:eastAsia="zh-CN"/>
              </w:rPr>
            </w:pPr>
            <w:r>
              <w:rPr>
                <w:rFonts w:hint="eastAsia"/>
                <w:lang w:val="en-US" w:eastAsia="zh-CN"/>
              </w:rPr>
              <w:t>/</w:t>
            </w:r>
          </w:p>
        </w:tc>
        <w:tc>
          <w:tcPr>
            <w:tcW w:w="995" w:type="dxa"/>
          </w:tcPr>
          <w:p w14:paraId="5BF1716E">
            <w:pPr>
              <w:pStyle w:val="5"/>
              <w:numPr>
                <w:ilvl w:val="3"/>
                <w:numId w:val="0"/>
              </w:numPr>
              <w:jc w:val="center"/>
              <w:outlineLvl w:val="3"/>
              <w:rPr>
                <w:rFonts w:hint="eastAsia" w:eastAsia="宋体"/>
                <w:lang w:val="en-US" w:eastAsia="zh-CN"/>
              </w:rPr>
            </w:pPr>
            <w:r>
              <w:rPr>
                <w:rFonts w:hint="eastAsia"/>
                <w:lang w:val="en-US" w:eastAsia="zh-CN"/>
              </w:rPr>
              <w:t>/</w:t>
            </w:r>
          </w:p>
        </w:tc>
        <w:tc>
          <w:tcPr>
            <w:tcW w:w="1018" w:type="dxa"/>
          </w:tcPr>
          <w:p w14:paraId="458270A1">
            <w:pPr>
              <w:pStyle w:val="5"/>
              <w:numPr>
                <w:ilvl w:val="3"/>
                <w:numId w:val="0"/>
              </w:numPr>
              <w:jc w:val="center"/>
              <w:outlineLvl w:val="3"/>
              <w:rPr>
                <w:rFonts w:hint="eastAsia" w:eastAsia="宋体"/>
                <w:lang w:val="en-US" w:eastAsia="zh-CN"/>
              </w:rPr>
            </w:pPr>
            <w:r>
              <w:rPr>
                <w:rFonts w:hint="eastAsia"/>
                <w:lang w:val="en-US" w:eastAsia="zh-CN"/>
              </w:rPr>
              <w:t>/</w:t>
            </w:r>
          </w:p>
        </w:tc>
        <w:tc>
          <w:tcPr>
            <w:tcW w:w="2027" w:type="dxa"/>
          </w:tcPr>
          <w:p w14:paraId="3995335D">
            <w:pPr>
              <w:pStyle w:val="5"/>
              <w:numPr>
                <w:ilvl w:val="3"/>
                <w:numId w:val="0"/>
              </w:numPr>
              <w:jc w:val="center"/>
              <w:outlineLvl w:val="3"/>
              <w:rPr>
                <w:rFonts w:hint="default" w:eastAsia="宋体"/>
                <w:lang w:val="en-US" w:eastAsia="zh-CN"/>
              </w:rPr>
            </w:pPr>
            <w:r>
              <w:rPr>
                <w:rFonts w:hint="eastAsia"/>
                <w:lang w:val="en-US" w:eastAsia="zh-CN"/>
              </w:rPr>
              <w:t>500000</w:t>
            </w:r>
          </w:p>
        </w:tc>
        <w:tc>
          <w:tcPr>
            <w:tcW w:w="2027" w:type="dxa"/>
          </w:tcPr>
          <w:p w14:paraId="5C11ED1D">
            <w:pPr>
              <w:pStyle w:val="5"/>
              <w:numPr>
                <w:ilvl w:val="3"/>
                <w:numId w:val="0"/>
              </w:numPr>
              <w:jc w:val="center"/>
              <w:outlineLvl w:val="3"/>
              <w:rPr>
                <w:lang w:val="zh-CN"/>
              </w:rPr>
            </w:pPr>
          </w:p>
        </w:tc>
      </w:tr>
      <w:tr w14:paraId="6ECF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49" w:type="dxa"/>
          </w:tcPr>
          <w:p w14:paraId="7535576C">
            <w:pPr>
              <w:pStyle w:val="5"/>
              <w:numPr>
                <w:ilvl w:val="3"/>
                <w:numId w:val="0"/>
              </w:numPr>
              <w:jc w:val="center"/>
              <w:outlineLvl w:val="3"/>
            </w:pPr>
            <w:r>
              <w:rPr>
                <w:rFonts w:hint="eastAsia"/>
              </w:rPr>
              <w:t>...</w:t>
            </w:r>
          </w:p>
        </w:tc>
        <w:tc>
          <w:tcPr>
            <w:tcW w:w="3217" w:type="dxa"/>
          </w:tcPr>
          <w:p w14:paraId="32631499">
            <w:pPr>
              <w:pStyle w:val="5"/>
              <w:numPr>
                <w:ilvl w:val="3"/>
                <w:numId w:val="0"/>
              </w:numPr>
              <w:jc w:val="center"/>
              <w:outlineLvl w:val="3"/>
              <w:rPr>
                <w:lang w:val="zh-CN"/>
              </w:rPr>
            </w:pPr>
          </w:p>
        </w:tc>
        <w:tc>
          <w:tcPr>
            <w:tcW w:w="4037" w:type="dxa"/>
          </w:tcPr>
          <w:p w14:paraId="41D88A66">
            <w:pPr>
              <w:pStyle w:val="5"/>
              <w:numPr>
                <w:ilvl w:val="3"/>
                <w:numId w:val="0"/>
              </w:numPr>
              <w:jc w:val="center"/>
              <w:outlineLvl w:val="3"/>
              <w:rPr>
                <w:lang w:val="zh-CN"/>
              </w:rPr>
            </w:pPr>
          </w:p>
        </w:tc>
        <w:tc>
          <w:tcPr>
            <w:tcW w:w="995" w:type="dxa"/>
          </w:tcPr>
          <w:p w14:paraId="4A7F43BE">
            <w:pPr>
              <w:pStyle w:val="5"/>
              <w:numPr>
                <w:ilvl w:val="3"/>
                <w:numId w:val="0"/>
              </w:numPr>
              <w:jc w:val="center"/>
              <w:outlineLvl w:val="3"/>
              <w:rPr>
                <w:lang w:val="zh-CN"/>
              </w:rPr>
            </w:pPr>
          </w:p>
        </w:tc>
        <w:tc>
          <w:tcPr>
            <w:tcW w:w="1018" w:type="dxa"/>
          </w:tcPr>
          <w:p w14:paraId="494C20AD">
            <w:pPr>
              <w:pStyle w:val="5"/>
              <w:numPr>
                <w:ilvl w:val="3"/>
                <w:numId w:val="0"/>
              </w:numPr>
              <w:jc w:val="center"/>
              <w:outlineLvl w:val="3"/>
              <w:rPr>
                <w:lang w:val="zh-CN"/>
              </w:rPr>
            </w:pPr>
          </w:p>
        </w:tc>
        <w:tc>
          <w:tcPr>
            <w:tcW w:w="2027" w:type="dxa"/>
          </w:tcPr>
          <w:p w14:paraId="4E4314FA">
            <w:pPr>
              <w:pStyle w:val="5"/>
              <w:numPr>
                <w:ilvl w:val="3"/>
                <w:numId w:val="0"/>
              </w:numPr>
              <w:jc w:val="center"/>
              <w:outlineLvl w:val="3"/>
              <w:rPr>
                <w:lang w:val="zh-CN"/>
              </w:rPr>
            </w:pPr>
          </w:p>
        </w:tc>
        <w:tc>
          <w:tcPr>
            <w:tcW w:w="2027" w:type="dxa"/>
          </w:tcPr>
          <w:p w14:paraId="6992AAE0">
            <w:pPr>
              <w:pStyle w:val="5"/>
              <w:numPr>
                <w:ilvl w:val="3"/>
                <w:numId w:val="0"/>
              </w:numPr>
              <w:jc w:val="center"/>
              <w:outlineLvl w:val="3"/>
              <w:rPr>
                <w:lang w:val="zh-CN"/>
              </w:rPr>
            </w:pPr>
          </w:p>
        </w:tc>
      </w:tr>
      <w:tr w14:paraId="5E0F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116" w:type="dxa"/>
            <w:gridSpan w:val="5"/>
          </w:tcPr>
          <w:p w14:paraId="3CA22F0E">
            <w:pPr>
              <w:pStyle w:val="5"/>
              <w:numPr>
                <w:ilvl w:val="3"/>
                <w:numId w:val="0"/>
              </w:numPr>
              <w:jc w:val="center"/>
              <w:outlineLvl w:val="3"/>
              <w:rPr>
                <w:lang w:val="zh-CN"/>
              </w:rPr>
            </w:pPr>
            <w:r>
              <w:rPr>
                <w:rFonts w:hint="eastAsia"/>
                <w:lang w:val="zh-CN"/>
              </w:rPr>
              <w:t>合计</w:t>
            </w:r>
          </w:p>
        </w:tc>
        <w:tc>
          <w:tcPr>
            <w:tcW w:w="2027" w:type="dxa"/>
          </w:tcPr>
          <w:p w14:paraId="40CF7176">
            <w:pPr>
              <w:pStyle w:val="5"/>
              <w:numPr>
                <w:ilvl w:val="3"/>
                <w:numId w:val="0"/>
              </w:numPr>
              <w:jc w:val="center"/>
              <w:outlineLvl w:val="3"/>
              <w:rPr>
                <w:lang w:val="zh-CN"/>
              </w:rPr>
            </w:pPr>
            <w:r>
              <w:rPr>
                <w:rFonts w:hint="eastAsia"/>
                <w:lang w:val="zh-CN"/>
              </w:rPr>
              <w:t>大写金额：</w:t>
            </w:r>
          </w:p>
        </w:tc>
        <w:tc>
          <w:tcPr>
            <w:tcW w:w="2027" w:type="dxa"/>
          </w:tcPr>
          <w:p w14:paraId="785E9A9D">
            <w:pPr>
              <w:pStyle w:val="5"/>
              <w:numPr>
                <w:ilvl w:val="3"/>
                <w:numId w:val="0"/>
              </w:numPr>
              <w:jc w:val="center"/>
              <w:outlineLvl w:val="3"/>
              <w:rPr>
                <w:lang w:val="zh-CN"/>
              </w:rPr>
            </w:pPr>
            <w:r>
              <w:rPr>
                <w:rFonts w:hint="eastAsia"/>
                <w:lang w:val="zh-CN"/>
              </w:rPr>
              <w:t>小写金额：</w:t>
            </w:r>
          </w:p>
        </w:tc>
      </w:tr>
    </w:tbl>
    <w:p w14:paraId="77D1C091">
      <w:pPr>
        <w:pStyle w:val="5"/>
        <w:numPr>
          <w:ilvl w:val="3"/>
          <w:numId w:val="0"/>
        </w:numPr>
        <w:rPr>
          <w:rFonts w:hint="eastAsia"/>
        </w:rPr>
        <w:sectPr>
          <w:pgSz w:w="16838" w:h="11906" w:orient="landscape"/>
          <w:pgMar w:top="1440" w:right="1440" w:bottom="1440" w:left="1440" w:header="851" w:footer="992" w:gutter="0"/>
          <w:pgNumType w:start="1"/>
          <w:cols w:space="720" w:num="1"/>
          <w:titlePg/>
          <w:docGrid w:linePitch="312" w:charSpace="0"/>
        </w:sectPr>
      </w:pPr>
      <w:r>
        <w:rPr>
          <w:rFonts w:hint="eastAsia"/>
        </w:rPr>
        <w:t>注：本表合计金额应与《报价一览表》相同，如两表金额不同，以《报价一览表》为准</w:t>
      </w:r>
    </w:p>
    <w:p w14:paraId="472DCCE4"/>
    <w:p w14:paraId="35FA6930">
      <w:pPr>
        <w:pStyle w:val="5"/>
        <w:numPr>
          <w:ilvl w:val="3"/>
          <w:numId w:val="0"/>
        </w:numPr>
        <w:rPr>
          <w:rFonts w:hint="eastAsia"/>
          <w:sz w:val="28"/>
          <w:szCs w:val="36"/>
          <w:lang w:eastAsia="zh-CN"/>
        </w:rPr>
      </w:pPr>
      <w:r>
        <w:rPr>
          <w:rFonts w:hint="eastAsia"/>
          <w:lang w:eastAsia="zh-CN"/>
        </w:rPr>
        <w:t>附件</w:t>
      </w:r>
      <w:r>
        <w:rPr>
          <w:rFonts w:hint="eastAsia"/>
          <w:lang w:val="en-US" w:eastAsia="zh-CN"/>
        </w:rPr>
        <w:t>1：</w:t>
      </w:r>
      <w:r>
        <w:rPr>
          <w:rFonts w:hint="eastAsia"/>
          <w:sz w:val="28"/>
          <w:szCs w:val="36"/>
          <w:lang w:eastAsia="zh-CN"/>
        </w:rPr>
        <w:t>考核方案</w:t>
      </w:r>
    </w:p>
    <w:p w14:paraId="43B1E364">
      <w:pPr>
        <w:jc w:val="center"/>
        <w:rPr>
          <w:rFonts w:hint="eastAsia"/>
          <w:lang w:eastAsia="zh-CN"/>
        </w:rPr>
      </w:pPr>
      <w:r>
        <w:rPr>
          <w:rFonts w:hint="eastAsia" w:ascii="宋体" w:hAnsi="宋体" w:eastAsia="宋体" w:cs="宋体"/>
          <w:i w:val="0"/>
          <w:iCs w:val="0"/>
          <w:color w:val="000000"/>
          <w:kern w:val="0"/>
          <w:sz w:val="28"/>
          <w:szCs w:val="28"/>
          <w:u w:val="none"/>
          <w:lang w:val="en-US" w:eastAsia="zh-CN" w:bidi="ar"/>
        </w:rPr>
        <w:t>非智能站牌（亭）质保期内服务质量考核评分表</w:t>
      </w:r>
      <w:r>
        <w:rPr>
          <w:rFonts w:hint="eastAsia" w:ascii="宋体" w:hAnsi="宋体" w:eastAsia="宋体" w:cs="宋体"/>
          <w:i w:val="0"/>
          <w:iCs w:val="0"/>
          <w:color w:val="000000"/>
          <w:kern w:val="0"/>
          <w:sz w:val="28"/>
          <w:szCs w:val="28"/>
          <w:u w:val="none"/>
          <w:lang w:val="en-US" w:eastAsia="zh-CN" w:bidi="ar"/>
        </w:rPr>
        <w:br w:type="textWrapping"/>
      </w:r>
    </w:p>
    <w:tbl>
      <w:tblPr>
        <w:tblStyle w:val="33"/>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5"/>
        <w:gridCol w:w="1479"/>
        <w:gridCol w:w="3843"/>
        <w:gridCol w:w="819"/>
        <w:gridCol w:w="877"/>
        <w:gridCol w:w="1367"/>
      </w:tblGrid>
      <w:tr w14:paraId="6AAA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vAlign w:val="top"/>
          </w:tcPr>
          <w:p w14:paraId="696E9C8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考核项目</w:t>
            </w:r>
          </w:p>
        </w:tc>
        <w:tc>
          <w:tcPr>
            <w:tcW w:w="1479" w:type="dxa"/>
            <w:tcBorders>
              <w:top w:val="single" w:color="000000" w:sz="8" w:space="0"/>
              <w:left w:val="single" w:color="000000" w:sz="8" w:space="0"/>
              <w:bottom w:val="single" w:color="000000" w:sz="8" w:space="0"/>
              <w:right w:val="single" w:color="000000" w:sz="8" w:space="0"/>
            </w:tcBorders>
            <w:shd w:val="clear" w:color="auto" w:fill="auto"/>
            <w:vAlign w:val="top"/>
          </w:tcPr>
          <w:p w14:paraId="6A4B336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考核内容</w:t>
            </w:r>
          </w:p>
        </w:tc>
        <w:tc>
          <w:tcPr>
            <w:tcW w:w="3843" w:type="dxa"/>
            <w:tcBorders>
              <w:top w:val="single" w:color="000000" w:sz="8" w:space="0"/>
              <w:left w:val="single" w:color="000000" w:sz="8" w:space="0"/>
              <w:bottom w:val="single" w:color="000000" w:sz="8" w:space="0"/>
              <w:right w:val="single" w:color="000000" w:sz="8" w:space="0"/>
            </w:tcBorders>
            <w:shd w:val="clear" w:color="auto" w:fill="auto"/>
            <w:vAlign w:val="top"/>
          </w:tcPr>
          <w:p w14:paraId="342C300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考核标准</w:t>
            </w:r>
          </w:p>
        </w:tc>
        <w:tc>
          <w:tcPr>
            <w:tcW w:w="819" w:type="dxa"/>
            <w:tcBorders>
              <w:top w:val="single" w:color="000000" w:sz="8" w:space="0"/>
              <w:left w:val="single" w:color="000000" w:sz="8" w:space="0"/>
              <w:bottom w:val="single" w:color="000000" w:sz="8" w:space="0"/>
              <w:right w:val="single" w:color="000000" w:sz="8" w:space="0"/>
            </w:tcBorders>
            <w:shd w:val="clear" w:color="auto" w:fill="auto"/>
            <w:vAlign w:val="top"/>
          </w:tcPr>
          <w:p w14:paraId="05408C1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标准得分</w:t>
            </w:r>
          </w:p>
        </w:tc>
        <w:tc>
          <w:tcPr>
            <w:tcW w:w="877" w:type="dxa"/>
            <w:tcBorders>
              <w:top w:val="single" w:color="000000" w:sz="8" w:space="0"/>
              <w:left w:val="single" w:color="000000" w:sz="8" w:space="0"/>
              <w:bottom w:val="single" w:color="000000" w:sz="8" w:space="0"/>
              <w:right w:val="single" w:color="000000" w:sz="8" w:space="0"/>
            </w:tcBorders>
            <w:shd w:val="clear" w:color="auto" w:fill="auto"/>
            <w:vAlign w:val="top"/>
          </w:tcPr>
          <w:p w14:paraId="39CAB65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w:t>
            </w:r>
          </w:p>
        </w:tc>
        <w:tc>
          <w:tcPr>
            <w:tcW w:w="1367" w:type="dxa"/>
            <w:tcBorders>
              <w:top w:val="single" w:color="000000" w:sz="8" w:space="0"/>
              <w:left w:val="single" w:color="000000" w:sz="8" w:space="0"/>
              <w:bottom w:val="single" w:color="000000" w:sz="8" w:space="0"/>
              <w:right w:val="single" w:color="000000" w:sz="8" w:space="0"/>
            </w:tcBorders>
            <w:shd w:val="clear" w:color="auto" w:fill="auto"/>
            <w:vAlign w:val="top"/>
          </w:tcPr>
          <w:p w14:paraId="0DF2A0F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说明事项</w:t>
            </w:r>
          </w:p>
        </w:tc>
      </w:tr>
      <w:tr w14:paraId="51EB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335" w:type="dxa"/>
            <w:tcBorders>
              <w:top w:val="nil"/>
              <w:left w:val="single" w:color="000000" w:sz="8" w:space="0"/>
              <w:bottom w:val="single" w:color="000000" w:sz="8" w:space="0"/>
              <w:right w:val="single" w:color="000000" w:sz="8" w:space="0"/>
            </w:tcBorders>
            <w:shd w:val="clear" w:color="auto" w:fill="auto"/>
            <w:vAlign w:val="center"/>
          </w:tcPr>
          <w:p w14:paraId="6967E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巡查管理</w:t>
            </w:r>
          </w:p>
        </w:tc>
        <w:tc>
          <w:tcPr>
            <w:tcW w:w="1479" w:type="dxa"/>
            <w:tcBorders>
              <w:top w:val="nil"/>
              <w:left w:val="single" w:color="000000" w:sz="8" w:space="0"/>
              <w:bottom w:val="single" w:color="000000" w:sz="8" w:space="0"/>
              <w:right w:val="single" w:color="000000" w:sz="8" w:space="0"/>
            </w:tcBorders>
            <w:shd w:val="clear" w:color="auto" w:fill="auto"/>
            <w:vAlign w:val="center"/>
          </w:tcPr>
          <w:p w14:paraId="11CA1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开展月度巡查，及时发现存在问题</w:t>
            </w:r>
          </w:p>
        </w:tc>
        <w:tc>
          <w:tcPr>
            <w:tcW w:w="3843" w:type="dxa"/>
            <w:tcBorders>
              <w:top w:val="nil"/>
              <w:left w:val="single" w:color="000000" w:sz="8" w:space="0"/>
              <w:bottom w:val="single" w:color="000000" w:sz="8" w:space="0"/>
              <w:right w:val="single" w:color="000000" w:sz="8" w:space="0"/>
            </w:tcBorders>
            <w:shd w:val="clear" w:color="auto" w:fill="auto"/>
            <w:vAlign w:val="center"/>
          </w:tcPr>
          <w:p w14:paraId="2791C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每月对所建站牌（亭）巡查一次，及时发现存在问题，需附巡查记录及影像资料，未巡查完整的按每次扣</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p>
        </w:tc>
        <w:tc>
          <w:tcPr>
            <w:tcW w:w="819" w:type="dxa"/>
            <w:tcBorders>
              <w:top w:val="nil"/>
              <w:left w:val="single" w:color="000000" w:sz="8" w:space="0"/>
              <w:bottom w:val="single" w:color="000000" w:sz="8" w:space="0"/>
              <w:right w:val="single" w:color="000000" w:sz="8" w:space="0"/>
            </w:tcBorders>
            <w:shd w:val="clear" w:color="auto" w:fill="auto"/>
            <w:vAlign w:val="center"/>
          </w:tcPr>
          <w:p w14:paraId="04D0C54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877" w:type="dxa"/>
            <w:tcBorders>
              <w:top w:val="nil"/>
              <w:left w:val="single" w:color="000000" w:sz="8" w:space="0"/>
              <w:bottom w:val="single" w:color="000000" w:sz="8" w:space="0"/>
              <w:right w:val="single" w:color="000000" w:sz="8" w:space="0"/>
            </w:tcBorders>
            <w:shd w:val="clear" w:color="auto" w:fill="auto"/>
            <w:vAlign w:val="center"/>
          </w:tcPr>
          <w:p w14:paraId="6C046597">
            <w:pPr>
              <w:jc w:val="center"/>
              <w:rPr>
                <w:rFonts w:hint="eastAsia" w:ascii="宋体" w:hAnsi="宋体" w:eastAsia="宋体" w:cs="宋体"/>
                <w:i w:val="0"/>
                <w:iCs w:val="0"/>
                <w:color w:val="000000"/>
                <w:sz w:val="21"/>
                <w:szCs w:val="21"/>
                <w:u w:val="none"/>
              </w:rPr>
            </w:pPr>
          </w:p>
        </w:tc>
        <w:tc>
          <w:tcPr>
            <w:tcW w:w="1367" w:type="dxa"/>
            <w:tcBorders>
              <w:top w:val="nil"/>
              <w:left w:val="single" w:color="000000" w:sz="8" w:space="0"/>
              <w:bottom w:val="single" w:color="000000" w:sz="8" w:space="0"/>
              <w:right w:val="single" w:color="000000" w:sz="8" w:space="0"/>
            </w:tcBorders>
            <w:shd w:val="clear" w:color="auto" w:fill="auto"/>
            <w:vAlign w:val="center"/>
          </w:tcPr>
          <w:p w14:paraId="78E55A2A">
            <w:pPr>
              <w:jc w:val="center"/>
              <w:rPr>
                <w:rFonts w:hint="eastAsia" w:ascii="宋体" w:hAnsi="宋体" w:eastAsia="宋体" w:cs="宋体"/>
                <w:i w:val="0"/>
                <w:iCs w:val="0"/>
                <w:color w:val="000000"/>
                <w:sz w:val="21"/>
                <w:szCs w:val="21"/>
                <w:u w:val="none"/>
              </w:rPr>
            </w:pPr>
          </w:p>
        </w:tc>
      </w:tr>
      <w:tr w14:paraId="05176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335" w:type="dxa"/>
            <w:tcBorders>
              <w:top w:val="nil"/>
              <w:left w:val="single" w:color="000000" w:sz="8" w:space="0"/>
              <w:bottom w:val="single" w:color="000000" w:sz="8" w:space="0"/>
              <w:right w:val="single" w:color="000000" w:sz="8" w:space="0"/>
            </w:tcBorders>
            <w:shd w:val="clear" w:color="auto" w:fill="auto"/>
            <w:vAlign w:val="center"/>
          </w:tcPr>
          <w:p w14:paraId="39309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w:t>
            </w:r>
          </w:p>
        </w:tc>
        <w:tc>
          <w:tcPr>
            <w:tcW w:w="1479" w:type="dxa"/>
            <w:tcBorders>
              <w:top w:val="nil"/>
              <w:left w:val="single" w:color="000000" w:sz="8" w:space="0"/>
              <w:bottom w:val="single" w:color="000000" w:sz="8" w:space="0"/>
              <w:right w:val="single" w:color="000000" w:sz="8" w:space="0"/>
            </w:tcBorders>
            <w:shd w:val="clear" w:color="auto" w:fill="auto"/>
            <w:vAlign w:val="center"/>
          </w:tcPr>
          <w:p w14:paraId="513CB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保持站牌（亭）干净整洁</w:t>
            </w:r>
          </w:p>
        </w:tc>
        <w:tc>
          <w:tcPr>
            <w:tcW w:w="3843" w:type="dxa"/>
            <w:tcBorders>
              <w:top w:val="nil"/>
              <w:left w:val="single" w:color="000000" w:sz="8" w:space="0"/>
              <w:bottom w:val="single" w:color="000000" w:sz="8" w:space="0"/>
              <w:right w:val="single" w:color="000000" w:sz="8" w:space="0"/>
            </w:tcBorders>
            <w:shd w:val="clear" w:color="auto" w:fill="auto"/>
            <w:vAlign w:val="center"/>
          </w:tcPr>
          <w:p w14:paraId="18BE1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每月对所建站牌（亭）进行卫生清洁，并附影像资料，未进行的，按每块站牌（亭）扣0.5分</w:t>
            </w:r>
          </w:p>
        </w:tc>
        <w:tc>
          <w:tcPr>
            <w:tcW w:w="819" w:type="dxa"/>
            <w:tcBorders>
              <w:top w:val="nil"/>
              <w:left w:val="single" w:color="000000" w:sz="8" w:space="0"/>
              <w:bottom w:val="single" w:color="000000" w:sz="8" w:space="0"/>
              <w:right w:val="single" w:color="000000" w:sz="8" w:space="0"/>
            </w:tcBorders>
            <w:shd w:val="clear" w:color="auto" w:fill="auto"/>
            <w:vAlign w:val="center"/>
          </w:tcPr>
          <w:p w14:paraId="411C117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877" w:type="dxa"/>
            <w:tcBorders>
              <w:top w:val="nil"/>
              <w:left w:val="single" w:color="000000" w:sz="8" w:space="0"/>
              <w:bottom w:val="single" w:color="000000" w:sz="8" w:space="0"/>
              <w:right w:val="single" w:color="000000" w:sz="8" w:space="0"/>
            </w:tcBorders>
            <w:shd w:val="clear" w:color="auto" w:fill="auto"/>
            <w:vAlign w:val="center"/>
          </w:tcPr>
          <w:p w14:paraId="538499F1">
            <w:pPr>
              <w:jc w:val="center"/>
              <w:rPr>
                <w:rFonts w:hint="eastAsia" w:ascii="宋体" w:hAnsi="宋体" w:eastAsia="宋体" w:cs="宋体"/>
                <w:i w:val="0"/>
                <w:iCs w:val="0"/>
                <w:color w:val="000000"/>
                <w:sz w:val="21"/>
                <w:szCs w:val="21"/>
                <w:u w:val="none"/>
              </w:rPr>
            </w:pPr>
          </w:p>
        </w:tc>
        <w:tc>
          <w:tcPr>
            <w:tcW w:w="1367" w:type="dxa"/>
            <w:tcBorders>
              <w:top w:val="nil"/>
              <w:left w:val="single" w:color="000000" w:sz="8" w:space="0"/>
              <w:bottom w:val="single" w:color="000000" w:sz="8" w:space="0"/>
              <w:right w:val="single" w:color="000000" w:sz="8" w:space="0"/>
            </w:tcBorders>
            <w:shd w:val="clear" w:color="auto" w:fill="auto"/>
            <w:vAlign w:val="center"/>
          </w:tcPr>
          <w:p w14:paraId="233CD940">
            <w:pPr>
              <w:jc w:val="center"/>
              <w:rPr>
                <w:rFonts w:hint="eastAsia" w:ascii="宋体" w:hAnsi="宋体" w:eastAsia="宋体" w:cs="宋体"/>
                <w:i w:val="0"/>
                <w:iCs w:val="0"/>
                <w:color w:val="000000"/>
                <w:sz w:val="21"/>
                <w:szCs w:val="21"/>
                <w:u w:val="none"/>
              </w:rPr>
            </w:pPr>
          </w:p>
        </w:tc>
      </w:tr>
      <w:tr w14:paraId="1525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5" w:hRule="atLeast"/>
        </w:trPr>
        <w:tc>
          <w:tcPr>
            <w:tcW w:w="1335" w:type="dxa"/>
            <w:tcBorders>
              <w:top w:val="nil"/>
              <w:left w:val="single" w:color="000000" w:sz="8" w:space="0"/>
              <w:bottom w:val="single" w:color="000000" w:sz="8" w:space="0"/>
              <w:right w:val="single" w:color="000000" w:sz="8" w:space="0"/>
            </w:tcBorders>
            <w:shd w:val="clear" w:color="auto" w:fill="auto"/>
            <w:vAlign w:val="center"/>
          </w:tcPr>
          <w:p w14:paraId="017B2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缺失站牌（亭）增补</w:t>
            </w:r>
          </w:p>
        </w:tc>
        <w:tc>
          <w:tcPr>
            <w:tcW w:w="1479" w:type="dxa"/>
            <w:tcBorders>
              <w:top w:val="nil"/>
              <w:left w:val="single" w:color="000000" w:sz="8" w:space="0"/>
              <w:bottom w:val="single" w:color="000000" w:sz="8" w:space="0"/>
              <w:right w:val="single" w:color="000000" w:sz="8" w:space="0"/>
            </w:tcBorders>
            <w:shd w:val="clear" w:color="auto" w:fill="auto"/>
            <w:vAlign w:val="center"/>
          </w:tcPr>
          <w:p w14:paraId="1C6C7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站牌（亭）缺失应及时增补，保持站牌（亭）齐全</w:t>
            </w:r>
          </w:p>
        </w:tc>
        <w:tc>
          <w:tcPr>
            <w:tcW w:w="3843" w:type="dxa"/>
            <w:tcBorders>
              <w:top w:val="nil"/>
              <w:left w:val="single" w:color="000000" w:sz="8" w:space="0"/>
              <w:bottom w:val="single" w:color="000000" w:sz="8" w:space="0"/>
              <w:right w:val="single" w:color="000000" w:sz="8" w:space="0"/>
            </w:tcBorders>
            <w:shd w:val="clear" w:color="auto" w:fill="auto"/>
            <w:vAlign w:val="center"/>
          </w:tcPr>
          <w:p w14:paraId="3AF11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对双方巡查到的缺失站牌（亭），不论何种原因缺失，中标方需在12小时内进行响应，在10天内完成增补并提供增补方案，未在限定时间内完成增补的按每块站牌（亭）扣5分。</w:t>
            </w:r>
          </w:p>
        </w:tc>
        <w:tc>
          <w:tcPr>
            <w:tcW w:w="819" w:type="dxa"/>
            <w:tcBorders>
              <w:top w:val="nil"/>
              <w:left w:val="single" w:color="000000" w:sz="8" w:space="0"/>
              <w:bottom w:val="single" w:color="000000" w:sz="8" w:space="0"/>
              <w:right w:val="single" w:color="000000" w:sz="8" w:space="0"/>
            </w:tcBorders>
            <w:shd w:val="clear" w:color="auto" w:fill="auto"/>
            <w:vAlign w:val="center"/>
          </w:tcPr>
          <w:p w14:paraId="22DEF71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877" w:type="dxa"/>
            <w:tcBorders>
              <w:top w:val="nil"/>
              <w:left w:val="single" w:color="000000" w:sz="8" w:space="0"/>
              <w:bottom w:val="single" w:color="000000" w:sz="8" w:space="0"/>
              <w:right w:val="single" w:color="000000" w:sz="8" w:space="0"/>
            </w:tcBorders>
            <w:shd w:val="clear" w:color="auto" w:fill="auto"/>
            <w:vAlign w:val="center"/>
          </w:tcPr>
          <w:p w14:paraId="7126C749">
            <w:pPr>
              <w:jc w:val="center"/>
              <w:rPr>
                <w:rFonts w:hint="eastAsia" w:ascii="宋体" w:hAnsi="宋体" w:eastAsia="宋体" w:cs="宋体"/>
                <w:i w:val="0"/>
                <w:iCs w:val="0"/>
                <w:color w:val="000000"/>
                <w:sz w:val="21"/>
                <w:szCs w:val="21"/>
                <w:u w:val="none"/>
              </w:rPr>
            </w:pPr>
          </w:p>
        </w:tc>
        <w:tc>
          <w:tcPr>
            <w:tcW w:w="1367" w:type="dxa"/>
            <w:tcBorders>
              <w:top w:val="nil"/>
              <w:left w:val="single" w:color="000000" w:sz="8" w:space="0"/>
              <w:bottom w:val="single" w:color="000000" w:sz="8" w:space="0"/>
              <w:right w:val="single" w:color="000000" w:sz="8" w:space="0"/>
            </w:tcBorders>
            <w:shd w:val="clear" w:color="auto" w:fill="auto"/>
            <w:vAlign w:val="center"/>
          </w:tcPr>
          <w:p w14:paraId="6406DB2B">
            <w:pPr>
              <w:jc w:val="center"/>
              <w:rPr>
                <w:rFonts w:hint="eastAsia" w:ascii="宋体" w:hAnsi="宋体" w:eastAsia="宋体" w:cs="宋体"/>
                <w:i w:val="0"/>
                <w:iCs w:val="0"/>
                <w:color w:val="000000"/>
                <w:sz w:val="21"/>
                <w:szCs w:val="21"/>
                <w:u w:val="none"/>
              </w:rPr>
            </w:pPr>
          </w:p>
        </w:tc>
      </w:tr>
      <w:tr w14:paraId="28A0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335" w:type="dxa"/>
            <w:tcBorders>
              <w:top w:val="nil"/>
              <w:left w:val="single" w:color="000000" w:sz="8" w:space="0"/>
              <w:bottom w:val="nil"/>
              <w:right w:val="single" w:color="000000" w:sz="8" w:space="0"/>
            </w:tcBorders>
            <w:shd w:val="clear" w:color="auto" w:fill="auto"/>
            <w:vAlign w:val="center"/>
          </w:tcPr>
          <w:p w14:paraId="05BE8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维修、维护</w:t>
            </w:r>
          </w:p>
        </w:tc>
        <w:tc>
          <w:tcPr>
            <w:tcW w:w="1479" w:type="dxa"/>
            <w:tcBorders>
              <w:top w:val="nil"/>
              <w:left w:val="single" w:color="000000" w:sz="8" w:space="0"/>
              <w:bottom w:val="nil"/>
              <w:right w:val="single" w:color="000000" w:sz="8" w:space="0"/>
            </w:tcBorders>
            <w:shd w:val="clear" w:color="auto" w:fill="auto"/>
            <w:vAlign w:val="center"/>
          </w:tcPr>
          <w:p w14:paraId="1EC2A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对站牌（亭）存在的破损应及时维修维护，保持站牌（亭）齐全有效</w:t>
            </w:r>
          </w:p>
        </w:tc>
        <w:tc>
          <w:tcPr>
            <w:tcW w:w="3843" w:type="dxa"/>
            <w:tcBorders>
              <w:top w:val="nil"/>
              <w:left w:val="single" w:color="000000" w:sz="8" w:space="0"/>
              <w:bottom w:val="nil"/>
              <w:right w:val="single" w:color="000000" w:sz="8" w:space="0"/>
            </w:tcBorders>
            <w:shd w:val="clear" w:color="auto" w:fill="auto"/>
            <w:vAlign w:val="center"/>
          </w:tcPr>
          <w:p w14:paraId="5A602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对双方巡查到的牌（亭）破损、变形、倾斜；线路信息等牌（亭）贴不完整有效，翘角等问题，中标方需在12小时内进行响应，在</w:t>
            </w:r>
            <w:r>
              <w:rPr>
                <w:rFonts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天内进行维修维护，未及时维修维护的按每块站牌（亭）扣2分。</w:t>
            </w:r>
          </w:p>
        </w:tc>
        <w:tc>
          <w:tcPr>
            <w:tcW w:w="819" w:type="dxa"/>
            <w:tcBorders>
              <w:top w:val="nil"/>
              <w:left w:val="single" w:color="000000" w:sz="8" w:space="0"/>
              <w:bottom w:val="single" w:color="000000" w:sz="8" w:space="0"/>
              <w:right w:val="single" w:color="000000" w:sz="8" w:space="0"/>
            </w:tcBorders>
            <w:shd w:val="clear" w:color="auto" w:fill="auto"/>
            <w:vAlign w:val="center"/>
          </w:tcPr>
          <w:p w14:paraId="7B3F2F0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46</w:t>
            </w:r>
          </w:p>
        </w:tc>
        <w:tc>
          <w:tcPr>
            <w:tcW w:w="877" w:type="dxa"/>
            <w:tcBorders>
              <w:top w:val="nil"/>
              <w:left w:val="single" w:color="000000" w:sz="8" w:space="0"/>
              <w:bottom w:val="single" w:color="000000" w:sz="8" w:space="0"/>
              <w:right w:val="single" w:color="000000" w:sz="8" w:space="0"/>
            </w:tcBorders>
            <w:shd w:val="clear" w:color="auto" w:fill="auto"/>
            <w:vAlign w:val="center"/>
          </w:tcPr>
          <w:p w14:paraId="1B6BC508">
            <w:pPr>
              <w:jc w:val="center"/>
              <w:rPr>
                <w:rFonts w:hint="eastAsia" w:ascii="宋体" w:hAnsi="宋体" w:eastAsia="宋体" w:cs="宋体"/>
                <w:i w:val="0"/>
                <w:iCs w:val="0"/>
                <w:color w:val="000000"/>
                <w:sz w:val="21"/>
                <w:szCs w:val="21"/>
                <w:u w:val="none"/>
              </w:rPr>
            </w:pPr>
          </w:p>
        </w:tc>
        <w:tc>
          <w:tcPr>
            <w:tcW w:w="1367" w:type="dxa"/>
            <w:tcBorders>
              <w:top w:val="nil"/>
              <w:left w:val="single" w:color="000000" w:sz="8" w:space="0"/>
              <w:bottom w:val="single" w:color="000000" w:sz="8" w:space="0"/>
              <w:right w:val="single" w:color="000000" w:sz="8" w:space="0"/>
            </w:tcBorders>
            <w:shd w:val="clear" w:color="auto" w:fill="auto"/>
            <w:vAlign w:val="center"/>
          </w:tcPr>
          <w:p w14:paraId="4669A4C9">
            <w:pPr>
              <w:jc w:val="center"/>
              <w:rPr>
                <w:rFonts w:hint="eastAsia" w:ascii="宋体" w:hAnsi="宋体" w:eastAsia="宋体" w:cs="宋体"/>
                <w:i w:val="0"/>
                <w:iCs w:val="0"/>
                <w:color w:val="000000"/>
                <w:sz w:val="21"/>
                <w:szCs w:val="21"/>
                <w:u w:val="none"/>
              </w:rPr>
            </w:pPr>
          </w:p>
        </w:tc>
      </w:tr>
      <w:tr w14:paraId="61D35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4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c>
          <w:tcPr>
            <w:tcW w:w="5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5C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对在重大活动期间或突击检查时应积极响应，采取必要的管理措施，若被媒体曝光、各职能部门检查通报按上述评分办法加倍扣分</w:t>
            </w:r>
          </w:p>
        </w:tc>
        <w:tc>
          <w:tcPr>
            <w:tcW w:w="819" w:type="dxa"/>
            <w:tcBorders>
              <w:top w:val="nil"/>
              <w:left w:val="nil"/>
              <w:bottom w:val="single" w:color="000000" w:sz="8" w:space="0"/>
              <w:right w:val="single" w:color="000000" w:sz="8" w:space="0"/>
            </w:tcBorders>
            <w:shd w:val="clear" w:color="auto" w:fill="auto"/>
            <w:vAlign w:val="center"/>
          </w:tcPr>
          <w:p w14:paraId="76B4175E">
            <w:pPr>
              <w:jc w:val="center"/>
              <w:rPr>
                <w:rFonts w:hint="default" w:ascii="Calibri" w:hAnsi="Calibri" w:eastAsia="宋体" w:cs="Calibri"/>
                <w:i w:val="0"/>
                <w:iCs w:val="0"/>
                <w:color w:val="000000"/>
                <w:sz w:val="21"/>
                <w:szCs w:val="21"/>
                <w:u w:val="none"/>
              </w:rPr>
            </w:pPr>
          </w:p>
        </w:tc>
        <w:tc>
          <w:tcPr>
            <w:tcW w:w="877" w:type="dxa"/>
            <w:tcBorders>
              <w:top w:val="nil"/>
              <w:left w:val="single" w:color="000000" w:sz="8" w:space="0"/>
              <w:bottom w:val="single" w:color="000000" w:sz="8" w:space="0"/>
              <w:right w:val="single" w:color="000000" w:sz="8" w:space="0"/>
            </w:tcBorders>
            <w:shd w:val="clear" w:color="auto" w:fill="auto"/>
            <w:vAlign w:val="center"/>
          </w:tcPr>
          <w:p w14:paraId="56018C48">
            <w:pPr>
              <w:jc w:val="center"/>
              <w:rPr>
                <w:rFonts w:hint="eastAsia" w:ascii="宋体" w:hAnsi="宋体" w:eastAsia="宋体" w:cs="宋体"/>
                <w:i w:val="0"/>
                <w:iCs w:val="0"/>
                <w:color w:val="000000"/>
                <w:sz w:val="21"/>
                <w:szCs w:val="21"/>
                <w:u w:val="none"/>
              </w:rPr>
            </w:pPr>
          </w:p>
        </w:tc>
        <w:tc>
          <w:tcPr>
            <w:tcW w:w="1367" w:type="dxa"/>
            <w:tcBorders>
              <w:top w:val="nil"/>
              <w:left w:val="single" w:color="000000" w:sz="8" w:space="0"/>
              <w:bottom w:val="single" w:color="000000" w:sz="8" w:space="0"/>
              <w:right w:val="single" w:color="000000" w:sz="8" w:space="0"/>
            </w:tcBorders>
            <w:shd w:val="clear" w:color="auto" w:fill="auto"/>
            <w:vAlign w:val="center"/>
          </w:tcPr>
          <w:p w14:paraId="22EA844E">
            <w:pPr>
              <w:jc w:val="center"/>
              <w:rPr>
                <w:rFonts w:hint="eastAsia" w:ascii="宋体" w:hAnsi="宋体" w:eastAsia="宋体" w:cs="宋体"/>
                <w:i w:val="0"/>
                <w:iCs w:val="0"/>
                <w:color w:val="000000"/>
                <w:sz w:val="21"/>
                <w:szCs w:val="21"/>
                <w:u w:val="none"/>
              </w:rPr>
            </w:pPr>
          </w:p>
        </w:tc>
      </w:tr>
      <w:tr w14:paraId="4230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57" w:type="dxa"/>
            <w:gridSpan w:val="3"/>
            <w:tcBorders>
              <w:top w:val="nil"/>
              <w:left w:val="single" w:color="000000" w:sz="8" w:space="0"/>
              <w:bottom w:val="single" w:color="000000" w:sz="8" w:space="0"/>
              <w:right w:val="single" w:color="000000" w:sz="8" w:space="0"/>
            </w:tcBorders>
            <w:shd w:val="clear" w:color="auto" w:fill="auto"/>
            <w:vAlign w:val="center"/>
          </w:tcPr>
          <w:p w14:paraId="1C107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综合得分</w:t>
            </w:r>
          </w:p>
        </w:tc>
        <w:tc>
          <w:tcPr>
            <w:tcW w:w="819" w:type="dxa"/>
            <w:tcBorders>
              <w:top w:val="nil"/>
              <w:left w:val="single" w:color="000000" w:sz="8" w:space="0"/>
              <w:bottom w:val="single" w:color="000000" w:sz="8" w:space="0"/>
              <w:right w:val="single" w:color="000000" w:sz="8" w:space="0"/>
            </w:tcBorders>
            <w:shd w:val="clear" w:color="auto" w:fill="auto"/>
            <w:vAlign w:val="center"/>
          </w:tcPr>
          <w:p w14:paraId="56E4B9E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877" w:type="dxa"/>
            <w:tcBorders>
              <w:top w:val="nil"/>
              <w:left w:val="single" w:color="000000" w:sz="8" w:space="0"/>
              <w:bottom w:val="single" w:color="000000" w:sz="8" w:space="0"/>
              <w:right w:val="single" w:color="000000" w:sz="8" w:space="0"/>
            </w:tcBorders>
            <w:shd w:val="clear" w:color="auto" w:fill="auto"/>
            <w:vAlign w:val="center"/>
          </w:tcPr>
          <w:p w14:paraId="322FD4B9">
            <w:pPr>
              <w:jc w:val="center"/>
              <w:rPr>
                <w:rFonts w:hint="eastAsia" w:ascii="宋体" w:hAnsi="宋体" w:eastAsia="宋体" w:cs="宋体"/>
                <w:i w:val="0"/>
                <w:iCs w:val="0"/>
                <w:color w:val="000000"/>
                <w:sz w:val="21"/>
                <w:szCs w:val="21"/>
                <w:u w:val="none"/>
              </w:rPr>
            </w:pPr>
          </w:p>
        </w:tc>
        <w:tc>
          <w:tcPr>
            <w:tcW w:w="1367" w:type="dxa"/>
            <w:tcBorders>
              <w:top w:val="nil"/>
              <w:left w:val="single" w:color="000000" w:sz="8" w:space="0"/>
              <w:bottom w:val="single" w:color="000000" w:sz="8" w:space="0"/>
              <w:right w:val="single" w:color="000000" w:sz="8" w:space="0"/>
            </w:tcBorders>
            <w:shd w:val="clear" w:color="auto" w:fill="auto"/>
            <w:vAlign w:val="center"/>
          </w:tcPr>
          <w:p w14:paraId="191B25D9">
            <w:pPr>
              <w:jc w:val="center"/>
              <w:rPr>
                <w:rFonts w:hint="eastAsia" w:ascii="宋体" w:hAnsi="宋体" w:eastAsia="宋体" w:cs="宋体"/>
                <w:i w:val="0"/>
                <w:iCs w:val="0"/>
                <w:color w:val="000000"/>
                <w:sz w:val="21"/>
                <w:szCs w:val="21"/>
                <w:u w:val="none"/>
              </w:rPr>
            </w:pPr>
          </w:p>
        </w:tc>
      </w:tr>
      <w:tr w14:paraId="37CE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57" w:type="dxa"/>
            <w:gridSpan w:val="3"/>
            <w:vMerge w:val="restart"/>
            <w:tcBorders>
              <w:top w:val="nil"/>
              <w:left w:val="single" w:color="000000" w:sz="8" w:space="0"/>
              <w:bottom w:val="single" w:color="000000" w:sz="8" w:space="0"/>
              <w:right w:val="single" w:color="000000" w:sz="8" w:space="0"/>
            </w:tcBorders>
            <w:shd w:val="clear" w:color="auto" w:fill="auto"/>
            <w:vAlign w:val="center"/>
          </w:tcPr>
          <w:p w14:paraId="4A26B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考核等次</w:t>
            </w:r>
          </w:p>
        </w:tc>
        <w:tc>
          <w:tcPr>
            <w:tcW w:w="1696" w:type="dxa"/>
            <w:gridSpan w:val="2"/>
            <w:vMerge w:val="restart"/>
            <w:tcBorders>
              <w:top w:val="nil"/>
              <w:left w:val="single" w:color="000000" w:sz="8" w:space="0"/>
              <w:bottom w:val="single" w:color="000000" w:sz="8" w:space="0"/>
              <w:right w:val="single" w:color="000000" w:sz="8" w:space="0"/>
            </w:tcBorders>
            <w:shd w:val="clear" w:color="auto" w:fill="auto"/>
            <w:vAlign w:val="center"/>
          </w:tcPr>
          <w:p w14:paraId="05C12EE3">
            <w:pPr>
              <w:jc w:val="center"/>
              <w:rPr>
                <w:rFonts w:hint="eastAsia" w:ascii="宋体" w:hAnsi="宋体" w:eastAsia="宋体" w:cs="宋体"/>
                <w:i w:val="0"/>
                <w:iCs w:val="0"/>
                <w:color w:val="000000"/>
                <w:sz w:val="21"/>
                <w:szCs w:val="21"/>
                <w:u w:val="none"/>
              </w:rPr>
            </w:pPr>
          </w:p>
        </w:tc>
        <w:tc>
          <w:tcPr>
            <w:tcW w:w="1367" w:type="dxa"/>
            <w:tcBorders>
              <w:top w:val="nil"/>
              <w:left w:val="single" w:color="000000" w:sz="8" w:space="0"/>
              <w:bottom w:val="nil"/>
              <w:right w:val="single" w:color="000000" w:sz="8" w:space="0"/>
            </w:tcBorders>
            <w:shd w:val="clear" w:color="auto" w:fill="auto"/>
            <w:vAlign w:val="center"/>
          </w:tcPr>
          <w:p w14:paraId="7E5DCE1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w:t>
            </w:r>
            <w:r>
              <w:rPr>
                <w:rStyle w:val="186"/>
                <w:lang w:val="en-US" w:eastAsia="zh-CN" w:bidi="ar"/>
              </w:rPr>
              <w:t>分</w:t>
            </w:r>
            <w:r>
              <w:rPr>
                <w:rStyle w:val="186"/>
                <w:rFonts w:hint="eastAsia"/>
                <w:lang w:val="en-US" w:eastAsia="zh-CN" w:bidi="ar"/>
              </w:rPr>
              <w:t>及</w:t>
            </w:r>
            <w:r>
              <w:rPr>
                <w:rStyle w:val="186"/>
                <w:lang w:val="en-US" w:eastAsia="zh-CN" w:bidi="ar"/>
              </w:rPr>
              <w:t>以下为不合格</w:t>
            </w:r>
          </w:p>
        </w:tc>
      </w:tr>
      <w:tr w14:paraId="6B2F4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57" w:type="dxa"/>
            <w:gridSpan w:val="3"/>
            <w:vMerge w:val="continue"/>
            <w:tcBorders>
              <w:top w:val="nil"/>
              <w:left w:val="single" w:color="000000" w:sz="8" w:space="0"/>
              <w:bottom w:val="single" w:color="000000" w:sz="8" w:space="0"/>
              <w:right w:val="single" w:color="000000" w:sz="8" w:space="0"/>
            </w:tcBorders>
            <w:shd w:val="clear" w:color="auto" w:fill="auto"/>
            <w:vAlign w:val="center"/>
          </w:tcPr>
          <w:p w14:paraId="181B73C4">
            <w:pPr>
              <w:jc w:val="center"/>
              <w:rPr>
                <w:rFonts w:hint="eastAsia" w:ascii="宋体" w:hAnsi="宋体" w:eastAsia="宋体" w:cs="宋体"/>
                <w:i w:val="0"/>
                <w:iCs w:val="0"/>
                <w:color w:val="000000"/>
                <w:sz w:val="21"/>
                <w:szCs w:val="21"/>
                <w:u w:val="none"/>
              </w:rPr>
            </w:pPr>
          </w:p>
        </w:tc>
        <w:tc>
          <w:tcPr>
            <w:tcW w:w="169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79A89518">
            <w:pPr>
              <w:jc w:val="center"/>
              <w:rPr>
                <w:rFonts w:hint="eastAsia" w:ascii="宋体" w:hAnsi="宋体" w:eastAsia="宋体" w:cs="宋体"/>
                <w:i w:val="0"/>
                <w:iCs w:val="0"/>
                <w:color w:val="000000"/>
                <w:sz w:val="21"/>
                <w:szCs w:val="21"/>
                <w:u w:val="none"/>
              </w:rPr>
            </w:pPr>
          </w:p>
        </w:tc>
        <w:tc>
          <w:tcPr>
            <w:tcW w:w="1367" w:type="dxa"/>
            <w:tcBorders>
              <w:top w:val="nil"/>
              <w:left w:val="single" w:color="000000" w:sz="8" w:space="0"/>
              <w:bottom w:val="nil"/>
              <w:right w:val="single" w:color="000000" w:sz="8" w:space="0"/>
            </w:tcBorders>
            <w:shd w:val="clear" w:color="auto" w:fill="auto"/>
            <w:vAlign w:val="center"/>
          </w:tcPr>
          <w:p w14:paraId="7DF6411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60-74</w:t>
            </w:r>
            <w:r>
              <w:rPr>
                <w:rFonts w:hint="eastAsia" w:ascii="宋体" w:hAnsi="宋体" w:eastAsia="宋体" w:cs="宋体"/>
                <w:i w:val="0"/>
                <w:iCs w:val="0"/>
                <w:color w:val="000000"/>
                <w:kern w:val="0"/>
                <w:sz w:val="21"/>
                <w:szCs w:val="21"/>
                <w:u w:val="none"/>
                <w:lang w:val="en-US" w:eastAsia="zh-CN" w:bidi="ar"/>
              </w:rPr>
              <w:t>分为合格</w:t>
            </w:r>
          </w:p>
        </w:tc>
      </w:tr>
      <w:tr w14:paraId="5582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657" w:type="dxa"/>
            <w:gridSpan w:val="3"/>
            <w:vMerge w:val="continue"/>
            <w:tcBorders>
              <w:top w:val="nil"/>
              <w:left w:val="single" w:color="000000" w:sz="8" w:space="0"/>
              <w:bottom w:val="single" w:color="000000" w:sz="8" w:space="0"/>
              <w:right w:val="single" w:color="000000" w:sz="8" w:space="0"/>
            </w:tcBorders>
            <w:shd w:val="clear" w:color="auto" w:fill="auto"/>
            <w:vAlign w:val="center"/>
          </w:tcPr>
          <w:p w14:paraId="1366236F">
            <w:pPr>
              <w:jc w:val="center"/>
              <w:rPr>
                <w:rFonts w:hint="eastAsia" w:ascii="宋体" w:hAnsi="宋体" w:eastAsia="宋体" w:cs="宋体"/>
                <w:i w:val="0"/>
                <w:iCs w:val="0"/>
                <w:color w:val="000000"/>
                <w:sz w:val="21"/>
                <w:szCs w:val="21"/>
                <w:u w:val="none"/>
              </w:rPr>
            </w:pPr>
          </w:p>
        </w:tc>
        <w:tc>
          <w:tcPr>
            <w:tcW w:w="169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374149A4">
            <w:pPr>
              <w:jc w:val="center"/>
              <w:rPr>
                <w:rFonts w:hint="eastAsia" w:ascii="宋体" w:hAnsi="宋体" w:eastAsia="宋体" w:cs="宋体"/>
                <w:i w:val="0"/>
                <w:iCs w:val="0"/>
                <w:color w:val="000000"/>
                <w:sz w:val="21"/>
                <w:szCs w:val="21"/>
                <w:u w:val="none"/>
              </w:rPr>
            </w:pPr>
          </w:p>
        </w:tc>
        <w:tc>
          <w:tcPr>
            <w:tcW w:w="1367" w:type="dxa"/>
            <w:tcBorders>
              <w:top w:val="nil"/>
              <w:left w:val="single" w:color="000000" w:sz="8" w:space="0"/>
              <w:bottom w:val="nil"/>
              <w:right w:val="single" w:color="000000" w:sz="8" w:space="0"/>
            </w:tcBorders>
            <w:shd w:val="clear" w:color="auto" w:fill="auto"/>
            <w:vAlign w:val="center"/>
          </w:tcPr>
          <w:p w14:paraId="1D68ECD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75-89</w:t>
            </w:r>
            <w:r>
              <w:rPr>
                <w:rFonts w:hint="eastAsia" w:ascii="宋体" w:hAnsi="宋体" w:eastAsia="宋体" w:cs="宋体"/>
                <w:i w:val="0"/>
                <w:iCs w:val="0"/>
                <w:color w:val="000000"/>
                <w:kern w:val="0"/>
                <w:sz w:val="21"/>
                <w:szCs w:val="21"/>
                <w:u w:val="none"/>
                <w:lang w:val="en-US" w:eastAsia="zh-CN" w:bidi="ar"/>
              </w:rPr>
              <w:t>分为良好</w:t>
            </w:r>
          </w:p>
        </w:tc>
      </w:tr>
      <w:tr w14:paraId="1A6A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657" w:type="dxa"/>
            <w:gridSpan w:val="3"/>
            <w:vMerge w:val="continue"/>
            <w:tcBorders>
              <w:top w:val="nil"/>
              <w:left w:val="single" w:color="000000" w:sz="8" w:space="0"/>
              <w:bottom w:val="single" w:color="000000" w:sz="8" w:space="0"/>
              <w:right w:val="single" w:color="000000" w:sz="8" w:space="0"/>
            </w:tcBorders>
            <w:shd w:val="clear" w:color="auto" w:fill="auto"/>
            <w:vAlign w:val="center"/>
          </w:tcPr>
          <w:p w14:paraId="6B6D1A8D">
            <w:pPr>
              <w:jc w:val="center"/>
              <w:rPr>
                <w:rFonts w:hint="eastAsia" w:ascii="宋体" w:hAnsi="宋体" w:eastAsia="宋体" w:cs="宋体"/>
                <w:i w:val="0"/>
                <w:iCs w:val="0"/>
                <w:color w:val="000000"/>
                <w:sz w:val="21"/>
                <w:szCs w:val="21"/>
                <w:u w:val="none"/>
              </w:rPr>
            </w:pPr>
          </w:p>
        </w:tc>
        <w:tc>
          <w:tcPr>
            <w:tcW w:w="1696"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65F3D7F1">
            <w:pPr>
              <w:jc w:val="center"/>
              <w:rPr>
                <w:rFonts w:hint="eastAsia" w:ascii="宋体" w:hAnsi="宋体" w:eastAsia="宋体" w:cs="宋体"/>
                <w:i w:val="0"/>
                <w:iCs w:val="0"/>
                <w:color w:val="000000"/>
                <w:sz w:val="21"/>
                <w:szCs w:val="21"/>
                <w:u w:val="none"/>
              </w:rPr>
            </w:pPr>
          </w:p>
        </w:tc>
        <w:tc>
          <w:tcPr>
            <w:tcW w:w="1367" w:type="dxa"/>
            <w:tcBorders>
              <w:top w:val="nil"/>
              <w:left w:val="single" w:color="000000" w:sz="8" w:space="0"/>
              <w:bottom w:val="single" w:color="000000" w:sz="8" w:space="0"/>
              <w:right w:val="single" w:color="000000" w:sz="8" w:space="0"/>
            </w:tcBorders>
            <w:shd w:val="clear" w:color="auto" w:fill="auto"/>
            <w:vAlign w:val="center"/>
          </w:tcPr>
          <w:p w14:paraId="7514DF2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90-100</w:t>
            </w:r>
            <w:r>
              <w:rPr>
                <w:rFonts w:hint="eastAsia" w:ascii="宋体" w:hAnsi="宋体" w:eastAsia="宋体" w:cs="宋体"/>
                <w:i w:val="0"/>
                <w:iCs w:val="0"/>
                <w:color w:val="000000"/>
                <w:kern w:val="0"/>
                <w:sz w:val="21"/>
                <w:szCs w:val="21"/>
                <w:u w:val="none"/>
                <w:lang w:val="en-US" w:eastAsia="zh-CN" w:bidi="ar"/>
              </w:rPr>
              <w:t>分为优秀</w:t>
            </w:r>
          </w:p>
        </w:tc>
      </w:tr>
      <w:tr w14:paraId="10AC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720" w:type="dxa"/>
            <w:gridSpan w:val="6"/>
            <w:tcBorders>
              <w:top w:val="nil"/>
              <w:left w:val="single" w:color="000000" w:sz="8" w:space="0"/>
              <w:bottom w:val="single" w:color="000000" w:sz="8" w:space="0"/>
              <w:right w:val="single" w:color="000000" w:sz="8" w:space="0"/>
            </w:tcBorders>
            <w:shd w:val="clear" w:color="auto" w:fill="auto"/>
            <w:vAlign w:val="center"/>
          </w:tcPr>
          <w:p w14:paraId="5551168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考核人：</w:t>
            </w:r>
            <w:r>
              <w:rPr>
                <w:rFonts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审核人：</w:t>
            </w:r>
            <w:r>
              <w:rPr>
                <w:rFonts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日期：</w:t>
            </w:r>
          </w:p>
        </w:tc>
      </w:tr>
    </w:tbl>
    <w:p w14:paraId="199B96B9">
      <w:pPr>
        <w:rPr>
          <w:rFonts w:hint="default"/>
          <w:lang w:val="en-US" w:eastAsia="zh-CN"/>
        </w:rPr>
      </w:pPr>
      <w:r>
        <w:rPr>
          <w:rFonts w:hint="eastAsia" w:ascii="宋体" w:hAnsi="宋体" w:cs="宋体"/>
          <w:bCs/>
          <w:sz w:val="24"/>
          <w:lang w:val="en-US" w:eastAsia="zh-CN"/>
        </w:rPr>
        <w:t>优秀等次不扣除当年所付款项，良好等次扣除当</w:t>
      </w:r>
      <w:r>
        <w:rPr>
          <w:rFonts w:hint="eastAsia" w:ascii="宋体" w:hAnsi="宋体" w:cs="宋体"/>
          <w:bCs/>
          <w:color w:val="FF0000"/>
          <w:sz w:val="24"/>
          <w:lang w:val="en-US" w:eastAsia="zh-CN"/>
        </w:rPr>
        <w:t>年所付款项的10%</w:t>
      </w:r>
      <w:r>
        <w:rPr>
          <w:rFonts w:hint="eastAsia" w:ascii="宋体" w:hAnsi="宋体" w:cs="宋体"/>
          <w:bCs/>
          <w:sz w:val="24"/>
          <w:lang w:val="en-US" w:eastAsia="zh-CN"/>
        </w:rPr>
        <w:t>，合格等次扣除当年所付款项的20%，不合格等次扣除当年所付款项的百分之80%。</w:t>
      </w:r>
    </w:p>
    <w:p w14:paraId="3889B869">
      <w:pPr>
        <w:rPr>
          <w:rFonts w:hint="default"/>
          <w:lang w:val="en-US" w:eastAsia="zh-CN"/>
        </w:rPr>
      </w:pPr>
    </w:p>
    <w:p w14:paraId="22C13815">
      <w:pPr>
        <w:rPr>
          <w:rFonts w:hint="default"/>
          <w:lang w:val="en-US" w:eastAsia="zh-CN"/>
        </w:rPr>
      </w:pPr>
    </w:p>
    <w:p w14:paraId="77119B7E"/>
    <w:sectPr>
      <w:pgSz w:w="11906" w:h="16838"/>
      <w:pgMar w:top="1440" w:right="1440" w:bottom="1440" w:left="1440" w:header="851" w:footer="992" w:gutter="0"/>
      <w:pgNumType w:start="1"/>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EF4AB">
    <w:pPr>
      <w:pStyle w:val="22"/>
      <w:jc w:val="center"/>
    </w:pPr>
    <w:r>
      <w:rPr>
        <w:rFonts w:hint="eastAsia"/>
      </w:rPr>
      <w:t>第</w:t>
    </w:r>
    <w:r>
      <w:fldChar w:fldCharType="begin"/>
    </w:r>
    <w:r>
      <w:instrText xml:space="preserve"> PAGE  \* MERGEFORMAT </w:instrText>
    </w:r>
    <w:r>
      <w:fldChar w:fldCharType="separate"/>
    </w:r>
    <w:r>
      <w:t>9</w:t>
    </w:r>
    <w:r>
      <w:fldChar w:fldCharType="end"/>
    </w:r>
    <w:r>
      <w:rPr>
        <w:rFonts w:hint="eastAsia"/>
      </w:rPr>
      <w:t>页共</w:t>
    </w:r>
    <w:r>
      <w:fldChar w:fldCharType="begin"/>
    </w:r>
    <w:r>
      <w:instrText xml:space="preserve"> NUMPAGES  \* MERGEFORMAT </w:instrText>
    </w:r>
    <w:r>
      <w:fldChar w:fldCharType="separate"/>
    </w:r>
    <w:r>
      <w:t>42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FE603">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20844"/>
    </w:sdtPr>
    <w:sdtContent>
      <w:p w14:paraId="3DB0C812">
        <w:pPr>
          <w:pStyle w:val="22"/>
          <w:jc w:val="center"/>
        </w:pPr>
        <w:r>
          <w:fldChar w:fldCharType="begin"/>
        </w:r>
        <w:r>
          <w:instrText xml:space="preserve"> PAGE   \* MERGEFORMAT </w:instrText>
        </w:r>
        <w:r>
          <w:fldChar w:fldCharType="separate"/>
        </w:r>
        <w:r>
          <w:rPr>
            <w:lang w:val="zh-CN"/>
          </w:rPr>
          <w:t>1</w:t>
        </w:r>
        <w:r>
          <w:rPr>
            <w:lang w:val="zh-CN"/>
          </w:rPr>
          <w:fldChar w:fldCharType="end"/>
        </w:r>
      </w:p>
    </w:sdtContent>
  </w:sdt>
  <w:p w14:paraId="23861718">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A9CD">
    <w:pPr>
      <w:pStyle w:val="15"/>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52E3486">
                          <w:pPr>
                            <w:pStyle w:val="22"/>
                          </w:pPr>
                          <w:r>
                            <w:fldChar w:fldCharType="begin"/>
                          </w:r>
                          <w:r>
                            <w:instrText xml:space="preserve"> PAGE  \* MERGEFORMAT </w:instrText>
                          </w:r>
                          <w:r>
                            <w:fldChar w:fldCharType="separate"/>
                          </w:r>
                          <w:r>
                            <w:t>25</w:t>
                          </w:r>
                          <w:r>
                            <w:fldChar w:fldCharType="end"/>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mdoDN8BAAC7AwAADgAAAAAA&#10;AAABACAAAAAeAQAAZHJzL2Uyb0RvYy54bWxQSwUGAAAAAAYABgBZAQAAbwUAAAAA&#10;">
              <v:fill on="f" focussize="0,0"/>
              <v:stroke on="f"/>
              <v:imagedata o:title=""/>
              <o:lock v:ext="edit" aspectratio="f"/>
              <v:textbox inset="0mm,0mm,0mm,0mm" style="mso-fit-shape-to-text:t;">
                <w:txbxContent>
                  <w:p w14:paraId="452E3486">
                    <w:pPr>
                      <w:pStyle w:val="2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20774">
    <w:pPr>
      <w:rPr>
        <w:rFonts w:ascii="仿宋_GB2312" w:eastAsia="仿宋_GB2312"/>
      </w:rPr>
    </w:pPr>
    <w:r>
      <w:rPr>
        <w:rFonts w:ascii="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6738D3">
                          <w:pPr>
                            <w:pStyle w:val="22"/>
                          </w:pPr>
                          <w:r>
                            <w:t>第</w:t>
                          </w:r>
                          <w:r>
                            <w:fldChar w:fldCharType="begin"/>
                          </w:r>
                          <w:r>
                            <w:instrText xml:space="preserve"> PAGE  \* MERGEFORMAT </w:instrText>
                          </w:r>
                          <w:r>
                            <w:fldChar w:fldCharType="separate"/>
                          </w:r>
                          <w:r>
                            <w:t>35</w:t>
                          </w:r>
                          <w:r>
                            <w:fldChar w:fldCharType="end"/>
                          </w:r>
                          <w:r>
                            <w:t>页共</w:t>
                          </w:r>
                          <w:r>
                            <w:fldChar w:fldCharType="begin"/>
                          </w:r>
                          <w:r>
                            <w:instrText xml:space="preserve"> NUMPAGES  \* MERGEFORMAT </w:instrText>
                          </w:r>
                          <w:r>
                            <w:fldChar w:fldCharType="separate"/>
                          </w:r>
                          <w:r>
                            <w:t>45</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uUsyAgAAYw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f65SzICAABjBAAADgAAAAAAAAABACAAAAAfAQAAZHJzL2Uyb0RvYy54bWxQSwUG&#10;AAAAAAYABgBZAQAAwwUAAAAA&#10;">
              <v:fill on="f" focussize="0,0"/>
              <v:stroke on="f" weight="0.5pt"/>
              <v:imagedata o:title=""/>
              <o:lock v:ext="edit" aspectratio="f"/>
              <v:textbox inset="0mm,0mm,0mm,0mm" style="mso-fit-shape-to-text:t;">
                <w:txbxContent>
                  <w:p w14:paraId="0A6738D3">
                    <w:pPr>
                      <w:pStyle w:val="22"/>
                    </w:pPr>
                    <w:r>
                      <w:t>第</w:t>
                    </w:r>
                    <w:r>
                      <w:fldChar w:fldCharType="begin"/>
                    </w:r>
                    <w:r>
                      <w:instrText xml:space="preserve"> PAGE  \* MERGEFORMAT </w:instrText>
                    </w:r>
                    <w:r>
                      <w:fldChar w:fldCharType="separate"/>
                    </w:r>
                    <w:r>
                      <w:t>35</w:t>
                    </w:r>
                    <w:r>
                      <w:fldChar w:fldCharType="end"/>
                    </w:r>
                    <w:r>
                      <w:t>页共</w:t>
                    </w:r>
                    <w:r>
                      <w:fldChar w:fldCharType="begin"/>
                    </w:r>
                    <w:r>
                      <w:instrText xml:space="preserve"> NUMPAGES  \* MERGEFORMAT </w:instrText>
                    </w:r>
                    <w:r>
                      <w:fldChar w:fldCharType="separate"/>
                    </w:r>
                    <w:r>
                      <w:t>45</w:t>
                    </w:r>
                    <w:r>
                      <w:fldChar w:fldCharType="end"/>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4E95">
    <w:pPr>
      <w:rPr>
        <w:rFonts w:ascii="仿宋_GB2312" w:eastAsia="仿宋_GB2312"/>
      </w:rPr>
    </w:pPr>
    <w:r>
      <w:rPr>
        <w:rFonts w:ascii="Times New Roma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AF41EA">
                          <w:pPr>
                            <w:pStyle w:val="22"/>
                          </w:pPr>
                          <w:r>
                            <w:t>第</w:t>
                          </w:r>
                          <w:r>
                            <w:fldChar w:fldCharType="begin"/>
                          </w:r>
                          <w:r>
                            <w:instrText xml:space="preserve"> PAGE  \* MERGEFORMAT </w:instrText>
                          </w:r>
                          <w:r>
                            <w:fldChar w:fldCharType="separate"/>
                          </w:r>
                          <w:r>
                            <w:t>26</w:t>
                          </w:r>
                          <w:r>
                            <w:fldChar w:fldCharType="end"/>
                          </w:r>
                          <w:r>
                            <w:t>页共</w:t>
                          </w:r>
                          <w:r>
                            <w:fldChar w:fldCharType="begin"/>
                          </w:r>
                          <w:r>
                            <w:instrText xml:space="preserve"> NUMPAGES  \* MERGEFORMAT </w:instrText>
                          </w:r>
                          <w:r>
                            <w:fldChar w:fldCharType="separate"/>
                          </w:r>
                          <w:r>
                            <w:t>45</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2v9QIx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dr/UCMQIAAGMEAAAOAAAAAAAAAAEAIAAAAB8BAABkcnMvZTJvRG9jLnhtbFBLBQYA&#10;AAAABgAGAFkBAADCBQAAAAA=&#10;">
              <v:fill on="f" focussize="0,0"/>
              <v:stroke on="f" weight="0.5pt"/>
              <v:imagedata o:title=""/>
              <o:lock v:ext="edit" aspectratio="f"/>
              <v:textbox inset="0mm,0mm,0mm,0mm" style="mso-fit-shape-to-text:t;">
                <w:txbxContent>
                  <w:p w14:paraId="1DAF41EA">
                    <w:pPr>
                      <w:pStyle w:val="22"/>
                    </w:pPr>
                    <w:r>
                      <w:t>第</w:t>
                    </w:r>
                    <w:r>
                      <w:fldChar w:fldCharType="begin"/>
                    </w:r>
                    <w:r>
                      <w:instrText xml:space="preserve"> PAGE  \* MERGEFORMAT </w:instrText>
                    </w:r>
                    <w:r>
                      <w:fldChar w:fldCharType="separate"/>
                    </w:r>
                    <w:r>
                      <w:t>26</w:t>
                    </w:r>
                    <w:r>
                      <w:fldChar w:fldCharType="end"/>
                    </w:r>
                    <w:r>
                      <w:t>页共</w:t>
                    </w:r>
                    <w:r>
                      <w:fldChar w:fldCharType="begin"/>
                    </w:r>
                    <w:r>
                      <w:instrText xml:space="preserve"> NUMPAGES  \* MERGEFORMAT </w:instrText>
                    </w:r>
                    <w:r>
                      <w:fldChar w:fldCharType="separate"/>
                    </w:r>
                    <w:r>
                      <w:t>45</w:t>
                    </w:r>
                    <w:r>
                      <w:fldChar w:fldCharType="end"/>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3F0FC">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00685" cy="214630"/>
              <wp:effectExtent l="0" t="0" r="0" b="0"/>
              <wp:wrapNone/>
              <wp:docPr id="1056097809" name="文本框 8"/>
              <wp:cNvGraphicFramePr/>
              <a:graphic xmlns:a="http://schemas.openxmlformats.org/drawingml/2006/main">
                <a:graphicData uri="http://schemas.microsoft.com/office/word/2010/wordprocessingShape">
                  <wps:wsp>
                    <wps:cNvSpPr txBox="1"/>
                    <wps:spPr bwMode="auto">
                      <a:xfrm>
                        <a:off x="0" y="0"/>
                        <a:ext cx="400685" cy="214630"/>
                      </a:xfrm>
                      <a:prstGeom prst="rect">
                        <a:avLst/>
                      </a:prstGeom>
                      <a:noFill/>
                      <a:ln>
                        <a:noFill/>
                      </a:ln>
                    </wps:spPr>
                    <wps:txbx>
                      <w:txbxContent>
                        <w:p w14:paraId="5CF033FA">
                          <w:pPr>
                            <w:pStyle w:val="22"/>
                          </w:pPr>
                          <w:r>
                            <w:rPr>
                              <w:rFonts w:hint="eastAsia"/>
                            </w:rPr>
                            <w:t>第</w:t>
                          </w:r>
                          <w:r>
                            <w:fldChar w:fldCharType="begin"/>
                          </w:r>
                          <w:r>
                            <w:instrText xml:space="preserve"> PAGE  \* MERGEFORMAT </w:instrText>
                          </w:r>
                          <w:r>
                            <w:fldChar w:fldCharType="separate"/>
                          </w:r>
                          <w:r>
                            <w:t>2</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6.9pt;width:31.55pt;mso-position-horizontal:center;mso-position-horizontal-relative:margin;mso-wrap-style:none;z-index:251661312;mso-width-relative:page;mso-height-relative:page;" filled="f" stroked="f" coordsize="21600,21600" o:gfxdata="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W4XH0QAAAAMBAAAPAAAAAAAAAAEAIAAAACIAAABkcnMvZG93bnJldi54bWxQSwECFAAU&#10;AAAACACHTuJAXDunOfgBAADbAwAADgAAAAAAAAABACAAAAAgAQAAZHJzL2Uyb0RvYy54bWxQSwUG&#10;AAAAAAYABgBZAQAAigUAAAAA&#10;">
              <v:fill on="f" focussize="0,0"/>
              <v:stroke on="f"/>
              <v:imagedata o:title=""/>
              <o:lock v:ext="edit" aspectratio="f"/>
              <v:textbox inset="0mm,0mm,0mm,0mm" style="mso-fit-shape-to-text:t;">
                <w:txbxContent>
                  <w:p w14:paraId="5CF033FA">
                    <w:pPr>
                      <w:pStyle w:val="22"/>
                    </w:pPr>
                    <w:r>
                      <w:rPr>
                        <w:rFonts w:hint="eastAsia"/>
                      </w:rPr>
                      <w:t>第</w:t>
                    </w:r>
                    <w:r>
                      <w:fldChar w:fldCharType="begin"/>
                    </w:r>
                    <w:r>
                      <w:instrText xml:space="preserve"> PAGE  \* MERGEFORMAT </w:instrText>
                    </w:r>
                    <w:r>
                      <w:fldChar w:fldCharType="separate"/>
                    </w:r>
                    <w:r>
                      <w:t>2</w:t>
                    </w:r>
                    <w:r>
                      <w:fldChar w:fldCharType="end"/>
                    </w:r>
                    <w:r>
                      <w:rPr>
                        <w:rFonts w:hint="eastAsia"/>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47BAE">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214630"/>
              <wp:effectExtent l="0" t="0" r="0" b="0"/>
              <wp:wrapNone/>
              <wp:docPr id="189817932" name="文本框 9"/>
              <wp:cNvGraphicFramePr/>
              <a:graphic xmlns:a="http://schemas.openxmlformats.org/drawingml/2006/main">
                <a:graphicData uri="http://schemas.microsoft.com/office/word/2010/wordprocessingShape">
                  <wps:wsp>
                    <wps:cNvSpPr txBox="1"/>
                    <wps:spPr bwMode="auto">
                      <a:xfrm>
                        <a:off x="0" y="0"/>
                        <a:ext cx="400685" cy="214630"/>
                      </a:xfrm>
                      <a:prstGeom prst="rect">
                        <a:avLst/>
                      </a:prstGeom>
                      <a:noFill/>
                      <a:ln>
                        <a:noFill/>
                      </a:ln>
                    </wps:spPr>
                    <wps:txbx>
                      <w:txbxContent>
                        <w:p w14:paraId="5D1956E9">
                          <w:pPr>
                            <w:pStyle w:val="22"/>
                          </w:pPr>
                          <w:r>
                            <w:rPr>
                              <w:rFonts w:hint="eastAsia"/>
                            </w:rPr>
                            <w:t>第</w:t>
                          </w:r>
                          <w:r>
                            <w:fldChar w:fldCharType="begin"/>
                          </w:r>
                          <w:r>
                            <w:instrText xml:space="preserve"> PAGE  \* MERGEFORMAT </w:instrText>
                          </w:r>
                          <w:r>
                            <w:fldChar w:fldCharType="separate"/>
                          </w:r>
                          <w:r>
                            <w:t>1</w:t>
                          </w:r>
                          <w: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6.9pt;width:31.55pt;mso-position-horizontal:center;mso-position-horizontal-relative:margin;mso-wrap-style:none;z-index:251659264;mso-width-relative:page;mso-height-relative:page;" filled="f" stroked="f" coordsize="21600,21600" o:gfxdata="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tbhcfRAAAAAwEAAA8AAAAAAAAAAQAgAAAAIgAAAGRycy9kb3ducmV2LnhtbFBLAQIUABQA&#10;AAAIAIdO4kDzj2i09wEAANoDAAAOAAAAAAAAAAEAIAAAACABAABkcnMvZTJvRG9jLnhtbFBLBQYA&#10;AAAABgAGAFkBAACJBQAAAAA=&#10;">
              <v:fill on="f" focussize="0,0"/>
              <v:stroke on="f"/>
              <v:imagedata o:title=""/>
              <o:lock v:ext="edit" aspectratio="f"/>
              <v:textbox inset="0mm,0mm,0mm,0mm" style="mso-fit-shape-to-text:t;">
                <w:txbxContent>
                  <w:p w14:paraId="5D1956E9">
                    <w:pPr>
                      <w:pStyle w:val="22"/>
                    </w:pPr>
                    <w:r>
                      <w:rPr>
                        <w:rFonts w:hint="eastAsia"/>
                      </w:rPr>
                      <w:t>第</w:t>
                    </w:r>
                    <w:r>
                      <w:fldChar w:fldCharType="begin"/>
                    </w:r>
                    <w:r>
                      <w:instrText xml:space="preserve"> PAGE  \* MERGEFORMAT </w:instrText>
                    </w:r>
                    <w:r>
                      <w:fldChar w:fldCharType="separate"/>
                    </w:r>
                    <w:r>
                      <w:t>1</w:t>
                    </w:r>
                    <w:r>
                      <w:fldChar w:fldCharType="end"/>
                    </w:r>
                    <w:r>
                      <w:rPr>
                        <w:rFonts w:hint="eastAsi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8" w:lineRule="auto"/>
      </w:pPr>
      <w:r>
        <w:separator/>
      </w:r>
    </w:p>
  </w:footnote>
  <w:footnote w:type="continuationSeparator" w:id="1">
    <w:p>
      <w:pPr>
        <w:spacing w:line="3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4E97">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4386">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1E002">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572A">
    <w:pPr>
      <w:pStyle w:val="23"/>
      <w:pBdr>
        <w:bottom w:val="none" w:color="auto" w:sz="0" w:space="1"/>
      </w:pBdr>
      <w:jc w:val="both"/>
      <w:rPr>
        <w:rFonts w:ascii="仿宋_GB2312" w:eastAsia="仿宋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25B9A">
    <w:pPr>
      <w:pStyle w:val="23"/>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BD0E">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651B3"/>
    <w:multiLevelType w:val="singleLevel"/>
    <w:tmpl w:val="FFE651B3"/>
    <w:lvl w:ilvl="0" w:tentative="0">
      <w:start w:val="6"/>
      <w:numFmt w:val="decimal"/>
      <w:suff w:val="nothing"/>
      <w:lvlText w:val="%1、"/>
      <w:lvlJc w:val="left"/>
    </w:lvl>
  </w:abstractNum>
  <w:abstractNum w:abstractNumId="1">
    <w:nsid w:val="FFFFFF89"/>
    <w:multiLevelType w:val="singleLevel"/>
    <w:tmpl w:val="FFFFFF89"/>
    <w:lvl w:ilvl="0" w:tentative="0">
      <w:start w:val="1"/>
      <w:numFmt w:val="bullet"/>
      <w:pStyle w:val="11"/>
      <w:lvlText w:val="•"/>
      <w:lvlJc w:val="left"/>
      <w:pPr>
        <w:ind w:left="7447" w:hanging="360"/>
      </w:pPr>
      <w:rPr>
        <w:rFonts w:hint="default" w:ascii="Cambria" w:hAnsi="Cambria" w:eastAsia="Cambria"/>
        <w:color w:val="5B9BD5"/>
      </w:rPr>
    </w:lvl>
  </w:abstractNum>
  <w:abstractNum w:abstractNumId="2">
    <w:nsid w:val="00000002"/>
    <w:multiLevelType w:val="multilevel"/>
    <w:tmpl w:val="00000002"/>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03"/>
    <w:multiLevelType w:val="multilevel"/>
    <w:tmpl w:val="00000003"/>
    <w:lvl w:ilvl="0" w:tentative="0">
      <w:start w:val="1"/>
      <w:numFmt w:val="decimal"/>
      <w:pStyle w:val="8"/>
      <w:lvlText w:val="（%1）"/>
      <w:lvlJc w:val="left"/>
      <w:pPr>
        <w:tabs>
          <w:tab w:val="left" w:pos="980"/>
        </w:tabs>
        <w:ind w:left="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japaneseCounting"/>
      <w:lvlText w:val="%1、"/>
      <w:lvlJc w:val="left"/>
      <w:pPr>
        <w:ind w:left="992" w:hanging="510"/>
      </w:pPr>
      <w:rPr>
        <w:rFonts w:hint="default" w:cs="Arial"/>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06"/>
    <w:multiLevelType w:val="multilevel"/>
    <w:tmpl w:val="00000006"/>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7"/>
    <w:multiLevelType w:val="multilevel"/>
    <w:tmpl w:val="00000007"/>
    <w:lvl w:ilvl="0" w:tentative="0">
      <w:start w:val="1"/>
      <w:numFmt w:val="chineseCountingThousand"/>
      <w:pStyle w:val="2"/>
      <w:suff w:val="nothing"/>
      <w:lvlText w:val="%1、"/>
      <w:lvlJc w:val="left"/>
      <w:pPr>
        <w:ind w:left="425" w:hanging="425"/>
      </w:pPr>
      <w:rPr>
        <w:rFonts w:hint="eastAsia"/>
        <w:lang w:val="en-US"/>
      </w:rPr>
    </w:lvl>
    <w:lvl w:ilvl="1" w:tentative="0">
      <w:start w:val="1"/>
      <w:numFmt w:val="chineseCountingThousand"/>
      <w:pStyle w:val="3"/>
      <w:suff w:val="nothing"/>
      <w:lvlText w:val="（%2）"/>
      <w:lvlJc w:val="left"/>
      <w:pPr>
        <w:ind w:left="992" w:hanging="992"/>
      </w:pPr>
      <w:rPr>
        <w:rFonts w:hint="eastAsia"/>
      </w:rPr>
    </w:lvl>
    <w:lvl w:ilvl="2" w:tentative="0">
      <w:start w:val="1"/>
      <w:numFmt w:val="decimal"/>
      <w:pStyle w:val="4"/>
      <w:suff w:val="space"/>
      <w:lvlText w:val="%3."/>
      <w:lvlJc w:val="left"/>
      <w:pPr>
        <w:ind w:left="1418" w:hanging="1418"/>
      </w:pPr>
      <w:rPr>
        <w:rFonts w:hint="eastAsia"/>
      </w:rPr>
    </w:lvl>
    <w:lvl w:ilvl="3" w:tentative="0">
      <w:start w:val="1"/>
      <w:numFmt w:val="decimal"/>
      <w:pStyle w:val="5"/>
      <w:suff w:val="nothing"/>
      <w:lvlText w:val="（%4）"/>
      <w:lvlJc w:val="left"/>
      <w:pPr>
        <w:ind w:left="1984" w:hanging="1984"/>
      </w:pPr>
      <w:rPr>
        <w:rFonts w:hint="eastAsia"/>
      </w:rPr>
    </w:lvl>
    <w:lvl w:ilvl="4" w:tentative="0">
      <w:start w:val="1"/>
      <w:numFmt w:val="decimal"/>
      <w:pStyle w:val="6"/>
      <w:suff w:val="nothing"/>
      <w:lvlText w:val="%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0000008"/>
    <w:multiLevelType w:val="singleLevel"/>
    <w:tmpl w:val="00000008"/>
    <w:lvl w:ilvl="0" w:tentative="0">
      <w:start w:val="2"/>
      <w:numFmt w:val="chineseCounting"/>
      <w:suff w:val="space"/>
      <w:lvlText w:val="第%1章"/>
      <w:lvlJc w:val="left"/>
    </w:lvl>
  </w:abstractNum>
  <w:abstractNum w:abstractNumId="8">
    <w:nsid w:val="00000009"/>
    <w:multiLevelType w:val="singleLevel"/>
    <w:tmpl w:val="00000009"/>
    <w:lvl w:ilvl="0" w:tentative="0">
      <w:start w:val="3"/>
      <w:numFmt w:val="chineseCounting"/>
      <w:suff w:val="space"/>
      <w:lvlText w:val="第%1章"/>
      <w:lvlJc w:val="left"/>
    </w:lvl>
  </w:abstractNum>
  <w:abstractNum w:abstractNumId="9">
    <w:nsid w:val="0000000A"/>
    <w:multiLevelType w:val="singleLevel"/>
    <w:tmpl w:val="0000000A"/>
    <w:lvl w:ilvl="0" w:tentative="0">
      <w:start w:val="1"/>
      <w:numFmt w:val="decimal"/>
      <w:suff w:val="nothing"/>
      <w:lvlText w:val="%1."/>
      <w:lvlJc w:val="left"/>
      <w:rPr>
        <w:lang w:val="en-US" w:eastAsia="zh-CN"/>
      </w:rPr>
    </w:lvl>
  </w:abstractNum>
  <w:abstractNum w:abstractNumId="10">
    <w:nsid w:val="0000000F"/>
    <w:multiLevelType w:val="multilevel"/>
    <w:tmpl w:val="0000000F"/>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1">
    <w:nsid w:val="1E76831B"/>
    <w:multiLevelType w:val="singleLevel"/>
    <w:tmpl w:val="1E76831B"/>
    <w:lvl w:ilvl="0" w:tentative="0">
      <w:start w:val="1"/>
      <w:numFmt w:val="decimal"/>
      <w:suff w:val="nothing"/>
      <w:lvlText w:val="%1、"/>
      <w:lvlJc w:val="left"/>
      <w:pPr>
        <w:ind w:left="15"/>
      </w:pPr>
    </w:lvl>
  </w:abstractNum>
  <w:abstractNum w:abstractNumId="12">
    <w:nsid w:val="6A41EDAF"/>
    <w:multiLevelType w:val="singleLevel"/>
    <w:tmpl w:val="6A41EDAF"/>
    <w:lvl w:ilvl="0" w:tentative="0">
      <w:start w:val="6"/>
      <w:numFmt w:val="chineseCounting"/>
      <w:suff w:val="nothing"/>
      <w:lvlText w:val="%1、"/>
      <w:lvlJc w:val="left"/>
      <w:rPr>
        <w:rFonts w:hint="eastAsia"/>
      </w:r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7"/>
  </w:num>
  <w:num w:numId="8">
    <w:abstractNumId w:val="11"/>
  </w:num>
  <w:num w:numId="9">
    <w:abstractNumId w:val="0"/>
  </w:num>
  <w:num w:numId="10">
    <w:abstractNumId w:val="8"/>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hMWY2YzExNDZkM2U4OGIyZTAwMzhiYmRjMDY3NjYifQ=="/>
  </w:docVars>
  <w:rsids>
    <w:rsidRoot w:val="001649B9"/>
    <w:rsid w:val="00002036"/>
    <w:rsid w:val="000024FB"/>
    <w:rsid w:val="00002AC3"/>
    <w:rsid w:val="000126C5"/>
    <w:rsid w:val="000247CD"/>
    <w:rsid w:val="000369B5"/>
    <w:rsid w:val="00036B23"/>
    <w:rsid w:val="00040D36"/>
    <w:rsid w:val="0005014F"/>
    <w:rsid w:val="00054604"/>
    <w:rsid w:val="00054DDA"/>
    <w:rsid w:val="00055C8F"/>
    <w:rsid w:val="000720AC"/>
    <w:rsid w:val="00072340"/>
    <w:rsid w:val="000749EB"/>
    <w:rsid w:val="00074F6C"/>
    <w:rsid w:val="000769E6"/>
    <w:rsid w:val="000862F2"/>
    <w:rsid w:val="000921AE"/>
    <w:rsid w:val="000944AD"/>
    <w:rsid w:val="000B677B"/>
    <w:rsid w:val="000B7938"/>
    <w:rsid w:val="000C2619"/>
    <w:rsid w:val="000D1A8C"/>
    <w:rsid w:val="000D2A00"/>
    <w:rsid w:val="000D38E1"/>
    <w:rsid w:val="000E1229"/>
    <w:rsid w:val="000E3923"/>
    <w:rsid w:val="000E4490"/>
    <w:rsid w:val="000F048B"/>
    <w:rsid w:val="000F6364"/>
    <w:rsid w:val="000F647F"/>
    <w:rsid w:val="00112643"/>
    <w:rsid w:val="001176AC"/>
    <w:rsid w:val="00117B88"/>
    <w:rsid w:val="00121500"/>
    <w:rsid w:val="00121DBC"/>
    <w:rsid w:val="001253CD"/>
    <w:rsid w:val="00136FFF"/>
    <w:rsid w:val="0014111A"/>
    <w:rsid w:val="00142C67"/>
    <w:rsid w:val="00151BEB"/>
    <w:rsid w:val="00152E0B"/>
    <w:rsid w:val="001530C5"/>
    <w:rsid w:val="0015468B"/>
    <w:rsid w:val="00155160"/>
    <w:rsid w:val="00155801"/>
    <w:rsid w:val="001576E0"/>
    <w:rsid w:val="00163DAF"/>
    <w:rsid w:val="001649B9"/>
    <w:rsid w:val="0016635D"/>
    <w:rsid w:val="00167113"/>
    <w:rsid w:val="00174156"/>
    <w:rsid w:val="00181CE5"/>
    <w:rsid w:val="001842D1"/>
    <w:rsid w:val="0018583D"/>
    <w:rsid w:val="00192387"/>
    <w:rsid w:val="00192563"/>
    <w:rsid w:val="0019367C"/>
    <w:rsid w:val="00193AAD"/>
    <w:rsid w:val="00193D41"/>
    <w:rsid w:val="001963CB"/>
    <w:rsid w:val="00196FAF"/>
    <w:rsid w:val="001B0CC5"/>
    <w:rsid w:val="001B1C40"/>
    <w:rsid w:val="001B36CB"/>
    <w:rsid w:val="001B3A4B"/>
    <w:rsid w:val="001B7359"/>
    <w:rsid w:val="001C407E"/>
    <w:rsid w:val="001C6B6A"/>
    <w:rsid w:val="001D2BC3"/>
    <w:rsid w:val="001D4E0A"/>
    <w:rsid w:val="001D7320"/>
    <w:rsid w:val="001F0D51"/>
    <w:rsid w:val="001F5323"/>
    <w:rsid w:val="002015A0"/>
    <w:rsid w:val="00201852"/>
    <w:rsid w:val="00202AC6"/>
    <w:rsid w:val="00202CB9"/>
    <w:rsid w:val="00212F33"/>
    <w:rsid w:val="00213585"/>
    <w:rsid w:val="00217EFC"/>
    <w:rsid w:val="002219F4"/>
    <w:rsid w:val="002223AC"/>
    <w:rsid w:val="00226A49"/>
    <w:rsid w:val="00237E2E"/>
    <w:rsid w:val="00244777"/>
    <w:rsid w:val="00245F16"/>
    <w:rsid w:val="00246189"/>
    <w:rsid w:val="00246D1B"/>
    <w:rsid w:val="00251B6A"/>
    <w:rsid w:val="002523BC"/>
    <w:rsid w:val="00254695"/>
    <w:rsid w:val="002571CE"/>
    <w:rsid w:val="0025758C"/>
    <w:rsid w:val="00260850"/>
    <w:rsid w:val="00267213"/>
    <w:rsid w:val="00267A49"/>
    <w:rsid w:val="00267E9D"/>
    <w:rsid w:val="00271830"/>
    <w:rsid w:val="00275487"/>
    <w:rsid w:val="00277C20"/>
    <w:rsid w:val="0028628D"/>
    <w:rsid w:val="002901BE"/>
    <w:rsid w:val="00292026"/>
    <w:rsid w:val="002A1CAD"/>
    <w:rsid w:val="002A2530"/>
    <w:rsid w:val="002A2787"/>
    <w:rsid w:val="002A52C6"/>
    <w:rsid w:val="002A6599"/>
    <w:rsid w:val="002B1EB6"/>
    <w:rsid w:val="002B1F87"/>
    <w:rsid w:val="002B5FBE"/>
    <w:rsid w:val="002C33AE"/>
    <w:rsid w:val="002C6E7F"/>
    <w:rsid w:val="002D1415"/>
    <w:rsid w:val="002D7CF6"/>
    <w:rsid w:val="002E3647"/>
    <w:rsid w:val="002F023A"/>
    <w:rsid w:val="002F0507"/>
    <w:rsid w:val="002F087F"/>
    <w:rsid w:val="002F1075"/>
    <w:rsid w:val="002F6442"/>
    <w:rsid w:val="002F72F1"/>
    <w:rsid w:val="00307887"/>
    <w:rsid w:val="003101FC"/>
    <w:rsid w:val="0032205A"/>
    <w:rsid w:val="00325260"/>
    <w:rsid w:val="00327BB2"/>
    <w:rsid w:val="00330FFF"/>
    <w:rsid w:val="003316B6"/>
    <w:rsid w:val="00333D05"/>
    <w:rsid w:val="0033796D"/>
    <w:rsid w:val="003406CC"/>
    <w:rsid w:val="00344C1E"/>
    <w:rsid w:val="00347887"/>
    <w:rsid w:val="00350661"/>
    <w:rsid w:val="00353B57"/>
    <w:rsid w:val="00355619"/>
    <w:rsid w:val="0036160C"/>
    <w:rsid w:val="00362058"/>
    <w:rsid w:val="00370089"/>
    <w:rsid w:val="00372297"/>
    <w:rsid w:val="003743D1"/>
    <w:rsid w:val="00377BC5"/>
    <w:rsid w:val="00381A1F"/>
    <w:rsid w:val="00381A7A"/>
    <w:rsid w:val="00384E91"/>
    <w:rsid w:val="00385D7B"/>
    <w:rsid w:val="0039017D"/>
    <w:rsid w:val="003A1D5C"/>
    <w:rsid w:val="003A480A"/>
    <w:rsid w:val="003A4CA9"/>
    <w:rsid w:val="003A5730"/>
    <w:rsid w:val="003B4691"/>
    <w:rsid w:val="003C3597"/>
    <w:rsid w:val="003C5315"/>
    <w:rsid w:val="003C63A0"/>
    <w:rsid w:val="003C7E05"/>
    <w:rsid w:val="003D00BB"/>
    <w:rsid w:val="003D3A61"/>
    <w:rsid w:val="003D4B49"/>
    <w:rsid w:val="003E18A4"/>
    <w:rsid w:val="003E4FA4"/>
    <w:rsid w:val="003F0970"/>
    <w:rsid w:val="003F1E35"/>
    <w:rsid w:val="00400270"/>
    <w:rsid w:val="004039E9"/>
    <w:rsid w:val="00416A97"/>
    <w:rsid w:val="00423024"/>
    <w:rsid w:val="0042712E"/>
    <w:rsid w:val="00437B8B"/>
    <w:rsid w:val="004440E5"/>
    <w:rsid w:val="004527EB"/>
    <w:rsid w:val="0045776F"/>
    <w:rsid w:val="00457E24"/>
    <w:rsid w:val="00460A06"/>
    <w:rsid w:val="00464100"/>
    <w:rsid w:val="0047077A"/>
    <w:rsid w:val="00472C46"/>
    <w:rsid w:val="00491C63"/>
    <w:rsid w:val="0049207C"/>
    <w:rsid w:val="0049303C"/>
    <w:rsid w:val="00495E83"/>
    <w:rsid w:val="004A03C7"/>
    <w:rsid w:val="004A12B0"/>
    <w:rsid w:val="004A3ABC"/>
    <w:rsid w:val="004B57C0"/>
    <w:rsid w:val="004B57DE"/>
    <w:rsid w:val="004C19A8"/>
    <w:rsid w:val="004C5C71"/>
    <w:rsid w:val="004D2CA6"/>
    <w:rsid w:val="004D388B"/>
    <w:rsid w:val="004D395E"/>
    <w:rsid w:val="004E10BF"/>
    <w:rsid w:val="004E259C"/>
    <w:rsid w:val="004E488E"/>
    <w:rsid w:val="004E7D18"/>
    <w:rsid w:val="004E7D52"/>
    <w:rsid w:val="004F08E4"/>
    <w:rsid w:val="004F66B2"/>
    <w:rsid w:val="00500CCD"/>
    <w:rsid w:val="00502C28"/>
    <w:rsid w:val="00504A86"/>
    <w:rsid w:val="00505910"/>
    <w:rsid w:val="00512DFD"/>
    <w:rsid w:val="0051377B"/>
    <w:rsid w:val="00526515"/>
    <w:rsid w:val="00534025"/>
    <w:rsid w:val="00534FCA"/>
    <w:rsid w:val="005428BA"/>
    <w:rsid w:val="00543E17"/>
    <w:rsid w:val="0054459C"/>
    <w:rsid w:val="00544635"/>
    <w:rsid w:val="00553A1B"/>
    <w:rsid w:val="00565A48"/>
    <w:rsid w:val="00571686"/>
    <w:rsid w:val="00576A42"/>
    <w:rsid w:val="005866DC"/>
    <w:rsid w:val="00586D29"/>
    <w:rsid w:val="005A1ECE"/>
    <w:rsid w:val="005B05A4"/>
    <w:rsid w:val="005B1695"/>
    <w:rsid w:val="005B553A"/>
    <w:rsid w:val="005C3C6A"/>
    <w:rsid w:val="005D554C"/>
    <w:rsid w:val="005D5D45"/>
    <w:rsid w:val="005D63E6"/>
    <w:rsid w:val="00602011"/>
    <w:rsid w:val="00602F07"/>
    <w:rsid w:val="00604954"/>
    <w:rsid w:val="006100D6"/>
    <w:rsid w:val="00610A15"/>
    <w:rsid w:val="006160A8"/>
    <w:rsid w:val="00622467"/>
    <w:rsid w:val="0062461A"/>
    <w:rsid w:val="00637F35"/>
    <w:rsid w:val="00640B6B"/>
    <w:rsid w:val="00641997"/>
    <w:rsid w:val="00647F61"/>
    <w:rsid w:val="0065105A"/>
    <w:rsid w:val="0065575B"/>
    <w:rsid w:val="00655E13"/>
    <w:rsid w:val="006562A0"/>
    <w:rsid w:val="006571BD"/>
    <w:rsid w:val="0066278A"/>
    <w:rsid w:val="00670CE8"/>
    <w:rsid w:val="006737F2"/>
    <w:rsid w:val="006764AC"/>
    <w:rsid w:val="00680429"/>
    <w:rsid w:val="00684197"/>
    <w:rsid w:val="00684AC9"/>
    <w:rsid w:val="00691883"/>
    <w:rsid w:val="00691AE0"/>
    <w:rsid w:val="00693D52"/>
    <w:rsid w:val="006942C0"/>
    <w:rsid w:val="006A1D2A"/>
    <w:rsid w:val="006A7E00"/>
    <w:rsid w:val="006B1807"/>
    <w:rsid w:val="006B2ED4"/>
    <w:rsid w:val="006C1341"/>
    <w:rsid w:val="006C4130"/>
    <w:rsid w:val="006C7317"/>
    <w:rsid w:val="006D14E0"/>
    <w:rsid w:val="006D15C4"/>
    <w:rsid w:val="006D2552"/>
    <w:rsid w:val="006D7D19"/>
    <w:rsid w:val="006E2F63"/>
    <w:rsid w:val="007002F5"/>
    <w:rsid w:val="00702F63"/>
    <w:rsid w:val="00707ED9"/>
    <w:rsid w:val="00713737"/>
    <w:rsid w:val="00715CC4"/>
    <w:rsid w:val="00721505"/>
    <w:rsid w:val="0072239D"/>
    <w:rsid w:val="0072388F"/>
    <w:rsid w:val="00724AB3"/>
    <w:rsid w:val="00726597"/>
    <w:rsid w:val="007307DB"/>
    <w:rsid w:val="00731BAB"/>
    <w:rsid w:val="00733C52"/>
    <w:rsid w:val="007441C7"/>
    <w:rsid w:val="007517E4"/>
    <w:rsid w:val="007550BE"/>
    <w:rsid w:val="007577AB"/>
    <w:rsid w:val="00761FDA"/>
    <w:rsid w:val="00765CE2"/>
    <w:rsid w:val="00767A9D"/>
    <w:rsid w:val="007711EA"/>
    <w:rsid w:val="00773F9C"/>
    <w:rsid w:val="00776F77"/>
    <w:rsid w:val="0078454B"/>
    <w:rsid w:val="007870DD"/>
    <w:rsid w:val="00791299"/>
    <w:rsid w:val="007A31A4"/>
    <w:rsid w:val="007A7E22"/>
    <w:rsid w:val="007B0F19"/>
    <w:rsid w:val="007C274F"/>
    <w:rsid w:val="007C63C6"/>
    <w:rsid w:val="007C75F4"/>
    <w:rsid w:val="007E1AA5"/>
    <w:rsid w:val="007E5099"/>
    <w:rsid w:val="007F53C0"/>
    <w:rsid w:val="00801843"/>
    <w:rsid w:val="008020D9"/>
    <w:rsid w:val="00804F9C"/>
    <w:rsid w:val="00814908"/>
    <w:rsid w:val="00815544"/>
    <w:rsid w:val="00817043"/>
    <w:rsid w:val="0082690F"/>
    <w:rsid w:val="008302B3"/>
    <w:rsid w:val="00832EC7"/>
    <w:rsid w:val="00833AD4"/>
    <w:rsid w:val="00833DDB"/>
    <w:rsid w:val="008416DB"/>
    <w:rsid w:val="00846DC6"/>
    <w:rsid w:val="00860AB7"/>
    <w:rsid w:val="008617C7"/>
    <w:rsid w:val="00863B28"/>
    <w:rsid w:val="00864F16"/>
    <w:rsid w:val="0086564C"/>
    <w:rsid w:val="008719F8"/>
    <w:rsid w:val="00872824"/>
    <w:rsid w:val="00874EC2"/>
    <w:rsid w:val="00882EF4"/>
    <w:rsid w:val="008923CF"/>
    <w:rsid w:val="008A1EA5"/>
    <w:rsid w:val="008A2399"/>
    <w:rsid w:val="008A592B"/>
    <w:rsid w:val="008A7C9F"/>
    <w:rsid w:val="008B4E45"/>
    <w:rsid w:val="008B5C0F"/>
    <w:rsid w:val="008B7C7F"/>
    <w:rsid w:val="008C2335"/>
    <w:rsid w:val="008C4449"/>
    <w:rsid w:val="008C5EB4"/>
    <w:rsid w:val="008C75B5"/>
    <w:rsid w:val="008C7BAE"/>
    <w:rsid w:val="008C7DA2"/>
    <w:rsid w:val="008D5A3D"/>
    <w:rsid w:val="008D6B10"/>
    <w:rsid w:val="008D7211"/>
    <w:rsid w:val="008D79C0"/>
    <w:rsid w:val="008E02CA"/>
    <w:rsid w:val="008E4CE4"/>
    <w:rsid w:val="008F11B2"/>
    <w:rsid w:val="008F1AB6"/>
    <w:rsid w:val="008F2769"/>
    <w:rsid w:val="009003A4"/>
    <w:rsid w:val="00904200"/>
    <w:rsid w:val="00904308"/>
    <w:rsid w:val="0090712D"/>
    <w:rsid w:val="0091023C"/>
    <w:rsid w:val="0091388C"/>
    <w:rsid w:val="00917427"/>
    <w:rsid w:val="00920119"/>
    <w:rsid w:val="00921031"/>
    <w:rsid w:val="009218AF"/>
    <w:rsid w:val="00922EA4"/>
    <w:rsid w:val="009414C6"/>
    <w:rsid w:val="009424D1"/>
    <w:rsid w:val="00943B08"/>
    <w:rsid w:val="00950202"/>
    <w:rsid w:val="009626ED"/>
    <w:rsid w:val="00963516"/>
    <w:rsid w:val="00963527"/>
    <w:rsid w:val="00970853"/>
    <w:rsid w:val="00970B25"/>
    <w:rsid w:val="00973C27"/>
    <w:rsid w:val="009838E9"/>
    <w:rsid w:val="0098543E"/>
    <w:rsid w:val="00987738"/>
    <w:rsid w:val="00992F69"/>
    <w:rsid w:val="00993A67"/>
    <w:rsid w:val="009A3592"/>
    <w:rsid w:val="009A51FF"/>
    <w:rsid w:val="009B433F"/>
    <w:rsid w:val="009C6CCB"/>
    <w:rsid w:val="009D1BE8"/>
    <w:rsid w:val="009D3CFE"/>
    <w:rsid w:val="009D4C42"/>
    <w:rsid w:val="009D6752"/>
    <w:rsid w:val="009E26DF"/>
    <w:rsid w:val="009E544E"/>
    <w:rsid w:val="009E74B7"/>
    <w:rsid w:val="009F4CB1"/>
    <w:rsid w:val="00A007E9"/>
    <w:rsid w:val="00A00A75"/>
    <w:rsid w:val="00A01327"/>
    <w:rsid w:val="00A04AF2"/>
    <w:rsid w:val="00A13272"/>
    <w:rsid w:val="00A16F4F"/>
    <w:rsid w:val="00A177C0"/>
    <w:rsid w:val="00A25A1D"/>
    <w:rsid w:val="00A319F3"/>
    <w:rsid w:val="00A45E45"/>
    <w:rsid w:val="00A46F27"/>
    <w:rsid w:val="00A50941"/>
    <w:rsid w:val="00A60A7D"/>
    <w:rsid w:val="00A61555"/>
    <w:rsid w:val="00A64780"/>
    <w:rsid w:val="00A665FA"/>
    <w:rsid w:val="00A66F8A"/>
    <w:rsid w:val="00A70C01"/>
    <w:rsid w:val="00A70DFB"/>
    <w:rsid w:val="00A87B8C"/>
    <w:rsid w:val="00A90967"/>
    <w:rsid w:val="00A938DD"/>
    <w:rsid w:val="00A953AE"/>
    <w:rsid w:val="00A9685F"/>
    <w:rsid w:val="00AA0DE5"/>
    <w:rsid w:val="00AA7012"/>
    <w:rsid w:val="00AA74FE"/>
    <w:rsid w:val="00AC2961"/>
    <w:rsid w:val="00AD0832"/>
    <w:rsid w:val="00AD3F90"/>
    <w:rsid w:val="00AD7591"/>
    <w:rsid w:val="00AE2DAA"/>
    <w:rsid w:val="00AE2F4E"/>
    <w:rsid w:val="00AF220B"/>
    <w:rsid w:val="00AF4343"/>
    <w:rsid w:val="00AF466C"/>
    <w:rsid w:val="00AF52BF"/>
    <w:rsid w:val="00AF7695"/>
    <w:rsid w:val="00B02770"/>
    <w:rsid w:val="00B031A0"/>
    <w:rsid w:val="00B038EF"/>
    <w:rsid w:val="00B06BF7"/>
    <w:rsid w:val="00B079ED"/>
    <w:rsid w:val="00B114FD"/>
    <w:rsid w:val="00B1498B"/>
    <w:rsid w:val="00B157B7"/>
    <w:rsid w:val="00B1600A"/>
    <w:rsid w:val="00B168A0"/>
    <w:rsid w:val="00B17053"/>
    <w:rsid w:val="00B17900"/>
    <w:rsid w:val="00B17BEF"/>
    <w:rsid w:val="00B206D8"/>
    <w:rsid w:val="00B238BC"/>
    <w:rsid w:val="00B40CE9"/>
    <w:rsid w:val="00B441B1"/>
    <w:rsid w:val="00B45145"/>
    <w:rsid w:val="00B4565B"/>
    <w:rsid w:val="00B56089"/>
    <w:rsid w:val="00B76AD1"/>
    <w:rsid w:val="00B81A8B"/>
    <w:rsid w:val="00B825CF"/>
    <w:rsid w:val="00B83C79"/>
    <w:rsid w:val="00B841CA"/>
    <w:rsid w:val="00B849A5"/>
    <w:rsid w:val="00B912BF"/>
    <w:rsid w:val="00B928BD"/>
    <w:rsid w:val="00B929C4"/>
    <w:rsid w:val="00B95BD8"/>
    <w:rsid w:val="00B978A1"/>
    <w:rsid w:val="00BA442A"/>
    <w:rsid w:val="00BB00D2"/>
    <w:rsid w:val="00BB0E1E"/>
    <w:rsid w:val="00BB1150"/>
    <w:rsid w:val="00BC70F0"/>
    <w:rsid w:val="00BD4537"/>
    <w:rsid w:val="00BD61EC"/>
    <w:rsid w:val="00BE579A"/>
    <w:rsid w:val="00BE62BE"/>
    <w:rsid w:val="00C023CB"/>
    <w:rsid w:val="00C07457"/>
    <w:rsid w:val="00C10515"/>
    <w:rsid w:val="00C33197"/>
    <w:rsid w:val="00C34CAF"/>
    <w:rsid w:val="00C3618F"/>
    <w:rsid w:val="00C36A24"/>
    <w:rsid w:val="00C4507D"/>
    <w:rsid w:val="00C46B77"/>
    <w:rsid w:val="00C5341A"/>
    <w:rsid w:val="00C56DF7"/>
    <w:rsid w:val="00C60791"/>
    <w:rsid w:val="00C60F97"/>
    <w:rsid w:val="00C62BF2"/>
    <w:rsid w:val="00C62C90"/>
    <w:rsid w:val="00C770A9"/>
    <w:rsid w:val="00C82EA6"/>
    <w:rsid w:val="00C8439A"/>
    <w:rsid w:val="00C866E2"/>
    <w:rsid w:val="00C9053C"/>
    <w:rsid w:val="00C9211A"/>
    <w:rsid w:val="00C96EFC"/>
    <w:rsid w:val="00CA1C2D"/>
    <w:rsid w:val="00CA548C"/>
    <w:rsid w:val="00CA6434"/>
    <w:rsid w:val="00CA7600"/>
    <w:rsid w:val="00CB07ED"/>
    <w:rsid w:val="00CB3A57"/>
    <w:rsid w:val="00CB42DD"/>
    <w:rsid w:val="00CC7D99"/>
    <w:rsid w:val="00CE01E3"/>
    <w:rsid w:val="00CE1FF2"/>
    <w:rsid w:val="00CF0AEC"/>
    <w:rsid w:val="00D0556B"/>
    <w:rsid w:val="00D059AA"/>
    <w:rsid w:val="00D0797D"/>
    <w:rsid w:val="00D1427B"/>
    <w:rsid w:val="00D14C39"/>
    <w:rsid w:val="00D15AB1"/>
    <w:rsid w:val="00D21B28"/>
    <w:rsid w:val="00D25225"/>
    <w:rsid w:val="00D274CA"/>
    <w:rsid w:val="00D33620"/>
    <w:rsid w:val="00D33F64"/>
    <w:rsid w:val="00D345F3"/>
    <w:rsid w:val="00D34ED0"/>
    <w:rsid w:val="00D40BA9"/>
    <w:rsid w:val="00D45BF9"/>
    <w:rsid w:val="00D47381"/>
    <w:rsid w:val="00D560CC"/>
    <w:rsid w:val="00D61E14"/>
    <w:rsid w:val="00D74256"/>
    <w:rsid w:val="00D75059"/>
    <w:rsid w:val="00D82E7F"/>
    <w:rsid w:val="00D854FA"/>
    <w:rsid w:val="00D90008"/>
    <w:rsid w:val="00D928B1"/>
    <w:rsid w:val="00DA4C14"/>
    <w:rsid w:val="00DA6765"/>
    <w:rsid w:val="00DB33F5"/>
    <w:rsid w:val="00DB66BA"/>
    <w:rsid w:val="00DB6C50"/>
    <w:rsid w:val="00DB7202"/>
    <w:rsid w:val="00DB7CB8"/>
    <w:rsid w:val="00DD18F9"/>
    <w:rsid w:val="00DD29CF"/>
    <w:rsid w:val="00DD3B61"/>
    <w:rsid w:val="00DE1222"/>
    <w:rsid w:val="00DE6656"/>
    <w:rsid w:val="00E0472E"/>
    <w:rsid w:val="00E0506E"/>
    <w:rsid w:val="00E05092"/>
    <w:rsid w:val="00E127C3"/>
    <w:rsid w:val="00E14797"/>
    <w:rsid w:val="00E22EB3"/>
    <w:rsid w:val="00E2606E"/>
    <w:rsid w:val="00E3097A"/>
    <w:rsid w:val="00E31956"/>
    <w:rsid w:val="00E35563"/>
    <w:rsid w:val="00E35C9D"/>
    <w:rsid w:val="00E4352F"/>
    <w:rsid w:val="00E466C2"/>
    <w:rsid w:val="00E466F1"/>
    <w:rsid w:val="00E51E05"/>
    <w:rsid w:val="00E63A93"/>
    <w:rsid w:val="00E64BF5"/>
    <w:rsid w:val="00E67334"/>
    <w:rsid w:val="00E7683A"/>
    <w:rsid w:val="00E833DC"/>
    <w:rsid w:val="00EA088E"/>
    <w:rsid w:val="00EA2B9D"/>
    <w:rsid w:val="00EA336E"/>
    <w:rsid w:val="00EA47B0"/>
    <w:rsid w:val="00EA6D01"/>
    <w:rsid w:val="00EC546D"/>
    <w:rsid w:val="00EF0DD1"/>
    <w:rsid w:val="00EF31AF"/>
    <w:rsid w:val="00F01E1B"/>
    <w:rsid w:val="00F032A1"/>
    <w:rsid w:val="00F067D7"/>
    <w:rsid w:val="00F12B1E"/>
    <w:rsid w:val="00F152A5"/>
    <w:rsid w:val="00F15A19"/>
    <w:rsid w:val="00F17E35"/>
    <w:rsid w:val="00F22592"/>
    <w:rsid w:val="00F41208"/>
    <w:rsid w:val="00F42A86"/>
    <w:rsid w:val="00F50A5E"/>
    <w:rsid w:val="00F52D8B"/>
    <w:rsid w:val="00F6147D"/>
    <w:rsid w:val="00F65FF6"/>
    <w:rsid w:val="00F667EC"/>
    <w:rsid w:val="00F775D2"/>
    <w:rsid w:val="00F90C8F"/>
    <w:rsid w:val="00F91D8F"/>
    <w:rsid w:val="00F926AE"/>
    <w:rsid w:val="00F930A7"/>
    <w:rsid w:val="00F96113"/>
    <w:rsid w:val="00FA08DB"/>
    <w:rsid w:val="00FA5942"/>
    <w:rsid w:val="00FB2176"/>
    <w:rsid w:val="00FB4123"/>
    <w:rsid w:val="00FB6E45"/>
    <w:rsid w:val="00FC2B38"/>
    <w:rsid w:val="00FC42D7"/>
    <w:rsid w:val="00FC7F3C"/>
    <w:rsid w:val="00FE0B29"/>
    <w:rsid w:val="00FE25CB"/>
    <w:rsid w:val="00FF4E05"/>
    <w:rsid w:val="00FF7CD1"/>
    <w:rsid w:val="01111E3C"/>
    <w:rsid w:val="01981D96"/>
    <w:rsid w:val="01FC1DF1"/>
    <w:rsid w:val="020D5A67"/>
    <w:rsid w:val="02BE0466"/>
    <w:rsid w:val="02E21879"/>
    <w:rsid w:val="03664F47"/>
    <w:rsid w:val="03785F9B"/>
    <w:rsid w:val="04E91027"/>
    <w:rsid w:val="05E91BB0"/>
    <w:rsid w:val="063B3296"/>
    <w:rsid w:val="068E7B23"/>
    <w:rsid w:val="06A3041F"/>
    <w:rsid w:val="06F84F0D"/>
    <w:rsid w:val="071D5244"/>
    <w:rsid w:val="072E1D10"/>
    <w:rsid w:val="075C1AB8"/>
    <w:rsid w:val="08233FA5"/>
    <w:rsid w:val="09496375"/>
    <w:rsid w:val="09515177"/>
    <w:rsid w:val="09945539"/>
    <w:rsid w:val="09C000DC"/>
    <w:rsid w:val="09D50F2E"/>
    <w:rsid w:val="09D87191"/>
    <w:rsid w:val="0A1E551D"/>
    <w:rsid w:val="0A7E5C43"/>
    <w:rsid w:val="0B745622"/>
    <w:rsid w:val="0C751045"/>
    <w:rsid w:val="0D237F01"/>
    <w:rsid w:val="0E695EC2"/>
    <w:rsid w:val="0E850184"/>
    <w:rsid w:val="0EA43E42"/>
    <w:rsid w:val="0EC208E6"/>
    <w:rsid w:val="0F2729AB"/>
    <w:rsid w:val="0F345D26"/>
    <w:rsid w:val="0F837ED8"/>
    <w:rsid w:val="0FD54ADA"/>
    <w:rsid w:val="10522ED6"/>
    <w:rsid w:val="10526896"/>
    <w:rsid w:val="10F220CE"/>
    <w:rsid w:val="11673C95"/>
    <w:rsid w:val="1181232E"/>
    <w:rsid w:val="11B304FD"/>
    <w:rsid w:val="11CF7E49"/>
    <w:rsid w:val="11D778D0"/>
    <w:rsid w:val="1231237F"/>
    <w:rsid w:val="123A47A4"/>
    <w:rsid w:val="12E9710D"/>
    <w:rsid w:val="13174AE5"/>
    <w:rsid w:val="132D45C4"/>
    <w:rsid w:val="13913395"/>
    <w:rsid w:val="13CD0607"/>
    <w:rsid w:val="13EA4290"/>
    <w:rsid w:val="14357E46"/>
    <w:rsid w:val="146832F9"/>
    <w:rsid w:val="146F77CA"/>
    <w:rsid w:val="15392B59"/>
    <w:rsid w:val="15C2399E"/>
    <w:rsid w:val="15C81239"/>
    <w:rsid w:val="160F7580"/>
    <w:rsid w:val="1615442F"/>
    <w:rsid w:val="170358E5"/>
    <w:rsid w:val="17370D07"/>
    <w:rsid w:val="17487963"/>
    <w:rsid w:val="177748DD"/>
    <w:rsid w:val="17D64F6F"/>
    <w:rsid w:val="18194020"/>
    <w:rsid w:val="194859F8"/>
    <w:rsid w:val="19550108"/>
    <w:rsid w:val="19D060DE"/>
    <w:rsid w:val="1A7840BB"/>
    <w:rsid w:val="1A805517"/>
    <w:rsid w:val="1B3B21F7"/>
    <w:rsid w:val="1B7A3E63"/>
    <w:rsid w:val="1B9238A2"/>
    <w:rsid w:val="1B991F60"/>
    <w:rsid w:val="1BC3591D"/>
    <w:rsid w:val="1BD90771"/>
    <w:rsid w:val="1BE96082"/>
    <w:rsid w:val="1C095F13"/>
    <w:rsid w:val="1C215A59"/>
    <w:rsid w:val="1C4D6056"/>
    <w:rsid w:val="1C6B273C"/>
    <w:rsid w:val="1C731508"/>
    <w:rsid w:val="1D66725D"/>
    <w:rsid w:val="1D9D6B4C"/>
    <w:rsid w:val="1DD45AAC"/>
    <w:rsid w:val="1DD8524D"/>
    <w:rsid w:val="1E041EDF"/>
    <w:rsid w:val="1ECD4970"/>
    <w:rsid w:val="206309C4"/>
    <w:rsid w:val="206E065A"/>
    <w:rsid w:val="21377863"/>
    <w:rsid w:val="21665793"/>
    <w:rsid w:val="218845F3"/>
    <w:rsid w:val="23D6290D"/>
    <w:rsid w:val="24D11A91"/>
    <w:rsid w:val="250D06E9"/>
    <w:rsid w:val="2551032A"/>
    <w:rsid w:val="258B4A78"/>
    <w:rsid w:val="25BF1CF6"/>
    <w:rsid w:val="25EB6A57"/>
    <w:rsid w:val="26177FE1"/>
    <w:rsid w:val="261A3D91"/>
    <w:rsid w:val="26906807"/>
    <w:rsid w:val="26BA3DE6"/>
    <w:rsid w:val="278542BB"/>
    <w:rsid w:val="28A206E0"/>
    <w:rsid w:val="29C72A75"/>
    <w:rsid w:val="29FB62B0"/>
    <w:rsid w:val="2A0B4F4C"/>
    <w:rsid w:val="2A1B4FBC"/>
    <w:rsid w:val="2B051220"/>
    <w:rsid w:val="2BC41CDE"/>
    <w:rsid w:val="2C5001EB"/>
    <w:rsid w:val="2C516DBC"/>
    <w:rsid w:val="2C771D6E"/>
    <w:rsid w:val="2CD23AFF"/>
    <w:rsid w:val="2DB20AEB"/>
    <w:rsid w:val="2E930B5B"/>
    <w:rsid w:val="2ECB6A58"/>
    <w:rsid w:val="2EDC604A"/>
    <w:rsid w:val="2EF3738B"/>
    <w:rsid w:val="2F1202AE"/>
    <w:rsid w:val="2F804D60"/>
    <w:rsid w:val="2FC230C2"/>
    <w:rsid w:val="2FCA37A2"/>
    <w:rsid w:val="2FD7142C"/>
    <w:rsid w:val="301974BB"/>
    <w:rsid w:val="318F6462"/>
    <w:rsid w:val="32063D1D"/>
    <w:rsid w:val="322E0888"/>
    <w:rsid w:val="3330731C"/>
    <w:rsid w:val="33E40F52"/>
    <w:rsid w:val="33F87C3F"/>
    <w:rsid w:val="33FA56FE"/>
    <w:rsid w:val="34265F25"/>
    <w:rsid w:val="343F0CBE"/>
    <w:rsid w:val="347A4DBB"/>
    <w:rsid w:val="34A57D4B"/>
    <w:rsid w:val="34E369F8"/>
    <w:rsid w:val="34E63ED8"/>
    <w:rsid w:val="35452190"/>
    <w:rsid w:val="35BF159A"/>
    <w:rsid w:val="360F1920"/>
    <w:rsid w:val="364E6E85"/>
    <w:rsid w:val="3660217B"/>
    <w:rsid w:val="36672A52"/>
    <w:rsid w:val="36A05DF3"/>
    <w:rsid w:val="36E60A1B"/>
    <w:rsid w:val="37073648"/>
    <w:rsid w:val="379E4FF4"/>
    <w:rsid w:val="38103A49"/>
    <w:rsid w:val="38315103"/>
    <w:rsid w:val="38DF178C"/>
    <w:rsid w:val="398E524B"/>
    <w:rsid w:val="399F0C48"/>
    <w:rsid w:val="3A7A1A2B"/>
    <w:rsid w:val="3B233F4D"/>
    <w:rsid w:val="3B590826"/>
    <w:rsid w:val="3BA07C57"/>
    <w:rsid w:val="3D115212"/>
    <w:rsid w:val="3D559F8D"/>
    <w:rsid w:val="3E985BD3"/>
    <w:rsid w:val="3EF43A9B"/>
    <w:rsid w:val="3EFC7B40"/>
    <w:rsid w:val="3F3B6B46"/>
    <w:rsid w:val="3FBB48C6"/>
    <w:rsid w:val="3FCF05DD"/>
    <w:rsid w:val="3FE038B8"/>
    <w:rsid w:val="3FE41D08"/>
    <w:rsid w:val="3FEE6BFE"/>
    <w:rsid w:val="424122DA"/>
    <w:rsid w:val="426A4A86"/>
    <w:rsid w:val="42B0448A"/>
    <w:rsid w:val="42E6709F"/>
    <w:rsid w:val="43206AAB"/>
    <w:rsid w:val="43941A1A"/>
    <w:rsid w:val="43B8065E"/>
    <w:rsid w:val="446A2CF6"/>
    <w:rsid w:val="447C7BE2"/>
    <w:rsid w:val="4494333F"/>
    <w:rsid w:val="44F05012"/>
    <w:rsid w:val="451347F3"/>
    <w:rsid w:val="46692963"/>
    <w:rsid w:val="467965FB"/>
    <w:rsid w:val="46A75BA4"/>
    <w:rsid w:val="46DF70EC"/>
    <w:rsid w:val="479E7FE4"/>
    <w:rsid w:val="481A56AD"/>
    <w:rsid w:val="48545A40"/>
    <w:rsid w:val="48FA645F"/>
    <w:rsid w:val="495B760C"/>
    <w:rsid w:val="49911A48"/>
    <w:rsid w:val="49BE6EA6"/>
    <w:rsid w:val="4A3459A1"/>
    <w:rsid w:val="4ACE5A5A"/>
    <w:rsid w:val="4AD155A4"/>
    <w:rsid w:val="4AE87980"/>
    <w:rsid w:val="4AF33CC3"/>
    <w:rsid w:val="4B4C4BA8"/>
    <w:rsid w:val="4B5420E6"/>
    <w:rsid w:val="4BA223E0"/>
    <w:rsid w:val="4BC4694F"/>
    <w:rsid w:val="4C4E209D"/>
    <w:rsid w:val="4C7E3069"/>
    <w:rsid w:val="4CAF3A8E"/>
    <w:rsid w:val="4CFF2AA5"/>
    <w:rsid w:val="4D680D9C"/>
    <w:rsid w:val="4D783A7E"/>
    <w:rsid w:val="4DA62712"/>
    <w:rsid w:val="4DA70238"/>
    <w:rsid w:val="4DE72CA3"/>
    <w:rsid w:val="4E047333"/>
    <w:rsid w:val="4E222E26"/>
    <w:rsid w:val="4E754349"/>
    <w:rsid w:val="4F253A89"/>
    <w:rsid w:val="4FDC3254"/>
    <w:rsid w:val="504D3319"/>
    <w:rsid w:val="508D6ECE"/>
    <w:rsid w:val="50B577B6"/>
    <w:rsid w:val="50C302C0"/>
    <w:rsid w:val="5133250E"/>
    <w:rsid w:val="523D39D3"/>
    <w:rsid w:val="52D21D13"/>
    <w:rsid w:val="531609B9"/>
    <w:rsid w:val="53746BFD"/>
    <w:rsid w:val="5380624C"/>
    <w:rsid w:val="54DC140F"/>
    <w:rsid w:val="54FA1B25"/>
    <w:rsid w:val="55080660"/>
    <w:rsid w:val="55210D67"/>
    <w:rsid w:val="554724E4"/>
    <w:rsid w:val="55936CD6"/>
    <w:rsid w:val="55B60FA6"/>
    <w:rsid w:val="55DB1545"/>
    <w:rsid w:val="56406ED6"/>
    <w:rsid w:val="57CD43E4"/>
    <w:rsid w:val="58B23D20"/>
    <w:rsid w:val="58F04409"/>
    <w:rsid w:val="592E5C7E"/>
    <w:rsid w:val="59705BAE"/>
    <w:rsid w:val="59725B9E"/>
    <w:rsid w:val="59733598"/>
    <w:rsid w:val="59F11D09"/>
    <w:rsid w:val="5A3F54C6"/>
    <w:rsid w:val="5AAE1450"/>
    <w:rsid w:val="5AC47178"/>
    <w:rsid w:val="5B187A6A"/>
    <w:rsid w:val="5B9A33D5"/>
    <w:rsid w:val="5BBB382C"/>
    <w:rsid w:val="5CB729B4"/>
    <w:rsid w:val="5CD2613E"/>
    <w:rsid w:val="5D320DA7"/>
    <w:rsid w:val="5D49149F"/>
    <w:rsid w:val="5D583A16"/>
    <w:rsid w:val="5E800F9A"/>
    <w:rsid w:val="5E82108D"/>
    <w:rsid w:val="5ECE5DA8"/>
    <w:rsid w:val="5EFA82BB"/>
    <w:rsid w:val="5F3B6E50"/>
    <w:rsid w:val="5F6B37BB"/>
    <w:rsid w:val="5FB817E0"/>
    <w:rsid w:val="5FDD3806"/>
    <w:rsid w:val="5FF234CC"/>
    <w:rsid w:val="600B28A8"/>
    <w:rsid w:val="60150B9A"/>
    <w:rsid w:val="61045C75"/>
    <w:rsid w:val="615844FD"/>
    <w:rsid w:val="61D41BE3"/>
    <w:rsid w:val="621A6DD3"/>
    <w:rsid w:val="622158D4"/>
    <w:rsid w:val="62AC0785"/>
    <w:rsid w:val="63365E8E"/>
    <w:rsid w:val="637565D4"/>
    <w:rsid w:val="63B12A55"/>
    <w:rsid w:val="6468396A"/>
    <w:rsid w:val="647F4D8D"/>
    <w:rsid w:val="65322E75"/>
    <w:rsid w:val="65626912"/>
    <w:rsid w:val="65D263AD"/>
    <w:rsid w:val="65DA7590"/>
    <w:rsid w:val="6630477D"/>
    <w:rsid w:val="66361F0F"/>
    <w:rsid w:val="663C58C7"/>
    <w:rsid w:val="66B772E6"/>
    <w:rsid w:val="67AE51D8"/>
    <w:rsid w:val="68014CBD"/>
    <w:rsid w:val="680337BF"/>
    <w:rsid w:val="68E400A5"/>
    <w:rsid w:val="68F677E9"/>
    <w:rsid w:val="690C2DBD"/>
    <w:rsid w:val="69166F99"/>
    <w:rsid w:val="69456E9D"/>
    <w:rsid w:val="694A16A0"/>
    <w:rsid w:val="6952552C"/>
    <w:rsid w:val="69782E08"/>
    <w:rsid w:val="6A464C09"/>
    <w:rsid w:val="6B214CB2"/>
    <w:rsid w:val="6B66792B"/>
    <w:rsid w:val="6B7C5895"/>
    <w:rsid w:val="6BAC6FC5"/>
    <w:rsid w:val="6BFB6192"/>
    <w:rsid w:val="6BFE1DDF"/>
    <w:rsid w:val="6C0F695E"/>
    <w:rsid w:val="6C184383"/>
    <w:rsid w:val="6C332A1C"/>
    <w:rsid w:val="6C5B6398"/>
    <w:rsid w:val="6CB1691E"/>
    <w:rsid w:val="6CF04B9A"/>
    <w:rsid w:val="6D1F4C30"/>
    <w:rsid w:val="6D341690"/>
    <w:rsid w:val="6D4F64CA"/>
    <w:rsid w:val="6DE210EC"/>
    <w:rsid w:val="6E3B479B"/>
    <w:rsid w:val="6E647AFF"/>
    <w:rsid w:val="6F49311A"/>
    <w:rsid w:val="6F4F549B"/>
    <w:rsid w:val="6F55769C"/>
    <w:rsid w:val="6FB51B87"/>
    <w:rsid w:val="70CB5E68"/>
    <w:rsid w:val="7121365B"/>
    <w:rsid w:val="712B2DAA"/>
    <w:rsid w:val="71A62431"/>
    <w:rsid w:val="71A7216A"/>
    <w:rsid w:val="71AB0C44"/>
    <w:rsid w:val="71C8684B"/>
    <w:rsid w:val="720A65F5"/>
    <w:rsid w:val="722241AD"/>
    <w:rsid w:val="72531F1A"/>
    <w:rsid w:val="727C634F"/>
    <w:rsid w:val="72B52657"/>
    <w:rsid w:val="72DA0709"/>
    <w:rsid w:val="734F5B66"/>
    <w:rsid w:val="735B6F21"/>
    <w:rsid w:val="73777413"/>
    <w:rsid w:val="73822049"/>
    <w:rsid w:val="73934E91"/>
    <w:rsid w:val="739C786E"/>
    <w:rsid w:val="73B250BD"/>
    <w:rsid w:val="740C1303"/>
    <w:rsid w:val="74603567"/>
    <w:rsid w:val="750110F0"/>
    <w:rsid w:val="75630B78"/>
    <w:rsid w:val="7563305D"/>
    <w:rsid w:val="756A381F"/>
    <w:rsid w:val="75A86778"/>
    <w:rsid w:val="75DC1208"/>
    <w:rsid w:val="76193FBE"/>
    <w:rsid w:val="762A3A1E"/>
    <w:rsid w:val="76CA6401"/>
    <w:rsid w:val="77B13F0A"/>
    <w:rsid w:val="7808671B"/>
    <w:rsid w:val="792C6E7D"/>
    <w:rsid w:val="7933288A"/>
    <w:rsid w:val="79336ABC"/>
    <w:rsid w:val="79AB4DB8"/>
    <w:rsid w:val="7A696F4C"/>
    <w:rsid w:val="7AC866DA"/>
    <w:rsid w:val="7B167881"/>
    <w:rsid w:val="7B224BF2"/>
    <w:rsid w:val="7B7E2B4A"/>
    <w:rsid w:val="7C357264"/>
    <w:rsid w:val="7CE215B7"/>
    <w:rsid w:val="7D223C89"/>
    <w:rsid w:val="7D7A30EF"/>
    <w:rsid w:val="7D8E3EDB"/>
    <w:rsid w:val="7E494870"/>
    <w:rsid w:val="7EE05C4C"/>
    <w:rsid w:val="7EE60D98"/>
    <w:rsid w:val="7F1F10D8"/>
    <w:rsid w:val="7F6A2CF0"/>
    <w:rsid w:val="7FAE7080"/>
    <w:rsid w:val="9DFB63C4"/>
    <w:rsid w:val="D28B7D40"/>
    <w:rsid w:val="D7FF71F8"/>
    <w:rsid w:val="F3DF7072"/>
    <w:rsid w:val="FFFFDB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48" w:lineRule="auto"/>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keepLines/>
      <w:numPr>
        <w:ilvl w:val="0"/>
        <w:numId w:val="1"/>
      </w:numPr>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3">
    <w:name w:val="heading 2"/>
    <w:basedOn w:val="1"/>
    <w:next w:val="1"/>
    <w:autoRedefine/>
    <w:qFormat/>
    <w:uiPriority w:val="9"/>
    <w:pPr>
      <w:keepNext/>
      <w:keepLines/>
      <w:numPr>
        <w:ilvl w:val="1"/>
        <w:numId w:val="1"/>
      </w:numPr>
      <w:spacing w:before="260" w:after="260" w:line="413" w:lineRule="auto"/>
      <w:outlineLvl w:val="1"/>
    </w:pPr>
    <w:rPr>
      <w:rFonts w:ascii="Arial" w:hAnsi="Arial" w:eastAsia="黑体"/>
      <w:b/>
      <w:bCs/>
      <w:sz w:val="32"/>
      <w:szCs w:val="32"/>
    </w:rPr>
  </w:style>
  <w:style w:type="paragraph" w:styleId="4">
    <w:name w:val="heading 3"/>
    <w:basedOn w:val="1"/>
    <w:next w:val="1"/>
    <w:link w:val="68"/>
    <w:autoRedefine/>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46"/>
    <w:autoRedefine/>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54"/>
    <w:autoRedefine/>
    <w:qFormat/>
    <w:uiPriority w:val="0"/>
    <w:pPr>
      <w:keepNext/>
      <w:keepLines/>
      <w:numPr>
        <w:ilvl w:val="4"/>
        <w:numId w:val="1"/>
      </w:numPr>
      <w:spacing w:before="280" w:after="290" w:line="360" w:lineRule="auto"/>
      <w:jc w:val="left"/>
      <w:outlineLvl w:val="4"/>
    </w:pPr>
    <w:rPr>
      <w:b/>
      <w:bCs/>
      <w:kern w:val="0"/>
      <w:sz w:val="24"/>
      <w:szCs w:val="28"/>
    </w:rPr>
  </w:style>
  <w:style w:type="paragraph" w:styleId="7">
    <w:name w:val="heading 6"/>
    <w:basedOn w:val="1"/>
    <w:next w:val="1"/>
    <w:link w:val="55"/>
    <w:autoRedefine/>
    <w:qFormat/>
    <w:uiPriority w:val="0"/>
    <w:pPr>
      <w:keepNext/>
      <w:keepLines/>
      <w:spacing w:before="240" w:after="64" w:line="320" w:lineRule="auto"/>
      <w:outlineLvl w:val="5"/>
    </w:pPr>
    <w:rPr>
      <w:rFonts w:ascii="Cambria" w:hAnsi="Cambria"/>
      <w:b/>
      <w:bCs/>
      <w:sz w:val="2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8">
    <w:name w:val="List Number"/>
    <w:basedOn w:val="1"/>
    <w:autoRedefine/>
    <w:qFormat/>
    <w:uiPriority w:val="0"/>
    <w:pPr>
      <w:widowControl/>
      <w:numPr>
        <w:ilvl w:val="0"/>
        <w:numId w:val="2"/>
      </w:numPr>
      <w:tabs>
        <w:tab w:val="clear" w:pos="980"/>
      </w:tabs>
      <w:spacing w:afterLines="50"/>
      <w:ind w:left="454" w:hanging="284"/>
      <w:jc w:val="left"/>
    </w:pPr>
    <w:rPr>
      <w:kern w:val="0"/>
      <w:sz w:val="24"/>
      <w:szCs w:val="20"/>
    </w:rPr>
  </w:style>
  <w:style w:type="paragraph" w:styleId="9">
    <w:name w:val="Normal Indent"/>
    <w:basedOn w:val="1"/>
    <w:link w:val="44"/>
    <w:autoRedefine/>
    <w:qFormat/>
    <w:uiPriority w:val="99"/>
    <w:pPr>
      <w:ind w:firstLine="420" w:firstLineChars="200"/>
    </w:p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List Bullet"/>
    <w:basedOn w:val="1"/>
    <w:autoRedefine/>
    <w:unhideWhenUsed/>
    <w:qFormat/>
    <w:uiPriority w:val="99"/>
    <w:pPr>
      <w:widowControl/>
      <w:numPr>
        <w:ilvl w:val="0"/>
        <w:numId w:val="3"/>
      </w:numPr>
      <w:spacing w:before="40" w:after="40" w:line="288" w:lineRule="auto"/>
      <w:ind w:left="2545" w:hanging="425"/>
      <w:jc w:val="left"/>
    </w:pPr>
    <w:rPr>
      <w:color w:val="595959"/>
      <w:kern w:val="20"/>
      <w:sz w:val="20"/>
      <w:szCs w:val="20"/>
      <w:lang w:val="zh-CN"/>
    </w:rPr>
  </w:style>
  <w:style w:type="paragraph" w:styleId="12">
    <w:name w:val="Document Map"/>
    <w:basedOn w:val="1"/>
    <w:autoRedefine/>
    <w:qFormat/>
    <w:uiPriority w:val="0"/>
    <w:pPr>
      <w:shd w:val="clear" w:color="auto" w:fill="000080"/>
    </w:pPr>
  </w:style>
  <w:style w:type="paragraph" w:styleId="13">
    <w:name w:val="annotation text"/>
    <w:basedOn w:val="1"/>
    <w:link w:val="66"/>
    <w:autoRedefine/>
    <w:qFormat/>
    <w:uiPriority w:val="0"/>
    <w:pPr>
      <w:spacing w:line="240" w:lineRule="auto"/>
      <w:jc w:val="left"/>
    </w:pPr>
    <w:rPr>
      <w:szCs w:val="22"/>
    </w:rPr>
  </w:style>
  <w:style w:type="paragraph" w:styleId="14">
    <w:name w:val="Body Text 3"/>
    <w:basedOn w:val="1"/>
    <w:autoRedefine/>
    <w:qFormat/>
    <w:uiPriority w:val="0"/>
    <w:pPr>
      <w:spacing w:after="120"/>
    </w:pPr>
    <w:rPr>
      <w:sz w:val="16"/>
      <w:szCs w:val="16"/>
    </w:rPr>
  </w:style>
  <w:style w:type="paragraph" w:styleId="15">
    <w:name w:val="Body Text"/>
    <w:basedOn w:val="1"/>
    <w:next w:val="1"/>
    <w:autoRedefine/>
    <w:qFormat/>
    <w:uiPriority w:val="0"/>
    <w:pPr>
      <w:spacing w:after="120"/>
    </w:pPr>
  </w:style>
  <w:style w:type="paragraph" w:styleId="16">
    <w:name w:val="Body Text Indent"/>
    <w:basedOn w:val="1"/>
    <w:link w:val="53"/>
    <w:autoRedefine/>
    <w:qFormat/>
    <w:uiPriority w:val="0"/>
    <w:pPr>
      <w:spacing w:after="120"/>
      <w:ind w:left="420" w:leftChars="200"/>
    </w:pPr>
  </w:style>
  <w:style w:type="paragraph" w:styleId="17">
    <w:name w:val="List 2"/>
    <w:basedOn w:val="1"/>
    <w:autoRedefine/>
    <w:qFormat/>
    <w:uiPriority w:val="0"/>
    <w:pPr>
      <w:ind w:left="100" w:leftChars="200" w:hanging="200" w:hangingChars="200"/>
    </w:pPr>
  </w:style>
  <w:style w:type="paragraph" w:styleId="18">
    <w:name w:val="Plain Text"/>
    <w:basedOn w:val="1"/>
    <w:link w:val="56"/>
    <w:autoRedefine/>
    <w:qFormat/>
    <w:uiPriority w:val="0"/>
    <w:rPr>
      <w:rFonts w:ascii="宋体" w:hAnsi="Courier New"/>
      <w:szCs w:val="20"/>
    </w:rPr>
  </w:style>
  <w:style w:type="paragraph" w:styleId="19">
    <w:name w:val="Date"/>
    <w:basedOn w:val="1"/>
    <w:next w:val="1"/>
    <w:autoRedefine/>
    <w:qFormat/>
    <w:uiPriority w:val="0"/>
    <w:pPr>
      <w:ind w:left="100"/>
    </w:pPr>
    <w:rPr>
      <w:sz w:val="28"/>
      <w:szCs w:val="20"/>
    </w:rPr>
  </w:style>
  <w:style w:type="paragraph" w:styleId="20">
    <w:name w:val="Body Text Indent 2"/>
    <w:basedOn w:val="1"/>
    <w:unhideWhenUsed/>
    <w:qFormat/>
    <w:uiPriority w:val="0"/>
    <w:pPr>
      <w:spacing w:after="120" w:line="480" w:lineRule="auto"/>
      <w:ind w:left="420" w:leftChars="200"/>
    </w:pPr>
  </w:style>
  <w:style w:type="paragraph" w:styleId="21">
    <w:name w:val="Balloon Text"/>
    <w:basedOn w:val="1"/>
    <w:link w:val="43"/>
    <w:autoRedefine/>
    <w:qFormat/>
    <w:uiPriority w:val="99"/>
    <w:rPr>
      <w:sz w:val="18"/>
      <w:szCs w:val="18"/>
    </w:rPr>
  </w:style>
  <w:style w:type="paragraph" w:styleId="22">
    <w:name w:val="footer"/>
    <w:basedOn w:val="1"/>
    <w:link w:val="67"/>
    <w:autoRedefine/>
    <w:qFormat/>
    <w:uiPriority w:val="99"/>
    <w:pPr>
      <w:tabs>
        <w:tab w:val="center" w:pos="4153"/>
        <w:tab w:val="right" w:pos="8306"/>
      </w:tabs>
      <w:snapToGrid w:val="0"/>
      <w:jc w:val="left"/>
    </w:pPr>
    <w:rPr>
      <w:sz w:val="18"/>
      <w:szCs w:val="18"/>
    </w:rPr>
  </w:style>
  <w:style w:type="paragraph" w:styleId="23">
    <w:name w:val="header"/>
    <w:basedOn w:val="1"/>
    <w:link w:val="180"/>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tabs>
        <w:tab w:val="left" w:pos="0"/>
        <w:tab w:val="right" w:leader="dot" w:pos="8280"/>
      </w:tabs>
      <w:adjustRightInd w:val="0"/>
      <w:snapToGrid w:val="0"/>
      <w:spacing w:beforeLines="50" w:afterLines="50" w:line="440" w:lineRule="exact"/>
      <w:ind w:firstLine="100" w:firstLineChars="100"/>
    </w:pPr>
    <w:rPr>
      <w:rFonts w:ascii="Times New Roman" w:hAnsi="Times New Roman"/>
    </w:rPr>
  </w:style>
  <w:style w:type="paragraph" w:styleId="25">
    <w:name w:val="List"/>
    <w:basedOn w:val="1"/>
    <w:autoRedefine/>
    <w:qFormat/>
    <w:uiPriority w:val="0"/>
    <w:pPr>
      <w:ind w:left="200" w:hanging="200" w:hangingChars="200"/>
    </w:pPr>
    <w:rPr>
      <w:sz w:val="28"/>
    </w:rPr>
  </w:style>
  <w:style w:type="paragraph" w:styleId="26">
    <w:name w:val="Body Text Indent 3"/>
    <w:basedOn w:val="1"/>
    <w:link w:val="45"/>
    <w:autoRedefine/>
    <w:qFormat/>
    <w:uiPriority w:val="0"/>
    <w:pPr>
      <w:spacing w:after="120"/>
      <w:ind w:left="420" w:leftChars="200"/>
    </w:pPr>
    <w:rPr>
      <w:sz w:val="16"/>
      <w:szCs w:val="16"/>
    </w:rPr>
  </w:style>
  <w:style w:type="paragraph" w:styleId="27">
    <w:name w:val="Body Text 2"/>
    <w:basedOn w:val="1"/>
    <w:autoRedefine/>
    <w:qFormat/>
    <w:uiPriority w:val="0"/>
    <w:pPr>
      <w:spacing w:after="120" w:line="480" w:lineRule="auto"/>
    </w:pPr>
  </w:style>
  <w:style w:type="paragraph" w:styleId="2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next w:val="1"/>
    <w:link w:val="168"/>
    <w:autoRedefine/>
    <w:qFormat/>
    <w:uiPriority w:val="0"/>
    <w:pPr>
      <w:keepNext/>
      <w:keepLines/>
      <w:widowControl/>
      <w:tabs>
        <w:tab w:val="center" w:pos="540"/>
      </w:tabs>
      <w:spacing w:line="360" w:lineRule="auto"/>
      <w:outlineLvl w:val="0"/>
    </w:pPr>
    <w:rPr>
      <w:rFonts w:ascii="Arial" w:hAnsi="Arial" w:cs="Arial"/>
      <w:b/>
      <w:bCs/>
      <w:sz w:val="28"/>
      <w:szCs w:val="32"/>
    </w:rPr>
  </w:style>
  <w:style w:type="paragraph" w:styleId="30">
    <w:name w:val="annotation subject"/>
    <w:basedOn w:val="13"/>
    <w:next w:val="13"/>
    <w:link w:val="76"/>
    <w:autoRedefine/>
    <w:qFormat/>
    <w:uiPriority w:val="0"/>
    <w:pPr>
      <w:spacing w:line="348" w:lineRule="auto"/>
    </w:pPr>
    <w:rPr>
      <w:b/>
      <w:bCs/>
      <w:szCs w:val="24"/>
    </w:rPr>
  </w:style>
  <w:style w:type="paragraph" w:styleId="31">
    <w:name w:val="Body Text First Indent"/>
    <w:basedOn w:val="15"/>
    <w:next w:val="1"/>
    <w:autoRedefine/>
    <w:qFormat/>
    <w:uiPriority w:val="0"/>
    <w:pPr>
      <w:ind w:firstLine="420" w:firstLineChars="100"/>
    </w:pPr>
  </w:style>
  <w:style w:type="paragraph" w:styleId="32">
    <w:name w:val="Body Text First Indent 2"/>
    <w:basedOn w:val="16"/>
    <w:next w:val="1"/>
    <w:link w:val="173"/>
    <w:autoRedefine/>
    <w:unhideWhenUsed/>
    <w:qFormat/>
    <w:uiPriority w:val="99"/>
    <w:pPr>
      <w:spacing w:line="240" w:lineRule="auto"/>
      <w:ind w:firstLine="420" w:firstLineChars="200"/>
    </w:pPr>
    <w:rPr>
      <w:rFonts w:ascii="Times New Roman" w:hAnsi="Times New Roman"/>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autoRedefine/>
    <w:qFormat/>
    <w:uiPriority w:val="0"/>
  </w:style>
  <w:style w:type="character" w:styleId="37">
    <w:name w:val="FollowedHyperlink"/>
    <w:autoRedefine/>
    <w:qFormat/>
    <w:uiPriority w:val="0"/>
    <w:rPr>
      <w:color w:val="800080"/>
      <w:u w:val="single"/>
    </w:rPr>
  </w:style>
  <w:style w:type="character" w:styleId="38">
    <w:name w:val="Emphasis"/>
    <w:autoRedefine/>
    <w:qFormat/>
    <w:uiPriority w:val="20"/>
    <w:rPr>
      <w:color w:val="CC0000"/>
    </w:rPr>
  </w:style>
  <w:style w:type="character" w:styleId="39">
    <w:name w:val="Hyperlink"/>
    <w:autoRedefine/>
    <w:qFormat/>
    <w:uiPriority w:val="0"/>
    <w:rPr>
      <w:color w:val="0000FF"/>
      <w:u w:val="single"/>
    </w:rPr>
  </w:style>
  <w:style w:type="character" w:styleId="40">
    <w:name w:val="annotation reference"/>
    <w:autoRedefine/>
    <w:qFormat/>
    <w:uiPriority w:val="0"/>
    <w:rPr>
      <w:sz w:val="21"/>
      <w:szCs w:val="21"/>
    </w:rPr>
  </w:style>
  <w:style w:type="paragraph" w:customStyle="1" w:styleId="41">
    <w:name w:val="正文文本首行缩进 2"/>
    <w:basedOn w:val="16"/>
    <w:autoRedefine/>
    <w:qFormat/>
    <w:uiPriority w:val="0"/>
    <w:pPr>
      <w:ind w:firstLine="420" w:firstLineChars="200"/>
    </w:pPr>
  </w:style>
  <w:style w:type="paragraph" w:customStyle="1" w:styleId="42">
    <w:name w:val="标准正文"/>
    <w:basedOn w:val="1"/>
    <w:autoRedefine/>
    <w:qFormat/>
    <w:uiPriority w:val="0"/>
    <w:pPr>
      <w:tabs>
        <w:tab w:val="left" w:pos="780"/>
      </w:tabs>
      <w:spacing w:line="360" w:lineRule="auto"/>
      <w:ind w:left="200" w:leftChars="200" w:firstLine="200" w:firstLineChars="200"/>
    </w:pPr>
    <w:rPr>
      <w:sz w:val="24"/>
    </w:rPr>
  </w:style>
  <w:style w:type="character" w:customStyle="1" w:styleId="43">
    <w:name w:val="批注框文本 字符"/>
    <w:link w:val="21"/>
    <w:autoRedefine/>
    <w:qFormat/>
    <w:uiPriority w:val="99"/>
    <w:rPr>
      <w:kern w:val="2"/>
      <w:sz w:val="18"/>
      <w:szCs w:val="18"/>
    </w:rPr>
  </w:style>
  <w:style w:type="character" w:customStyle="1" w:styleId="44">
    <w:name w:val="正文缩进 字符"/>
    <w:link w:val="9"/>
    <w:autoRedefine/>
    <w:qFormat/>
    <w:uiPriority w:val="99"/>
    <w:rPr>
      <w:kern w:val="2"/>
      <w:sz w:val="21"/>
      <w:szCs w:val="24"/>
    </w:rPr>
  </w:style>
  <w:style w:type="character" w:customStyle="1" w:styleId="45">
    <w:name w:val="正文文本缩进 3 字符"/>
    <w:link w:val="26"/>
    <w:autoRedefine/>
    <w:qFormat/>
    <w:uiPriority w:val="0"/>
    <w:rPr>
      <w:kern w:val="2"/>
      <w:sz w:val="16"/>
      <w:szCs w:val="16"/>
    </w:rPr>
  </w:style>
  <w:style w:type="character" w:customStyle="1" w:styleId="46">
    <w:name w:val="标题 4 字符"/>
    <w:link w:val="5"/>
    <w:autoRedefine/>
    <w:qFormat/>
    <w:uiPriority w:val="9"/>
    <w:rPr>
      <w:rFonts w:ascii="Cambria" w:hAnsi="Cambria"/>
      <w:b/>
      <w:bCs/>
      <w:kern w:val="2"/>
      <w:sz w:val="28"/>
      <w:szCs w:val="28"/>
    </w:rPr>
  </w:style>
  <w:style w:type="character" w:customStyle="1" w:styleId="47">
    <w:name w:val="正文2 Char Char"/>
    <w:autoRedefine/>
    <w:qFormat/>
    <w:uiPriority w:val="0"/>
    <w:rPr>
      <w:kern w:val="2"/>
      <w:sz w:val="24"/>
    </w:rPr>
  </w:style>
  <w:style w:type="character" w:customStyle="1" w:styleId="48">
    <w:name w:val="18"/>
    <w:basedOn w:val="35"/>
    <w:autoRedefine/>
    <w:qFormat/>
    <w:uiPriority w:val="0"/>
    <w:rPr>
      <w:rFonts w:hint="eastAsia" w:ascii="宋体" w:hAnsi="宋体" w:eastAsia="宋体"/>
      <w:color w:val="000000"/>
      <w:sz w:val="24"/>
      <w:szCs w:val="24"/>
      <w:vertAlign w:val="superscript"/>
    </w:rPr>
  </w:style>
  <w:style w:type="character" w:customStyle="1" w:styleId="49">
    <w:name w:val="15"/>
    <w:basedOn w:val="35"/>
    <w:autoRedefine/>
    <w:qFormat/>
    <w:uiPriority w:val="0"/>
    <w:rPr>
      <w:rFonts w:hint="eastAsia" w:ascii="宋体" w:hAnsi="宋体" w:eastAsia="宋体"/>
      <w:color w:val="000000"/>
      <w:sz w:val="22"/>
      <w:szCs w:val="22"/>
    </w:rPr>
  </w:style>
  <w:style w:type="character" w:customStyle="1" w:styleId="50">
    <w:name w:val="纯文本 Char1"/>
    <w:autoRedefine/>
    <w:qFormat/>
    <w:uiPriority w:val="0"/>
    <w:rPr>
      <w:rFonts w:ascii="宋体" w:hAnsi="Courier New" w:eastAsia="宋体"/>
      <w:kern w:val="2"/>
      <w:sz w:val="21"/>
      <w:lang w:val="en-US" w:eastAsia="zh-CN"/>
    </w:rPr>
  </w:style>
  <w:style w:type="character" w:customStyle="1" w:styleId="51">
    <w:name w:val="Char Char Char"/>
    <w:autoRedefine/>
    <w:qFormat/>
    <w:uiPriority w:val="0"/>
    <w:rPr>
      <w:rFonts w:ascii="宋体" w:hAnsi="Courier New" w:eastAsia="宋体"/>
      <w:kern w:val="2"/>
      <w:sz w:val="21"/>
      <w:lang w:val="en-US" w:eastAsia="zh-CN" w:bidi="ar-SA"/>
    </w:rPr>
  </w:style>
  <w:style w:type="character" w:customStyle="1" w:styleId="52">
    <w:name w:val="表正文 Char"/>
    <w:autoRedefine/>
    <w:qFormat/>
    <w:uiPriority w:val="0"/>
    <w:rPr>
      <w:rFonts w:eastAsia="宋体"/>
      <w:kern w:val="2"/>
      <w:sz w:val="21"/>
      <w:szCs w:val="24"/>
      <w:lang w:val="en-US" w:eastAsia="zh-CN" w:bidi="ar-SA"/>
    </w:rPr>
  </w:style>
  <w:style w:type="character" w:customStyle="1" w:styleId="53">
    <w:name w:val="正文文本缩进 字符"/>
    <w:link w:val="16"/>
    <w:autoRedefine/>
    <w:qFormat/>
    <w:uiPriority w:val="0"/>
    <w:rPr>
      <w:rFonts w:eastAsia="宋体"/>
      <w:kern w:val="2"/>
      <w:sz w:val="21"/>
      <w:szCs w:val="24"/>
      <w:lang w:val="en-US" w:eastAsia="zh-CN" w:bidi="ar-SA"/>
    </w:rPr>
  </w:style>
  <w:style w:type="character" w:customStyle="1" w:styleId="54">
    <w:name w:val="标题 5 字符"/>
    <w:link w:val="6"/>
    <w:autoRedefine/>
    <w:qFormat/>
    <w:uiPriority w:val="0"/>
    <w:rPr>
      <w:b/>
      <w:bCs/>
      <w:sz w:val="24"/>
      <w:szCs w:val="28"/>
    </w:rPr>
  </w:style>
  <w:style w:type="character" w:customStyle="1" w:styleId="55">
    <w:name w:val="标题 6 字符"/>
    <w:link w:val="7"/>
    <w:autoRedefine/>
    <w:qFormat/>
    <w:uiPriority w:val="0"/>
    <w:rPr>
      <w:rFonts w:ascii="Cambria" w:hAnsi="Cambria" w:eastAsia="宋体" w:cs="Times New Roman"/>
      <w:b/>
      <w:bCs/>
      <w:kern w:val="2"/>
      <w:sz w:val="24"/>
      <w:szCs w:val="24"/>
    </w:rPr>
  </w:style>
  <w:style w:type="character" w:customStyle="1" w:styleId="56">
    <w:name w:val="纯文本 字符"/>
    <w:link w:val="18"/>
    <w:autoRedefine/>
    <w:qFormat/>
    <w:uiPriority w:val="0"/>
    <w:rPr>
      <w:rFonts w:ascii="宋体" w:hAnsi="Courier New" w:eastAsia="宋体"/>
      <w:kern w:val="2"/>
      <w:sz w:val="21"/>
      <w:lang w:val="en-US" w:eastAsia="zh-CN" w:bidi="ar-SA"/>
    </w:rPr>
  </w:style>
  <w:style w:type="character" w:customStyle="1" w:styleId="57">
    <w:name w:val="纯文本 Char3"/>
    <w:autoRedefine/>
    <w:qFormat/>
    <w:uiPriority w:val="0"/>
    <w:rPr>
      <w:rFonts w:ascii="宋体" w:hAnsi="Courier New" w:eastAsia="宋体"/>
      <w:kern w:val="2"/>
      <w:sz w:val="21"/>
      <w:lang w:val="en-US" w:eastAsia="zh-CN" w:bidi="ar-SA"/>
    </w:rPr>
  </w:style>
  <w:style w:type="character" w:customStyle="1" w:styleId="58">
    <w:name w:val="NormalCharacter"/>
    <w:link w:val="59"/>
    <w:autoRedefine/>
    <w:qFormat/>
    <w:uiPriority w:val="0"/>
    <w:rPr>
      <w:rFonts w:ascii="Tahoma" w:hAnsi="Tahoma"/>
      <w:sz w:val="24"/>
    </w:rPr>
  </w:style>
  <w:style w:type="paragraph" w:customStyle="1" w:styleId="59">
    <w:name w:val="UserStyle_13"/>
    <w:basedOn w:val="1"/>
    <w:link w:val="58"/>
    <w:autoRedefine/>
    <w:qFormat/>
    <w:uiPriority w:val="0"/>
    <w:pPr>
      <w:widowControl/>
      <w:spacing w:line="360" w:lineRule="auto"/>
      <w:ind w:firstLine="200" w:firstLineChars="200"/>
    </w:pPr>
    <w:rPr>
      <w:rFonts w:ascii="Tahoma" w:hAnsi="Tahoma"/>
      <w:kern w:val="0"/>
      <w:sz w:val="24"/>
      <w:szCs w:val="20"/>
    </w:rPr>
  </w:style>
  <w:style w:type="character" w:customStyle="1" w:styleId="60">
    <w:name w:val="正文2 Char"/>
    <w:link w:val="61"/>
    <w:autoRedefine/>
    <w:qFormat/>
    <w:uiPriority w:val="0"/>
    <w:rPr>
      <w:kern w:val="2"/>
      <w:sz w:val="24"/>
    </w:rPr>
  </w:style>
  <w:style w:type="paragraph" w:customStyle="1" w:styleId="61">
    <w:name w:val="正文2"/>
    <w:basedOn w:val="1"/>
    <w:link w:val="60"/>
    <w:autoRedefine/>
    <w:qFormat/>
    <w:uiPriority w:val="0"/>
    <w:pPr>
      <w:spacing w:before="156" w:line="360" w:lineRule="auto"/>
      <w:ind w:firstLine="510" w:firstLineChars="200"/>
    </w:pPr>
    <w:rPr>
      <w:sz w:val="24"/>
      <w:szCs w:val="20"/>
    </w:rPr>
  </w:style>
  <w:style w:type="character" w:customStyle="1" w:styleId="62">
    <w:name w:val="列表段落 字符"/>
    <w:link w:val="63"/>
    <w:autoRedefine/>
    <w:qFormat/>
    <w:uiPriority w:val="34"/>
    <w:rPr>
      <w:rFonts w:ascii="Calibri" w:hAnsi="Calibri" w:eastAsia="宋体" w:cs="Times New Roman"/>
      <w:kern w:val="2"/>
      <w:sz w:val="21"/>
      <w:szCs w:val="22"/>
    </w:rPr>
  </w:style>
  <w:style w:type="paragraph" w:styleId="63">
    <w:name w:val="List Paragraph"/>
    <w:basedOn w:val="1"/>
    <w:link w:val="62"/>
    <w:autoRedefine/>
    <w:qFormat/>
    <w:uiPriority w:val="34"/>
    <w:pPr>
      <w:spacing w:line="240" w:lineRule="auto"/>
      <w:ind w:firstLine="420" w:firstLineChars="200"/>
    </w:pPr>
    <w:rPr>
      <w:szCs w:val="22"/>
    </w:rPr>
  </w:style>
  <w:style w:type="character" w:customStyle="1" w:styleId="64">
    <w:name w:val="居中表格内容 Char"/>
    <w:link w:val="65"/>
    <w:autoRedefine/>
    <w:qFormat/>
    <w:uiPriority w:val="0"/>
    <w:rPr>
      <w:rFonts w:cs="宋体"/>
      <w:color w:val="000000"/>
      <w:sz w:val="21"/>
      <w:szCs w:val="24"/>
    </w:rPr>
  </w:style>
  <w:style w:type="paragraph" w:customStyle="1" w:styleId="65">
    <w:name w:val="居中表格内容"/>
    <w:basedOn w:val="1"/>
    <w:next w:val="1"/>
    <w:link w:val="64"/>
    <w:autoRedefine/>
    <w:qFormat/>
    <w:uiPriority w:val="0"/>
    <w:pPr>
      <w:widowControl/>
      <w:spacing w:line="240" w:lineRule="auto"/>
    </w:pPr>
    <w:rPr>
      <w:color w:val="000000"/>
      <w:kern w:val="0"/>
    </w:rPr>
  </w:style>
  <w:style w:type="character" w:customStyle="1" w:styleId="66">
    <w:name w:val="批注文字 字符"/>
    <w:link w:val="13"/>
    <w:autoRedefine/>
    <w:qFormat/>
    <w:uiPriority w:val="0"/>
    <w:rPr>
      <w:rFonts w:ascii="Calibri" w:hAnsi="Calibri" w:eastAsia="宋体" w:cs="Times New Roman"/>
      <w:kern w:val="2"/>
      <w:sz w:val="21"/>
      <w:szCs w:val="22"/>
    </w:rPr>
  </w:style>
  <w:style w:type="character" w:customStyle="1" w:styleId="67">
    <w:name w:val="页脚 字符"/>
    <w:link w:val="22"/>
    <w:autoRedefine/>
    <w:qFormat/>
    <w:uiPriority w:val="99"/>
    <w:rPr>
      <w:kern w:val="2"/>
      <w:sz w:val="18"/>
      <w:szCs w:val="18"/>
    </w:rPr>
  </w:style>
  <w:style w:type="character" w:customStyle="1" w:styleId="68">
    <w:name w:val="标题 3 字符"/>
    <w:link w:val="4"/>
    <w:autoRedefine/>
    <w:qFormat/>
    <w:uiPriority w:val="9"/>
    <w:rPr>
      <w:b/>
      <w:bCs/>
      <w:kern w:val="2"/>
      <w:sz w:val="32"/>
      <w:szCs w:val="32"/>
    </w:rPr>
  </w:style>
  <w:style w:type="character" w:customStyle="1" w:styleId="69">
    <w:name w:val="正文加粗 字符"/>
    <w:link w:val="70"/>
    <w:autoRedefine/>
    <w:qFormat/>
    <w:uiPriority w:val="0"/>
    <w:rPr>
      <w:rFonts w:ascii="微软雅黑" w:hAnsi="等线" w:eastAsia="微软雅黑"/>
      <w:b/>
      <w:kern w:val="2"/>
      <w:sz w:val="24"/>
      <w:szCs w:val="22"/>
    </w:rPr>
  </w:style>
  <w:style w:type="paragraph" w:customStyle="1" w:styleId="70">
    <w:name w:val="正文加粗"/>
    <w:basedOn w:val="1"/>
    <w:link w:val="69"/>
    <w:autoRedefine/>
    <w:qFormat/>
    <w:uiPriority w:val="0"/>
    <w:pPr>
      <w:spacing w:line="360" w:lineRule="auto"/>
      <w:ind w:firstLine="480" w:firstLineChars="200"/>
      <w:jc w:val="left"/>
    </w:pPr>
    <w:rPr>
      <w:rFonts w:ascii="微软雅黑" w:hAnsi="等线" w:eastAsia="微软雅黑"/>
      <w:b/>
      <w:sz w:val="24"/>
      <w:szCs w:val="22"/>
    </w:rPr>
  </w:style>
  <w:style w:type="character" w:customStyle="1" w:styleId="71">
    <w:name w:val="列出段落 Char1"/>
    <w:autoRedefine/>
    <w:qFormat/>
    <w:uiPriority w:val="0"/>
    <w:rPr>
      <w:rFonts w:ascii="Calibri" w:hAnsi="Calibri"/>
      <w:kern w:val="2"/>
      <w:sz w:val="21"/>
      <w:szCs w:val="22"/>
    </w:rPr>
  </w:style>
  <w:style w:type="character" w:customStyle="1" w:styleId="72">
    <w:name w:val="17"/>
    <w:basedOn w:val="35"/>
    <w:autoRedefine/>
    <w:qFormat/>
    <w:uiPriority w:val="0"/>
    <w:rPr>
      <w:rFonts w:hint="default" w:ascii="Arial" w:hAnsi="Arial" w:cs="Arial"/>
      <w:color w:val="000000"/>
      <w:sz w:val="22"/>
      <w:szCs w:val="22"/>
    </w:rPr>
  </w:style>
  <w:style w:type="character" w:customStyle="1" w:styleId="73">
    <w:name w:val="font61"/>
    <w:basedOn w:val="35"/>
    <w:autoRedefine/>
    <w:qFormat/>
    <w:uiPriority w:val="0"/>
    <w:rPr>
      <w:rFonts w:hint="eastAsia" w:ascii="宋体" w:hAnsi="宋体" w:eastAsia="宋体" w:cs="宋体"/>
      <w:color w:val="000000"/>
      <w:sz w:val="24"/>
      <w:szCs w:val="24"/>
      <w:u w:val="none"/>
    </w:rPr>
  </w:style>
  <w:style w:type="character" w:customStyle="1" w:styleId="74">
    <w:name w:val="纯文本 Char2"/>
    <w:autoRedefine/>
    <w:qFormat/>
    <w:uiPriority w:val="0"/>
    <w:rPr>
      <w:rFonts w:ascii="宋体" w:hAnsi="Courier New" w:eastAsia="宋体" w:cs="Courier New"/>
      <w:sz w:val="21"/>
      <w:szCs w:val="21"/>
    </w:rPr>
  </w:style>
  <w:style w:type="character" w:customStyle="1" w:styleId="75">
    <w:name w:val="16"/>
    <w:basedOn w:val="35"/>
    <w:autoRedefine/>
    <w:qFormat/>
    <w:uiPriority w:val="0"/>
    <w:rPr>
      <w:rFonts w:hint="eastAsia" w:ascii="宋体" w:hAnsi="宋体" w:eastAsia="宋体"/>
      <w:color w:val="000000"/>
      <w:sz w:val="24"/>
      <w:szCs w:val="24"/>
    </w:rPr>
  </w:style>
  <w:style w:type="character" w:customStyle="1" w:styleId="76">
    <w:name w:val="批注主题 字符"/>
    <w:link w:val="30"/>
    <w:autoRedefine/>
    <w:qFormat/>
    <w:uiPriority w:val="0"/>
    <w:rPr>
      <w:rFonts w:ascii="Calibri" w:hAnsi="Calibri" w:eastAsia="宋体" w:cs="Times New Roman"/>
      <w:b/>
      <w:bCs/>
      <w:kern w:val="2"/>
      <w:sz w:val="21"/>
      <w:szCs w:val="24"/>
    </w:rPr>
  </w:style>
  <w:style w:type="character" w:customStyle="1" w:styleId="77">
    <w:name w:val="1.5倍行距 Char"/>
    <w:link w:val="78"/>
    <w:autoRedefine/>
    <w:qFormat/>
    <w:uiPriority w:val="0"/>
    <w:rPr>
      <w:rFonts w:ascii="宋体" w:hAnsi="宋体"/>
      <w:kern w:val="2"/>
      <w:sz w:val="24"/>
      <w:szCs w:val="24"/>
    </w:rPr>
  </w:style>
  <w:style w:type="paragraph" w:customStyle="1" w:styleId="78">
    <w:name w:val="1.5倍行距"/>
    <w:basedOn w:val="1"/>
    <w:link w:val="77"/>
    <w:autoRedefine/>
    <w:qFormat/>
    <w:uiPriority w:val="0"/>
    <w:pPr>
      <w:spacing w:line="360" w:lineRule="auto"/>
      <w:ind w:firstLine="480" w:firstLineChars="200"/>
    </w:pPr>
    <w:rPr>
      <w:rFonts w:ascii="宋体" w:hAnsi="宋体"/>
      <w:sz w:val="24"/>
    </w:rPr>
  </w:style>
  <w:style w:type="character" w:customStyle="1" w:styleId="79">
    <w:name w:val="样式4 Char"/>
    <w:link w:val="80"/>
    <w:autoRedefine/>
    <w:qFormat/>
    <w:uiPriority w:val="0"/>
    <w:rPr>
      <w:rFonts w:ascii="Calibri" w:hAnsi="Calibri"/>
      <w:kern w:val="2"/>
      <w:sz w:val="24"/>
      <w:szCs w:val="22"/>
    </w:rPr>
  </w:style>
  <w:style w:type="paragraph" w:customStyle="1" w:styleId="80">
    <w:name w:val="样式4"/>
    <w:basedOn w:val="1"/>
    <w:link w:val="79"/>
    <w:autoRedefine/>
    <w:qFormat/>
    <w:uiPriority w:val="0"/>
    <w:pPr>
      <w:spacing w:line="360" w:lineRule="auto"/>
    </w:pPr>
    <w:rPr>
      <w:sz w:val="24"/>
      <w:szCs w:val="22"/>
    </w:rPr>
  </w:style>
  <w:style w:type="character" w:customStyle="1" w:styleId="81">
    <w:name w:val="font21"/>
    <w:basedOn w:val="35"/>
    <w:autoRedefine/>
    <w:qFormat/>
    <w:uiPriority w:val="0"/>
    <w:rPr>
      <w:rFonts w:hint="default" w:ascii="Times New Roman" w:hAnsi="Times New Roman" w:cs="Times New Roman"/>
      <w:color w:val="000000"/>
      <w:sz w:val="24"/>
      <w:szCs w:val="24"/>
      <w:u w:val="none"/>
    </w:rPr>
  </w:style>
  <w:style w:type="character" w:customStyle="1" w:styleId="82">
    <w:name w:val="正文首行缩进2字符 Char"/>
    <w:link w:val="83"/>
    <w:autoRedefine/>
    <w:qFormat/>
    <w:uiPriority w:val="0"/>
    <w:rPr>
      <w:rFonts w:ascii="宋体" w:hAnsi="宋体" w:eastAsia="宋体" w:cs="Times New Roman"/>
      <w:kern w:val="2"/>
      <w:sz w:val="24"/>
      <w:szCs w:val="28"/>
    </w:rPr>
  </w:style>
  <w:style w:type="paragraph" w:customStyle="1" w:styleId="83">
    <w:name w:val="正文首行缩进2字符"/>
    <w:basedOn w:val="1"/>
    <w:link w:val="82"/>
    <w:autoRedefine/>
    <w:qFormat/>
    <w:uiPriority w:val="0"/>
    <w:pPr>
      <w:spacing w:line="360" w:lineRule="auto"/>
      <w:ind w:firstLine="480" w:firstLineChars="200"/>
    </w:pPr>
    <w:rPr>
      <w:rFonts w:ascii="宋体" w:hAnsi="宋体"/>
      <w:sz w:val="24"/>
      <w:szCs w:val="28"/>
    </w:rPr>
  </w:style>
  <w:style w:type="paragraph" w:customStyle="1" w:styleId="84">
    <w:name w:val="cm4"/>
    <w:basedOn w:val="1"/>
    <w:autoRedefine/>
    <w:qFormat/>
    <w:uiPriority w:val="0"/>
    <w:pPr>
      <w:widowControl/>
      <w:spacing w:before="100" w:beforeAutospacing="1" w:after="100" w:afterAutospacing="1" w:line="312" w:lineRule="auto"/>
      <w:jc w:val="left"/>
    </w:pPr>
    <w:rPr>
      <w:rFonts w:ascii="宋体" w:hAnsi="宋体" w:cs="宋体"/>
      <w:kern w:val="0"/>
      <w:sz w:val="18"/>
      <w:szCs w:val="18"/>
    </w:rPr>
  </w:style>
  <w:style w:type="paragraph" w:customStyle="1" w:styleId="85">
    <w:name w:val="修订1"/>
    <w:autoRedefine/>
    <w:qFormat/>
    <w:uiPriority w:val="99"/>
    <w:rPr>
      <w:rFonts w:ascii="Calibri" w:hAnsi="Calibri" w:eastAsia="宋体" w:cs="Times New Roman"/>
      <w:kern w:val="2"/>
      <w:sz w:val="21"/>
      <w:szCs w:val="24"/>
      <w:lang w:val="en-US" w:eastAsia="zh-CN" w:bidi="ar-SA"/>
    </w:rPr>
  </w:style>
  <w:style w:type="paragraph" w:customStyle="1" w:styleId="86">
    <w:name w:val="reader-word-layer reader-word-s8-6 reader-word-s8-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纯文本1"/>
    <w:basedOn w:val="1"/>
    <w:autoRedefine/>
    <w:qFormat/>
    <w:uiPriority w:val="99"/>
    <w:rPr>
      <w:rFonts w:ascii="宋体" w:hAnsi="Courier New"/>
    </w:rPr>
  </w:style>
  <w:style w:type="paragraph" w:customStyle="1" w:styleId="88">
    <w:name w:val="reader-word-layer reader-word-s9-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reader-word-layer reader-word-s19-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18-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reader-word-layer reader-word-s19-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段"/>
    <w:autoRedefine/>
    <w:qFormat/>
    <w:uiPriority w:val="0"/>
    <w:pPr>
      <w:autoSpaceDE w:val="0"/>
      <w:autoSpaceDN w:val="0"/>
      <w:spacing w:line="348" w:lineRule="auto"/>
      <w:ind w:firstLine="200" w:firstLineChars="200"/>
      <w:jc w:val="both"/>
    </w:pPr>
    <w:rPr>
      <w:rFonts w:ascii="宋体" w:hAnsi="Calibri" w:eastAsia="宋体" w:cs="Times New Roman"/>
      <w:sz w:val="21"/>
      <w:lang w:val="en-US" w:eastAsia="zh-CN" w:bidi="ar-SA"/>
    </w:rPr>
  </w:style>
  <w:style w:type="paragraph" w:customStyle="1" w:styleId="93">
    <w:name w:val="reader-word-layer reader-word-s19-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19-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9-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Char2"/>
    <w:basedOn w:val="1"/>
    <w:autoRedefine/>
    <w:qFormat/>
    <w:uiPriority w:val="0"/>
    <w:rPr>
      <w:rFonts w:ascii="仿宋_GB2312" w:eastAsia="仿宋_GB2312"/>
      <w:b/>
      <w:sz w:val="32"/>
      <w:szCs w:val="32"/>
    </w:rPr>
  </w:style>
  <w:style w:type="paragraph" w:customStyle="1" w:styleId="97">
    <w:name w:val="reader-word-layer reader-word-s9-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列表内容"/>
    <w:basedOn w:val="1"/>
    <w:next w:val="1"/>
    <w:autoRedefine/>
    <w:qFormat/>
    <w:uiPriority w:val="0"/>
    <w:pPr>
      <w:widowControl/>
      <w:numPr>
        <w:ilvl w:val="0"/>
        <w:numId w:val="4"/>
      </w:numPr>
      <w:jc w:val="left"/>
    </w:pPr>
    <w:rPr>
      <w:kern w:val="0"/>
      <w:sz w:val="18"/>
    </w:rPr>
  </w:style>
  <w:style w:type="paragraph" w:customStyle="1" w:styleId="99">
    <w:name w:val="reader-word-layer reader-word-s19-16 reader-word-s19-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列出段落1"/>
    <w:basedOn w:val="1"/>
    <w:autoRedefine/>
    <w:qFormat/>
    <w:uiPriority w:val="0"/>
    <w:pPr>
      <w:spacing w:line="240" w:lineRule="auto"/>
      <w:ind w:firstLine="420" w:firstLineChars="200"/>
    </w:pPr>
  </w:style>
  <w:style w:type="paragraph" w:customStyle="1" w:styleId="101">
    <w:name w:val="reader-word-layer reader-word-s19-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正文 A"/>
    <w:autoRedefine/>
    <w:qFormat/>
    <w:uiPriority w:val="0"/>
    <w:pPr>
      <w:widowControl w:val="0"/>
      <w:jc w:val="both"/>
    </w:pPr>
    <w:rPr>
      <w:rFonts w:ascii="Calibri" w:hAnsi="Calibri" w:eastAsia="Times New Roman" w:cs="Calibri"/>
      <w:color w:val="000000"/>
      <w:kern w:val="2"/>
      <w:sz w:val="21"/>
      <w:szCs w:val="21"/>
      <w:u w:color="000000"/>
      <w:lang w:val="en-US" w:eastAsia="zh-CN" w:bidi="ar-SA"/>
    </w:rPr>
  </w:style>
  <w:style w:type="paragraph" w:customStyle="1" w:styleId="103">
    <w:name w:val="reader-word-layer reader-word-s9-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4">
    <w:name w:val="reader-word-layer reader-word-s9-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5">
    <w:name w:val="reader-word-layer reader-word-s19-2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6">
    <w:name w:val="reader-word-layer reader-word-s19-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正文1"/>
    <w:autoRedefine/>
    <w:qFormat/>
    <w:uiPriority w:val="0"/>
    <w:pPr>
      <w:jc w:val="both"/>
    </w:pPr>
    <w:rPr>
      <w:rFonts w:ascii="Calibri" w:hAnsi="Calibri" w:eastAsia="宋体" w:cs="Times New Roman"/>
      <w:kern w:val="2"/>
      <w:sz w:val="21"/>
      <w:szCs w:val="21"/>
      <w:lang w:val="en-US" w:eastAsia="zh-CN" w:bidi="ar-SA"/>
    </w:rPr>
  </w:style>
  <w:style w:type="paragraph" w:customStyle="1" w:styleId="108">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09">
    <w:name w:val="reader-word-layer reader-word-s9-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0">
    <w:name w:val="List Paragraph1"/>
    <w:basedOn w:val="1"/>
    <w:autoRedefine/>
    <w:qFormat/>
    <w:uiPriority w:val="0"/>
    <w:pPr>
      <w:spacing w:line="240" w:lineRule="auto"/>
      <w:ind w:firstLine="420" w:firstLineChars="200"/>
    </w:pPr>
    <w:rPr>
      <w:szCs w:val="22"/>
    </w:rPr>
  </w:style>
  <w:style w:type="paragraph" w:customStyle="1" w:styleId="111">
    <w:name w:val="reader-word-layer reader-word-s8-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2">
    <w:name w:val="reader-word-layer reader-word-s18-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3">
    <w:name w:val="reader-word-layer reader-word-s19-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4">
    <w:name w:val="reader-word-layer reader-word-s18-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5">
    <w:name w:val="reader-word-layer reader-word-s18-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6">
    <w:name w:val="reader-word-layer reader-word-s19-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7">
    <w:name w:val="reader-word-layer reader-word-s19-15 reader-word-s19-19 reader-word-s19-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8">
    <w:name w:val="p0"/>
    <w:basedOn w:val="1"/>
    <w:autoRedefine/>
    <w:qFormat/>
    <w:uiPriority w:val="0"/>
    <w:pPr>
      <w:widowControl/>
    </w:pPr>
    <w:rPr>
      <w:kern w:val="0"/>
      <w:szCs w:val="20"/>
    </w:rPr>
  </w:style>
  <w:style w:type="paragraph" w:customStyle="1" w:styleId="119">
    <w:name w:val="大转播车"/>
    <w:basedOn w:val="1"/>
    <w:autoRedefine/>
    <w:qFormat/>
    <w:uiPriority w:val="0"/>
    <w:pPr>
      <w:shd w:val="clear" w:color="auto" w:fill="FFFFFF"/>
      <w:spacing w:line="300" w:lineRule="auto"/>
      <w:ind w:firstLine="485"/>
    </w:pPr>
    <w:rPr>
      <w:rFonts w:ascii="仿宋_GB2312" w:hAnsi="宋体" w:eastAsia="仿宋_GB2312"/>
      <w:sz w:val="24"/>
      <w:shd w:val="clear" w:color="auto" w:fill="FFFFFF"/>
    </w:rPr>
  </w:style>
  <w:style w:type="paragraph" w:customStyle="1" w:styleId="120">
    <w:name w:val="标书正文"/>
    <w:basedOn w:val="1"/>
    <w:autoRedefine/>
    <w:qFormat/>
    <w:uiPriority w:val="0"/>
    <w:pPr>
      <w:spacing w:line="360" w:lineRule="auto"/>
      <w:ind w:firstLine="480" w:firstLineChars="200"/>
    </w:pPr>
    <w:rPr>
      <w:rFonts w:ascii="宋体" w:cs="宋体"/>
      <w:sz w:val="24"/>
    </w:rPr>
  </w:style>
  <w:style w:type="paragraph" w:customStyle="1" w:styleId="121">
    <w:name w:val="reader-word-layer reader-word-s19-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reader-word-layer reader-word-s8-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2 Char Char Char"/>
    <w:basedOn w:val="1"/>
    <w:autoRedefine/>
    <w:qFormat/>
    <w:uiPriority w:val="0"/>
    <w:rPr>
      <w:rFonts w:ascii="仿宋_GB2312" w:eastAsia="仿宋_GB2312"/>
      <w:b/>
      <w:sz w:val="32"/>
      <w:szCs w:val="32"/>
    </w:rPr>
  </w:style>
  <w:style w:type="paragraph" w:customStyle="1" w:styleId="124">
    <w:name w:val="reader-word-layer reader-word-s18-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方案正文"/>
    <w:basedOn w:val="1"/>
    <w:autoRedefine/>
    <w:qFormat/>
    <w:uiPriority w:val="0"/>
    <w:pPr>
      <w:spacing w:line="360" w:lineRule="auto"/>
      <w:ind w:firstLine="200" w:firstLineChars="200"/>
    </w:pPr>
    <w:rPr>
      <w:sz w:val="24"/>
    </w:rPr>
  </w:style>
  <w:style w:type="paragraph" w:customStyle="1" w:styleId="126">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127">
    <w:name w:val="_Style 10"/>
    <w:basedOn w:val="15"/>
    <w:next w:val="31"/>
    <w:autoRedefine/>
    <w:qFormat/>
    <w:uiPriority w:val="0"/>
    <w:pPr>
      <w:ind w:firstLine="420" w:firstLineChars="100"/>
    </w:pPr>
    <w:rPr>
      <w:kern w:val="0"/>
      <w:sz w:val="20"/>
      <w:szCs w:val="21"/>
    </w:rPr>
  </w:style>
  <w:style w:type="paragraph" w:customStyle="1" w:styleId="128">
    <w:name w:val="reader-word-layer reader-word-s8-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9">
    <w:name w:val="reader-word-layer reader-word-s9-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0">
    <w:name w:val="正文01"/>
    <w:basedOn w:val="1"/>
    <w:autoRedefine/>
    <w:qFormat/>
    <w:uiPriority w:val="0"/>
    <w:pPr>
      <w:spacing w:line="560" w:lineRule="exact"/>
      <w:ind w:firstLine="200" w:firstLineChars="200"/>
    </w:pPr>
    <w:rPr>
      <w:rFonts w:eastAsia="仿宋_GB2312"/>
      <w:color w:val="000000"/>
      <w:sz w:val="32"/>
      <w:szCs w:val="32"/>
    </w:rPr>
  </w:style>
  <w:style w:type="paragraph" w:customStyle="1" w:styleId="131">
    <w:name w:val="默认段落字体 Para Char Char Char Char Char Char Char Char Char1 Char Char Char Char"/>
    <w:basedOn w:val="1"/>
    <w:autoRedefine/>
    <w:qFormat/>
    <w:uiPriority w:val="0"/>
    <w:rPr>
      <w:rFonts w:ascii="Tahoma" w:hAnsi="Tahoma"/>
      <w:sz w:val="24"/>
      <w:szCs w:val="20"/>
    </w:rPr>
  </w:style>
  <w:style w:type="paragraph" w:customStyle="1" w:styleId="132">
    <w:name w:val="reader-word-layer reader-word-s9-4 reader-word-s9-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34">
    <w:name w:val="reader-word-layer reader-word-s9-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5">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136">
    <w:name w:val="reader-word-layer reader-word-s9-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7">
    <w:name w:val="reader-word-layer reader-word-s8-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8">
    <w:name w:val="reader-word-layer reader-word-s8-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9">
    <w:name w:val="reader-word-layer reader-word-s8-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0">
    <w:name w:val="reader-word-layer reader-word-s8-8 reader-word-s8-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1">
    <w:name w:val="reader-word-layer reader-word-s19-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2">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3">
    <w:name w:val="reader-word-layer reader-word-s19-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4">
    <w:name w:val="reader-word-layer reader-word-s8-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5">
    <w:name w:val="reader-word-layer reader-word-s8-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6">
    <w:name w:val="正文段"/>
    <w:basedOn w:val="1"/>
    <w:autoRedefine/>
    <w:qFormat/>
    <w:uiPriority w:val="0"/>
    <w:pPr>
      <w:widowControl/>
      <w:snapToGrid w:val="0"/>
      <w:spacing w:afterLines="50"/>
      <w:ind w:firstLine="200" w:firstLineChars="200"/>
    </w:pPr>
    <w:rPr>
      <w:kern w:val="0"/>
      <w:sz w:val="24"/>
      <w:szCs w:val="20"/>
    </w:rPr>
  </w:style>
  <w:style w:type="paragraph" w:customStyle="1" w:styleId="147">
    <w:name w:val="Char Char Char Char Char Char"/>
    <w:basedOn w:val="1"/>
    <w:autoRedefine/>
    <w:qFormat/>
    <w:uiPriority w:val="0"/>
  </w:style>
  <w:style w:type="paragraph" w:customStyle="1" w:styleId="148">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49">
    <w:name w:val="af17cgridlangnp1033langf"/>
    <w:autoRedefine/>
    <w:qFormat/>
    <w:uiPriority w:val="0"/>
    <w:pPr>
      <w:widowControl w:val="0"/>
      <w:autoSpaceDE w:val="0"/>
      <w:autoSpaceDN w:val="0"/>
      <w:spacing w:before="156" w:line="360" w:lineRule="atLeast"/>
      <w:ind w:left="567" w:firstLine="510"/>
      <w:jc w:val="both"/>
    </w:pPr>
    <w:rPr>
      <w:rFonts w:hint="eastAsia" w:ascii="Calibri" w:hAnsi="Calibri" w:eastAsia="宋体" w:cs="Times New Roman"/>
      <w:lang w:val="en-US" w:eastAsia="zh-CN" w:bidi="ar-SA"/>
    </w:rPr>
  </w:style>
  <w:style w:type="paragraph" w:customStyle="1" w:styleId="150">
    <w:name w:val="reader-word-layer reader-word-s8-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1">
    <w:name w:val="reader-word-layer reader-word-s1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2">
    <w:name w:val="MM Topic 3"/>
    <w:basedOn w:val="4"/>
    <w:autoRedefine/>
    <w:qFormat/>
    <w:uiPriority w:val="0"/>
    <w:pPr>
      <w:widowControl/>
      <w:numPr>
        <w:ilvl w:val="0"/>
        <w:numId w:val="0"/>
      </w:numPr>
      <w:tabs>
        <w:tab w:val="left" w:pos="720"/>
      </w:tabs>
      <w:spacing w:beforeLines="50" w:afterLines="50"/>
      <w:ind w:left="720" w:hanging="720"/>
    </w:pPr>
    <w:rPr>
      <w:rFonts w:eastAsia="楷体_GB2312"/>
    </w:rPr>
  </w:style>
  <w:style w:type="paragraph" w:customStyle="1" w:styleId="153">
    <w:name w:val="reader-word-layer reader-word-s9-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4">
    <w:name w:val="Char Char6 Char Char Char Char"/>
    <w:basedOn w:val="1"/>
    <w:autoRedefine/>
    <w:qFormat/>
    <w:uiPriority w:val="0"/>
  </w:style>
  <w:style w:type="paragraph" w:customStyle="1" w:styleId="155">
    <w:name w:val="reader-word-layer reader-word-s9-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6">
    <w:name w:val="reader-word-layer"/>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57">
    <w:name w:val="reader-word-layer reader-word-s6-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8">
    <w:name w:val="reader-word-layer reader-word-s8-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9">
    <w:name w:val="Char Char Char1"/>
    <w:basedOn w:val="1"/>
    <w:autoRedefine/>
    <w:qFormat/>
    <w:uiPriority w:val="0"/>
    <w:rPr>
      <w:szCs w:val="21"/>
    </w:rPr>
  </w:style>
  <w:style w:type="paragraph" w:customStyle="1" w:styleId="160">
    <w:name w:val="Char"/>
    <w:basedOn w:val="1"/>
    <w:autoRedefine/>
    <w:qFormat/>
    <w:uiPriority w:val="0"/>
    <w:rPr>
      <w:szCs w:val="20"/>
    </w:rPr>
  </w:style>
  <w:style w:type="paragraph" w:customStyle="1" w:styleId="161">
    <w:name w:val="reader-word-layer reader-word-s19-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2">
    <w:name w:val="reader-word-layer reader-word-s9-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3">
    <w:name w:val="reader-word-layer reader-word-s19-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4">
    <w:name w:val="Char1"/>
    <w:basedOn w:val="1"/>
    <w:autoRedefine/>
    <w:qFormat/>
    <w:uiPriority w:val="0"/>
    <w:rPr>
      <w:szCs w:val="20"/>
    </w:rPr>
  </w:style>
  <w:style w:type="paragraph" w:customStyle="1" w:styleId="165">
    <w:name w:val="表内文字"/>
    <w:basedOn w:val="1"/>
    <w:autoRedefine/>
    <w:qFormat/>
    <w:uiPriority w:val="0"/>
    <w:pPr>
      <w:snapToGrid w:val="0"/>
      <w:spacing w:before="50" w:after="50"/>
      <w:jc w:val="center"/>
    </w:pPr>
    <w:rPr>
      <w:rFonts w:ascii="宋体" w:hAnsi="宋体"/>
      <w:sz w:val="24"/>
      <w:szCs w:val="20"/>
    </w:rPr>
  </w:style>
  <w:style w:type="paragraph" w:customStyle="1" w:styleId="166">
    <w:name w:val="reader-word-layer reader-word-s19-1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67">
    <w:name w:val="批注文字 Char1"/>
    <w:basedOn w:val="35"/>
    <w:autoRedefine/>
    <w:qFormat/>
    <w:uiPriority w:val="99"/>
    <w:rPr>
      <w:rFonts w:ascii="Times New Roman" w:hAnsi="Times New Roman" w:eastAsia="宋体" w:cs="Times New Roman"/>
      <w:szCs w:val="24"/>
    </w:rPr>
  </w:style>
  <w:style w:type="character" w:customStyle="1" w:styleId="168">
    <w:name w:val="标题 字符"/>
    <w:basedOn w:val="35"/>
    <w:link w:val="29"/>
    <w:autoRedefine/>
    <w:qFormat/>
    <w:uiPriority w:val="0"/>
    <w:rPr>
      <w:rFonts w:ascii="Arial" w:hAnsi="Arial" w:cs="Arial"/>
      <w:b/>
      <w:bCs/>
      <w:kern w:val="2"/>
      <w:sz w:val="28"/>
      <w:szCs w:val="32"/>
    </w:rPr>
  </w:style>
  <w:style w:type="character" w:customStyle="1" w:styleId="169">
    <w:name w:val="招标正文 字符"/>
    <w:link w:val="170"/>
    <w:autoRedefine/>
    <w:qFormat/>
    <w:uiPriority w:val="0"/>
    <w:rPr>
      <w:rFonts w:ascii="宋体" w:hAnsi="宋体"/>
      <w:color w:val="000000"/>
      <w:sz w:val="24"/>
      <w:szCs w:val="21"/>
    </w:rPr>
  </w:style>
  <w:style w:type="paragraph" w:customStyle="1" w:styleId="170">
    <w:name w:val="招标正文"/>
    <w:basedOn w:val="146"/>
    <w:link w:val="169"/>
    <w:autoRedefine/>
    <w:qFormat/>
    <w:uiPriority w:val="0"/>
    <w:pPr>
      <w:widowControl w:val="0"/>
      <w:adjustRightInd w:val="0"/>
      <w:spacing w:afterLines="0" w:line="360" w:lineRule="auto"/>
      <w:ind w:firstLine="480"/>
    </w:pPr>
    <w:rPr>
      <w:rFonts w:ascii="宋体" w:hAnsi="宋体"/>
      <w:color w:val="000000"/>
      <w:szCs w:val="21"/>
    </w:rPr>
  </w:style>
  <w:style w:type="character" w:customStyle="1" w:styleId="171">
    <w:name w:val="正文缩进 Char1"/>
    <w:autoRedefine/>
    <w:qFormat/>
    <w:locked/>
    <w:uiPriority w:val="0"/>
    <w:rPr>
      <w:kern w:val="2"/>
      <w:sz w:val="21"/>
      <w:szCs w:val="24"/>
      <w:lang w:val="en-US" w:eastAsia="zh-CN" w:bidi="ar-SA"/>
    </w:rPr>
  </w:style>
  <w:style w:type="paragraph" w:customStyle="1" w:styleId="172">
    <w:name w:val="Table Paragraph"/>
    <w:basedOn w:val="1"/>
    <w:autoRedefine/>
    <w:qFormat/>
    <w:uiPriority w:val="1"/>
    <w:pPr>
      <w:spacing w:line="240" w:lineRule="auto"/>
    </w:pPr>
    <w:rPr>
      <w:rFonts w:ascii="宋体" w:hAnsi="宋体" w:cs="宋体"/>
      <w:lang w:val="zh-CN" w:bidi="zh-CN"/>
    </w:rPr>
  </w:style>
  <w:style w:type="character" w:customStyle="1" w:styleId="173">
    <w:name w:val="正文文本首行缩进 2 字符"/>
    <w:basedOn w:val="53"/>
    <w:link w:val="32"/>
    <w:autoRedefine/>
    <w:qFormat/>
    <w:uiPriority w:val="99"/>
    <w:rPr>
      <w:rFonts w:ascii="Times New Roman" w:hAnsi="Times New Roman" w:eastAsia="宋体"/>
      <w:kern w:val="2"/>
      <w:sz w:val="21"/>
      <w:szCs w:val="24"/>
      <w:lang w:val="en-US" w:eastAsia="zh-CN" w:bidi="ar-SA"/>
    </w:rPr>
  </w:style>
  <w:style w:type="paragraph" w:customStyle="1" w:styleId="174">
    <w:name w:val="纯文本_0_0"/>
    <w:basedOn w:val="1"/>
    <w:link w:val="175"/>
    <w:autoRedefine/>
    <w:unhideWhenUsed/>
    <w:qFormat/>
    <w:uiPriority w:val="0"/>
    <w:pPr>
      <w:spacing w:line="240" w:lineRule="auto"/>
    </w:pPr>
    <w:rPr>
      <w:rFonts w:ascii="宋体" w:hAnsi="Courier New"/>
      <w:szCs w:val="21"/>
    </w:rPr>
  </w:style>
  <w:style w:type="character" w:customStyle="1" w:styleId="175">
    <w:name w:val="纯文本 Char_0_0"/>
    <w:link w:val="174"/>
    <w:autoRedefine/>
    <w:qFormat/>
    <w:uiPriority w:val="0"/>
    <w:rPr>
      <w:rFonts w:ascii="宋体" w:hAnsi="Courier New"/>
      <w:kern w:val="2"/>
      <w:sz w:val="21"/>
      <w:szCs w:val="21"/>
    </w:rPr>
  </w:style>
  <w:style w:type="paragraph" w:customStyle="1" w:styleId="176">
    <w:name w:val="纯文本2"/>
    <w:basedOn w:val="1"/>
    <w:autoRedefine/>
    <w:qFormat/>
    <w:uiPriority w:val="0"/>
    <w:pPr>
      <w:adjustRightInd w:val="0"/>
      <w:spacing w:line="240" w:lineRule="auto"/>
      <w:textAlignment w:val="baseline"/>
    </w:pPr>
    <w:rPr>
      <w:rFonts w:ascii="宋体" w:hAnsi="Courier New" w:eastAsia="楷体_GB2312"/>
      <w:sz w:val="26"/>
      <w:szCs w:val="20"/>
    </w:rPr>
  </w:style>
  <w:style w:type="paragraph" w:customStyle="1" w:styleId="177">
    <w:name w:val="[Normal]"/>
    <w:autoRedefine/>
    <w:qFormat/>
    <w:uiPriority w:val="0"/>
    <w:rPr>
      <w:rFonts w:ascii="宋体" w:hAnsi="宋体" w:eastAsia="宋体" w:cs="Times New Roman"/>
      <w:sz w:val="24"/>
      <w:szCs w:val="22"/>
      <w:lang w:val="zh-CN" w:eastAsia="zh-CN" w:bidi="ar-SA"/>
    </w:rPr>
  </w:style>
  <w:style w:type="character" w:customStyle="1" w:styleId="178">
    <w:name w:val="页脚 Char1"/>
    <w:autoRedefine/>
    <w:qFormat/>
    <w:locked/>
    <w:uiPriority w:val="99"/>
    <w:rPr>
      <w:rFonts w:ascii="Times New Roman" w:hAnsi="Times New Roman" w:eastAsia="宋体" w:cs="Times New Roman"/>
      <w:sz w:val="18"/>
      <w:szCs w:val="18"/>
    </w:rPr>
  </w:style>
  <w:style w:type="character" w:customStyle="1" w:styleId="179">
    <w:name w:val="页脚 Char2"/>
    <w:autoRedefine/>
    <w:qFormat/>
    <w:locked/>
    <w:uiPriority w:val="99"/>
    <w:rPr>
      <w:kern w:val="2"/>
      <w:sz w:val="18"/>
      <w:szCs w:val="18"/>
    </w:rPr>
  </w:style>
  <w:style w:type="character" w:customStyle="1" w:styleId="180">
    <w:name w:val="页眉 字符"/>
    <w:link w:val="23"/>
    <w:autoRedefine/>
    <w:qFormat/>
    <w:uiPriority w:val="99"/>
    <w:rPr>
      <w:kern w:val="2"/>
      <w:sz w:val="18"/>
      <w:szCs w:val="18"/>
    </w:rPr>
  </w:style>
  <w:style w:type="paragraph" w:customStyle="1" w:styleId="181">
    <w:name w:val="索引 11"/>
    <w:basedOn w:val="1"/>
    <w:next w:val="1"/>
    <w:autoRedefine/>
    <w:qFormat/>
    <w:uiPriority w:val="99"/>
    <w:pPr>
      <w:spacing w:line="360" w:lineRule="auto"/>
    </w:pPr>
    <w:rPr>
      <w:rFonts w:ascii="仿宋_GB2312" w:hAnsi="Times New Roman" w:eastAsia="仿宋_GB2312"/>
      <w:sz w:val="24"/>
      <w:szCs w:val="20"/>
    </w:rPr>
  </w:style>
  <w:style w:type="paragraph" w:customStyle="1" w:styleId="182">
    <w:name w:val="正文缩进1"/>
    <w:basedOn w:val="1"/>
    <w:next w:val="25"/>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183">
    <w:name w:val="正文小四"/>
    <w:basedOn w:val="1"/>
    <w:autoRedefine/>
    <w:qFormat/>
    <w:uiPriority w:val="0"/>
    <w:pPr>
      <w:widowControl/>
      <w:spacing w:line="240" w:lineRule="auto"/>
      <w:ind w:firstLine="0" w:firstLineChars="0"/>
      <w:jc w:val="left"/>
    </w:pPr>
    <w:rPr>
      <w:rFonts w:ascii="仿宋" w:hAnsi="仿宋" w:cs="仿宋"/>
      <w:sz w:val="24"/>
    </w:rPr>
  </w:style>
  <w:style w:type="character" w:customStyle="1" w:styleId="184">
    <w:name w:val="font11"/>
    <w:basedOn w:val="35"/>
    <w:qFormat/>
    <w:uiPriority w:val="0"/>
    <w:rPr>
      <w:rFonts w:hint="default" w:ascii="仿宋_GB2312" w:eastAsia="仿宋_GB2312" w:cs="仿宋_GB2312"/>
      <w:color w:val="000000"/>
      <w:sz w:val="20"/>
      <w:szCs w:val="20"/>
      <w:u w:val="none"/>
    </w:rPr>
  </w:style>
  <w:style w:type="character" w:customStyle="1" w:styleId="185">
    <w:name w:val="font31"/>
    <w:basedOn w:val="35"/>
    <w:qFormat/>
    <w:uiPriority w:val="0"/>
    <w:rPr>
      <w:rFonts w:hint="default" w:ascii="仿宋_GB2312" w:eastAsia="仿宋_GB2312" w:cs="仿宋_GB2312"/>
      <w:color w:val="000000"/>
      <w:sz w:val="20"/>
      <w:szCs w:val="20"/>
      <w:u w:val="none"/>
    </w:rPr>
  </w:style>
  <w:style w:type="character" w:customStyle="1" w:styleId="186">
    <w:name w:val="font41"/>
    <w:basedOn w:val="35"/>
    <w:qFormat/>
    <w:uiPriority w:val="0"/>
    <w:rPr>
      <w:rFonts w:ascii="方正书宋_GBK" w:hAnsi="方正书宋_GBK" w:eastAsia="方正书宋_GBK" w:cs="方正书宋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54</Pages>
  <Words>13635</Words>
  <Characters>14191</Characters>
  <Lines>237</Lines>
  <Paragraphs>66</Paragraphs>
  <TotalTime>18</TotalTime>
  <ScaleCrop>false</ScaleCrop>
  <LinksUpToDate>false</LinksUpToDate>
  <CharactersWithSpaces>14373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2023-09-28T12:48:00Z</dcterms:created>
  <dc:creator>业务管理系统</dc:creator>
  <cp:lastModifiedBy>子小口鸟先森</cp:lastModifiedBy>
  <cp:lastPrinted>2025-06-04T17:01:00Z</cp:lastPrinted>
  <dcterms:modified xsi:type="dcterms:W3CDTF">2025-06-11T07:24:42Z</dcterms:modified>
  <dc:title>桐庐县疾病预防控制中心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14415646FB5665923AF63F683E69A664_43</vt:lpwstr>
  </property>
  <property fmtid="{D5CDD505-2E9C-101B-9397-08002B2CF9AE}" pid="4" name="KSOTemplateDocerSaveRecord">
    <vt:lpwstr>eyJoZGlkIjoiOGJhMWY2YzExNDZkM2U4OGIyZTAwMzhiYmRjMDY3NjYiLCJ1c2VySWQiOiI5NDM4ODQ1NzIifQ==</vt:lpwstr>
  </property>
</Properties>
</file>