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A9A3C3">
      <w:pPr>
        <w:pStyle w:val="18"/>
        <w:spacing w:line="360" w:lineRule="auto"/>
        <w:jc w:val="center"/>
        <w:rPr>
          <w:rFonts w:hint="eastAsia" w:cs="Courier New" w:asciiTheme="minorEastAsia" w:hAnsiTheme="minorEastAsia" w:eastAsiaTheme="minorEastAsia"/>
          <w:b/>
          <w:color w:val="FF0000"/>
          <w:sz w:val="36"/>
          <w:szCs w:val="36"/>
          <w:highlight w:val="yellow"/>
          <w:lang w:eastAsia="zh-CN"/>
        </w:rPr>
      </w:pPr>
      <w:bookmarkStart w:id="0" w:name="OLE_LINK4"/>
      <w:r>
        <w:rPr>
          <w:rFonts w:hint="eastAsia" w:cs="Courier New" w:asciiTheme="minorEastAsia" w:hAnsiTheme="minorEastAsia" w:eastAsiaTheme="minorEastAsia"/>
          <w:b/>
          <w:sz w:val="36"/>
          <w:szCs w:val="36"/>
          <w:lang w:eastAsia="zh-CN"/>
        </w:rPr>
        <w:t>桐庐县国有资本投资运营控股集团有限公司2025年申报非公开发行公司债券承销商服务采购项目</w:t>
      </w:r>
    </w:p>
    <w:bookmarkEnd w:id="0"/>
    <w:p w14:paraId="17FC5452">
      <w:pPr>
        <w:pStyle w:val="18"/>
        <w:spacing w:line="960" w:lineRule="auto"/>
        <w:jc w:val="center"/>
        <w:rPr>
          <w:rFonts w:hint="eastAsia" w:cs="Courier New" w:asciiTheme="minorEastAsia" w:hAnsiTheme="minorEastAsia" w:eastAsiaTheme="minorEastAsia"/>
          <w:b/>
          <w:sz w:val="36"/>
          <w:szCs w:val="36"/>
        </w:rPr>
      </w:pPr>
    </w:p>
    <w:p w14:paraId="463B9785">
      <w:pPr>
        <w:pStyle w:val="18"/>
        <w:spacing w:line="960" w:lineRule="auto"/>
        <w:jc w:val="center"/>
        <w:rPr>
          <w:rFonts w:hint="eastAsia" w:cs="Courier New" w:asciiTheme="minorEastAsia" w:hAnsiTheme="minorEastAsia" w:eastAsiaTheme="minorEastAsia"/>
          <w:b/>
          <w:sz w:val="36"/>
          <w:szCs w:val="36"/>
        </w:rPr>
      </w:pPr>
      <w:r>
        <w:rPr>
          <w:rFonts w:hint="eastAsia" w:cs="Courier New" w:asciiTheme="minorEastAsia" w:hAnsiTheme="minorEastAsia" w:eastAsiaTheme="minorEastAsia"/>
          <w:b/>
          <w:sz w:val="36"/>
          <w:szCs w:val="36"/>
        </w:rPr>
        <w:t>招标文件</w:t>
      </w:r>
    </w:p>
    <w:p w14:paraId="773098F6">
      <w:pPr>
        <w:jc w:val="center"/>
        <w:rPr>
          <w:rFonts w:hint="eastAsia" w:asciiTheme="minorEastAsia" w:hAnsiTheme="minorEastAsia" w:eastAsiaTheme="minorEastAsia"/>
          <w:sz w:val="30"/>
          <w:szCs w:val="30"/>
        </w:rPr>
      </w:pPr>
      <w:r>
        <w:rPr>
          <w:rFonts w:hint="eastAsia" w:asciiTheme="minorEastAsia" w:hAnsiTheme="minorEastAsia" w:eastAsiaTheme="minorEastAsia"/>
          <w:sz w:val="30"/>
          <w:szCs w:val="30"/>
        </w:rPr>
        <w:t>（编号</w:t>
      </w:r>
      <w:r>
        <w:rPr>
          <w:rFonts w:hint="eastAsia" w:asciiTheme="minorEastAsia" w:hAnsiTheme="minorEastAsia" w:eastAsiaTheme="minorEastAsia"/>
          <w:color w:val="000000"/>
          <w:sz w:val="30"/>
          <w:szCs w:val="30"/>
        </w:rPr>
        <w:t>：</w:t>
      </w:r>
      <w:r>
        <w:rPr>
          <w:rFonts w:hint="eastAsia" w:asciiTheme="minorEastAsia" w:hAnsiTheme="minorEastAsia" w:eastAsiaTheme="minorEastAsia"/>
          <w:sz w:val="30"/>
          <w:szCs w:val="30"/>
          <w:lang w:eastAsia="zh-CN"/>
        </w:rPr>
        <w:t>YHJS-TLZFCG-2025-023</w:t>
      </w:r>
      <w:r>
        <w:rPr>
          <w:rFonts w:hint="eastAsia" w:asciiTheme="minorEastAsia" w:hAnsiTheme="minorEastAsia" w:eastAsiaTheme="minorEastAsia"/>
          <w:sz w:val="30"/>
          <w:szCs w:val="30"/>
        </w:rPr>
        <w:t>）</w:t>
      </w:r>
    </w:p>
    <w:p w14:paraId="1E6918CB">
      <w:pPr>
        <w:jc w:val="center"/>
        <w:rPr>
          <w:rFonts w:hint="eastAsia" w:asciiTheme="minorEastAsia" w:hAnsiTheme="minorEastAsia" w:eastAsiaTheme="minorEastAsia"/>
          <w:sz w:val="30"/>
          <w:szCs w:val="30"/>
        </w:rPr>
      </w:pPr>
    </w:p>
    <w:p w14:paraId="40E8EE4D">
      <w:pPr>
        <w:tabs>
          <w:tab w:val="left" w:pos="1980"/>
          <w:tab w:val="left" w:pos="3240"/>
          <w:tab w:val="left" w:pos="3420"/>
          <w:tab w:val="left" w:pos="3600"/>
          <w:tab w:val="left" w:pos="3780"/>
        </w:tabs>
        <w:ind w:left="-180" w:leftChars="-86" w:firstLine="3"/>
        <w:rPr>
          <w:rFonts w:hint="eastAsia" w:asciiTheme="minorEastAsia" w:hAnsiTheme="minorEastAsia" w:eastAsiaTheme="minorEastAsia"/>
          <w:b/>
          <w:sz w:val="48"/>
          <w:szCs w:val="48"/>
        </w:rPr>
      </w:pPr>
    </w:p>
    <w:p w14:paraId="430ACF8C">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p>
    <w:p w14:paraId="10C903F5">
      <w:pPr>
        <w:pStyle w:val="25"/>
        <w:spacing w:before="156" w:after="156"/>
        <w:ind w:firstLine="320"/>
        <w:rPr>
          <w:rFonts w:hint="eastAsia" w:asciiTheme="minorEastAsia" w:hAnsiTheme="minorEastAsia" w:eastAsiaTheme="minorEastAsia"/>
          <w:sz w:val="32"/>
        </w:rPr>
      </w:pPr>
    </w:p>
    <w:p w14:paraId="0AA9762B"/>
    <w:p w14:paraId="222710E3">
      <w:pPr>
        <w:tabs>
          <w:tab w:val="left" w:pos="1980"/>
          <w:tab w:val="left" w:pos="3240"/>
          <w:tab w:val="left" w:pos="3420"/>
          <w:tab w:val="left" w:pos="3600"/>
          <w:tab w:val="left" w:pos="3780"/>
        </w:tabs>
        <w:ind w:left="-180" w:leftChars="-86" w:firstLine="640" w:firstLineChars="200"/>
        <w:rPr>
          <w:rFonts w:hint="eastAsia" w:cs="Courier New" w:asciiTheme="minorEastAsia" w:hAnsiTheme="minorEastAsia" w:eastAsiaTheme="minorEastAsia"/>
          <w:sz w:val="32"/>
          <w:szCs w:val="32"/>
          <w:u w:val="single"/>
        </w:rPr>
      </w:pPr>
      <w:r>
        <w:rPr>
          <w:rFonts w:hint="eastAsia" w:asciiTheme="minorEastAsia" w:hAnsiTheme="minorEastAsia" w:eastAsiaTheme="minorEastAsia"/>
          <w:sz w:val="32"/>
        </w:rPr>
        <w:t>采购单位 ：</w:t>
      </w:r>
      <w:r>
        <w:rPr>
          <w:rFonts w:hint="eastAsia" w:asciiTheme="minorEastAsia" w:hAnsiTheme="minorEastAsia" w:eastAsiaTheme="minorEastAsia"/>
          <w:sz w:val="32"/>
          <w:u w:val="single"/>
        </w:rPr>
        <w:t xml:space="preserve">  桐庐县国有资本投资运营控股集团有限公司        </w:t>
      </w:r>
    </w:p>
    <w:p w14:paraId="4FBF8FF5">
      <w:pPr>
        <w:tabs>
          <w:tab w:val="left" w:pos="1980"/>
          <w:tab w:val="left" w:pos="3240"/>
          <w:tab w:val="left" w:pos="3420"/>
          <w:tab w:val="left" w:pos="3600"/>
          <w:tab w:val="left" w:pos="3780"/>
        </w:tabs>
        <w:rPr>
          <w:rFonts w:hint="eastAsia" w:asciiTheme="minorEastAsia" w:hAnsiTheme="minorEastAsia" w:eastAsiaTheme="minorEastAsia"/>
          <w:sz w:val="32"/>
        </w:rPr>
      </w:pPr>
    </w:p>
    <w:p w14:paraId="03028C64">
      <w:pPr>
        <w:tabs>
          <w:tab w:val="left" w:pos="1620"/>
          <w:tab w:val="left" w:pos="1800"/>
          <w:tab w:val="left" w:pos="1980"/>
        </w:tabs>
        <w:rPr>
          <w:rFonts w:hint="eastAsia" w:asciiTheme="minorEastAsia" w:hAnsiTheme="minorEastAsia" w:eastAsiaTheme="minorEastAsia"/>
          <w:sz w:val="32"/>
          <w:u w:val="single"/>
        </w:rPr>
      </w:pPr>
      <w:r>
        <w:rPr>
          <w:rFonts w:hint="eastAsia" w:asciiTheme="minorEastAsia" w:hAnsiTheme="minorEastAsia" w:eastAsiaTheme="minorEastAsia"/>
          <w:sz w:val="32"/>
        </w:rPr>
        <w:t xml:space="preserve">   </w:t>
      </w:r>
      <w:r>
        <w:rPr>
          <w:rFonts w:hint="eastAsia" w:asciiTheme="minorEastAsia" w:hAnsiTheme="minorEastAsia" w:eastAsiaTheme="minorEastAsia"/>
          <w:sz w:val="33"/>
          <w:szCs w:val="33"/>
        </w:rPr>
        <w:t>采购代理机构 ：</w:t>
      </w:r>
      <w:r>
        <w:rPr>
          <w:rFonts w:hint="eastAsia" w:asciiTheme="minorEastAsia" w:hAnsiTheme="minorEastAsia" w:eastAsiaTheme="minorEastAsia"/>
          <w:sz w:val="32"/>
          <w:u w:val="single"/>
        </w:rPr>
        <w:t xml:space="preserve">     耀华建设管理有限公司         </w:t>
      </w:r>
    </w:p>
    <w:p w14:paraId="13D07867">
      <w:pPr>
        <w:tabs>
          <w:tab w:val="left" w:pos="1620"/>
          <w:tab w:val="left" w:pos="1800"/>
          <w:tab w:val="left" w:pos="1980"/>
        </w:tabs>
        <w:rPr>
          <w:rFonts w:hint="eastAsia" w:asciiTheme="minorEastAsia" w:hAnsiTheme="minorEastAsia" w:eastAsiaTheme="minorEastAsia"/>
          <w:sz w:val="33"/>
          <w:szCs w:val="33"/>
          <w:u w:val="single"/>
        </w:rPr>
      </w:pPr>
    </w:p>
    <w:p w14:paraId="3FA7B102">
      <w:pPr>
        <w:tabs>
          <w:tab w:val="left" w:pos="1620"/>
          <w:tab w:val="left" w:pos="1800"/>
          <w:tab w:val="left" w:pos="1980"/>
        </w:tabs>
        <w:rPr>
          <w:rFonts w:hint="eastAsia" w:asciiTheme="minorEastAsia" w:hAnsiTheme="minorEastAsia" w:eastAsiaTheme="minorEastAsia"/>
          <w:spacing w:val="20"/>
          <w:sz w:val="33"/>
          <w:szCs w:val="33"/>
        </w:rPr>
      </w:pPr>
    </w:p>
    <w:p w14:paraId="1F3E5CF1">
      <w:pPr>
        <w:tabs>
          <w:tab w:val="left" w:pos="1620"/>
          <w:tab w:val="left" w:pos="1800"/>
          <w:tab w:val="left" w:pos="1980"/>
        </w:tabs>
        <w:rPr>
          <w:rFonts w:hint="eastAsia" w:asciiTheme="minorEastAsia" w:hAnsiTheme="minorEastAsia" w:eastAsiaTheme="minorEastAsia"/>
          <w:spacing w:val="20"/>
          <w:sz w:val="33"/>
          <w:szCs w:val="33"/>
        </w:rPr>
      </w:pPr>
    </w:p>
    <w:p w14:paraId="36803A68">
      <w:pPr>
        <w:tabs>
          <w:tab w:val="left" w:pos="1620"/>
          <w:tab w:val="left" w:pos="1800"/>
          <w:tab w:val="left" w:pos="1980"/>
        </w:tabs>
        <w:rPr>
          <w:rFonts w:hint="eastAsia" w:asciiTheme="minorEastAsia" w:hAnsiTheme="minorEastAsia" w:eastAsiaTheme="minorEastAsia"/>
          <w:spacing w:val="20"/>
          <w:sz w:val="33"/>
          <w:szCs w:val="33"/>
        </w:rPr>
      </w:pPr>
    </w:p>
    <w:p w14:paraId="1CDBE92D">
      <w:pPr>
        <w:pStyle w:val="20"/>
        <w:ind w:left="98" w:leftChars="47"/>
        <w:jc w:val="center"/>
        <w:rPr>
          <w:rFonts w:hint="eastAsia" w:asciiTheme="minorEastAsia" w:hAnsiTheme="minorEastAsia" w:eastAsiaTheme="minorEastAsia"/>
          <w:sz w:val="33"/>
          <w:szCs w:val="33"/>
          <w:shd w:val="clear" w:color="FFFFFF" w:fill="D9D9D9"/>
        </w:rPr>
        <w:sectPr>
          <w:footerReference r:id="rId9" w:type="first"/>
          <w:headerReference r:id="rId5" w:type="default"/>
          <w:footerReference r:id="rId7" w:type="default"/>
          <w:headerReference r:id="rId6" w:type="even"/>
          <w:footerReference r:id="rId8" w:type="even"/>
          <w:pgSz w:w="11906" w:h="16838"/>
          <w:pgMar w:top="1417" w:right="1418" w:bottom="1417" w:left="1418" w:header="851" w:footer="992" w:gutter="0"/>
          <w:pgNumType w:fmt="decimal" w:start="1"/>
          <w:cols w:space="720" w:num="1"/>
          <w:titlePg/>
          <w:docGrid w:type="linesAndChars" w:linePitch="312" w:charSpace="0"/>
        </w:sectPr>
      </w:pPr>
      <w:r>
        <w:rPr>
          <w:rFonts w:hint="eastAsia" w:asciiTheme="minorEastAsia" w:hAnsiTheme="minorEastAsia" w:eastAsiaTheme="minorEastAsia"/>
          <w:sz w:val="33"/>
          <w:szCs w:val="33"/>
        </w:rPr>
        <w:t>2025年</w:t>
      </w:r>
      <w:r>
        <w:rPr>
          <w:rFonts w:hint="eastAsia" w:asciiTheme="minorEastAsia" w:hAnsiTheme="minorEastAsia" w:eastAsiaTheme="minorEastAsia"/>
          <w:sz w:val="33"/>
          <w:szCs w:val="33"/>
          <w:lang w:val="en-US" w:eastAsia="zh-CN"/>
        </w:rPr>
        <w:t>06</w:t>
      </w:r>
      <w:r>
        <w:rPr>
          <w:rFonts w:hint="eastAsia" w:asciiTheme="minorEastAsia" w:hAnsiTheme="minorEastAsia" w:eastAsiaTheme="minorEastAsia"/>
          <w:sz w:val="33"/>
          <w:szCs w:val="33"/>
        </w:rPr>
        <w:t>月</w:t>
      </w:r>
    </w:p>
    <w:p w14:paraId="652B2832">
      <w:pPr>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目 录</w:t>
      </w:r>
    </w:p>
    <w:p w14:paraId="43B1EDCA">
      <w:pPr>
        <w:rPr>
          <w:rFonts w:hint="eastAsia" w:asciiTheme="minorEastAsia" w:hAnsiTheme="minorEastAsia" w:eastAsiaTheme="minorEastAsia"/>
        </w:rPr>
      </w:pPr>
    </w:p>
    <w:p w14:paraId="1BFC403E">
      <w:pPr>
        <w:numPr>
          <w:ilvl w:val="0"/>
          <w:numId w:val="5"/>
        </w:numPr>
        <w:tabs>
          <w:tab w:val="clear" w:pos="1455"/>
        </w:tabs>
        <w:spacing w:before="120" w:beforeLines="50" w:line="360" w:lineRule="auto"/>
        <w:ind w:left="1440"/>
        <w:rPr>
          <w:rFonts w:hint="eastAsia" w:asciiTheme="minorEastAsia" w:hAnsiTheme="minorEastAsia" w:eastAsiaTheme="minorEastAsia"/>
          <w:sz w:val="30"/>
        </w:rPr>
      </w:pPr>
      <w:r>
        <w:rPr>
          <w:rFonts w:hint="eastAsia" w:asciiTheme="minorEastAsia" w:hAnsiTheme="minorEastAsia" w:eastAsiaTheme="minorEastAsia"/>
          <w:sz w:val="30"/>
        </w:rPr>
        <w:t>招标公告</w:t>
      </w:r>
    </w:p>
    <w:p w14:paraId="3739468B">
      <w:pPr>
        <w:numPr>
          <w:ilvl w:val="0"/>
          <w:numId w:val="5"/>
        </w:numPr>
        <w:tabs>
          <w:tab w:val="clear" w:pos="1455"/>
        </w:tabs>
        <w:spacing w:before="120" w:beforeLines="50" w:line="360" w:lineRule="auto"/>
        <w:ind w:left="1440"/>
        <w:rPr>
          <w:rFonts w:hint="eastAsia" w:asciiTheme="minorEastAsia" w:hAnsiTheme="minorEastAsia" w:eastAsiaTheme="minorEastAsia"/>
          <w:sz w:val="30"/>
        </w:rPr>
      </w:pPr>
      <w:r>
        <w:rPr>
          <w:rFonts w:hint="eastAsia" w:asciiTheme="minorEastAsia" w:hAnsiTheme="minorEastAsia" w:eastAsiaTheme="minorEastAsia"/>
          <w:sz w:val="30"/>
        </w:rPr>
        <w:t>招标需求</w:t>
      </w:r>
    </w:p>
    <w:p w14:paraId="2B5408EE">
      <w:pPr>
        <w:numPr>
          <w:ilvl w:val="0"/>
          <w:numId w:val="5"/>
        </w:numPr>
        <w:tabs>
          <w:tab w:val="clear" w:pos="1455"/>
        </w:tabs>
        <w:spacing w:before="120" w:beforeLines="50" w:line="360" w:lineRule="auto"/>
        <w:ind w:left="1440"/>
        <w:rPr>
          <w:rFonts w:hint="eastAsia" w:asciiTheme="minorEastAsia" w:hAnsiTheme="minorEastAsia" w:eastAsiaTheme="minorEastAsia"/>
          <w:sz w:val="30"/>
        </w:rPr>
      </w:pPr>
      <w:r>
        <w:rPr>
          <w:rFonts w:hint="eastAsia" w:asciiTheme="minorEastAsia" w:hAnsiTheme="minorEastAsia" w:eastAsiaTheme="minorEastAsia"/>
          <w:sz w:val="30"/>
        </w:rPr>
        <w:t>投标人须知</w:t>
      </w:r>
    </w:p>
    <w:p w14:paraId="51E76269">
      <w:pPr>
        <w:spacing w:before="120" w:beforeLines="50" w:line="360" w:lineRule="auto"/>
        <w:ind w:left="1440"/>
        <w:rPr>
          <w:rFonts w:hint="eastAsia" w:asciiTheme="minorEastAsia" w:hAnsiTheme="minorEastAsia" w:eastAsiaTheme="minorEastAsia"/>
          <w:sz w:val="30"/>
        </w:rPr>
      </w:pPr>
      <w:r>
        <w:rPr>
          <w:rFonts w:hint="eastAsia" w:asciiTheme="minorEastAsia" w:hAnsiTheme="minorEastAsia" w:eastAsiaTheme="minorEastAsia"/>
          <w:sz w:val="30"/>
        </w:rPr>
        <w:t>前附表</w:t>
      </w:r>
    </w:p>
    <w:p w14:paraId="34B728B7">
      <w:pPr>
        <w:numPr>
          <w:ilvl w:val="1"/>
          <w:numId w:val="5"/>
        </w:numPr>
        <w:tabs>
          <w:tab w:val="clear" w:pos="1320"/>
        </w:tabs>
        <w:spacing w:before="120" w:beforeLines="50" w:line="360" w:lineRule="auto"/>
        <w:ind w:left="1305"/>
        <w:rPr>
          <w:rFonts w:hint="eastAsia" w:asciiTheme="minorEastAsia" w:hAnsiTheme="minorEastAsia" w:eastAsiaTheme="minorEastAsia"/>
          <w:sz w:val="30"/>
        </w:rPr>
      </w:pPr>
      <w:r>
        <w:rPr>
          <w:rFonts w:hint="eastAsia" w:asciiTheme="minorEastAsia" w:hAnsiTheme="minorEastAsia" w:eastAsiaTheme="minorEastAsia"/>
          <w:sz w:val="30"/>
        </w:rPr>
        <w:t xml:space="preserve"> 总 则</w:t>
      </w:r>
    </w:p>
    <w:p w14:paraId="71A1D4C3">
      <w:pPr>
        <w:numPr>
          <w:ilvl w:val="1"/>
          <w:numId w:val="5"/>
        </w:numPr>
        <w:tabs>
          <w:tab w:val="clear" w:pos="1320"/>
        </w:tabs>
        <w:spacing w:before="120" w:beforeLines="50" w:line="360" w:lineRule="auto"/>
        <w:ind w:left="1305"/>
        <w:rPr>
          <w:rFonts w:hint="eastAsia" w:asciiTheme="minorEastAsia" w:hAnsiTheme="minorEastAsia" w:eastAsiaTheme="minorEastAsia"/>
          <w:sz w:val="30"/>
        </w:rPr>
      </w:pPr>
      <w:r>
        <w:rPr>
          <w:rFonts w:hint="eastAsia" w:asciiTheme="minorEastAsia" w:hAnsiTheme="minorEastAsia" w:eastAsiaTheme="minorEastAsia"/>
          <w:sz w:val="30"/>
        </w:rPr>
        <w:t xml:space="preserve"> 招标文件</w:t>
      </w:r>
    </w:p>
    <w:p w14:paraId="686C2656">
      <w:pPr>
        <w:numPr>
          <w:ilvl w:val="1"/>
          <w:numId w:val="5"/>
        </w:numPr>
        <w:tabs>
          <w:tab w:val="clear" w:pos="1320"/>
        </w:tabs>
        <w:spacing w:before="120" w:beforeLines="50" w:line="360" w:lineRule="auto"/>
        <w:ind w:left="1305"/>
        <w:rPr>
          <w:rFonts w:hint="eastAsia" w:asciiTheme="minorEastAsia" w:hAnsiTheme="minorEastAsia" w:eastAsiaTheme="minorEastAsia"/>
          <w:sz w:val="30"/>
        </w:rPr>
      </w:pPr>
      <w:r>
        <w:rPr>
          <w:rFonts w:hint="eastAsia" w:asciiTheme="minorEastAsia" w:hAnsiTheme="minorEastAsia" w:eastAsiaTheme="minorEastAsia"/>
          <w:sz w:val="30"/>
        </w:rPr>
        <w:t xml:space="preserve"> 投标文件的编制</w:t>
      </w:r>
    </w:p>
    <w:p w14:paraId="1807A7DB">
      <w:pPr>
        <w:numPr>
          <w:ilvl w:val="1"/>
          <w:numId w:val="5"/>
        </w:numPr>
        <w:tabs>
          <w:tab w:val="clear" w:pos="1320"/>
        </w:tabs>
        <w:spacing w:before="120" w:beforeLines="50" w:line="360" w:lineRule="auto"/>
        <w:ind w:left="1305"/>
        <w:rPr>
          <w:rFonts w:hint="eastAsia" w:asciiTheme="minorEastAsia" w:hAnsiTheme="minorEastAsia" w:eastAsiaTheme="minorEastAsia"/>
          <w:sz w:val="30"/>
        </w:rPr>
      </w:pPr>
      <w:r>
        <w:rPr>
          <w:rFonts w:hint="eastAsia" w:asciiTheme="minorEastAsia" w:hAnsiTheme="minorEastAsia" w:eastAsiaTheme="minorEastAsia"/>
          <w:sz w:val="30"/>
        </w:rPr>
        <w:t xml:space="preserve"> 开标 </w:t>
      </w:r>
    </w:p>
    <w:p w14:paraId="78BF44A3">
      <w:pPr>
        <w:numPr>
          <w:ilvl w:val="1"/>
          <w:numId w:val="5"/>
        </w:numPr>
        <w:tabs>
          <w:tab w:val="clear" w:pos="1320"/>
        </w:tabs>
        <w:spacing w:before="120" w:beforeLines="50" w:line="360" w:lineRule="auto"/>
        <w:ind w:left="1305"/>
        <w:rPr>
          <w:rFonts w:hint="eastAsia" w:asciiTheme="minorEastAsia" w:hAnsiTheme="minorEastAsia" w:eastAsiaTheme="minorEastAsia"/>
          <w:sz w:val="30"/>
        </w:rPr>
      </w:pPr>
      <w:r>
        <w:rPr>
          <w:rFonts w:hint="eastAsia" w:asciiTheme="minorEastAsia" w:hAnsiTheme="minorEastAsia" w:eastAsiaTheme="minorEastAsia"/>
          <w:sz w:val="30"/>
        </w:rPr>
        <w:t xml:space="preserve"> 评标</w:t>
      </w:r>
    </w:p>
    <w:p w14:paraId="5CB91760">
      <w:pPr>
        <w:numPr>
          <w:ilvl w:val="1"/>
          <w:numId w:val="5"/>
        </w:numPr>
        <w:tabs>
          <w:tab w:val="clear" w:pos="1320"/>
        </w:tabs>
        <w:spacing w:before="120" w:beforeLines="50" w:line="360" w:lineRule="auto"/>
        <w:ind w:left="1305"/>
        <w:rPr>
          <w:rFonts w:hint="eastAsia" w:asciiTheme="minorEastAsia" w:hAnsiTheme="minorEastAsia" w:eastAsiaTheme="minorEastAsia"/>
          <w:sz w:val="30"/>
        </w:rPr>
      </w:pPr>
      <w:r>
        <w:rPr>
          <w:rFonts w:hint="eastAsia" w:asciiTheme="minorEastAsia" w:hAnsiTheme="minorEastAsia" w:eastAsiaTheme="minorEastAsia"/>
          <w:sz w:val="30"/>
        </w:rPr>
        <w:t xml:space="preserve"> 定标</w:t>
      </w:r>
    </w:p>
    <w:p w14:paraId="43C2A8F3">
      <w:pPr>
        <w:numPr>
          <w:ilvl w:val="1"/>
          <w:numId w:val="5"/>
        </w:numPr>
        <w:tabs>
          <w:tab w:val="clear" w:pos="1320"/>
        </w:tabs>
        <w:spacing w:before="120" w:beforeLines="50" w:line="360" w:lineRule="auto"/>
        <w:ind w:left="1305"/>
        <w:rPr>
          <w:rFonts w:hint="eastAsia" w:asciiTheme="minorEastAsia" w:hAnsiTheme="minorEastAsia" w:eastAsiaTheme="minorEastAsia"/>
          <w:sz w:val="30"/>
        </w:rPr>
      </w:pPr>
      <w:r>
        <w:rPr>
          <w:rFonts w:hint="eastAsia" w:asciiTheme="minorEastAsia" w:hAnsiTheme="minorEastAsia" w:eastAsiaTheme="minorEastAsia"/>
          <w:sz w:val="30"/>
        </w:rPr>
        <w:t xml:space="preserve"> 合同授予</w:t>
      </w:r>
    </w:p>
    <w:p w14:paraId="1DD83B69">
      <w:pPr>
        <w:numPr>
          <w:ilvl w:val="0"/>
          <w:numId w:val="5"/>
        </w:numPr>
        <w:tabs>
          <w:tab w:val="clear" w:pos="1455"/>
        </w:tabs>
        <w:spacing w:before="120" w:beforeLines="50" w:line="360" w:lineRule="auto"/>
        <w:ind w:left="1440"/>
        <w:rPr>
          <w:rFonts w:hint="eastAsia" w:asciiTheme="minorEastAsia" w:hAnsiTheme="minorEastAsia" w:eastAsiaTheme="minorEastAsia"/>
          <w:sz w:val="30"/>
        </w:rPr>
      </w:pPr>
      <w:r>
        <w:rPr>
          <w:rFonts w:hint="eastAsia" w:asciiTheme="minorEastAsia" w:hAnsiTheme="minorEastAsia" w:eastAsiaTheme="minorEastAsia"/>
          <w:sz w:val="30"/>
        </w:rPr>
        <w:t>评标办法及评分标准</w:t>
      </w:r>
    </w:p>
    <w:p w14:paraId="0B6BE96A">
      <w:pPr>
        <w:numPr>
          <w:ilvl w:val="0"/>
          <w:numId w:val="5"/>
        </w:numPr>
        <w:tabs>
          <w:tab w:val="clear" w:pos="1455"/>
        </w:tabs>
        <w:spacing w:before="120" w:beforeLines="50" w:line="360" w:lineRule="auto"/>
        <w:ind w:left="1440"/>
        <w:rPr>
          <w:rFonts w:hint="eastAsia" w:asciiTheme="minorEastAsia" w:hAnsiTheme="minorEastAsia" w:eastAsiaTheme="minorEastAsia"/>
          <w:sz w:val="30"/>
        </w:rPr>
      </w:pPr>
      <w:r>
        <w:rPr>
          <w:rFonts w:hint="eastAsia" w:asciiTheme="minorEastAsia" w:hAnsiTheme="minorEastAsia" w:eastAsiaTheme="minorEastAsia"/>
          <w:sz w:val="30"/>
        </w:rPr>
        <w:t>采购合同</w:t>
      </w:r>
    </w:p>
    <w:p w14:paraId="45E638D0">
      <w:pPr>
        <w:numPr>
          <w:ilvl w:val="0"/>
          <w:numId w:val="5"/>
        </w:numPr>
        <w:tabs>
          <w:tab w:val="clear" w:pos="1455"/>
        </w:tabs>
        <w:spacing w:before="120" w:beforeLines="50" w:line="360" w:lineRule="auto"/>
        <w:ind w:left="1440"/>
        <w:rPr>
          <w:rFonts w:hint="eastAsia" w:asciiTheme="minorEastAsia" w:hAnsiTheme="minorEastAsia" w:eastAsiaTheme="minorEastAsia"/>
          <w:sz w:val="30"/>
        </w:rPr>
      </w:pPr>
      <w:r>
        <w:rPr>
          <w:rFonts w:hint="eastAsia" w:asciiTheme="minorEastAsia" w:hAnsiTheme="minorEastAsia" w:eastAsiaTheme="minorEastAsia"/>
          <w:sz w:val="30"/>
        </w:rPr>
        <w:t>投标文件格式</w:t>
      </w:r>
    </w:p>
    <w:p w14:paraId="2C1E4AF9">
      <w:pPr>
        <w:spacing w:line="360" w:lineRule="auto"/>
        <w:jc w:val="center"/>
        <w:rPr>
          <w:rFonts w:hint="eastAsia" w:cs="Arial" w:asciiTheme="minorEastAsia" w:hAnsiTheme="minorEastAsia" w:eastAsiaTheme="minorEastAsia"/>
          <w:b/>
          <w:bCs/>
          <w:sz w:val="24"/>
        </w:rPr>
      </w:pPr>
      <w:r>
        <w:rPr>
          <w:rFonts w:asciiTheme="minorEastAsia" w:hAnsiTheme="minorEastAsia" w:eastAsiaTheme="minorEastAsia"/>
          <w:b/>
          <w:sz w:val="32"/>
        </w:rPr>
        <w:br w:type="page"/>
      </w:r>
      <w:r>
        <w:rPr>
          <w:rFonts w:hint="eastAsia" w:asciiTheme="minorEastAsia" w:hAnsiTheme="minorEastAsia" w:eastAsiaTheme="minorEastAsia"/>
          <w:b/>
          <w:sz w:val="32"/>
          <w:szCs w:val="32"/>
        </w:rPr>
        <w:t>第一章   招标公告</w:t>
      </w:r>
    </w:p>
    <w:p w14:paraId="212EE9E8">
      <w:pPr>
        <w:wordWrap w:val="0"/>
        <w:topLinePunct/>
        <w:spacing w:line="360" w:lineRule="auto"/>
        <w:ind w:firstLine="480" w:firstLineChars="200"/>
        <w:rPr>
          <w:rFonts w:hint="eastAsia" w:ascii="宋体" w:hAnsi="宋体" w:cs="宋体"/>
          <w:sz w:val="24"/>
        </w:rPr>
      </w:pPr>
      <w:r>
        <w:rPr>
          <w:rFonts w:hint="eastAsia" w:ascii="宋体" w:hAnsi="宋体" w:cs="宋体"/>
          <w:sz w:val="24"/>
        </w:rPr>
        <w:t>耀华建设管理有限公司受桐庐县国有资本投资运营控股集团有限公司委托，就</w:t>
      </w:r>
      <w:r>
        <w:rPr>
          <w:rFonts w:hint="eastAsia" w:ascii="宋体" w:hAnsi="宋体" w:cs="宋体"/>
          <w:sz w:val="24"/>
          <w:lang w:eastAsia="zh-CN"/>
        </w:rPr>
        <w:t>桐庐县国有资本投资运营控股集团有限公司2025年申报非公开发行公司债券承销商服务采购项目</w:t>
      </w:r>
      <w:r>
        <w:rPr>
          <w:rFonts w:hint="eastAsia" w:ascii="宋体" w:hAnsi="宋体" w:cs="宋体"/>
          <w:sz w:val="24"/>
        </w:rPr>
        <w:t>进行公开招标，欢迎国内合格的供应商前来投标。</w:t>
      </w:r>
    </w:p>
    <w:p w14:paraId="1FD02CA5">
      <w:pPr>
        <w:wordWrap w:val="0"/>
        <w:topLinePunct/>
        <w:spacing w:line="360" w:lineRule="auto"/>
        <w:ind w:firstLine="482" w:firstLineChars="200"/>
        <w:rPr>
          <w:rFonts w:hint="eastAsia" w:ascii="宋体" w:hAnsi="宋体" w:cs="宋体"/>
          <w:sz w:val="24"/>
        </w:rPr>
      </w:pPr>
      <w:r>
        <w:rPr>
          <w:rFonts w:hint="eastAsia" w:ascii="宋体" w:hAnsi="宋体" w:cs="宋体"/>
          <w:b/>
          <w:bCs/>
          <w:sz w:val="24"/>
        </w:rPr>
        <w:t>一、项目基本情况</w:t>
      </w:r>
    </w:p>
    <w:p w14:paraId="104D74BC">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项目编号：</w:t>
      </w:r>
      <w:bookmarkStart w:id="1" w:name="OLE_LINK1"/>
      <w:r>
        <w:rPr>
          <w:rFonts w:hint="eastAsia" w:ascii="宋体" w:hAnsi="宋体" w:cs="宋体"/>
          <w:sz w:val="24"/>
          <w:lang w:eastAsia="zh-CN"/>
        </w:rPr>
        <w:t>YHJS-TLZFCG-2025-023</w:t>
      </w:r>
    </w:p>
    <w:bookmarkEnd w:id="1"/>
    <w:p w14:paraId="06840C05">
      <w:pPr>
        <w:spacing w:line="360" w:lineRule="auto"/>
        <w:ind w:firstLine="480" w:firstLineChars="200"/>
        <w:rPr>
          <w:rFonts w:hint="eastAsia" w:ascii="宋体" w:hAnsi="宋体" w:cs="宋体"/>
          <w:sz w:val="24"/>
        </w:rPr>
      </w:pPr>
      <w:r>
        <w:rPr>
          <w:rFonts w:hint="eastAsia" w:ascii="宋体" w:hAnsi="宋体" w:cs="宋体"/>
          <w:sz w:val="24"/>
        </w:rPr>
        <w:t>项目名称：</w:t>
      </w:r>
      <w:r>
        <w:rPr>
          <w:rFonts w:hint="eastAsia" w:ascii="宋体" w:hAnsi="宋体" w:cs="宋体"/>
          <w:sz w:val="24"/>
          <w:lang w:eastAsia="zh-CN"/>
        </w:rPr>
        <w:t>桐庐县国有资本投资运营控股集团有限公司2025年申报非公开发行公司债券承销商服务采购项目</w:t>
      </w:r>
      <w:r>
        <w:rPr>
          <w:rFonts w:hint="eastAsia" w:ascii="宋体" w:hAnsi="宋体" w:cs="宋体"/>
          <w:sz w:val="24"/>
        </w:rPr>
        <w:t xml:space="preserve"> </w:t>
      </w:r>
    </w:p>
    <w:p w14:paraId="12CDC661">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发行规模：</w:t>
      </w:r>
      <w:r>
        <w:rPr>
          <w:rFonts w:hint="eastAsia" w:ascii="宋体" w:hAnsi="宋体" w:cs="宋体"/>
          <w:sz w:val="24"/>
        </w:rPr>
        <w:t>不超过（含）</w:t>
      </w:r>
      <w:r>
        <w:rPr>
          <w:rFonts w:hint="eastAsia" w:ascii="宋体" w:hAnsi="宋体" w:cs="宋体"/>
          <w:sz w:val="24"/>
          <w:u w:val="single"/>
          <w:lang w:eastAsia="zh-CN"/>
        </w:rPr>
        <w:t>12.80 亿</w:t>
      </w:r>
      <w:r>
        <w:rPr>
          <w:rFonts w:hint="eastAsia" w:ascii="宋体" w:hAnsi="宋体" w:cs="宋体"/>
          <w:sz w:val="24"/>
        </w:rPr>
        <w:t>元人民币；</w:t>
      </w:r>
    </w:p>
    <w:p w14:paraId="7B40314E">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发行币种：人民币；</w:t>
      </w:r>
    </w:p>
    <w:p w14:paraId="68B074C5">
      <w:pPr>
        <w:tabs>
          <w:tab w:val="left" w:pos="1440"/>
        </w:tabs>
        <w:spacing w:line="360" w:lineRule="auto"/>
        <w:ind w:firstLine="480" w:firstLineChars="200"/>
        <w:rPr>
          <w:rFonts w:hint="eastAsia" w:ascii="宋体" w:hAnsi="宋体" w:cs="宋体"/>
          <w:sz w:val="24"/>
        </w:rPr>
      </w:pPr>
      <w:r>
        <w:rPr>
          <w:rFonts w:hint="eastAsia" w:ascii="宋体" w:hAnsi="宋体" w:cs="宋体"/>
          <w:color w:val="000000"/>
          <w:kern w:val="0"/>
          <w:sz w:val="24"/>
          <w:lang w:bidi="ar"/>
        </w:rPr>
        <w:t>发行期限：</w:t>
      </w:r>
      <w:r>
        <w:rPr>
          <w:rFonts w:hint="eastAsia" w:ascii="宋体" w:hAnsi="宋体" w:cs="宋体"/>
          <w:sz w:val="24"/>
        </w:rPr>
        <w:t>不超过（含）</w:t>
      </w:r>
      <w:r>
        <w:rPr>
          <w:rFonts w:hint="eastAsia" w:ascii="宋体" w:hAnsi="宋体" w:cs="宋体"/>
          <w:sz w:val="24"/>
          <w:u w:val="single"/>
        </w:rPr>
        <w:t>10</w:t>
      </w:r>
      <w:r>
        <w:rPr>
          <w:rFonts w:hint="eastAsia" w:ascii="宋体" w:hAnsi="宋体" w:cs="宋体"/>
          <w:sz w:val="24"/>
        </w:rPr>
        <w:t>年期；</w:t>
      </w:r>
    </w:p>
    <w:p w14:paraId="547C9816">
      <w:pPr>
        <w:pStyle w:val="31"/>
        <w:ind w:firstLine="482" w:firstLineChars="200"/>
        <w:jc w:val="left"/>
        <w:rPr>
          <w:rFonts w:hint="eastAsia" w:ascii="宋体" w:hAnsi="宋体" w:cs="宋体"/>
          <w:sz w:val="24"/>
          <w:szCs w:val="24"/>
        </w:rPr>
      </w:pPr>
      <w:r>
        <w:rPr>
          <w:rFonts w:hint="eastAsia" w:ascii="宋体" w:hAnsi="宋体" w:cs="宋体"/>
          <w:color w:val="000000"/>
          <w:kern w:val="0"/>
          <w:sz w:val="24"/>
          <w:szCs w:val="24"/>
          <w:lang w:bidi="ar"/>
        </w:rPr>
        <w:t>发行主体：</w:t>
      </w:r>
      <w:bookmarkStart w:id="2" w:name="OLE_LINK3"/>
      <w:r>
        <w:rPr>
          <w:rFonts w:hint="eastAsia" w:ascii="宋体" w:hAnsi="宋体" w:cs="宋体"/>
          <w:sz w:val="24"/>
          <w:szCs w:val="24"/>
        </w:rPr>
        <w:t>桐庐县国有资本投资运营控股集团有限公司</w:t>
      </w:r>
      <w:bookmarkEnd w:id="2"/>
      <w:r>
        <w:rPr>
          <w:rFonts w:hint="eastAsia" w:ascii="宋体" w:hAnsi="宋体" w:cs="宋体"/>
          <w:sz w:val="24"/>
          <w:szCs w:val="24"/>
        </w:rPr>
        <w:t>。</w:t>
      </w:r>
    </w:p>
    <w:p w14:paraId="4AE35AC2">
      <w:pPr>
        <w:spacing w:line="360" w:lineRule="auto"/>
        <w:ind w:firstLine="480" w:firstLineChars="200"/>
        <w:rPr>
          <w:rFonts w:hint="eastAsia" w:ascii="宋体" w:hAnsi="宋体" w:cs="宋体"/>
          <w:kern w:val="3"/>
          <w:sz w:val="24"/>
        </w:rPr>
      </w:pPr>
      <w:r>
        <w:rPr>
          <w:rFonts w:hint="eastAsia" w:ascii="宋体" w:hAnsi="宋体" w:cs="宋体"/>
          <w:kern w:val="3"/>
          <w:sz w:val="24"/>
        </w:rPr>
        <w:t>采购需求：（详见采购清单）</w:t>
      </w:r>
    </w:p>
    <w:tbl>
      <w:tblPr>
        <w:tblStyle w:val="35"/>
        <w:tblW w:w="9534" w:type="dxa"/>
        <w:jc w:val="center"/>
        <w:tblLayout w:type="fixed"/>
        <w:tblCellMar>
          <w:top w:w="0" w:type="dxa"/>
          <w:left w:w="108" w:type="dxa"/>
          <w:bottom w:w="0" w:type="dxa"/>
          <w:right w:w="108" w:type="dxa"/>
        </w:tblCellMar>
      </w:tblPr>
      <w:tblGrid>
        <w:gridCol w:w="888"/>
        <w:gridCol w:w="4394"/>
        <w:gridCol w:w="1984"/>
        <w:gridCol w:w="2268"/>
      </w:tblGrid>
      <w:tr w14:paraId="7FC262E1">
        <w:tblPrEx>
          <w:tblCellMar>
            <w:top w:w="0" w:type="dxa"/>
            <w:left w:w="108" w:type="dxa"/>
            <w:bottom w:w="0" w:type="dxa"/>
            <w:right w:w="108" w:type="dxa"/>
          </w:tblCellMar>
        </w:tblPrEx>
        <w:trPr>
          <w:trHeight w:val="1118"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14:paraId="0F1DAB5B">
            <w:pPr>
              <w:spacing w:line="360" w:lineRule="auto"/>
              <w:jc w:val="center"/>
              <w:rPr>
                <w:rFonts w:hint="eastAsia" w:ascii="宋体" w:hAnsi="宋体" w:cs="宋体"/>
                <w:b/>
                <w:bCs/>
                <w:sz w:val="24"/>
              </w:rPr>
            </w:pPr>
            <w:r>
              <w:rPr>
                <w:rFonts w:hint="eastAsia" w:ascii="宋体" w:hAnsi="宋体" w:cs="宋体"/>
                <w:b/>
                <w:bCs/>
                <w:sz w:val="24"/>
              </w:rPr>
              <w:t>序号</w:t>
            </w:r>
          </w:p>
        </w:tc>
        <w:tc>
          <w:tcPr>
            <w:tcW w:w="4394" w:type="dxa"/>
            <w:tcBorders>
              <w:top w:val="single" w:color="auto" w:sz="4" w:space="0"/>
              <w:left w:val="nil"/>
              <w:bottom w:val="single" w:color="auto" w:sz="4" w:space="0"/>
              <w:right w:val="single" w:color="auto" w:sz="4" w:space="0"/>
            </w:tcBorders>
            <w:vAlign w:val="center"/>
          </w:tcPr>
          <w:p w14:paraId="00438499">
            <w:pPr>
              <w:spacing w:line="360" w:lineRule="auto"/>
              <w:jc w:val="center"/>
              <w:rPr>
                <w:rFonts w:hint="eastAsia" w:ascii="宋体" w:hAnsi="宋体" w:cs="宋体"/>
                <w:b/>
                <w:bCs/>
                <w:sz w:val="24"/>
              </w:rPr>
            </w:pPr>
            <w:r>
              <w:rPr>
                <w:rFonts w:hint="eastAsia" w:ascii="宋体" w:hAnsi="宋体" w:cs="宋体"/>
                <w:b/>
                <w:bCs/>
                <w:sz w:val="24"/>
              </w:rPr>
              <w:t>项目概况</w:t>
            </w:r>
          </w:p>
        </w:tc>
        <w:tc>
          <w:tcPr>
            <w:tcW w:w="1984" w:type="dxa"/>
            <w:tcBorders>
              <w:top w:val="single" w:color="auto" w:sz="4" w:space="0"/>
              <w:left w:val="nil"/>
              <w:bottom w:val="single" w:color="auto" w:sz="4" w:space="0"/>
              <w:right w:val="single" w:color="auto" w:sz="4" w:space="0"/>
            </w:tcBorders>
            <w:vAlign w:val="center"/>
          </w:tcPr>
          <w:p w14:paraId="3942A073">
            <w:pPr>
              <w:spacing w:line="360" w:lineRule="auto"/>
              <w:jc w:val="center"/>
              <w:rPr>
                <w:rFonts w:hint="eastAsia" w:ascii="宋体" w:hAnsi="宋体" w:cs="宋体"/>
                <w:b/>
                <w:bCs/>
                <w:sz w:val="24"/>
              </w:rPr>
            </w:pPr>
            <w:r>
              <w:rPr>
                <w:rFonts w:hint="eastAsia" w:ascii="宋体" w:hAnsi="宋体" w:cs="宋体"/>
                <w:b/>
                <w:bCs/>
                <w:sz w:val="24"/>
              </w:rPr>
              <w:t>年承销费率</w:t>
            </w:r>
          </w:p>
          <w:p w14:paraId="4C121E77">
            <w:pPr>
              <w:spacing w:line="360" w:lineRule="auto"/>
              <w:jc w:val="center"/>
              <w:rPr>
                <w:rFonts w:hint="eastAsia" w:ascii="宋体" w:hAnsi="宋体" w:cs="宋体"/>
                <w:b/>
                <w:bCs/>
                <w:sz w:val="24"/>
              </w:rPr>
            </w:pPr>
            <w:r>
              <w:rPr>
                <w:rFonts w:hint="eastAsia" w:ascii="宋体" w:hAnsi="宋体" w:cs="宋体"/>
                <w:b/>
                <w:bCs/>
                <w:sz w:val="24"/>
              </w:rPr>
              <w:t>最高限价</w:t>
            </w:r>
          </w:p>
        </w:tc>
        <w:tc>
          <w:tcPr>
            <w:tcW w:w="2268" w:type="dxa"/>
            <w:tcBorders>
              <w:top w:val="single" w:color="auto" w:sz="4" w:space="0"/>
              <w:left w:val="nil"/>
              <w:bottom w:val="single" w:color="auto" w:sz="4" w:space="0"/>
              <w:right w:val="single" w:color="auto" w:sz="4" w:space="0"/>
            </w:tcBorders>
            <w:vAlign w:val="center"/>
          </w:tcPr>
          <w:p w14:paraId="6E27966A">
            <w:pPr>
              <w:spacing w:line="360" w:lineRule="auto"/>
              <w:jc w:val="center"/>
              <w:rPr>
                <w:rFonts w:hint="eastAsia" w:ascii="宋体" w:hAnsi="宋体" w:cs="宋体"/>
                <w:b/>
                <w:bCs/>
                <w:sz w:val="24"/>
              </w:rPr>
            </w:pPr>
            <w:r>
              <w:rPr>
                <w:rFonts w:hint="eastAsia" w:ascii="宋体" w:hAnsi="宋体" w:cs="宋体"/>
                <w:b/>
                <w:bCs/>
                <w:sz w:val="24"/>
              </w:rPr>
              <w:t>备注</w:t>
            </w:r>
          </w:p>
        </w:tc>
      </w:tr>
      <w:tr w14:paraId="0BEB09FD">
        <w:tblPrEx>
          <w:tblCellMar>
            <w:top w:w="0" w:type="dxa"/>
            <w:left w:w="108" w:type="dxa"/>
            <w:bottom w:w="0" w:type="dxa"/>
            <w:right w:w="108" w:type="dxa"/>
          </w:tblCellMar>
        </w:tblPrEx>
        <w:trPr>
          <w:trHeight w:val="927"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14:paraId="5F585409">
            <w:pPr>
              <w:spacing w:line="360" w:lineRule="auto"/>
              <w:jc w:val="center"/>
              <w:rPr>
                <w:rFonts w:hint="eastAsia" w:ascii="宋体" w:hAnsi="宋体" w:cs="宋体"/>
                <w:sz w:val="24"/>
              </w:rPr>
            </w:pPr>
            <w:r>
              <w:rPr>
                <w:rFonts w:hint="eastAsia" w:ascii="宋体" w:hAnsi="宋体" w:cs="宋体"/>
                <w:sz w:val="24"/>
              </w:rPr>
              <w:t>1</w:t>
            </w:r>
          </w:p>
        </w:tc>
        <w:tc>
          <w:tcPr>
            <w:tcW w:w="4394" w:type="dxa"/>
            <w:tcBorders>
              <w:top w:val="single" w:color="auto" w:sz="4" w:space="0"/>
              <w:left w:val="nil"/>
              <w:bottom w:val="single" w:color="auto" w:sz="4" w:space="0"/>
              <w:right w:val="single" w:color="auto" w:sz="4" w:space="0"/>
            </w:tcBorders>
            <w:vAlign w:val="center"/>
          </w:tcPr>
          <w:p w14:paraId="5A9CD8AD">
            <w:pPr>
              <w:spacing w:line="360" w:lineRule="auto"/>
              <w:jc w:val="center"/>
              <w:rPr>
                <w:rFonts w:hint="eastAsia" w:ascii="宋体" w:hAnsi="宋体" w:eastAsia="宋体" w:cs="宋体"/>
                <w:sz w:val="24"/>
                <w:lang w:eastAsia="zh-CN"/>
              </w:rPr>
            </w:pPr>
            <w:r>
              <w:rPr>
                <w:rFonts w:hint="eastAsia" w:ascii="宋体" w:hAnsi="宋体" w:cs="宋体"/>
                <w:sz w:val="24"/>
                <w:lang w:eastAsia="zh-CN"/>
              </w:rPr>
              <w:t>桐庐县国有资本投资运营控股集团有限公司2025年申报非公开发行公司债券承销商服务采购</w:t>
            </w:r>
          </w:p>
        </w:tc>
        <w:tc>
          <w:tcPr>
            <w:tcW w:w="1984" w:type="dxa"/>
            <w:tcBorders>
              <w:top w:val="single" w:color="auto" w:sz="4" w:space="0"/>
              <w:left w:val="nil"/>
              <w:bottom w:val="single" w:color="auto" w:sz="4" w:space="0"/>
              <w:right w:val="single" w:color="auto" w:sz="4" w:space="0"/>
            </w:tcBorders>
            <w:vAlign w:val="center"/>
          </w:tcPr>
          <w:p w14:paraId="4E3144E8">
            <w:pPr>
              <w:spacing w:line="360" w:lineRule="auto"/>
              <w:jc w:val="center"/>
              <w:rPr>
                <w:rFonts w:hint="eastAsia" w:ascii="宋体" w:hAnsi="宋体" w:eastAsia="宋体" w:cs="宋体"/>
                <w:sz w:val="24"/>
                <w:lang w:eastAsia="zh-CN"/>
              </w:rPr>
            </w:pPr>
            <w:r>
              <w:rPr>
                <w:rFonts w:hint="eastAsia" w:ascii="宋体" w:hAnsi="宋体" w:cs="宋体"/>
                <w:sz w:val="24"/>
                <w:lang w:eastAsia="zh-CN"/>
              </w:rPr>
              <w:t>0.10%</w:t>
            </w:r>
          </w:p>
        </w:tc>
        <w:tc>
          <w:tcPr>
            <w:tcW w:w="2268" w:type="dxa"/>
            <w:tcBorders>
              <w:top w:val="single" w:color="auto" w:sz="4" w:space="0"/>
              <w:left w:val="nil"/>
              <w:bottom w:val="single" w:color="auto" w:sz="4" w:space="0"/>
              <w:right w:val="single" w:color="auto" w:sz="4" w:space="0"/>
            </w:tcBorders>
            <w:vAlign w:val="center"/>
          </w:tcPr>
          <w:p w14:paraId="532D4CE0">
            <w:pPr>
              <w:spacing w:line="360" w:lineRule="auto"/>
              <w:jc w:val="center"/>
              <w:rPr>
                <w:rFonts w:hint="eastAsia" w:ascii="宋体" w:hAnsi="宋体" w:cs="宋体"/>
                <w:kern w:val="0"/>
                <w:sz w:val="24"/>
                <w:lang w:bidi="ar"/>
              </w:rPr>
            </w:pPr>
            <w:r>
              <w:rPr>
                <w:rFonts w:hint="eastAsia" w:ascii="宋体" w:hAnsi="宋体" w:cs="宋体"/>
                <w:kern w:val="0"/>
                <w:sz w:val="24"/>
                <w:lang w:bidi="ar"/>
              </w:rPr>
              <w:t>具体详见采购需求</w:t>
            </w:r>
          </w:p>
        </w:tc>
      </w:tr>
    </w:tbl>
    <w:p w14:paraId="52EAF5DE">
      <w:pPr>
        <w:spacing w:before="120" w:beforeLines="50" w:line="360" w:lineRule="auto"/>
        <w:ind w:firstLine="472" w:firstLineChars="196"/>
        <w:rPr>
          <w:rFonts w:hint="eastAsia" w:cs="Arial" w:asciiTheme="minorEastAsia" w:hAnsiTheme="minorEastAsia" w:eastAsiaTheme="minorEastAsia"/>
          <w:b/>
          <w:bCs/>
          <w:sz w:val="24"/>
        </w:rPr>
      </w:pPr>
      <w:r>
        <w:rPr>
          <w:rFonts w:hint="eastAsia" w:cs="Arial" w:asciiTheme="minorEastAsia" w:hAnsiTheme="minorEastAsia" w:eastAsiaTheme="minorEastAsia"/>
          <w:b/>
          <w:sz w:val="24"/>
        </w:rPr>
        <w:t>二</w:t>
      </w:r>
      <w:r>
        <w:rPr>
          <w:rFonts w:hint="eastAsia" w:cs="Arial" w:asciiTheme="minorEastAsia" w:hAnsiTheme="minorEastAsia" w:eastAsiaTheme="minorEastAsia"/>
          <w:sz w:val="24"/>
        </w:rPr>
        <w:t>、</w:t>
      </w:r>
      <w:r>
        <w:rPr>
          <w:rFonts w:hint="eastAsia" w:cs="Arial" w:asciiTheme="minorEastAsia" w:hAnsiTheme="minorEastAsia" w:eastAsiaTheme="minorEastAsia"/>
          <w:b/>
          <w:bCs/>
          <w:sz w:val="24"/>
        </w:rPr>
        <w:t>合格投标人的资格要求</w:t>
      </w:r>
    </w:p>
    <w:p w14:paraId="1AE72004">
      <w:pPr>
        <w:spacing w:line="360" w:lineRule="auto"/>
        <w:ind w:firstLine="482" w:firstLineChars="200"/>
        <w:outlineLvl w:val="2"/>
        <w:rPr>
          <w:rFonts w:hint="eastAsia" w:ascii="宋体" w:hAnsi="宋体" w:cs="宋体"/>
          <w:b/>
          <w:sz w:val="24"/>
        </w:rPr>
      </w:pPr>
      <w:r>
        <w:rPr>
          <w:rFonts w:hint="eastAsia" w:ascii="宋体" w:hAnsi="宋体" w:cs="宋体"/>
          <w:b/>
          <w:sz w:val="24"/>
        </w:rPr>
        <w:t>（一）基本条件：</w:t>
      </w:r>
    </w:p>
    <w:p w14:paraId="2FC3EF2E">
      <w:pPr>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0ABB7442">
      <w:pPr>
        <w:spacing w:line="360" w:lineRule="auto"/>
        <w:ind w:firstLine="480" w:firstLineChars="200"/>
        <w:rPr>
          <w:rFonts w:hint="eastAsia" w:ascii="宋体" w:hAnsi="宋体" w:cs="宋体"/>
          <w:sz w:val="24"/>
        </w:rPr>
      </w:pPr>
      <w:r>
        <w:rPr>
          <w:rFonts w:hint="eastAsia" w:ascii="宋体" w:hAnsi="宋体" w:cs="宋体"/>
          <w:sz w:val="24"/>
        </w:rPr>
        <w:t>（2）具有良好的商业信誉和健全的</w:t>
      </w:r>
      <w:r>
        <w:fldChar w:fldCharType="begin"/>
      </w:r>
      <w:r>
        <w:instrText xml:space="preserve"> HYPERLINK "https://www.baidu.com/s?wd=%E8%B4%A2%E5%8A%A1%E4%BC%9A%E8%AE%A1%E5%88%B6%E5%BA%A6&amp;tn=SE_PcZhidaonwhc_ngpagmjz&amp;rsv_dl=gh_pc_zhidao" \t "http://www.tlztb.com.cn/jzfcg/_blank" </w:instrText>
      </w:r>
      <w:r>
        <w:fldChar w:fldCharType="separate"/>
      </w:r>
      <w:r>
        <w:rPr>
          <w:rFonts w:hint="eastAsia" w:ascii="宋体" w:hAnsi="宋体" w:cs="宋体"/>
          <w:sz w:val="24"/>
        </w:rPr>
        <w:t>财务会计制度</w:t>
      </w:r>
      <w:r>
        <w:rPr>
          <w:rFonts w:hint="eastAsia" w:ascii="宋体" w:hAnsi="宋体" w:cs="宋体"/>
          <w:sz w:val="24"/>
        </w:rPr>
        <w:fldChar w:fldCharType="end"/>
      </w:r>
      <w:r>
        <w:rPr>
          <w:rFonts w:hint="eastAsia" w:ascii="宋体" w:hAnsi="宋体" w:cs="宋体"/>
          <w:sz w:val="24"/>
        </w:rPr>
        <w:t>；</w:t>
      </w:r>
    </w:p>
    <w:p w14:paraId="5467B276">
      <w:pPr>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29363255">
      <w:pPr>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1F35BC13">
      <w:pPr>
        <w:spacing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6B7CEC88">
      <w:pPr>
        <w:spacing w:line="360" w:lineRule="auto"/>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bCs/>
          <w:sz w:val="24"/>
          <w:lang w:val="zh-CN"/>
        </w:rPr>
        <w:t>未被</w:t>
      </w:r>
      <w:r>
        <w:rPr>
          <w:rFonts w:hint="eastAsia" w:ascii="宋体" w:hAnsi="宋体" w:cs="宋体"/>
          <w:bCs/>
          <w:sz w:val="24"/>
        </w:rPr>
        <w:t>“</w:t>
      </w:r>
      <w:r>
        <w:rPr>
          <w:rFonts w:hint="eastAsia" w:ascii="宋体" w:hAnsi="宋体" w:cs="宋体"/>
          <w:bCs/>
          <w:sz w:val="24"/>
          <w:lang w:val="zh-CN"/>
        </w:rPr>
        <w:t>信用中国</w:t>
      </w:r>
      <w:r>
        <w:rPr>
          <w:rFonts w:hint="eastAsia" w:ascii="宋体" w:hAnsi="宋体" w:cs="宋体"/>
          <w:bCs/>
          <w:sz w:val="24"/>
        </w:rPr>
        <w:t>”（www.creditchina.gov.cn）</w:t>
      </w:r>
      <w:r>
        <w:rPr>
          <w:rFonts w:hint="eastAsia" w:ascii="宋体" w:hAnsi="宋体" w:cs="宋体"/>
          <w:bCs/>
          <w:sz w:val="24"/>
          <w:lang w:val="zh-CN"/>
        </w:rPr>
        <w:t>、中国政府采购网</w:t>
      </w:r>
      <w:r>
        <w:rPr>
          <w:rFonts w:hint="eastAsia" w:ascii="宋体" w:hAnsi="宋体" w:cs="宋体"/>
          <w:bCs/>
          <w:sz w:val="24"/>
        </w:rPr>
        <w:t>（www.ccgp.gov.cn）</w:t>
      </w:r>
      <w:r>
        <w:rPr>
          <w:rFonts w:hint="eastAsia" w:ascii="宋体" w:hAnsi="宋体" w:cs="宋体"/>
          <w:bCs/>
          <w:sz w:val="24"/>
          <w:lang w:val="zh-CN"/>
        </w:rPr>
        <w:t>列入失信被执行人、重大税收违法案件当事人名单、政府采购严重违法失信行为记录名单</w:t>
      </w:r>
      <w:r>
        <w:rPr>
          <w:rFonts w:hint="eastAsia" w:ascii="宋体" w:hAnsi="宋体" w:cs="宋体"/>
          <w:sz w:val="24"/>
        </w:rPr>
        <w:t>；否则将被拒绝（以开标当日采购单位或采购代理机构核实的查询结果为准）。</w:t>
      </w:r>
    </w:p>
    <w:p w14:paraId="328B101F">
      <w:pPr>
        <w:spacing w:line="360" w:lineRule="auto"/>
        <w:ind w:firstLine="482" w:firstLineChars="200"/>
        <w:outlineLvl w:val="2"/>
        <w:rPr>
          <w:rFonts w:hint="eastAsia" w:ascii="宋体" w:hAnsi="宋体" w:cs="宋体"/>
          <w:b/>
          <w:sz w:val="24"/>
        </w:rPr>
      </w:pPr>
      <w:r>
        <w:rPr>
          <w:rFonts w:hint="eastAsia" w:ascii="宋体" w:hAnsi="宋体" w:cs="宋体"/>
          <w:b/>
          <w:sz w:val="24"/>
        </w:rPr>
        <w:t>（二）特定条件：</w:t>
      </w:r>
    </w:p>
    <w:p w14:paraId="594FB78A">
      <w:pPr>
        <w:tabs>
          <w:tab w:val="left" w:pos="1440"/>
        </w:tabs>
        <w:spacing w:line="360" w:lineRule="auto"/>
        <w:ind w:firstLine="482" w:firstLineChars="200"/>
        <w:rPr>
          <w:rFonts w:hint="eastAsia" w:ascii="宋体" w:hAnsi="宋体" w:eastAsia="宋体" w:cs="宋体"/>
          <w:b/>
          <w:bCs/>
          <w:color w:val="FF0000"/>
          <w:sz w:val="24"/>
          <w:lang w:eastAsia="zh-CN"/>
        </w:rPr>
      </w:pPr>
      <w:r>
        <w:rPr>
          <w:rFonts w:hint="eastAsia" w:ascii="宋体" w:hAnsi="宋体" w:eastAsia="宋体" w:cs="宋体"/>
          <w:b/>
          <w:bCs/>
          <w:color w:val="FF0000"/>
          <w:sz w:val="24"/>
        </w:rPr>
        <w:t>（1）符合国家相关部门规定的担任主承销商的执业要求，具有《经营证券期货业务许可证》</w:t>
      </w:r>
      <w:r>
        <w:rPr>
          <w:rFonts w:hint="eastAsia" w:ascii="宋体" w:hAnsi="宋体" w:eastAsia="宋体" w:cs="宋体"/>
          <w:sz w:val="24"/>
        </w:rPr>
        <w:t>。</w:t>
      </w:r>
      <w:r>
        <w:rPr>
          <w:rFonts w:hint="eastAsia" w:ascii="宋体" w:hAnsi="宋体" w:eastAsia="宋体" w:cs="宋体"/>
          <w:b/>
          <w:bCs/>
          <w:color w:val="FF0000"/>
          <w:sz w:val="24"/>
        </w:rPr>
        <w:t>联合体内</w:t>
      </w:r>
      <w:r>
        <w:rPr>
          <w:rFonts w:hint="eastAsia" w:ascii="宋体" w:hAnsi="宋体" w:cs="宋体"/>
          <w:b/>
          <w:bCs/>
          <w:color w:val="FF0000"/>
          <w:sz w:val="24"/>
          <w:lang w:val="en-US" w:eastAsia="zh-CN"/>
        </w:rPr>
        <w:t>成员单位均需具备承销商资质</w:t>
      </w:r>
      <w:r>
        <w:rPr>
          <w:rFonts w:hint="eastAsia" w:ascii="宋体" w:hAnsi="宋体" w:cs="宋体"/>
          <w:b/>
          <w:bCs/>
          <w:color w:val="FF0000"/>
          <w:sz w:val="24"/>
          <w:lang w:eastAsia="zh-CN"/>
        </w:rPr>
        <w:t>。</w:t>
      </w:r>
    </w:p>
    <w:p w14:paraId="53CF63E9">
      <w:pPr>
        <w:tabs>
          <w:tab w:val="left" w:pos="1440"/>
        </w:tabs>
        <w:spacing w:line="360" w:lineRule="auto"/>
        <w:ind w:firstLine="480" w:firstLineChars="200"/>
        <w:rPr>
          <w:rFonts w:hint="eastAsia" w:ascii="宋体" w:hAnsi="宋体" w:cs="宋体"/>
          <w:sz w:val="24"/>
        </w:rPr>
      </w:pPr>
      <w:r>
        <w:rPr>
          <w:rFonts w:hint="eastAsia" w:ascii="宋体" w:hAnsi="宋体" w:cs="宋体"/>
          <w:sz w:val="24"/>
        </w:rPr>
        <w:t>注：本项目</w:t>
      </w:r>
      <w:r>
        <w:rPr>
          <w:rFonts w:hint="eastAsia" w:ascii="宋体" w:hAnsi="宋体" w:cs="宋体"/>
          <w:b/>
          <w:bCs/>
          <w:sz w:val="24"/>
          <w:highlight w:val="yellow"/>
          <w:u w:val="single"/>
        </w:rPr>
        <w:t>接受</w:t>
      </w:r>
      <w:r>
        <w:rPr>
          <w:rFonts w:hint="eastAsia" w:ascii="宋体" w:hAnsi="宋体" w:cs="宋体"/>
          <w:sz w:val="24"/>
        </w:rPr>
        <w:t>联合体投标。</w:t>
      </w:r>
    </w:p>
    <w:p w14:paraId="5638B50A">
      <w:pPr>
        <w:spacing w:line="360" w:lineRule="auto"/>
        <w:ind w:firstLine="482" w:firstLineChars="200"/>
        <w:rPr>
          <w:rFonts w:hint="eastAsia" w:ascii="宋体" w:hAnsi="宋体" w:cs="宋体"/>
          <w:sz w:val="24"/>
        </w:rPr>
      </w:pPr>
      <w:r>
        <w:rPr>
          <w:rFonts w:hint="eastAsia" w:ascii="宋体" w:hAnsi="宋体" w:cs="宋体"/>
          <w:b/>
          <w:sz w:val="24"/>
        </w:rPr>
        <w:t>（三）</w:t>
      </w:r>
      <w:r>
        <w:rPr>
          <w:rFonts w:hint="eastAsia" w:ascii="宋体" w:hAnsi="宋体" w:cs="宋体"/>
          <w:sz w:val="24"/>
        </w:rPr>
        <w:t>单位负责人为同一人或者存在直接控股、管理关系的不同供应商，不得参加同一合同项下的采购活动；为本采购项目提供整体设计、规范编制或者项目管理、监理、检测等服务的供应商，不得再参加该采购项目的其他采购活动。</w:t>
      </w:r>
    </w:p>
    <w:p w14:paraId="588620D7">
      <w:pPr>
        <w:spacing w:line="360" w:lineRule="auto"/>
        <w:ind w:firstLine="482" w:firstLineChars="200"/>
        <w:rPr>
          <w:rFonts w:hint="eastAsia" w:cs="Arial" w:asciiTheme="minorEastAsia" w:hAnsiTheme="minorEastAsia" w:eastAsiaTheme="minorEastAsia"/>
          <w:sz w:val="24"/>
          <w:lang w:eastAsia="zh-TW"/>
        </w:rPr>
      </w:pPr>
      <w:r>
        <w:rPr>
          <w:rFonts w:hint="eastAsia" w:cs="Arial" w:asciiTheme="minorEastAsia" w:hAnsiTheme="minorEastAsia" w:eastAsiaTheme="minorEastAsia"/>
          <w:b/>
          <w:bCs/>
          <w:sz w:val="24"/>
        </w:rPr>
        <w:t>六</w:t>
      </w:r>
      <w:r>
        <w:rPr>
          <w:rFonts w:hint="eastAsia" w:cs="Arial" w:asciiTheme="minorEastAsia" w:hAnsiTheme="minorEastAsia" w:eastAsiaTheme="minorEastAsia"/>
          <w:b/>
          <w:bCs/>
          <w:sz w:val="24"/>
          <w:lang w:eastAsia="zh-TW"/>
        </w:rPr>
        <w:t>、采购文件的获取</w:t>
      </w:r>
      <w:r>
        <w:rPr>
          <w:rFonts w:hint="eastAsia" w:cs="Arial" w:asciiTheme="minorEastAsia" w:hAnsiTheme="minorEastAsia" w:eastAsiaTheme="minorEastAsia"/>
          <w:sz w:val="24"/>
          <w:lang w:eastAsia="zh-TW"/>
        </w:rPr>
        <w:t>：</w:t>
      </w:r>
    </w:p>
    <w:p w14:paraId="2CA6BAA3">
      <w:pPr>
        <w:snapToGrid w:val="0"/>
        <w:spacing w:line="360" w:lineRule="auto"/>
        <w:ind w:firstLine="480" w:firstLineChars="200"/>
        <w:rPr>
          <w:rFonts w:hint="eastAsia" w:ascii="宋体" w:hAnsi="宋体" w:cs="宋体"/>
          <w:sz w:val="24"/>
        </w:rPr>
      </w:pPr>
      <w:r>
        <w:rPr>
          <w:rFonts w:hint="eastAsia" w:ascii="宋体" w:hAnsi="宋体" w:cs="宋体"/>
          <w:sz w:val="24"/>
        </w:rPr>
        <w:t>1.供应商可到浙江省政府采购网（http://zfcg.czt.zj.gov.cn/）的非政府采购模块自行查看和下载电子文件。</w:t>
      </w:r>
    </w:p>
    <w:p w14:paraId="1352D396">
      <w:pPr>
        <w:pStyle w:val="16"/>
        <w:spacing w:after="0" w:line="360" w:lineRule="auto"/>
        <w:ind w:left="0" w:leftChars="0" w:firstLine="480" w:firstLineChars="200"/>
        <w:rPr>
          <w:rFonts w:hint="eastAsia" w:ascii="宋体" w:hAnsi="宋体" w:cs="宋体"/>
          <w:sz w:val="24"/>
        </w:rPr>
      </w:pPr>
      <w:r>
        <w:rPr>
          <w:rFonts w:hint="eastAsia" w:ascii="宋体" w:hAnsi="宋体" w:cs="宋体"/>
          <w:sz w:val="24"/>
        </w:rPr>
        <w:t>2.使用账号登录或者使用CA登录乐采云平台（www.lecaiyun.com）；进入“项目采购”应用，在获取采购文件菜单中选择项目，获取采购文件。</w:t>
      </w:r>
    </w:p>
    <w:p w14:paraId="6B8BE932">
      <w:pPr>
        <w:snapToGrid w:val="0"/>
        <w:spacing w:line="360" w:lineRule="auto"/>
        <w:ind w:firstLine="482" w:firstLineChars="200"/>
        <w:rPr>
          <w:rFonts w:hint="eastAsia" w:ascii="宋体" w:hAnsi="宋体" w:cs="宋体"/>
          <w:sz w:val="24"/>
        </w:rPr>
      </w:pPr>
      <w:r>
        <w:rPr>
          <w:rFonts w:hint="eastAsia" w:ascii="宋体" w:hAnsi="宋体" w:cs="宋体"/>
          <w:b/>
          <w:kern w:val="0"/>
          <w:sz w:val="24"/>
        </w:rPr>
        <w:t>本项目实行网上报名，不接受现场报名。投标截止时间前，供应商自行登录乐采云平台（www.lecaiyun.com）进行报名。</w:t>
      </w:r>
    </w:p>
    <w:p w14:paraId="717E1CD8">
      <w:pPr>
        <w:snapToGrid w:val="0"/>
        <w:spacing w:line="360" w:lineRule="auto"/>
        <w:ind w:firstLine="482"/>
        <w:rPr>
          <w:rFonts w:hint="eastAsia" w:ascii="宋体" w:hAnsi="宋体" w:cs="宋体"/>
          <w:b/>
          <w:kern w:val="0"/>
          <w:sz w:val="24"/>
        </w:rPr>
      </w:pPr>
      <w:r>
        <w:rPr>
          <w:rFonts w:hint="eastAsia" w:ascii="宋体" w:hAnsi="宋体" w:cs="宋体"/>
          <w:b/>
          <w:sz w:val="24"/>
        </w:rPr>
        <w:t>（注：采购公告上附件里的采购文件仅供阅览使用，报名成功后才视作供应商依法获取采购文件。对未按上述方式获取招标文件的供应商对该文件提出的质疑，采购单位或采购代理机构将不予处理）</w:t>
      </w:r>
    </w:p>
    <w:p w14:paraId="0E258A13">
      <w:pPr>
        <w:snapToGrid w:val="0"/>
        <w:spacing w:line="360" w:lineRule="auto"/>
        <w:ind w:firstLine="482" w:firstLineChars="200"/>
        <w:rPr>
          <w:rFonts w:hint="eastAsia" w:ascii="宋体" w:hAnsi="宋体" w:cs="宋体"/>
          <w:sz w:val="24"/>
        </w:rPr>
      </w:pPr>
      <w:r>
        <w:rPr>
          <w:rFonts w:hint="eastAsia" w:ascii="宋体" w:hAnsi="宋体" w:cs="宋体"/>
          <w:b/>
          <w:bCs/>
          <w:sz w:val="24"/>
        </w:rPr>
        <w:t>七、投标保证金</w:t>
      </w:r>
      <w:r>
        <w:rPr>
          <w:rFonts w:hint="eastAsia" w:ascii="宋体" w:hAnsi="宋体" w:cs="宋体"/>
          <w:sz w:val="24"/>
        </w:rPr>
        <w:t>：本项目无需交纳投标保证金。</w:t>
      </w:r>
    </w:p>
    <w:p w14:paraId="512EBB44">
      <w:pPr>
        <w:snapToGrid w:val="0"/>
        <w:spacing w:line="360" w:lineRule="auto"/>
        <w:ind w:firstLine="482" w:firstLineChars="200"/>
        <w:rPr>
          <w:rFonts w:hint="eastAsia" w:ascii="宋体" w:hAnsi="宋体" w:cs="宋体"/>
          <w:b/>
          <w:sz w:val="24"/>
        </w:rPr>
      </w:pPr>
      <w:r>
        <w:rPr>
          <w:rFonts w:hint="eastAsia" w:ascii="宋体" w:hAnsi="宋体" w:cs="宋体"/>
          <w:b/>
          <w:sz w:val="24"/>
        </w:rPr>
        <w:t>八、电子招投标说明</w:t>
      </w:r>
    </w:p>
    <w:p w14:paraId="08D2FAAB">
      <w:pPr>
        <w:pStyle w:val="18"/>
        <w:adjustRightInd w:val="0"/>
        <w:snapToGrid w:val="0"/>
        <w:spacing w:line="360" w:lineRule="auto"/>
        <w:ind w:firstLine="482" w:firstLineChars="201"/>
        <w:rPr>
          <w:rFonts w:hint="eastAsia" w:hAnsi="宋体" w:cs="宋体"/>
          <w:sz w:val="24"/>
          <w:szCs w:val="24"/>
        </w:rPr>
      </w:pPr>
      <w:r>
        <w:rPr>
          <w:rFonts w:hint="eastAsia" w:hAnsi="宋体" w:cs="宋体"/>
          <w:sz w:val="24"/>
          <w:szCs w:val="24"/>
        </w:rPr>
        <w:t>1.本项目依托“乐采云平台（www.lecaiyun.com）”以数据电文形式进行实行电子招投标活动，不提供招标文件纸质版，不接受纸质投标文件，供应商应按照本项目招标文件和乐采云平台的要求编制、加密并递交投标文件。供应商在使用系统进行投标的过程中遇到涉及平台使用的任何问题，可致电乐采云平台技术支持热线咨询，联系方式：400-881-7190。</w:t>
      </w:r>
    </w:p>
    <w:p w14:paraId="20E7393B">
      <w:pPr>
        <w:spacing w:line="360" w:lineRule="auto"/>
        <w:ind w:firstLine="480" w:firstLineChars="200"/>
        <w:rPr>
          <w:rFonts w:hint="eastAsia" w:ascii="宋体" w:hAnsi="宋体" w:cs="宋体"/>
          <w:sz w:val="24"/>
        </w:rPr>
      </w:pPr>
      <w:r>
        <w:rPr>
          <w:rFonts w:hint="eastAsia" w:ascii="宋体" w:hAnsi="宋体" w:cs="宋体"/>
          <w:sz w:val="24"/>
        </w:rPr>
        <w:t>2.对未按上述方式获取招标文件的供应商对该文件提出的质疑，采购单位或采购代理机构将不予处理；</w:t>
      </w:r>
    </w:p>
    <w:p w14:paraId="618B4E5E">
      <w:pPr>
        <w:spacing w:line="360" w:lineRule="auto"/>
        <w:ind w:firstLine="480" w:firstLineChars="200"/>
        <w:rPr>
          <w:rFonts w:hint="eastAsia" w:ascii="宋体" w:hAnsi="宋体" w:cs="宋体"/>
          <w:sz w:val="24"/>
        </w:rPr>
      </w:pPr>
      <w:r>
        <w:rPr>
          <w:rFonts w:hint="eastAsia" w:ascii="宋体" w:hAnsi="宋体" w:cs="宋体"/>
          <w:sz w:val="24"/>
        </w:rPr>
        <w:t>3.投标准备：</w:t>
      </w:r>
    </w:p>
    <w:p w14:paraId="384A665B">
      <w:pPr>
        <w:spacing w:line="360" w:lineRule="auto"/>
        <w:ind w:firstLine="480" w:firstLineChars="200"/>
        <w:rPr>
          <w:rFonts w:hint="eastAsia" w:ascii="宋体" w:hAnsi="宋体" w:cs="宋体"/>
          <w:sz w:val="24"/>
        </w:rPr>
      </w:pPr>
      <w:r>
        <w:rPr>
          <w:rFonts w:hint="eastAsia" w:ascii="宋体" w:hAnsi="宋体" w:cs="宋体"/>
          <w:sz w:val="24"/>
        </w:rPr>
        <w:t>3.1注册乐采云账号。登录乐采云平台（www.lecaiyun.com）--点击“商家入驻”，进行账号获取，采购供应商资料填写及提交审核；</w:t>
      </w:r>
    </w:p>
    <w:p w14:paraId="194594B7">
      <w:pPr>
        <w:pStyle w:val="18"/>
        <w:adjustRightInd w:val="0"/>
        <w:snapToGrid w:val="0"/>
        <w:spacing w:line="360" w:lineRule="auto"/>
        <w:ind w:firstLine="482" w:firstLineChars="201"/>
        <w:rPr>
          <w:rFonts w:hint="eastAsia" w:hAnsi="宋体" w:cs="宋体"/>
          <w:b/>
          <w:bCs/>
          <w:sz w:val="24"/>
          <w:szCs w:val="24"/>
        </w:rPr>
      </w:pPr>
      <w:r>
        <w:rPr>
          <w:rFonts w:hint="eastAsia" w:hAnsi="宋体" w:cs="宋体"/>
          <w:sz w:val="24"/>
          <w:szCs w:val="24"/>
        </w:rPr>
        <w:t>3.2申领CA数字证书.投标人应在开标前完成CA数字证书办理。（办理流程详见“浙江政府采购网-下载专区-电子交易客户端-CA驱动和申领流程”</w:t>
      </w:r>
      <w:r>
        <w:fldChar w:fldCharType="begin"/>
      </w:r>
      <w:r>
        <w:instrText xml:space="preserve"> HYPERLINK "http://www.zjzfcg.gov.cn/bidClientTemplate/2019-05-27/12945.html" </w:instrText>
      </w:r>
      <w:r>
        <w:fldChar w:fldCharType="separate"/>
      </w:r>
      <w:r>
        <w:rPr>
          <w:rFonts w:hint="eastAsia" w:hAnsi="宋体" w:cs="宋体"/>
          <w:sz w:val="24"/>
          <w:szCs w:val="24"/>
        </w:rPr>
        <w:t>https://zfcg.czt.zj.gov.cn//bidClientTemplate/2019-05-27/12945.html</w:t>
      </w:r>
      <w:r>
        <w:rPr>
          <w:rFonts w:hint="eastAsia" w:hAnsi="宋体" w:cs="宋体"/>
          <w:sz w:val="24"/>
          <w:szCs w:val="24"/>
        </w:rPr>
        <w:fldChar w:fldCharType="end"/>
      </w:r>
      <w:r>
        <w:rPr>
          <w:rFonts w:hint="eastAsia" w:hAnsi="宋体" w:cs="宋体"/>
          <w:sz w:val="24"/>
          <w:szCs w:val="24"/>
        </w:rPr>
        <w:t>）。</w:t>
      </w:r>
      <w:r>
        <w:rPr>
          <w:rFonts w:hint="eastAsia" w:hAnsi="宋体" w:cs="宋体"/>
          <w:b/>
          <w:bCs/>
          <w:sz w:val="24"/>
          <w:szCs w:val="24"/>
        </w:rPr>
        <w:t>完成CA数字证书办理预计一周左右，建议各投标人抓紧时间办理。</w:t>
      </w:r>
    </w:p>
    <w:p w14:paraId="1D66FA4A">
      <w:pPr>
        <w:pStyle w:val="18"/>
        <w:adjustRightInd w:val="0"/>
        <w:snapToGrid w:val="0"/>
        <w:spacing w:line="360" w:lineRule="auto"/>
        <w:ind w:firstLine="482" w:firstLineChars="201"/>
        <w:rPr>
          <w:rFonts w:hint="eastAsia" w:hAnsi="宋体" w:cs="宋体"/>
          <w:sz w:val="24"/>
          <w:szCs w:val="24"/>
        </w:rPr>
      </w:pPr>
      <w:r>
        <w:rPr>
          <w:rFonts w:hint="eastAsia" w:hAnsi="宋体" w:cs="宋体"/>
          <w:sz w:val="24"/>
          <w:szCs w:val="24"/>
        </w:rPr>
        <w:t>3.3前往“乐采云电子交易客户端”进行下载并安装；（下载网址：https://b.zhengcaiyun.cn/luban/category?parentId=550045&amp;childrenCode=qicaiCategory17&amp;utm=luban.luban-PC-39026.959-pc-websitegroup-navBar-front.8.c8789bc0520b11efb86dbfa49a87be0d）</w:t>
      </w:r>
    </w:p>
    <w:p w14:paraId="129C9924">
      <w:pPr>
        <w:spacing w:line="360" w:lineRule="auto"/>
        <w:ind w:firstLine="480" w:firstLineChars="200"/>
        <w:rPr>
          <w:rFonts w:hint="eastAsia" w:ascii="宋体" w:hAnsi="宋体" w:cs="宋体"/>
          <w:sz w:val="24"/>
        </w:rPr>
      </w:pPr>
      <w:r>
        <w:rPr>
          <w:rFonts w:hint="eastAsia" w:ascii="宋体" w:hAnsi="宋体" w:cs="宋体"/>
          <w:sz w:val="24"/>
        </w:rPr>
        <w:t>4.采购文件的获取：使用账号登录或者使用CA登录乐采云平台；进入“项目采购”应用，在获取采购文件菜单中选择项目，获取采购文件；</w:t>
      </w:r>
    </w:p>
    <w:p w14:paraId="010B73D0">
      <w:pPr>
        <w:spacing w:line="360" w:lineRule="auto"/>
        <w:ind w:firstLine="480" w:firstLineChars="200"/>
      </w:pPr>
      <w:r>
        <w:rPr>
          <w:rFonts w:hint="eastAsia" w:ascii="宋体" w:hAnsi="宋体" w:cs="宋体"/>
          <w:sz w:val="24"/>
        </w:rPr>
        <w:t>5.投标文件的制作：在“乐采云电子交易客户端”中完成“填写基本信息”“导入投标文件”“标书关联”“标书检查”“电子签名”“生成电子标书”等操作。</w:t>
      </w:r>
    </w:p>
    <w:p w14:paraId="2F66B0AE">
      <w:pPr>
        <w:spacing w:line="360" w:lineRule="auto"/>
        <w:ind w:firstLine="480" w:firstLineChars="200"/>
      </w:pPr>
      <w:r>
        <w:rPr>
          <w:rFonts w:hint="eastAsia" w:ascii="宋体" w:hAnsi="宋体" w:cs="宋体"/>
          <w:sz w:val="24"/>
        </w:rPr>
        <w:t>6.投标文件的传输递交：投标人在投标截止时间前将加密的投标文件上传至乐采云平台，还可以在投标截止时间前直接提交或者以邮政快递方式递交备份投标文件1份，</w:t>
      </w:r>
      <w:r>
        <w:rPr>
          <w:rFonts w:hint="eastAsia" w:ascii="宋体" w:hAnsi="宋体" w:cs="宋体"/>
          <w:b/>
          <w:sz w:val="24"/>
        </w:rPr>
        <w:t>（但采购单位、采购代理机构不强制或变相强制投标人提交备份投标文件</w:t>
      </w:r>
      <w:r>
        <w:rPr>
          <w:rFonts w:hint="eastAsia" w:ascii="宋体" w:hAnsi="宋体" w:cs="宋体"/>
          <w:sz w:val="24"/>
        </w:rPr>
        <w:t>）；备份投标文的制作、存储、密封详见招标文件“第三章 投标人须知”第8点—“备份投标文件”；备份文件邮寄地址：详见前附表</w:t>
      </w:r>
      <w:r>
        <w:rPr>
          <w:rFonts w:hint="eastAsia" w:ascii="宋体" w:hAnsi="宋体" w:cs="宋体"/>
          <w:b/>
          <w:bCs/>
          <w:sz w:val="24"/>
        </w:rPr>
        <w:t>。</w:t>
      </w:r>
    </w:p>
    <w:p w14:paraId="1194CCF2">
      <w:pPr>
        <w:spacing w:line="360" w:lineRule="auto"/>
        <w:ind w:firstLine="480" w:firstLineChars="200"/>
      </w:pPr>
      <w:r>
        <w:rPr>
          <w:rFonts w:hint="eastAsia" w:ascii="宋体" w:hAnsi="宋体" w:cs="宋体"/>
          <w:sz w:val="24"/>
        </w:rPr>
        <w:t>7.投标文件的解密：投标人于开标时间准时登录乐采云平台并按照平台提示的规定时间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没有在电子交易平台传输递交投标文件的，投标无效；</w:t>
      </w:r>
    </w:p>
    <w:p w14:paraId="148714B4">
      <w:pPr>
        <w:spacing w:line="360" w:lineRule="auto"/>
        <w:ind w:firstLine="480" w:firstLineChars="200"/>
        <w:rPr>
          <w:rFonts w:hint="eastAsia" w:ascii="宋体" w:hAnsi="宋体" w:cs="宋体"/>
          <w:sz w:val="24"/>
        </w:rPr>
      </w:pPr>
      <w:r>
        <w:rPr>
          <w:rFonts w:hint="eastAsia" w:ascii="宋体" w:hAnsi="宋体" w:cs="宋体"/>
          <w:sz w:val="24"/>
        </w:rPr>
        <w:t>8.具体操作指南：详见乐采云平台“服务中心-帮助文档-项目采购-电子招投标（公开招标）-供应商”。</w:t>
      </w:r>
    </w:p>
    <w:p w14:paraId="1D3202BD">
      <w:pPr>
        <w:pStyle w:val="18"/>
        <w:adjustRightInd w:val="0"/>
        <w:snapToGrid w:val="0"/>
        <w:spacing w:line="360" w:lineRule="auto"/>
        <w:ind w:firstLine="482" w:firstLineChars="201"/>
        <w:rPr>
          <w:rFonts w:hint="eastAsia" w:hAnsi="宋体" w:cs="宋体"/>
          <w:sz w:val="24"/>
          <w:szCs w:val="24"/>
        </w:rPr>
      </w:pPr>
      <w:r>
        <w:rPr>
          <w:rFonts w:hint="eastAsia" w:hAnsi="宋体" w:cs="宋体"/>
          <w:sz w:val="24"/>
          <w:szCs w:val="24"/>
        </w:rPr>
        <w:t xml:space="preserve">浙江省政府采购项目电子交易平台学习专题 </w:t>
      </w:r>
    </w:p>
    <w:p w14:paraId="229FD77A">
      <w:pPr>
        <w:pStyle w:val="18"/>
        <w:adjustRightInd w:val="0"/>
        <w:snapToGrid w:val="0"/>
        <w:spacing w:line="360" w:lineRule="auto"/>
        <w:ind w:firstLine="482" w:firstLineChars="201"/>
      </w:pPr>
      <w:r>
        <w:rPr>
          <w:rFonts w:hint="eastAsia" w:hAnsi="宋体" w:cs="宋体"/>
          <w:sz w:val="24"/>
          <w:szCs w:val="24"/>
        </w:rPr>
        <w:t xml:space="preserve">网址： </w:t>
      </w:r>
      <w:r>
        <w:fldChar w:fldCharType="begin"/>
      </w:r>
      <w:r>
        <w:instrText xml:space="preserve"> HYPERLINK "https://edu.zcygov.cn/luban/e-biding" </w:instrText>
      </w:r>
      <w:r>
        <w:fldChar w:fldCharType="separate"/>
      </w:r>
      <w:r>
        <w:rPr>
          <w:rFonts w:hint="eastAsia" w:hAnsi="宋体" w:cs="宋体"/>
          <w:sz w:val="24"/>
          <w:szCs w:val="24"/>
        </w:rPr>
        <w:t>https://edu.zcygov.cn/luban/e-biding</w:t>
      </w:r>
      <w:r>
        <w:rPr>
          <w:rFonts w:hint="eastAsia" w:hAnsi="宋体" w:cs="宋体"/>
          <w:sz w:val="24"/>
          <w:szCs w:val="24"/>
        </w:rPr>
        <w:fldChar w:fldCharType="end"/>
      </w:r>
    </w:p>
    <w:p w14:paraId="691A3819">
      <w:pPr>
        <w:pStyle w:val="18"/>
        <w:adjustRightInd w:val="0"/>
        <w:snapToGrid w:val="0"/>
        <w:spacing w:line="360" w:lineRule="auto"/>
        <w:ind w:firstLine="484" w:firstLineChars="201"/>
        <w:rPr>
          <w:rFonts w:hint="eastAsia" w:hAnsi="宋体" w:cs="宋体"/>
          <w:b/>
          <w:color w:val="000000"/>
          <w:kern w:val="0"/>
          <w:sz w:val="24"/>
          <w:szCs w:val="24"/>
        </w:rPr>
      </w:pPr>
      <w:r>
        <w:rPr>
          <w:rFonts w:hint="eastAsia" w:hAnsi="宋体" w:cs="宋体"/>
          <w:b/>
          <w:color w:val="000000"/>
          <w:kern w:val="0"/>
          <w:sz w:val="24"/>
          <w:szCs w:val="24"/>
        </w:rPr>
        <w:t>九、投标截止时间、地点及要求</w:t>
      </w:r>
    </w:p>
    <w:p w14:paraId="2DE7184C">
      <w:pPr>
        <w:pStyle w:val="18"/>
        <w:adjustRightInd w:val="0"/>
        <w:snapToGrid w:val="0"/>
        <w:spacing w:line="360" w:lineRule="auto"/>
        <w:ind w:firstLine="482" w:firstLineChars="201"/>
        <w:rPr>
          <w:rFonts w:hint="eastAsia" w:hAnsi="宋体" w:cs="宋体"/>
          <w:color w:val="000000"/>
          <w:kern w:val="0"/>
          <w:sz w:val="24"/>
          <w:szCs w:val="24"/>
        </w:rPr>
      </w:pPr>
      <w:r>
        <w:rPr>
          <w:rFonts w:hint="eastAsia" w:hAnsi="宋体" w:cs="宋体"/>
          <w:color w:val="000000"/>
          <w:kern w:val="0"/>
          <w:sz w:val="24"/>
          <w:szCs w:val="24"/>
        </w:rPr>
        <w:t>本项目于</w:t>
      </w:r>
      <w:bookmarkStart w:id="55" w:name="_GoBack"/>
      <w:bookmarkEnd w:id="55"/>
      <w:r>
        <w:rPr>
          <w:rFonts w:hint="eastAsia" w:ascii="Times New Roman" w:hAnsi="宋体" w:cs="宋体"/>
          <w:b/>
          <w:color w:val="FF0000"/>
          <w:sz w:val="24"/>
          <w:szCs w:val="24"/>
          <w:u w:val="single"/>
          <w:lang w:eastAsia="zh-CN"/>
        </w:rPr>
        <w:t>2025年07月21日09时45分</w:t>
      </w:r>
      <w:r>
        <w:rPr>
          <w:rFonts w:hint="eastAsia" w:hAnsi="宋体" w:cs="宋体"/>
          <w:color w:val="000000"/>
          <w:kern w:val="0"/>
          <w:sz w:val="24"/>
          <w:szCs w:val="24"/>
        </w:rPr>
        <w:t>投标截止。</w:t>
      </w:r>
    </w:p>
    <w:p w14:paraId="159BEB7C">
      <w:pPr>
        <w:snapToGrid w:val="0"/>
        <w:spacing w:line="360" w:lineRule="auto"/>
        <w:ind w:firstLine="480" w:firstLineChars="200"/>
        <w:rPr>
          <w:rFonts w:hint="eastAsia" w:hAnsi="宋体" w:cs="宋体"/>
          <w:color w:val="000000"/>
          <w:kern w:val="0"/>
          <w:sz w:val="24"/>
        </w:rPr>
      </w:pPr>
      <w:r>
        <w:rPr>
          <w:rFonts w:hint="eastAsia" w:hAnsi="宋体" w:cs="宋体"/>
          <w:color w:val="000000"/>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乐采云平台拒收。</w:t>
      </w:r>
    </w:p>
    <w:p w14:paraId="19A5BFA7">
      <w:pPr>
        <w:snapToGrid w:val="0"/>
        <w:spacing w:line="360" w:lineRule="auto"/>
        <w:ind w:firstLine="482" w:firstLineChars="200"/>
        <w:rPr>
          <w:rFonts w:hint="eastAsia" w:ascii="宋体" w:hAnsi="宋体" w:cs="宋体"/>
          <w:color w:val="000000"/>
          <w:sz w:val="24"/>
        </w:rPr>
      </w:pPr>
      <w:r>
        <w:rPr>
          <w:rFonts w:hint="eastAsia" w:ascii="宋体" w:hAnsi="宋体" w:cs="宋体"/>
          <w:b/>
          <w:sz w:val="24"/>
        </w:rPr>
        <w:t>十、</w:t>
      </w:r>
      <w:r>
        <w:rPr>
          <w:rFonts w:hint="eastAsia" w:ascii="宋体" w:hAnsi="宋体" w:cs="宋体"/>
          <w:b/>
          <w:bCs/>
          <w:color w:val="000000"/>
          <w:sz w:val="24"/>
        </w:rPr>
        <w:t>开标时间及地点</w:t>
      </w:r>
      <w:r>
        <w:rPr>
          <w:rFonts w:hint="eastAsia" w:ascii="宋体" w:hAnsi="宋体" w:cs="宋体"/>
          <w:color w:val="000000"/>
          <w:sz w:val="24"/>
        </w:rPr>
        <w:t>：</w:t>
      </w:r>
    </w:p>
    <w:p w14:paraId="06B627B6">
      <w:pPr>
        <w:spacing w:line="360" w:lineRule="auto"/>
        <w:ind w:firstLine="480" w:firstLineChars="200"/>
        <w:rPr>
          <w:rFonts w:hint="eastAsia" w:ascii="宋体" w:hAnsi="宋体" w:cs="宋体"/>
          <w:b/>
          <w:bCs/>
          <w:sz w:val="24"/>
        </w:rPr>
      </w:pPr>
      <w:r>
        <w:rPr>
          <w:rFonts w:hint="eastAsia" w:ascii="宋体" w:hAnsi="宋体" w:cs="宋体"/>
          <w:color w:val="000000"/>
          <w:sz w:val="24"/>
        </w:rPr>
        <w:t>本次招标将</w:t>
      </w:r>
      <w:r>
        <w:rPr>
          <w:rFonts w:hint="eastAsia" w:ascii="宋体" w:hAnsi="宋体" w:cs="宋体"/>
          <w:sz w:val="24"/>
        </w:rPr>
        <w:t>于</w:t>
      </w:r>
      <w:r>
        <w:rPr>
          <w:rFonts w:hint="eastAsia" w:ascii="Times New Roman" w:hAnsi="宋体" w:cs="宋体"/>
          <w:b/>
          <w:color w:val="FF0000"/>
          <w:sz w:val="24"/>
          <w:u w:val="single"/>
          <w:lang w:eastAsia="zh-CN"/>
        </w:rPr>
        <w:t>2025年07月21日09时45分</w:t>
      </w:r>
      <w:r>
        <w:rPr>
          <w:rFonts w:hint="eastAsia" w:ascii="宋体" w:hAnsi="宋体" w:cs="宋体"/>
          <w:color w:val="000000"/>
          <w:sz w:val="24"/>
        </w:rPr>
        <w:t>在</w:t>
      </w:r>
      <w:r>
        <w:rPr>
          <w:rFonts w:hint="eastAsia" w:ascii="宋体" w:hAnsi="宋体" w:cs="宋体"/>
          <w:b/>
          <w:color w:val="000000"/>
          <w:sz w:val="24"/>
        </w:rPr>
        <w:t>乐采云在线开标。本项目不要求投标人到开标现场开标，但投标人应派法定代表人或委托代理人准时登录乐采云在线出席电子开标会议，随时关注开标进度，如在开标过程中有电子询标，应在规定的时间内对电子询标函进行澄清、答复。</w:t>
      </w:r>
    </w:p>
    <w:p w14:paraId="151E33E2">
      <w:pPr>
        <w:spacing w:line="360" w:lineRule="auto"/>
        <w:ind w:firstLine="472" w:firstLineChars="196"/>
        <w:outlineLvl w:val="1"/>
        <w:rPr>
          <w:rFonts w:hint="eastAsia" w:cs="Arial" w:asciiTheme="minorEastAsia" w:hAnsiTheme="minorEastAsia" w:eastAsiaTheme="minorEastAsia"/>
          <w:b/>
          <w:bCs/>
          <w:sz w:val="24"/>
        </w:rPr>
      </w:pPr>
      <w:r>
        <w:rPr>
          <w:rFonts w:cs="Arial" w:asciiTheme="minorEastAsia" w:hAnsiTheme="minorEastAsia" w:eastAsiaTheme="minorEastAsia"/>
          <w:b/>
          <w:bCs/>
          <w:sz w:val="24"/>
        </w:rPr>
        <w:t>十</w:t>
      </w:r>
      <w:r>
        <w:rPr>
          <w:rFonts w:hint="eastAsia" w:cs="Arial" w:asciiTheme="minorEastAsia" w:hAnsiTheme="minorEastAsia" w:eastAsiaTheme="minorEastAsia"/>
          <w:b/>
          <w:bCs/>
          <w:sz w:val="24"/>
        </w:rPr>
        <w:t>一</w:t>
      </w:r>
      <w:r>
        <w:rPr>
          <w:rFonts w:cs="Arial" w:asciiTheme="minorEastAsia" w:hAnsiTheme="minorEastAsia" w:eastAsiaTheme="minorEastAsia"/>
          <w:b/>
          <w:bCs/>
          <w:sz w:val="24"/>
        </w:rPr>
        <w:t>、业务咨询：</w:t>
      </w:r>
    </w:p>
    <w:p w14:paraId="42B91282">
      <w:pPr>
        <w:spacing w:line="360" w:lineRule="auto"/>
        <w:ind w:firstLine="480" w:firstLineChars="200"/>
        <w:outlineLvl w:val="1"/>
        <w:rPr>
          <w:rFonts w:hint="eastAsia" w:asciiTheme="minorEastAsia" w:hAnsiTheme="minorEastAsia" w:eastAsiaTheme="minorEastAsia"/>
          <w:sz w:val="24"/>
        </w:rPr>
      </w:pPr>
      <w:r>
        <w:rPr>
          <w:rFonts w:hint="eastAsia" w:asciiTheme="minorEastAsia" w:hAnsiTheme="minorEastAsia" w:eastAsiaTheme="minorEastAsia"/>
          <w:sz w:val="24"/>
        </w:rPr>
        <w:t>1.采购代理机构名称：耀华建设管理有限公司</w:t>
      </w:r>
    </w:p>
    <w:p w14:paraId="5107E1EA">
      <w:pPr>
        <w:snapToGrid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地址：浙江省桐庐县城南街道迎春南路华桐大厦20楼</w:t>
      </w:r>
    </w:p>
    <w:p w14:paraId="36729BEF">
      <w:pPr>
        <w:snapToGrid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联系人：许洪</w:t>
      </w:r>
    </w:p>
    <w:p w14:paraId="65D4F611">
      <w:pPr>
        <w:snapToGrid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联系电话：15868177628</w:t>
      </w:r>
    </w:p>
    <w:p w14:paraId="35F0C6A3">
      <w:pPr>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2.书面质疑受理地点：桐庐县城南街道迎春南路华桐大厦20楼</w:t>
      </w:r>
    </w:p>
    <w:p w14:paraId="71013A99">
      <w:pPr>
        <w:snapToGrid w:val="0"/>
        <w:spacing w:line="360" w:lineRule="auto"/>
        <w:ind w:firstLine="660" w:firstLineChars="275"/>
        <w:rPr>
          <w:rFonts w:hint="eastAsia" w:asciiTheme="minorEastAsia" w:hAnsiTheme="minorEastAsia" w:eastAsiaTheme="minorEastAsia"/>
          <w:sz w:val="24"/>
        </w:rPr>
      </w:pPr>
      <w:r>
        <w:rPr>
          <w:rFonts w:hint="eastAsia" w:asciiTheme="minorEastAsia" w:hAnsiTheme="minorEastAsia" w:eastAsiaTheme="minorEastAsia"/>
          <w:sz w:val="24"/>
        </w:rPr>
        <w:t>联系人：马工</w:t>
      </w:r>
    </w:p>
    <w:p w14:paraId="5731E230">
      <w:pPr>
        <w:snapToGrid w:val="0"/>
        <w:spacing w:line="360" w:lineRule="auto"/>
        <w:ind w:firstLine="660" w:firstLineChars="275"/>
        <w:rPr>
          <w:rFonts w:hint="eastAsia" w:asciiTheme="minorEastAsia" w:hAnsiTheme="minorEastAsia" w:eastAsiaTheme="minorEastAsia"/>
          <w:sz w:val="24"/>
        </w:rPr>
      </w:pPr>
      <w:r>
        <w:rPr>
          <w:rFonts w:hint="eastAsia" w:asciiTheme="minorEastAsia" w:hAnsiTheme="minorEastAsia" w:eastAsiaTheme="minorEastAsia"/>
          <w:sz w:val="24"/>
        </w:rPr>
        <w:t xml:space="preserve">联系电话：17799858182  </w:t>
      </w:r>
    </w:p>
    <w:p w14:paraId="2FBF26C7">
      <w:pPr>
        <w:snapToGrid w:val="0"/>
        <w:spacing w:line="360" w:lineRule="auto"/>
        <w:ind w:firstLine="660" w:firstLineChars="275"/>
        <w:rPr>
          <w:rFonts w:hint="eastAsia" w:asciiTheme="minorEastAsia" w:hAnsiTheme="minorEastAsia" w:eastAsiaTheme="minorEastAsia"/>
          <w:sz w:val="24"/>
        </w:rPr>
      </w:pPr>
      <w:r>
        <w:rPr>
          <w:rFonts w:hint="eastAsia" w:asciiTheme="minorEastAsia" w:hAnsiTheme="minorEastAsia" w:eastAsiaTheme="minorEastAsia"/>
          <w:sz w:val="24"/>
        </w:rPr>
        <w:t>座机/传真：0571-69902867</w:t>
      </w:r>
    </w:p>
    <w:p w14:paraId="533F63E1">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3.采购单位：</w:t>
      </w:r>
      <w:r>
        <w:rPr>
          <w:rFonts w:hint="eastAsia" w:cs="Arial" w:asciiTheme="minorEastAsia" w:hAnsiTheme="minorEastAsia" w:eastAsiaTheme="minorEastAsia"/>
          <w:sz w:val="24"/>
        </w:rPr>
        <w:t>桐庐县国有资本投资运营控股集团有限公司</w:t>
      </w:r>
    </w:p>
    <w:p w14:paraId="41E7826F">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联系人：徐腾涛</w:t>
      </w:r>
    </w:p>
    <w:p w14:paraId="6983B20A">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联系</w:t>
      </w:r>
      <w:r>
        <w:rPr>
          <w:rFonts w:asciiTheme="minorEastAsia" w:hAnsiTheme="minorEastAsia" w:eastAsiaTheme="minorEastAsia"/>
          <w:sz w:val="24"/>
        </w:rPr>
        <w:t>电话</w:t>
      </w:r>
      <w:r>
        <w:rPr>
          <w:rFonts w:hint="eastAsia" w:asciiTheme="minorEastAsia" w:hAnsiTheme="minorEastAsia" w:eastAsiaTheme="minorEastAsia"/>
          <w:sz w:val="24"/>
        </w:rPr>
        <w:t>：15868890672</w:t>
      </w:r>
    </w:p>
    <w:p w14:paraId="7C52220A">
      <w:pPr>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4.监管部门：桐庐县国有资产监督管理办公室</w:t>
      </w:r>
    </w:p>
    <w:p w14:paraId="75F0D5DC">
      <w:pPr>
        <w:snapToGrid w:val="0"/>
        <w:spacing w:line="360" w:lineRule="auto"/>
        <w:ind w:firstLine="660" w:firstLineChars="275"/>
        <w:rPr>
          <w:rFonts w:hint="eastAsia" w:asciiTheme="minorEastAsia" w:hAnsiTheme="minorEastAsia" w:eastAsiaTheme="minorEastAsia"/>
          <w:sz w:val="24"/>
        </w:rPr>
      </w:pPr>
      <w:r>
        <w:rPr>
          <w:rFonts w:hint="eastAsia" w:asciiTheme="minorEastAsia" w:hAnsiTheme="minorEastAsia" w:eastAsiaTheme="minorEastAsia"/>
          <w:sz w:val="24"/>
        </w:rPr>
        <w:t>联系人：龚兴法</w:t>
      </w:r>
    </w:p>
    <w:p w14:paraId="33495F6B">
      <w:pPr>
        <w:snapToGrid w:val="0"/>
        <w:spacing w:line="360" w:lineRule="auto"/>
        <w:ind w:firstLine="660" w:firstLineChars="275"/>
        <w:rPr>
          <w:rFonts w:hint="eastAsia" w:asciiTheme="minorEastAsia" w:hAnsiTheme="minorEastAsia" w:eastAsiaTheme="minorEastAsia"/>
          <w:sz w:val="24"/>
        </w:rPr>
      </w:pPr>
      <w:r>
        <w:rPr>
          <w:rFonts w:hint="eastAsia" w:asciiTheme="minorEastAsia" w:hAnsiTheme="minorEastAsia" w:eastAsiaTheme="minorEastAsia"/>
          <w:sz w:val="24"/>
        </w:rPr>
        <w:t xml:space="preserve">监督投诉电话：0571-89547678 </w:t>
      </w:r>
      <w:bookmarkStart w:id="3" w:name="_Hlk521930958"/>
    </w:p>
    <w:p w14:paraId="12546CED">
      <w:pPr>
        <w:pStyle w:val="25"/>
        <w:spacing w:before="120" w:after="120"/>
        <w:ind w:firstLine="210"/>
        <w:sectPr>
          <w:footerReference r:id="rId10" w:type="default"/>
          <w:pgSz w:w="11910" w:h="16840"/>
          <w:pgMar w:top="1134" w:right="1344" w:bottom="1134" w:left="1304" w:header="0" w:footer="993" w:gutter="0"/>
          <w:pgNumType w:fmt="decimal"/>
          <w:cols w:space="0" w:num="1"/>
        </w:sectPr>
      </w:pPr>
    </w:p>
    <w:p w14:paraId="0F35C5B0">
      <w:pPr>
        <w:numPr>
          <w:ilvl w:val="0"/>
          <w:numId w:val="6"/>
        </w:numPr>
        <w:snapToGrid w:val="0"/>
        <w:spacing w:line="560" w:lineRule="exact"/>
        <w:ind w:firstLine="420"/>
        <w:jc w:val="center"/>
        <w:rPr>
          <w:rFonts w:hint="eastAsia" w:ascii="宋体" w:hAnsi="宋体" w:cs="宋体"/>
          <w:b/>
          <w:sz w:val="32"/>
          <w:szCs w:val="32"/>
        </w:rPr>
      </w:pPr>
      <w:r>
        <w:rPr>
          <w:rFonts w:hint="eastAsia" w:asciiTheme="minorEastAsia" w:hAnsiTheme="minorEastAsia" w:eastAsiaTheme="minorEastAsia"/>
          <w:b/>
          <w:sz w:val="32"/>
          <w:szCs w:val="32"/>
        </w:rPr>
        <w:t>招标需求</w:t>
      </w:r>
      <w:bookmarkEnd w:id="3"/>
    </w:p>
    <w:p w14:paraId="1CEDB427">
      <w:pPr>
        <w:snapToGrid w:val="0"/>
        <w:spacing w:line="460" w:lineRule="exact"/>
        <w:ind w:firstLine="482" w:firstLineChars="200"/>
        <w:rPr>
          <w:rFonts w:hint="eastAsia" w:ascii="宋体" w:hAnsi="宋体" w:cs="宋体"/>
          <w:b/>
          <w:bCs/>
          <w:sz w:val="24"/>
        </w:rPr>
      </w:pPr>
      <w:r>
        <w:rPr>
          <w:rFonts w:hint="eastAsia" w:ascii="宋体" w:hAnsi="宋体" w:cs="宋体"/>
          <w:b/>
          <w:bCs/>
          <w:sz w:val="24"/>
        </w:rPr>
        <w:t>一、项目概况</w:t>
      </w:r>
    </w:p>
    <w:p w14:paraId="6624ED05">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1.项目名称：</w:t>
      </w:r>
      <w:r>
        <w:rPr>
          <w:rFonts w:hint="eastAsia" w:ascii="宋体" w:hAnsi="宋体" w:cs="宋体"/>
          <w:kern w:val="0"/>
          <w:sz w:val="24"/>
          <w:lang w:eastAsia="zh-CN"/>
        </w:rPr>
        <w:t>桐庐县国有资本投资运营控股集团有限公司2025年申报非公开发行公司债券承销商服务采购项目</w:t>
      </w:r>
      <w:r>
        <w:rPr>
          <w:rFonts w:hint="eastAsia" w:ascii="宋体" w:hAnsi="宋体" w:cs="宋体"/>
          <w:kern w:val="0"/>
          <w:sz w:val="24"/>
        </w:rPr>
        <w:t>。</w:t>
      </w:r>
    </w:p>
    <w:p w14:paraId="31A5C324">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2.发行规模：不超过（含）</w:t>
      </w:r>
      <w:r>
        <w:rPr>
          <w:rFonts w:hint="eastAsia" w:ascii="宋体" w:hAnsi="宋体" w:cs="宋体"/>
          <w:kern w:val="0"/>
          <w:sz w:val="24"/>
          <w:lang w:eastAsia="zh-CN"/>
        </w:rPr>
        <w:t>12.80 亿</w:t>
      </w:r>
      <w:r>
        <w:rPr>
          <w:rFonts w:hint="eastAsia" w:ascii="宋体" w:hAnsi="宋体" w:cs="宋体"/>
          <w:kern w:val="0"/>
          <w:sz w:val="24"/>
        </w:rPr>
        <w:t>元人民币；</w:t>
      </w:r>
    </w:p>
    <w:p w14:paraId="3F3C0C40">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3.发行期限：不超过（含）10年；</w:t>
      </w:r>
    </w:p>
    <w:p w14:paraId="7DAEDAB9">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4.发行主体：桐庐县国有资本投资运营控股集团有限公司。</w:t>
      </w:r>
    </w:p>
    <w:p w14:paraId="3809E57E">
      <w:pPr>
        <w:tabs>
          <w:tab w:val="left" w:pos="1440"/>
        </w:tabs>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二、服务内容</w:t>
      </w:r>
    </w:p>
    <w:p w14:paraId="6EB5D708">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1.筹划采购人发行本次债券承销的前期准备工作。</w:t>
      </w:r>
    </w:p>
    <w:p w14:paraId="510739F4">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2.负责本次债券申报相关的工作，包括但不限于尽职调查、监管部门报批、发行文件编制、销售发行、簿记建档等工作。</w:t>
      </w:r>
    </w:p>
    <w:p w14:paraId="1D471CC9">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3.负责聘请本次债券发行及其存续期所需的律师事务所、会计师事务所、评级机构等中介机构，并组织其开展工作。</w:t>
      </w:r>
    </w:p>
    <w:p w14:paraId="4C280803">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4.负责本次债券发行成功后的有关管理事宜，包括但不限于本次债券存续期间的信息披露、债券本息兑付工作、召集债券持有人会议（如需）等。</w:t>
      </w:r>
    </w:p>
    <w:p w14:paraId="36C82F63">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5.负责提出切实可行的服务方案，包括（债券申报方案（根据情况确定债券申报品种等）；增信方案；支撑发行的项目方案；申报流程方案及时间安排；债券销售方案）等。</w:t>
      </w:r>
    </w:p>
    <w:p w14:paraId="38CEA9B4">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6.协助沟通相关部门，力争发行利率低，尽可能降低发债成本。</w:t>
      </w:r>
    </w:p>
    <w:p w14:paraId="6B5135D4">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7.协调相关上市事宜，完成债券销售，并按时向发行人划款；债券存续期内每年的付息协调工作；债券存续期内每年的年报中报协调刊登工作及后续支持工作。</w:t>
      </w:r>
    </w:p>
    <w:p w14:paraId="258B053F">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8.其他与本次债券发行相关的工作。</w:t>
      </w:r>
    </w:p>
    <w:p w14:paraId="615505D8">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注：需提供余额包销服务。</w:t>
      </w:r>
    </w:p>
    <w:p w14:paraId="15CE2602">
      <w:pPr>
        <w:tabs>
          <w:tab w:val="left" w:pos="1440"/>
        </w:tabs>
        <w:spacing w:line="460" w:lineRule="exact"/>
        <w:ind w:firstLine="482" w:firstLineChars="200"/>
        <w:rPr>
          <w:rFonts w:hint="eastAsia" w:ascii="宋体" w:hAnsi="宋体" w:cs="宋体"/>
          <w:b/>
          <w:bCs/>
          <w:sz w:val="24"/>
        </w:rPr>
      </w:pPr>
      <w:r>
        <w:rPr>
          <w:rFonts w:hint="eastAsia" w:ascii="宋体" w:hAnsi="宋体" w:cs="宋体"/>
          <w:b/>
          <w:bCs/>
          <w:sz w:val="24"/>
        </w:rPr>
        <w:t>三、服务质量要求</w:t>
      </w:r>
    </w:p>
    <w:p w14:paraId="2094DBD7">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1.确保债券按时、按量、按质的顺利发行。</w:t>
      </w:r>
    </w:p>
    <w:p w14:paraId="09C29B07">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2.发行利率、发行期限合理，尽可能降低发债成本。</w:t>
      </w:r>
    </w:p>
    <w:p w14:paraId="09C21FCE">
      <w:pPr>
        <w:tabs>
          <w:tab w:val="left" w:pos="1440"/>
        </w:tabs>
        <w:spacing w:line="460" w:lineRule="exact"/>
        <w:ind w:firstLine="482" w:firstLineChars="200"/>
        <w:rPr>
          <w:rFonts w:hint="eastAsia" w:ascii="宋体" w:hAnsi="宋体" w:cs="宋体"/>
          <w:b/>
          <w:bCs/>
          <w:sz w:val="24"/>
        </w:rPr>
      </w:pPr>
      <w:r>
        <w:rPr>
          <w:rFonts w:hint="eastAsia" w:ascii="宋体" w:hAnsi="宋体" w:cs="宋体"/>
          <w:b/>
          <w:bCs/>
          <w:sz w:val="24"/>
        </w:rPr>
        <w:t>四、其他事项</w:t>
      </w:r>
    </w:p>
    <w:p w14:paraId="774AE784">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1.在发行过程中所涉及的协作团队（具体指评级、会计、法律、资产评估和可研报告编制咨询机构等所有中介机构的各项工作）由中标人确定，涉及的相关费用计入本次发行的承销佣金内，由投标人在报价时综合考虑。该报价必须包括服务所需的完成发债准备工作、制作申报材料并上报、与主管部门的沟通、完成债券的成功发行与销售、以及因此产生的税费、利润及完成合同所需的所有风险、责任等的全部费用。招标人不再额外支付其他任何费用。</w:t>
      </w:r>
    </w:p>
    <w:p w14:paraId="0FA0B050">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2.服务期限内，中标投标人应无条件积极配合招标人的相关发债工作，组织专业团队，专人负责完成本项目。项目团队职责分工需明确、合理。</w:t>
      </w:r>
    </w:p>
    <w:p w14:paraId="22989C32">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3.付款方式：中标人应在每期完成发行、销售后，将当期的发债款项扣除对应的承销费后的余额划入招标人的指定账户。</w:t>
      </w:r>
      <w:r>
        <w:rPr>
          <w:rFonts w:hint="eastAsia" w:ascii="宋体" w:hAnsi="宋体" w:cs="宋体"/>
          <w:b/>
          <w:bCs/>
          <w:kern w:val="0"/>
          <w:sz w:val="24"/>
          <w:highlight w:val="yellow"/>
        </w:rPr>
        <w:t>采购单位有权根据项目实施进度进行分期付款，投标人自行考虑此风险参与投标活动。</w:t>
      </w:r>
      <w:r>
        <w:rPr>
          <w:rFonts w:hint="eastAsia" w:ascii="宋体" w:hAnsi="宋体" w:cs="宋体"/>
          <w:kern w:val="0"/>
          <w:sz w:val="24"/>
        </w:rPr>
        <w:t>承销费包含律师费、评级费、额外专项审计费、发行手续费等，上述费用中评级费、额外专项审计费等由采购单位先行支付；律师费、发行手续费等，待发行成功后，在承销费中一次性扣回，再由采购单位进行支付。</w:t>
      </w:r>
    </w:p>
    <w:p w14:paraId="53ACE74E">
      <w:pPr>
        <w:tabs>
          <w:tab w:val="left" w:pos="1440"/>
        </w:tabs>
        <w:spacing w:line="460" w:lineRule="exact"/>
        <w:ind w:firstLine="480" w:firstLineChars="200"/>
        <w:rPr>
          <w:rFonts w:hint="eastAsia" w:ascii="宋体" w:hAnsi="宋体" w:cs="宋体"/>
          <w:color w:val="FF0000"/>
          <w:kern w:val="0"/>
          <w:sz w:val="24"/>
        </w:rPr>
      </w:pPr>
      <w:r>
        <w:rPr>
          <w:rFonts w:hint="eastAsia" w:ascii="宋体" w:hAnsi="宋体" w:cs="宋体"/>
          <w:color w:val="FF0000"/>
          <w:kern w:val="0"/>
          <w:sz w:val="24"/>
        </w:rPr>
        <w:t>4.中标单位需支付履约保证金50万元，履约保证金将在企业债券全部发行完成后全数退回中标单位，若非政策性因素发行失败，则扣除全部履约保证金。</w:t>
      </w:r>
    </w:p>
    <w:p w14:paraId="2B327D92">
      <w:pPr>
        <w:tabs>
          <w:tab w:val="left" w:pos="1440"/>
        </w:tabs>
        <w:spacing w:line="460" w:lineRule="exact"/>
        <w:ind w:firstLine="480" w:firstLineChars="200"/>
        <w:rPr>
          <w:rFonts w:hint="eastAsia" w:ascii="宋体" w:hAnsi="宋体" w:cs="宋体"/>
          <w:kern w:val="0"/>
          <w:sz w:val="24"/>
        </w:rPr>
      </w:pPr>
      <w:r>
        <w:rPr>
          <w:rFonts w:hint="eastAsia" w:ascii="宋体" w:hAnsi="宋体" w:cs="宋体"/>
          <w:kern w:val="0"/>
          <w:sz w:val="24"/>
        </w:rPr>
        <w:t>5.投标单位须考虑市场发行平均利率情况，择机发行。</w:t>
      </w:r>
    </w:p>
    <w:p w14:paraId="4B080289">
      <w:pPr>
        <w:tabs>
          <w:tab w:val="left" w:pos="1440"/>
        </w:tabs>
        <w:spacing w:line="460" w:lineRule="exact"/>
        <w:ind w:firstLine="480" w:firstLineChars="200"/>
        <w:rPr>
          <w:rFonts w:hint="eastAsia" w:ascii="宋体" w:hAnsi="宋体" w:cs="宋体"/>
          <w:sz w:val="24"/>
          <w:lang w:val="zh-CN"/>
        </w:rPr>
      </w:pPr>
      <w:r>
        <w:rPr>
          <w:rFonts w:hint="eastAsia" w:ascii="宋体" w:hAnsi="宋体" w:cs="宋体"/>
          <w:kern w:val="0"/>
          <w:sz w:val="24"/>
        </w:rPr>
        <w:t>6.其他违约事项及责任在中标后由双方协商确定。</w:t>
      </w:r>
    </w:p>
    <w:p w14:paraId="19DA508E">
      <w:pPr>
        <w:pStyle w:val="25"/>
        <w:spacing w:before="120" w:after="120"/>
        <w:ind w:firstLine="210"/>
        <w:sectPr>
          <w:pgSz w:w="11910" w:h="16840"/>
          <w:pgMar w:top="1134" w:right="1344" w:bottom="1134" w:left="1304" w:header="0" w:footer="993" w:gutter="0"/>
          <w:pgNumType w:fmt="decimal"/>
          <w:cols w:space="0" w:num="1"/>
        </w:sectPr>
      </w:pPr>
    </w:p>
    <w:p w14:paraId="3B2EC431">
      <w:pPr>
        <w:pStyle w:val="33"/>
        <w:adjustRightInd w:val="0"/>
        <w:snapToGrid w:val="0"/>
        <w:spacing w:after="0" w:line="360" w:lineRule="auto"/>
        <w:ind w:firstLine="0" w:firstLineChars="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第三章 投标人须知</w:t>
      </w:r>
    </w:p>
    <w:p w14:paraId="0C294CC4">
      <w:pPr>
        <w:pStyle w:val="33"/>
        <w:adjustRightInd w:val="0"/>
        <w:snapToGrid w:val="0"/>
        <w:spacing w:after="0" w:line="360" w:lineRule="auto"/>
        <w:ind w:firstLine="0" w:firstLineChars="0"/>
        <w:jc w:val="cente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前附表</w:t>
      </w:r>
    </w:p>
    <w:tbl>
      <w:tblPr>
        <w:tblStyle w:val="35"/>
        <w:tblW w:w="99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068"/>
      </w:tblGrid>
      <w:tr w14:paraId="1998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2" w:type="dxa"/>
            <w:vAlign w:val="center"/>
          </w:tcPr>
          <w:p w14:paraId="2772C130">
            <w:pPr>
              <w:snapToGrid w:val="0"/>
              <w:spacing w:line="240" w:lineRule="auto"/>
              <w:jc w:val="center"/>
              <w:rPr>
                <w:rFonts w:hint="eastAsia" w:asciiTheme="minorEastAsia" w:hAnsiTheme="minorEastAsia" w:eastAsiaTheme="minorEastAsia"/>
                <w:b/>
                <w:bCs/>
                <w:color w:val="000000"/>
                <w:sz w:val="24"/>
              </w:rPr>
            </w:pPr>
            <w:r>
              <w:rPr>
                <w:rFonts w:hint="eastAsia" w:asciiTheme="minorEastAsia" w:hAnsiTheme="minorEastAsia" w:eastAsiaTheme="minorEastAsia"/>
                <w:b/>
                <w:bCs/>
                <w:color w:val="000000"/>
                <w:sz w:val="24"/>
              </w:rPr>
              <w:t>序号</w:t>
            </w:r>
          </w:p>
        </w:tc>
        <w:tc>
          <w:tcPr>
            <w:tcW w:w="9068" w:type="dxa"/>
            <w:vAlign w:val="center"/>
          </w:tcPr>
          <w:p w14:paraId="786A1AF0">
            <w:pPr>
              <w:snapToGrid w:val="0"/>
              <w:spacing w:line="240" w:lineRule="auto"/>
              <w:jc w:val="center"/>
              <w:rPr>
                <w:rFonts w:hint="eastAsia" w:asciiTheme="minorEastAsia" w:hAnsiTheme="minorEastAsia" w:eastAsiaTheme="minorEastAsia"/>
                <w:b/>
                <w:bCs/>
                <w:color w:val="000000"/>
                <w:sz w:val="24"/>
              </w:rPr>
            </w:pPr>
            <w:r>
              <w:rPr>
                <w:rFonts w:hint="eastAsia" w:asciiTheme="minorEastAsia" w:hAnsiTheme="minorEastAsia" w:eastAsiaTheme="minorEastAsia"/>
                <w:b/>
                <w:bCs/>
                <w:color w:val="000000"/>
                <w:sz w:val="24"/>
              </w:rPr>
              <w:t>内容、要求</w:t>
            </w:r>
          </w:p>
        </w:tc>
      </w:tr>
      <w:tr w14:paraId="5DBE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72" w:type="dxa"/>
            <w:vAlign w:val="center"/>
          </w:tcPr>
          <w:p w14:paraId="03EDF716">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9068" w:type="dxa"/>
            <w:vAlign w:val="center"/>
          </w:tcPr>
          <w:p w14:paraId="5B2CB8E5">
            <w:pPr>
              <w:rPr>
                <w:rFonts w:hint="eastAsia" w:asciiTheme="minorEastAsia" w:hAnsiTheme="minorEastAsia" w:eastAsiaTheme="minorEastAsia"/>
                <w:color w:val="000000"/>
                <w:sz w:val="24"/>
                <w:lang w:eastAsia="zh-CN"/>
              </w:rPr>
            </w:pPr>
            <w:r>
              <w:rPr>
                <w:rFonts w:hint="eastAsia" w:asciiTheme="minorEastAsia" w:hAnsiTheme="minorEastAsia" w:eastAsiaTheme="minorEastAsia"/>
                <w:sz w:val="24"/>
              </w:rPr>
              <w:t>项目名</w:t>
            </w:r>
            <w:r>
              <w:rPr>
                <w:rFonts w:hint="eastAsia" w:asciiTheme="minorEastAsia" w:hAnsiTheme="minorEastAsia" w:eastAsiaTheme="minorEastAsia"/>
                <w:color w:val="000000"/>
                <w:sz w:val="24"/>
              </w:rPr>
              <w:t>称：</w:t>
            </w:r>
            <w:r>
              <w:rPr>
                <w:rFonts w:hint="eastAsia" w:asciiTheme="minorEastAsia" w:hAnsiTheme="minorEastAsia" w:eastAsiaTheme="minorEastAsia"/>
                <w:b/>
                <w:bCs/>
                <w:sz w:val="24"/>
                <w:lang w:eastAsia="zh-CN"/>
              </w:rPr>
              <w:t>桐庐县国有资本投资运营控股集团有限公司2025年申报非公开发行公司债券承销商服务采购项目</w:t>
            </w:r>
          </w:p>
        </w:tc>
      </w:tr>
      <w:tr w14:paraId="4EAD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2" w:type="dxa"/>
            <w:vAlign w:val="center"/>
          </w:tcPr>
          <w:p w14:paraId="5D5EDD63">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9068" w:type="dxa"/>
            <w:vAlign w:val="center"/>
          </w:tcPr>
          <w:p w14:paraId="1B600BB0">
            <w:pPr>
              <w:rPr>
                <w:rFonts w:hint="eastAsia" w:asciiTheme="minorEastAsia" w:hAnsiTheme="minorEastAsia" w:eastAsiaTheme="minorEastAsia"/>
                <w:sz w:val="24"/>
              </w:rPr>
            </w:pPr>
            <w:r>
              <w:rPr>
                <w:rFonts w:hint="eastAsia" w:asciiTheme="minorEastAsia" w:hAnsiTheme="minorEastAsia" w:eastAsiaTheme="minorEastAsia"/>
                <w:color w:val="000000"/>
                <w:sz w:val="24"/>
              </w:rPr>
              <w:t>采购数量及单位：详见招标需求。</w:t>
            </w:r>
          </w:p>
        </w:tc>
      </w:tr>
      <w:tr w14:paraId="6DDD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2" w:type="dxa"/>
            <w:vAlign w:val="center"/>
          </w:tcPr>
          <w:p w14:paraId="63E13910">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9068" w:type="dxa"/>
            <w:vAlign w:val="center"/>
          </w:tcPr>
          <w:p w14:paraId="5256FAB8">
            <w:pPr>
              <w:snapToGri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投标报价及费用：1.本项目投标应以人民币报价；2.</w:t>
            </w:r>
            <w:r>
              <w:rPr>
                <w:rFonts w:hint="eastAsia" w:asciiTheme="minorEastAsia" w:hAnsiTheme="minorEastAsia" w:eastAsiaTheme="minorEastAsia"/>
                <w:sz w:val="24"/>
              </w:rPr>
              <w:t>不论投标结果如何，投标人均应自行承担所有与投标有关的全部费用。</w:t>
            </w:r>
          </w:p>
        </w:tc>
      </w:tr>
      <w:tr w14:paraId="7F0B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2" w:type="dxa"/>
            <w:vAlign w:val="center"/>
          </w:tcPr>
          <w:p w14:paraId="5E9A7023">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w:t>
            </w:r>
          </w:p>
        </w:tc>
        <w:tc>
          <w:tcPr>
            <w:tcW w:w="9068" w:type="dxa"/>
            <w:vAlign w:val="center"/>
          </w:tcPr>
          <w:p w14:paraId="65CCDB6F">
            <w:pPr>
              <w:snapToGri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投标保证金：按照采购公告要求交纳。</w:t>
            </w:r>
          </w:p>
        </w:tc>
      </w:tr>
      <w:tr w14:paraId="504C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2" w:type="dxa"/>
            <w:vAlign w:val="center"/>
          </w:tcPr>
          <w:p w14:paraId="68F116D0">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sz w:val="24"/>
              </w:rPr>
              <w:t>5</w:t>
            </w:r>
          </w:p>
        </w:tc>
        <w:tc>
          <w:tcPr>
            <w:tcW w:w="9068" w:type="dxa"/>
            <w:vAlign w:val="center"/>
          </w:tcPr>
          <w:p w14:paraId="0405098D">
            <w:pPr>
              <w:snapToGrid w:val="0"/>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sz w:val="24"/>
              </w:rPr>
              <w:t>答疑与澄清：投标人如认为招标文件表述不清晰、存在歧视性或者其他违法内容的，应当于投标截止时间15日前，以书面形式要求采购代理机构或采购单位作出书面解释、澄清或者向采购代理机构提出书面质疑，逾期不再受理；如有投标人提出质疑的，采购代理机构视情况将以答复；答疑内容是招标文件的组成部分，将在提交投标文件截止时间15日前，</w:t>
            </w:r>
            <w:r>
              <w:rPr>
                <w:rFonts w:hint="eastAsia" w:asciiTheme="minorEastAsia" w:hAnsiTheme="minorEastAsia" w:eastAsiaTheme="minorEastAsia"/>
                <w:sz w:val="24"/>
                <w:highlight w:val="yellow"/>
              </w:rPr>
              <w:t>在项目发布招标公告的网站上发布更正公告，</w:t>
            </w:r>
            <w:r>
              <w:rPr>
                <w:rFonts w:hint="eastAsia" w:asciiTheme="minorEastAsia" w:hAnsiTheme="minorEastAsia" w:eastAsiaTheme="minorEastAsia"/>
                <w:sz w:val="24"/>
              </w:rPr>
              <w:t>请投标人自行到网上查看和下载，投标人因漏看带来的后果由投标人自行承担。</w:t>
            </w:r>
          </w:p>
        </w:tc>
      </w:tr>
      <w:tr w14:paraId="54AF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10AE2EC8">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9068" w:type="dxa"/>
            <w:vAlign w:val="center"/>
          </w:tcPr>
          <w:p w14:paraId="0545753E">
            <w:pPr>
              <w:autoSpaceDE w:val="0"/>
              <w:autoSpaceDN w:val="0"/>
              <w:snapToGrid w:val="0"/>
              <w:textAlignment w:val="bottom"/>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投标文件组成：</w:t>
            </w:r>
            <w:r>
              <w:rPr>
                <w:rFonts w:hint="eastAsia" w:asciiTheme="minorEastAsia" w:hAnsiTheme="minorEastAsia" w:eastAsiaTheme="minorEastAsia"/>
                <w:b/>
                <w:bCs/>
                <w:sz w:val="24"/>
              </w:rPr>
              <w:t>“资格文件”“商务技术文件”和“报价文件”</w:t>
            </w:r>
            <w:r>
              <w:rPr>
                <w:rFonts w:hint="eastAsia" w:asciiTheme="minorEastAsia" w:hAnsiTheme="minorEastAsia" w:eastAsiaTheme="minorEastAsia"/>
                <w:color w:val="000000"/>
                <w:sz w:val="24"/>
              </w:rPr>
              <w:t>三部分组成。</w:t>
            </w:r>
          </w:p>
        </w:tc>
      </w:tr>
      <w:tr w14:paraId="77EB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6C432DB0">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w:t>
            </w:r>
          </w:p>
        </w:tc>
        <w:tc>
          <w:tcPr>
            <w:tcW w:w="9068" w:type="dxa"/>
            <w:vAlign w:val="center"/>
          </w:tcPr>
          <w:p w14:paraId="683C99F8">
            <w:pPr>
              <w:autoSpaceDE w:val="0"/>
              <w:autoSpaceDN w:val="0"/>
              <w:snapToGrid w:val="0"/>
              <w:textAlignment w:val="bottom"/>
              <w:rPr>
                <w:rFonts w:hint="eastAsia" w:asciiTheme="minorEastAsia" w:hAnsiTheme="minorEastAsia" w:eastAsiaTheme="minorEastAsia"/>
                <w:b/>
                <w:color w:val="FF0000"/>
                <w:sz w:val="24"/>
              </w:rPr>
            </w:pPr>
            <w:r>
              <w:rPr>
                <w:rFonts w:hint="eastAsia" w:asciiTheme="minorEastAsia" w:hAnsiTheme="minorEastAsia" w:eastAsiaTheme="minorEastAsia"/>
                <w:b/>
                <w:color w:val="FF0000"/>
                <w:sz w:val="24"/>
              </w:rPr>
              <w:t>投标文件的签章按照采购文件要求签章。</w:t>
            </w:r>
          </w:p>
        </w:tc>
      </w:tr>
      <w:tr w14:paraId="2D02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2" w:type="dxa"/>
            <w:vAlign w:val="center"/>
          </w:tcPr>
          <w:p w14:paraId="25A44B7F">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9068" w:type="dxa"/>
            <w:vAlign w:val="center"/>
          </w:tcPr>
          <w:p w14:paraId="2AF10EFF">
            <w:pPr>
              <w:snapToGrid w:val="0"/>
              <w:spacing w:line="360" w:lineRule="auto"/>
              <w:rPr>
                <w:rFonts w:hint="eastAsia" w:ascii="宋体" w:hAnsi="宋体" w:cs="宋体"/>
                <w:sz w:val="24"/>
              </w:rPr>
            </w:pPr>
            <w:r>
              <w:rPr>
                <w:rFonts w:hint="eastAsia" w:ascii="宋体" w:hAnsi="宋体" w:cs="宋体"/>
                <w:sz w:val="24"/>
              </w:rPr>
              <w:t>本项目实行网上电子招投标。</w:t>
            </w:r>
            <w:r>
              <w:rPr>
                <w:rFonts w:hint="eastAsia" w:ascii="宋体" w:hAnsi="宋体" w:cs="宋体"/>
                <w:sz w:val="24"/>
              </w:rPr>
              <w:cr/>
            </w:r>
            <w:r>
              <w:rPr>
                <w:rFonts w:hint="eastAsia" w:ascii="宋体" w:hAnsi="宋体" w:cs="宋体"/>
                <w:sz w:val="24"/>
              </w:rPr>
              <w:t>供应商应准备电子投标文件、备份投标文件二类（</w:t>
            </w:r>
            <w:r>
              <w:rPr>
                <w:rFonts w:hint="eastAsia" w:ascii="宋体" w:hAnsi="宋体" w:cs="宋体"/>
                <w:b/>
                <w:sz w:val="24"/>
              </w:rPr>
              <w:t>采购单位、采购代理机构不强制或变相强制投标人提交备份投标文件</w:t>
            </w:r>
            <w:r>
              <w:rPr>
                <w:rFonts w:hint="eastAsia" w:ascii="宋体" w:hAnsi="宋体" w:cs="宋体"/>
                <w:sz w:val="24"/>
              </w:rPr>
              <w:t>）：</w:t>
            </w:r>
            <w:r>
              <w:rPr>
                <w:rFonts w:hint="eastAsia" w:ascii="宋体" w:hAnsi="宋体" w:cs="宋体"/>
                <w:sz w:val="24"/>
              </w:rPr>
              <w:cr/>
            </w:r>
            <w:r>
              <w:rPr>
                <w:rFonts w:hint="eastAsia" w:ascii="宋体" w:hAnsi="宋体" w:cs="宋体"/>
                <w:sz w:val="24"/>
              </w:rPr>
              <w:t>（1）电子投标文件，按乐采云平台项目采购-电子招投标操作指南及本招标文件要求递交。</w:t>
            </w:r>
            <w:r>
              <w:rPr>
                <w:rFonts w:hint="eastAsia" w:ascii="宋体" w:hAnsi="宋体" w:cs="宋体"/>
                <w:sz w:val="24"/>
              </w:rPr>
              <w:cr/>
            </w:r>
            <w:r>
              <w:rPr>
                <w:rFonts w:hint="eastAsia" w:ascii="宋体" w:hAnsi="宋体" w:cs="宋体"/>
                <w:sz w:val="24"/>
              </w:rPr>
              <w:t>（2）备份投标文件，以（邮寄形式）在投标截止时间前递交以介质（U盘）存储的数据电文形式的“备份投标文件”，“备份投标文件”应当密封包装并在包装上标注投标项目名称、投标单位名称并加盖公章。数量为1份。</w:t>
            </w:r>
          </w:p>
          <w:p w14:paraId="7CD90787">
            <w:pP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（邮寄地址：桐庐县迎春南路桦桐大厦20楼，收件人：许洪，联系电话：15868177628收）</w:t>
            </w:r>
            <w:r>
              <w:rPr>
                <w:rFonts w:hint="eastAsia" w:ascii="宋体" w:hAnsi="宋体" w:cs="宋体"/>
                <w:sz w:val="24"/>
              </w:rPr>
              <w:t>收件时间应在投标截止时间2小时前，逾期送达和收件将被拒收。</w:t>
            </w:r>
          </w:p>
        </w:tc>
      </w:tr>
      <w:tr w14:paraId="41E4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2" w:type="dxa"/>
            <w:vAlign w:val="center"/>
          </w:tcPr>
          <w:p w14:paraId="5D28FFE4">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9</w:t>
            </w:r>
          </w:p>
        </w:tc>
        <w:tc>
          <w:tcPr>
            <w:tcW w:w="9068" w:type="dxa"/>
            <w:vAlign w:val="center"/>
          </w:tcPr>
          <w:p w14:paraId="08EDC81D">
            <w:pPr>
              <w:snapToGrid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投标截止时间：</w:t>
            </w:r>
            <w:r>
              <w:rPr>
                <w:rFonts w:hint="eastAsia" w:asciiTheme="minorEastAsia" w:hAnsiTheme="minorEastAsia" w:eastAsiaTheme="minorEastAsia"/>
                <w:b/>
                <w:bCs/>
                <w:color w:val="FF0000"/>
                <w:sz w:val="24"/>
                <w:lang w:eastAsia="zh-CN"/>
              </w:rPr>
              <w:t>2025年07月21日09时45分</w:t>
            </w:r>
            <w:r>
              <w:rPr>
                <w:rFonts w:hint="eastAsia" w:asciiTheme="minorEastAsia" w:hAnsiTheme="minorEastAsia" w:eastAsiaTheme="minorEastAsia"/>
                <w:sz w:val="24"/>
              </w:rPr>
              <w:t>。</w:t>
            </w:r>
          </w:p>
          <w:p w14:paraId="2522C4CC">
            <w:pPr>
              <w:snapToGrid w:val="0"/>
              <w:spacing w:line="360" w:lineRule="auto"/>
              <w:rPr>
                <w:rFonts w:hint="eastAsia" w:asciiTheme="minorEastAsia" w:hAnsiTheme="minorEastAsia" w:eastAsiaTheme="minorEastAsia"/>
                <w:color w:val="000000"/>
                <w:sz w:val="24"/>
              </w:rPr>
            </w:pPr>
            <w:r>
              <w:rPr>
                <w:rFonts w:hint="eastAsia" w:cs="华文中宋" w:asciiTheme="minorEastAsia" w:hAnsiTheme="minorEastAsia" w:eastAsiaTheme="minorEastAsia"/>
                <w:color w:val="FF0000"/>
                <w:sz w:val="24"/>
              </w:rPr>
              <w:t>通过乐采云平台实行在线投标响应。</w:t>
            </w:r>
          </w:p>
        </w:tc>
      </w:tr>
      <w:tr w14:paraId="7EB2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 w:type="dxa"/>
            <w:vAlign w:val="center"/>
          </w:tcPr>
          <w:p w14:paraId="77D3C1BC">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w:t>
            </w:r>
          </w:p>
        </w:tc>
        <w:tc>
          <w:tcPr>
            <w:tcW w:w="9068" w:type="dxa"/>
            <w:vAlign w:val="center"/>
          </w:tcPr>
          <w:p w14:paraId="11BC4515">
            <w:pPr>
              <w:snapToGrid w:val="0"/>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sz w:val="24"/>
              </w:rPr>
              <w:t>开标时间及地点：</w:t>
            </w:r>
            <w:r>
              <w:rPr>
                <w:rFonts w:hint="eastAsia" w:cs="Arial" w:asciiTheme="minorEastAsia" w:hAnsiTheme="minorEastAsia" w:eastAsiaTheme="minorEastAsia"/>
                <w:sz w:val="24"/>
              </w:rPr>
              <w:t>本次招标将于</w:t>
            </w:r>
            <w:r>
              <w:rPr>
                <w:rFonts w:hint="eastAsia" w:asciiTheme="minorEastAsia" w:hAnsiTheme="minorEastAsia" w:eastAsiaTheme="minorEastAsia"/>
                <w:b/>
                <w:bCs/>
                <w:color w:val="FF0000"/>
                <w:sz w:val="24"/>
                <w:lang w:eastAsia="zh-CN"/>
              </w:rPr>
              <w:t>2025年07月21日09时45分</w:t>
            </w:r>
            <w:r>
              <w:rPr>
                <w:rFonts w:hint="eastAsia" w:cs="Arial" w:asciiTheme="minorEastAsia" w:hAnsiTheme="minorEastAsia" w:eastAsiaTheme="minorEastAsia"/>
                <w:sz w:val="24"/>
              </w:rPr>
              <w:t>乐采云在线开标。</w:t>
            </w:r>
          </w:p>
        </w:tc>
      </w:tr>
      <w:tr w14:paraId="4592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72" w:type="dxa"/>
            <w:vAlign w:val="center"/>
          </w:tcPr>
          <w:p w14:paraId="31335AD3">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11</w:t>
            </w:r>
          </w:p>
        </w:tc>
        <w:tc>
          <w:tcPr>
            <w:tcW w:w="9068" w:type="dxa"/>
            <w:vAlign w:val="center"/>
          </w:tcPr>
          <w:p w14:paraId="1A302F4A">
            <w:pPr>
              <w:autoSpaceDE w:val="0"/>
              <w:autoSpaceDN w:val="0"/>
              <w:snapToGrid w:val="0"/>
              <w:textAlignment w:val="bottom"/>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评标办法及标准：按照招标文件评标办法及评分标准。</w:t>
            </w:r>
          </w:p>
        </w:tc>
      </w:tr>
      <w:tr w14:paraId="69B5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2" w:type="dxa"/>
            <w:vAlign w:val="center"/>
          </w:tcPr>
          <w:p w14:paraId="30A168CF">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w:t>
            </w:r>
          </w:p>
        </w:tc>
        <w:tc>
          <w:tcPr>
            <w:tcW w:w="9068" w:type="dxa"/>
            <w:vAlign w:val="center"/>
          </w:tcPr>
          <w:p w14:paraId="3B3E8D0A">
            <w:pPr>
              <w:autoSpaceDE w:val="0"/>
              <w:autoSpaceDN w:val="0"/>
              <w:snapToGrid w:val="0"/>
              <w:textAlignment w:val="bottom"/>
              <w:rPr>
                <w:rFonts w:hint="eastAsia" w:asciiTheme="minorEastAsia" w:hAnsiTheme="minorEastAsia" w:eastAsiaTheme="minorEastAsia"/>
                <w:color w:val="000000"/>
                <w:sz w:val="24"/>
              </w:rPr>
            </w:pPr>
            <w:r>
              <w:rPr>
                <w:rFonts w:hint="eastAsia" w:asciiTheme="minorEastAsia" w:hAnsiTheme="minorEastAsia" w:eastAsiaTheme="minorEastAsia"/>
                <w:sz w:val="24"/>
              </w:rPr>
              <w:t>中标（成交）公告：采购单位确定中标人后，在浙江政府采购网（http://zfcg.czt.zj.gov.cn/）上进行1个工作日的中标（成交）公告。</w:t>
            </w:r>
          </w:p>
        </w:tc>
      </w:tr>
      <w:tr w14:paraId="0DEB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72" w:type="dxa"/>
            <w:vAlign w:val="center"/>
          </w:tcPr>
          <w:p w14:paraId="745C8DAA">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9068" w:type="dxa"/>
            <w:vAlign w:val="center"/>
          </w:tcPr>
          <w:p w14:paraId="1DB39870">
            <w:pPr>
              <w:autoSpaceDE w:val="0"/>
              <w:autoSpaceDN w:val="0"/>
              <w:snapToGrid w:val="0"/>
              <w:textAlignment w:val="bottom"/>
              <w:rPr>
                <w:rFonts w:hint="eastAsia" w:asciiTheme="minorEastAsia" w:hAnsiTheme="minorEastAsia" w:eastAsiaTheme="minorEastAsia"/>
                <w:color w:val="000000"/>
                <w:sz w:val="24"/>
              </w:rPr>
            </w:pPr>
            <w:r>
              <w:rPr>
                <w:rFonts w:hint="eastAsia" w:asciiTheme="minorEastAsia" w:hAnsiTheme="minorEastAsia" w:eastAsiaTheme="minorEastAsia"/>
                <w:sz w:val="24"/>
              </w:rPr>
              <w:t>中标（成交）通知书：成交结果在中标（成交）公告时，代理机构以书面形式发出《成交通知书》。</w:t>
            </w:r>
          </w:p>
        </w:tc>
      </w:tr>
      <w:tr w14:paraId="6FAC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2" w:type="dxa"/>
            <w:vAlign w:val="center"/>
          </w:tcPr>
          <w:p w14:paraId="293A209A">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14</w:t>
            </w:r>
          </w:p>
        </w:tc>
        <w:tc>
          <w:tcPr>
            <w:tcW w:w="9068" w:type="dxa"/>
            <w:vAlign w:val="center"/>
          </w:tcPr>
          <w:p w14:paraId="36016C84">
            <w:pPr>
              <w:autoSpaceDE w:val="0"/>
              <w:autoSpaceDN w:val="0"/>
              <w:snapToGrid w:val="0"/>
              <w:textAlignment w:val="bottom"/>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签订合同：中标通知书发出后</w:t>
            </w:r>
            <w:r>
              <w:rPr>
                <w:rFonts w:hint="eastAsia" w:asciiTheme="minorEastAsia" w:hAnsiTheme="minorEastAsia" w:eastAsiaTheme="minorEastAsia"/>
                <w:sz w:val="24"/>
              </w:rPr>
              <w:t>30</w:t>
            </w:r>
            <w:r>
              <w:rPr>
                <w:rFonts w:hint="eastAsia" w:asciiTheme="minorEastAsia" w:hAnsiTheme="minorEastAsia" w:eastAsiaTheme="minorEastAsia"/>
                <w:color w:val="000000"/>
                <w:sz w:val="24"/>
              </w:rPr>
              <w:t>日内。</w:t>
            </w:r>
          </w:p>
        </w:tc>
      </w:tr>
      <w:tr w14:paraId="4E52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72" w:type="dxa"/>
            <w:vAlign w:val="center"/>
          </w:tcPr>
          <w:p w14:paraId="56919D3C">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15</w:t>
            </w:r>
          </w:p>
        </w:tc>
        <w:tc>
          <w:tcPr>
            <w:tcW w:w="9068" w:type="dxa"/>
            <w:vAlign w:val="center"/>
          </w:tcPr>
          <w:p w14:paraId="2B49EE93">
            <w:pPr>
              <w:snapToGri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投标文件有效期：</w:t>
            </w:r>
            <w:r>
              <w:rPr>
                <w:rFonts w:hint="eastAsia" w:cs="Arial" w:asciiTheme="minorEastAsia" w:hAnsiTheme="minorEastAsia" w:eastAsiaTheme="minorEastAsia"/>
                <w:color w:val="000000"/>
                <w:sz w:val="24"/>
                <w:u w:val="single"/>
              </w:rPr>
              <w:t>90</w:t>
            </w:r>
            <w:r>
              <w:rPr>
                <w:rFonts w:hint="eastAsia" w:cs="Arial" w:asciiTheme="minorEastAsia" w:hAnsiTheme="minorEastAsia" w:eastAsiaTheme="minorEastAsia"/>
                <w:color w:val="000000"/>
                <w:sz w:val="24"/>
              </w:rPr>
              <w:t xml:space="preserve"> 天。</w:t>
            </w:r>
          </w:p>
        </w:tc>
      </w:tr>
      <w:tr w14:paraId="2FC2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72" w:type="dxa"/>
            <w:vAlign w:val="center"/>
          </w:tcPr>
          <w:p w14:paraId="45743385">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16</w:t>
            </w:r>
          </w:p>
        </w:tc>
        <w:tc>
          <w:tcPr>
            <w:tcW w:w="9068" w:type="dxa"/>
            <w:vAlign w:val="center"/>
          </w:tcPr>
          <w:p w14:paraId="15E93C80">
            <w:pPr>
              <w:snapToGri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解释：本招标文件的解释权属于招标采购单位。</w:t>
            </w:r>
          </w:p>
        </w:tc>
      </w:tr>
      <w:tr w14:paraId="2935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2" w:type="dxa"/>
            <w:vAlign w:val="center"/>
          </w:tcPr>
          <w:p w14:paraId="5DCF3C81">
            <w:pPr>
              <w:snapToGrid w:val="0"/>
              <w:spacing w:line="240" w:lineRule="auto"/>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17</w:t>
            </w:r>
          </w:p>
        </w:tc>
        <w:tc>
          <w:tcPr>
            <w:tcW w:w="9068" w:type="dxa"/>
            <w:vAlign w:val="center"/>
          </w:tcPr>
          <w:p w14:paraId="725104E4">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b/>
                <w:color w:val="FF0000"/>
                <w:sz w:val="24"/>
              </w:rPr>
              <w:t>本次招标设定最高限价，年承销费率最高限价：</w:t>
            </w:r>
            <w:r>
              <w:rPr>
                <w:rFonts w:hint="eastAsia" w:asciiTheme="minorEastAsia" w:hAnsiTheme="minorEastAsia" w:eastAsiaTheme="minorEastAsia"/>
                <w:b/>
                <w:color w:val="FF0000"/>
                <w:sz w:val="24"/>
                <w:u w:val="single"/>
                <w:lang w:eastAsia="zh-CN"/>
              </w:rPr>
              <w:t>0.10%</w:t>
            </w:r>
          </w:p>
        </w:tc>
      </w:tr>
    </w:tbl>
    <w:p w14:paraId="0634897C">
      <w:pPr>
        <w:pStyle w:val="18"/>
        <w:snapToGrid w:val="0"/>
        <w:spacing w:before="120" w:after="120"/>
        <w:ind w:firstLine="482" w:firstLineChars="200"/>
        <w:rPr>
          <w:rFonts w:hint="eastAsia" w:asciiTheme="minorEastAsia" w:hAnsiTheme="minorEastAsia" w:eastAsiaTheme="minorEastAsia"/>
          <w:b/>
          <w:sz w:val="24"/>
        </w:rPr>
      </w:pPr>
      <w:bookmarkStart w:id="4" w:name="_Toc91899903"/>
      <w:r>
        <w:rPr>
          <w:rFonts w:hint="eastAsia" w:asciiTheme="minorEastAsia" w:hAnsiTheme="minorEastAsia" w:eastAsiaTheme="minorEastAsia"/>
          <w:b/>
          <w:sz w:val="24"/>
        </w:rPr>
        <w:t>一、总  则</w:t>
      </w:r>
    </w:p>
    <w:p w14:paraId="288B1C6F">
      <w:pPr>
        <w:tabs>
          <w:tab w:val="left" w:pos="360"/>
          <w:tab w:val="left" w:pos="540"/>
          <w:tab w:val="left" w:pos="720"/>
        </w:tabs>
        <w:snapToGrid w:val="0"/>
        <w:ind w:firstLine="482" w:firstLineChars="200"/>
        <w:jc w:val="left"/>
        <w:outlineLvl w:val="1"/>
        <w:rPr>
          <w:rFonts w:hint="eastAsia" w:asciiTheme="minorEastAsia" w:hAnsiTheme="minorEastAsia" w:eastAsiaTheme="minorEastAsia"/>
          <w:b/>
          <w:color w:val="000000"/>
          <w:sz w:val="24"/>
        </w:rPr>
      </w:pPr>
      <w:bookmarkStart w:id="5" w:name="_Toc177825120"/>
      <w:bookmarkStart w:id="6" w:name="_Toc177870537"/>
      <w:bookmarkStart w:id="7" w:name="_Toc177824872"/>
      <w:bookmarkStart w:id="8" w:name="_Toc177824939"/>
      <w:r>
        <w:rPr>
          <w:rFonts w:hint="eastAsia" w:asciiTheme="minorEastAsia" w:hAnsiTheme="minorEastAsia" w:eastAsiaTheme="minorEastAsia"/>
          <w:b/>
          <w:color w:val="000000"/>
          <w:sz w:val="24"/>
        </w:rPr>
        <w:t>（一）适用范围</w:t>
      </w:r>
      <w:bookmarkEnd w:id="5"/>
      <w:bookmarkEnd w:id="6"/>
      <w:bookmarkEnd w:id="7"/>
      <w:bookmarkEnd w:id="8"/>
    </w:p>
    <w:p w14:paraId="7BCEA59D">
      <w:pPr>
        <w:snapToGrid w:val="0"/>
        <w:ind w:firstLine="480" w:firstLineChars="200"/>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本招标文件适用于</w:t>
      </w:r>
      <w:r>
        <w:rPr>
          <w:rFonts w:hint="eastAsia" w:asciiTheme="minorEastAsia" w:hAnsiTheme="minorEastAsia" w:eastAsiaTheme="minorEastAsia"/>
          <w:b/>
          <w:bCs/>
          <w:sz w:val="24"/>
          <w:u w:val="single"/>
          <w:lang w:eastAsia="zh-CN"/>
        </w:rPr>
        <w:t>桐庐县国有资本投资运营控股集团有限公司2025年申报非公开发行公司债券承销商服务采购项目</w:t>
      </w:r>
      <w:r>
        <w:rPr>
          <w:rFonts w:hint="eastAsia" w:asciiTheme="minorEastAsia" w:hAnsiTheme="minorEastAsia" w:eastAsiaTheme="minorEastAsia"/>
          <w:color w:val="000000"/>
          <w:sz w:val="24"/>
        </w:rPr>
        <w:t>的招标、评标、定标、验收、合同履约、付款等（法律、法规另有规定的，从其规定）。</w:t>
      </w:r>
    </w:p>
    <w:p w14:paraId="41B46954">
      <w:pPr>
        <w:snapToGrid w:val="0"/>
        <w:ind w:firstLine="482" w:firstLineChars="200"/>
        <w:jc w:val="left"/>
        <w:outlineLvl w:val="1"/>
        <w:rPr>
          <w:rFonts w:hint="eastAsia" w:asciiTheme="minorEastAsia" w:hAnsiTheme="minorEastAsia" w:eastAsiaTheme="minorEastAsia"/>
          <w:b/>
          <w:color w:val="000000"/>
          <w:sz w:val="24"/>
        </w:rPr>
      </w:pPr>
      <w:bookmarkStart w:id="9" w:name="_Toc177824940"/>
      <w:bookmarkStart w:id="10" w:name="_Toc177824873"/>
      <w:bookmarkStart w:id="11" w:name="_Toc177870538"/>
      <w:bookmarkStart w:id="12" w:name="_Toc177825121"/>
      <w:r>
        <w:rPr>
          <w:rFonts w:hint="eastAsia" w:asciiTheme="minorEastAsia" w:hAnsiTheme="minorEastAsia" w:eastAsiaTheme="minorEastAsia"/>
          <w:b/>
          <w:color w:val="000000"/>
          <w:sz w:val="24"/>
        </w:rPr>
        <w:t>（二）定义</w:t>
      </w:r>
      <w:bookmarkEnd w:id="9"/>
      <w:bookmarkEnd w:id="10"/>
      <w:bookmarkEnd w:id="11"/>
      <w:bookmarkEnd w:id="12"/>
    </w:p>
    <w:p w14:paraId="41398791">
      <w:pPr>
        <w:snapToGrid w:val="0"/>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1.“供应商”系指向采购代理机构提交投标文件的单位。</w:t>
      </w:r>
    </w:p>
    <w:p w14:paraId="5712AD86">
      <w:pPr>
        <w:snapToGrid w:val="0"/>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2.“采购单位”系指桐庐县国有资本投资运营控股集团有限公司。</w:t>
      </w:r>
    </w:p>
    <w:p w14:paraId="0297E472">
      <w:pPr>
        <w:snapToGrid w:val="0"/>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3.“采购代理机构”系指耀华建设管理有限公司。</w:t>
      </w:r>
    </w:p>
    <w:p w14:paraId="18239912">
      <w:pPr>
        <w:snapToGrid w:val="0"/>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4.“服务”系指招标文件规定投标人须承担的本项目</w:t>
      </w:r>
      <w:r>
        <w:rPr>
          <w:rFonts w:hint="eastAsia" w:cs="宋体" w:asciiTheme="minorEastAsia" w:hAnsiTheme="minorEastAsia" w:eastAsiaTheme="minorEastAsia"/>
          <w:bCs/>
          <w:sz w:val="24"/>
        </w:rPr>
        <w:t>服务所有工作内容</w:t>
      </w:r>
      <w:r>
        <w:rPr>
          <w:rFonts w:hint="eastAsia" w:asciiTheme="minorEastAsia" w:hAnsiTheme="minorEastAsia" w:eastAsiaTheme="minorEastAsia"/>
          <w:sz w:val="24"/>
        </w:rPr>
        <w:t>。</w:t>
      </w:r>
    </w:p>
    <w:p w14:paraId="28B40F1A">
      <w:pPr>
        <w:snapToGrid w:val="0"/>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5.“书面形式”包括信函、传真、电报、电子文档等。</w:t>
      </w:r>
    </w:p>
    <w:p w14:paraId="1EB40E79">
      <w:pPr>
        <w:snapToGrid w:val="0"/>
        <w:ind w:firstLine="480" w:firstLineChars="200"/>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z w:val="24"/>
        </w:rPr>
        <w:t>”系指实质性要求条款。</w:t>
      </w:r>
    </w:p>
    <w:p w14:paraId="7C9BEA01">
      <w:pPr>
        <w:snapToGrid w:val="0"/>
        <w:ind w:firstLine="482" w:firstLineChars="200"/>
        <w:jc w:val="left"/>
        <w:outlineLvl w:val="1"/>
        <w:rPr>
          <w:rFonts w:hint="eastAsia" w:asciiTheme="minorEastAsia" w:hAnsiTheme="minorEastAsia" w:eastAsiaTheme="minorEastAsia"/>
          <w:b/>
          <w:color w:val="000000"/>
          <w:sz w:val="24"/>
        </w:rPr>
      </w:pPr>
      <w:bookmarkStart w:id="13" w:name="_Toc177870539"/>
      <w:r>
        <w:rPr>
          <w:rFonts w:hint="eastAsia" w:asciiTheme="minorEastAsia" w:hAnsiTheme="minorEastAsia" w:eastAsiaTheme="minorEastAsia"/>
          <w:b/>
          <w:color w:val="000000"/>
          <w:sz w:val="24"/>
        </w:rPr>
        <w:t>（三）招标方式</w:t>
      </w:r>
      <w:bookmarkEnd w:id="13"/>
    </w:p>
    <w:p w14:paraId="046D3575">
      <w:pPr>
        <w:snapToGrid w:val="0"/>
        <w:spacing w:line="360" w:lineRule="auto"/>
        <w:ind w:firstLine="480" w:firstLineChars="200"/>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本次招标采用公开招标方式进行。</w:t>
      </w:r>
    </w:p>
    <w:p w14:paraId="6CA87E2D">
      <w:pPr>
        <w:snapToGrid w:val="0"/>
        <w:spacing w:line="360" w:lineRule="auto"/>
        <w:ind w:firstLine="482" w:firstLineChars="200"/>
        <w:jc w:val="left"/>
        <w:rPr>
          <w:rFonts w:hint="eastAsia" w:asciiTheme="minorEastAsia" w:hAnsiTheme="minorEastAsia" w:eastAsiaTheme="minorEastAsia"/>
          <w:b/>
          <w:sz w:val="24"/>
        </w:rPr>
      </w:pPr>
      <w:bookmarkStart w:id="14" w:name="_Toc177824874"/>
      <w:bookmarkStart w:id="15" w:name="_Toc177870540"/>
      <w:bookmarkStart w:id="16" w:name="_Toc177824941"/>
      <w:bookmarkStart w:id="17" w:name="_Toc177825122"/>
      <w:r>
        <w:rPr>
          <w:rFonts w:hint="eastAsia" w:asciiTheme="minorEastAsia" w:hAnsiTheme="minorEastAsia" w:eastAsiaTheme="minorEastAsia"/>
          <w:b/>
          <w:sz w:val="24"/>
        </w:rPr>
        <w:t>（四）投标委托</w:t>
      </w:r>
      <w:bookmarkEnd w:id="14"/>
      <w:bookmarkEnd w:id="15"/>
      <w:bookmarkEnd w:id="16"/>
      <w:bookmarkEnd w:id="17"/>
    </w:p>
    <w:p w14:paraId="16FD78CA">
      <w:pPr>
        <w:snapToGrid w:val="0"/>
        <w:spacing w:line="360" w:lineRule="auto"/>
        <w:ind w:firstLine="480" w:firstLineChars="200"/>
        <w:jc w:val="left"/>
        <w:outlineLvl w:val="1"/>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投标人代表须携带居民身份证、法定代表人出具的授权委托书。</w:t>
      </w:r>
    </w:p>
    <w:p w14:paraId="150F9B5A">
      <w:pPr>
        <w:snapToGrid w:val="0"/>
        <w:spacing w:line="360" w:lineRule="auto"/>
        <w:ind w:firstLine="482" w:firstLineChars="200"/>
        <w:jc w:val="left"/>
        <w:outlineLvl w:val="1"/>
        <w:rPr>
          <w:rFonts w:hint="eastAsia" w:asciiTheme="minorEastAsia" w:hAnsiTheme="minorEastAsia" w:eastAsiaTheme="minorEastAsia"/>
          <w:b/>
          <w:color w:val="000000"/>
          <w:sz w:val="24"/>
        </w:rPr>
      </w:pPr>
      <w:bookmarkStart w:id="18" w:name="_Toc177824875"/>
      <w:bookmarkStart w:id="19" w:name="_Toc177825123"/>
      <w:bookmarkStart w:id="20" w:name="_Toc177824942"/>
      <w:bookmarkStart w:id="21" w:name="_Toc177870541"/>
      <w:r>
        <w:rPr>
          <w:rFonts w:hint="eastAsia" w:asciiTheme="minorEastAsia" w:hAnsiTheme="minorEastAsia" w:eastAsiaTheme="minorEastAsia"/>
          <w:b/>
          <w:color w:val="000000"/>
          <w:sz w:val="24"/>
        </w:rPr>
        <w:t>（五）投标费用</w:t>
      </w:r>
      <w:bookmarkEnd w:id="18"/>
      <w:bookmarkEnd w:id="19"/>
      <w:bookmarkEnd w:id="20"/>
      <w:bookmarkEnd w:id="21"/>
    </w:p>
    <w:p w14:paraId="12C7877E">
      <w:pPr>
        <w:snapToGrid w:val="0"/>
        <w:spacing w:line="360" w:lineRule="auto"/>
        <w:ind w:firstLine="480" w:firstLineChars="200"/>
        <w:jc w:val="left"/>
        <w:outlineLvl w:val="1"/>
        <w:rPr>
          <w:rFonts w:hint="eastAsia" w:asciiTheme="minorEastAsia" w:hAnsiTheme="minorEastAsia" w:eastAsiaTheme="minorEastAsia"/>
          <w:b/>
          <w:color w:val="000000"/>
          <w:sz w:val="24"/>
        </w:rPr>
      </w:pPr>
      <w:r>
        <w:rPr>
          <w:rFonts w:hint="eastAsia" w:asciiTheme="minorEastAsia" w:hAnsiTheme="minorEastAsia" w:eastAsiaTheme="minorEastAsia"/>
          <w:sz w:val="24"/>
        </w:rPr>
        <w:t>不论投标结果如何，投标人均应自行承担所有与投标有关的全部费用。</w:t>
      </w:r>
    </w:p>
    <w:p w14:paraId="0BA59E4E">
      <w:pPr>
        <w:snapToGrid w:val="0"/>
        <w:spacing w:line="360" w:lineRule="auto"/>
        <w:ind w:firstLine="482" w:firstLineChars="200"/>
        <w:jc w:val="left"/>
        <w:outlineLvl w:val="1"/>
        <w:rPr>
          <w:rFonts w:hint="eastAsia" w:asciiTheme="minorEastAsia" w:hAnsiTheme="minorEastAsia" w:eastAsiaTheme="minorEastAsia"/>
          <w:b/>
          <w:color w:val="000000"/>
          <w:sz w:val="24"/>
        </w:rPr>
      </w:pPr>
      <w:bookmarkStart w:id="22" w:name="_Toc177870542"/>
      <w:r>
        <w:rPr>
          <w:rFonts w:hint="eastAsia" w:asciiTheme="minorEastAsia" w:hAnsiTheme="minorEastAsia" w:eastAsiaTheme="minorEastAsia"/>
          <w:b/>
          <w:sz w:val="24"/>
        </w:rPr>
        <w:t>（六）</w:t>
      </w:r>
      <w:r>
        <w:rPr>
          <w:rFonts w:hint="eastAsia" w:asciiTheme="minorEastAsia" w:hAnsiTheme="minorEastAsia" w:eastAsiaTheme="minorEastAsia"/>
          <w:b/>
          <w:color w:val="000000"/>
          <w:sz w:val="24"/>
        </w:rPr>
        <w:t>特别说明：</w:t>
      </w:r>
      <w:bookmarkEnd w:id="22"/>
    </w:p>
    <w:p w14:paraId="6BB6CC48">
      <w:pPr>
        <w:spacing w:line="360" w:lineRule="auto"/>
        <w:ind w:firstLine="464" w:firstLineChars="220"/>
        <w:rPr>
          <w:rFonts w:hint="eastAsia" w:cs="宋体" w:asciiTheme="minorEastAsia" w:hAnsiTheme="minorEastAsia" w:eastAsiaTheme="minorEastAsia"/>
          <w:color w:val="FF0000"/>
          <w:sz w:val="24"/>
        </w:rPr>
      </w:pPr>
      <w:bookmarkStart w:id="23" w:name="_Toc177870543"/>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1.</w:t>
      </w:r>
      <w:r>
        <w:rPr>
          <w:rFonts w:asciiTheme="minorEastAsia" w:hAnsiTheme="minorEastAsia" w:eastAsiaTheme="minorEastAsia"/>
          <w:sz w:val="24"/>
        </w:rPr>
        <w:t xml:space="preserve"> 直接或者间接受</w:t>
      </w:r>
      <w:r>
        <w:rPr>
          <w:rFonts w:hint="eastAsia" w:asciiTheme="minorEastAsia" w:hAnsiTheme="minorEastAsia" w:eastAsiaTheme="minorEastAsia"/>
          <w:sz w:val="24"/>
        </w:rPr>
        <w:t>采购单位</w:t>
      </w:r>
      <w:r>
        <w:rPr>
          <w:rFonts w:asciiTheme="minorEastAsia" w:hAnsiTheme="minorEastAsia" w:eastAsiaTheme="minorEastAsia"/>
          <w:sz w:val="24"/>
        </w:rPr>
        <w:t>控制的当事人，或者与</w:t>
      </w:r>
      <w:r>
        <w:rPr>
          <w:rFonts w:hint="eastAsia" w:asciiTheme="minorEastAsia" w:hAnsiTheme="minorEastAsia" w:eastAsiaTheme="minorEastAsia"/>
          <w:sz w:val="24"/>
        </w:rPr>
        <w:t>采购单位</w:t>
      </w:r>
      <w:r>
        <w:rPr>
          <w:rFonts w:asciiTheme="minorEastAsia" w:hAnsiTheme="minorEastAsia" w:eastAsiaTheme="minorEastAsia"/>
          <w:sz w:val="24"/>
        </w:rPr>
        <w:t>受共同上级控制的</w:t>
      </w:r>
      <w:r>
        <w:rPr>
          <w:rFonts w:hint="eastAsia" w:cs="宋体" w:asciiTheme="minorEastAsia" w:hAnsiTheme="minorEastAsia" w:eastAsiaTheme="minorEastAsia"/>
          <w:sz w:val="24"/>
        </w:rPr>
        <w:t>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5EC7DDF7">
      <w:pPr>
        <w:pStyle w:val="18"/>
        <w:snapToGrid w:val="0"/>
        <w:spacing w:line="360" w:lineRule="auto"/>
        <w:ind w:firstLine="422" w:firstLineChars="200"/>
        <w:rPr>
          <w:rFonts w:hint="eastAsia"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2.投标人投标所使用的资格、信誉、荣誉、业绩与企业认证必须为本企业所拥有。投标人投标所使用的采购项目实施人员可以为其控股公司的工作人员。</w:t>
      </w:r>
    </w:p>
    <w:p w14:paraId="349B37A7">
      <w:pPr>
        <w:pStyle w:val="18"/>
        <w:snapToGrid w:val="0"/>
        <w:spacing w:line="360" w:lineRule="auto"/>
        <w:ind w:firstLine="422" w:firstLineChars="200"/>
        <w:rPr>
          <w:rFonts w:hint="eastAsia"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3.投标人在投标活动中提供任何虚假材料或从事其他违法活动的,其投标无效，并报监管部门查处；中标后发现的,中标人须依照《中华人民共和国消费者权益保护法》第49条之规定双倍赔偿采购单位。且民事赔偿并不免除违法投标人的行政与刑事责任。</w:t>
      </w:r>
    </w:p>
    <w:p w14:paraId="41B2E33A">
      <w:pPr>
        <w:pStyle w:val="18"/>
        <w:snapToGrid w:val="0"/>
        <w:spacing w:line="360" w:lineRule="auto"/>
        <w:ind w:firstLine="422" w:firstLineChars="200"/>
        <w:rPr>
          <w:rFonts w:hint="eastAsia"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4.投标人应仔细阅读招标文件的所有内容，按照招标文件的要求提交投标文件。投标文件应对招标文件的要求作出实质性响应，并对所提供的全部资料的真实性承担法律责任。</w:t>
      </w:r>
    </w:p>
    <w:p w14:paraId="06C3EE95">
      <w:pPr>
        <w:pStyle w:val="18"/>
        <w:snapToGrid w:val="0"/>
        <w:spacing w:line="360" w:lineRule="auto"/>
        <w:ind w:firstLine="422" w:firstLineChars="200"/>
        <w:rPr>
          <w:rFonts w:hint="eastAsia" w:cs="宋体"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cs="宋体" w:asciiTheme="minorEastAsia" w:hAnsiTheme="minorEastAsia" w:eastAsiaTheme="minorEastAsia"/>
          <w:sz w:val="24"/>
        </w:rPr>
        <w:t>5</w:t>
      </w:r>
      <w:r>
        <w:rPr>
          <w:rFonts w:hint="eastAsia" w:cs="宋体" w:asciiTheme="minorEastAsia" w:hAnsiTheme="minorEastAsia" w:eastAsiaTheme="minorEastAsia"/>
          <w:sz w:val="24"/>
          <w:lang w:val="en-US" w:eastAsia="zh-CN"/>
        </w:rPr>
        <w:t>.</w:t>
      </w:r>
      <w:r>
        <w:rPr>
          <w:rFonts w:hint="eastAsia" w:cs="宋体" w:asciiTheme="minorEastAsia" w:hAnsiTheme="minorEastAsia" w:eastAsiaTheme="minorEastAsia"/>
          <w:sz w:val="24"/>
        </w:rPr>
        <w:t>本次招标项目不得转包分包。本项目</w:t>
      </w:r>
      <w:r>
        <w:rPr>
          <w:rFonts w:hint="eastAsia" w:cs="宋体" w:asciiTheme="minorEastAsia" w:hAnsiTheme="minorEastAsia" w:eastAsiaTheme="minorEastAsia"/>
          <w:sz w:val="24"/>
          <w:u w:val="single"/>
        </w:rPr>
        <w:t>接受</w:t>
      </w:r>
      <w:r>
        <w:rPr>
          <w:rFonts w:hint="eastAsia" w:cs="宋体" w:asciiTheme="minorEastAsia" w:hAnsiTheme="minorEastAsia" w:eastAsiaTheme="minorEastAsia"/>
          <w:sz w:val="24"/>
        </w:rPr>
        <w:t>联合体投标。</w:t>
      </w:r>
    </w:p>
    <w:p w14:paraId="25A47AAF">
      <w:pPr>
        <w:pStyle w:val="18"/>
        <w:snapToGrid w:val="0"/>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（七）质疑</w:t>
      </w:r>
      <w:bookmarkEnd w:id="23"/>
      <w:r>
        <w:rPr>
          <w:rFonts w:hint="eastAsia" w:asciiTheme="minorEastAsia" w:hAnsiTheme="minorEastAsia" w:eastAsiaTheme="minorEastAsia"/>
          <w:b/>
          <w:bCs/>
          <w:sz w:val="24"/>
        </w:rPr>
        <w:t>和投诉</w:t>
      </w:r>
    </w:p>
    <w:p w14:paraId="32035A06">
      <w:pPr>
        <w:pStyle w:val="18"/>
        <w:snapToGrid w:val="0"/>
        <w:spacing w:line="360" w:lineRule="auto"/>
        <w:ind w:firstLine="480" w:firstLineChars="200"/>
        <w:rPr>
          <w:rFonts w:hint="eastAsia" w:asciiTheme="minorEastAsia" w:hAnsiTheme="minorEastAsia" w:eastAsiaTheme="minorEastAsia"/>
          <w:sz w:val="24"/>
        </w:rPr>
      </w:pPr>
      <w:bookmarkStart w:id="24" w:name="_Toc177870544"/>
      <w:r>
        <w:rPr>
          <w:rFonts w:hint="eastAsia" w:asciiTheme="minorEastAsia" w:hAnsiTheme="minorEastAsia" w:eastAsiaTheme="minorEastAsia"/>
          <w:bCs/>
          <w:sz w:val="24"/>
        </w:rPr>
        <w:t>1.投标人认为招标过程和中标结果使自己的合法权益受到损害的，应当在知道或者应知其权益受到损害之日起七个工作日内，以书面形式向采购代理机构提出质疑。</w:t>
      </w:r>
      <w:r>
        <w:rPr>
          <w:rFonts w:hint="eastAsia" w:asciiTheme="minorEastAsia" w:hAnsiTheme="minorEastAsia" w:eastAsiaTheme="minorEastAsia"/>
          <w:sz w:val="24"/>
        </w:rPr>
        <w:t>投标人对采购代理机构的质疑答复不满意或者招标采购单位未在规定时间内作出答复的，可以在答复期满后十五个工作日内向同级采购监管部门投诉。</w:t>
      </w:r>
    </w:p>
    <w:p w14:paraId="45A178D6">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2.投标供应商在法定质疑期内一次性提出针对同一采购程序环节的质疑。</w:t>
      </w:r>
    </w:p>
    <w:p w14:paraId="5EA58FB8">
      <w:pPr>
        <w:pStyle w:val="18"/>
        <w:snapToGrid w:val="0"/>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3.投标人认可采购代理机构在质疑答复程序中启用的调查和复评等程序，在该程序操作过程未明显违反法律禁止性规定时，不得提出疑义；</w:t>
      </w:r>
    </w:p>
    <w:p w14:paraId="108767DA">
      <w:pPr>
        <w:pStyle w:val="18"/>
        <w:snapToGrid w:val="0"/>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4.质疑、投诉应当采用书面形式，质疑书、投诉书均应明确阐述招标文件、招标过程和中标结果中使自己合法权益受到损害的实质性内容，提供相关事实、依据和证据及其来源或线索，便于有关单位调查、答复和处理，否者不予受理。</w:t>
      </w:r>
    </w:p>
    <w:p w14:paraId="35A7E027">
      <w:pPr>
        <w:pStyle w:val="18"/>
        <w:snapToGrid w:val="0"/>
        <w:spacing w:line="360" w:lineRule="auto"/>
        <w:ind w:firstLine="436" w:firstLineChars="181"/>
        <w:outlineLvl w:val="0"/>
        <w:rPr>
          <w:rFonts w:hint="eastAsia" w:asciiTheme="minorEastAsia" w:hAnsiTheme="minorEastAsia" w:eastAsiaTheme="minorEastAsia"/>
          <w:b/>
          <w:sz w:val="24"/>
        </w:rPr>
      </w:pPr>
      <w:r>
        <w:rPr>
          <w:rFonts w:hint="eastAsia" w:asciiTheme="minorEastAsia" w:hAnsiTheme="minorEastAsia" w:eastAsiaTheme="minorEastAsia"/>
          <w:b/>
          <w:sz w:val="24"/>
        </w:rPr>
        <w:t>二 、招标文件</w:t>
      </w:r>
      <w:bookmarkEnd w:id="24"/>
    </w:p>
    <w:p w14:paraId="044EF65D">
      <w:pPr>
        <w:snapToGrid w:val="0"/>
        <w:spacing w:line="360" w:lineRule="auto"/>
        <w:ind w:firstLine="316" w:firstLineChars="131"/>
        <w:jc w:val="left"/>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（一）招标文件的构成。本招标文件由以下部分组成：</w:t>
      </w:r>
    </w:p>
    <w:p w14:paraId="644DF81E">
      <w:pPr>
        <w:snapToGrid w:val="0"/>
        <w:spacing w:line="360" w:lineRule="auto"/>
        <w:ind w:firstLine="436" w:firstLineChars="182"/>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1.招标公告</w:t>
      </w:r>
    </w:p>
    <w:p w14:paraId="1E3488CB">
      <w:pPr>
        <w:snapToGrid w:val="0"/>
        <w:spacing w:line="360" w:lineRule="auto"/>
        <w:ind w:firstLine="436" w:firstLineChars="182"/>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2.招标需求</w:t>
      </w:r>
    </w:p>
    <w:p w14:paraId="60708AD1">
      <w:pPr>
        <w:snapToGrid w:val="0"/>
        <w:spacing w:line="360" w:lineRule="auto"/>
        <w:ind w:firstLine="436" w:firstLineChars="182"/>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3.投标人须知</w:t>
      </w:r>
    </w:p>
    <w:p w14:paraId="588A612C">
      <w:pPr>
        <w:snapToGrid w:val="0"/>
        <w:spacing w:line="360" w:lineRule="auto"/>
        <w:ind w:firstLine="436" w:firstLineChars="182"/>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4.评标办法及标准</w:t>
      </w:r>
    </w:p>
    <w:p w14:paraId="4FBEA861">
      <w:pPr>
        <w:snapToGrid w:val="0"/>
        <w:spacing w:line="360" w:lineRule="auto"/>
        <w:ind w:firstLine="436" w:firstLineChars="182"/>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5.采购合同</w:t>
      </w:r>
    </w:p>
    <w:p w14:paraId="604E7172">
      <w:pPr>
        <w:snapToGrid w:val="0"/>
        <w:spacing w:line="360" w:lineRule="auto"/>
        <w:ind w:firstLine="436" w:firstLineChars="182"/>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6.投标文件格式</w:t>
      </w:r>
    </w:p>
    <w:p w14:paraId="3C6304F2">
      <w:pPr>
        <w:snapToGrid w:val="0"/>
        <w:spacing w:line="360" w:lineRule="auto"/>
        <w:ind w:firstLine="318" w:firstLineChars="132"/>
        <w:jc w:val="left"/>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（二）投标人的风险</w:t>
      </w:r>
    </w:p>
    <w:p w14:paraId="3DC18C49">
      <w:pPr>
        <w:snapToGrid w:val="0"/>
        <w:spacing w:line="360" w:lineRule="auto"/>
        <w:ind w:firstLine="436" w:firstLineChars="182"/>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投标人没有按照招标文件要求提供全部资料，或者投标人没有对招标文件在各方面作出实质性响应是投标人的风险，并可能导致其投标被拒绝。</w:t>
      </w:r>
    </w:p>
    <w:p w14:paraId="452F943A">
      <w:pPr>
        <w:pStyle w:val="8"/>
        <w:widowControl w:val="0"/>
        <w:numPr>
          <w:ilvl w:val="0"/>
          <w:numId w:val="0"/>
        </w:numPr>
        <w:tabs>
          <w:tab w:val="left" w:pos="360"/>
        </w:tabs>
        <w:snapToGrid w:val="0"/>
        <w:spacing w:after="120" w:line="360" w:lineRule="auto"/>
        <w:ind w:firstLine="318" w:firstLineChars="132"/>
        <w:rPr>
          <w:rFonts w:hint="eastAsia" w:asciiTheme="minorEastAsia" w:hAnsiTheme="minorEastAsia" w:eastAsiaTheme="minorEastAsia"/>
          <w:b/>
          <w:color w:val="000000"/>
          <w:szCs w:val="24"/>
        </w:rPr>
      </w:pPr>
      <w:r>
        <w:rPr>
          <w:rFonts w:hint="eastAsia" w:asciiTheme="minorEastAsia" w:hAnsiTheme="minorEastAsia" w:eastAsiaTheme="minorEastAsia"/>
          <w:b/>
          <w:color w:val="000000"/>
          <w:szCs w:val="24"/>
        </w:rPr>
        <w:t xml:space="preserve">（三）招标文件的澄清与修改 </w:t>
      </w:r>
    </w:p>
    <w:p w14:paraId="4D564864">
      <w:pPr>
        <w:pStyle w:val="18"/>
        <w:snapToGrid w:val="0"/>
        <w:spacing w:line="360" w:lineRule="auto"/>
        <w:ind w:firstLine="436" w:firstLineChars="182"/>
        <w:rPr>
          <w:rFonts w:hint="eastAsia" w:asciiTheme="minorEastAsia" w:hAnsiTheme="minorEastAsia" w:eastAsiaTheme="minorEastAsia"/>
          <w:sz w:val="24"/>
        </w:rPr>
      </w:pPr>
      <w:bookmarkStart w:id="25" w:name="_Toc177870545"/>
      <w:r>
        <w:rPr>
          <w:rFonts w:asciiTheme="minorEastAsia" w:hAnsiTheme="minorEastAsia" w:eastAsiaTheme="minorEastAsia"/>
          <w:sz w:val="24"/>
        </w:rPr>
        <w:t>1.</w:t>
      </w:r>
      <w:r>
        <w:rPr>
          <w:rFonts w:hint="eastAsia" w:asciiTheme="minorEastAsia" w:hAnsiTheme="minorEastAsia" w:eastAsiaTheme="minorEastAsia"/>
          <w:sz w:val="24"/>
        </w:rPr>
        <w:t>投标人应认真阅读本招标文件，发现其中有误或有要求不合理的，投标人必须在</w:t>
      </w:r>
      <w:r>
        <w:rPr>
          <w:rFonts w:hint="eastAsia" w:asciiTheme="minorEastAsia" w:hAnsiTheme="minorEastAsia" w:eastAsiaTheme="minorEastAsia"/>
          <w:b/>
          <w:bCs/>
          <w:color w:val="FF0000"/>
          <w:sz w:val="24"/>
        </w:rPr>
        <w:t>前附表第5项规定的时间</w:t>
      </w:r>
      <w:r>
        <w:rPr>
          <w:rFonts w:hint="eastAsia" w:asciiTheme="minorEastAsia" w:hAnsiTheme="minorEastAsia" w:eastAsiaTheme="minorEastAsia"/>
          <w:b/>
          <w:color w:val="FF0000"/>
          <w:sz w:val="24"/>
        </w:rPr>
        <w:t>前</w:t>
      </w:r>
      <w:r>
        <w:rPr>
          <w:rFonts w:hint="eastAsia" w:asciiTheme="minorEastAsia" w:hAnsiTheme="minorEastAsia" w:eastAsiaTheme="minorEastAsia"/>
          <w:sz w:val="24"/>
        </w:rPr>
        <w:t>以书面形式要求采购单位或采购代理机构澄清。</w:t>
      </w:r>
    </w:p>
    <w:p w14:paraId="0223FD92">
      <w:pPr>
        <w:pStyle w:val="18"/>
        <w:snapToGrid w:val="0"/>
        <w:spacing w:line="360" w:lineRule="auto"/>
        <w:ind w:firstLine="439" w:firstLineChars="182"/>
        <w:rPr>
          <w:rFonts w:hint="eastAsia" w:asciiTheme="minorEastAsia" w:hAnsiTheme="minorEastAsia" w:eastAsiaTheme="minorEastAsia"/>
          <w:sz w:val="24"/>
        </w:rPr>
      </w:pPr>
      <w:r>
        <w:rPr>
          <w:rFonts w:hint="eastAsia" w:asciiTheme="minorEastAsia" w:hAnsiTheme="minorEastAsia" w:eastAsiaTheme="minorEastAsia"/>
          <w:b/>
          <w:sz w:val="24"/>
        </w:rPr>
        <w:t>2.</w:t>
      </w:r>
      <w:r>
        <w:rPr>
          <w:rFonts w:hint="eastAsia" w:cs="宋体" w:asciiTheme="minorEastAsia" w:hAnsiTheme="minorEastAsia" w:eastAsiaTheme="minorEastAsia"/>
          <w:b/>
          <w:sz w:val="24"/>
        </w:rPr>
        <w:t xml:space="preserve"> 采购代理机构对已发出的招标文件进行必要澄清、答复、修改或补充的，将在招标文件要求提交投标文件截止时间15日前，在浙江政府采购网（https://zfcg.czt.zj.gov.cn/）发布更正公告，请投标人自行到网上查看和下载，投标人因漏看带来的后果由投标人自行承担</w:t>
      </w:r>
      <w:r>
        <w:rPr>
          <w:rFonts w:hint="eastAsia" w:cs="宋体" w:asciiTheme="minorEastAsia" w:hAnsiTheme="minorEastAsia" w:eastAsiaTheme="minorEastAsia"/>
          <w:sz w:val="24"/>
        </w:rPr>
        <w:t>。</w:t>
      </w:r>
    </w:p>
    <w:p w14:paraId="39C38A54">
      <w:pPr>
        <w:pStyle w:val="18"/>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3.招标文件澄清、答复、修改、补充的内容为招标文件的组成部分。当招标文件与招标文件的答复、澄清、修改、补充通知就同一内容的表述不一致时，以最后发出的文件为准。</w:t>
      </w:r>
    </w:p>
    <w:p w14:paraId="1D9E8C84">
      <w:pPr>
        <w:pStyle w:val="18"/>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4.招标文件的澄清、答复、修改或补充都应该通过采购代理机构以法定形式发布，采购单位非通过采购代理机构，不得擅自澄清、答复、修改或补充招标文件。</w:t>
      </w:r>
    </w:p>
    <w:p w14:paraId="66815FD2">
      <w:pPr>
        <w:pStyle w:val="18"/>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5.投标供应商一旦参与本次采购活动，即被视为接受了本招标文件的所有内容，如有任何异议，均已在答疑截止时间前提出。</w:t>
      </w:r>
    </w:p>
    <w:p w14:paraId="0C45DA27">
      <w:pPr>
        <w:pStyle w:val="18"/>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6.若有必要，招标代理机构将酌情延长递交投标文件的截止日期。</w:t>
      </w:r>
    </w:p>
    <w:p w14:paraId="6ECEBBFE">
      <w:pPr>
        <w:pStyle w:val="18"/>
        <w:snapToGrid w:val="0"/>
        <w:spacing w:line="360" w:lineRule="auto"/>
        <w:ind w:firstLine="482" w:firstLineChars="200"/>
        <w:outlineLvl w:val="1"/>
        <w:rPr>
          <w:rFonts w:hint="eastAsia" w:asciiTheme="minorEastAsia" w:hAnsiTheme="minorEastAsia" w:eastAsiaTheme="minorEastAsia"/>
          <w:b/>
          <w:sz w:val="24"/>
        </w:rPr>
      </w:pPr>
      <w:r>
        <w:rPr>
          <w:rFonts w:hint="eastAsia" w:asciiTheme="minorEastAsia" w:hAnsiTheme="minorEastAsia" w:eastAsiaTheme="minorEastAsia"/>
          <w:b/>
          <w:sz w:val="24"/>
        </w:rPr>
        <w:t>三、投标文件</w:t>
      </w:r>
      <w:bookmarkEnd w:id="25"/>
      <w:r>
        <w:rPr>
          <w:rFonts w:hint="eastAsia" w:asciiTheme="minorEastAsia" w:hAnsiTheme="minorEastAsia" w:eastAsiaTheme="minorEastAsia"/>
          <w:b/>
          <w:sz w:val="24"/>
        </w:rPr>
        <w:t>的编制</w:t>
      </w:r>
    </w:p>
    <w:p w14:paraId="0C0EF776">
      <w:pPr>
        <w:snapToGrid w:val="0"/>
        <w:spacing w:line="360" w:lineRule="auto"/>
        <w:ind w:firstLine="482" w:firstLineChars="200"/>
        <w:jc w:val="left"/>
        <w:outlineLvl w:val="0"/>
        <w:rPr>
          <w:rFonts w:hint="eastAsia" w:asciiTheme="minorEastAsia" w:hAnsiTheme="minorEastAsia" w:eastAsiaTheme="minorEastAsia"/>
          <w:b/>
          <w:color w:val="000000"/>
          <w:sz w:val="24"/>
        </w:rPr>
      </w:pPr>
      <w:bookmarkStart w:id="26" w:name="_Toc177825124"/>
      <w:bookmarkStart w:id="27" w:name="_Toc177824943"/>
      <w:bookmarkStart w:id="28" w:name="_Toc177824876"/>
      <w:bookmarkStart w:id="29" w:name="_Toc177870546"/>
      <w:r>
        <w:rPr>
          <w:rFonts w:hint="eastAsia" w:asciiTheme="minorEastAsia" w:hAnsiTheme="minorEastAsia" w:eastAsiaTheme="minorEastAsia"/>
          <w:b/>
          <w:color w:val="000000"/>
          <w:sz w:val="24"/>
        </w:rPr>
        <w:t>（一）投标文件的组成</w:t>
      </w:r>
      <w:bookmarkEnd w:id="26"/>
      <w:bookmarkEnd w:id="27"/>
      <w:bookmarkEnd w:id="28"/>
      <w:bookmarkEnd w:id="29"/>
    </w:p>
    <w:p w14:paraId="35382AD5">
      <w:pPr>
        <w:snapToGrid w:val="0"/>
        <w:spacing w:line="360" w:lineRule="auto"/>
        <w:ind w:firstLine="482" w:firstLineChars="200"/>
        <w:jc w:val="left"/>
        <w:outlineLvl w:val="0"/>
        <w:rPr>
          <w:rFonts w:hint="eastAsia" w:asciiTheme="minorEastAsia" w:hAnsiTheme="minorEastAsia" w:eastAsiaTheme="minorEastAsia"/>
          <w:b/>
          <w:bCs/>
          <w:sz w:val="24"/>
        </w:rPr>
      </w:pPr>
      <w:r>
        <w:rPr>
          <w:rFonts w:hint="eastAsia" w:asciiTheme="minorEastAsia" w:hAnsiTheme="minorEastAsia" w:eastAsiaTheme="minorEastAsia"/>
          <w:b/>
          <w:bCs/>
          <w:sz w:val="24"/>
        </w:rPr>
        <w:t>投标文件由资格文件、商务技术文件、报价文件三部分组成。</w:t>
      </w:r>
    </w:p>
    <w:p w14:paraId="46CFF35D">
      <w:pPr>
        <w:snapToGrid w:val="0"/>
        <w:spacing w:line="360" w:lineRule="auto"/>
        <w:ind w:firstLine="482" w:firstLineChars="200"/>
        <w:jc w:val="left"/>
        <w:outlineLvl w:val="0"/>
        <w:rPr>
          <w:rFonts w:hint="eastAsia" w:asciiTheme="minorEastAsia" w:hAnsiTheme="minorEastAsia" w:eastAsiaTheme="minorEastAsia"/>
          <w:b/>
          <w:bCs/>
          <w:sz w:val="24"/>
        </w:rPr>
      </w:pPr>
      <w:r>
        <w:rPr>
          <w:rFonts w:hint="eastAsia" w:asciiTheme="minorEastAsia" w:hAnsiTheme="minorEastAsia" w:eastAsiaTheme="minorEastAsia"/>
          <w:b/>
          <w:bCs/>
          <w:sz w:val="24"/>
        </w:rPr>
        <w:t>1.资格文件（不含报价）</w:t>
      </w:r>
    </w:p>
    <w:p w14:paraId="32B8034A">
      <w:pPr>
        <w:snapToGrid w:val="0"/>
        <w:spacing w:line="360" w:lineRule="auto"/>
        <w:ind w:firstLine="360" w:firstLineChars="15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（1）营业执照</w:t>
      </w:r>
    </w:p>
    <w:p w14:paraId="5862F2D1">
      <w:pPr>
        <w:snapToGrid w:val="0"/>
        <w:spacing w:line="360" w:lineRule="auto"/>
        <w:ind w:firstLine="360" w:firstLineChars="150"/>
        <w:rPr>
          <w:rFonts w:hint="eastAsia" w:cs="宋体" w:asciiTheme="minorEastAsia" w:hAnsiTheme="minorEastAsia" w:eastAsiaTheme="minorEastAsia"/>
          <w:snapToGrid w:val="0"/>
          <w:kern w:val="28"/>
          <w:sz w:val="24"/>
          <w:szCs w:val="20"/>
          <w:lang w:val="zh-CN"/>
        </w:rPr>
      </w:pPr>
      <w:r>
        <w:rPr>
          <w:rFonts w:hint="eastAsia" w:cs="宋体" w:asciiTheme="minorEastAsia" w:hAnsiTheme="minorEastAsia" w:eastAsiaTheme="minorEastAsia"/>
          <w:snapToGrid w:val="0"/>
          <w:kern w:val="28"/>
          <w:sz w:val="24"/>
          <w:szCs w:val="20"/>
        </w:rPr>
        <w:t>（2）符合参加采购活动应当具备的一般条件的承诺函</w:t>
      </w:r>
    </w:p>
    <w:p w14:paraId="670A19F5">
      <w:pPr>
        <w:snapToGrid w:val="0"/>
        <w:spacing w:line="360" w:lineRule="auto"/>
        <w:ind w:firstLine="360" w:firstLineChars="15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（3）本项目的特定资格要求</w:t>
      </w:r>
    </w:p>
    <w:p w14:paraId="0992CAA3">
      <w:pPr>
        <w:snapToGrid w:val="0"/>
        <w:spacing w:line="360" w:lineRule="auto"/>
        <w:ind w:firstLine="360" w:firstLineChars="150"/>
        <w:rPr>
          <w:rFonts w:hint="eastAsia" w:asciiTheme="minorEastAsia" w:hAnsiTheme="minorEastAsia" w:eastAsiaTheme="minorEastAsia"/>
          <w:sz w:val="24"/>
        </w:rPr>
      </w:pPr>
      <w:r>
        <w:rPr>
          <w:rFonts w:hint="eastAsia" w:asciiTheme="minorEastAsia" w:hAnsiTheme="minorEastAsia" w:eastAsiaTheme="minorEastAsia"/>
          <w:sz w:val="24"/>
        </w:rPr>
        <w:t>（4）</w:t>
      </w:r>
      <w:bookmarkStart w:id="30" w:name="_Hlk101259339"/>
      <w:r>
        <w:rPr>
          <w:rFonts w:hint="eastAsia" w:cs="宋体" w:asciiTheme="minorEastAsia" w:hAnsiTheme="minorEastAsia" w:eastAsiaTheme="minorEastAsia"/>
          <w:snapToGrid w:val="0"/>
          <w:kern w:val="28"/>
          <w:sz w:val="24"/>
          <w:szCs w:val="20"/>
        </w:rPr>
        <w:t>联合协议（如果有</w:t>
      </w:r>
      <w:bookmarkEnd w:id="30"/>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sz w:val="24"/>
        </w:rPr>
        <w:t>格式自拟)</w:t>
      </w:r>
    </w:p>
    <w:p w14:paraId="5F7481A4">
      <w:pPr>
        <w:snapToGrid w:val="0"/>
        <w:spacing w:line="360" w:lineRule="auto"/>
        <w:ind w:firstLine="482" w:firstLineChars="200"/>
        <w:jc w:val="left"/>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2.商务技术文件</w:t>
      </w:r>
      <w:r>
        <w:rPr>
          <w:rFonts w:hint="eastAsia" w:asciiTheme="minorEastAsia" w:hAnsiTheme="minorEastAsia" w:eastAsiaTheme="minorEastAsia"/>
          <w:b/>
          <w:bCs/>
          <w:sz w:val="24"/>
        </w:rPr>
        <w:t>（内容结合评标办法，均不含报价）</w:t>
      </w:r>
    </w:p>
    <w:p w14:paraId="139E53C9">
      <w:pPr>
        <w:snapToGrid w:val="0"/>
        <w:spacing w:line="360" w:lineRule="auto"/>
        <w:ind w:firstLine="360" w:firstLineChars="150"/>
        <w:rPr>
          <w:rFonts w:hint="eastAsia" w:ascii="宋体" w:hAnsi="宋体" w:cs="宋体"/>
          <w:sz w:val="24"/>
        </w:rPr>
      </w:pPr>
      <w:r>
        <w:rPr>
          <w:rFonts w:hint="eastAsia" w:ascii="宋体" w:hAnsi="宋体" w:cs="宋体"/>
          <w:sz w:val="24"/>
        </w:rPr>
        <w:t>（1）供应商自评分表</w:t>
      </w:r>
    </w:p>
    <w:p w14:paraId="3C010C61">
      <w:pPr>
        <w:snapToGrid w:val="0"/>
        <w:spacing w:line="360" w:lineRule="auto"/>
        <w:ind w:firstLine="360" w:firstLineChars="150"/>
        <w:rPr>
          <w:rFonts w:hint="eastAsia" w:ascii="宋体" w:hAnsi="宋体" w:cs="宋体"/>
          <w:color w:val="FF0000"/>
          <w:sz w:val="24"/>
        </w:rPr>
      </w:pPr>
      <w:r>
        <w:rPr>
          <w:rFonts w:hint="eastAsia" w:ascii="宋体" w:hAnsi="宋体" w:cs="宋体"/>
          <w:color w:val="FF0000"/>
          <w:sz w:val="24"/>
        </w:rPr>
        <w:t>（2）评标标准相应的商务技术资料</w:t>
      </w:r>
    </w:p>
    <w:p w14:paraId="0F44AE39">
      <w:pPr>
        <w:snapToGrid w:val="0"/>
        <w:spacing w:line="360" w:lineRule="auto"/>
        <w:ind w:firstLine="360" w:firstLineChars="150"/>
        <w:rPr>
          <w:rFonts w:hint="eastAsia" w:ascii="宋体" w:hAnsi="宋体" w:cs="宋体"/>
          <w:sz w:val="24"/>
        </w:rPr>
      </w:pPr>
      <w:r>
        <w:rPr>
          <w:rFonts w:hint="eastAsia" w:ascii="宋体" w:hAnsi="宋体" w:cs="宋体"/>
          <w:sz w:val="24"/>
        </w:rPr>
        <w:t>（3）投标人认为需要说明的其他文件等。</w:t>
      </w:r>
    </w:p>
    <w:p w14:paraId="58DC7109">
      <w:pPr>
        <w:snapToGrid w:val="0"/>
        <w:spacing w:line="360" w:lineRule="auto"/>
        <w:ind w:firstLine="482" w:firstLineChars="200"/>
        <w:jc w:val="left"/>
        <w:outlineLvl w:val="0"/>
        <w:rPr>
          <w:rFonts w:hint="eastAsia" w:ascii="宋体" w:hAnsi="宋体"/>
          <w:b/>
          <w:sz w:val="24"/>
        </w:rPr>
      </w:pPr>
      <w:r>
        <w:rPr>
          <w:rFonts w:hint="eastAsia" w:asciiTheme="minorEastAsia" w:hAnsiTheme="minorEastAsia" w:eastAsiaTheme="minorEastAsia"/>
          <w:b/>
          <w:color w:val="000000"/>
          <w:sz w:val="24"/>
        </w:rPr>
        <w:t>3.报价文件：</w:t>
      </w:r>
      <w:bookmarkStart w:id="31" w:name="_Toc177824944"/>
      <w:bookmarkStart w:id="32" w:name="_Toc177870547"/>
      <w:bookmarkStart w:id="33" w:name="_Toc177825125"/>
      <w:bookmarkStart w:id="34" w:name="_Toc177824877"/>
      <w:r>
        <w:rPr>
          <w:rFonts w:ascii="宋体" w:hAnsi="宋体"/>
          <w:sz w:val="24"/>
        </w:rPr>
        <w:t xml:space="preserve"> </w:t>
      </w:r>
    </w:p>
    <w:p w14:paraId="1BE9462E">
      <w:pPr>
        <w:snapToGrid w:val="0"/>
        <w:spacing w:line="360" w:lineRule="auto"/>
        <w:ind w:firstLine="480" w:firstLineChars="200"/>
        <w:jc w:val="left"/>
        <w:outlineLvl w:val="0"/>
        <w:rPr>
          <w:rFonts w:hint="eastAsia" w:ascii="宋体" w:hAnsi="宋体"/>
          <w:sz w:val="24"/>
        </w:rPr>
      </w:pPr>
      <w:r>
        <w:rPr>
          <w:rFonts w:hint="eastAsia" w:ascii="宋体" w:hAnsi="宋体"/>
          <w:sz w:val="24"/>
        </w:rPr>
        <w:t>（1）开标一览表（格式见附件）</w:t>
      </w:r>
    </w:p>
    <w:p w14:paraId="5F36195E">
      <w:pPr>
        <w:snapToGrid w:val="0"/>
        <w:spacing w:line="360" w:lineRule="auto"/>
        <w:ind w:firstLine="480" w:firstLineChars="200"/>
        <w:jc w:val="left"/>
        <w:outlineLvl w:val="0"/>
        <w:rPr>
          <w:rFonts w:hint="eastAsia" w:ascii="宋体" w:hAnsi="宋体"/>
          <w:b/>
          <w:sz w:val="24"/>
        </w:rPr>
      </w:pPr>
      <w:r>
        <w:rPr>
          <w:rFonts w:hint="eastAsia" w:ascii="宋体" w:hAnsi="宋体"/>
          <w:sz w:val="24"/>
        </w:rPr>
        <w:t>（2）投标人需要说明的其他文件和说明（格式略）。</w:t>
      </w:r>
    </w:p>
    <w:p w14:paraId="39781001">
      <w:pPr>
        <w:snapToGrid w:val="0"/>
        <w:spacing w:line="360" w:lineRule="auto"/>
        <w:ind w:firstLine="482" w:firstLineChars="200"/>
        <w:jc w:val="left"/>
        <w:outlineLvl w:val="0"/>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（二）投标文件的语言及计量</w:t>
      </w:r>
      <w:bookmarkEnd w:id="31"/>
      <w:bookmarkEnd w:id="32"/>
      <w:bookmarkEnd w:id="33"/>
      <w:bookmarkEnd w:id="34"/>
    </w:p>
    <w:p w14:paraId="4E0ABC92">
      <w:pPr>
        <w:snapToGrid w:val="0"/>
        <w:spacing w:line="360" w:lineRule="auto"/>
        <w:ind w:firstLine="480" w:firstLineChars="200"/>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1.投标文件以及投标人与采购代理机构就有关投标事宜的所有来往函电，均应以中文汉语书写。除签名、盖章、专用名称等特殊情形外，以中文汉语以外的文字表述的投标文件视同未提供。</w:t>
      </w:r>
    </w:p>
    <w:p w14:paraId="0CF10E73">
      <w:pPr>
        <w:snapToGrid w:val="0"/>
        <w:spacing w:line="360" w:lineRule="auto"/>
        <w:ind w:firstLine="480" w:firstLineChars="200"/>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2.投标计量单位，招标文件已有明确规定的，使用招标文件规定的计量单位；招标文件没有规定的，应采用中华人民共和国法定计量单位（货币单位：人民币元），否则视同未响应。</w:t>
      </w:r>
      <w:bookmarkStart w:id="35" w:name="_Toc177870548"/>
      <w:bookmarkStart w:id="36" w:name="_Toc177825126"/>
      <w:bookmarkStart w:id="37" w:name="_Toc177824945"/>
      <w:bookmarkStart w:id="38" w:name="_Toc177824878"/>
    </w:p>
    <w:p w14:paraId="16C40A5A">
      <w:pPr>
        <w:snapToGrid w:val="0"/>
        <w:spacing w:line="360" w:lineRule="auto"/>
        <w:ind w:firstLine="482" w:firstLineChars="200"/>
        <w:jc w:val="left"/>
        <w:outlineLvl w:val="0"/>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（三）投标报价</w:t>
      </w:r>
      <w:bookmarkEnd w:id="35"/>
      <w:bookmarkEnd w:id="36"/>
      <w:bookmarkEnd w:id="37"/>
      <w:bookmarkEnd w:id="38"/>
    </w:p>
    <w:p w14:paraId="79CDD77D">
      <w:pPr>
        <w:pStyle w:val="18"/>
        <w:snapToGrid w:val="0"/>
        <w:spacing w:line="360" w:lineRule="auto"/>
        <w:ind w:firstLine="480" w:firstLineChars="200"/>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1.投标报价应按招标文件中相关附表格式填写。</w:t>
      </w:r>
    </w:p>
    <w:p w14:paraId="68D0CA79">
      <w:pPr>
        <w:pStyle w:val="18"/>
        <w:snapToGrid w:val="0"/>
        <w:spacing w:line="360" w:lineRule="auto"/>
        <w:ind w:firstLine="480" w:firstLineChars="200"/>
        <w:jc w:val="left"/>
        <w:rPr>
          <w:rFonts w:hint="eastAsia" w:asciiTheme="minorEastAsia" w:hAnsiTheme="minorEastAsia" w:eastAsiaTheme="minorEastAsia"/>
          <w:sz w:val="24"/>
          <w:lang w:val="zh-CN"/>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lang w:val="zh-CN"/>
        </w:rPr>
        <w:t>投标报价是履行合同的最终价格，包括完成本项目所需的一切费用(包括人工费、措施费、管理费、利润、税金等)。</w:t>
      </w:r>
    </w:p>
    <w:p w14:paraId="2CF46BBC">
      <w:pPr>
        <w:tabs>
          <w:tab w:val="left" w:pos="454"/>
          <w:tab w:val="left" w:pos="720"/>
        </w:tabs>
        <w:autoSpaceDE w:val="0"/>
        <w:autoSpaceDN w:val="0"/>
        <w:adjustRightInd w:val="0"/>
        <w:spacing w:line="360" w:lineRule="auto"/>
        <w:ind w:firstLine="480"/>
        <w:jc w:val="left"/>
        <w:rPr>
          <w:rFonts w:hint="eastAsia" w:asciiTheme="minorEastAsia" w:hAnsiTheme="minorEastAsia" w:eastAsiaTheme="minorEastAsia"/>
          <w:kern w:val="0"/>
          <w:sz w:val="24"/>
          <w:lang w:val="zh-CN"/>
        </w:rPr>
      </w:pPr>
      <w:r>
        <w:rPr>
          <w:rFonts w:hint="eastAsia" w:asciiTheme="minorEastAsia" w:hAnsiTheme="minorEastAsia" w:eastAsiaTheme="minorEastAsia"/>
          <w:color w:val="000000"/>
          <w:sz w:val="24"/>
        </w:rPr>
        <w:t>3.投标文件只允许有一个报价，有选择性的报价将不予接受；</w:t>
      </w:r>
      <w:r>
        <w:rPr>
          <w:rFonts w:hint="eastAsia" w:asciiTheme="minorEastAsia" w:hAnsiTheme="minorEastAsia" w:eastAsiaTheme="minorEastAsia"/>
          <w:kern w:val="0"/>
          <w:sz w:val="24"/>
          <w:lang w:val="zh-CN"/>
        </w:rPr>
        <w:t>投标报价应按招标文件中相关附表格式填报，该投标报价应与明细报价汇总相等，且不允许出现报价优惠等字样（明细出现“0”元，视同赠送）。</w:t>
      </w:r>
    </w:p>
    <w:p w14:paraId="37D5D4BA">
      <w:pPr>
        <w:snapToGrid w:val="0"/>
        <w:spacing w:line="360" w:lineRule="auto"/>
        <w:ind w:firstLine="482" w:firstLineChars="200"/>
        <w:jc w:val="left"/>
        <w:outlineLvl w:val="0"/>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（四）投标文件有效期</w:t>
      </w:r>
    </w:p>
    <w:p w14:paraId="214EBDB6">
      <w:pPr>
        <w:tabs>
          <w:tab w:val="left" w:pos="525"/>
        </w:tabs>
        <w:snapToGrid w:val="0"/>
        <w:spacing w:line="360" w:lineRule="auto"/>
        <w:ind w:firstLine="480" w:firstLineChars="200"/>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1.自投标截止日起</w:t>
      </w:r>
      <w:r>
        <w:rPr>
          <w:rFonts w:hint="eastAsia" w:asciiTheme="minorEastAsia" w:hAnsiTheme="minorEastAsia" w:eastAsiaTheme="minorEastAsia"/>
          <w:color w:val="000000"/>
          <w:sz w:val="24"/>
          <w:u w:val="single"/>
        </w:rPr>
        <w:t xml:space="preserve"> 90 </w:t>
      </w:r>
      <w:r>
        <w:rPr>
          <w:rFonts w:hint="eastAsia" w:asciiTheme="minorEastAsia" w:hAnsiTheme="minorEastAsia" w:eastAsiaTheme="minorEastAsia"/>
          <w:color w:val="000000"/>
          <w:sz w:val="24"/>
        </w:rPr>
        <w:t>天投标书应保持有效。有效期短于这个规定期限的投标将被拒绝。</w:t>
      </w:r>
    </w:p>
    <w:p w14:paraId="64D0B64C">
      <w:pPr>
        <w:tabs>
          <w:tab w:val="left" w:pos="525"/>
        </w:tabs>
        <w:snapToGrid w:val="0"/>
        <w:spacing w:line="360" w:lineRule="auto"/>
        <w:ind w:firstLine="480" w:firstLineChars="200"/>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2.在特殊情况下，采购代理机构可与投标人协商延长投标书的有效期，这种要求和答复均以书面形式进行。</w:t>
      </w:r>
      <w:bookmarkStart w:id="39" w:name="_Toc177824879"/>
      <w:bookmarkStart w:id="40" w:name="_Toc177825127"/>
      <w:bookmarkStart w:id="41" w:name="_Toc177870549"/>
      <w:bookmarkStart w:id="42" w:name="_Toc177824946"/>
    </w:p>
    <w:p w14:paraId="35EE70E1">
      <w:pPr>
        <w:tabs>
          <w:tab w:val="left" w:pos="525"/>
        </w:tabs>
        <w:snapToGrid w:val="0"/>
        <w:spacing w:line="360" w:lineRule="auto"/>
        <w:ind w:firstLine="480" w:firstLineChars="200"/>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3.投标人可拒绝接受延期要求。同意延长有效期的，但不能修改投标文件。</w:t>
      </w:r>
      <w:bookmarkEnd w:id="39"/>
      <w:bookmarkEnd w:id="40"/>
      <w:bookmarkEnd w:id="41"/>
      <w:bookmarkEnd w:id="42"/>
    </w:p>
    <w:p w14:paraId="176D3777">
      <w:pPr>
        <w:snapToGrid w:val="0"/>
        <w:spacing w:line="360" w:lineRule="auto"/>
        <w:ind w:firstLine="480" w:firstLineChars="200"/>
        <w:jc w:val="left"/>
        <w:outlineLvl w:val="0"/>
        <w:rPr>
          <w:rFonts w:hint="eastAsia" w:asciiTheme="minorEastAsia" w:hAnsiTheme="minorEastAsia" w:eastAsiaTheme="minorEastAsia"/>
          <w:b/>
          <w:color w:val="000000"/>
          <w:sz w:val="24"/>
        </w:rPr>
      </w:pPr>
      <w:r>
        <w:rPr>
          <w:rFonts w:hint="eastAsia" w:asciiTheme="minorEastAsia" w:hAnsiTheme="minorEastAsia" w:eastAsiaTheme="minorEastAsia"/>
          <w:color w:val="000000"/>
          <w:sz w:val="24"/>
        </w:rPr>
        <w:t>4.中标人的投标文件自开标之日起至合同履行完毕止均应保持有效。</w:t>
      </w:r>
      <w:bookmarkStart w:id="43" w:name="_Toc177824880"/>
      <w:bookmarkStart w:id="44" w:name="_Toc177824947"/>
      <w:bookmarkStart w:id="45" w:name="_Toc177870550"/>
      <w:bookmarkStart w:id="46" w:name="_Toc177825128"/>
    </w:p>
    <w:p w14:paraId="53F58DE5">
      <w:pPr>
        <w:snapToGrid w:val="0"/>
        <w:spacing w:line="360" w:lineRule="auto"/>
        <w:ind w:firstLine="482" w:firstLineChars="200"/>
        <w:jc w:val="left"/>
        <w:outlineLvl w:val="0"/>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（五）投标保证金</w:t>
      </w:r>
      <w:bookmarkEnd w:id="43"/>
      <w:bookmarkEnd w:id="44"/>
      <w:bookmarkEnd w:id="45"/>
      <w:bookmarkEnd w:id="46"/>
    </w:p>
    <w:p w14:paraId="0E5176D7">
      <w:pPr>
        <w:spacing w:line="360" w:lineRule="auto"/>
        <w:ind w:firstLine="480" w:firstLineChars="200"/>
        <w:rPr>
          <w:rFonts w:hint="eastAsia" w:asciiTheme="minorEastAsia" w:hAnsiTheme="minorEastAsia" w:eastAsiaTheme="minorEastAsia"/>
          <w:color w:val="000000"/>
          <w:kern w:val="0"/>
          <w:sz w:val="24"/>
          <w:szCs w:val="21"/>
        </w:rPr>
      </w:pPr>
      <w:r>
        <w:rPr>
          <w:rFonts w:hint="eastAsia" w:asciiTheme="minorEastAsia" w:hAnsiTheme="minorEastAsia" w:eastAsiaTheme="minorEastAsia"/>
          <w:color w:val="000000"/>
          <w:kern w:val="0"/>
          <w:sz w:val="24"/>
          <w:szCs w:val="21"/>
        </w:rPr>
        <w:t>本项目无需缴纳投标保证金。</w:t>
      </w:r>
    </w:p>
    <w:p w14:paraId="6648D81E">
      <w:pPr>
        <w:snapToGrid w:val="0"/>
        <w:spacing w:line="360" w:lineRule="auto"/>
        <w:ind w:firstLine="482" w:firstLineChars="200"/>
        <w:jc w:val="left"/>
        <w:outlineLvl w:val="0"/>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（六）串通投标认定</w:t>
      </w:r>
    </w:p>
    <w:p w14:paraId="1397D1B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有下列情形之一的，视为投标人串通投标，其投标无效：</w:t>
      </w:r>
    </w:p>
    <w:p w14:paraId="425512A7">
      <w:pPr>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1.不同投标人的投标文件由同一单位或者个人编制；</w:t>
      </w:r>
    </w:p>
    <w:p w14:paraId="54B95AD9">
      <w:pPr>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2.不同投标人委托同一单位或者个人办理投标事宜；</w:t>
      </w:r>
    </w:p>
    <w:p w14:paraId="65DF09ED">
      <w:pPr>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3.不同投标人的投标文件载明的项目管理成员或者联系人员为同一人；</w:t>
      </w:r>
    </w:p>
    <w:p w14:paraId="388CB3CC">
      <w:pPr>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4.不同投标人的投标文件异常一致或者投标报价呈规律性差异；</w:t>
      </w:r>
    </w:p>
    <w:p w14:paraId="08DA65C4">
      <w:pPr>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5.不同投标人的投标文件相互混装；</w:t>
      </w:r>
    </w:p>
    <w:p w14:paraId="3D7EBCB6">
      <w:pPr>
        <w:snapToGrid w:val="0"/>
        <w:spacing w:line="360" w:lineRule="auto"/>
        <w:jc w:val="left"/>
        <w:outlineLvl w:val="0"/>
        <w:rPr>
          <w:rFonts w:hint="eastAsia" w:asciiTheme="minorEastAsia" w:hAnsiTheme="minorEastAsia" w:eastAsiaTheme="minorEastAsia"/>
          <w:b/>
          <w:color w:val="000000"/>
          <w:sz w:val="24"/>
        </w:rPr>
      </w:pPr>
      <w:bookmarkStart w:id="47" w:name="_Toc177870551"/>
      <w:bookmarkStart w:id="48" w:name="_Toc177824948"/>
      <w:bookmarkStart w:id="49" w:name="_Toc177824881"/>
      <w:bookmarkStart w:id="50" w:name="_Toc177825129"/>
      <w:r>
        <w:rPr>
          <w:rFonts w:hint="eastAsia" w:asciiTheme="minorEastAsia" w:hAnsiTheme="minorEastAsia" w:eastAsiaTheme="minorEastAsia"/>
          <w:b/>
          <w:color w:val="000000"/>
          <w:sz w:val="24"/>
        </w:rPr>
        <w:t xml:space="preserve">    （七）投标文件的签署和份数</w:t>
      </w:r>
      <w:bookmarkEnd w:id="47"/>
      <w:bookmarkEnd w:id="48"/>
      <w:bookmarkEnd w:id="49"/>
      <w:bookmarkEnd w:id="50"/>
      <w:r>
        <w:rPr>
          <w:rFonts w:hint="eastAsia" w:asciiTheme="minorEastAsia" w:hAnsiTheme="minorEastAsia" w:eastAsiaTheme="minorEastAsia"/>
          <w:b/>
          <w:color w:val="000000"/>
          <w:sz w:val="24"/>
        </w:rPr>
        <w:t>、</w:t>
      </w:r>
      <w:r>
        <w:rPr>
          <w:rFonts w:hint="eastAsia" w:asciiTheme="minorEastAsia" w:hAnsiTheme="minorEastAsia" w:eastAsiaTheme="minorEastAsia"/>
          <w:b/>
          <w:sz w:val="24"/>
          <w:lang w:val="zh-CN"/>
        </w:rPr>
        <w:t>包装</w:t>
      </w:r>
    </w:p>
    <w:p w14:paraId="421A67E9">
      <w:pPr>
        <w:pStyle w:val="9"/>
        <w:snapToGrid w:val="0"/>
        <w:spacing w:line="396" w:lineRule="auto"/>
        <w:ind w:firstLine="434" w:firstLineChars="181"/>
        <w:rPr>
          <w:rFonts w:hint="eastAsia" w:asciiTheme="minorEastAsia" w:hAnsiTheme="minorEastAsia" w:eastAsiaTheme="minorEastAsia"/>
          <w:sz w:val="24"/>
        </w:rPr>
      </w:pPr>
      <w:r>
        <w:rPr>
          <w:rFonts w:hint="eastAsia" w:asciiTheme="minorEastAsia" w:hAnsiTheme="minorEastAsia" w:eastAsiaTheme="minorEastAsia"/>
          <w:sz w:val="24"/>
        </w:rPr>
        <w:t>1.《投标文件》的签章：见《前附表》；</w:t>
      </w:r>
    </w:p>
    <w:p w14:paraId="0A112EAA">
      <w:pPr>
        <w:pStyle w:val="9"/>
        <w:snapToGrid w:val="0"/>
        <w:spacing w:line="396" w:lineRule="auto"/>
        <w:ind w:firstLine="434" w:firstLineChars="181"/>
        <w:rPr>
          <w:rFonts w:hint="eastAsia" w:asciiTheme="minorEastAsia" w:hAnsiTheme="minorEastAsia" w:eastAsiaTheme="minorEastAsia"/>
          <w:sz w:val="24"/>
        </w:rPr>
      </w:pPr>
      <w:r>
        <w:rPr>
          <w:rFonts w:hint="eastAsia" w:asciiTheme="minorEastAsia" w:hAnsiTheme="minorEastAsia" w:eastAsiaTheme="minorEastAsia"/>
          <w:sz w:val="24"/>
        </w:rPr>
        <w:t>2.《投标文件》应由投标供应商法定代表人或其授权代表签字（或盖章），并加盖投标供应商公章。</w:t>
      </w:r>
    </w:p>
    <w:p w14:paraId="5037DB24">
      <w:pPr>
        <w:pStyle w:val="9"/>
        <w:snapToGrid w:val="0"/>
        <w:spacing w:line="396" w:lineRule="auto"/>
        <w:ind w:firstLine="434" w:firstLineChars="181"/>
        <w:rPr>
          <w:rFonts w:hint="eastAsia" w:asciiTheme="minorEastAsia" w:hAnsiTheme="minorEastAsia" w:eastAsiaTheme="minorEastAsia"/>
          <w:sz w:val="24"/>
        </w:rPr>
      </w:pPr>
      <w:r>
        <w:rPr>
          <w:rFonts w:hint="eastAsia" w:asciiTheme="minorEastAsia" w:hAnsiTheme="minorEastAsia" w:eastAsiaTheme="minorEastAsia"/>
          <w:sz w:val="24"/>
        </w:rPr>
        <w:t>3.电子签章操作指南详见采购公告附件《供应商项目采购-电子招投标操作指南》。</w:t>
      </w:r>
    </w:p>
    <w:p w14:paraId="09DED471">
      <w:pPr>
        <w:snapToGrid w:val="0"/>
        <w:spacing w:line="360" w:lineRule="auto"/>
        <w:ind w:firstLine="482" w:firstLineChars="200"/>
        <w:jc w:val="left"/>
        <w:outlineLvl w:val="0"/>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（八）</w:t>
      </w:r>
      <w:r>
        <w:rPr>
          <w:rFonts w:hint="eastAsia" w:asciiTheme="minorEastAsia" w:hAnsiTheme="minorEastAsia" w:eastAsiaTheme="minorEastAsia"/>
          <w:b/>
          <w:sz w:val="24"/>
          <w:lang w:val="zh-CN"/>
        </w:rPr>
        <w:t>投标文件的递交、修改和撤回</w:t>
      </w:r>
    </w:p>
    <w:p w14:paraId="448896CB">
      <w:pPr>
        <w:spacing w:line="360" w:lineRule="auto"/>
        <w:ind w:firstLine="482" w:firstLineChars="200"/>
        <w:rPr>
          <w:rFonts w:hint="eastAsia" w:ascii="宋体" w:hAnsi="宋体" w:cs="宋体"/>
          <w:sz w:val="24"/>
        </w:rPr>
      </w:pPr>
      <w:bookmarkStart w:id="51" w:name="_Toc177870552"/>
      <w:r>
        <w:rPr>
          <w:rFonts w:hint="eastAsia" w:ascii="宋体" w:hAnsi="宋体" w:cs="宋体"/>
          <w:b/>
          <w:color w:val="00B05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乐采云平台拒收。</w:t>
      </w:r>
    </w:p>
    <w:p w14:paraId="470DB5E0">
      <w:pPr>
        <w:snapToGrid w:val="0"/>
        <w:spacing w:line="360" w:lineRule="auto"/>
        <w:ind w:firstLine="482" w:firstLineChars="200"/>
        <w:outlineLvl w:val="2"/>
        <w:rPr>
          <w:rFonts w:hint="eastAsia" w:asciiTheme="minorEastAsia" w:hAnsiTheme="minorEastAsia" w:eastAsiaTheme="minorEastAsia"/>
          <w:b/>
          <w:sz w:val="24"/>
        </w:rPr>
      </w:pPr>
      <w:r>
        <w:rPr>
          <w:rFonts w:hint="eastAsia" w:asciiTheme="minorEastAsia" w:hAnsiTheme="minorEastAsia" w:eastAsiaTheme="minorEastAsia"/>
          <w:b/>
          <w:sz w:val="24"/>
        </w:rPr>
        <w:t>（九）投标无效的情形</w:t>
      </w:r>
      <w:bookmarkEnd w:id="51"/>
    </w:p>
    <w:p w14:paraId="74071AD4">
      <w:pPr>
        <w:snapToGrid w:val="0"/>
        <w:spacing w:line="360" w:lineRule="auto"/>
        <w:ind w:firstLine="480" w:firstLineChars="200"/>
        <w:rPr>
          <w:rFonts w:hint="eastAsia" w:asciiTheme="minorEastAsia" w:hAnsiTheme="minorEastAsia" w:eastAsiaTheme="minorEastAsia"/>
          <w:sz w:val="24"/>
          <w:szCs w:val="20"/>
        </w:rPr>
      </w:pPr>
      <w:bookmarkStart w:id="52" w:name="_Toc177870553"/>
      <w:r>
        <w:rPr>
          <w:rFonts w:hint="eastAsia" w:asciiTheme="minorEastAsia" w:hAnsiTheme="minorEastAsia" w:eastAsiaTheme="minorEastAsia"/>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bookmarkEnd w:id="52"/>
    <w:p w14:paraId="4F9D29A8">
      <w:pPr>
        <w:numPr>
          <w:ilvl w:val="0"/>
          <w:numId w:val="7"/>
        </w:num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lang w:val="zh-CN"/>
        </w:rPr>
        <w:t>在符合性审查时，如发现下列情形之一的，投标文件将被视为无效投标：</w:t>
      </w:r>
    </w:p>
    <w:p w14:paraId="5B53E892">
      <w:pPr>
        <w:snapToGrid w:val="0"/>
        <w:spacing w:line="360" w:lineRule="auto"/>
        <w:ind w:firstLine="480" w:firstLineChars="200"/>
        <w:rPr>
          <w:rFonts w:hint="eastAsia"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1）投标有效期不足的；</w:t>
      </w:r>
    </w:p>
    <w:p w14:paraId="3D0E2160">
      <w:pPr>
        <w:snapToGri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（2）电子投标文件解密失败且未在规定时间内提交备份投标文件的；或仅提交备份投标文件的；</w:t>
      </w:r>
    </w:p>
    <w:p w14:paraId="62232EC6">
      <w:pPr>
        <w:snapToGri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（3）供应商被列入失信被执行人、重大税收违法案件当事人名单、政府采购严重违法失信行为记录名单的；</w:t>
      </w:r>
    </w:p>
    <w:p w14:paraId="7AC64608">
      <w:pPr>
        <w:snapToGri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（4）投标文件未按招标文件要求签署、盖章的；</w:t>
      </w:r>
    </w:p>
    <w:p w14:paraId="23799486">
      <w:pPr>
        <w:snapToGri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（5）与招标文件有重大偏离、未满足带“▲”号实质性指标的投标文件；</w:t>
      </w:r>
    </w:p>
    <w:p w14:paraId="0A4396A6">
      <w:pPr>
        <w:snapToGri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（6）对一个标项提供两个投标方案的；</w:t>
      </w:r>
    </w:p>
    <w:p w14:paraId="5DF71A19">
      <w:pPr>
        <w:snapToGri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（7）商务技术文件中出现投标价格信息的；</w:t>
      </w:r>
    </w:p>
    <w:p w14:paraId="6BB108F8">
      <w:pPr>
        <w:snapToGri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（8）供应商被视为串通投标的；</w:t>
      </w:r>
    </w:p>
    <w:p w14:paraId="01B214C6">
      <w:pPr>
        <w:snapToGri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（9）投标文件含有采购单位不能接受的附加条件的；</w:t>
      </w:r>
    </w:p>
    <w:p w14:paraId="27D39B04">
      <w:pPr>
        <w:snapToGri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（10）不符合法律、法规和本招标文件规定的其他实质性要求的。</w:t>
      </w:r>
    </w:p>
    <w:p w14:paraId="7BEEACF0">
      <w:pPr>
        <w:snapToGrid w:val="0"/>
        <w:spacing w:line="360" w:lineRule="auto"/>
        <w:ind w:firstLine="600" w:firstLineChars="250"/>
        <w:rPr>
          <w:rFonts w:hint="eastAsia" w:asciiTheme="minorEastAsia" w:hAnsiTheme="minorEastAsia" w:eastAsiaTheme="minorEastAsia"/>
          <w:b/>
          <w:sz w:val="24"/>
        </w:rPr>
      </w:pPr>
      <w:r>
        <w:rPr>
          <w:rFonts w:hint="eastAsia" w:asciiTheme="minorEastAsia" w:hAnsiTheme="minorEastAsia" w:eastAsiaTheme="minorEastAsia"/>
          <w:sz w:val="24"/>
          <w:lang w:val="zh-CN"/>
        </w:rPr>
        <w:t>2.在技术评议时，如发现下列情形之一的，投标文件将被视为无效投标：</w:t>
      </w:r>
    </w:p>
    <w:p w14:paraId="0E6D64C8">
      <w:pPr>
        <w:autoSpaceDE w:val="0"/>
        <w:autoSpaceDN w:val="0"/>
        <w:adjustRightIn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）未提供或未如实提供投标货物的技术参数，或者投标文件标明的响应或偏离与事实不符或虚假投标的；</w:t>
      </w:r>
    </w:p>
    <w:p w14:paraId="15C00E39">
      <w:pPr>
        <w:autoSpaceDE w:val="0"/>
        <w:autoSpaceDN w:val="0"/>
        <w:adjustRightInd w:val="0"/>
        <w:spacing w:line="360" w:lineRule="auto"/>
        <w:ind w:firstLine="480" w:firstLineChars="200"/>
        <w:rPr>
          <w:rFonts w:hint="eastAsia" w:asciiTheme="minorEastAsia" w:hAnsiTheme="minorEastAsia" w:eastAsiaTheme="minorEastAsia"/>
          <w:b/>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）明显不符合招标文件标明的规格型号、质量标准的；或者与招标文件中标</w:t>
      </w:r>
      <w:r>
        <w:rPr>
          <w:rFonts w:asciiTheme="minorEastAsia" w:hAnsiTheme="minorEastAsia" w:eastAsiaTheme="minorEastAsia"/>
          <w:sz w:val="24"/>
          <w:lang w:val="zh-CN"/>
        </w:rPr>
        <w:t>“</w:t>
      </w:r>
      <w:r>
        <w:rPr>
          <w:rFonts w:hint="eastAsia" w:asciiTheme="minorEastAsia" w:hAnsiTheme="minorEastAsia" w:eastAsiaTheme="minorEastAsia"/>
          <w:b/>
          <w:color w:val="000000"/>
          <w:szCs w:val="21"/>
        </w:rPr>
        <w:t>▲</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的技术指标、主要功能项目发生实质性偏离的；</w:t>
      </w:r>
    </w:p>
    <w:p w14:paraId="03EE51B7">
      <w:pPr>
        <w:autoSpaceDE w:val="0"/>
        <w:autoSpaceDN w:val="0"/>
        <w:adjustRightIn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（3）投标技术方案不明确，存在一个或一个以上备选（替代）投标方案的；</w:t>
      </w:r>
    </w:p>
    <w:p w14:paraId="68C18503">
      <w:pPr>
        <w:autoSpaceDE w:val="0"/>
        <w:autoSpaceDN w:val="0"/>
        <w:adjustRightIn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（4）与其他参加本次投标供应商的投标文件（商务技术文件）的文字表述内容相同连续20行以上或者差错相同2处以上的；</w:t>
      </w:r>
    </w:p>
    <w:p w14:paraId="6318B262">
      <w:pPr>
        <w:autoSpaceDE w:val="0"/>
        <w:autoSpaceDN w:val="0"/>
        <w:adjustRightInd w:val="0"/>
        <w:spacing w:line="360" w:lineRule="auto"/>
        <w:ind w:firstLine="600" w:firstLineChars="25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3.在报价评议时，如发现下列情形之一的，投标文件将被视为无效投标：</w:t>
      </w:r>
    </w:p>
    <w:p w14:paraId="458041D4">
      <w:pPr>
        <w:autoSpaceDE w:val="0"/>
        <w:autoSpaceDN w:val="0"/>
        <w:adjustRightInd w:val="0"/>
        <w:spacing w:line="360" w:lineRule="auto"/>
        <w:ind w:left="482"/>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（1）未采用人民币报价或者未按照招标文件标明的币种报价的；</w:t>
      </w:r>
    </w:p>
    <w:p w14:paraId="646A2EE4">
      <w:pPr>
        <w:autoSpaceDE w:val="0"/>
        <w:autoSpaceDN w:val="0"/>
        <w:adjustRightInd w:val="0"/>
        <w:spacing w:line="360" w:lineRule="auto"/>
        <w:ind w:left="482"/>
        <w:rPr>
          <w:rFonts w:hint="eastAsia" w:asciiTheme="minorEastAsia" w:hAnsiTheme="minorEastAsia" w:eastAsiaTheme="minorEastAsia"/>
          <w:b/>
          <w:sz w:val="24"/>
          <w:lang w:val="zh-CN"/>
        </w:rPr>
      </w:pPr>
      <w:r>
        <w:rPr>
          <w:rFonts w:hint="eastAsia" w:asciiTheme="minorEastAsia" w:hAnsiTheme="minorEastAsia" w:eastAsiaTheme="minorEastAsia"/>
          <w:sz w:val="24"/>
          <w:lang w:val="zh-CN"/>
        </w:rPr>
        <w:t>（2）投标总报价超出招标文件规定的上限价的，或者投标单价超出招标文件规定的上限价的；</w:t>
      </w:r>
    </w:p>
    <w:p w14:paraId="5895C89A">
      <w:pPr>
        <w:autoSpaceDE w:val="0"/>
        <w:autoSpaceDN w:val="0"/>
        <w:adjustRightInd w:val="0"/>
        <w:spacing w:line="360" w:lineRule="auto"/>
        <w:ind w:left="482"/>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（3）投标函的投标报价与开标一览表的总价不一致的；</w:t>
      </w:r>
    </w:p>
    <w:p w14:paraId="053DABBE">
      <w:pPr>
        <w:autoSpaceDE w:val="0"/>
        <w:autoSpaceDN w:val="0"/>
        <w:adjustRightInd w:val="0"/>
        <w:spacing w:line="360" w:lineRule="auto"/>
        <w:ind w:left="482"/>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（4）投标报价具有选择性，唱标价格与投标文件承诺的优惠/折扣后价格不一致的。</w:t>
      </w:r>
    </w:p>
    <w:p w14:paraId="29F24BCD">
      <w:pPr>
        <w:autoSpaceDE w:val="0"/>
        <w:autoSpaceDN w:val="0"/>
        <w:adjustRightIn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4.符合招标文件明确规定的其他无效投标条款的。</w:t>
      </w:r>
    </w:p>
    <w:p w14:paraId="4F52BEA7">
      <w:pPr>
        <w:autoSpaceDE w:val="0"/>
        <w:autoSpaceDN w:val="0"/>
        <w:adjustRightIn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5.有下列情形之一的，投标无效且将投标文件、询标记录等报同级采购监管部门或有关职能部门查处：</w:t>
      </w:r>
    </w:p>
    <w:p w14:paraId="3468FBF0">
      <w:pPr>
        <w:autoSpaceDE w:val="0"/>
        <w:autoSpaceDN w:val="0"/>
        <w:adjustRightIn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（1）未如实提供产品质量、性能等方面的缺陷或停产淘汰、债权债务、违法记录信息，影响或者可能影响中标结果的；</w:t>
      </w:r>
    </w:p>
    <w:p w14:paraId="3A95F5E9">
      <w:pPr>
        <w:pStyle w:val="16"/>
        <w:snapToGrid w:val="0"/>
        <w:spacing w:line="360" w:lineRule="auto"/>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（2）采购活动中有其他违法违规行为的；</w:t>
      </w:r>
    </w:p>
    <w:p w14:paraId="2607CFAD">
      <w:pPr>
        <w:pStyle w:val="16"/>
        <w:snapToGrid w:val="0"/>
        <w:spacing w:after="0" w:line="360" w:lineRule="auto"/>
        <w:ind w:left="0" w:leftChars="0" w:firstLine="482" w:firstLineChars="200"/>
        <w:outlineLvl w:val="1"/>
        <w:rPr>
          <w:rFonts w:hint="eastAsia" w:asciiTheme="minorEastAsia" w:hAnsiTheme="minorEastAsia" w:eastAsiaTheme="minorEastAsia"/>
          <w:b/>
          <w:sz w:val="24"/>
        </w:rPr>
      </w:pPr>
      <w:r>
        <w:rPr>
          <w:rFonts w:hint="eastAsia" w:asciiTheme="minorEastAsia" w:hAnsiTheme="minorEastAsia" w:eastAsiaTheme="minorEastAsia"/>
          <w:b/>
          <w:sz w:val="24"/>
        </w:rPr>
        <w:t>四、开标</w:t>
      </w:r>
    </w:p>
    <w:p w14:paraId="14B6E622">
      <w:pPr>
        <w:pStyle w:val="16"/>
        <w:snapToGrid w:val="0"/>
        <w:spacing w:after="0" w:line="360" w:lineRule="auto"/>
        <w:ind w:left="0" w:leftChars="0" w:firstLine="354" w:firstLineChars="147"/>
        <w:outlineLvl w:val="1"/>
        <w:rPr>
          <w:rFonts w:hint="eastAsia" w:asciiTheme="minorEastAsia" w:hAnsiTheme="minorEastAsia" w:eastAsiaTheme="minorEastAsia"/>
          <w:b/>
          <w:sz w:val="24"/>
        </w:rPr>
      </w:pPr>
      <w:r>
        <w:rPr>
          <w:rFonts w:hint="eastAsia" w:asciiTheme="minorEastAsia" w:hAnsiTheme="minorEastAsia" w:eastAsiaTheme="minorEastAsia"/>
          <w:b/>
          <w:sz w:val="24"/>
        </w:rPr>
        <w:t>（一）开标准备</w:t>
      </w:r>
    </w:p>
    <w:p w14:paraId="47A7685D">
      <w:pPr>
        <w:autoSpaceDE w:val="0"/>
        <w:autoSpaceDN w:val="0"/>
        <w:adjustRightInd w:val="0"/>
        <w:spacing w:line="360" w:lineRule="auto"/>
        <w:ind w:firstLine="354"/>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采购组织机构将按照招标文件规定的时间通过“乐采云平台”组织开标、开启投标文件，所有供应商均应当准时在线参加。</w:t>
      </w:r>
    </w:p>
    <w:p w14:paraId="7C5B9298">
      <w:pPr>
        <w:autoSpaceDE w:val="0"/>
        <w:autoSpaceDN w:val="0"/>
        <w:adjustRightIn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zh-CN"/>
        </w:rPr>
        <w:t>开标的准备工作由采购组织机构负责落实；</w:t>
      </w:r>
    </w:p>
    <w:p w14:paraId="6013D71D">
      <w:pPr>
        <w:autoSpaceDE w:val="0"/>
        <w:autoSpaceDN w:val="0"/>
        <w:adjustRightIn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w:t>
      </w:r>
      <w:r>
        <w:rPr>
          <w:rFonts w:hint="eastAsia" w:asciiTheme="minorEastAsia" w:hAnsiTheme="minorEastAsia" w:eastAsiaTheme="minorEastAsia"/>
          <w:sz w:val="24"/>
        </w:rPr>
        <w:t>.</w:t>
      </w:r>
      <w:r>
        <w:rPr>
          <w:rFonts w:hint="eastAsia" w:asciiTheme="minorEastAsia" w:hAnsiTheme="minorEastAsia" w:eastAsiaTheme="minorEastAsia"/>
          <w:sz w:val="24"/>
          <w:lang w:val="zh-CN"/>
        </w:rPr>
        <w:t>采购组织机构将按照招标文件规定的时间通过“</w:t>
      </w:r>
      <w:r>
        <w:rPr>
          <w:rFonts w:hint="eastAsia" w:asciiTheme="minorEastAsia" w:hAnsiTheme="minorEastAsia" w:eastAsiaTheme="minorEastAsia"/>
          <w:sz w:val="24"/>
        </w:rPr>
        <w:t>乐采</w:t>
      </w:r>
      <w:r>
        <w:rPr>
          <w:rFonts w:hint="eastAsia" w:asciiTheme="minorEastAsia" w:hAnsiTheme="minorEastAsia" w:eastAsiaTheme="minorEastAsia"/>
          <w:sz w:val="24"/>
          <w:lang w:val="zh-CN"/>
        </w:rPr>
        <w:t>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4306426">
      <w:pPr>
        <w:autoSpaceDE w:val="0"/>
        <w:autoSpaceDN w:val="0"/>
        <w:adjustRightInd w:val="0"/>
        <w:spacing w:line="360" w:lineRule="auto"/>
        <w:ind w:firstLine="354"/>
        <w:rPr>
          <w:rFonts w:hint="eastAsia" w:asciiTheme="minorEastAsia" w:hAnsiTheme="minorEastAsia" w:eastAsiaTheme="minorEastAsia"/>
          <w:b/>
          <w:sz w:val="24"/>
          <w:szCs w:val="20"/>
        </w:rPr>
      </w:pPr>
      <w:r>
        <w:rPr>
          <w:rFonts w:hint="eastAsia" w:asciiTheme="minorEastAsia" w:hAnsiTheme="minorEastAsia" w:eastAsiaTheme="minorEastAsia"/>
          <w:b/>
          <w:sz w:val="24"/>
          <w:szCs w:val="20"/>
        </w:rPr>
        <w:t>（二）开标流程</w:t>
      </w:r>
    </w:p>
    <w:p w14:paraId="7F7F063A">
      <w:pPr>
        <w:pStyle w:val="18"/>
        <w:snapToGrid w:val="0"/>
        <w:spacing w:line="360" w:lineRule="auto"/>
        <w:ind w:firstLine="480" w:firstLineChars="200"/>
        <w:rPr>
          <w:rFonts w:hint="eastAsia" w:asciiTheme="minorEastAsia" w:hAnsiTheme="minorEastAsia" w:eastAsiaTheme="minorEastAsia"/>
          <w:sz w:val="24"/>
          <w:szCs w:val="24"/>
          <w:lang w:val="zh-CN"/>
        </w:rPr>
      </w:pPr>
      <w:r>
        <w:rPr>
          <w:rFonts w:asciiTheme="minorEastAsia" w:hAnsiTheme="minorEastAsia" w:eastAsiaTheme="minorEastAsia"/>
          <w:sz w:val="24"/>
          <w:szCs w:val="24"/>
          <w:lang w:val="zh-CN"/>
        </w:rPr>
        <w:t>1</w:t>
      </w:r>
      <w:r>
        <w:rPr>
          <w:rFonts w:hint="eastAsia" w:asciiTheme="minorEastAsia" w:hAnsiTheme="minorEastAsia" w:eastAsiaTheme="minorEastAsia"/>
          <w:sz w:val="24"/>
          <w:szCs w:val="24"/>
          <w:lang w:val="zh-CN"/>
        </w:rPr>
        <w:t>.</w:t>
      </w:r>
      <w:r>
        <w:rPr>
          <w:rFonts w:asciiTheme="minorEastAsia" w:hAnsiTheme="minorEastAsia" w:eastAsiaTheme="minorEastAsia"/>
          <w:sz w:val="24"/>
          <w:szCs w:val="24"/>
          <w:lang w:val="zh-CN"/>
        </w:rPr>
        <w:t>投标截止时间后</w:t>
      </w:r>
      <w:r>
        <w:rPr>
          <w:rFonts w:hint="eastAsia" w:asciiTheme="minorEastAsia" w:hAnsiTheme="minorEastAsia" w:eastAsiaTheme="minorEastAsia"/>
          <w:sz w:val="24"/>
          <w:szCs w:val="24"/>
          <w:lang w:val="zh-CN"/>
        </w:rPr>
        <w:t>，采购组织机构向各投标供应商发出电子加密投标文件【开始解密】通知，由供应商按招标文件规定的时间内自行进行投标文件解密。在线解密电子投标文件时间为开标时间起半个小时内。投标供应商在规定的时间内无法完成已递交的“电子加密投标文件”解密的，如已按规定递交了备份投标文件的，将由采购组织机构按“</w:t>
      </w:r>
      <w:r>
        <w:rPr>
          <w:rFonts w:hint="eastAsia" w:asciiTheme="minorEastAsia" w:hAnsiTheme="minorEastAsia" w:eastAsiaTheme="minorEastAsia"/>
          <w:sz w:val="24"/>
          <w:szCs w:val="24"/>
        </w:rPr>
        <w:t>乐采云</w:t>
      </w:r>
      <w:r>
        <w:rPr>
          <w:rFonts w:hint="eastAsia" w:asciiTheme="minorEastAsia" w:hAnsiTheme="minorEastAsia" w:eastAsiaTheme="minorEastAsia"/>
          <w:sz w:val="24"/>
          <w:szCs w:val="24"/>
          <w:lang w:val="zh-CN"/>
        </w:rPr>
        <w:t>平台”操作规范将备份投标文件上传至“</w:t>
      </w:r>
      <w:r>
        <w:rPr>
          <w:rFonts w:hint="eastAsia" w:asciiTheme="minorEastAsia" w:hAnsiTheme="minorEastAsia" w:eastAsiaTheme="minorEastAsia"/>
          <w:sz w:val="24"/>
          <w:szCs w:val="24"/>
        </w:rPr>
        <w:t>乐采</w:t>
      </w:r>
      <w:r>
        <w:rPr>
          <w:rFonts w:hint="eastAsia" w:asciiTheme="minorEastAsia" w:hAnsiTheme="minorEastAsia" w:eastAsiaTheme="minorEastAsia"/>
          <w:sz w:val="24"/>
          <w:szCs w:val="24"/>
          <w:lang w:val="zh-CN"/>
        </w:rPr>
        <w:t>云平台”，上传成功后，“电子加密投标文件”自动失效；</w:t>
      </w:r>
    </w:p>
    <w:p w14:paraId="471EEC29">
      <w:pPr>
        <w:pStyle w:val="18"/>
        <w:snapToGrid w:val="0"/>
        <w:spacing w:line="360" w:lineRule="auto"/>
        <w:ind w:firstLine="480" w:firstLineChars="200"/>
        <w:rPr>
          <w:rFonts w:hint="eastAsia"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2.评标委员会对资格和商务技术响应文件进行评审；</w:t>
      </w:r>
    </w:p>
    <w:p w14:paraId="0856BBF0">
      <w:pPr>
        <w:pStyle w:val="18"/>
        <w:snapToGrid w:val="0"/>
        <w:spacing w:line="360" w:lineRule="auto"/>
        <w:ind w:firstLine="470" w:firstLineChars="196"/>
        <w:rPr>
          <w:rFonts w:hint="eastAsia"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3.在系统上公开资格和商务技术评审结果；</w:t>
      </w:r>
    </w:p>
    <w:p w14:paraId="02748DE7">
      <w:pPr>
        <w:pStyle w:val="18"/>
        <w:snapToGrid w:val="0"/>
        <w:spacing w:line="360" w:lineRule="auto"/>
        <w:ind w:firstLine="470" w:firstLineChars="196"/>
        <w:rPr>
          <w:rFonts w:hint="eastAsia"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4.在系统上公开报价开标情况；</w:t>
      </w:r>
    </w:p>
    <w:p w14:paraId="4C7494BC">
      <w:pPr>
        <w:pStyle w:val="18"/>
        <w:snapToGrid w:val="0"/>
        <w:spacing w:line="360" w:lineRule="auto"/>
        <w:ind w:firstLine="470" w:firstLineChars="196"/>
        <w:rPr>
          <w:rFonts w:hint="eastAsia"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5.评标委员会对报价情况进行评审；</w:t>
      </w:r>
    </w:p>
    <w:p w14:paraId="2F7AC485">
      <w:pPr>
        <w:pStyle w:val="18"/>
        <w:snapToGrid w:val="0"/>
        <w:spacing w:line="360" w:lineRule="auto"/>
        <w:ind w:firstLine="470" w:firstLineChars="196"/>
        <w:rPr>
          <w:rFonts w:hint="eastAsia"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6.在系统上公布评审结果。</w:t>
      </w:r>
    </w:p>
    <w:p w14:paraId="13D1F318">
      <w:pPr>
        <w:spacing w:line="360" w:lineRule="auto"/>
        <w:ind w:firstLine="426" w:firstLineChars="177"/>
        <w:jc w:val="left"/>
        <w:rPr>
          <w:rFonts w:hint="eastAsia" w:cs="Arial" w:asciiTheme="minorEastAsia" w:hAnsiTheme="minorEastAsia" w:eastAsiaTheme="minorEastAsia"/>
          <w:b/>
          <w:color w:val="000000"/>
          <w:kern w:val="0"/>
          <w:sz w:val="24"/>
        </w:rPr>
      </w:pPr>
      <w:r>
        <w:rPr>
          <w:rFonts w:hint="eastAsia" w:cs="Arial" w:asciiTheme="minorEastAsia" w:hAnsiTheme="minorEastAsia" w:eastAsiaTheme="minorEastAsia"/>
          <w:b/>
          <w:color w:val="000000"/>
          <w:kern w:val="0"/>
          <w:sz w:val="24"/>
        </w:rPr>
        <w:t>特别说明：如遇“乐采云平台”电子化开标或评审程序调整的，按调整后程序执行。</w:t>
      </w:r>
    </w:p>
    <w:p w14:paraId="78678BD9">
      <w:pPr>
        <w:autoSpaceDE w:val="0"/>
        <w:autoSpaceDN w:val="0"/>
        <w:adjustRightInd w:val="0"/>
        <w:spacing w:line="360" w:lineRule="auto"/>
        <w:ind w:firstLine="482" w:firstLineChars="200"/>
        <w:rPr>
          <w:rFonts w:hint="eastAsia" w:asciiTheme="minorEastAsia" w:hAnsiTheme="minorEastAsia" w:eastAsiaTheme="minorEastAsia"/>
          <w:b/>
          <w:sz w:val="24"/>
          <w:szCs w:val="20"/>
        </w:rPr>
      </w:pPr>
      <w:r>
        <w:rPr>
          <w:rFonts w:hint="eastAsia" w:asciiTheme="minorEastAsia" w:hAnsiTheme="minorEastAsia" w:eastAsiaTheme="minorEastAsia"/>
          <w:b/>
          <w:sz w:val="24"/>
          <w:szCs w:val="20"/>
        </w:rPr>
        <w:t>（三）投标供应商资格审查</w:t>
      </w:r>
    </w:p>
    <w:p w14:paraId="376D0383">
      <w:pPr>
        <w:pStyle w:val="18"/>
        <w:snapToGrid w:val="0"/>
        <w:spacing w:line="360" w:lineRule="auto"/>
        <w:ind w:firstLine="480" w:firstLineChars="200"/>
        <w:rPr>
          <w:rFonts w:hint="eastAsia"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开标大会第一阶段结束后，采购单位或采购代理机构首先依法对各投标供应商的资格进行审查，审查各投标供应商的资格是否满足招标文件的要求。采购单位</w:t>
      </w:r>
      <w:r>
        <w:rPr>
          <w:rFonts w:asciiTheme="minorEastAsia" w:hAnsiTheme="minorEastAsia" w:eastAsiaTheme="minorEastAsia"/>
          <w:sz w:val="24"/>
          <w:szCs w:val="24"/>
          <w:lang w:val="zh-CN"/>
        </w:rPr>
        <w:t>或采购代理机构对投标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w:t>
      </w:r>
      <w:r>
        <w:rPr>
          <w:rFonts w:hint="eastAsia" w:asciiTheme="minorEastAsia" w:hAnsiTheme="minorEastAsia" w:eastAsiaTheme="minorEastAsia"/>
          <w:sz w:val="24"/>
          <w:szCs w:val="24"/>
          <w:lang w:val="zh-CN"/>
        </w:rPr>
        <w:t>提交</w:t>
      </w:r>
      <w:r>
        <w:rPr>
          <w:rFonts w:asciiTheme="minorEastAsia" w:hAnsiTheme="minorEastAsia" w:eastAsiaTheme="minorEastAsia"/>
          <w:sz w:val="24"/>
          <w:szCs w:val="24"/>
          <w:lang w:val="zh-CN"/>
        </w:rPr>
        <w:t>的资格证明材料仅负审核的责任。如发现投标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所提</w:t>
      </w:r>
      <w:r>
        <w:rPr>
          <w:rFonts w:hint="eastAsia" w:asciiTheme="minorEastAsia" w:hAnsiTheme="minorEastAsia" w:eastAsiaTheme="minorEastAsia"/>
          <w:sz w:val="24"/>
          <w:szCs w:val="24"/>
          <w:lang w:val="zh-CN"/>
        </w:rPr>
        <w:t>交</w:t>
      </w:r>
      <w:r>
        <w:rPr>
          <w:rFonts w:asciiTheme="minorEastAsia" w:hAnsiTheme="minorEastAsia" w:eastAsiaTheme="minorEastAsia"/>
          <w:sz w:val="24"/>
          <w:szCs w:val="24"/>
          <w:lang w:val="zh-CN"/>
        </w:rPr>
        <w:t>的资格证明材料不合法或</w:t>
      </w:r>
      <w:r>
        <w:rPr>
          <w:rFonts w:hint="eastAsia" w:asciiTheme="minorEastAsia" w:hAnsiTheme="minorEastAsia" w:eastAsiaTheme="minorEastAsia"/>
          <w:sz w:val="24"/>
          <w:szCs w:val="24"/>
          <w:lang w:val="zh-CN"/>
        </w:rPr>
        <w:t>与事实不符</w:t>
      </w:r>
      <w:r>
        <w:rPr>
          <w:rFonts w:asciiTheme="minorEastAsia" w:hAnsiTheme="minorEastAsia" w:eastAsiaTheme="minorEastAsia"/>
          <w:sz w:val="24"/>
          <w:szCs w:val="24"/>
          <w:lang w:val="zh-CN"/>
        </w:rPr>
        <w:t>，</w:t>
      </w:r>
      <w:r>
        <w:rPr>
          <w:rFonts w:hint="eastAsia" w:asciiTheme="minorEastAsia" w:hAnsiTheme="minorEastAsia" w:eastAsiaTheme="minorEastAsia"/>
          <w:sz w:val="24"/>
          <w:szCs w:val="24"/>
          <w:lang w:val="zh-CN"/>
        </w:rPr>
        <w:t>采购单位</w:t>
      </w:r>
      <w:r>
        <w:rPr>
          <w:rFonts w:asciiTheme="minorEastAsia" w:hAnsiTheme="minorEastAsia" w:eastAsiaTheme="minorEastAsia"/>
          <w:sz w:val="24"/>
          <w:szCs w:val="24"/>
          <w:lang w:val="zh-CN"/>
        </w:rPr>
        <w:t>可取消</w:t>
      </w:r>
      <w:r>
        <w:rPr>
          <w:rFonts w:hint="eastAsia" w:asciiTheme="minorEastAsia" w:hAnsiTheme="minorEastAsia" w:eastAsiaTheme="minorEastAsia"/>
          <w:sz w:val="24"/>
          <w:szCs w:val="24"/>
          <w:lang w:val="zh-CN"/>
        </w:rPr>
        <w:t>其</w:t>
      </w:r>
      <w:r>
        <w:rPr>
          <w:rFonts w:asciiTheme="minorEastAsia" w:hAnsiTheme="minorEastAsia" w:eastAsiaTheme="minorEastAsia"/>
          <w:sz w:val="24"/>
          <w:szCs w:val="24"/>
          <w:lang w:val="zh-CN"/>
        </w:rPr>
        <w:t>中标资格并追究投标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的法律责任。</w:t>
      </w:r>
    </w:p>
    <w:p w14:paraId="6C2C7FD8">
      <w:pPr>
        <w:pStyle w:val="18"/>
        <w:snapToGrid w:val="0"/>
        <w:spacing w:line="360" w:lineRule="auto"/>
        <w:ind w:firstLine="480" w:firstLineChars="200"/>
        <w:rPr>
          <w:rFonts w:hint="eastAsia"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投标供应商提交的资格证明材料无法证明其符合招标文件规定的“投标供应商资格要求”的，采购单位或采购代理机构将对其作资格审查不通过处理（无效投标），并不再将其投标提交评标委员会进行后续评审。</w:t>
      </w:r>
    </w:p>
    <w:p w14:paraId="023177B6">
      <w:pPr>
        <w:pStyle w:val="18"/>
        <w:snapToGrid w:val="0"/>
        <w:spacing w:line="360" w:lineRule="auto"/>
        <w:ind w:firstLine="480" w:firstLineChars="200"/>
        <w:rPr>
          <w:rFonts w:hint="eastAsia"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单位负责人为同一人或者存在直接控股、管理关系的不同供应商参加同一合同项下的采购活动的，相关投标供应商均作资格无效处理。</w:t>
      </w:r>
    </w:p>
    <w:p w14:paraId="3ECA2682">
      <w:pPr>
        <w:autoSpaceDE w:val="0"/>
        <w:autoSpaceDN w:val="0"/>
        <w:adjustRightInd w:val="0"/>
        <w:spacing w:line="360" w:lineRule="auto"/>
        <w:ind w:firstLine="482" w:firstLineChars="200"/>
        <w:rPr>
          <w:rFonts w:hint="eastAsia" w:asciiTheme="minorEastAsia" w:hAnsiTheme="minorEastAsia" w:eastAsiaTheme="minorEastAsia"/>
          <w:b/>
          <w:sz w:val="24"/>
          <w:lang w:val="zh-CN"/>
        </w:rPr>
      </w:pPr>
      <w:r>
        <w:rPr>
          <w:rFonts w:hint="eastAsia" w:asciiTheme="minorEastAsia" w:hAnsiTheme="minorEastAsia" w:eastAsiaTheme="minorEastAsia"/>
          <w:b/>
          <w:sz w:val="24"/>
          <w:lang w:val="zh-CN"/>
        </w:rPr>
        <w:t>五、评标</w:t>
      </w:r>
    </w:p>
    <w:p w14:paraId="6C341534">
      <w:pPr>
        <w:autoSpaceDE w:val="0"/>
        <w:autoSpaceDN w:val="0"/>
        <w:adjustRightInd w:val="0"/>
        <w:spacing w:line="360" w:lineRule="auto"/>
        <w:ind w:firstLine="482" w:firstLineChars="200"/>
        <w:rPr>
          <w:rFonts w:hint="eastAsia" w:asciiTheme="minorEastAsia" w:hAnsiTheme="minorEastAsia" w:eastAsiaTheme="minorEastAsia"/>
          <w:b/>
          <w:sz w:val="24"/>
          <w:lang w:val="zh-CN"/>
        </w:rPr>
      </w:pPr>
      <w:r>
        <w:rPr>
          <w:rFonts w:hint="eastAsia" w:asciiTheme="minorEastAsia" w:hAnsiTheme="minorEastAsia" w:eastAsiaTheme="minorEastAsia"/>
          <w:b/>
          <w:sz w:val="24"/>
          <w:lang w:val="zh-CN"/>
        </w:rPr>
        <w:t>（一）组建评标委员会</w:t>
      </w:r>
    </w:p>
    <w:p w14:paraId="251E63C7">
      <w:pPr>
        <w:autoSpaceDE w:val="0"/>
        <w:autoSpaceDN w:val="0"/>
        <w:adjustRightInd w:val="0"/>
        <w:spacing w:line="360" w:lineRule="auto"/>
        <w:ind w:firstLine="48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 xml:space="preserve">采购代理机构依法组建由5人以上（含）奇数的人员组成的评标委员会，负责对投标文件进行审查、质询、评审和比较等。评标委员会由采购单位代表和采购咨询专家组成，其中采购咨询专家人数不少于成员总数的三分之二。 </w:t>
      </w:r>
    </w:p>
    <w:p w14:paraId="19E694C0">
      <w:pPr>
        <w:autoSpaceDE w:val="0"/>
        <w:autoSpaceDN w:val="0"/>
        <w:adjustRightInd w:val="0"/>
        <w:spacing w:line="360" w:lineRule="auto"/>
        <w:ind w:firstLine="482" w:firstLineChars="200"/>
        <w:rPr>
          <w:rFonts w:hint="eastAsia" w:asciiTheme="minorEastAsia" w:hAnsiTheme="minorEastAsia" w:eastAsiaTheme="minorEastAsia"/>
          <w:b/>
          <w:sz w:val="24"/>
          <w:lang w:val="zh-CN"/>
        </w:rPr>
      </w:pPr>
      <w:r>
        <w:rPr>
          <w:rFonts w:hint="eastAsia" w:asciiTheme="minorEastAsia" w:hAnsiTheme="minorEastAsia" w:eastAsiaTheme="minorEastAsia"/>
          <w:b/>
          <w:sz w:val="24"/>
          <w:lang w:val="zh-CN"/>
        </w:rPr>
        <w:t>（二）评标的依据</w:t>
      </w:r>
    </w:p>
    <w:p w14:paraId="3DE539DB">
      <w:pPr>
        <w:autoSpaceDE w:val="0"/>
        <w:autoSpaceDN w:val="0"/>
        <w:adjustRightInd w:val="0"/>
        <w:spacing w:line="360" w:lineRule="auto"/>
        <w:ind w:firstLine="48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本项目采用不公开方式评标，评标的依据为招标文件和投标文件。</w:t>
      </w:r>
    </w:p>
    <w:p w14:paraId="1DE95190">
      <w:pPr>
        <w:autoSpaceDE w:val="0"/>
        <w:autoSpaceDN w:val="0"/>
        <w:adjustRightInd w:val="0"/>
        <w:spacing w:line="360" w:lineRule="auto"/>
        <w:ind w:firstLine="482" w:firstLineChars="200"/>
        <w:rPr>
          <w:rFonts w:hint="eastAsia" w:asciiTheme="minorEastAsia" w:hAnsiTheme="minorEastAsia" w:eastAsiaTheme="minorEastAsia"/>
          <w:b/>
          <w:sz w:val="24"/>
          <w:lang w:val="zh-CN"/>
        </w:rPr>
      </w:pPr>
      <w:r>
        <w:rPr>
          <w:rFonts w:hint="eastAsia" w:asciiTheme="minorEastAsia" w:hAnsiTheme="minorEastAsia" w:eastAsiaTheme="minorEastAsia"/>
          <w:b/>
          <w:sz w:val="24"/>
          <w:lang w:val="zh-CN"/>
        </w:rPr>
        <w:t>（三）评标程序</w:t>
      </w:r>
    </w:p>
    <w:p w14:paraId="1AEAD456">
      <w:pPr>
        <w:autoSpaceDE w:val="0"/>
        <w:autoSpaceDN w:val="0"/>
        <w:adjustRightIn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1.资格审查</w:t>
      </w:r>
    </w:p>
    <w:p w14:paraId="3DE0A49C">
      <w:pPr>
        <w:autoSpaceDE w:val="0"/>
        <w:autoSpaceDN w:val="0"/>
        <w:adjustRightInd w:val="0"/>
        <w:spacing w:line="360" w:lineRule="auto"/>
        <w:ind w:firstLine="48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采购单位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14:paraId="6E17C571">
      <w:pPr>
        <w:autoSpaceDE w:val="0"/>
        <w:autoSpaceDN w:val="0"/>
        <w:adjustRightInd w:val="0"/>
        <w:spacing w:line="360" w:lineRule="auto"/>
        <w:ind w:firstLine="48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评标委员会对供应商的投标文件的完整性、合法性等进行审查。</w:t>
      </w:r>
    </w:p>
    <w:p w14:paraId="20FE78EA">
      <w:pPr>
        <w:autoSpaceDE w:val="0"/>
        <w:autoSpaceDN w:val="0"/>
        <w:adjustRightInd w:val="0"/>
        <w:spacing w:line="360" w:lineRule="auto"/>
        <w:ind w:firstLine="48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2.实质审查与比较</w:t>
      </w:r>
    </w:p>
    <w:p w14:paraId="5D715C08">
      <w:pPr>
        <w:autoSpaceDE w:val="0"/>
        <w:autoSpaceDN w:val="0"/>
        <w:adjustRightInd w:val="0"/>
        <w:spacing w:line="360" w:lineRule="auto"/>
        <w:ind w:firstLine="36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（1）评标委员会审查投标文件的实质性内容是否符合招标文件的实质性要求。</w:t>
      </w:r>
    </w:p>
    <w:p w14:paraId="60E4937E">
      <w:pPr>
        <w:autoSpaceDE w:val="0"/>
        <w:autoSpaceDN w:val="0"/>
        <w:adjustRightInd w:val="0"/>
        <w:spacing w:line="360" w:lineRule="auto"/>
        <w:ind w:firstLine="36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（2）评标委员会将根据供应商的投标文件进行审查、核对,如有疑问,将对供应商进行询标,供应商要向评标委员会澄清有关问题,并最终以书面形式进行答复。</w:t>
      </w:r>
    </w:p>
    <w:p w14:paraId="3BFB3AE4">
      <w:pPr>
        <w:autoSpaceDE w:val="0"/>
        <w:autoSpaceDN w:val="0"/>
        <w:adjustRightInd w:val="0"/>
        <w:spacing w:line="360" w:lineRule="auto"/>
        <w:ind w:firstLine="36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（3）各供应商的商务技术得分按照评标委员会成员的独立评分结果汇总数后的算术平均分计算。</w:t>
      </w:r>
    </w:p>
    <w:p w14:paraId="300F08CF">
      <w:pPr>
        <w:autoSpaceDE w:val="0"/>
        <w:autoSpaceDN w:val="0"/>
        <w:adjustRightInd w:val="0"/>
        <w:spacing w:line="360" w:lineRule="auto"/>
        <w:ind w:firstLine="36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（4）评标委员会根据供应商的报价,计算各供应商的价格分。</w:t>
      </w:r>
    </w:p>
    <w:p w14:paraId="4BD1A7B8">
      <w:pPr>
        <w:autoSpaceDE w:val="0"/>
        <w:autoSpaceDN w:val="0"/>
        <w:adjustRightInd w:val="0"/>
        <w:spacing w:line="360" w:lineRule="auto"/>
        <w:ind w:firstLine="36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（5）评标委员会完成评标后,评委对各部分得分汇总,得出本项目最终得分,评标委员会按评标原则推荐中标候选人同时起草评标报告。</w:t>
      </w:r>
    </w:p>
    <w:p w14:paraId="451C125D">
      <w:pPr>
        <w:autoSpaceDE w:val="0"/>
        <w:autoSpaceDN w:val="0"/>
        <w:adjustRightInd w:val="0"/>
        <w:spacing w:line="360" w:lineRule="auto"/>
        <w:ind w:firstLine="480"/>
        <w:rPr>
          <w:rFonts w:hint="eastAsia" w:asciiTheme="minorEastAsia" w:hAnsiTheme="minorEastAsia" w:eastAsiaTheme="minorEastAsia"/>
          <w:b/>
          <w:sz w:val="24"/>
          <w:lang w:val="zh-CN"/>
        </w:rPr>
      </w:pPr>
      <w:r>
        <w:rPr>
          <w:rFonts w:hint="eastAsia" w:asciiTheme="minorEastAsia" w:hAnsiTheme="minorEastAsia" w:eastAsiaTheme="minorEastAsia"/>
          <w:b/>
          <w:sz w:val="24"/>
          <w:lang w:val="zh-CN"/>
        </w:rPr>
        <w:t>（四）澄清问题的形式</w:t>
      </w:r>
    </w:p>
    <w:p w14:paraId="60F94F6D">
      <w:pPr>
        <w:autoSpaceDE w:val="0"/>
        <w:autoSpaceDN w:val="0"/>
        <w:adjustRightInd w:val="0"/>
        <w:spacing w:line="360" w:lineRule="auto"/>
        <w:ind w:firstLine="48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授权代表签字或盖章确认，并不得超出投标文件的范围或者改变投标文件的实质性内容。</w:t>
      </w:r>
    </w:p>
    <w:p w14:paraId="5768FA0A">
      <w:pPr>
        <w:autoSpaceDE w:val="0"/>
        <w:autoSpaceDN w:val="0"/>
        <w:adjustRightInd w:val="0"/>
        <w:spacing w:line="360" w:lineRule="auto"/>
        <w:ind w:firstLine="480"/>
        <w:rPr>
          <w:rFonts w:hint="eastAsia" w:asciiTheme="minorEastAsia" w:hAnsiTheme="minorEastAsia" w:eastAsiaTheme="minorEastAsia"/>
          <w:b/>
          <w:sz w:val="24"/>
          <w:lang w:val="zh-CN"/>
        </w:rPr>
      </w:pPr>
      <w:r>
        <w:rPr>
          <w:rFonts w:hint="eastAsia" w:asciiTheme="minorEastAsia" w:hAnsiTheme="minorEastAsia" w:eastAsiaTheme="minorEastAsia"/>
          <w:b/>
          <w:sz w:val="24"/>
          <w:lang w:val="zh-CN"/>
        </w:rPr>
        <w:t>（五）错误修正</w:t>
      </w:r>
    </w:p>
    <w:p w14:paraId="714D2B9E">
      <w:pPr>
        <w:pStyle w:val="18"/>
        <w:snapToGrid w:val="0"/>
        <w:spacing w:line="360" w:lineRule="auto"/>
        <w:ind w:firstLine="434" w:firstLineChars="181"/>
        <w:rPr>
          <w:rFonts w:hint="eastAsia" w:asciiTheme="minorEastAsia" w:hAnsiTheme="minorEastAsia" w:eastAsiaTheme="minorEastAsia"/>
          <w:sz w:val="24"/>
        </w:rPr>
      </w:pPr>
      <w:bookmarkStart w:id="53" w:name="_Toc177870555"/>
      <w:r>
        <w:rPr>
          <w:rFonts w:hint="eastAsia" w:asciiTheme="minorEastAsia" w:hAnsiTheme="minorEastAsia" w:eastAsiaTheme="minorEastAsia"/>
          <w:sz w:val="24"/>
        </w:rPr>
        <w:t>投标文件如果出现计算或表达上的错误，修正错误的原则如下：</w:t>
      </w:r>
    </w:p>
    <w:p w14:paraId="388F525F">
      <w:pPr>
        <w:widowControl/>
        <w:tabs>
          <w:tab w:val="left" w:pos="630"/>
        </w:tabs>
        <w:autoSpaceDE w:val="0"/>
        <w:autoSpaceDN w:val="0"/>
        <w:adjustRightInd w:val="0"/>
        <w:spacing w:line="360" w:lineRule="auto"/>
        <w:ind w:firstLine="482"/>
        <w:jc w:val="left"/>
        <w:rPr>
          <w:rFonts w:hint="eastAsia" w:asciiTheme="minorEastAsia" w:hAnsiTheme="minorEastAsia" w:eastAsiaTheme="minorEastAsia"/>
          <w:bCs/>
          <w:sz w:val="24"/>
          <w:lang w:val="zh-CN"/>
        </w:rPr>
      </w:pPr>
      <w:r>
        <w:rPr>
          <w:rFonts w:hint="eastAsia" w:asciiTheme="minorEastAsia" w:hAnsiTheme="minorEastAsia" w:eastAsiaTheme="minorEastAsia"/>
          <w:bCs/>
          <w:sz w:val="24"/>
          <w:lang w:val="zh-CN"/>
        </w:rPr>
        <w:t>1.对不同文字文本投标文件的解释发生异议的，以中文文本为准。</w:t>
      </w:r>
    </w:p>
    <w:p w14:paraId="6D57D7A8">
      <w:pPr>
        <w:widowControl/>
        <w:tabs>
          <w:tab w:val="left" w:pos="630"/>
        </w:tabs>
        <w:autoSpaceDE w:val="0"/>
        <w:autoSpaceDN w:val="0"/>
        <w:adjustRightInd w:val="0"/>
        <w:spacing w:line="360" w:lineRule="auto"/>
        <w:ind w:firstLine="480" w:firstLineChars="200"/>
        <w:jc w:val="left"/>
        <w:rPr>
          <w:rFonts w:hint="eastAsia"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2.投标文件报价出现前后不一致的，除招标文件另有规定外，按照下列规定修正： </w:t>
      </w:r>
    </w:p>
    <w:p w14:paraId="5DF93D5E">
      <w:pPr>
        <w:widowControl/>
        <w:tabs>
          <w:tab w:val="left" w:pos="630"/>
        </w:tabs>
        <w:autoSpaceDE w:val="0"/>
        <w:autoSpaceDN w:val="0"/>
        <w:adjustRightInd w:val="0"/>
        <w:spacing w:line="360" w:lineRule="auto"/>
        <w:ind w:firstLine="480" w:firstLineChars="200"/>
        <w:jc w:val="left"/>
        <w:rPr>
          <w:rFonts w:hint="eastAsia"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（1）投标文件中开标一览表（报价表）内容与投标文件中相应内容不一致的，以开标一览表（报价表）为准； </w:t>
      </w:r>
    </w:p>
    <w:p w14:paraId="3DB42A5F">
      <w:pPr>
        <w:widowControl/>
        <w:tabs>
          <w:tab w:val="left" w:pos="630"/>
        </w:tabs>
        <w:autoSpaceDE w:val="0"/>
        <w:autoSpaceDN w:val="0"/>
        <w:adjustRightInd w:val="0"/>
        <w:spacing w:line="360" w:lineRule="auto"/>
        <w:ind w:firstLine="482"/>
        <w:jc w:val="left"/>
        <w:rPr>
          <w:rFonts w:hint="eastAsia" w:asciiTheme="minorEastAsia" w:hAnsiTheme="minorEastAsia" w:eastAsiaTheme="minorEastAsia"/>
          <w:bCs/>
          <w:sz w:val="24"/>
          <w:lang w:val="zh-CN"/>
        </w:rPr>
      </w:pPr>
      <w:r>
        <w:rPr>
          <w:rFonts w:hint="eastAsia" w:asciiTheme="minorEastAsia" w:hAnsiTheme="minorEastAsia" w:eastAsiaTheme="minorEastAsia"/>
          <w:bCs/>
          <w:sz w:val="24"/>
          <w:lang w:val="zh-CN"/>
        </w:rPr>
        <w:t>（2）电子交易平台客户端里开标一览表录入的投标报价信息与扫描上传的报价文件不一致的，以扫描上传的报价文件为准。</w:t>
      </w:r>
    </w:p>
    <w:p w14:paraId="43CA5594">
      <w:pPr>
        <w:widowControl/>
        <w:tabs>
          <w:tab w:val="left" w:pos="630"/>
        </w:tabs>
        <w:autoSpaceDE w:val="0"/>
        <w:autoSpaceDN w:val="0"/>
        <w:adjustRightInd w:val="0"/>
        <w:spacing w:line="360" w:lineRule="auto"/>
        <w:ind w:firstLine="482"/>
        <w:jc w:val="left"/>
        <w:rPr>
          <w:rFonts w:hint="eastAsia"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（3）大写金额和小写金额不一致的，以大写金额为准； </w:t>
      </w:r>
    </w:p>
    <w:p w14:paraId="4441EB27">
      <w:pPr>
        <w:widowControl/>
        <w:tabs>
          <w:tab w:val="left" w:pos="630"/>
        </w:tabs>
        <w:autoSpaceDE w:val="0"/>
        <w:autoSpaceDN w:val="0"/>
        <w:adjustRightInd w:val="0"/>
        <w:spacing w:line="360" w:lineRule="auto"/>
        <w:ind w:firstLine="482"/>
        <w:jc w:val="left"/>
        <w:rPr>
          <w:rFonts w:hint="eastAsia"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（4）单价金额小数点或者百分比有明显错位的，以开标一览表的总价为准，并修改单价； </w:t>
      </w:r>
    </w:p>
    <w:p w14:paraId="2FE70F96">
      <w:pPr>
        <w:widowControl/>
        <w:tabs>
          <w:tab w:val="left" w:pos="630"/>
        </w:tabs>
        <w:autoSpaceDE w:val="0"/>
        <w:autoSpaceDN w:val="0"/>
        <w:adjustRightInd w:val="0"/>
        <w:spacing w:line="360" w:lineRule="auto"/>
        <w:ind w:firstLine="482"/>
        <w:jc w:val="left"/>
        <w:rPr>
          <w:rFonts w:hint="eastAsia"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（5）总价金额与按单价汇总金额不一致的，以单价金额计算结果为准。 </w:t>
      </w:r>
    </w:p>
    <w:p w14:paraId="4E4DADDB">
      <w:pPr>
        <w:widowControl/>
        <w:tabs>
          <w:tab w:val="left" w:pos="630"/>
        </w:tabs>
        <w:autoSpaceDE w:val="0"/>
        <w:autoSpaceDN w:val="0"/>
        <w:adjustRightInd w:val="0"/>
        <w:spacing w:line="360" w:lineRule="auto"/>
        <w:ind w:firstLine="482"/>
        <w:jc w:val="left"/>
        <w:rPr>
          <w:rFonts w:hint="eastAsia" w:asciiTheme="minorEastAsia" w:hAnsiTheme="minorEastAsia" w:eastAsiaTheme="minorEastAsia"/>
          <w:bCs/>
          <w:sz w:val="24"/>
          <w:lang w:val="zh-CN"/>
        </w:rPr>
      </w:pPr>
      <w:r>
        <w:rPr>
          <w:rFonts w:hint="eastAsia" w:asciiTheme="minorEastAsia" w:hAnsiTheme="minorEastAsia" w:eastAsiaTheme="minorEastAsia"/>
          <w:bCs/>
          <w:sz w:val="24"/>
          <w:lang w:val="zh-CN"/>
        </w:rPr>
        <w:t>同时出现两种以上不一致的，按照前款规定的顺序修正。投标人同意后，调整后的投标报价对投标人起约束作用。如果投标人不接受修正后的报价，则其投标将被拒绝。</w:t>
      </w:r>
    </w:p>
    <w:p w14:paraId="15138586">
      <w:pPr>
        <w:pStyle w:val="18"/>
        <w:snapToGrid w:val="0"/>
        <w:spacing w:line="360" w:lineRule="auto"/>
        <w:ind w:firstLine="557" w:firstLineChars="231"/>
        <w:rPr>
          <w:rFonts w:hint="eastAsia" w:asciiTheme="minorEastAsia" w:hAnsiTheme="minorEastAsia" w:eastAsiaTheme="minorEastAsia"/>
          <w:b/>
          <w:sz w:val="24"/>
        </w:rPr>
      </w:pPr>
      <w:r>
        <w:rPr>
          <w:rFonts w:hint="eastAsia" w:asciiTheme="minorEastAsia" w:hAnsiTheme="minorEastAsia" w:eastAsiaTheme="minorEastAsia"/>
          <w:b/>
          <w:color w:val="000000"/>
          <w:sz w:val="24"/>
        </w:rPr>
        <w:t>（六）</w:t>
      </w:r>
      <w:r>
        <w:rPr>
          <w:rFonts w:hint="eastAsia" w:asciiTheme="minorEastAsia" w:hAnsiTheme="minorEastAsia" w:eastAsiaTheme="minorEastAsia"/>
          <w:b/>
          <w:sz w:val="24"/>
        </w:rPr>
        <w:t>评标过程的保密</w:t>
      </w:r>
    </w:p>
    <w:p w14:paraId="28F62CCA">
      <w:pPr>
        <w:pStyle w:val="18"/>
        <w:snapToGrid w:val="0"/>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sz w:val="24"/>
        </w:rPr>
        <w:t>凡是属于审查、澄清、评审和比较的有关资料以及授标建议，任何人均不得向投标人或其他无关的人员透露。</w:t>
      </w:r>
      <w:r>
        <w:rPr>
          <w:rFonts w:hint="eastAsia" w:asciiTheme="minorEastAsia" w:hAnsiTheme="minorEastAsia" w:eastAsiaTheme="minorEastAsia"/>
          <w:sz w:val="24"/>
          <w:lang w:val="zh-CN"/>
        </w:rPr>
        <w:t>本项目评标过程实行全程录像监控，</w:t>
      </w:r>
      <w:r>
        <w:rPr>
          <w:rFonts w:hint="eastAsia" w:asciiTheme="minorEastAsia" w:hAnsiTheme="minorEastAsia" w:eastAsiaTheme="minorEastAsia"/>
          <w:sz w:val="24"/>
        </w:rPr>
        <w:t>投标人在评标过程中，所进行的力图影响评标结果的不公正活动，可能导致其投标被拒绝。</w:t>
      </w:r>
    </w:p>
    <w:p w14:paraId="07210353">
      <w:pPr>
        <w:pStyle w:val="18"/>
        <w:tabs>
          <w:tab w:val="left" w:pos="630"/>
        </w:tabs>
        <w:snapToGrid w:val="0"/>
        <w:spacing w:line="360" w:lineRule="auto"/>
        <w:ind w:firstLine="439" w:firstLineChars="182"/>
        <w:rPr>
          <w:rFonts w:hint="eastAsia" w:asciiTheme="minorEastAsia" w:hAnsiTheme="minorEastAsia" w:eastAsiaTheme="minorEastAsia"/>
          <w:b/>
          <w:sz w:val="24"/>
        </w:rPr>
      </w:pPr>
      <w:r>
        <w:rPr>
          <w:rFonts w:hint="eastAsia" w:asciiTheme="minorEastAsia" w:hAnsiTheme="minorEastAsia" w:eastAsiaTheme="minorEastAsia"/>
          <w:b/>
          <w:sz w:val="24"/>
        </w:rPr>
        <w:t>（七）评标原则和评标办法</w:t>
      </w:r>
    </w:p>
    <w:bookmarkEnd w:id="53"/>
    <w:p w14:paraId="188934A3">
      <w:pPr>
        <w:autoSpaceDE w:val="0"/>
        <w:autoSpaceDN w:val="0"/>
        <w:adjustRightInd w:val="0"/>
        <w:spacing w:line="360" w:lineRule="auto"/>
        <w:ind w:firstLine="437"/>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 xml:space="preserve">1.评标原则。评标委员会必须公平、公正、客观，不带任何倾向性和启发性；不得向外界透露任何与评标有关的内容；任何单位和个人不得干扰、影响评标的正常进行；评标委员会及有关工作人员不得私下与投标人接触； </w:t>
      </w:r>
    </w:p>
    <w:p w14:paraId="62B50E81">
      <w:pPr>
        <w:autoSpaceDE w:val="0"/>
        <w:autoSpaceDN w:val="0"/>
        <w:adjustRightInd w:val="0"/>
        <w:spacing w:line="276" w:lineRule="auto"/>
        <w:ind w:firstLine="437"/>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2.评标办法。根据采购项目的实际情况采用综合评分法。本项目的具体评标办法详见《第四章：评标办法及评分标准》。</w:t>
      </w:r>
    </w:p>
    <w:p w14:paraId="56FA5B08">
      <w:pPr>
        <w:pStyle w:val="18"/>
        <w:snapToGrid w:val="0"/>
        <w:spacing w:line="460" w:lineRule="exact"/>
        <w:ind w:firstLine="482" w:firstLineChars="200"/>
        <w:outlineLvl w:val="1"/>
        <w:rPr>
          <w:rFonts w:hint="eastAsia" w:asciiTheme="minorEastAsia" w:hAnsiTheme="minorEastAsia" w:eastAsiaTheme="minorEastAsia"/>
          <w:b/>
          <w:sz w:val="24"/>
        </w:rPr>
      </w:pPr>
      <w:r>
        <w:rPr>
          <w:rFonts w:hint="eastAsia" w:asciiTheme="minorEastAsia" w:hAnsiTheme="minorEastAsia" w:eastAsiaTheme="minorEastAsia"/>
          <w:b/>
          <w:sz w:val="24"/>
        </w:rPr>
        <w:t>六、中标公示和定标</w:t>
      </w:r>
    </w:p>
    <w:p w14:paraId="5D831886">
      <w:pPr>
        <w:autoSpaceDE w:val="0"/>
        <w:autoSpaceDN w:val="0"/>
        <w:adjustRightInd w:val="0"/>
        <w:spacing w:line="460" w:lineRule="exact"/>
        <w:ind w:firstLine="437"/>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1.中标公示：采购代理机构在评标结束后将采购结果确认函交采购单位确认，采购结果经采购单位确认后，将采购结果在发布招标公告的网站上进行1个工作日的中标公示。</w:t>
      </w:r>
    </w:p>
    <w:p w14:paraId="0950A5A0">
      <w:pPr>
        <w:autoSpaceDE w:val="0"/>
        <w:autoSpaceDN w:val="0"/>
        <w:adjustRightInd w:val="0"/>
        <w:spacing w:line="460" w:lineRule="exact"/>
        <w:ind w:firstLine="437"/>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2.质疑：相关投标人如对采购结果有异议需提出质疑的，应当在中标公示结束前以书面形式向采购代理机构提出。</w:t>
      </w:r>
    </w:p>
    <w:p w14:paraId="75EE8F8A">
      <w:pPr>
        <w:autoSpaceDE w:val="0"/>
        <w:autoSpaceDN w:val="0"/>
        <w:adjustRightInd w:val="0"/>
        <w:spacing w:line="360" w:lineRule="auto"/>
        <w:ind w:firstLine="437"/>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3.质疑处理：相关投标人提出质疑后，采购单位有权要求中标候选人提供相关证明材料。</w:t>
      </w:r>
    </w:p>
    <w:p w14:paraId="5C05859C">
      <w:pPr>
        <w:autoSpaceDE w:val="0"/>
        <w:autoSpaceDN w:val="0"/>
        <w:adjustRightInd w:val="0"/>
        <w:spacing w:line="360" w:lineRule="auto"/>
        <w:ind w:firstLine="437"/>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4.采购单位应在收到采购结果确认函后5个工作日内对采购结果进行确认。如有投标人对采购结果提出质疑的，采购单位可在质疑处理完毕后确定中标人。</w:t>
      </w:r>
    </w:p>
    <w:p w14:paraId="5AE3A1D7">
      <w:pPr>
        <w:autoSpaceDE w:val="0"/>
        <w:autoSpaceDN w:val="0"/>
        <w:adjustRightInd w:val="0"/>
        <w:spacing w:line="360" w:lineRule="auto"/>
        <w:ind w:firstLine="437"/>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5.采购结果在中标公示结束后，采购代理机构以书面形式发出《中标通知书》。如有投标人在中标公示期间提出质疑的，按照相关法规执行。</w:t>
      </w:r>
    </w:p>
    <w:p w14:paraId="69C48BB8">
      <w:pPr>
        <w:autoSpaceDE w:val="0"/>
        <w:autoSpaceDN w:val="0"/>
        <w:adjustRightInd w:val="0"/>
        <w:spacing w:line="360" w:lineRule="auto"/>
        <w:ind w:firstLine="480"/>
        <w:rPr>
          <w:rFonts w:hint="eastAsia" w:asciiTheme="minorEastAsia" w:hAnsiTheme="minorEastAsia" w:eastAsiaTheme="minorEastAsia"/>
          <w:b/>
          <w:sz w:val="24"/>
          <w:lang w:val="zh-CN"/>
        </w:rPr>
      </w:pPr>
      <w:r>
        <w:rPr>
          <w:rFonts w:hint="eastAsia" w:asciiTheme="minorEastAsia" w:hAnsiTheme="minorEastAsia" w:eastAsiaTheme="minorEastAsia"/>
          <w:b/>
          <w:sz w:val="24"/>
          <w:lang w:val="zh-CN"/>
        </w:rPr>
        <w:t>七、合同授予</w:t>
      </w:r>
    </w:p>
    <w:p w14:paraId="34311126">
      <w:pPr>
        <w:autoSpaceDE w:val="0"/>
        <w:autoSpaceDN w:val="0"/>
        <w:adjustRightInd w:val="0"/>
        <w:spacing w:line="360" w:lineRule="auto"/>
        <w:ind w:firstLine="437"/>
        <w:rPr>
          <w:rFonts w:hint="eastAsia"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中标人应在中标通知书发出后30日内与采购单位签订合同。</w:t>
      </w:r>
    </w:p>
    <w:p w14:paraId="596BA995">
      <w:pPr>
        <w:autoSpaceDE w:val="0"/>
        <w:autoSpaceDN w:val="0"/>
        <w:adjustRightInd w:val="0"/>
        <w:spacing w:line="360" w:lineRule="auto"/>
        <w:ind w:firstLine="437"/>
        <w:rPr>
          <w:rFonts w:hint="eastAsia" w:asciiTheme="minorEastAsia" w:hAnsiTheme="minorEastAsia" w:eastAsiaTheme="minorEastAsia"/>
          <w:sz w:val="24"/>
          <w:lang w:val="zh-CN"/>
        </w:rPr>
      </w:pPr>
      <w:r>
        <w:rPr>
          <w:rFonts w:asciiTheme="minorEastAsia" w:hAnsiTheme="minorEastAsia" w:eastAsiaTheme="minorEastAsia"/>
          <w:sz w:val="24"/>
          <w:lang w:val="zh-CN"/>
        </w:rPr>
        <w:t>2.</w:t>
      </w:r>
      <w:r>
        <w:rPr>
          <w:rFonts w:hint="eastAsia" w:asciiTheme="minorEastAsia" w:hAnsiTheme="minorEastAsia" w:eastAsiaTheme="minorEastAsia"/>
          <w:sz w:val="24"/>
          <w:lang w:val="zh-CN"/>
        </w:rPr>
        <w:t>中标人拖延、拒签合同的</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 xml:space="preserve">将被取消中标资格。 </w:t>
      </w:r>
      <w:bookmarkEnd w:id="4"/>
      <w:bookmarkStart w:id="54" w:name="_Hlk521930991"/>
    </w:p>
    <w:p w14:paraId="12559D9C">
      <w:pPr>
        <w:pStyle w:val="9"/>
        <w:tabs>
          <w:tab w:val="left" w:pos="1365"/>
          <w:tab w:val="left" w:pos="3375"/>
        </w:tabs>
        <w:spacing w:line="360" w:lineRule="auto"/>
        <w:ind w:firstLine="482"/>
        <w:rPr>
          <w:rFonts w:hint="eastAsia" w:ascii="宋体" w:hAnsi="宋体"/>
          <w:b/>
          <w:sz w:val="24"/>
          <w:szCs w:val="20"/>
          <w:lang w:val="zh-CN"/>
        </w:rPr>
      </w:pPr>
      <w:r>
        <w:rPr>
          <w:rFonts w:hint="eastAsia" w:ascii="宋体" w:hAnsi="宋体"/>
          <w:b/>
          <w:sz w:val="24"/>
          <w:szCs w:val="20"/>
          <w:lang w:val="zh-CN"/>
        </w:rPr>
        <w:t>八、代理服务费</w:t>
      </w:r>
    </w:p>
    <w:p w14:paraId="798C3366">
      <w:pPr>
        <w:spacing w:line="360" w:lineRule="auto"/>
        <w:ind w:firstLine="480" w:firstLineChars="200"/>
        <w:rPr>
          <w:rFonts w:hint="eastAsia" w:ascii="宋体" w:hAnsi="宋体"/>
          <w:sz w:val="24"/>
          <w:szCs w:val="20"/>
          <w:lang w:val="zh-CN"/>
        </w:rPr>
      </w:pPr>
      <w:r>
        <w:rPr>
          <w:rFonts w:hint="eastAsia" w:ascii="宋体" w:hAnsi="宋体"/>
          <w:sz w:val="24"/>
          <w:szCs w:val="20"/>
          <w:lang w:val="zh-CN"/>
        </w:rPr>
        <w:t>1</w:t>
      </w:r>
      <w:r>
        <w:rPr>
          <w:rFonts w:hint="eastAsia" w:ascii="宋体" w:hAnsi="宋体"/>
          <w:sz w:val="24"/>
          <w:szCs w:val="20"/>
        </w:rPr>
        <w:t>.</w:t>
      </w:r>
      <w:r>
        <w:rPr>
          <w:rFonts w:hint="eastAsia" w:ascii="宋体" w:hAnsi="宋体"/>
          <w:sz w:val="24"/>
          <w:szCs w:val="20"/>
          <w:lang w:val="zh-CN"/>
        </w:rPr>
        <w:t>本次采购的招标代理服务费：</w:t>
      </w:r>
      <w:r>
        <w:rPr>
          <w:rFonts w:hint="eastAsia" w:ascii="宋体" w:hAnsi="宋体"/>
          <w:sz w:val="24"/>
          <w:szCs w:val="20"/>
          <w:lang w:val="en-US" w:eastAsia="zh-CN"/>
        </w:rPr>
        <w:t>6000</w:t>
      </w:r>
      <w:r>
        <w:rPr>
          <w:rFonts w:hint="eastAsia" w:ascii="宋体" w:hAnsi="宋体"/>
          <w:sz w:val="24"/>
          <w:szCs w:val="20"/>
        </w:rPr>
        <w:t>元</w:t>
      </w:r>
      <w:r>
        <w:rPr>
          <w:rFonts w:hint="eastAsia" w:ascii="宋体" w:hAnsi="宋体"/>
          <w:sz w:val="24"/>
          <w:szCs w:val="20"/>
          <w:lang w:val="zh-CN"/>
        </w:rPr>
        <w:t>。</w:t>
      </w:r>
    </w:p>
    <w:p w14:paraId="129CC612">
      <w:pPr>
        <w:spacing w:line="360" w:lineRule="auto"/>
        <w:ind w:firstLine="480" w:firstLineChars="200"/>
        <w:rPr>
          <w:rFonts w:hint="eastAsia" w:ascii="宋体" w:hAnsi="宋体"/>
          <w:sz w:val="24"/>
          <w:szCs w:val="20"/>
          <w:lang w:val="zh-CN"/>
        </w:rPr>
      </w:pPr>
      <w:r>
        <w:rPr>
          <w:rFonts w:hint="eastAsia" w:ascii="宋体" w:hAnsi="宋体"/>
          <w:sz w:val="24"/>
          <w:szCs w:val="20"/>
          <w:lang w:val="zh-CN"/>
        </w:rPr>
        <w:t>2</w:t>
      </w:r>
      <w:r>
        <w:rPr>
          <w:rFonts w:hint="eastAsia" w:ascii="宋体" w:hAnsi="宋体"/>
          <w:sz w:val="24"/>
          <w:szCs w:val="20"/>
        </w:rPr>
        <w:t>.</w:t>
      </w:r>
      <w:r>
        <w:rPr>
          <w:rFonts w:hint="eastAsia" w:ascii="宋体" w:hAnsi="宋体"/>
          <w:sz w:val="24"/>
          <w:szCs w:val="20"/>
          <w:lang w:val="zh-CN"/>
        </w:rPr>
        <w:t>开标过程中产生的其他费用按实际支出收取；</w:t>
      </w:r>
    </w:p>
    <w:p w14:paraId="23675750">
      <w:pPr>
        <w:spacing w:line="360" w:lineRule="auto"/>
        <w:ind w:firstLine="480" w:firstLineChars="200"/>
        <w:rPr>
          <w:rFonts w:hint="eastAsia" w:ascii="宋体" w:hAnsi="宋体"/>
          <w:sz w:val="24"/>
          <w:szCs w:val="20"/>
          <w:lang w:val="zh-CN"/>
        </w:rPr>
      </w:pPr>
      <w:r>
        <w:rPr>
          <w:rFonts w:hint="eastAsia" w:ascii="宋体" w:hAnsi="宋体"/>
          <w:sz w:val="24"/>
          <w:szCs w:val="20"/>
          <w:lang w:val="zh-CN"/>
        </w:rPr>
        <w:t>3</w:t>
      </w:r>
      <w:r>
        <w:rPr>
          <w:rFonts w:hint="eastAsia" w:ascii="宋体" w:hAnsi="宋体"/>
          <w:sz w:val="24"/>
          <w:szCs w:val="20"/>
        </w:rPr>
        <w:t>.</w:t>
      </w:r>
      <w:r>
        <w:rPr>
          <w:rFonts w:hint="eastAsia" w:ascii="宋体" w:hAnsi="宋体"/>
          <w:sz w:val="24"/>
          <w:szCs w:val="20"/>
          <w:lang w:val="zh-CN"/>
        </w:rPr>
        <w:t>以上费用均由中标单位在领取中标通知书时，一次性支付给代理公司，上述两项费用应含在投标报价中（不得单独列项），投标人在投标报价让利中考虑上述费用。</w:t>
      </w:r>
    </w:p>
    <w:p w14:paraId="32D0FE38">
      <w:pPr>
        <w:autoSpaceDE w:val="0"/>
        <w:autoSpaceDN w:val="0"/>
        <w:adjustRightInd w:val="0"/>
        <w:spacing w:line="360" w:lineRule="auto"/>
        <w:ind w:firstLine="437"/>
        <w:rPr>
          <w:rFonts w:hint="eastAsia" w:asciiTheme="minorEastAsia" w:hAnsiTheme="minorEastAsia" w:eastAsiaTheme="minorEastAsia"/>
          <w:sz w:val="24"/>
          <w:lang w:val="zh-CN"/>
        </w:rPr>
        <w:sectPr>
          <w:pgSz w:w="11910" w:h="16840"/>
          <w:pgMar w:top="1134" w:right="1344" w:bottom="1134" w:left="1304" w:header="0" w:footer="993" w:gutter="0"/>
          <w:pgNumType w:fmt="decimal"/>
          <w:cols w:space="0" w:num="1"/>
        </w:sectPr>
      </w:pPr>
    </w:p>
    <w:p w14:paraId="2212AB35">
      <w:pPr>
        <w:pStyle w:val="33"/>
        <w:adjustRightInd w:val="0"/>
        <w:snapToGrid w:val="0"/>
        <w:spacing w:after="0" w:line="360" w:lineRule="auto"/>
        <w:ind w:firstLine="0" w:firstLineChars="0"/>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第四章  评标办法及评分标准</w:t>
      </w:r>
    </w:p>
    <w:bookmarkEnd w:id="54"/>
    <w:p w14:paraId="413EC89A">
      <w:pPr>
        <w:spacing w:after="120" w:afterLines="50" w:line="24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一、总则</w:t>
      </w:r>
    </w:p>
    <w:p w14:paraId="20A28634">
      <w:pPr>
        <w:spacing w:after="120" w:afterLines="50"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14:paraId="16032C98">
      <w:pPr>
        <w:spacing w:after="120" w:afterLines="50"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二、评标内容及标准</w:t>
      </w:r>
    </w:p>
    <w:p w14:paraId="12D2836F">
      <w:pPr>
        <w:widowControl/>
        <w:spacing w:line="276" w:lineRule="auto"/>
        <w:ind w:firstLine="482" w:firstLineChars="200"/>
        <w:jc w:val="left"/>
        <w:rPr>
          <w:rFonts w:hint="eastAsia" w:asciiTheme="minorEastAsia" w:hAnsiTheme="minorEastAsia" w:eastAsiaTheme="minorEastAsia"/>
          <w:b/>
          <w:bCs/>
          <w:sz w:val="24"/>
        </w:rPr>
      </w:pPr>
      <w:r>
        <w:rPr>
          <w:rFonts w:hint="eastAsia" w:asciiTheme="minorEastAsia" w:hAnsiTheme="minorEastAsia" w:eastAsiaTheme="minorEastAsia"/>
          <w:b/>
          <w:bCs/>
          <w:sz w:val="24"/>
        </w:rPr>
        <w:t>（一）价格分（30分）</w:t>
      </w:r>
    </w:p>
    <w:p w14:paraId="3109065A">
      <w:pPr>
        <w:pStyle w:val="16"/>
        <w:spacing w:after="0" w:line="360" w:lineRule="auto"/>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t>供应商的投标报价超过设定的最高限价的作为无效标处理。</w:t>
      </w:r>
    </w:p>
    <w:p w14:paraId="42457A0B">
      <w:pPr>
        <w:pStyle w:val="16"/>
        <w:spacing w:after="0" w:line="360" w:lineRule="auto"/>
        <w:rPr>
          <w:rFonts w:ascii="Times New Roman" w:hAnsi="Times New Roman"/>
          <w:b/>
          <w:bCs/>
          <w:color w:val="FF0000"/>
          <w:sz w:val="24"/>
          <w:u w:val="single"/>
        </w:rPr>
      </w:pPr>
      <w:r>
        <w:rPr>
          <w:rFonts w:ascii="Times New Roman" w:hAnsi="Times New Roman"/>
          <w:b/>
          <w:bCs/>
          <w:color w:val="FF0000"/>
          <w:sz w:val="24"/>
        </w:rPr>
        <w:t>本项目最高限价（承销费率）为：</w:t>
      </w:r>
      <w:r>
        <w:rPr>
          <w:rFonts w:hint="eastAsia" w:ascii="Times New Roman" w:hAnsi="Times New Roman"/>
          <w:b/>
          <w:bCs/>
          <w:color w:val="FF0000"/>
          <w:sz w:val="24"/>
          <w:u w:val="single"/>
          <w:lang w:eastAsia="zh-CN"/>
        </w:rPr>
        <w:t>0.1%</w:t>
      </w:r>
      <w:r>
        <w:rPr>
          <w:rFonts w:ascii="Times New Roman" w:hAnsi="Times New Roman"/>
          <w:b/>
          <w:bCs/>
          <w:color w:val="FF0000"/>
          <w:sz w:val="24"/>
          <w:u w:val="single"/>
        </w:rPr>
        <w:t>/年</w:t>
      </w:r>
    </w:p>
    <w:p w14:paraId="7E67DF8B">
      <w:pPr>
        <w:pStyle w:val="16"/>
        <w:spacing w:after="0" w:line="360" w:lineRule="auto"/>
        <w:ind w:left="0" w:leftChars="0"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w:t>
      </w:r>
      <w:r>
        <w:rPr>
          <w:rFonts w:ascii="Times New Roman" w:hAnsi="Times New Roman"/>
          <w:sz w:val="24"/>
        </w:rPr>
        <w:t>所有有效投标人的报价平均值作为基准价，承销费率报价百分比中采用四舍五入法保留2位小数点，基准价保留3位小数点。</w:t>
      </w:r>
    </w:p>
    <w:p w14:paraId="3A6EB832">
      <w:pPr>
        <w:pStyle w:val="16"/>
        <w:spacing w:after="0" w:line="360" w:lineRule="auto"/>
        <w:ind w:left="0" w:leftChars="0" w:firstLine="480" w:firstLineChars="200"/>
        <w:rPr>
          <w:rFonts w:ascii="Times New Roman" w:hAnsi="Times New Roman"/>
          <w:sz w:val="24"/>
        </w:rPr>
      </w:pPr>
      <w:r>
        <w:rPr>
          <w:rFonts w:ascii="Times New Roman" w:hAnsi="Times New Roman"/>
          <w:sz w:val="24"/>
        </w:rPr>
        <w:t>投标报价按照年承销费进行报价，投标报价等于基准价时，得30分。</w:t>
      </w:r>
    </w:p>
    <w:p w14:paraId="578D6DA5">
      <w:pPr>
        <w:pStyle w:val="16"/>
        <w:spacing w:after="0" w:line="360" w:lineRule="auto"/>
        <w:ind w:left="0" w:leftChars="0" w:firstLine="480" w:firstLineChars="200"/>
        <w:rPr>
          <w:rFonts w:ascii="Times New Roman" w:hAnsi="Times New Roman"/>
          <w:sz w:val="24"/>
        </w:rPr>
      </w:pPr>
      <w:r>
        <w:rPr>
          <w:rFonts w:ascii="Times New Roman" w:hAnsi="Times New Roman"/>
          <w:sz w:val="24"/>
        </w:rPr>
        <w:t>投标报价每低于基准价0.01%（投标价-基准价），扣0.</w:t>
      </w:r>
      <w:r>
        <w:rPr>
          <w:rFonts w:hint="eastAsia" w:ascii="Times New Roman" w:hAnsi="Times New Roman"/>
          <w:sz w:val="24"/>
        </w:rPr>
        <w:t>5</w:t>
      </w:r>
      <w:r>
        <w:rPr>
          <w:rFonts w:ascii="Times New Roman" w:hAnsi="Times New Roman"/>
          <w:sz w:val="24"/>
        </w:rPr>
        <w:t>分。</w:t>
      </w:r>
    </w:p>
    <w:p w14:paraId="3B0C8FB6">
      <w:pPr>
        <w:pStyle w:val="16"/>
        <w:spacing w:after="0" w:line="360" w:lineRule="auto"/>
        <w:ind w:left="0" w:leftChars="0" w:firstLine="480" w:firstLineChars="200"/>
        <w:rPr>
          <w:rFonts w:ascii="Times New Roman" w:hAnsi="Times New Roman"/>
          <w:sz w:val="24"/>
        </w:rPr>
      </w:pPr>
      <w:r>
        <w:rPr>
          <w:rFonts w:ascii="Times New Roman" w:hAnsi="Times New Roman"/>
          <w:sz w:val="24"/>
        </w:rPr>
        <w:t>投标报价每高于基准价0.01%（投标价-基准价），扣0.</w:t>
      </w:r>
      <w:r>
        <w:rPr>
          <w:rFonts w:hint="eastAsia" w:ascii="Times New Roman" w:hAnsi="Times New Roman"/>
          <w:sz w:val="24"/>
        </w:rPr>
        <w:t>5</w:t>
      </w:r>
      <w:r>
        <w:rPr>
          <w:rFonts w:ascii="Times New Roman" w:hAnsi="Times New Roman"/>
          <w:sz w:val="24"/>
        </w:rPr>
        <w:t>分。</w:t>
      </w:r>
    </w:p>
    <w:p w14:paraId="7986F6B1">
      <w:pPr>
        <w:pStyle w:val="16"/>
        <w:spacing w:after="0" w:line="360" w:lineRule="auto"/>
        <w:ind w:left="0" w:leftChars="0" w:firstLine="480" w:firstLineChars="200"/>
        <w:rPr>
          <w:rFonts w:ascii="Times New Roman" w:hAnsi="Times New Roman"/>
          <w:sz w:val="24"/>
        </w:rPr>
      </w:pPr>
      <w:r>
        <w:rPr>
          <w:rFonts w:ascii="Times New Roman" w:hAnsi="Times New Roman"/>
          <w:sz w:val="24"/>
        </w:rPr>
        <w:t>（注：以上差额0.01%均为承销费率的绝对差额，非比值）</w:t>
      </w:r>
    </w:p>
    <w:p w14:paraId="49B2EE18">
      <w:pPr>
        <w:pStyle w:val="16"/>
        <w:spacing w:after="0" w:line="360" w:lineRule="auto"/>
        <w:ind w:left="0" w:leftChars="0"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w:t>
      </w:r>
      <w:r>
        <w:rPr>
          <w:rFonts w:ascii="Times New Roman" w:hAnsi="Times New Roman"/>
          <w:sz w:val="24"/>
        </w:rPr>
        <w:t>报价是中标的一个重要因素，但最低报价不是中标的唯一依据。</w:t>
      </w:r>
    </w:p>
    <w:p w14:paraId="7064EA0E">
      <w:pPr>
        <w:pStyle w:val="16"/>
        <w:spacing w:after="0" w:line="360" w:lineRule="auto"/>
        <w:ind w:left="0" w:leftChars="0" w:firstLine="480" w:firstLineChars="200"/>
        <w:rPr>
          <w:rFonts w:ascii="Times New Roman" w:hAnsi="Times New Roman"/>
          <w:sz w:val="24"/>
        </w:rPr>
      </w:pPr>
      <w:r>
        <w:rPr>
          <w:rFonts w:ascii="Times New Roman" w:hAnsi="Times New Roman"/>
          <w:sz w:val="24"/>
        </w:rPr>
        <w:t>4</w:t>
      </w:r>
      <w:r>
        <w:rPr>
          <w:rFonts w:hint="eastAsia" w:ascii="Times New Roman" w:hAnsi="Times New Roman"/>
          <w:sz w:val="24"/>
        </w:rPr>
        <w:t>.</w:t>
      </w:r>
      <w:r>
        <w:rPr>
          <w:rFonts w:ascii="Times New Roman" w:hAnsi="Times New Roman"/>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并在评审报告中说明。</w:t>
      </w:r>
      <w:r>
        <w:rPr>
          <w:rFonts w:hint="eastAsia" w:ascii="Times New Roman" w:hAnsi="Times New Roman"/>
          <w:sz w:val="24"/>
        </w:rPr>
        <w:t xml:space="preserve">  </w:t>
      </w:r>
    </w:p>
    <w:p w14:paraId="6A740508">
      <w:pPr>
        <w:pStyle w:val="16"/>
        <w:spacing w:after="0" w:line="360" w:lineRule="auto"/>
        <w:ind w:left="0" w:leftChars="0"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（二）商务技术部分的评分标准（70分）</w:t>
      </w:r>
    </w:p>
    <w:tbl>
      <w:tblPr>
        <w:tblStyle w:val="35"/>
        <w:tblW w:w="583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8"/>
        <w:gridCol w:w="1553"/>
        <w:gridCol w:w="6908"/>
        <w:gridCol w:w="1338"/>
      </w:tblGrid>
      <w:tr w14:paraId="6EF3B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8" w:type="dxa"/>
            <w:vAlign w:val="center"/>
          </w:tcPr>
          <w:p w14:paraId="2F36F301">
            <w:pPr>
              <w:adjustRightInd w:val="0"/>
              <w:snapToGrid w:val="0"/>
              <w:jc w:val="center"/>
              <w:rPr>
                <w:rFonts w:ascii="Times New Roman" w:hAnsi="Times New Roman"/>
                <w:b/>
                <w:kern w:val="0"/>
                <w:sz w:val="24"/>
              </w:rPr>
            </w:pPr>
            <w:r>
              <w:rPr>
                <w:rFonts w:ascii="Times New Roman" w:hAnsi="Times New Roman"/>
                <w:b/>
                <w:kern w:val="0"/>
                <w:sz w:val="24"/>
              </w:rPr>
              <w:t>序号</w:t>
            </w:r>
          </w:p>
        </w:tc>
        <w:tc>
          <w:tcPr>
            <w:tcW w:w="1553" w:type="dxa"/>
            <w:vAlign w:val="center"/>
          </w:tcPr>
          <w:p w14:paraId="53415F95">
            <w:pPr>
              <w:adjustRightInd w:val="0"/>
              <w:snapToGrid w:val="0"/>
              <w:jc w:val="center"/>
              <w:rPr>
                <w:rFonts w:ascii="Times New Roman" w:hAnsi="Times New Roman"/>
                <w:b/>
                <w:kern w:val="0"/>
                <w:sz w:val="24"/>
              </w:rPr>
            </w:pPr>
            <w:r>
              <w:rPr>
                <w:rFonts w:ascii="Times New Roman" w:hAnsi="Times New Roman"/>
                <w:b/>
                <w:kern w:val="0"/>
                <w:sz w:val="24"/>
              </w:rPr>
              <w:t>项目</w:t>
            </w:r>
          </w:p>
        </w:tc>
        <w:tc>
          <w:tcPr>
            <w:tcW w:w="6908" w:type="dxa"/>
            <w:vAlign w:val="center"/>
          </w:tcPr>
          <w:p w14:paraId="525347E8">
            <w:pPr>
              <w:adjustRightInd w:val="0"/>
              <w:snapToGrid w:val="0"/>
              <w:jc w:val="center"/>
              <w:rPr>
                <w:rFonts w:ascii="Times New Roman" w:hAnsi="Times New Roman"/>
                <w:b/>
                <w:kern w:val="0"/>
                <w:sz w:val="24"/>
              </w:rPr>
            </w:pPr>
            <w:r>
              <w:rPr>
                <w:rFonts w:ascii="Times New Roman" w:hAnsi="Times New Roman"/>
                <w:b/>
                <w:kern w:val="0"/>
                <w:sz w:val="24"/>
              </w:rPr>
              <w:t>评分标准</w:t>
            </w:r>
          </w:p>
        </w:tc>
        <w:tc>
          <w:tcPr>
            <w:tcW w:w="1338" w:type="dxa"/>
            <w:vAlign w:val="center"/>
          </w:tcPr>
          <w:p w14:paraId="61216794">
            <w:pPr>
              <w:adjustRightInd w:val="0"/>
              <w:snapToGrid w:val="0"/>
              <w:jc w:val="center"/>
              <w:rPr>
                <w:rFonts w:ascii="Times New Roman" w:hAnsi="Times New Roman"/>
                <w:b/>
                <w:kern w:val="0"/>
                <w:sz w:val="24"/>
              </w:rPr>
            </w:pPr>
            <w:r>
              <w:rPr>
                <w:rFonts w:ascii="Times New Roman" w:hAnsi="Times New Roman"/>
                <w:b/>
                <w:kern w:val="0"/>
                <w:sz w:val="24"/>
              </w:rPr>
              <w:t>分值范围</w:t>
            </w:r>
          </w:p>
        </w:tc>
      </w:tr>
      <w:tr w14:paraId="1CB82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8" w:type="dxa"/>
            <w:vAlign w:val="center"/>
          </w:tcPr>
          <w:p w14:paraId="1C2189DC">
            <w:pPr>
              <w:adjustRightInd w:val="0"/>
              <w:snapToGrid w:val="0"/>
              <w:jc w:val="center"/>
              <w:rPr>
                <w:rFonts w:ascii="Times New Roman" w:hAnsi="Times New Roman"/>
                <w:kern w:val="0"/>
                <w:sz w:val="24"/>
              </w:rPr>
            </w:pPr>
            <w:r>
              <w:rPr>
                <w:rFonts w:ascii="Times New Roman" w:hAnsi="Times New Roman"/>
                <w:kern w:val="0"/>
                <w:sz w:val="24"/>
              </w:rPr>
              <w:t>1</w:t>
            </w:r>
          </w:p>
        </w:tc>
        <w:tc>
          <w:tcPr>
            <w:tcW w:w="1553" w:type="dxa"/>
            <w:vAlign w:val="center"/>
          </w:tcPr>
          <w:p w14:paraId="1A26AD4D">
            <w:pPr>
              <w:adjustRightInd w:val="0"/>
              <w:snapToGrid w:val="0"/>
              <w:jc w:val="center"/>
              <w:rPr>
                <w:rFonts w:ascii="Times New Roman" w:hAnsi="Times New Roman"/>
                <w:kern w:val="0"/>
                <w:sz w:val="24"/>
              </w:rPr>
            </w:pPr>
            <w:r>
              <w:rPr>
                <w:rFonts w:ascii="Times New Roman" w:hAnsi="Times New Roman"/>
                <w:kern w:val="0"/>
                <w:sz w:val="24"/>
              </w:rPr>
              <w:t>分类等级（15分）</w:t>
            </w:r>
          </w:p>
        </w:tc>
        <w:tc>
          <w:tcPr>
            <w:tcW w:w="6908" w:type="dxa"/>
            <w:vAlign w:val="center"/>
          </w:tcPr>
          <w:p w14:paraId="08FD2A97">
            <w:pPr>
              <w:widowControl/>
              <w:snapToGrid w:val="0"/>
              <w:rPr>
                <w:rFonts w:ascii="Times New Roman" w:hAnsi="Times New Roman"/>
                <w:kern w:val="0"/>
                <w:sz w:val="24"/>
              </w:rPr>
            </w:pPr>
            <w:r>
              <w:rPr>
                <w:rFonts w:ascii="Times New Roman" w:hAnsi="Times New Roman"/>
                <w:kern w:val="0"/>
                <w:sz w:val="24"/>
              </w:rPr>
              <w:t>根据证监会近三年（2022-2024年度）证券公司分类结果进行评分：</w:t>
            </w:r>
          </w:p>
          <w:p w14:paraId="11AC40AE">
            <w:pPr>
              <w:widowControl/>
              <w:snapToGrid w:val="0"/>
              <w:rPr>
                <w:rFonts w:ascii="Times New Roman" w:hAnsi="Times New Roman"/>
                <w:kern w:val="0"/>
                <w:sz w:val="24"/>
              </w:rPr>
            </w:pPr>
            <w:r>
              <w:rPr>
                <w:rFonts w:ascii="Times New Roman" w:hAnsi="Times New Roman"/>
                <w:kern w:val="0"/>
                <w:sz w:val="24"/>
              </w:rPr>
              <w:t>-分类评级均为A类（A、AA），得15分；</w:t>
            </w:r>
          </w:p>
          <w:p w14:paraId="079D627D">
            <w:pPr>
              <w:widowControl/>
              <w:snapToGrid w:val="0"/>
              <w:rPr>
                <w:rFonts w:ascii="Times New Roman" w:hAnsi="Times New Roman"/>
                <w:kern w:val="0"/>
                <w:sz w:val="24"/>
              </w:rPr>
            </w:pPr>
            <w:r>
              <w:rPr>
                <w:rFonts w:ascii="Times New Roman" w:hAnsi="Times New Roman"/>
                <w:kern w:val="0"/>
                <w:sz w:val="24"/>
              </w:rPr>
              <w:t>-分类评级不全为A类（A、AA），且有2次分类结果为A类（A、AA）的，得10分。</w:t>
            </w:r>
          </w:p>
          <w:p w14:paraId="7BE17B58">
            <w:pPr>
              <w:widowControl/>
              <w:snapToGrid w:val="0"/>
              <w:rPr>
                <w:rFonts w:ascii="Times New Roman" w:hAnsi="Times New Roman"/>
                <w:kern w:val="0"/>
                <w:sz w:val="24"/>
              </w:rPr>
            </w:pPr>
            <w:r>
              <w:rPr>
                <w:rFonts w:ascii="Times New Roman" w:hAnsi="Times New Roman"/>
                <w:kern w:val="0"/>
                <w:sz w:val="24"/>
              </w:rPr>
              <w:t>-分类评级不全为A类（A、AA），且有1次分类结果为A类（A、AA）的，得5分。</w:t>
            </w:r>
          </w:p>
          <w:p w14:paraId="1AB3A4C1">
            <w:pPr>
              <w:widowControl/>
              <w:snapToGrid w:val="0"/>
              <w:rPr>
                <w:rFonts w:ascii="Times New Roman" w:hAnsi="Times New Roman"/>
                <w:kern w:val="0"/>
                <w:sz w:val="24"/>
              </w:rPr>
            </w:pPr>
            <w:r>
              <w:rPr>
                <w:rFonts w:ascii="Times New Roman" w:hAnsi="Times New Roman"/>
                <w:kern w:val="0"/>
                <w:sz w:val="24"/>
              </w:rPr>
              <w:t>-分类评级均为B类（BBB、BB、B）及以下的，得0分。</w:t>
            </w:r>
          </w:p>
          <w:p w14:paraId="6670A03B">
            <w:pPr>
              <w:widowControl/>
              <w:snapToGrid w:val="0"/>
              <w:rPr>
                <w:rFonts w:ascii="Times New Roman" w:hAnsi="Times New Roman"/>
                <w:kern w:val="0"/>
                <w:sz w:val="24"/>
              </w:rPr>
            </w:pPr>
            <w:r>
              <w:rPr>
                <w:rFonts w:ascii="Times New Roman" w:hAnsi="Times New Roman"/>
                <w:b/>
                <w:kern w:val="0"/>
                <w:sz w:val="24"/>
              </w:rPr>
              <w:t>需提供相关证明材料复印件加盖公章，未提供的不得分</w:t>
            </w:r>
          </w:p>
        </w:tc>
        <w:tc>
          <w:tcPr>
            <w:tcW w:w="1338" w:type="dxa"/>
            <w:vAlign w:val="center"/>
          </w:tcPr>
          <w:p w14:paraId="365AEA29">
            <w:pPr>
              <w:adjustRightInd w:val="0"/>
              <w:snapToGrid w:val="0"/>
              <w:jc w:val="center"/>
              <w:rPr>
                <w:rFonts w:ascii="Times New Roman" w:hAnsi="Times New Roman"/>
                <w:kern w:val="0"/>
                <w:sz w:val="24"/>
              </w:rPr>
            </w:pPr>
            <w:r>
              <w:rPr>
                <w:rFonts w:ascii="Times New Roman" w:hAnsi="Times New Roman"/>
                <w:kern w:val="0"/>
                <w:sz w:val="24"/>
              </w:rPr>
              <w:t>15</w:t>
            </w:r>
          </w:p>
        </w:tc>
      </w:tr>
      <w:tr w14:paraId="028FC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778" w:type="dxa"/>
            <w:vMerge w:val="restart"/>
            <w:vAlign w:val="center"/>
          </w:tcPr>
          <w:p w14:paraId="3F54A287">
            <w:pPr>
              <w:adjustRightInd w:val="0"/>
              <w:snapToGrid w:val="0"/>
              <w:jc w:val="center"/>
              <w:rPr>
                <w:rFonts w:ascii="Times New Roman" w:hAnsi="Times New Roman"/>
                <w:kern w:val="0"/>
                <w:sz w:val="24"/>
              </w:rPr>
            </w:pPr>
            <w:r>
              <w:rPr>
                <w:rFonts w:ascii="Times New Roman" w:hAnsi="Times New Roman"/>
                <w:kern w:val="0"/>
                <w:sz w:val="24"/>
              </w:rPr>
              <w:t>2</w:t>
            </w:r>
          </w:p>
        </w:tc>
        <w:tc>
          <w:tcPr>
            <w:tcW w:w="1553" w:type="dxa"/>
            <w:vMerge w:val="restart"/>
            <w:vAlign w:val="center"/>
          </w:tcPr>
          <w:p w14:paraId="5FB58C02">
            <w:pPr>
              <w:adjustRightInd w:val="0"/>
              <w:snapToGrid w:val="0"/>
              <w:jc w:val="center"/>
              <w:rPr>
                <w:rFonts w:ascii="Times New Roman" w:hAnsi="Times New Roman"/>
                <w:kern w:val="0"/>
                <w:sz w:val="24"/>
              </w:rPr>
            </w:pPr>
            <w:r>
              <w:rPr>
                <w:rFonts w:ascii="Times New Roman" w:hAnsi="Times New Roman"/>
                <w:kern w:val="0"/>
                <w:sz w:val="24"/>
              </w:rPr>
              <w:t>债券承销业绩</w:t>
            </w:r>
          </w:p>
          <w:p w14:paraId="29DA0D95">
            <w:pPr>
              <w:adjustRightInd w:val="0"/>
              <w:snapToGrid w:val="0"/>
              <w:jc w:val="center"/>
              <w:rPr>
                <w:rFonts w:ascii="Times New Roman" w:hAnsi="Times New Roman"/>
                <w:kern w:val="0"/>
                <w:sz w:val="24"/>
              </w:rPr>
            </w:pPr>
            <w:r>
              <w:rPr>
                <w:rFonts w:ascii="Times New Roman" w:hAnsi="Times New Roman"/>
                <w:kern w:val="0"/>
                <w:sz w:val="24"/>
              </w:rPr>
              <w:t>（20分）</w:t>
            </w:r>
          </w:p>
        </w:tc>
        <w:tc>
          <w:tcPr>
            <w:tcW w:w="6908" w:type="dxa"/>
            <w:vAlign w:val="center"/>
          </w:tcPr>
          <w:p w14:paraId="7EF17713">
            <w:pPr>
              <w:widowControl/>
              <w:snapToGrid w:val="0"/>
              <w:rPr>
                <w:rFonts w:ascii="Times New Roman" w:hAnsi="Times New Roman"/>
                <w:kern w:val="0"/>
                <w:sz w:val="24"/>
              </w:rPr>
            </w:pPr>
            <w:r>
              <w:rPr>
                <w:rFonts w:ascii="Times New Roman" w:hAnsi="Times New Roman"/>
                <w:kern w:val="0"/>
                <w:sz w:val="24"/>
              </w:rPr>
              <w:t>2022年1月1日至2024年12月31日供应商在全国的交易所私募债的承销规模：总承销金额超过2500亿元（含）得10分；总承销金额超过2000亿元（含）未超过2500亿元（</w:t>
            </w:r>
            <w:r>
              <w:rPr>
                <w:rFonts w:hint="eastAsia" w:ascii="Times New Roman" w:hAnsi="Times New Roman"/>
                <w:kern w:val="0"/>
                <w:sz w:val="24"/>
              </w:rPr>
              <w:t>不</w:t>
            </w:r>
            <w:r>
              <w:rPr>
                <w:rFonts w:ascii="Times New Roman" w:hAnsi="Times New Roman"/>
                <w:kern w:val="0"/>
                <w:sz w:val="24"/>
              </w:rPr>
              <w:t>含）得6分；总承销金额超过1500亿元（含）未超过2000亿元（</w:t>
            </w:r>
            <w:r>
              <w:rPr>
                <w:rFonts w:hint="eastAsia" w:ascii="Times New Roman" w:hAnsi="Times New Roman"/>
                <w:kern w:val="0"/>
                <w:sz w:val="24"/>
              </w:rPr>
              <w:t>不</w:t>
            </w:r>
            <w:r>
              <w:rPr>
                <w:rFonts w:ascii="Times New Roman" w:hAnsi="Times New Roman"/>
                <w:kern w:val="0"/>
                <w:sz w:val="24"/>
              </w:rPr>
              <w:t>含）得2分；总承销金额未超过1500亿元（</w:t>
            </w:r>
            <w:r>
              <w:rPr>
                <w:rFonts w:hint="eastAsia" w:ascii="Times New Roman" w:hAnsi="Times New Roman"/>
                <w:kern w:val="0"/>
                <w:sz w:val="24"/>
              </w:rPr>
              <w:t>不</w:t>
            </w:r>
            <w:r>
              <w:rPr>
                <w:rFonts w:ascii="Times New Roman" w:hAnsi="Times New Roman"/>
                <w:kern w:val="0"/>
                <w:sz w:val="24"/>
              </w:rPr>
              <w:t>含），不得分。</w:t>
            </w:r>
          </w:p>
          <w:p w14:paraId="3F8353BD">
            <w:pPr>
              <w:widowControl/>
              <w:snapToGrid w:val="0"/>
              <w:rPr>
                <w:rFonts w:ascii="Times New Roman" w:hAnsi="Times New Roman"/>
                <w:kern w:val="0"/>
                <w:sz w:val="24"/>
              </w:rPr>
            </w:pPr>
            <w:r>
              <w:rPr>
                <w:rFonts w:ascii="Times New Roman" w:hAnsi="Times New Roman"/>
                <w:kern w:val="0"/>
                <w:sz w:val="24"/>
              </w:rPr>
              <w:t>Wind——债券——专题统计——一级市场——承销统计——债券承销排名（Wind口径）——选择板块：债券分类（Wind）勾选“私募债”，时间区间选择“2022-01-01～2024-12-31”，机构类型选择“证券”，主体口径选择“穿透信用主体”，选择“合并母子公司”，勾选“剔除无实际承销主承”，地域选择“全国”，提取地域承销商排名数据。</w:t>
            </w:r>
          </w:p>
          <w:p w14:paraId="11EA15CB">
            <w:pPr>
              <w:widowControl/>
              <w:snapToGrid w:val="0"/>
              <w:rPr>
                <w:rFonts w:ascii="Times New Roman" w:hAnsi="Times New Roman"/>
                <w:b/>
                <w:bCs/>
                <w:kern w:val="0"/>
                <w:sz w:val="24"/>
              </w:rPr>
            </w:pPr>
            <w:r>
              <w:rPr>
                <w:rFonts w:ascii="Times New Roman" w:hAnsi="Times New Roman"/>
                <w:b/>
                <w:bCs/>
                <w:kern w:val="0"/>
                <w:sz w:val="24"/>
              </w:rPr>
              <w:t>各投标人提供查询截图及Wind筛选明细并盖章确认</w:t>
            </w:r>
          </w:p>
        </w:tc>
        <w:tc>
          <w:tcPr>
            <w:tcW w:w="1338" w:type="dxa"/>
            <w:vAlign w:val="center"/>
          </w:tcPr>
          <w:p w14:paraId="0A537905">
            <w:pPr>
              <w:adjustRightInd w:val="0"/>
              <w:snapToGrid w:val="0"/>
              <w:jc w:val="center"/>
              <w:rPr>
                <w:rFonts w:ascii="Times New Roman" w:hAnsi="Times New Roman"/>
                <w:kern w:val="0"/>
                <w:sz w:val="24"/>
              </w:rPr>
            </w:pPr>
            <w:r>
              <w:rPr>
                <w:rFonts w:ascii="Times New Roman" w:hAnsi="Times New Roman"/>
                <w:kern w:val="0"/>
                <w:sz w:val="24"/>
              </w:rPr>
              <w:t>10</w:t>
            </w:r>
          </w:p>
        </w:tc>
      </w:tr>
      <w:tr w14:paraId="07F2A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778" w:type="dxa"/>
            <w:vMerge w:val="continue"/>
            <w:vAlign w:val="center"/>
          </w:tcPr>
          <w:p w14:paraId="75AE4DC7">
            <w:pPr>
              <w:adjustRightInd w:val="0"/>
              <w:snapToGrid w:val="0"/>
              <w:jc w:val="center"/>
              <w:rPr>
                <w:rFonts w:ascii="Times New Roman" w:hAnsi="Times New Roman"/>
                <w:kern w:val="0"/>
                <w:sz w:val="24"/>
              </w:rPr>
            </w:pPr>
          </w:p>
        </w:tc>
        <w:tc>
          <w:tcPr>
            <w:tcW w:w="1553" w:type="dxa"/>
            <w:vMerge w:val="continue"/>
            <w:vAlign w:val="center"/>
          </w:tcPr>
          <w:p w14:paraId="3E38278B">
            <w:pPr>
              <w:adjustRightInd w:val="0"/>
              <w:snapToGrid w:val="0"/>
              <w:jc w:val="center"/>
              <w:rPr>
                <w:rFonts w:ascii="Times New Roman" w:hAnsi="Times New Roman"/>
                <w:kern w:val="0"/>
                <w:sz w:val="24"/>
              </w:rPr>
            </w:pPr>
          </w:p>
        </w:tc>
        <w:tc>
          <w:tcPr>
            <w:tcW w:w="6908" w:type="dxa"/>
            <w:vAlign w:val="center"/>
          </w:tcPr>
          <w:p w14:paraId="7C93029A">
            <w:pPr>
              <w:widowControl/>
              <w:snapToGrid w:val="0"/>
              <w:rPr>
                <w:rFonts w:ascii="Times New Roman" w:hAnsi="Times New Roman"/>
                <w:kern w:val="0"/>
                <w:sz w:val="24"/>
              </w:rPr>
            </w:pPr>
            <w:r>
              <w:rPr>
                <w:rFonts w:ascii="Times New Roman" w:hAnsi="Times New Roman"/>
                <w:kern w:val="0"/>
                <w:sz w:val="24"/>
              </w:rPr>
              <w:t>2022年1月1日至2024年12月31日供应商在全国的交易所私募债的承销数量：总承销只数超过500只（含）得10分；总承销只数超过400只（含）未超过500只（</w:t>
            </w:r>
            <w:r>
              <w:rPr>
                <w:rFonts w:hint="eastAsia" w:ascii="Times New Roman" w:hAnsi="Times New Roman"/>
                <w:kern w:val="0"/>
                <w:sz w:val="24"/>
              </w:rPr>
              <w:t>不含</w:t>
            </w:r>
            <w:r>
              <w:rPr>
                <w:rFonts w:ascii="Times New Roman" w:hAnsi="Times New Roman"/>
                <w:kern w:val="0"/>
                <w:sz w:val="24"/>
              </w:rPr>
              <w:t>）得6分；总承销只数超过300只（含）未超过400只（</w:t>
            </w:r>
            <w:r>
              <w:rPr>
                <w:rFonts w:hint="eastAsia" w:ascii="Times New Roman" w:hAnsi="Times New Roman"/>
                <w:kern w:val="0"/>
                <w:sz w:val="24"/>
              </w:rPr>
              <w:t>不含</w:t>
            </w:r>
            <w:r>
              <w:rPr>
                <w:rFonts w:ascii="Times New Roman" w:hAnsi="Times New Roman"/>
                <w:kern w:val="0"/>
                <w:sz w:val="24"/>
              </w:rPr>
              <w:t>）得2分；总承销只数未超过300只（</w:t>
            </w:r>
            <w:r>
              <w:rPr>
                <w:rFonts w:hint="eastAsia" w:ascii="Times New Roman" w:hAnsi="Times New Roman"/>
                <w:kern w:val="0"/>
                <w:sz w:val="24"/>
              </w:rPr>
              <w:t>不含</w:t>
            </w:r>
            <w:r>
              <w:rPr>
                <w:rFonts w:ascii="Times New Roman" w:hAnsi="Times New Roman"/>
                <w:kern w:val="0"/>
                <w:sz w:val="24"/>
              </w:rPr>
              <w:t>），不得分。</w:t>
            </w:r>
          </w:p>
          <w:p w14:paraId="2EE9B61E">
            <w:pPr>
              <w:widowControl/>
              <w:snapToGrid w:val="0"/>
              <w:rPr>
                <w:rFonts w:ascii="Times New Roman" w:hAnsi="Times New Roman"/>
                <w:kern w:val="0"/>
                <w:sz w:val="24"/>
              </w:rPr>
            </w:pPr>
            <w:r>
              <w:rPr>
                <w:rFonts w:ascii="Times New Roman" w:hAnsi="Times New Roman"/>
                <w:kern w:val="0"/>
                <w:sz w:val="24"/>
              </w:rPr>
              <w:t>Wind——债券——专题统计——一级市场——承销统计——债券承销排名（Wind口径）——选择板块：债券分类（Wind）勾选“私募债”，时间区间选择“2022-01-01～2024-12-31”，机构类型选择“证券”，主体口径选择“穿透信用主体”，选择“合并母子公司”，勾选“剔除无实际承销主承”，地域选择“全国”，提取地域承销商排名数据。</w:t>
            </w:r>
          </w:p>
          <w:p w14:paraId="545D72FA">
            <w:pPr>
              <w:widowControl/>
              <w:snapToGrid w:val="0"/>
              <w:rPr>
                <w:rFonts w:ascii="Times New Roman" w:hAnsi="Times New Roman"/>
                <w:kern w:val="0"/>
                <w:sz w:val="24"/>
              </w:rPr>
            </w:pPr>
            <w:r>
              <w:rPr>
                <w:rFonts w:ascii="Times New Roman" w:hAnsi="Times New Roman"/>
                <w:b/>
                <w:bCs/>
                <w:kern w:val="0"/>
                <w:sz w:val="24"/>
              </w:rPr>
              <w:t>各投标人提供查询截图及Wind筛选明细并盖章确认</w:t>
            </w:r>
          </w:p>
        </w:tc>
        <w:tc>
          <w:tcPr>
            <w:tcW w:w="1338" w:type="dxa"/>
            <w:vAlign w:val="center"/>
          </w:tcPr>
          <w:p w14:paraId="72948152">
            <w:pPr>
              <w:adjustRightInd w:val="0"/>
              <w:snapToGrid w:val="0"/>
              <w:jc w:val="center"/>
              <w:rPr>
                <w:rFonts w:ascii="Times New Roman" w:hAnsi="Times New Roman"/>
                <w:kern w:val="0"/>
                <w:sz w:val="24"/>
              </w:rPr>
            </w:pPr>
            <w:r>
              <w:rPr>
                <w:rFonts w:ascii="Times New Roman" w:hAnsi="Times New Roman"/>
                <w:kern w:val="0"/>
                <w:sz w:val="24"/>
              </w:rPr>
              <w:t>10</w:t>
            </w:r>
          </w:p>
        </w:tc>
      </w:tr>
      <w:tr w14:paraId="1496F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778" w:type="dxa"/>
            <w:vAlign w:val="center"/>
          </w:tcPr>
          <w:p w14:paraId="0C3A62D9">
            <w:pPr>
              <w:adjustRightInd w:val="0"/>
              <w:snapToGrid w:val="0"/>
              <w:jc w:val="center"/>
              <w:rPr>
                <w:rFonts w:ascii="Times New Roman" w:hAnsi="Times New Roman"/>
                <w:kern w:val="0"/>
                <w:sz w:val="24"/>
              </w:rPr>
            </w:pPr>
            <w:r>
              <w:rPr>
                <w:rFonts w:ascii="Times New Roman" w:hAnsi="Times New Roman"/>
                <w:kern w:val="0"/>
                <w:sz w:val="24"/>
              </w:rPr>
              <w:t>3</w:t>
            </w:r>
          </w:p>
        </w:tc>
        <w:tc>
          <w:tcPr>
            <w:tcW w:w="1553" w:type="dxa"/>
            <w:vAlign w:val="center"/>
          </w:tcPr>
          <w:p w14:paraId="57F47758">
            <w:pPr>
              <w:adjustRightInd w:val="0"/>
              <w:snapToGrid w:val="0"/>
              <w:jc w:val="center"/>
              <w:rPr>
                <w:rFonts w:ascii="Times New Roman" w:hAnsi="Times New Roman"/>
                <w:bCs/>
                <w:kern w:val="0"/>
                <w:sz w:val="24"/>
              </w:rPr>
            </w:pPr>
            <w:r>
              <w:rPr>
                <w:rFonts w:ascii="Times New Roman" w:hAnsi="Times New Roman"/>
                <w:bCs/>
                <w:kern w:val="0"/>
                <w:sz w:val="24"/>
              </w:rPr>
              <w:t>发行利率</w:t>
            </w:r>
          </w:p>
          <w:p w14:paraId="56CA67AA">
            <w:pPr>
              <w:adjustRightInd w:val="0"/>
              <w:snapToGrid w:val="0"/>
              <w:jc w:val="center"/>
              <w:rPr>
                <w:rFonts w:ascii="Times New Roman" w:hAnsi="Times New Roman"/>
              </w:rPr>
            </w:pPr>
            <w:r>
              <w:rPr>
                <w:rFonts w:ascii="Times New Roman" w:hAnsi="Times New Roman"/>
                <w:bCs/>
                <w:kern w:val="0"/>
                <w:sz w:val="24"/>
              </w:rPr>
              <w:t>（5分）</w:t>
            </w:r>
          </w:p>
        </w:tc>
        <w:tc>
          <w:tcPr>
            <w:tcW w:w="6908" w:type="dxa"/>
            <w:vAlign w:val="center"/>
          </w:tcPr>
          <w:p w14:paraId="2DD5C53C">
            <w:pPr>
              <w:widowControl/>
              <w:snapToGrid w:val="0"/>
              <w:rPr>
                <w:rFonts w:ascii="Times New Roman" w:hAnsi="Times New Roman"/>
                <w:kern w:val="0"/>
                <w:sz w:val="24"/>
              </w:rPr>
            </w:pPr>
            <w:r>
              <w:rPr>
                <w:rFonts w:ascii="Times New Roman" w:hAnsi="Times New Roman"/>
                <w:kern w:val="0"/>
                <w:sz w:val="24"/>
              </w:rPr>
              <w:t>投标人作为牵头（或独立）主承销商在2022年1月1日至2024年12月31日承销发行</w:t>
            </w:r>
            <w:r>
              <w:rPr>
                <w:rFonts w:hint="eastAsia" w:ascii="Times New Roman" w:hAnsi="Times New Roman"/>
                <w:kern w:val="0"/>
                <w:sz w:val="24"/>
              </w:rPr>
              <w:t>浙江区域</w:t>
            </w:r>
            <w:r>
              <w:rPr>
                <w:rFonts w:ascii="Times New Roman" w:hAnsi="Times New Roman"/>
                <w:kern w:val="0"/>
                <w:sz w:val="24"/>
              </w:rPr>
              <w:t>主体评级为AA+、期限为5年（不含权）、无担保、无债项评级的非公开发行公司债券的票面利率最低案例，依照该票面利率按照由低到高依次进行排序，票面利率最低者得5分，每下降一个名次扣1分，扣完为止。无案例不得分。</w:t>
            </w:r>
          </w:p>
          <w:p w14:paraId="7C7CE4A1">
            <w:pPr>
              <w:pStyle w:val="33"/>
              <w:ind w:firstLine="0" w:firstLineChars="0"/>
              <w:rPr>
                <w:rFonts w:ascii="Times New Roman" w:hAnsi="Times New Roman"/>
              </w:rPr>
            </w:pPr>
            <w:r>
              <w:rPr>
                <w:rFonts w:ascii="Times New Roman" w:hAnsi="Times New Roman"/>
                <w:b/>
                <w:bCs/>
                <w:kern w:val="0"/>
                <w:sz w:val="24"/>
              </w:rPr>
              <w:t>各投标人提供票面利率案例的wind查询截图（包含债券名称、主承销商信息、票面利率等主要信息）并盖章确认</w:t>
            </w:r>
          </w:p>
        </w:tc>
        <w:tc>
          <w:tcPr>
            <w:tcW w:w="1338" w:type="dxa"/>
            <w:vAlign w:val="center"/>
          </w:tcPr>
          <w:p w14:paraId="283E0F4A">
            <w:pPr>
              <w:adjustRightInd w:val="0"/>
              <w:snapToGrid w:val="0"/>
              <w:jc w:val="center"/>
              <w:rPr>
                <w:rFonts w:ascii="Times New Roman" w:hAnsi="Times New Roman"/>
                <w:kern w:val="0"/>
                <w:sz w:val="24"/>
              </w:rPr>
            </w:pPr>
            <w:r>
              <w:rPr>
                <w:rFonts w:ascii="Times New Roman" w:hAnsi="Times New Roman"/>
                <w:kern w:val="0"/>
                <w:sz w:val="24"/>
              </w:rPr>
              <w:t>5</w:t>
            </w:r>
          </w:p>
        </w:tc>
      </w:tr>
      <w:tr w14:paraId="4BF5B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8" w:type="dxa"/>
            <w:vMerge w:val="restart"/>
            <w:vAlign w:val="center"/>
          </w:tcPr>
          <w:p w14:paraId="098D3416">
            <w:pPr>
              <w:adjustRightInd w:val="0"/>
              <w:snapToGrid w:val="0"/>
              <w:jc w:val="center"/>
              <w:rPr>
                <w:rFonts w:ascii="Times New Roman" w:hAnsi="Times New Roman"/>
                <w:kern w:val="0"/>
                <w:sz w:val="24"/>
              </w:rPr>
            </w:pPr>
            <w:r>
              <w:rPr>
                <w:rFonts w:ascii="Times New Roman" w:hAnsi="Times New Roman"/>
                <w:kern w:val="0"/>
                <w:sz w:val="24"/>
              </w:rPr>
              <w:t>4</w:t>
            </w:r>
          </w:p>
        </w:tc>
        <w:tc>
          <w:tcPr>
            <w:tcW w:w="1553" w:type="dxa"/>
            <w:vAlign w:val="center"/>
          </w:tcPr>
          <w:p w14:paraId="307499AA">
            <w:pPr>
              <w:adjustRightInd w:val="0"/>
              <w:snapToGrid w:val="0"/>
              <w:jc w:val="center"/>
              <w:rPr>
                <w:rFonts w:ascii="Times New Roman" w:hAnsi="Times New Roman"/>
                <w:bCs/>
                <w:kern w:val="0"/>
                <w:sz w:val="24"/>
              </w:rPr>
            </w:pPr>
            <w:r>
              <w:rPr>
                <w:rFonts w:ascii="Times New Roman" w:hAnsi="Times New Roman"/>
                <w:bCs/>
                <w:kern w:val="0"/>
                <w:sz w:val="24"/>
              </w:rPr>
              <w:t>违约情况</w:t>
            </w:r>
          </w:p>
          <w:p w14:paraId="4CBAEB67">
            <w:pPr>
              <w:pStyle w:val="33"/>
              <w:ind w:firstLine="240" w:firstLineChars="100"/>
              <w:rPr>
                <w:rFonts w:ascii="Times New Roman" w:hAnsi="Times New Roman"/>
              </w:rPr>
            </w:pPr>
            <w:r>
              <w:rPr>
                <w:rFonts w:ascii="Times New Roman" w:hAnsi="Times New Roman"/>
                <w:bCs/>
                <w:kern w:val="0"/>
                <w:sz w:val="24"/>
              </w:rPr>
              <w:t>（5分）</w:t>
            </w:r>
          </w:p>
        </w:tc>
        <w:tc>
          <w:tcPr>
            <w:tcW w:w="6908" w:type="dxa"/>
            <w:vAlign w:val="center"/>
          </w:tcPr>
          <w:p w14:paraId="6FE19560">
            <w:pPr>
              <w:widowControl/>
              <w:snapToGrid w:val="0"/>
              <w:rPr>
                <w:rFonts w:ascii="Times New Roman" w:hAnsi="Times New Roman"/>
                <w:bCs/>
                <w:color w:val="000000"/>
                <w:kern w:val="0"/>
                <w:sz w:val="24"/>
              </w:rPr>
            </w:pPr>
            <w:r>
              <w:rPr>
                <w:rFonts w:ascii="Times New Roman" w:hAnsi="Times New Roman"/>
                <w:bCs/>
                <w:color w:val="000000"/>
                <w:kern w:val="0"/>
                <w:sz w:val="24"/>
              </w:rPr>
              <w:t>投标人作为主承销商在</w:t>
            </w:r>
            <w:r>
              <w:rPr>
                <w:rFonts w:ascii="Times New Roman" w:hAnsi="Times New Roman"/>
                <w:kern w:val="0"/>
                <w:sz w:val="24"/>
              </w:rPr>
              <w:t>2022年1月1日至2024年12月31日</w:t>
            </w:r>
            <w:r>
              <w:rPr>
                <w:rFonts w:ascii="Times New Roman" w:hAnsi="Times New Roman"/>
                <w:bCs/>
                <w:color w:val="000000"/>
                <w:kern w:val="0"/>
                <w:sz w:val="24"/>
              </w:rPr>
              <w:t>未按期足额兑付本息的违约债券只数（全品种）。0只得5分。每有1只扣0.5分，扣完为止。（注：母子公司合并计算）</w:t>
            </w:r>
          </w:p>
          <w:p w14:paraId="0F63777F">
            <w:pPr>
              <w:widowControl/>
              <w:snapToGrid w:val="0"/>
              <w:rPr>
                <w:rFonts w:ascii="Times New Roman" w:hAnsi="Times New Roman"/>
                <w:bCs/>
                <w:color w:val="000000"/>
                <w:kern w:val="0"/>
                <w:sz w:val="24"/>
              </w:rPr>
            </w:pPr>
            <w:r>
              <w:rPr>
                <w:rFonts w:ascii="Times New Roman" w:hAnsi="Times New Roman"/>
                <w:bCs/>
                <w:color w:val="000000"/>
                <w:kern w:val="0"/>
                <w:sz w:val="24"/>
              </w:rPr>
              <w:t>（查询路径：Wind——债券——专题统计——信用债研究——债券违约——违约债券报表，</w:t>
            </w:r>
            <w:r>
              <w:rPr>
                <w:rFonts w:ascii="Times New Roman" w:hAnsi="Times New Roman"/>
                <w:kern w:val="0"/>
                <w:sz w:val="24"/>
              </w:rPr>
              <w:t>时间区间选择“2022-01-01～2024-12-31”</w:t>
            </w:r>
            <w:r>
              <w:rPr>
                <w:rFonts w:ascii="Times New Roman" w:hAnsi="Times New Roman"/>
                <w:bCs/>
                <w:color w:val="000000"/>
                <w:kern w:val="0"/>
                <w:sz w:val="24"/>
              </w:rPr>
              <w:t>，事件类型选择“未按时兑付本息”，提取数据，“主承销商”列筛选对应供应商名称，按照筛选结果的显示条数计数。</w:t>
            </w:r>
          </w:p>
          <w:p w14:paraId="02F77A32">
            <w:pPr>
              <w:widowControl/>
              <w:snapToGrid w:val="0"/>
              <w:rPr>
                <w:rFonts w:ascii="Times New Roman" w:hAnsi="Times New Roman"/>
                <w:bCs/>
                <w:color w:val="000000"/>
                <w:kern w:val="0"/>
                <w:sz w:val="24"/>
              </w:rPr>
            </w:pPr>
            <w:r>
              <w:rPr>
                <w:rFonts w:ascii="Times New Roman" w:hAnsi="Times New Roman"/>
                <w:b/>
                <w:color w:val="000000"/>
                <w:kern w:val="0"/>
                <w:sz w:val="24"/>
              </w:rPr>
              <w:t>各投标人提供Wind筛选截图并盖章确认。</w:t>
            </w:r>
          </w:p>
        </w:tc>
        <w:tc>
          <w:tcPr>
            <w:tcW w:w="1338" w:type="dxa"/>
            <w:vMerge w:val="restart"/>
            <w:vAlign w:val="center"/>
          </w:tcPr>
          <w:p w14:paraId="7889CF41">
            <w:pPr>
              <w:adjustRightInd w:val="0"/>
              <w:snapToGrid w:val="0"/>
              <w:jc w:val="center"/>
              <w:rPr>
                <w:rFonts w:ascii="Times New Roman" w:hAnsi="Times New Roman"/>
                <w:kern w:val="0"/>
                <w:sz w:val="24"/>
              </w:rPr>
            </w:pPr>
            <w:r>
              <w:rPr>
                <w:rFonts w:ascii="Times New Roman" w:hAnsi="Times New Roman"/>
                <w:kern w:val="0"/>
                <w:sz w:val="24"/>
              </w:rPr>
              <w:t>15</w:t>
            </w:r>
          </w:p>
        </w:tc>
      </w:tr>
      <w:tr w14:paraId="0D833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8" w:type="dxa"/>
            <w:vMerge w:val="continue"/>
            <w:vAlign w:val="center"/>
          </w:tcPr>
          <w:p w14:paraId="787911A4">
            <w:pPr>
              <w:adjustRightInd w:val="0"/>
              <w:snapToGrid w:val="0"/>
              <w:jc w:val="center"/>
              <w:rPr>
                <w:rFonts w:ascii="Times New Roman" w:hAnsi="Times New Roman"/>
                <w:kern w:val="0"/>
                <w:sz w:val="24"/>
              </w:rPr>
            </w:pPr>
          </w:p>
        </w:tc>
        <w:tc>
          <w:tcPr>
            <w:tcW w:w="1553" w:type="dxa"/>
            <w:vAlign w:val="center"/>
          </w:tcPr>
          <w:p w14:paraId="33A8AF33">
            <w:pPr>
              <w:adjustRightInd w:val="0"/>
              <w:snapToGrid w:val="0"/>
              <w:jc w:val="center"/>
              <w:rPr>
                <w:rFonts w:ascii="Times New Roman" w:hAnsi="Times New Roman"/>
                <w:bCs/>
                <w:kern w:val="0"/>
                <w:sz w:val="24"/>
              </w:rPr>
            </w:pPr>
            <w:r>
              <w:rPr>
                <w:rFonts w:ascii="Times New Roman" w:hAnsi="Times New Roman"/>
                <w:bCs/>
                <w:kern w:val="0"/>
                <w:sz w:val="24"/>
              </w:rPr>
              <w:t>推迟或取消发行情况（10分）</w:t>
            </w:r>
          </w:p>
        </w:tc>
        <w:tc>
          <w:tcPr>
            <w:tcW w:w="6908" w:type="dxa"/>
            <w:vAlign w:val="center"/>
          </w:tcPr>
          <w:p w14:paraId="66D45C29">
            <w:pPr>
              <w:widowControl/>
              <w:snapToGrid w:val="0"/>
              <w:rPr>
                <w:rFonts w:ascii="Times New Roman" w:hAnsi="Times New Roman"/>
                <w:bCs/>
                <w:color w:val="000000"/>
                <w:kern w:val="0"/>
                <w:sz w:val="24"/>
              </w:rPr>
            </w:pPr>
            <w:r>
              <w:rPr>
                <w:rFonts w:ascii="Times New Roman" w:hAnsi="Times New Roman"/>
                <w:bCs/>
                <w:color w:val="000000"/>
                <w:kern w:val="0"/>
                <w:sz w:val="24"/>
              </w:rPr>
              <w:t>投标人作为主承销商在近三年（2022年1月1日-2024年12月31日）全国范围内推迟或取消发行的债券只数（全品种），取消或推迟发行只数为1-5只的得满分，取消或推迟发行只数为6-10只的得5分，取消或推迟发行只数为11只及以上的，得0分。（注：母子公司合并计算）</w:t>
            </w:r>
          </w:p>
          <w:p w14:paraId="10754E9A">
            <w:pPr>
              <w:widowControl/>
              <w:snapToGrid w:val="0"/>
              <w:rPr>
                <w:rFonts w:ascii="Times New Roman" w:hAnsi="Times New Roman"/>
                <w:bCs/>
                <w:color w:val="000000"/>
                <w:kern w:val="0"/>
                <w:sz w:val="24"/>
              </w:rPr>
            </w:pPr>
            <w:r>
              <w:rPr>
                <w:rFonts w:ascii="Times New Roman" w:hAnsi="Times New Roman"/>
                <w:bCs/>
                <w:color w:val="000000"/>
                <w:kern w:val="0"/>
                <w:sz w:val="24"/>
              </w:rPr>
              <w:t>（查询路径：Wind——债券——专题统计——一级市场——新券发行——推迟或取消发行债券，发行起始日期选择“2022-01-01”，截止日期选择“2024-12-31”，债券类型选择“债券分类（Wind）——全部”，上市地点选择“全部市场”，事件类型选择“全部”，提取数据。再使用数据筛选功能，“主承销商”列筛选对应投标人名称。）</w:t>
            </w:r>
          </w:p>
          <w:p w14:paraId="7C74D386">
            <w:pPr>
              <w:widowControl/>
              <w:snapToGrid w:val="0"/>
              <w:rPr>
                <w:rFonts w:ascii="Times New Roman" w:hAnsi="Times New Roman"/>
                <w:bCs/>
                <w:color w:val="000000"/>
                <w:kern w:val="0"/>
                <w:sz w:val="24"/>
              </w:rPr>
            </w:pPr>
            <w:r>
              <w:rPr>
                <w:rFonts w:ascii="Times New Roman" w:hAnsi="Times New Roman"/>
                <w:b/>
                <w:color w:val="000000"/>
                <w:kern w:val="0"/>
                <w:sz w:val="24"/>
              </w:rPr>
              <w:t>各投标人提供Wind筛选截图并盖章确认。</w:t>
            </w:r>
          </w:p>
        </w:tc>
        <w:tc>
          <w:tcPr>
            <w:tcW w:w="1338" w:type="dxa"/>
            <w:vMerge w:val="continue"/>
            <w:vAlign w:val="center"/>
          </w:tcPr>
          <w:p w14:paraId="315A7539">
            <w:pPr>
              <w:adjustRightInd w:val="0"/>
              <w:snapToGrid w:val="0"/>
              <w:jc w:val="center"/>
              <w:rPr>
                <w:rFonts w:ascii="Times New Roman" w:hAnsi="Times New Roman"/>
                <w:kern w:val="0"/>
                <w:sz w:val="24"/>
              </w:rPr>
            </w:pPr>
          </w:p>
        </w:tc>
      </w:tr>
      <w:tr w14:paraId="64359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8" w:type="dxa"/>
            <w:vMerge w:val="restart"/>
            <w:vAlign w:val="center"/>
          </w:tcPr>
          <w:p w14:paraId="5A88C144">
            <w:pPr>
              <w:adjustRightInd w:val="0"/>
              <w:snapToGrid w:val="0"/>
              <w:jc w:val="center"/>
              <w:rPr>
                <w:rFonts w:ascii="Times New Roman" w:hAnsi="Times New Roman"/>
                <w:kern w:val="0"/>
                <w:sz w:val="24"/>
              </w:rPr>
            </w:pPr>
            <w:r>
              <w:rPr>
                <w:rFonts w:ascii="Times New Roman" w:hAnsi="Times New Roman"/>
                <w:kern w:val="0"/>
                <w:sz w:val="24"/>
              </w:rPr>
              <w:t>5</w:t>
            </w:r>
          </w:p>
        </w:tc>
        <w:tc>
          <w:tcPr>
            <w:tcW w:w="1553" w:type="dxa"/>
            <w:vAlign w:val="center"/>
          </w:tcPr>
          <w:p w14:paraId="22D867D6">
            <w:pPr>
              <w:adjustRightInd w:val="0"/>
              <w:snapToGrid w:val="0"/>
              <w:jc w:val="center"/>
              <w:rPr>
                <w:rFonts w:ascii="Times New Roman" w:hAnsi="Times New Roman"/>
                <w:bCs/>
                <w:kern w:val="0"/>
                <w:sz w:val="24"/>
              </w:rPr>
            </w:pPr>
            <w:r>
              <w:rPr>
                <w:rFonts w:ascii="Times New Roman" w:hAnsi="Times New Roman"/>
                <w:bCs/>
                <w:kern w:val="0"/>
                <w:sz w:val="24"/>
              </w:rPr>
              <w:t>项目负责人</w:t>
            </w:r>
          </w:p>
          <w:p w14:paraId="00447A63">
            <w:pPr>
              <w:adjustRightInd w:val="0"/>
              <w:snapToGrid w:val="0"/>
              <w:jc w:val="center"/>
              <w:rPr>
                <w:rFonts w:ascii="Times New Roman" w:hAnsi="Times New Roman"/>
                <w:sz w:val="24"/>
              </w:rPr>
            </w:pPr>
            <w:r>
              <w:rPr>
                <w:rFonts w:ascii="Times New Roman" w:hAnsi="Times New Roman"/>
                <w:bCs/>
                <w:kern w:val="0"/>
                <w:sz w:val="24"/>
              </w:rPr>
              <w:t>（5分）</w:t>
            </w:r>
          </w:p>
        </w:tc>
        <w:tc>
          <w:tcPr>
            <w:tcW w:w="6908" w:type="dxa"/>
            <w:vAlign w:val="center"/>
          </w:tcPr>
          <w:p w14:paraId="1BABFF97">
            <w:pPr>
              <w:widowControl/>
              <w:snapToGrid w:val="0"/>
              <w:rPr>
                <w:rFonts w:ascii="Times New Roman" w:hAnsi="Times New Roman"/>
                <w:bCs/>
                <w:color w:val="000000"/>
                <w:kern w:val="0"/>
                <w:sz w:val="24"/>
              </w:rPr>
            </w:pPr>
            <w:r>
              <w:rPr>
                <w:rFonts w:ascii="Times New Roman" w:hAnsi="Times New Roman"/>
                <w:bCs/>
                <w:color w:val="000000"/>
                <w:kern w:val="0"/>
                <w:sz w:val="24"/>
              </w:rPr>
              <w:t>拟派本项目的项目负责人从业经验满6年且担任过公司债券项目负责人的得</w:t>
            </w:r>
            <w:r>
              <w:rPr>
                <w:rFonts w:hint="eastAsia" w:ascii="Times New Roman" w:hAnsi="Times New Roman"/>
                <w:bCs/>
                <w:color w:val="000000"/>
                <w:kern w:val="0"/>
                <w:sz w:val="24"/>
                <w:lang w:val="en-US" w:eastAsia="zh-CN"/>
              </w:rPr>
              <w:t>5</w:t>
            </w:r>
            <w:r>
              <w:rPr>
                <w:rFonts w:ascii="Times New Roman" w:hAnsi="Times New Roman"/>
                <w:bCs/>
                <w:color w:val="000000"/>
                <w:kern w:val="0"/>
                <w:sz w:val="24"/>
              </w:rPr>
              <w:t>分，从业经验不足6年或未担任过公司债券项目负责人的不得分。</w:t>
            </w:r>
          </w:p>
          <w:p w14:paraId="18E91ED8">
            <w:pPr>
              <w:widowControl/>
              <w:snapToGrid w:val="0"/>
              <w:rPr>
                <w:rFonts w:ascii="Times New Roman" w:hAnsi="Times New Roman"/>
                <w:b/>
                <w:color w:val="000000"/>
                <w:kern w:val="0"/>
                <w:sz w:val="24"/>
              </w:rPr>
            </w:pPr>
            <w:r>
              <w:rPr>
                <w:rFonts w:ascii="Times New Roman" w:hAnsi="Times New Roman"/>
                <w:b/>
                <w:color w:val="000000"/>
                <w:kern w:val="0"/>
                <w:sz w:val="24"/>
              </w:rPr>
              <w:t>从业经验需提供中国证券业协会网站从业人员信息公示截图，公司债券签字项目经验需提供募集说明书签章页复印件（加盖公章）</w:t>
            </w:r>
          </w:p>
        </w:tc>
        <w:tc>
          <w:tcPr>
            <w:tcW w:w="1338" w:type="dxa"/>
            <w:vAlign w:val="center"/>
          </w:tcPr>
          <w:p w14:paraId="2547364A">
            <w:pPr>
              <w:adjustRightInd w:val="0"/>
              <w:snapToGrid w:val="0"/>
              <w:jc w:val="center"/>
              <w:rPr>
                <w:rFonts w:ascii="Times New Roman" w:hAnsi="Times New Roman"/>
                <w:kern w:val="0"/>
                <w:sz w:val="24"/>
              </w:rPr>
            </w:pPr>
            <w:r>
              <w:rPr>
                <w:rFonts w:ascii="Times New Roman" w:hAnsi="Times New Roman"/>
                <w:kern w:val="0"/>
                <w:sz w:val="24"/>
              </w:rPr>
              <w:t>5</w:t>
            </w:r>
          </w:p>
        </w:tc>
      </w:tr>
      <w:tr w14:paraId="5E299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8" w:type="dxa"/>
            <w:vMerge w:val="continue"/>
            <w:vAlign w:val="center"/>
          </w:tcPr>
          <w:p w14:paraId="01A65AB8">
            <w:pPr>
              <w:adjustRightInd w:val="0"/>
              <w:snapToGrid w:val="0"/>
              <w:jc w:val="center"/>
              <w:rPr>
                <w:rFonts w:ascii="Times New Roman" w:hAnsi="Times New Roman"/>
                <w:kern w:val="0"/>
                <w:sz w:val="24"/>
              </w:rPr>
            </w:pPr>
          </w:p>
        </w:tc>
        <w:tc>
          <w:tcPr>
            <w:tcW w:w="1553" w:type="dxa"/>
            <w:vAlign w:val="center"/>
          </w:tcPr>
          <w:p w14:paraId="304F3CD5">
            <w:pPr>
              <w:adjustRightInd w:val="0"/>
              <w:snapToGrid w:val="0"/>
              <w:jc w:val="center"/>
              <w:rPr>
                <w:rFonts w:ascii="Times New Roman" w:hAnsi="Times New Roman"/>
                <w:bCs/>
                <w:kern w:val="0"/>
                <w:sz w:val="24"/>
              </w:rPr>
            </w:pPr>
            <w:r>
              <w:rPr>
                <w:rFonts w:ascii="Times New Roman" w:hAnsi="Times New Roman"/>
                <w:bCs/>
                <w:kern w:val="0"/>
                <w:sz w:val="24"/>
              </w:rPr>
              <w:t>拟派团队人员配置</w:t>
            </w:r>
          </w:p>
          <w:p w14:paraId="0C2E0C89">
            <w:pPr>
              <w:adjustRightInd w:val="0"/>
              <w:snapToGrid w:val="0"/>
              <w:jc w:val="center"/>
              <w:rPr>
                <w:rFonts w:ascii="Times New Roman" w:hAnsi="Times New Roman"/>
                <w:bCs/>
                <w:kern w:val="0"/>
                <w:sz w:val="24"/>
              </w:rPr>
            </w:pPr>
            <w:r>
              <w:rPr>
                <w:rFonts w:ascii="Times New Roman" w:hAnsi="Times New Roman"/>
                <w:bCs/>
                <w:kern w:val="0"/>
                <w:sz w:val="24"/>
              </w:rPr>
              <w:t>（5分）</w:t>
            </w:r>
          </w:p>
        </w:tc>
        <w:tc>
          <w:tcPr>
            <w:tcW w:w="6908" w:type="dxa"/>
            <w:vAlign w:val="center"/>
          </w:tcPr>
          <w:p w14:paraId="37EED65F">
            <w:pPr>
              <w:widowControl/>
              <w:snapToGrid w:val="0"/>
              <w:rPr>
                <w:rFonts w:ascii="Times New Roman" w:hAnsi="Times New Roman"/>
                <w:bCs/>
                <w:color w:val="000000"/>
                <w:kern w:val="0"/>
                <w:sz w:val="24"/>
              </w:rPr>
            </w:pPr>
            <w:r>
              <w:rPr>
                <w:rFonts w:ascii="Times New Roman" w:hAnsi="Times New Roman"/>
                <w:bCs/>
                <w:color w:val="000000"/>
                <w:kern w:val="0"/>
                <w:sz w:val="24"/>
              </w:rPr>
              <w:t>拟派专业服务团队人员配置及情况（包括岗位的设置合理、职责经验丰富、以往公司债业绩等）。</w:t>
            </w:r>
          </w:p>
          <w:p w14:paraId="6D3191A1">
            <w:pPr>
              <w:widowControl/>
              <w:snapToGrid w:val="0"/>
              <w:rPr>
                <w:rFonts w:ascii="Times New Roman" w:hAnsi="Times New Roman"/>
                <w:bCs/>
                <w:color w:val="000000"/>
                <w:kern w:val="0"/>
                <w:sz w:val="24"/>
              </w:rPr>
            </w:pPr>
            <w:r>
              <w:rPr>
                <w:rFonts w:ascii="Times New Roman" w:hAnsi="Times New Roman"/>
                <w:bCs/>
                <w:color w:val="000000"/>
                <w:kern w:val="0"/>
                <w:sz w:val="24"/>
              </w:rPr>
              <w:t>1.优秀，计4-5分；</w:t>
            </w:r>
          </w:p>
          <w:p w14:paraId="14038BA6">
            <w:pPr>
              <w:widowControl/>
              <w:snapToGrid w:val="0"/>
              <w:rPr>
                <w:rFonts w:ascii="Times New Roman" w:hAnsi="Times New Roman"/>
                <w:bCs/>
                <w:color w:val="000000"/>
                <w:kern w:val="0"/>
                <w:sz w:val="24"/>
              </w:rPr>
            </w:pPr>
            <w:r>
              <w:rPr>
                <w:rFonts w:ascii="Times New Roman" w:hAnsi="Times New Roman"/>
                <w:bCs/>
                <w:color w:val="000000"/>
                <w:kern w:val="0"/>
                <w:sz w:val="24"/>
              </w:rPr>
              <w:t>2.较好，计2-3分；</w:t>
            </w:r>
          </w:p>
          <w:p w14:paraId="5C3A110F">
            <w:pPr>
              <w:widowControl/>
              <w:snapToGrid w:val="0"/>
              <w:rPr>
                <w:rFonts w:ascii="Times New Roman" w:hAnsi="Times New Roman"/>
                <w:bCs/>
                <w:color w:val="000000"/>
                <w:kern w:val="0"/>
                <w:sz w:val="24"/>
              </w:rPr>
            </w:pPr>
            <w:r>
              <w:rPr>
                <w:rFonts w:ascii="Times New Roman" w:hAnsi="Times New Roman"/>
                <w:bCs/>
                <w:color w:val="000000"/>
                <w:kern w:val="0"/>
                <w:sz w:val="24"/>
              </w:rPr>
              <w:t>3.一般，计0-1分。</w:t>
            </w:r>
          </w:p>
        </w:tc>
        <w:tc>
          <w:tcPr>
            <w:tcW w:w="1338" w:type="dxa"/>
            <w:vAlign w:val="center"/>
          </w:tcPr>
          <w:p w14:paraId="6B5CA324">
            <w:pPr>
              <w:adjustRightInd w:val="0"/>
              <w:snapToGrid w:val="0"/>
              <w:jc w:val="center"/>
              <w:rPr>
                <w:rFonts w:ascii="Times New Roman" w:hAnsi="Times New Roman"/>
                <w:kern w:val="0"/>
                <w:sz w:val="24"/>
              </w:rPr>
            </w:pPr>
            <w:r>
              <w:rPr>
                <w:rFonts w:ascii="Times New Roman" w:hAnsi="Times New Roman"/>
                <w:kern w:val="0"/>
                <w:sz w:val="24"/>
              </w:rPr>
              <w:t>5</w:t>
            </w:r>
          </w:p>
        </w:tc>
      </w:tr>
      <w:tr w14:paraId="4CF10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8" w:type="dxa"/>
            <w:vAlign w:val="center"/>
          </w:tcPr>
          <w:p w14:paraId="3BA32348">
            <w:pPr>
              <w:adjustRightInd w:val="0"/>
              <w:snapToGrid w:val="0"/>
              <w:jc w:val="center"/>
              <w:rPr>
                <w:rFonts w:ascii="Times New Roman" w:hAnsi="Times New Roman"/>
                <w:kern w:val="0"/>
                <w:sz w:val="24"/>
              </w:rPr>
            </w:pPr>
            <w:r>
              <w:rPr>
                <w:rFonts w:ascii="Times New Roman" w:hAnsi="Times New Roman"/>
                <w:kern w:val="0"/>
                <w:sz w:val="24"/>
              </w:rPr>
              <w:t>6</w:t>
            </w:r>
          </w:p>
        </w:tc>
        <w:tc>
          <w:tcPr>
            <w:tcW w:w="1553" w:type="dxa"/>
            <w:vAlign w:val="center"/>
          </w:tcPr>
          <w:p w14:paraId="13FDE797">
            <w:pPr>
              <w:adjustRightInd w:val="0"/>
              <w:snapToGrid w:val="0"/>
              <w:jc w:val="center"/>
              <w:rPr>
                <w:rFonts w:ascii="Times New Roman" w:hAnsi="Times New Roman"/>
                <w:kern w:val="0"/>
                <w:sz w:val="24"/>
              </w:rPr>
            </w:pPr>
            <w:r>
              <w:rPr>
                <w:rFonts w:ascii="Times New Roman" w:hAnsi="Times New Roman"/>
                <w:kern w:val="0"/>
                <w:sz w:val="24"/>
              </w:rPr>
              <w:t>发行实施方案设计及建议（5分）</w:t>
            </w:r>
          </w:p>
        </w:tc>
        <w:tc>
          <w:tcPr>
            <w:tcW w:w="6908" w:type="dxa"/>
            <w:vAlign w:val="center"/>
          </w:tcPr>
          <w:p w14:paraId="779A200C">
            <w:pPr>
              <w:widowControl/>
              <w:snapToGrid w:val="0"/>
              <w:rPr>
                <w:rFonts w:ascii="Times New Roman" w:hAnsi="Times New Roman"/>
                <w:kern w:val="0"/>
                <w:sz w:val="24"/>
              </w:rPr>
            </w:pPr>
            <w:r>
              <w:rPr>
                <w:rFonts w:ascii="Times New Roman" w:hAnsi="Times New Roman"/>
                <w:kern w:val="0"/>
                <w:sz w:val="24"/>
              </w:rPr>
              <w:t>应包括但不限于从进场、申报、完成注册、后续发行安排、发行结构方案设计、与中介机构的协作等整个流程和时间节点的安排，以及债券销售渠道安排。</w:t>
            </w:r>
          </w:p>
          <w:p w14:paraId="391BC0F0">
            <w:pPr>
              <w:widowControl/>
              <w:snapToGrid w:val="0"/>
              <w:rPr>
                <w:rFonts w:ascii="Times New Roman" w:hAnsi="Times New Roman"/>
                <w:kern w:val="0"/>
                <w:sz w:val="24"/>
              </w:rPr>
            </w:pPr>
            <w:r>
              <w:rPr>
                <w:rFonts w:ascii="Times New Roman" w:hAnsi="Times New Roman"/>
                <w:kern w:val="0"/>
                <w:sz w:val="24"/>
              </w:rPr>
              <w:t>1.方案、措施可行性强，计4-5分；</w:t>
            </w:r>
          </w:p>
          <w:p w14:paraId="5FFA2DA2">
            <w:pPr>
              <w:widowControl/>
              <w:snapToGrid w:val="0"/>
              <w:rPr>
                <w:rFonts w:ascii="Times New Roman" w:hAnsi="Times New Roman"/>
                <w:kern w:val="0"/>
                <w:sz w:val="24"/>
              </w:rPr>
            </w:pPr>
            <w:r>
              <w:rPr>
                <w:rFonts w:ascii="Times New Roman" w:hAnsi="Times New Roman"/>
                <w:kern w:val="0"/>
                <w:sz w:val="24"/>
              </w:rPr>
              <w:t>2.方案、措施可行性较强，计2-3分；</w:t>
            </w:r>
          </w:p>
          <w:p w14:paraId="38C252DA">
            <w:pPr>
              <w:widowControl/>
              <w:snapToGrid w:val="0"/>
              <w:rPr>
                <w:rFonts w:ascii="Times New Roman" w:hAnsi="Times New Roman"/>
                <w:kern w:val="0"/>
                <w:sz w:val="24"/>
              </w:rPr>
            </w:pPr>
            <w:r>
              <w:rPr>
                <w:rFonts w:ascii="Times New Roman" w:hAnsi="Times New Roman"/>
                <w:kern w:val="0"/>
                <w:sz w:val="24"/>
              </w:rPr>
              <w:t>3.方案、措施可行性一般，计0-1分。</w:t>
            </w:r>
          </w:p>
        </w:tc>
        <w:tc>
          <w:tcPr>
            <w:tcW w:w="1338" w:type="dxa"/>
            <w:vAlign w:val="center"/>
          </w:tcPr>
          <w:p w14:paraId="52D7231C">
            <w:pPr>
              <w:adjustRightInd w:val="0"/>
              <w:snapToGrid w:val="0"/>
              <w:jc w:val="center"/>
              <w:rPr>
                <w:rFonts w:ascii="Times New Roman" w:hAnsi="Times New Roman"/>
                <w:kern w:val="0"/>
                <w:sz w:val="24"/>
              </w:rPr>
            </w:pPr>
            <w:r>
              <w:rPr>
                <w:rFonts w:ascii="Times New Roman" w:hAnsi="Times New Roman"/>
                <w:kern w:val="0"/>
                <w:sz w:val="24"/>
              </w:rPr>
              <w:t>5</w:t>
            </w:r>
          </w:p>
        </w:tc>
      </w:tr>
    </w:tbl>
    <w:p w14:paraId="17BBDFE1">
      <w:pPr>
        <w:spacing w:after="120" w:afterLines="50" w:line="240" w:lineRule="auto"/>
        <w:ind w:firstLine="482" w:firstLineChars="200"/>
        <w:rPr>
          <w:rFonts w:hint="eastAsia" w:eastAsia="宋体" w:asciiTheme="minorEastAsia" w:hAnsiTheme="minorEastAsia"/>
          <w:b/>
          <w:bCs/>
          <w:color w:val="000000"/>
          <w:sz w:val="24"/>
          <w:lang w:eastAsia="zh-CN"/>
        </w:rPr>
      </w:pPr>
      <w:r>
        <w:rPr>
          <w:rFonts w:hint="eastAsia" w:asciiTheme="minorEastAsia" w:hAnsiTheme="minorEastAsia" w:eastAsiaTheme="minorEastAsia"/>
          <w:b/>
          <w:bCs/>
          <w:color w:val="FF0000"/>
          <w:sz w:val="24"/>
        </w:rPr>
        <w:t>注：</w:t>
      </w:r>
      <w:r>
        <w:rPr>
          <w:rFonts w:hint="eastAsia" w:ascii="宋体" w:hAnsi="宋体"/>
          <w:b/>
          <w:bCs/>
          <w:color w:val="FF0000"/>
          <w:sz w:val="24"/>
        </w:rPr>
        <w:t>组成联合体的投标人，按照联合体牵头方得分来计算商务技术标得分，联合体参与方不计入评分</w:t>
      </w:r>
      <w:r>
        <w:rPr>
          <w:rFonts w:hint="eastAsia" w:ascii="宋体" w:hAnsi="宋体"/>
          <w:b/>
          <w:bCs/>
          <w:color w:val="FF0000"/>
          <w:sz w:val="24"/>
          <w:lang w:eastAsia="zh-CN"/>
        </w:rPr>
        <w:t>。</w:t>
      </w:r>
    </w:p>
    <w:p w14:paraId="37D7DEAB">
      <w:pPr>
        <w:spacing w:after="120" w:afterLines="50" w:line="240" w:lineRule="auto"/>
        <w:ind w:firstLine="482" w:firstLineChars="200"/>
        <w:rPr>
          <w:rFonts w:hint="eastAsia" w:asciiTheme="minorEastAsia" w:hAnsiTheme="minorEastAsia" w:eastAsiaTheme="minorEastAsia"/>
          <w:b/>
          <w:bCs/>
          <w:color w:val="000000"/>
          <w:sz w:val="24"/>
        </w:rPr>
      </w:pPr>
      <w:r>
        <w:rPr>
          <w:rFonts w:asciiTheme="minorEastAsia" w:hAnsiTheme="minorEastAsia" w:eastAsiaTheme="minorEastAsia"/>
          <w:b/>
          <w:bCs/>
          <w:color w:val="000000"/>
          <w:sz w:val="24"/>
        </w:rPr>
        <w:t>（</w:t>
      </w:r>
      <w:r>
        <w:rPr>
          <w:rFonts w:hint="eastAsia" w:asciiTheme="minorEastAsia" w:hAnsiTheme="minorEastAsia" w:eastAsiaTheme="minorEastAsia"/>
          <w:b/>
          <w:bCs/>
          <w:color w:val="000000"/>
          <w:sz w:val="24"/>
        </w:rPr>
        <w:t>三</w:t>
      </w:r>
      <w:r>
        <w:rPr>
          <w:rFonts w:asciiTheme="minorEastAsia" w:hAnsiTheme="minorEastAsia" w:eastAsiaTheme="minorEastAsia"/>
          <w:b/>
          <w:bCs/>
          <w:color w:val="000000"/>
          <w:sz w:val="24"/>
        </w:rPr>
        <w:t>）商务技术分的计算</w:t>
      </w:r>
    </w:p>
    <w:p w14:paraId="6F86188A">
      <w:pPr>
        <w:spacing w:after="12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商务技术分按照评标委员会成员的独立评分结果汇总数,以算术平均分计算，计算公式为：</w:t>
      </w:r>
    </w:p>
    <w:p w14:paraId="06685ED9">
      <w:pPr>
        <w:spacing w:after="12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商务技术分=（评标委员会所有成员评分合计数）/（评标委员会组成人员数）</w:t>
      </w:r>
    </w:p>
    <w:p w14:paraId="57CA418C">
      <w:pPr>
        <w:pStyle w:val="182"/>
        <w:spacing w:line="360" w:lineRule="auto"/>
        <w:jc w:val="both"/>
        <w:outlineLvl w:val="0"/>
        <w:rPr>
          <w:rFonts w:hint="eastAsia"/>
        </w:rPr>
        <w:sectPr>
          <w:pgSz w:w="11906" w:h="16838"/>
          <w:pgMar w:top="1400" w:right="1531" w:bottom="471" w:left="1531" w:header="851" w:footer="851" w:gutter="0"/>
          <w:pgNumType w:fmt="decimal" w:chapStyle="1" w:chapSep="colon"/>
          <w:cols w:space="720" w:num="1"/>
        </w:sectPr>
      </w:pPr>
    </w:p>
    <w:p w14:paraId="6605E733">
      <w:pPr>
        <w:pStyle w:val="182"/>
        <w:spacing w:line="360" w:lineRule="auto"/>
        <w:outlineLvl w:val="0"/>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第五章 采购合同</w:t>
      </w:r>
    </w:p>
    <w:p w14:paraId="0B83810C">
      <w:pPr>
        <w:spacing w:line="480" w:lineRule="auto"/>
        <w:jc w:val="center"/>
        <w:rPr>
          <w:rFonts w:hint="eastAsia" w:ascii="宋体" w:hAnsi="宋体" w:cs="宋体"/>
          <w:b/>
          <w:sz w:val="36"/>
          <w:szCs w:val="36"/>
        </w:rPr>
      </w:pPr>
      <w:r>
        <w:rPr>
          <w:rFonts w:hint="eastAsia" w:ascii="宋体" w:hAnsi="宋体"/>
        </w:rPr>
        <w:t xml:space="preserve"> </w:t>
      </w:r>
      <w:r>
        <w:rPr>
          <w:rFonts w:hint="eastAsia" w:ascii="宋体" w:hAnsi="宋体" w:cs="宋体"/>
          <w:b/>
          <w:sz w:val="36"/>
          <w:szCs w:val="36"/>
        </w:rPr>
        <w:t>采购合同参考范本</w:t>
      </w:r>
    </w:p>
    <w:p w14:paraId="4EFA63F4">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76D96320">
      <w:pPr>
        <w:pStyle w:val="184"/>
        <w:rPr>
          <w:rFonts w:hint="eastAsia" w:ascii="宋体" w:hAnsi="宋体" w:cs="宋体"/>
          <w:szCs w:val="24"/>
        </w:rPr>
      </w:pPr>
    </w:p>
    <w:p w14:paraId="0CBCBA84">
      <w:pPr>
        <w:pStyle w:val="184"/>
        <w:ind w:left="0" w:leftChars="0" w:firstLine="0" w:firstLineChars="0"/>
        <w:rPr>
          <w:rFonts w:hint="eastAsia" w:ascii="宋体" w:hAnsi="宋体" w:cs="宋体"/>
          <w:szCs w:val="24"/>
        </w:rPr>
      </w:pPr>
    </w:p>
    <w:p w14:paraId="3F4BFF0B">
      <w:pPr>
        <w:pStyle w:val="184"/>
        <w:ind w:firstLine="2843" w:firstLineChars="1180"/>
        <w:rPr>
          <w:rFonts w:hint="eastAsia" w:ascii="宋体" w:hAnsi="宋体" w:cs="宋体"/>
          <w:b/>
          <w:szCs w:val="24"/>
        </w:rPr>
      </w:pPr>
      <w:r>
        <w:rPr>
          <w:rFonts w:hint="eastAsia" w:ascii="宋体" w:hAnsi="宋体" w:cs="宋体"/>
          <w:b/>
          <w:szCs w:val="24"/>
        </w:rPr>
        <w:t>第一部分 合同书</w:t>
      </w:r>
    </w:p>
    <w:p w14:paraId="61841F76">
      <w:pPr>
        <w:pStyle w:val="184"/>
        <w:rPr>
          <w:rFonts w:hint="eastAsia" w:ascii="宋体" w:hAnsi="宋体" w:cs="宋体"/>
          <w:szCs w:val="24"/>
        </w:rPr>
      </w:pPr>
    </w:p>
    <w:p w14:paraId="24B7E33C">
      <w:pPr>
        <w:pStyle w:val="184"/>
        <w:rPr>
          <w:rFonts w:hint="eastAsia" w:ascii="宋体" w:hAnsi="宋体" w:cs="宋体"/>
          <w:szCs w:val="24"/>
        </w:rPr>
      </w:pPr>
    </w:p>
    <w:p w14:paraId="3D9547D1">
      <w:pPr>
        <w:spacing w:before="120" w:line="22" w:lineRule="atLeast"/>
        <w:rPr>
          <w:rFonts w:hint="eastAsia" w:ascii="宋体" w:hAnsi="宋体" w:cs="宋体"/>
          <w:sz w:val="24"/>
        </w:rPr>
      </w:pPr>
    </w:p>
    <w:p w14:paraId="22F100A8">
      <w:pPr>
        <w:spacing w:before="120" w:line="22" w:lineRule="atLeast"/>
        <w:ind w:left="960"/>
        <w:rPr>
          <w:rFonts w:hint="eastAsia" w:ascii="宋体" w:hAnsi="宋体" w:cs="宋体"/>
          <w:sz w:val="24"/>
        </w:rPr>
      </w:pPr>
      <w:r>
        <w:rPr>
          <w:rFonts w:hint="eastAsia" w:ascii="宋体" w:hAnsi="宋体" w:cs="宋体"/>
          <w:sz w:val="24"/>
        </w:rPr>
        <w:t>项目名称：</w:t>
      </w:r>
    </w:p>
    <w:p w14:paraId="12B2FDCF">
      <w:pPr>
        <w:pStyle w:val="185"/>
        <w:spacing w:before="120" w:line="22" w:lineRule="atLeast"/>
        <w:rPr>
          <w:rFonts w:hint="eastAsia" w:ascii="宋体" w:hAnsi="宋体" w:eastAsia="宋体" w:cs="宋体"/>
          <w:szCs w:val="24"/>
        </w:rPr>
      </w:pPr>
    </w:p>
    <w:p w14:paraId="77BF9A54">
      <w:pPr>
        <w:pStyle w:val="185"/>
        <w:spacing w:before="120" w:line="22" w:lineRule="atLeast"/>
        <w:rPr>
          <w:rFonts w:hint="eastAsia" w:ascii="宋体" w:hAnsi="宋体" w:eastAsia="宋体" w:cs="宋体"/>
          <w:szCs w:val="24"/>
        </w:rPr>
      </w:pPr>
    </w:p>
    <w:p w14:paraId="0C908832">
      <w:pPr>
        <w:rPr>
          <w:rFonts w:hint="eastAsia" w:ascii="宋体" w:hAnsi="宋体" w:cs="宋体"/>
          <w:sz w:val="24"/>
        </w:rPr>
      </w:pPr>
    </w:p>
    <w:p w14:paraId="1FC5AD6C">
      <w:pPr>
        <w:spacing w:before="120" w:line="22" w:lineRule="atLeast"/>
        <w:ind w:left="960"/>
        <w:rPr>
          <w:rFonts w:hint="eastAsia" w:ascii="宋体" w:hAnsi="宋体" w:cs="宋体"/>
          <w:sz w:val="24"/>
          <w:u w:val="single"/>
        </w:rPr>
      </w:pPr>
      <w:r>
        <w:rPr>
          <w:rFonts w:hint="eastAsia" w:ascii="宋体" w:hAnsi="宋体" w:cs="宋体"/>
          <w:sz w:val="24"/>
        </w:rPr>
        <w:t>甲方：</w:t>
      </w:r>
    </w:p>
    <w:p w14:paraId="7D9AD81B">
      <w:pPr>
        <w:spacing w:before="120" w:line="22" w:lineRule="atLeast"/>
        <w:rPr>
          <w:rFonts w:hint="eastAsia" w:ascii="宋体" w:hAnsi="宋体" w:cs="宋体"/>
          <w:sz w:val="24"/>
        </w:rPr>
      </w:pPr>
    </w:p>
    <w:p w14:paraId="386175C6">
      <w:pPr>
        <w:spacing w:before="120" w:line="22" w:lineRule="atLeast"/>
        <w:ind w:left="960"/>
        <w:rPr>
          <w:rFonts w:hint="eastAsia" w:ascii="宋体" w:hAnsi="宋体" w:cs="宋体"/>
          <w:sz w:val="24"/>
          <w:u w:val="single"/>
        </w:rPr>
      </w:pPr>
      <w:r>
        <w:rPr>
          <w:rFonts w:hint="eastAsia" w:ascii="宋体" w:hAnsi="宋体" w:cs="宋体"/>
          <w:sz w:val="24"/>
        </w:rPr>
        <w:t>乙方：</w:t>
      </w:r>
    </w:p>
    <w:p w14:paraId="0DF01169">
      <w:pPr>
        <w:spacing w:before="120" w:line="22" w:lineRule="atLeast"/>
        <w:rPr>
          <w:rFonts w:hint="eastAsia" w:ascii="宋体" w:hAnsi="宋体" w:cs="宋体"/>
          <w:sz w:val="24"/>
        </w:rPr>
      </w:pPr>
    </w:p>
    <w:p w14:paraId="4DD8B2E0">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p>
    <w:p w14:paraId="0D530B07">
      <w:pPr>
        <w:spacing w:before="120" w:line="22" w:lineRule="atLeast"/>
        <w:rPr>
          <w:rFonts w:hint="eastAsia" w:ascii="宋体" w:hAnsi="宋体" w:cs="宋体"/>
          <w:sz w:val="24"/>
        </w:rPr>
      </w:pPr>
    </w:p>
    <w:p w14:paraId="45DAC23E">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签订日期：年月日</w:t>
      </w:r>
    </w:p>
    <w:p w14:paraId="788EA762">
      <w:pPr>
        <w:widowControl/>
        <w:jc w:val="left"/>
        <w:rPr>
          <w:rFonts w:hint="eastAsia" w:ascii="宋体" w:hAnsi="宋体" w:cs="宋体"/>
          <w:kern w:val="0"/>
          <w:sz w:val="24"/>
        </w:rPr>
        <w:sectPr>
          <w:pgSz w:w="11907" w:h="16840"/>
          <w:pgMar w:top="1440" w:right="1417" w:bottom="1440" w:left="1417" w:header="851" w:footer="850" w:gutter="0"/>
          <w:pgNumType w:fmt="decimal"/>
          <w:cols w:space="0" w:num="1"/>
        </w:sectPr>
      </w:pPr>
    </w:p>
    <w:p w14:paraId="512A0219">
      <w:pPr>
        <w:wordWrap w:val="0"/>
        <w:topLinePunct/>
        <w:adjustRightIn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甲  方（采购单位）：</w:t>
      </w:r>
    </w:p>
    <w:p w14:paraId="539F576A">
      <w:pPr>
        <w:wordWrap w:val="0"/>
        <w:topLinePunct/>
        <w:adjustRightIn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乙  方（中标人）：</w:t>
      </w:r>
    </w:p>
    <w:p w14:paraId="22E971A6">
      <w:pPr>
        <w:spacing w:line="360" w:lineRule="auto"/>
        <w:ind w:firstLine="480" w:firstLineChars="200"/>
        <w:rPr>
          <w:rFonts w:hint="eastAsia" w:ascii="宋体" w:hAnsi="宋体" w:cs="宋体"/>
          <w:sz w:val="24"/>
        </w:rPr>
      </w:pPr>
      <w:r>
        <w:rPr>
          <w:rFonts w:hint="eastAsia" w:ascii="宋体" w:hAnsi="宋体" w:cs="宋体"/>
          <w:sz w:val="24"/>
        </w:rPr>
        <w:t>经过公开招标采购           项目（编号：      ），确定***********为中标人，</w:t>
      </w:r>
      <w:r>
        <w:rPr>
          <w:rFonts w:hint="eastAsia" w:ascii="宋体" w:hAnsi="宋体" w:cs="宋体"/>
          <w:sz w:val="24"/>
          <w:lang w:val="zh-CN"/>
        </w:rPr>
        <w:t>根据相关法律法规之规定，按照平等、自愿、公平、诚实信用和绿色的原则，经</w:t>
      </w:r>
      <w:r>
        <w:rPr>
          <w:rFonts w:hint="eastAsia" w:ascii="宋体" w:hAnsi="宋体" w:cs="宋体"/>
          <w:sz w:val="24"/>
        </w:rPr>
        <w:t>甲乙双方</w:t>
      </w:r>
      <w:r>
        <w:rPr>
          <w:rFonts w:hint="eastAsia" w:ascii="宋体" w:hAnsi="宋体" w:cs="宋体"/>
          <w:sz w:val="24"/>
          <w:lang w:val="zh-CN"/>
        </w:rPr>
        <w:t>协商一致，约定以下合同</w:t>
      </w:r>
      <w:r>
        <w:rPr>
          <w:rFonts w:hint="eastAsia" w:ascii="宋体" w:hAnsi="宋体" w:cs="宋体"/>
          <w:sz w:val="24"/>
        </w:rPr>
        <w:t>条款，以兹共同遵守、全面履行。</w:t>
      </w:r>
    </w:p>
    <w:p w14:paraId="70B9B59C">
      <w:pPr>
        <w:shd w:val="clear" w:color="auto" w:fill="FFFFFF"/>
        <w:wordWrap w:val="0"/>
        <w:topLinePunct/>
        <w:adjustRightInd w:val="0"/>
        <w:spacing w:line="360" w:lineRule="auto"/>
        <w:ind w:firstLine="482" w:firstLineChars="200"/>
        <w:rPr>
          <w:rFonts w:hint="eastAsia" w:ascii="宋体" w:hAnsi="宋体" w:cs="宋体"/>
          <w:b/>
          <w:bCs/>
          <w:sz w:val="24"/>
        </w:rPr>
      </w:pPr>
      <w:r>
        <w:rPr>
          <w:rFonts w:hint="eastAsia" w:ascii="宋体" w:hAnsi="宋体" w:cs="宋体"/>
          <w:b/>
          <w:bCs/>
          <w:sz w:val="24"/>
        </w:rPr>
        <w:t>第一条：合同价格</w:t>
      </w:r>
    </w:p>
    <w:p w14:paraId="1F790661">
      <w:pPr>
        <w:spacing w:line="360" w:lineRule="auto"/>
        <w:ind w:firstLine="480" w:firstLineChars="200"/>
        <w:rPr>
          <w:rFonts w:hint="eastAsia" w:ascii="宋体" w:hAnsi="宋体" w:cs="宋体"/>
          <w:sz w:val="24"/>
        </w:rPr>
      </w:pPr>
      <w:r>
        <w:rPr>
          <w:rFonts w:hint="eastAsia" w:ascii="宋体" w:hAnsi="宋体" w:cs="宋体"/>
          <w:sz w:val="24"/>
        </w:rPr>
        <w:t>本合同金额为：承销费率</w:t>
      </w:r>
      <w:r>
        <w:rPr>
          <w:rFonts w:hint="eastAsia" w:ascii="宋体" w:hAnsi="宋体" w:cs="宋体"/>
          <w:sz w:val="24"/>
          <w:u w:val="single"/>
        </w:rPr>
        <w:t xml:space="preserve">      </w:t>
      </w:r>
      <w:r>
        <w:rPr>
          <w:rFonts w:hint="eastAsia" w:ascii="宋体" w:hAnsi="宋体" w:cs="宋体"/>
          <w:sz w:val="24"/>
        </w:rPr>
        <w:t>（%）/年。</w:t>
      </w:r>
    </w:p>
    <w:p w14:paraId="00F66F83">
      <w:pPr>
        <w:spacing w:line="360" w:lineRule="auto"/>
        <w:ind w:firstLine="482" w:firstLineChars="200"/>
        <w:rPr>
          <w:rFonts w:hint="eastAsia" w:ascii="宋体" w:hAnsi="宋体" w:cs="宋体"/>
          <w:b/>
          <w:sz w:val="24"/>
        </w:rPr>
      </w:pPr>
      <w:r>
        <w:rPr>
          <w:rFonts w:hint="eastAsia" w:ascii="宋体" w:hAnsi="宋体" w:cs="宋体"/>
          <w:b/>
          <w:sz w:val="24"/>
        </w:rPr>
        <w:t>第二条：服务内容</w:t>
      </w:r>
    </w:p>
    <w:p w14:paraId="0920B7E1">
      <w:pPr>
        <w:spacing w:line="360" w:lineRule="auto"/>
        <w:ind w:firstLine="480" w:firstLineChars="200"/>
        <w:rPr>
          <w:rFonts w:hint="eastAsia" w:ascii="宋体" w:hAnsi="宋体" w:cs="宋体"/>
          <w:sz w:val="24"/>
        </w:rPr>
      </w:pPr>
      <w:r>
        <w:rPr>
          <w:rFonts w:hint="eastAsia" w:ascii="宋体" w:hAnsi="宋体" w:cs="宋体"/>
          <w:sz w:val="24"/>
        </w:rPr>
        <w:t>1.发行方案建议：债券项目的发行规模、期限结构、预计发行利率、关键条款等方案内容提出建议，并提出工作日程安排；</w:t>
      </w:r>
    </w:p>
    <w:p w14:paraId="473AEA90">
      <w:pPr>
        <w:spacing w:line="360" w:lineRule="auto"/>
        <w:ind w:firstLine="480" w:firstLineChars="200"/>
        <w:rPr>
          <w:rFonts w:hint="eastAsia" w:ascii="宋体" w:hAnsi="宋体" w:cs="宋体"/>
          <w:sz w:val="24"/>
        </w:rPr>
      </w:pPr>
      <w:r>
        <w:rPr>
          <w:rFonts w:hint="eastAsia" w:ascii="宋体" w:hAnsi="宋体" w:cs="宋体"/>
          <w:sz w:val="24"/>
        </w:rPr>
        <w:t>2.文件准备：统筹中介机构完成申报文件的准备及制作，按照监管要求提交相关文件及材料；</w:t>
      </w:r>
    </w:p>
    <w:p w14:paraId="3A4561A7">
      <w:pPr>
        <w:spacing w:line="360" w:lineRule="auto"/>
        <w:ind w:firstLine="480" w:firstLineChars="200"/>
        <w:rPr>
          <w:rFonts w:hint="eastAsia" w:ascii="宋体" w:hAnsi="宋体" w:cs="宋体"/>
          <w:sz w:val="24"/>
        </w:rPr>
      </w:pPr>
      <w:r>
        <w:rPr>
          <w:rFonts w:hint="eastAsia" w:ascii="宋体" w:hAnsi="宋体" w:cs="宋体"/>
          <w:sz w:val="24"/>
        </w:rPr>
        <w:t>3.监管沟通：负责与监管机构的沟通工作，配合监管机构审核，组织回复监管机构反馈意见；</w:t>
      </w:r>
    </w:p>
    <w:p w14:paraId="12C022D4">
      <w:pPr>
        <w:spacing w:line="360" w:lineRule="auto"/>
        <w:ind w:firstLine="480" w:firstLineChars="200"/>
        <w:rPr>
          <w:rFonts w:hint="eastAsia" w:ascii="宋体" w:hAnsi="宋体" w:cs="宋体"/>
          <w:sz w:val="24"/>
        </w:rPr>
      </w:pPr>
      <w:r>
        <w:rPr>
          <w:rFonts w:hint="eastAsia" w:ascii="宋体" w:hAnsi="宋体" w:cs="宋体"/>
          <w:sz w:val="24"/>
        </w:rPr>
        <w:t>4.发行及上市：根据市场情况建议发行窗口、确定利率区间、明确承销方式，完成承销发行并办理后续登记托管、上市手续及提供债券存续期内的付息兑付和持续信息披露等服务。</w:t>
      </w:r>
    </w:p>
    <w:p w14:paraId="7004ECB7">
      <w:pPr>
        <w:spacing w:line="360" w:lineRule="auto"/>
        <w:ind w:firstLine="480" w:firstLineChars="200"/>
        <w:rPr>
          <w:rFonts w:hint="eastAsia" w:ascii="宋体" w:hAnsi="宋体" w:cs="宋体"/>
          <w:sz w:val="24"/>
        </w:rPr>
      </w:pPr>
      <w:r>
        <w:rPr>
          <w:rFonts w:hint="eastAsia" w:ascii="宋体" w:hAnsi="宋体" w:cs="宋体"/>
          <w:sz w:val="24"/>
        </w:rPr>
        <w:t>5、其他发行与交易工作。</w:t>
      </w:r>
    </w:p>
    <w:p w14:paraId="07FA102F">
      <w:pPr>
        <w:spacing w:line="360" w:lineRule="auto"/>
        <w:ind w:firstLine="482" w:firstLineChars="200"/>
        <w:rPr>
          <w:rFonts w:hint="eastAsia" w:ascii="宋体" w:hAnsi="宋体" w:cs="宋体"/>
          <w:b/>
          <w:sz w:val="24"/>
        </w:rPr>
      </w:pPr>
      <w:r>
        <w:rPr>
          <w:rFonts w:hint="eastAsia" w:ascii="宋体" w:hAnsi="宋体" w:cs="宋体"/>
          <w:b/>
          <w:sz w:val="24"/>
        </w:rPr>
        <w:t>第三条：技术资料</w:t>
      </w:r>
    </w:p>
    <w:p w14:paraId="1F4B9D8A">
      <w:pPr>
        <w:spacing w:line="360" w:lineRule="auto"/>
        <w:ind w:firstLine="480" w:firstLineChars="200"/>
        <w:rPr>
          <w:rFonts w:hint="eastAsia" w:ascii="宋体" w:hAnsi="宋体" w:cs="宋体"/>
          <w:sz w:val="24"/>
        </w:rPr>
      </w:pPr>
      <w:r>
        <w:rPr>
          <w:rFonts w:hint="eastAsia" w:ascii="宋体" w:hAnsi="宋体" w:cs="宋体"/>
          <w:sz w:val="24"/>
        </w:rPr>
        <w:t>1.乙方应按招标文件规定的时间向甲方提供有关技术资料。</w:t>
      </w:r>
    </w:p>
    <w:p w14:paraId="32E76F08">
      <w:pPr>
        <w:spacing w:line="360" w:lineRule="auto"/>
        <w:ind w:firstLine="480" w:firstLineChars="200"/>
        <w:rPr>
          <w:rFonts w:hint="eastAsia" w:ascii="宋体" w:hAnsi="宋体" w:cs="宋体"/>
          <w:sz w:val="24"/>
        </w:rPr>
      </w:pPr>
      <w:r>
        <w:rPr>
          <w:rFonts w:hint="eastAsia" w:ascii="宋体" w:hAnsi="宋体" w:cs="宋体"/>
          <w:sz w:val="24"/>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739B4CB6">
      <w:pPr>
        <w:spacing w:line="360" w:lineRule="auto"/>
        <w:ind w:firstLine="482" w:firstLineChars="200"/>
        <w:rPr>
          <w:rFonts w:hint="eastAsia" w:ascii="宋体" w:hAnsi="宋体" w:cs="宋体"/>
          <w:b/>
          <w:sz w:val="24"/>
        </w:rPr>
      </w:pPr>
      <w:r>
        <w:rPr>
          <w:rFonts w:hint="eastAsia" w:ascii="宋体" w:hAnsi="宋体" w:cs="宋体"/>
          <w:b/>
          <w:sz w:val="24"/>
        </w:rPr>
        <w:t>第四条：知识产权</w:t>
      </w:r>
    </w:p>
    <w:p w14:paraId="27DAD4E9">
      <w:pPr>
        <w:spacing w:line="360" w:lineRule="auto"/>
        <w:ind w:firstLine="480" w:firstLineChars="200"/>
        <w:rPr>
          <w:rFonts w:hint="eastAsia" w:ascii="宋体" w:hAnsi="宋体" w:cs="宋体"/>
          <w:sz w:val="24"/>
        </w:rPr>
      </w:pPr>
      <w:r>
        <w:rPr>
          <w:rFonts w:hint="eastAsia" w:ascii="宋体" w:hAnsi="宋体" w:cs="宋体"/>
          <w:sz w:val="24"/>
        </w:rPr>
        <w:t>1.本项目成果所有权和使用权均属于甲方。乙方不得以任何借口留存，否则承担由此产生的一切法律责任和经济责任。未经允许，任何单位和个人不得转让和使用本项目的相关成果。</w:t>
      </w:r>
    </w:p>
    <w:p w14:paraId="1126AC9D">
      <w:pPr>
        <w:spacing w:line="360" w:lineRule="auto"/>
        <w:ind w:firstLine="480" w:firstLineChars="200"/>
        <w:rPr>
          <w:rFonts w:hint="eastAsia" w:ascii="宋体" w:hAnsi="宋体" w:cs="宋体"/>
          <w:sz w:val="24"/>
        </w:rPr>
      </w:pPr>
      <w:r>
        <w:rPr>
          <w:rFonts w:hint="eastAsia" w:ascii="宋体" w:hAnsi="宋体" w:cs="宋体"/>
          <w:sz w:val="24"/>
        </w:rPr>
        <w:t>2.乙方应保证所提供服务的过程中不会侵犯任何第三方的知识产权。</w:t>
      </w:r>
    </w:p>
    <w:p w14:paraId="13B8BED5">
      <w:pPr>
        <w:spacing w:line="360" w:lineRule="auto"/>
        <w:ind w:firstLine="482" w:firstLineChars="200"/>
        <w:rPr>
          <w:rFonts w:hint="eastAsia" w:ascii="宋体" w:hAnsi="宋体" w:cs="宋体"/>
          <w:b/>
          <w:sz w:val="24"/>
        </w:rPr>
      </w:pPr>
      <w:r>
        <w:rPr>
          <w:rFonts w:hint="eastAsia" w:ascii="宋体" w:hAnsi="宋体" w:cs="宋体"/>
          <w:b/>
          <w:sz w:val="24"/>
        </w:rPr>
        <w:t>第五条：转包或分包</w:t>
      </w:r>
    </w:p>
    <w:p w14:paraId="317DA2E8">
      <w:pPr>
        <w:spacing w:line="360" w:lineRule="auto"/>
        <w:ind w:firstLine="480" w:firstLineChars="200"/>
        <w:rPr>
          <w:rFonts w:hint="eastAsia" w:ascii="宋体" w:hAnsi="宋体" w:cs="宋体"/>
          <w:sz w:val="24"/>
        </w:rPr>
      </w:pPr>
      <w:r>
        <w:rPr>
          <w:rFonts w:hint="eastAsia" w:ascii="宋体" w:hAnsi="宋体" w:cs="宋体"/>
          <w:sz w:val="24"/>
        </w:rPr>
        <w:t>本合同范围的服务，应由乙方直接供应，不得转让他人供应，否则，甲方有权解除合同，没收质量保证金并追究乙方的违约责任。</w:t>
      </w:r>
    </w:p>
    <w:p w14:paraId="3BDF7A98">
      <w:pPr>
        <w:spacing w:line="360" w:lineRule="auto"/>
        <w:ind w:firstLine="482" w:firstLineChars="200"/>
        <w:rPr>
          <w:rFonts w:hint="eastAsia" w:ascii="宋体" w:hAnsi="宋体" w:cs="宋体"/>
          <w:b/>
          <w:sz w:val="24"/>
        </w:rPr>
      </w:pPr>
      <w:r>
        <w:rPr>
          <w:rFonts w:hint="eastAsia" w:ascii="宋体" w:hAnsi="宋体" w:cs="宋体"/>
          <w:b/>
          <w:sz w:val="24"/>
        </w:rPr>
        <w:t>第六条：服务期、服务方式及服务地点</w:t>
      </w:r>
    </w:p>
    <w:p w14:paraId="076EEAAB">
      <w:pPr>
        <w:spacing w:line="360" w:lineRule="auto"/>
        <w:ind w:firstLine="480" w:firstLineChars="200"/>
        <w:rPr>
          <w:rFonts w:hint="eastAsia" w:ascii="宋体" w:hAnsi="宋体" w:cs="宋体"/>
          <w:sz w:val="24"/>
        </w:rPr>
      </w:pPr>
      <w:r>
        <w:rPr>
          <w:rFonts w:hint="eastAsia" w:ascii="宋体" w:hAnsi="宋体" w:cs="宋体"/>
          <w:sz w:val="24"/>
        </w:rPr>
        <w:t>1.服务期：</w:t>
      </w:r>
    </w:p>
    <w:p w14:paraId="452D669B">
      <w:pPr>
        <w:spacing w:line="360" w:lineRule="auto"/>
        <w:ind w:firstLine="470" w:firstLineChars="196"/>
        <w:rPr>
          <w:rFonts w:hint="eastAsia" w:ascii="宋体" w:hAnsi="宋体" w:cs="宋体"/>
          <w:sz w:val="24"/>
        </w:rPr>
      </w:pPr>
      <w:r>
        <w:rPr>
          <w:rFonts w:hint="eastAsia" w:ascii="宋体" w:hAnsi="宋体" w:cs="宋体"/>
          <w:sz w:val="24"/>
        </w:rPr>
        <w:t>2.服务内容：</w:t>
      </w:r>
    </w:p>
    <w:p w14:paraId="79C622E5">
      <w:pPr>
        <w:spacing w:line="360" w:lineRule="auto"/>
        <w:ind w:firstLine="480" w:firstLineChars="200"/>
        <w:rPr>
          <w:rFonts w:hint="eastAsia" w:ascii="宋体" w:hAnsi="宋体" w:cs="宋体"/>
          <w:sz w:val="24"/>
        </w:rPr>
      </w:pPr>
      <w:r>
        <w:rPr>
          <w:rFonts w:hint="eastAsia" w:ascii="宋体" w:hAnsi="宋体" w:cs="宋体"/>
          <w:sz w:val="24"/>
        </w:rPr>
        <w:t>3.服务地点：</w:t>
      </w:r>
    </w:p>
    <w:p w14:paraId="41359C2F">
      <w:pPr>
        <w:spacing w:line="360" w:lineRule="auto"/>
        <w:ind w:firstLine="480" w:firstLineChars="200"/>
        <w:rPr>
          <w:rFonts w:hint="eastAsia" w:ascii="宋体" w:hAnsi="宋体" w:cs="宋体"/>
          <w:sz w:val="24"/>
        </w:rPr>
      </w:pPr>
      <w:r>
        <w:rPr>
          <w:rFonts w:hint="eastAsia" w:ascii="宋体" w:hAnsi="宋体" w:cs="宋体"/>
          <w:sz w:val="24"/>
        </w:rPr>
        <w:t>4.服务要求：</w:t>
      </w:r>
    </w:p>
    <w:p w14:paraId="40B58D9E">
      <w:pPr>
        <w:spacing w:line="360" w:lineRule="auto"/>
        <w:ind w:firstLine="482" w:firstLineChars="200"/>
        <w:rPr>
          <w:rFonts w:hint="eastAsia" w:ascii="宋体" w:hAnsi="宋体" w:cs="宋体"/>
          <w:b/>
          <w:sz w:val="24"/>
        </w:rPr>
      </w:pPr>
      <w:r>
        <w:rPr>
          <w:rFonts w:hint="eastAsia" w:ascii="宋体" w:hAnsi="宋体" w:cs="宋体"/>
          <w:b/>
          <w:sz w:val="24"/>
        </w:rPr>
        <w:t>第七条：税费</w:t>
      </w:r>
    </w:p>
    <w:p w14:paraId="1006B860">
      <w:pPr>
        <w:spacing w:line="360" w:lineRule="auto"/>
        <w:ind w:firstLine="480" w:firstLineChars="200"/>
        <w:rPr>
          <w:rFonts w:hint="eastAsia" w:ascii="宋体" w:hAnsi="宋体" w:cs="宋体"/>
          <w:sz w:val="24"/>
        </w:rPr>
      </w:pPr>
      <w:r>
        <w:rPr>
          <w:rFonts w:hint="eastAsia" w:ascii="宋体" w:hAnsi="宋体" w:cs="宋体"/>
          <w:sz w:val="24"/>
        </w:rPr>
        <w:t>本合同执行中相关的一切税费均由乙方负担。</w:t>
      </w:r>
    </w:p>
    <w:p w14:paraId="6CDBE369">
      <w:pPr>
        <w:spacing w:line="360" w:lineRule="auto"/>
        <w:ind w:firstLine="482" w:firstLineChars="200"/>
        <w:rPr>
          <w:rFonts w:hint="eastAsia" w:ascii="宋体" w:hAnsi="宋体" w:cs="宋体"/>
          <w:b/>
          <w:sz w:val="24"/>
          <w:highlight w:val="green"/>
        </w:rPr>
      </w:pPr>
      <w:r>
        <w:rPr>
          <w:rFonts w:hint="eastAsia" w:ascii="宋体" w:hAnsi="宋体" w:cs="宋体"/>
          <w:b/>
          <w:sz w:val="24"/>
        </w:rPr>
        <w:t>第八条：</w:t>
      </w:r>
      <w:r>
        <w:rPr>
          <w:rFonts w:hint="eastAsia" w:ascii="宋体" w:hAnsi="宋体" w:cs="宋体"/>
          <w:b/>
          <w:sz w:val="24"/>
          <w:highlight w:val="green"/>
        </w:rPr>
        <w:t>质量保证及售后服务</w:t>
      </w:r>
    </w:p>
    <w:p w14:paraId="4AB01740">
      <w:pPr>
        <w:spacing w:line="360" w:lineRule="auto"/>
        <w:ind w:firstLine="480" w:firstLineChars="200"/>
        <w:rPr>
          <w:rFonts w:hint="eastAsia" w:ascii="宋体" w:hAnsi="宋体" w:cs="宋体"/>
          <w:sz w:val="24"/>
        </w:rPr>
      </w:pPr>
      <w:r>
        <w:rPr>
          <w:rFonts w:hint="eastAsia" w:ascii="宋体" w:hAnsi="宋体" w:cs="宋体"/>
          <w:sz w:val="24"/>
        </w:rPr>
        <w:t>1.乙方应按招标文件规定向甲方提供服务。</w:t>
      </w:r>
    </w:p>
    <w:p w14:paraId="6078BF80">
      <w:pPr>
        <w:spacing w:line="360" w:lineRule="auto"/>
        <w:ind w:firstLine="480" w:firstLineChars="200"/>
        <w:rPr>
          <w:rFonts w:hint="eastAsia" w:ascii="宋体" w:hAnsi="宋体" w:cs="宋体"/>
          <w:sz w:val="24"/>
        </w:rPr>
      </w:pPr>
      <w:r>
        <w:rPr>
          <w:rFonts w:hint="eastAsia" w:ascii="宋体" w:hAnsi="宋体" w:cs="宋体"/>
          <w:sz w:val="24"/>
        </w:rPr>
        <w:t>2.乙方提供的服务成果在服务质量保证期内发生故障，乙方应负责免费提供后续服务。对达不到要求者，根据实际情况，经双方协商，可按以下办法处理：</w:t>
      </w:r>
    </w:p>
    <w:p w14:paraId="135775C2">
      <w:pPr>
        <w:spacing w:line="360" w:lineRule="auto"/>
        <w:ind w:firstLine="360" w:firstLineChars="150"/>
        <w:rPr>
          <w:rFonts w:hint="eastAsia" w:ascii="宋体" w:hAnsi="宋体" w:cs="宋体"/>
          <w:sz w:val="24"/>
        </w:rPr>
      </w:pPr>
      <w:r>
        <w:rPr>
          <w:rFonts w:hint="eastAsia" w:ascii="宋体" w:hAnsi="宋体" w:cs="宋体"/>
          <w:sz w:val="24"/>
        </w:rPr>
        <w:t>（1）重做：由乙方承担所发生的全部费用。</w:t>
      </w:r>
    </w:p>
    <w:p w14:paraId="1D4D484E">
      <w:pPr>
        <w:spacing w:line="360" w:lineRule="auto"/>
        <w:ind w:firstLine="360" w:firstLineChars="150"/>
        <w:rPr>
          <w:rFonts w:hint="eastAsia" w:ascii="宋体" w:hAnsi="宋体" w:cs="宋体"/>
          <w:sz w:val="24"/>
        </w:rPr>
      </w:pPr>
      <w:r>
        <w:rPr>
          <w:rFonts w:hint="eastAsia" w:ascii="宋体" w:hAnsi="宋体" w:cs="宋体"/>
          <w:sz w:val="24"/>
        </w:rPr>
        <w:t>（2）贬值处理：由甲乙双方合议定价。</w:t>
      </w:r>
    </w:p>
    <w:p w14:paraId="38DB8DFC">
      <w:pPr>
        <w:spacing w:line="360" w:lineRule="auto"/>
        <w:ind w:firstLine="360" w:firstLineChars="150"/>
        <w:rPr>
          <w:rFonts w:hint="eastAsia" w:ascii="宋体" w:hAnsi="宋体" w:cs="宋体"/>
          <w:sz w:val="24"/>
        </w:rPr>
      </w:pPr>
      <w:r>
        <w:rPr>
          <w:rFonts w:hint="eastAsia" w:ascii="宋体" w:hAnsi="宋体" w:cs="宋体"/>
          <w:sz w:val="24"/>
        </w:rPr>
        <w:t>（3）解除合同。</w:t>
      </w:r>
    </w:p>
    <w:p w14:paraId="59E2D87C">
      <w:pPr>
        <w:spacing w:line="360" w:lineRule="auto"/>
        <w:ind w:firstLine="480" w:firstLineChars="200"/>
        <w:rPr>
          <w:rFonts w:hint="eastAsia" w:ascii="宋体" w:hAnsi="宋体" w:cs="宋体"/>
          <w:sz w:val="24"/>
        </w:rPr>
      </w:pPr>
      <w:r>
        <w:rPr>
          <w:rFonts w:hint="eastAsia" w:ascii="宋体" w:hAnsi="宋体" w:cs="宋体"/>
          <w:sz w:val="24"/>
        </w:rPr>
        <w:t>3.如在过程中发生问题，乙方在接到甲方通知后在</w:t>
      </w:r>
      <w:r>
        <w:rPr>
          <w:rFonts w:hint="eastAsia" w:ascii="宋体" w:hAnsi="宋体" w:cs="宋体"/>
          <w:sz w:val="24"/>
          <w:u w:val="single"/>
        </w:rPr>
        <w:t xml:space="preserve">   </w:t>
      </w:r>
      <w:r>
        <w:rPr>
          <w:rFonts w:hint="eastAsia" w:ascii="宋体" w:hAnsi="宋体" w:cs="宋体"/>
          <w:sz w:val="24"/>
        </w:rPr>
        <w:t>小时内到达甲方现场。</w:t>
      </w:r>
    </w:p>
    <w:p w14:paraId="6E97E203">
      <w:pPr>
        <w:spacing w:line="360" w:lineRule="auto"/>
        <w:ind w:firstLine="480" w:firstLineChars="200"/>
        <w:rPr>
          <w:rFonts w:hint="eastAsia" w:ascii="宋体" w:hAnsi="宋体" w:cs="宋体"/>
          <w:sz w:val="24"/>
        </w:rPr>
      </w:pPr>
      <w:r>
        <w:rPr>
          <w:rFonts w:hint="eastAsia" w:ascii="宋体" w:hAnsi="宋体" w:cs="宋体"/>
          <w:sz w:val="24"/>
        </w:rPr>
        <w:t>4.在服务质量保证期内，乙方应对出现的质量及安全问题负责处理解决并承担一切费用。</w:t>
      </w:r>
    </w:p>
    <w:p w14:paraId="53C68C8B">
      <w:pPr>
        <w:spacing w:line="360" w:lineRule="auto"/>
        <w:ind w:firstLine="472" w:firstLineChars="196"/>
        <w:rPr>
          <w:rFonts w:hint="eastAsia" w:ascii="宋体" w:hAnsi="宋体" w:cs="宋体"/>
          <w:b/>
          <w:sz w:val="24"/>
          <w:highlight w:val="green"/>
        </w:rPr>
      </w:pPr>
      <w:r>
        <w:rPr>
          <w:rFonts w:hint="eastAsia" w:ascii="宋体" w:hAnsi="宋体" w:cs="宋体"/>
          <w:b/>
          <w:sz w:val="24"/>
        </w:rPr>
        <w:t>第九条：</w:t>
      </w:r>
      <w:r>
        <w:rPr>
          <w:rFonts w:hint="eastAsia" w:ascii="宋体" w:hAnsi="宋体" w:cs="宋体"/>
          <w:b/>
          <w:sz w:val="24"/>
          <w:highlight w:val="green"/>
        </w:rPr>
        <w:t>履约保证金</w:t>
      </w:r>
    </w:p>
    <w:p w14:paraId="030A894A">
      <w:pPr>
        <w:tabs>
          <w:tab w:val="left" w:pos="1440"/>
        </w:tabs>
        <w:spacing w:line="360" w:lineRule="auto"/>
        <w:ind w:firstLine="480" w:firstLineChars="200"/>
        <w:rPr>
          <w:rFonts w:hint="eastAsia" w:ascii="宋体" w:hAnsi="宋体" w:cs="宋体"/>
          <w:sz w:val="24"/>
        </w:rPr>
      </w:pPr>
      <w:r>
        <w:rPr>
          <w:rFonts w:hint="eastAsia" w:ascii="宋体" w:hAnsi="宋体" w:cs="宋体"/>
          <w:sz w:val="24"/>
        </w:rPr>
        <w:t>履约保证金50万元，履约保证金将在企业债券全部发行完成后全数退回中标单位，若非政策性因素发行失败，则扣除全部履约保证金。</w:t>
      </w:r>
    </w:p>
    <w:p w14:paraId="464198B9">
      <w:pPr>
        <w:spacing w:line="360" w:lineRule="auto"/>
        <w:ind w:firstLine="472" w:firstLineChars="196"/>
        <w:rPr>
          <w:rFonts w:hint="eastAsia" w:ascii="宋体" w:hAnsi="宋体" w:cs="宋体"/>
          <w:b/>
          <w:sz w:val="24"/>
          <w:highlight w:val="green"/>
        </w:rPr>
      </w:pPr>
      <w:r>
        <w:rPr>
          <w:rFonts w:hint="eastAsia" w:ascii="宋体" w:hAnsi="宋体" w:cs="宋体"/>
          <w:b/>
          <w:sz w:val="24"/>
        </w:rPr>
        <w:t>第十条：</w:t>
      </w:r>
      <w:r>
        <w:rPr>
          <w:rFonts w:hint="eastAsia" w:ascii="宋体" w:hAnsi="宋体" w:cs="宋体"/>
          <w:b/>
          <w:sz w:val="24"/>
          <w:highlight w:val="green"/>
        </w:rPr>
        <w:t>合同款支付</w:t>
      </w:r>
    </w:p>
    <w:p w14:paraId="5D8CDDEE">
      <w:pPr>
        <w:tabs>
          <w:tab w:val="left" w:pos="1440"/>
        </w:tabs>
        <w:spacing w:line="360" w:lineRule="auto"/>
        <w:ind w:firstLine="480" w:firstLineChars="200"/>
        <w:rPr>
          <w:rFonts w:hint="eastAsia" w:ascii="宋体" w:hAnsi="宋体" w:cs="宋体"/>
          <w:sz w:val="24"/>
        </w:rPr>
      </w:pPr>
      <w:r>
        <w:rPr>
          <w:rFonts w:hint="eastAsia" w:ascii="宋体" w:hAnsi="宋体" w:cs="宋体"/>
          <w:sz w:val="24"/>
        </w:rPr>
        <w:t>中标人应在每期完成发行、销售后，将当期的发债款项扣除对应的承销费后的余额划入招标人的指定账户。采购单位有权根据项目实施进度进行分期付款，投标人自行考虑此风险参与投标活动。承销费包含律师费、评级费、额外专项审计费、发行手续费等，上述费用中评级费、额外专项审计费等由采购单位先行支付；律师费、发行手续费等，待发行成功后，在承销费中一次性扣回，再由采购单位进行支付。</w:t>
      </w:r>
    </w:p>
    <w:p w14:paraId="002AD373">
      <w:pPr>
        <w:spacing w:line="360" w:lineRule="auto"/>
        <w:ind w:firstLine="482" w:firstLineChars="200"/>
        <w:rPr>
          <w:rFonts w:hint="eastAsia" w:ascii="宋体" w:hAnsi="宋体" w:cs="宋体"/>
          <w:b/>
          <w:sz w:val="24"/>
        </w:rPr>
      </w:pPr>
      <w:r>
        <w:rPr>
          <w:rFonts w:hint="eastAsia" w:ascii="宋体" w:hAnsi="宋体" w:cs="宋体"/>
          <w:b/>
          <w:sz w:val="24"/>
        </w:rPr>
        <w:t>第十一条：</w:t>
      </w:r>
      <w:r>
        <w:rPr>
          <w:rFonts w:hint="eastAsia" w:ascii="宋体" w:hAnsi="宋体" w:cs="宋体"/>
          <w:b/>
          <w:sz w:val="24"/>
          <w:highlight w:val="green"/>
        </w:rPr>
        <w:t>违约责任</w:t>
      </w:r>
    </w:p>
    <w:p w14:paraId="05FE8A0B">
      <w:pPr>
        <w:numPr>
          <w:ilvl w:val="0"/>
          <w:numId w:val="8"/>
        </w:numPr>
        <w:spacing w:line="360" w:lineRule="auto"/>
        <w:ind w:left="0" w:firstLine="480" w:firstLineChars="200"/>
        <w:rPr>
          <w:rFonts w:hint="eastAsia" w:ascii="宋体" w:hAnsi="宋体" w:cs="宋体"/>
          <w:sz w:val="24"/>
        </w:rPr>
      </w:pPr>
      <w:r>
        <w:rPr>
          <w:rFonts w:hint="eastAsia" w:ascii="宋体" w:hAnsi="宋体" w:cs="宋体"/>
          <w:sz w:val="24"/>
        </w:rPr>
        <w:t>除不可抗力外，如果乙方没有按照本合同约定的期限、地点和方式交付标的物，那么甲方可要求乙方支付违约金，违约金按每迟延交付标的物一日的应交付而未交付标的物价格的</w:t>
      </w:r>
      <w:r>
        <w:rPr>
          <w:rFonts w:hint="eastAsia" w:ascii="宋体" w:hAnsi="宋体" w:cs="宋体"/>
          <w:sz w:val="24"/>
          <w:u w:val="single"/>
        </w:rPr>
        <w:t>万分之五</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%；迟延交付标的物的违约金计算数额达到前述最高限额之日起，甲方有权在要求乙方支付违约金的同时，书面通知乙方解除本合同；</w:t>
      </w:r>
    </w:p>
    <w:p w14:paraId="1102825F">
      <w:pPr>
        <w:numPr>
          <w:ilvl w:val="0"/>
          <w:numId w:val="8"/>
        </w:numPr>
        <w:spacing w:line="360" w:lineRule="auto"/>
        <w:ind w:left="0" w:firstLine="480" w:firstLineChars="200"/>
        <w:rPr>
          <w:rFonts w:hint="eastAsia" w:ascii="宋体" w:hAnsi="宋体" w:cs="宋体"/>
          <w:sz w:val="24"/>
        </w:rPr>
      </w:pP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万分之五</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2850251B">
      <w:pPr>
        <w:numPr>
          <w:ilvl w:val="0"/>
          <w:numId w:val="8"/>
        </w:numPr>
        <w:spacing w:line="360" w:lineRule="auto"/>
        <w:ind w:left="0" w:firstLine="480" w:firstLineChars="200"/>
        <w:rPr>
          <w:rFonts w:hint="eastAsia" w:ascii="宋体" w:hAnsi="宋体" w:cs="宋体"/>
          <w:sz w:val="24"/>
        </w:rPr>
      </w:pP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AC3F02">
      <w:pPr>
        <w:numPr>
          <w:ilvl w:val="0"/>
          <w:numId w:val="8"/>
        </w:numPr>
        <w:spacing w:line="360" w:lineRule="auto"/>
        <w:ind w:left="0" w:firstLine="480" w:firstLineChars="200"/>
        <w:rPr>
          <w:rFonts w:hint="eastAsia" w:ascii="宋体" w:hAnsi="宋体" w:cs="宋体"/>
          <w:sz w:val="24"/>
        </w:rPr>
      </w:pPr>
      <w:r>
        <w:rPr>
          <w:rFonts w:hint="eastAsia" w:ascii="宋体" w:hAnsi="宋体" w:cs="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BFA08C7">
      <w:pPr>
        <w:numPr>
          <w:ilvl w:val="0"/>
          <w:numId w:val="8"/>
        </w:numPr>
        <w:spacing w:line="360" w:lineRule="auto"/>
        <w:ind w:left="0" w:firstLine="480" w:firstLineChars="200"/>
        <w:rPr>
          <w:rFonts w:hint="eastAsia" w:ascii="宋体" w:hAnsi="宋体" w:cs="宋体"/>
          <w:sz w:val="24"/>
        </w:rPr>
      </w:pPr>
      <w:r>
        <w:rPr>
          <w:rFonts w:hint="eastAsia" w:ascii="宋体" w:hAnsi="宋体" w:cs="宋体"/>
          <w:sz w:val="24"/>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22FA2B5">
      <w:pPr>
        <w:spacing w:line="360" w:lineRule="auto"/>
        <w:ind w:firstLine="480" w:firstLineChars="200"/>
        <w:rPr>
          <w:rFonts w:hint="eastAsia" w:ascii="宋体" w:hAnsi="宋体" w:cs="宋体"/>
          <w:sz w:val="24"/>
        </w:rPr>
      </w:pPr>
      <w:r>
        <w:rPr>
          <w:rFonts w:hint="eastAsia" w:ascii="宋体" w:hAnsi="宋体" w:cs="宋体"/>
          <w:sz w:val="24"/>
        </w:rPr>
        <w:t>如果出现采购监督管理部门在处理投诉事项期间，书面通知甲方暂停采购活动的情形，或者询问或质疑事项可能影响中标结果的，导致甲方中止履行合同的情形，均不视为甲方违约。</w:t>
      </w:r>
    </w:p>
    <w:p w14:paraId="1881C4D6">
      <w:pPr>
        <w:spacing w:line="360" w:lineRule="auto"/>
        <w:ind w:firstLine="482" w:firstLineChars="200"/>
        <w:rPr>
          <w:rFonts w:hint="eastAsia" w:ascii="宋体" w:hAnsi="宋体" w:cs="宋体"/>
          <w:b/>
          <w:sz w:val="24"/>
        </w:rPr>
      </w:pPr>
      <w:r>
        <w:rPr>
          <w:rFonts w:hint="eastAsia" w:ascii="宋体" w:hAnsi="宋体" w:cs="宋体"/>
          <w:b/>
          <w:sz w:val="24"/>
        </w:rPr>
        <w:t>第十二条：不可抗力事件处理</w:t>
      </w:r>
    </w:p>
    <w:p w14:paraId="4568F95E">
      <w:pPr>
        <w:spacing w:line="360" w:lineRule="auto"/>
        <w:ind w:firstLine="480" w:firstLineChars="200"/>
        <w:rPr>
          <w:rFonts w:hint="eastAsia"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14:paraId="67336AC1">
      <w:pPr>
        <w:spacing w:line="360" w:lineRule="auto"/>
        <w:ind w:firstLine="480" w:firstLineChars="200"/>
        <w:rPr>
          <w:rFonts w:hint="eastAsia" w:ascii="宋体" w:hAnsi="宋体" w:cs="宋体"/>
          <w:sz w:val="24"/>
        </w:rPr>
      </w:pPr>
      <w:r>
        <w:rPr>
          <w:rFonts w:hint="eastAsia" w:ascii="宋体" w:hAnsi="宋体" w:cs="宋体"/>
          <w:sz w:val="24"/>
        </w:rPr>
        <w:t>2.不可抗力事件发生后，应立即通知对方，并寄送有关权威机构出具的证明。</w:t>
      </w:r>
    </w:p>
    <w:p w14:paraId="3A9365A0">
      <w:pPr>
        <w:spacing w:line="360" w:lineRule="auto"/>
        <w:ind w:firstLine="480" w:firstLineChars="200"/>
        <w:rPr>
          <w:rFonts w:hint="eastAsia" w:ascii="宋体" w:hAnsi="宋体" w:cs="宋体"/>
          <w:sz w:val="24"/>
        </w:rPr>
      </w:pPr>
      <w:r>
        <w:rPr>
          <w:rFonts w:hint="eastAsia" w:ascii="宋体" w:hAnsi="宋体" w:cs="宋体"/>
          <w:sz w:val="24"/>
        </w:rPr>
        <w:t>3.不可抗力事件延续120天以上，双方应通过友好协商，确定是否继续履行合同。</w:t>
      </w:r>
    </w:p>
    <w:p w14:paraId="43AE7A19">
      <w:pPr>
        <w:spacing w:line="360" w:lineRule="auto"/>
        <w:ind w:firstLine="482" w:firstLineChars="200"/>
        <w:rPr>
          <w:rFonts w:hint="eastAsia" w:ascii="宋体" w:hAnsi="宋体" w:cs="宋体"/>
          <w:b/>
          <w:sz w:val="24"/>
        </w:rPr>
      </w:pPr>
      <w:r>
        <w:rPr>
          <w:rFonts w:hint="eastAsia" w:ascii="宋体" w:hAnsi="宋体" w:cs="宋体"/>
          <w:b/>
          <w:sz w:val="24"/>
        </w:rPr>
        <w:t>第十三条：争议的解决</w:t>
      </w:r>
    </w:p>
    <w:p w14:paraId="178EFC28">
      <w:pPr>
        <w:spacing w:line="360" w:lineRule="auto"/>
        <w:ind w:firstLine="480" w:firstLineChars="200"/>
        <w:rPr>
          <w:rFonts w:hint="eastAsia" w:ascii="宋体" w:hAnsi="宋体" w:cs="宋体"/>
          <w:sz w:val="24"/>
        </w:rPr>
      </w:pPr>
      <w:r>
        <w:rPr>
          <w:rFonts w:hint="eastAsia" w:ascii="宋体" w:hAnsi="宋体" w:cs="宋体"/>
          <w:sz w:val="24"/>
        </w:rPr>
        <w:t>本合同为采购之合同，本合同中所指甲方与鉴证方享有同等权力，在发生服务的质量等问题时，甲方有权直接向乙方索赔，签订必要的书面处理协议。如协商不成，任何一方有权在合同签约地选择仲裁或诉讼的途径解决。</w:t>
      </w:r>
    </w:p>
    <w:p w14:paraId="636C53A9">
      <w:pPr>
        <w:spacing w:line="360" w:lineRule="auto"/>
        <w:ind w:firstLine="482" w:firstLineChars="200"/>
        <w:rPr>
          <w:rFonts w:hint="eastAsia" w:ascii="宋体" w:hAnsi="宋体" w:cs="宋体"/>
          <w:b/>
          <w:bCs/>
          <w:sz w:val="24"/>
        </w:rPr>
      </w:pPr>
      <w:r>
        <w:rPr>
          <w:rFonts w:hint="eastAsia" w:ascii="宋体" w:hAnsi="宋体" w:cs="宋体"/>
          <w:b/>
          <w:bCs/>
          <w:sz w:val="24"/>
        </w:rPr>
        <w:t>第十四条：合同的变更、中止和终止</w:t>
      </w:r>
    </w:p>
    <w:p w14:paraId="4DD25F06">
      <w:pPr>
        <w:numPr>
          <w:ilvl w:val="0"/>
          <w:numId w:val="9"/>
        </w:numPr>
        <w:spacing w:line="360" w:lineRule="auto"/>
        <w:ind w:left="0" w:firstLine="480" w:firstLineChars="200"/>
        <w:rPr>
          <w:rFonts w:hint="eastAsia" w:ascii="宋体" w:hAnsi="宋体" w:cs="宋体"/>
          <w:sz w:val="24"/>
        </w:rPr>
      </w:pPr>
      <w:r>
        <w:rPr>
          <w:rFonts w:hint="eastAsia" w:ascii="宋体" w:hAnsi="宋体" w:cs="宋体"/>
          <w:sz w:val="24"/>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A9440D9">
      <w:pPr>
        <w:numPr>
          <w:ilvl w:val="0"/>
          <w:numId w:val="9"/>
        </w:numPr>
        <w:spacing w:line="360" w:lineRule="auto"/>
        <w:ind w:left="0" w:firstLine="480" w:firstLineChars="200"/>
        <w:rPr>
          <w:rFonts w:hint="eastAsia" w:ascii="宋体" w:hAnsi="宋体" w:cs="宋体"/>
          <w:sz w:val="24"/>
        </w:rPr>
      </w:pPr>
      <w:r>
        <w:rPr>
          <w:rFonts w:hint="eastAsia" w:ascii="宋体" w:hAnsi="宋体" w:cs="宋体"/>
          <w:sz w:val="24"/>
        </w:rPr>
        <w:t>双方当事人不得擅自中止或者终止合同；</w:t>
      </w:r>
    </w:p>
    <w:p w14:paraId="44888C3D">
      <w:pPr>
        <w:numPr>
          <w:ilvl w:val="0"/>
          <w:numId w:val="9"/>
        </w:numPr>
        <w:spacing w:line="360" w:lineRule="auto"/>
        <w:ind w:left="0" w:firstLine="480" w:firstLineChars="200"/>
        <w:rPr>
          <w:rFonts w:hint="eastAsia" w:ascii="宋体" w:hAnsi="宋体" w:cs="宋体"/>
          <w:sz w:val="24"/>
        </w:rPr>
      </w:pPr>
      <w:r>
        <w:rPr>
          <w:rFonts w:hint="eastAsia" w:ascii="宋体" w:hAnsi="宋体" w:cs="宋体"/>
          <w:sz w:val="24"/>
        </w:rPr>
        <w:t>合同继续履行将损害国家利益和社会公共利益的，双方当事人应当以书面形式变更、中止或者终止合同。有过错的一方应当承担赔偿责任，双方当事人都有过错的，各自承担相应的责任。</w:t>
      </w:r>
    </w:p>
    <w:p w14:paraId="4578DDF8">
      <w:pPr>
        <w:widowControl/>
        <w:shd w:val="clear" w:color="auto" w:fill="FFFFFF"/>
        <w:wordWrap w:val="0"/>
        <w:topLinePunct/>
        <w:adjustRightInd w:val="0"/>
        <w:spacing w:line="360" w:lineRule="auto"/>
        <w:ind w:firstLine="480" w:firstLineChars="200"/>
        <w:jc w:val="left"/>
        <w:textAlignment w:val="baseline"/>
        <w:rPr>
          <w:rFonts w:hint="eastAsia" w:ascii="宋体" w:hAnsi="宋体" w:cs="宋体"/>
          <w:b/>
          <w:bCs/>
          <w:sz w:val="24"/>
        </w:rPr>
      </w:pPr>
      <w:r>
        <w:rPr>
          <w:rFonts w:hint="eastAsia" w:ascii="宋体" w:hAnsi="宋体" w:cs="宋体"/>
          <w:sz w:val="24"/>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48E85CD1">
      <w:pPr>
        <w:widowControl/>
        <w:shd w:val="clear" w:color="auto" w:fill="FFFFFF"/>
        <w:wordWrap w:val="0"/>
        <w:topLinePunct/>
        <w:adjustRightInd w:val="0"/>
        <w:spacing w:line="360" w:lineRule="auto"/>
        <w:ind w:firstLine="482" w:firstLineChars="200"/>
        <w:jc w:val="left"/>
        <w:textAlignment w:val="baseline"/>
        <w:rPr>
          <w:rFonts w:hint="eastAsia" w:ascii="宋体" w:hAnsi="宋体" w:cs="宋体"/>
          <w:b/>
          <w:kern w:val="0"/>
          <w:sz w:val="24"/>
        </w:rPr>
      </w:pPr>
      <w:r>
        <w:rPr>
          <w:rFonts w:hint="eastAsia" w:ascii="宋体" w:hAnsi="宋体" w:cs="宋体"/>
          <w:b/>
          <w:bCs/>
          <w:sz w:val="24"/>
        </w:rPr>
        <w:t>第十五条：</w:t>
      </w:r>
      <w:r>
        <w:rPr>
          <w:rFonts w:hint="eastAsia" w:ascii="宋体" w:hAnsi="宋体" w:cs="宋体"/>
          <w:b/>
          <w:kern w:val="0"/>
          <w:sz w:val="24"/>
        </w:rPr>
        <w:t>合同的生效</w:t>
      </w:r>
    </w:p>
    <w:p w14:paraId="153DA315">
      <w:pPr>
        <w:widowControl/>
        <w:shd w:val="clear" w:color="auto" w:fill="FFFFFF"/>
        <w:wordWrap w:val="0"/>
        <w:topLinePunct/>
        <w:adjustRightInd w:val="0"/>
        <w:spacing w:line="360" w:lineRule="auto"/>
        <w:ind w:firstLine="480" w:firstLineChars="200"/>
        <w:jc w:val="left"/>
        <w:textAlignment w:val="baseline"/>
        <w:rPr>
          <w:rFonts w:hint="eastAsia" w:ascii="宋体" w:hAnsi="宋体" w:cs="宋体"/>
          <w:bCs/>
          <w:sz w:val="24"/>
        </w:rPr>
      </w:pPr>
      <w:r>
        <w:rPr>
          <w:rFonts w:hint="eastAsia" w:ascii="宋体" w:hAnsi="宋体" w:cs="宋体"/>
          <w:bCs/>
          <w:sz w:val="24"/>
        </w:rPr>
        <w:t>本合同经甲方和乙方法定代表人或其委托人签字并加盖双方公章后生效。</w:t>
      </w:r>
    </w:p>
    <w:p w14:paraId="78A61858">
      <w:pPr>
        <w:spacing w:line="360" w:lineRule="auto"/>
        <w:ind w:firstLine="480" w:firstLineChars="200"/>
        <w:rPr>
          <w:rFonts w:hint="eastAsia" w:ascii="宋体" w:hAnsi="宋体" w:cs="宋体"/>
          <w:sz w:val="24"/>
        </w:rPr>
      </w:pPr>
      <w:r>
        <w:rPr>
          <w:rFonts w:hint="eastAsia" w:ascii="宋体" w:hAnsi="宋体" w:cs="宋体"/>
          <w:sz w:val="24"/>
        </w:rPr>
        <w:t>本合同一式肆份，甲乙双方各执贰份。</w:t>
      </w:r>
    </w:p>
    <w:p w14:paraId="1700DF42">
      <w:pPr>
        <w:spacing w:line="360" w:lineRule="auto"/>
        <w:ind w:firstLine="482" w:firstLineChars="200"/>
        <w:rPr>
          <w:rFonts w:hint="eastAsia" w:ascii="宋体" w:hAnsi="宋体" w:cs="宋体"/>
          <w:b/>
          <w:bCs/>
          <w:sz w:val="24"/>
        </w:rPr>
      </w:pPr>
      <w:r>
        <w:rPr>
          <w:rFonts w:hint="eastAsia" w:ascii="宋体" w:hAnsi="宋体" w:cs="宋体"/>
          <w:b/>
          <w:bCs/>
          <w:sz w:val="24"/>
        </w:rPr>
        <w:t>第十六条：适用法律</w:t>
      </w:r>
    </w:p>
    <w:p w14:paraId="1781A10C">
      <w:pPr>
        <w:spacing w:line="360" w:lineRule="auto"/>
        <w:ind w:firstLine="480" w:firstLineChars="200"/>
        <w:rPr>
          <w:rFonts w:hint="eastAsia" w:ascii="宋体" w:hAnsi="宋体" w:cs="宋体"/>
          <w:sz w:val="24"/>
        </w:rPr>
      </w:pPr>
      <w:r>
        <w:rPr>
          <w:rFonts w:hint="eastAsia" w:ascii="宋体" w:hAnsi="宋体" w:cs="宋体"/>
          <w:sz w:val="24"/>
        </w:rPr>
        <w:t>本合同按照中华人民共和国现行法律、法规进行解释。</w:t>
      </w:r>
    </w:p>
    <w:p w14:paraId="630C1A6E">
      <w:pPr>
        <w:spacing w:line="360" w:lineRule="auto"/>
        <w:ind w:firstLine="482" w:firstLineChars="200"/>
        <w:rPr>
          <w:rFonts w:hint="eastAsia" w:ascii="宋体" w:hAnsi="宋体" w:cs="宋体"/>
          <w:b/>
          <w:bCs/>
          <w:sz w:val="24"/>
        </w:rPr>
      </w:pPr>
      <w:r>
        <w:rPr>
          <w:rFonts w:hint="eastAsia" w:ascii="宋体" w:hAnsi="宋体" w:cs="宋体"/>
          <w:b/>
          <w:bCs/>
          <w:sz w:val="24"/>
        </w:rPr>
        <w:t>第十七条：特别说明</w:t>
      </w:r>
    </w:p>
    <w:p w14:paraId="625EDC54">
      <w:pPr>
        <w:numPr>
          <w:ilvl w:val="0"/>
          <w:numId w:val="10"/>
        </w:numPr>
        <w:spacing w:line="360" w:lineRule="auto"/>
        <w:ind w:left="0" w:firstLine="480" w:firstLineChars="200"/>
        <w:rPr>
          <w:rFonts w:hint="eastAsia" w:ascii="宋体" w:hAnsi="宋体" w:cs="宋体"/>
          <w:sz w:val="24"/>
        </w:rPr>
      </w:pPr>
      <w:r>
        <w:rPr>
          <w:rFonts w:hint="eastAsia" w:ascii="宋体" w:hAnsi="宋体" w:cs="宋体"/>
          <w:sz w:val="24"/>
        </w:rPr>
        <w:t>除招标文件规定，并经甲方和相关部门事先书面同意外，乙方不得部分转让和分包或全部转让和分包其应履行的合同义务。</w:t>
      </w:r>
    </w:p>
    <w:p w14:paraId="6C3771B5">
      <w:pPr>
        <w:numPr>
          <w:ilvl w:val="0"/>
          <w:numId w:val="10"/>
        </w:numPr>
        <w:spacing w:line="360" w:lineRule="auto"/>
        <w:ind w:left="0" w:firstLine="480" w:firstLineChars="200"/>
        <w:rPr>
          <w:rFonts w:hint="eastAsia" w:ascii="宋体" w:hAnsi="宋体" w:cs="宋体"/>
          <w:sz w:val="24"/>
        </w:rPr>
      </w:pPr>
      <w:r>
        <w:rPr>
          <w:rFonts w:hint="eastAsia" w:ascii="宋体" w:hAnsi="宋体" w:cs="宋体"/>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26121BE0">
      <w:pPr>
        <w:spacing w:line="360" w:lineRule="auto"/>
        <w:ind w:left="420" w:leftChars="200"/>
        <w:rPr>
          <w:rFonts w:hint="eastAsia" w:ascii="宋体" w:hAnsi="宋体" w:cs="宋体"/>
          <w:sz w:val="24"/>
        </w:rPr>
      </w:pPr>
      <w:r>
        <w:rPr>
          <w:rFonts w:hint="eastAsia" w:ascii="宋体" w:hAnsi="宋体" w:cs="宋体"/>
          <w:sz w:val="24"/>
        </w:rPr>
        <w:t>3.甲方及乙方在此承诺：</w:t>
      </w:r>
    </w:p>
    <w:p w14:paraId="1FC4223D">
      <w:pPr>
        <w:spacing w:line="360" w:lineRule="auto"/>
        <w:ind w:firstLine="480" w:firstLineChars="200"/>
        <w:rPr>
          <w:rFonts w:hint="eastAsia" w:ascii="宋体" w:hAnsi="宋体" w:cs="宋体"/>
          <w:sz w:val="24"/>
        </w:rPr>
      </w:pPr>
      <w:r>
        <w:rPr>
          <w:rFonts w:hint="eastAsia" w:ascii="宋体" w:hAnsi="宋体" w:cs="宋体"/>
          <w:sz w:val="24"/>
        </w:rPr>
        <w:t>（1）在签署本合同之前详细阅读并理解本合同文本全文，且均在完全自愿与平等的法律地位基础上签署本合同。</w:t>
      </w:r>
    </w:p>
    <w:p w14:paraId="42624B09">
      <w:pPr>
        <w:spacing w:line="360" w:lineRule="auto"/>
        <w:ind w:firstLine="480" w:firstLineChars="200"/>
        <w:rPr>
          <w:rFonts w:hint="eastAsia" w:ascii="宋体" w:hAnsi="宋体" w:cs="宋体"/>
          <w:sz w:val="24"/>
        </w:rPr>
      </w:pPr>
      <w:r>
        <w:rPr>
          <w:rFonts w:hint="eastAsia" w:ascii="宋体" w:hAnsi="宋体" w:cs="宋体"/>
          <w:sz w:val="24"/>
        </w:rPr>
        <w:t>（2）承诺放弃以本合同系属于格式合同为由而提出不利于对方的合同条款的解释的相关主张权。</w:t>
      </w:r>
    </w:p>
    <w:p w14:paraId="4FE5800B">
      <w:pPr>
        <w:spacing w:line="360" w:lineRule="auto"/>
        <w:ind w:firstLine="480" w:firstLineChars="200"/>
        <w:rPr>
          <w:rFonts w:hint="eastAsia" w:ascii="宋体" w:hAnsi="宋体" w:cs="宋体"/>
          <w:sz w:val="24"/>
        </w:rPr>
      </w:pPr>
      <w:r>
        <w:rPr>
          <w:rFonts w:hint="eastAsia" w:ascii="宋体" w:hAnsi="宋体" w:cs="宋体"/>
          <w:sz w:val="24"/>
        </w:rPr>
        <w:t>（3）对同一条款含义存在不同解释时，应采用与招标文件及其目的最接近的解释。当本合同双方对同一条款含义存在不同解释时，应当以本合同版本发布者或质疑受理机构、投诉受理机构的解释为准。</w:t>
      </w:r>
    </w:p>
    <w:p w14:paraId="326E15CA">
      <w:pPr>
        <w:spacing w:line="360" w:lineRule="auto"/>
        <w:ind w:firstLine="480" w:firstLineChars="200"/>
        <w:jc w:val="right"/>
        <w:rPr>
          <w:rFonts w:hint="eastAsia" w:ascii="宋体" w:hAnsi="宋体" w:cs="宋体"/>
          <w:sz w:val="24"/>
        </w:rPr>
      </w:pPr>
      <w:r>
        <w:rPr>
          <w:rFonts w:hint="eastAsia" w:ascii="宋体" w:hAnsi="宋体" w:cs="宋体"/>
          <w:sz w:val="24"/>
        </w:rPr>
        <w:t>甲方（公章）：                       乙方（公章）：如为联合体的，联合体各方均需进行签字盖章</w:t>
      </w:r>
    </w:p>
    <w:p w14:paraId="4446C086">
      <w:pPr>
        <w:spacing w:line="360" w:lineRule="auto"/>
        <w:ind w:firstLine="480" w:firstLineChars="200"/>
        <w:rPr>
          <w:rFonts w:hint="eastAsia" w:ascii="宋体" w:hAnsi="宋体" w:cs="宋体"/>
          <w:sz w:val="24"/>
        </w:rPr>
      </w:pPr>
      <w:r>
        <w:rPr>
          <w:rFonts w:hint="eastAsia" w:ascii="宋体" w:hAnsi="宋体" w:cs="宋体"/>
          <w:sz w:val="24"/>
        </w:rPr>
        <w:t>法定代表人或受委托人（签字或盖章）    法定代表人或受委托人（签字或盖章）</w:t>
      </w:r>
    </w:p>
    <w:p w14:paraId="69549BDC">
      <w:pPr>
        <w:spacing w:line="360" w:lineRule="auto"/>
        <w:ind w:firstLine="480" w:firstLineChars="200"/>
        <w:rPr>
          <w:rFonts w:hint="eastAsia" w:ascii="宋体" w:hAnsi="宋体" w:cs="宋体"/>
          <w:sz w:val="24"/>
        </w:rPr>
      </w:pPr>
      <w:r>
        <w:rPr>
          <w:rFonts w:hint="eastAsia" w:ascii="宋体" w:hAnsi="宋体" w:cs="宋体"/>
          <w:sz w:val="24"/>
        </w:rPr>
        <w:t>地址：                               地址：</w:t>
      </w:r>
    </w:p>
    <w:p w14:paraId="6DEC3630">
      <w:pPr>
        <w:spacing w:line="360" w:lineRule="auto"/>
        <w:ind w:firstLine="480" w:firstLineChars="200"/>
        <w:rPr>
          <w:rFonts w:hint="eastAsia" w:ascii="宋体" w:hAnsi="宋体" w:cs="宋体"/>
          <w:sz w:val="24"/>
        </w:rPr>
      </w:pPr>
      <w:r>
        <w:rPr>
          <w:rFonts w:hint="eastAsia" w:ascii="宋体" w:hAnsi="宋体" w:cs="宋体"/>
          <w:sz w:val="24"/>
        </w:rPr>
        <w:t>电话：                               电话：</w:t>
      </w:r>
    </w:p>
    <w:p w14:paraId="19E7C587">
      <w:pPr>
        <w:spacing w:line="360" w:lineRule="auto"/>
        <w:ind w:firstLine="480" w:firstLineChars="200"/>
        <w:rPr>
          <w:rFonts w:hint="eastAsia" w:ascii="宋体" w:hAnsi="宋体" w:cs="宋体"/>
          <w:sz w:val="24"/>
        </w:rPr>
      </w:pPr>
      <w:r>
        <w:rPr>
          <w:rFonts w:hint="eastAsia" w:ascii="宋体" w:hAnsi="宋体" w:cs="宋体"/>
          <w:sz w:val="24"/>
        </w:rPr>
        <w:t>签约时间：    年  月  日</w:t>
      </w:r>
    </w:p>
    <w:p w14:paraId="6B9189B5">
      <w:pPr>
        <w:spacing w:line="360" w:lineRule="auto"/>
        <w:ind w:firstLine="480" w:firstLineChars="200"/>
        <w:rPr>
          <w:rFonts w:hint="eastAsia" w:ascii="宋体" w:hAnsi="宋体" w:cs="宋体"/>
          <w:sz w:val="24"/>
        </w:rPr>
      </w:pPr>
      <w:r>
        <w:rPr>
          <w:rFonts w:hint="eastAsia" w:ascii="宋体" w:hAnsi="宋体" w:cs="宋体"/>
          <w:sz w:val="24"/>
        </w:rPr>
        <w:t xml:space="preserve">                                  　签约地点：</w:t>
      </w:r>
    </w:p>
    <w:p w14:paraId="794C0EB3">
      <w:pPr>
        <w:spacing w:line="360" w:lineRule="auto"/>
        <w:outlineLvl w:val="0"/>
        <w:rPr>
          <w:rFonts w:hint="eastAsia" w:ascii="宋体" w:hAnsi="宋体" w:cs="宋体"/>
          <w:b/>
          <w:sz w:val="36"/>
          <w:szCs w:val="20"/>
        </w:rPr>
        <w:sectPr>
          <w:footerReference r:id="rId13" w:type="first"/>
          <w:headerReference r:id="rId11" w:type="default"/>
          <w:footerReference r:id="rId12" w:type="default"/>
          <w:pgSz w:w="11906" w:h="16838"/>
          <w:pgMar w:top="1440" w:right="1418" w:bottom="1440" w:left="1418" w:header="851" w:footer="992" w:gutter="0"/>
          <w:pgNumType w:fmt="decimal"/>
          <w:cols w:space="0" w:num="1"/>
          <w:docGrid w:linePitch="312" w:charSpace="0"/>
        </w:sectPr>
      </w:pPr>
    </w:p>
    <w:p w14:paraId="08DA1E95">
      <w:pPr>
        <w:pStyle w:val="182"/>
        <w:spacing w:line="360" w:lineRule="auto"/>
        <w:outlineLvl w:val="0"/>
        <w:rPr>
          <w:rFonts w:hint="eastAsia"/>
        </w:rPr>
      </w:pPr>
      <w:r>
        <w:rPr>
          <w:rFonts w:hint="eastAsia"/>
        </w:rPr>
        <w:t>第六章  投标文件格式</w:t>
      </w:r>
    </w:p>
    <w:p w14:paraId="32D3FC84">
      <w:pPr>
        <w:snapToGrid w:val="0"/>
        <w:spacing w:before="120" w:beforeLines="50" w:after="50" w:line="380" w:lineRule="exact"/>
        <w:ind w:firstLine="645"/>
        <w:jc w:val="center"/>
        <w:rPr>
          <w:rFonts w:hint="eastAsia" w:asciiTheme="minorEastAsia" w:hAnsiTheme="minorEastAsia" w:eastAsiaTheme="minorEastAsia"/>
          <w:bCs/>
          <w:sz w:val="24"/>
        </w:rPr>
      </w:pPr>
    </w:p>
    <w:p w14:paraId="098B2B40">
      <w:pPr>
        <w:snapToGrid w:val="0"/>
        <w:spacing w:before="120" w:beforeLines="50" w:after="50"/>
        <w:rPr>
          <w:rFonts w:hint="eastAsia" w:asciiTheme="minorEastAsia" w:hAnsiTheme="minorEastAsia" w:eastAsiaTheme="minorEastAsia"/>
          <w:b/>
          <w:sz w:val="24"/>
        </w:rPr>
      </w:pPr>
      <w:r>
        <w:rPr>
          <w:rFonts w:hint="eastAsia" w:asciiTheme="minorEastAsia" w:hAnsiTheme="minorEastAsia" w:eastAsiaTheme="minorEastAsia"/>
          <w:b/>
          <w:sz w:val="24"/>
        </w:rPr>
        <w:t xml:space="preserve">1.资格、商务技术（报价）文件封面格式： </w:t>
      </w:r>
    </w:p>
    <w:p w14:paraId="3B06DAD1">
      <w:pPr>
        <w:snapToGrid w:val="0"/>
        <w:spacing w:before="120" w:beforeLines="50" w:after="50" w:line="360" w:lineRule="exact"/>
        <w:jc w:val="center"/>
        <w:rPr>
          <w:rFonts w:hint="eastAsia" w:asciiTheme="minorEastAsia" w:hAnsiTheme="minorEastAsia" w:eastAsiaTheme="minorEastAsia"/>
          <w:bCs/>
          <w:sz w:val="24"/>
        </w:rPr>
      </w:pPr>
      <w:r>
        <w:rPr>
          <w:rFonts w:hint="eastAsia" w:asciiTheme="minorEastAsia" w:hAnsiTheme="minorEastAsia" w:eastAsiaTheme="minorEastAsia"/>
          <w:bCs/>
          <w:sz w:val="24"/>
        </w:rPr>
        <w:t>×××（投标人名称）</w:t>
      </w:r>
    </w:p>
    <w:p w14:paraId="11054FFB">
      <w:pPr>
        <w:snapToGrid w:val="0"/>
        <w:spacing w:before="120" w:beforeLines="50" w:after="50" w:line="360" w:lineRule="exact"/>
        <w:jc w:val="center"/>
        <w:rPr>
          <w:rFonts w:hint="eastAsia" w:asciiTheme="minorEastAsia" w:hAnsiTheme="minorEastAsia" w:eastAsiaTheme="minorEastAsia"/>
          <w:bCs/>
          <w:sz w:val="24"/>
        </w:rPr>
      </w:pPr>
      <w:r>
        <w:rPr>
          <w:rFonts w:hint="eastAsia" w:asciiTheme="minorEastAsia" w:hAnsiTheme="minorEastAsia" w:eastAsiaTheme="minorEastAsia"/>
          <w:sz w:val="24"/>
        </w:rPr>
        <w:t>资格、</w:t>
      </w:r>
      <w:r>
        <w:rPr>
          <w:rFonts w:hint="eastAsia" w:asciiTheme="minorEastAsia" w:hAnsiTheme="minorEastAsia" w:eastAsiaTheme="minorEastAsia"/>
          <w:sz w:val="24"/>
          <w:lang w:val="zh-CN"/>
        </w:rPr>
        <w:t>商务技术</w:t>
      </w:r>
      <w:r>
        <w:rPr>
          <w:rFonts w:hint="eastAsia" w:asciiTheme="minorEastAsia" w:hAnsiTheme="minorEastAsia" w:eastAsiaTheme="minorEastAsia"/>
          <w:sz w:val="24"/>
        </w:rPr>
        <w:t>（报价）</w:t>
      </w:r>
      <w:r>
        <w:rPr>
          <w:rFonts w:hint="eastAsia" w:asciiTheme="minorEastAsia" w:hAnsiTheme="minorEastAsia" w:eastAsiaTheme="minorEastAsia"/>
          <w:bCs/>
          <w:sz w:val="24"/>
        </w:rPr>
        <w:t>文 件</w:t>
      </w:r>
    </w:p>
    <w:p w14:paraId="13DA11AD">
      <w:pPr>
        <w:snapToGrid w:val="0"/>
        <w:spacing w:before="120" w:beforeLines="50" w:after="50" w:line="360" w:lineRule="auto"/>
        <w:ind w:firstLine="960" w:firstLineChars="400"/>
        <w:rPr>
          <w:rFonts w:hint="eastAsia" w:asciiTheme="minorEastAsia" w:hAnsiTheme="minorEastAsia" w:eastAsiaTheme="minorEastAsia"/>
          <w:bCs/>
          <w:sz w:val="24"/>
        </w:rPr>
      </w:pPr>
      <w:r>
        <w:rPr>
          <w:rFonts w:hint="eastAsia" w:asciiTheme="minorEastAsia" w:hAnsiTheme="minorEastAsia" w:eastAsiaTheme="minorEastAsia"/>
          <w:bCs/>
          <w:sz w:val="24"/>
        </w:rPr>
        <w:t>项目名称：</w:t>
      </w:r>
    </w:p>
    <w:p w14:paraId="2FE4C3E2">
      <w:pPr>
        <w:snapToGrid w:val="0"/>
        <w:spacing w:before="120" w:beforeLines="50" w:after="50"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    项目编号：</w:t>
      </w:r>
    </w:p>
    <w:p w14:paraId="763B8B1E">
      <w:pPr>
        <w:pStyle w:val="9"/>
        <w:snapToGrid w:val="0"/>
        <w:spacing w:before="50" w:after="50" w:line="360" w:lineRule="auto"/>
        <w:ind w:firstLine="998" w:firstLineChars="416"/>
        <w:rPr>
          <w:rFonts w:hint="eastAsia" w:asciiTheme="minorEastAsia" w:hAnsiTheme="minorEastAsia" w:eastAsiaTheme="minorEastAsia"/>
          <w:bCs/>
          <w:sz w:val="24"/>
        </w:rPr>
      </w:pPr>
      <w:r>
        <w:rPr>
          <w:rFonts w:asciiTheme="minorEastAsia" w:hAnsiTheme="minorEastAsia" w:eastAsiaTheme="minorEastAsia"/>
          <w:bCs/>
          <w:sz w:val="24"/>
        </w:rPr>
        <w:t>投标人名称（盖章）：</w:t>
      </w:r>
    </w:p>
    <w:p w14:paraId="6554EBD1">
      <w:pPr>
        <w:pStyle w:val="9"/>
        <w:snapToGrid w:val="0"/>
        <w:spacing w:before="50" w:after="50" w:line="360" w:lineRule="auto"/>
        <w:ind w:firstLine="998" w:firstLineChars="416"/>
        <w:rPr>
          <w:rFonts w:hint="eastAsia" w:asciiTheme="minorEastAsia" w:hAnsiTheme="minorEastAsia" w:eastAsiaTheme="minorEastAsia"/>
          <w:bCs/>
          <w:sz w:val="24"/>
        </w:rPr>
      </w:pPr>
      <w:r>
        <w:rPr>
          <w:rFonts w:asciiTheme="minorEastAsia" w:hAnsiTheme="minorEastAsia" w:eastAsiaTheme="minorEastAsia"/>
          <w:bCs/>
          <w:sz w:val="24"/>
        </w:rPr>
        <w:t>投标人地址：</w:t>
      </w:r>
    </w:p>
    <w:p w14:paraId="05E79CC0">
      <w:pPr>
        <w:snapToGrid w:val="0"/>
        <w:spacing w:before="120" w:beforeLines="50" w:after="50" w:line="360" w:lineRule="exact"/>
        <w:ind w:firstLine="4080" w:firstLineChars="1700"/>
        <w:rPr>
          <w:rFonts w:hint="eastAsia" w:asciiTheme="minorEastAsia" w:hAnsiTheme="minorEastAsia" w:eastAsiaTheme="minorEastAsia"/>
          <w:sz w:val="24"/>
        </w:rPr>
      </w:pPr>
      <w:r>
        <w:rPr>
          <w:rFonts w:hint="eastAsia" w:asciiTheme="minorEastAsia" w:hAnsiTheme="minorEastAsia" w:eastAsiaTheme="minorEastAsia"/>
          <w:sz w:val="24"/>
        </w:rPr>
        <w:t>法定代表人签字或盖章：</w:t>
      </w:r>
    </w:p>
    <w:p w14:paraId="217533D7">
      <w:pPr>
        <w:snapToGrid w:val="0"/>
        <w:spacing w:before="120" w:beforeLines="50" w:after="50" w:line="360" w:lineRule="exact"/>
        <w:ind w:firstLine="4080" w:firstLineChars="1700"/>
        <w:rPr>
          <w:rFonts w:hint="eastAsia" w:asciiTheme="minorEastAsia" w:hAnsiTheme="minorEastAsia" w:eastAsiaTheme="minorEastAsia"/>
          <w:sz w:val="24"/>
        </w:rPr>
      </w:pPr>
    </w:p>
    <w:p w14:paraId="28527A86">
      <w:pPr>
        <w:snapToGrid w:val="0"/>
        <w:spacing w:before="120" w:beforeLines="50" w:after="50" w:line="360" w:lineRule="exact"/>
        <w:ind w:firstLine="645"/>
        <w:jc w:val="center"/>
        <w:rPr>
          <w:rFonts w:hint="eastAsia" w:asciiTheme="minorEastAsia" w:hAnsiTheme="minorEastAsia" w:eastAsiaTheme="minorEastAsia"/>
          <w:sz w:val="24"/>
        </w:rPr>
      </w:pPr>
      <w:r>
        <w:rPr>
          <w:rFonts w:hint="eastAsia" w:asciiTheme="minorEastAsia" w:hAnsiTheme="minorEastAsia" w:eastAsiaTheme="minorEastAsia"/>
          <w:sz w:val="24"/>
        </w:rPr>
        <w:t>年 月 日</w:t>
      </w:r>
    </w:p>
    <w:p w14:paraId="7F334217">
      <w:pPr>
        <w:snapToGrid w:val="0"/>
        <w:spacing w:before="120" w:beforeLines="50" w:after="50" w:line="360" w:lineRule="exact"/>
        <w:ind w:firstLine="645"/>
        <w:jc w:val="center"/>
        <w:rPr>
          <w:rFonts w:hint="eastAsia" w:asciiTheme="minorEastAsia" w:hAnsiTheme="minorEastAsia" w:eastAsiaTheme="minorEastAsia"/>
          <w:bCs/>
          <w:sz w:val="24"/>
        </w:rPr>
      </w:pPr>
    </w:p>
    <w:p w14:paraId="6C7B5D45">
      <w:pPr>
        <w:snapToGrid w:val="0"/>
        <w:spacing w:before="120" w:beforeLines="50" w:after="50" w:line="380" w:lineRule="exact"/>
        <w:ind w:firstLine="645"/>
        <w:rPr>
          <w:rFonts w:hint="eastAsia" w:asciiTheme="minorEastAsia" w:hAnsiTheme="minorEastAsia" w:eastAsiaTheme="minorEastAsia"/>
          <w:b/>
          <w:bCs/>
          <w:sz w:val="24"/>
        </w:rPr>
      </w:pPr>
      <w:r>
        <w:rPr>
          <w:rFonts w:hint="eastAsia" w:asciiTheme="minorEastAsia" w:hAnsiTheme="minorEastAsia" w:eastAsiaTheme="minorEastAsia"/>
          <w:sz w:val="24"/>
        </w:rPr>
        <w:t>注：投标人应按资格文件、商务技术文件、报价文件</w:t>
      </w:r>
      <w:r>
        <w:rPr>
          <w:rFonts w:hint="eastAsia" w:asciiTheme="minorEastAsia" w:hAnsiTheme="minorEastAsia" w:eastAsiaTheme="minorEastAsia"/>
          <w:b/>
          <w:sz w:val="24"/>
        </w:rPr>
        <w:t>分别进行编制。</w:t>
      </w:r>
    </w:p>
    <w:p w14:paraId="53B61614">
      <w:pPr>
        <w:snapToGrid w:val="0"/>
        <w:spacing w:line="360" w:lineRule="auto"/>
        <w:ind w:firstLine="360" w:firstLineChars="150"/>
        <w:rPr>
          <w:rFonts w:hint="eastAsia" w:asciiTheme="minorEastAsia" w:hAnsiTheme="minorEastAsia" w:eastAsiaTheme="minorEastAsia"/>
          <w:sz w:val="24"/>
        </w:rPr>
      </w:pPr>
      <w:r>
        <w:rPr>
          <w:rFonts w:hint="eastAsia" w:asciiTheme="minorEastAsia" w:hAnsiTheme="minorEastAsia" w:eastAsiaTheme="minorEastAsia"/>
          <w:sz w:val="24"/>
        </w:rPr>
        <w:br w:type="page"/>
      </w:r>
    </w:p>
    <w:p w14:paraId="5476A73C">
      <w:pPr>
        <w:snapToGrid w:val="0"/>
        <w:spacing w:before="50" w:after="50"/>
        <w:jc w:val="center"/>
        <w:rPr>
          <w:rFonts w:hint="eastAsia" w:asciiTheme="minorEastAsia" w:hAnsiTheme="minorEastAsia" w:eastAsiaTheme="minorEastAsia"/>
          <w:b/>
          <w:sz w:val="36"/>
          <w:szCs w:val="36"/>
        </w:rPr>
        <w:sectPr>
          <w:pgSz w:w="11906" w:h="16838"/>
          <w:pgMar w:top="1400" w:right="1531" w:bottom="471" w:left="1531" w:header="851" w:footer="851" w:gutter="0"/>
          <w:pgNumType w:fmt="decimal" w:chapStyle="1" w:chapSep="colon"/>
          <w:cols w:space="720" w:num="1"/>
        </w:sectPr>
      </w:pPr>
    </w:p>
    <w:p w14:paraId="5CBC72CA">
      <w:pPr>
        <w:snapToGrid w:val="0"/>
        <w:spacing w:line="440" w:lineRule="exact"/>
        <w:ind w:firstLine="630" w:firstLineChars="196"/>
        <w:rPr>
          <w:rFonts w:hint="eastAsia" w:ascii="宋体" w:hAnsi="宋体" w:cs="宋体"/>
          <w:b/>
          <w:sz w:val="32"/>
        </w:rPr>
      </w:pPr>
    </w:p>
    <w:p w14:paraId="448C9343">
      <w:pPr>
        <w:widowControl/>
        <w:jc w:val="left"/>
        <w:rPr>
          <w:rFonts w:hint="eastAsia" w:ascii="宋体" w:hAnsi="宋体" w:cs="宋体"/>
          <w:b/>
          <w:kern w:val="0"/>
          <w:sz w:val="28"/>
          <w:szCs w:val="28"/>
          <w:lang w:bidi="ar"/>
        </w:rPr>
      </w:pPr>
      <w:r>
        <w:rPr>
          <w:rFonts w:hint="eastAsia" w:ascii="宋体" w:hAnsi="宋体" w:cs="宋体"/>
          <w:b/>
          <w:kern w:val="0"/>
          <w:sz w:val="28"/>
          <w:szCs w:val="28"/>
          <w:lang w:bidi="ar"/>
        </w:rPr>
        <w:t>1.资格文件目录</w:t>
      </w:r>
    </w:p>
    <w:p w14:paraId="5FFA500C">
      <w:pPr>
        <w:snapToGrid w:val="0"/>
        <w:spacing w:line="360" w:lineRule="auto"/>
        <w:ind w:firstLine="360" w:firstLineChars="15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（1）营业执照；</w:t>
      </w:r>
    </w:p>
    <w:p w14:paraId="20DDCCFB">
      <w:pPr>
        <w:snapToGrid w:val="0"/>
        <w:spacing w:line="360" w:lineRule="auto"/>
        <w:ind w:firstLine="360" w:firstLineChars="150"/>
        <w:rPr>
          <w:rFonts w:hint="eastAsia" w:cs="宋体" w:asciiTheme="minorEastAsia" w:hAnsiTheme="minorEastAsia" w:eastAsiaTheme="minorEastAsia"/>
          <w:snapToGrid w:val="0"/>
          <w:kern w:val="28"/>
          <w:sz w:val="24"/>
          <w:szCs w:val="20"/>
          <w:lang w:val="zh-CN"/>
        </w:rPr>
      </w:pPr>
      <w:r>
        <w:rPr>
          <w:rFonts w:hint="eastAsia" w:cs="宋体" w:asciiTheme="minorEastAsia" w:hAnsiTheme="minorEastAsia" w:eastAsiaTheme="minorEastAsia"/>
          <w:snapToGrid w:val="0"/>
          <w:kern w:val="28"/>
          <w:sz w:val="24"/>
          <w:szCs w:val="20"/>
        </w:rPr>
        <w:t>（2）符合参加采购活动应当具备的一般条件的承诺函；</w:t>
      </w:r>
    </w:p>
    <w:p w14:paraId="780D6CE2">
      <w:pPr>
        <w:snapToGrid w:val="0"/>
        <w:spacing w:line="360" w:lineRule="auto"/>
        <w:ind w:firstLine="360" w:firstLineChars="15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（3）本项目的特定资格要求；</w:t>
      </w:r>
    </w:p>
    <w:p w14:paraId="361700AE">
      <w:pPr>
        <w:snapToGrid w:val="0"/>
        <w:spacing w:line="360" w:lineRule="auto"/>
        <w:ind w:firstLine="360" w:firstLineChars="150"/>
        <w:rPr>
          <w:rFonts w:hint="eastAsia" w:asciiTheme="minorEastAsia" w:hAnsiTheme="minorEastAsia" w:eastAsiaTheme="minorEastAsia"/>
          <w:sz w:val="24"/>
        </w:rPr>
      </w:pPr>
      <w:r>
        <w:rPr>
          <w:rFonts w:hint="eastAsia" w:asciiTheme="minorEastAsia" w:hAnsiTheme="minorEastAsia" w:eastAsiaTheme="minorEastAsia"/>
          <w:sz w:val="24"/>
        </w:rPr>
        <w:t>（4）</w:t>
      </w:r>
      <w:r>
        <w:rPr>
          <w:rFonts w:hint="eastAsia" w:cs="宋体" w:asciiTheme="minorEastAsia" w:hAnsiTheme="minorEastAsia" w:eastAsiaTheme="minorEastAsia"/>
          <w:snapToGrid w:val="0"/>
          <w:kern w:val="28"/>
          <w:sz w:val="24"/>
          <w:szCs w:val="20"/>
        </w:rPr>
        <w:t>联合协议（如果有，</w:t>
      </w:r>
      <w:r>
        <w:rPr>
          <w:rFonts w:hint="eastAsia" w:asciiTheme="minorEastAsia" w:hAnsiTheme="minorEastAsia" w:eastAsiaTheme="minorEastAsia"/>
          <w:sz w:val="24"/>
        </w:rPr>
        <w:t>格式自拟)；</w:t>
      </w:r>
    </w:p>
    <w:p w14:paraId="6D410032">
      <w:pPr>
        <w:widowControl/>
        <w:jc w:val="left"/>
        <w:rPr>
          <w:rFonts w:hint="eastAsia" w:ascii="宋体" w:hAnsi="宋体" w:cs="宋体"/>
          <w:b/>
          <w:kern w:val="0"/>
          <w:sz w:val="28"/>
          <w:szCs w:val="28"/>
          <w:lang w:bidi="ar"/>
        </w:rPr>
        <w:sectPr>
          <w:footerReference r:id="rId16" w:type="first"/>
          <w:headerReference r:id="rId14" w:type="default"/>
          <w:footerReference r:id="rId15" w:type="default"/>
          <w:pgSz w:w="11906" w:h="16838"/>
          <w:pgMar w:top="1440" w:right="1440" w:bottom="1440" w:left="1440" w:header="851" w:footer="992" w:gutter="0"/>
          <w:pgNumType w:fmt="decimal"/>
          <w:cols w:space="720" w:num="1"/>
          <w:titlePg/>
          <w:docGrid w:linePitch="312" w:charSpace="0"/>
        </w:sectPr>
      </w:pPr>
    </w:p>
    <w:p w14:paraId="30873362">
      <w:pPr>
        <w:widowControl/>
        <w:ind w:firstLine="482" w:firstLineChars="200"/>
        <w:jc w:val="left"/>
        <w:rPr>
          <w:rFonts w:hint="eastAsia" w:ascii="宋体" w:hAnsi="宋体" w:cs="宋体"/>
          <w:sz w:val="20"/>
          <w:szCs w:val="22"/>
        </w:rPr>
      </w:pPr>
      <w:r>
        <w:rPr>
          <w:rFonts w:hint="eastAsia" w:ascii="宋体" w:hAnsi="宋体" w:cs="宋体"/>
          <w:b/>
          <w:kern w:val="0"/>
          <w:sz w:val="24"/>
          <w:lang w:bidi="ar"/>
        </w:rPr>
        <w:t xml:space="preserve">（1）▲营业执照等证明文件 </w:t>
      </w:r>
    </w:p>
    <w:p w14:paraId="4DCAF3AB">
      <w:pPr>
        <w:widowControl/>
        <w:ind w:firstLine="482" w:firstLineChars="200"/>
        <w:jc w:val="left"/>
        <w:rPr>
          <w:rFonts w:hint="eastAsia" w:ascii="宋体" w:hAnsi="宋体" w:cs="宋体"/>
          <w:sz w:val="20"/>
          <w:szCs w:val="22"/>
        </w:rPr>
      </w:pPr>
      <w:r>
        <w:rPr>
          <w:rFonts w:hint="eastAsia" w:ascii="宋体" w:hAnsi="宋体" w:cs="宋体"/>
          <w:b/>
          <w:kern w:val="0"/>
          <w:sz w:val="24"/>
          <w:lang w:bidi="ar"/>
        </w:rPr>
        <w:t>证明材料：营业执照（或事业单位法人证书或执业许可证或自然人有效身份证明）</w:t>
      </w:r>
      <w:r>
        <w:rPr>
          <w:rFonts w:hint="eastAsia" w:ascii="宋体" w:hAnsi="宋体" w:cs="宋体"/>
          <w:kern w:val="0"/>
          <w:sz w:val="24"/>
          <w:lang w:bidi="ar"/>
        </w:rPr>
        <w:t>（提供复印件加盖投标投标人公章）</w:t>
      </w:r>
      <w:r>
        <w:rPr>
          <w:rFonts w:hint="eastAsia" w:ascii="宋体" w:hAnsi="宋体" w:cs="宋体"/>
          <w:kern w:val="0"/>
          <w:sz w:val="22"/>
          <w:szCs w:val="22"/>
          <w:lang w:bidi="ar"/>
        </w:rPr>
        <w:t xml:space="preserve">。 </w:t>
      </w:r>
    </w:p>
    <w:p w14:paraId="7DF2C261">
      <w:pPr>
        <w:widowControl/>
        <w:jc w:val="left"/>
        <w:rPr>
          <w:rFonts w:hint="eastAsia" w:ascii="宋体" w:hAnsi="宋体" w:cs="宋体"/>
          <w:b/>
          <w:kern w:val="0"/>
          <w:sz w:val="24"/>
          <w:lang w:bidi="ar"/>
        </w:rPr>
      </w:pPr>
    </w:p>
    <w:p w14:paraId="65180C94">
      <w:pPr>
        <w:widowControl/>
        <w:ind w:firstLine="482" w:firstLineChars="200"/>
        <w:jc w:val="left"/>
        <w:rPr>
          <w:rFonts w:hint="eastAsia" w:ascii="宋体" w:hAnsi="宋体" w:cs="宋体"/>
          <w:sz w:val="20"/>
          <w:szCs w:val="22"/>
        </w:rPr>
      </w:pPr>
      <w:r>
        <w:rPr>
          <w:rFonts w:hint="eastAsia" w:ascii="宋体" w:hAnsi="宋体" w:cs="宋体"/>
          <w:b/>
          <w:kern w:val="0"/>
          <w:sz w:val="24"/>
          <w:lang w:bidi="ar"/>
        </w:rPr>
        <w:t xml:space="preserve">提示和说明： </w:t>
      </w:r>
    </w:p>
    <w:p w14:paraId="66A78805">
      <w:pPr>
        <w:widowControl/>
        <w:ind w:firstLine="480" w:firstLineChars="200"/>
        <w:jc w:val="left"/>
        <w:rPr>
          <w:rFonts w:hint="eastAsia" w:ascii="宋体" w:hAnsi="宋体" w:cs="宋体"/>
          <w:sz w:val="20"/>
          <w:szCs w:val="22"/>
        </w:rPr>
      </w:pPr>
      <w:r>
        <w:rPr>
          <w:rFonts w:hint="eastAsia" w:ascii="宋体" w:hAnsi="宋体" w:cs="宋体"/>
          <w:kern w:val="0"/>
          <w:sz w:val="24"/>
          <w:lang w:bidi="ar"/>
        </w:rPr>
        <w:t xml:space="preserve">a.投标投标人为企业或个体工商户的，提供有效的“营业执照”；投标投标人为事业单位的，提供有效的“事业单位法人证书”；投标投标人为非企业专业服务机构的，提供执业许可证等证明文件；投标投标人为自然人（中国公民）的，提供个人有效身份证明文件。 </w:t>
      </w:r>
    </w:p>
    <w:p w14:paraId="441A0421">
      <w:pPr>
        <w:widowControl/>
        <w:ind w:firstLine="480" w:firstLineChars="200"/>
        <w:jc w:val="left"/>
        <w:rPr>
          <w:rFonts w:hint="eastAsia" w:ascii="宋体" w:hAnsi="宋体" w:cs="宋体"/>
        </w:rPr>
      </w:pPr>
      <w:r>
        <w:rPr>
          <w:rFonts w:hint="eastAsia" w:ascii="宋体" w:hAnsi="宋体" w:cs="宋体"/>
          <w:kern w:val="0"/>
          <w:sz w:val="24"/>
          <w:lang w:bidi="ar"/>
        </w:rPr>
        <w:t>b.金融、保险、通讯等特定行业的全国性企业所设立的区域性分支机构，以及个体工商户、个人独资企业、合伙企业参加本项目投标的，除提供投标人自身的营业执照外，还须提供总公司（总机构）授权书或房产权证或其他有效财产证明材料（提供复印件加盖投标投标人公章），以证明其具备实际承担责任的能力和法定的缔结合同能力。</w:t>
      </w:r>
    </w:p>
    <w:p w14:paraId="351D3770">
      <w:pPr>
        <w:spacing w:line="440" w:lineRule="exact"/>
        <w:rPr>
          <w:rFonts w:hint="eastAsia" w:ascii="宋体" w:hAnsi="宋体" w:cs="宋体"/>
        </w:rPr>
      </w:pPr>
    </w:p>
    <w:p w14:paraId="3CE4882C">
      <w:pPr>
        <w:spacing w:line="440" w:lineRule="exact"/>
        <w:rPr>
          <w:rFonts w:hint="eastAsia" w:ascii="宋体" w:hAnsi="宋体" w:cs="宋体"/>
        </w:rPr>
      </w:pPr>
    </w:p>
    <w:p w14:paraId="2648DA93">
      <w:pPr>
        <w:snapToGrid w:val="0"/>
        <w:spacing w:line="440" w:lineRule="exact"/>
        <w:rPr>
          <w:rFonts w:hint="eastAsia" w:ascii="宋体" w:hAnsi="宋体" w:cs="宋体"/>
          <w:b/>
          <w:sz w:val="32"/>
          <w:szCs w:val="32"/>
        </w:rPr>
      </w:pPr>
    </w:p>
    <w:p w14:paraId="53F60408">
      <w:pPr>
        <w:pStyle w:val="186"/>
        <w:rPr>
          <w:rFonts w:hint="eastAsia" w:ascii="宋体" w:hAnsi="宋体" w:eastAsia="宋体" w:cs="宋体"/>
          <w:sz w:val="32"/>
          <w:szCs w:val="32"/>
        </w:rPr>
      </w:pPr>
    </w:p>
    <w:p w14:paraId="20057D73">
      <w:pPr>
        <w:rPr>
          <w:rFonts w:hint="eastAsia" w:ascii="宋体" w:hAnsi="宋体" w:cs="宋体"/>
        </w:rPr>
      </w:pPr>
    </w:p>
    <w:p w14:paraId="0DAA76C1">
      <w:pPr>
        <w:rPr>
          <w:rFonts w:hint="eastAsia" w:ascii="宋体" w:hAnsi="宋体" w:cs="宋体"/>
          <w:b/>
          <w:sz w:val="32"/>
          <w:szCs w:val="32"/>
        </w:rPr>
      </w:pPr>
    </w:p>
    <w:p w14:paraId="5F9A72A6">
      <w:pPr>
        <w:snapToGrid w:val="0"/>
        <w:spacing w:line="440" w:lineRule="exact"/>
        <w:jc w:val="center"/>
        <w:rPr>
          <w:rFonts w:hint="eastAsia" w:ascii="宋体" w:hAnsi="宋体" w:cs="宋体"/>
          <w:b/>
          <w:sz w:val="32"/>
          <w:szCs w:val="32"/>
        </w:rPr>
      </w:pPr>
    </w:p>
    <w:p w14:paraId="432D2E69">
      <w:pPr>
        <w:snapToGrid w:val="0"/>
        <w:spacing w:line="440" w:lineRule="exact"/>
        <w:jc w:val="center"/>
        <w:rPr>
          <w:rFonts w:hint="eastAsia" w:ascii="宋体" w:hAnsi="宋体" w:cs="宋体"/>
          <w:b/>
          <w:sz w:val="32"/>
          <w:szCs w:val="32"/>
        </w:rPr>
      </w:pPr>
    </w:p>
    <w:p w14:paraId="05762196">
      <w:pPr>
        <w:spacing w:line="360" w:lineRule="auto"/>
        <w:rPr>
          <w:rFonts w:hint="eastAsia" w:ascii="宋体" w:hAnsi="宋体" w:cs="宋体"/>
          <w:b/>
          <w:kern w:val="0"/>
          <w:sz w:val="24"/>
          <w:lang w:bidi="ar"/>
        </w:rPr>
        <w:sectPr>
          <w:pgSz w:w="11906" w:h="16838"/>
          <w:pgMar w:top="1440" w:right="1440" w:bottom="1440" w:left="1440" w:header="851" w:footer="992" w:gutter="0"/>
          <w:pgNumType w:fmt="decimal"/>
          <w:cols w:space="720" w:num="1"/>
          <w:titlePg/>
          <w:docGrid w:linePitch="312" w:charSpace="0"/>
        </w:sectPr>
      </w:pPr>
    </w:p>
    <w:p w14:paraId="1C3EE9F3">
      <w:pPr>
        <w:snapToGrid w:val="0"/>
        <w:spacing w:line="360" w:lineRule="auto"/>
        <w:ind w:firstLine="361" w:firstLineChars="150"/>
        <w:rPr>
          <w:rFonts w:hint="eastAsia" w:ascii="宋体" w:hAnsi="宋体" w:cs="宋体"/>
          <w:b/>
          <w:sz w:val="24"/>
        </w:rPr>
      </w:pPr>
      <w:r>
        <w:rPr>
          <w:rFonts w:hint="eastAsia" w:ascii="宋体" w:hAnsi="宋体" w:cs="宋体"/>
          <w:b/>
          <w:kern w:val="0"/>
          <w:sz w:val="24"/>
          <w:lang w:bidi="ar"/>
        </w:rPr>
        <w:t>（2）</w:t>
      </w:r>
      <w:r>
        <w:rPr>
          <w:rFonts w:hint="eastAsia" w:ascii="宋体" w:hAnsi="宋体" w:cs="宋体"/>
          <w:b/>
          <w:sz w:val="24"/>
        </w:rPr>
        <w:t>符合参加采购活动应当具备的一般条件的承诺函</w:t>
      </w:r>
    </w:p>
    <w:p w14:paraId="34A1C41A">
      <w:pPr>
        <w:snapToGrid w:val="0"/>
        <w:spacing w:line="360" w:lineRule="auto"/>
        <w:ind w:firstLine="480" w:firstLineChars="200"/>
        <w:rPr>
          <w:rFonts w:hint="eastAsia" w:ascii="宋体" w:hAnsi="宋体" w:cs="宋体"/>
          <w:sz w:val="24"/>
        </w:rPr>
      </w:pPr>
      <w:r>
        <w:rPr>
          <w:rFonts w:hint="eastAsia" w:ascii="宋体" w:hAnsi="宋体" w:cs="宋体"/>
          <w:sz w:val="24"/>
        </w:rPr>
        <w:t>（采购单位）、（采购代理机构）：</w:t>
      </w:r>
    </w:p>
    <w:p w14:paraId="3CECF575">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我方参与（项目名称）【招标编号：（采购编号）】采购活动，郑重承诺：</w:t>
      </w:r>
    </w:p>
    <w:p w14:paraId="69916570">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09ED7506">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75AF19E7">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5981B1FF">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F965FDF">
      <w:pPr>
        <w:snapToGrid w:val="0"/>
        <w:spacing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26E8DEDB">
      <w:pPr>
        <w:snapToGrid w:val="0"/>
        <w:spacing w:line="360" w:lineRule="auto"/>
        <w:ind w:firstLine="480" w:firstLineChars="200"/>
        <w:rPr>
          <w:rFonts w:hint="eastAsia" w:ascii="宋体" w:hAnsi="宋体" w:cs="宋体"/>
          <w:sz w:val="24"/>
        </w:rPr>
      </w:pPr>
      <w:r>
        <w:rPr>
          <w:rFonts w:hint="eastAsia" w:ascii="宋体" w:hAnsi="宋体" w:cs="宋体"/>
          <w:sz w:val="24"/>
        </w:rPr>
        <w:t>6.未被信用中国（www.creditchina.gov.cn)、中国政府采购网（www.ccgp.gov.cn）列入失信被执行人、重大税收违法案件当事人名单、政府采购严重违法失信行为记录名单。</w:t>
      </w:r>
    </w:p>
    <w:p w14:paraId="4EBA402A">
      <w:pPr>
        <w:snapToGrid w:val="0"/>
        <w:spacing w:line="360" w:lineRule="auto"/>
        <w:ind w:firstLine="480" w:firstLineChars="200"/>
        <w:rPr>
          <w:rFonts w:hint="eastAsia" w:ascii="宋体" w:hAnsi="宋体" w:cs="宋体"/>
          <w:sz w:val="24"/>
        </w:rPr>
      </w:pPr>
      <w:r>
        <w:rPr>
          <w:rFonts w:hint="eastAsia" w:ascii="宋体" w:hAnsi="宋体" w:cs="宋体"/>
          <w:sz w:val="24"/>
        </w:rPr>
        <w:t>（一）不存在以下情况：</w:t>
      </w:r>
    </w:p>
    <w:p w14:paraId="5A3C6578">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1、单位负责人为同一人或者存在直接控股、管理关系的不同投标人参加同一合同项下的采购活动的；</w:t>
      </w:r>
    </w:p>
    <w:p w14:paraId="5A0DA11B">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7EA73F4">
      <w:pPr>
        <w:widowControl/>
        <w:jc w:val="left"/>
        <w:rPr>
          <w:rFonts w:hint="eastAsia" w:ascii="宋体" w:hAnsi="宋体" w:cs="宋体"/>
          <w:kern w:val="0"/>
          <w:sz w:val="24"/>
          <w:lang w:bidi="ar"/>
        </w:rPr>
      </w:pPr>
    </w:p>
    <w:p w14:paraId="586F4E1A">
      <w:pPr>
        <w:widowControl/>
        <w:jc w:val="left"/>
        <w:rPr>
          <w:rFonts w:hint="eastAsia" w:ascii="宋体" w:hAnsi="宋体" w:cs="宋体"/>
          <w:kern w:val="0"/>
          <w:sz w:val="24"/>
          <w:u w:val="single"/>
          <w:lang w:bidi="ar"/>
        </w:rPr>
      </w:pPr>
      <w:r>
        <w:rPr>
          <w:rFonts w:hint="eastAsia" w:ascii="宋体" w:hAnsi="宋体" w:cs="宋体"/>
          <w:kern w:val="0"/>
          <w:sz w:val="24"/>
          <w:lang w:bidi="ar"/>
        </w:rPr>
        <w:t>投标投标人名称（盖章）：</w:t>
      </w:r>
      <w:r>
        <w:rPr>
          <w:rFonts w:hint="eastAsia" w:ascii="宋体" w:hAnsi="宋体" w:cs="宋体"/>
          <w:kern w:val="0"/>
          <w:sz w:val="24"/>
          <w:u w:val="single"/>
          <w:lang w:bidi="ar"/>
        </w:rPr>
        <w:t xml:space="preserve">                                       </w:t>
      </w:r>
    </w:p>
    <w:p w14:paraId="41141BF4">
      <w:pPr>
        <w:widowControl/>
        <w:jc w:val="left"/>
        <w:rPr>
          <w:rFonts w:hint="eastAsia" w:ascii="宋体" w:hAnsi="宋体" w:cs="宋体"/>
          <w:sz w:val="20"/>
          <w:szCs w:val="22"/>
        </w:rPr>
      </w:pPr>
      <w:r>
        <w:rPr>
          <w:rFonts w:hint="eastAsia" w:ascii="宋体" w:hAnsi="宋体" w:cs="宋体"/>
          <w:kern w:val="0"/>
          <w:sz w:val="24"/>
          <w:lang w:bidi="ar"/>
        </w:rPr>
        <w:t>日期：</w:t>
      </w:r>
      <w:r>
        <w:rPr>
          <w:rFonts w:hint="eastAsia" w:ascii="宋体" w:hAnsi="宋体" w:cs="宋体"/>
          <w:kern w:val="0"/>
          <w:sz w:val="24"/>
          <w:u w:val="single"/>
          <w:lang w:bidi="ar"/>
        </w:rPr>
        <w:t xml:space="preserve">       </w:t>
      </w:r>
      <w:r>
        <w:rPr>
          <w:rFonts w:hint="eastAsia" w:ascii="宋体" w:hAnsi="宋体" w:cs="宋体"/>
          <w:kern w:val="0"/>
          <w:sz w:val="24"/>
          <w:lang w:bidi="ar"/>
        </w:rPr>
        <w:t>年</w:t>
      </w:r>
      <w:r>
        <w:rPr>
          <w:rFonts w:hint="eastAsia" w:ascii="宋体" w:hAnsi="宋体" w:cs="宋体"/>
          <w:kern w:val="0"/>
          <w:sz w:val="24"/>
          <w:u w:val="single"/>
          <w:lang w:bidi="ar"/>
        </w:rPr>
        <w:t xml:space="preserve">    </w:t>
      </w:r>
      <w:r>
        <w:rPr>
          <w:rFonts w:hint="eastAsia" w:ascii="宋体" w:hAnsi="宋体" w:cs="宋体"/>
          <w:kern w:val="0"/>
          <w:sz w:val="24"/>
          <w:lang w:bidi="ar"/>
        </w:rPr>
        <w:t>月</w:t>
      </w:r>
      <w:r>
        <w:rPr>
          <w:rFonts w:hint="eastAsia" w:ascii="宋体" w:hAnsi="宋体" w:cs="宋体"/>
          <w:kern w:val="0"/>
          <w:sz w:val="24"/>
          <w:u w:val="single"/>
          <w:lang w:bidi="ar"/>
        </w:rPr>
        <w:t xml:space="preserve">    </w:t>
      </w:r>
      <w:r>
        <w:rPr>
          <w:rFonts w:hint="eastAsia" w:ascii="宋体" w:hAnsi="宋体" w:cs="宋体"/>
          <w:kern w:val="0"/>
          <w:sz w:val="24"/>
          <w:lang w:bidi="ar"/>
        </w:rPr>
        <w:t>日</w:t>
      </w:r>
    </w:p>
    <w:p w14:paraId="3B8137AF">
      <w:pPr>
        <w:pStyle w:val="33"/>
        <w:ind w:firstLine="210"/>
        <w:rPr>
          <w:rFonts w:hint="eastAsia" w:ascii="宋体" w:hAnsi="宋体" w:cs="宋体"/>
        </w:rPr>
      </w:pPr>
    </w:p>
    <w:p w14:paraId="6741F875">
      <w:pPr>
        <w:widowControl/>
        <w:spacing w:line="360" w:lineRule="auto"/>
        <w:jc w:val="left"/>
        <w:rPr>
          <w:rFonts w:hint="eastAsia" w:ascii="宋体" w:hAnsi="宋体" w:cs="宋体"/>
          <w:sz w:val="24"/>
        </w:rPr>
      </w:pPr>
      <w:r>
        <w:rPr>
          <w:rFonts w:hint="eastAsia" w:ascii="宋体" w:hAnsi="宋体" w:cs="宋体"/>
          <w:sz w:val="24"/>
        </w:rPr>
        <w:t>......</w:t>
      </w:r>
    </w:p>
    <w:p w14:paraId="68E59012">
      <w:pPr>
        <w:pStyle w:val="27"/>
        <w:rPr>
          <w:rFonts w:hint="eastAsia" w:ascii="宋体" w:hAnsi="宋体" w:cs="宋体"/>
        </w:rPr>
      </w:pPr>
    </w:p>
    <w:p w14:paraId="49D4EE23">
      <w:pPr>
        <w:rPr>
          <w:rFonts w:hint="eastAsia" w:ascii="宋体" w:hAnsi="宋体" w:cs="宋体"/>
        </w:rPr>
      </w:pPr>
    </w:p>
    <w:p w14:paraId="08C08843">
      <w:pPr>
        <w:rPr>
          <w:rFonts w:hint="eastAsia" w:ascii="宋体" w:hAnsi="宋体" w:cs="宋体"/>
        </w:rPr>
      </w:pPr>
    </w:p>
    <w:p w14:paraId="5D383A1F">
      <w:pPr>
        <w:rPr>
          <w:rFonts w:hint="eastAsia" w:ascii="宋体" w:hAnsi="宋体" w:cs="宋体"/>
        </w:rPr>
      </w:pPr>
    </w:p>
    <w:p w14:paraId="511A918D">
      <w:pPr>
        <w:rPr>
          <w:rFonts w:hint="eastAsia" w:ascii="宋体" w:hAnsi="宋体" w:cs="宋体"/>
        </w:rPr>
      </w:pPr>
    </w:p>
    <w:p w14:paraId="034EA358">
      <w:pPr>
        <w:rPr>
          <w:rFonts w:hint="eastAsia" w:ascii="宋体" w:hAnsi="宋体" w:cs="宋体"/>
        </w:rPr>
      </w:pPr>
    </w:p>
    <w:p w14:paraId="7ADD27A1">
      <w:pPr>
        <w:rPr>
          <w:rFonts w:hint="eastAsia" w:ascii="宋体" w:hAnsi="宋体" w:cs="宋体"/>
        </w:rPr>
      </w:pPr>
    </w:p>
    <w:p w14:paraId="11464254">
      <w:pPr>
        <w:rPr>
          <w:rFonts w:hint="eastAsia" w:ascii="宋体" w:hAnsi="宋体" w:cs="宋体"/>
        </w:rPr>
      </w:pPr>
    </w:p>
    <w:p w14:paraId="44FF1C9A">
      <w:pPr>
        <w:spacing w:line="360" w:lineRule="auto"/>
        <w:rPr>
          <w:rFonts w:hint="eastAsia" w:ascii="宋体" w:hAnsi="宋体" w:cs="宋体"/>
          <w:b/>
          <w:sz w:val="24"/>
        </w:rPr>
        <w:sectPr>
          <w:pgSz w:w="11906" w:h="16838"/>
          <w:pgMar w:top="1440" w:right="1440" w:bottom="1440" w:left="1440" w:header="851" w:footer="992" w:gutter="0"/>
          <w:pgNumType w:fmt="decimal"/>
          <w:cols w:space="720" w:num="1"/>
          <w:titlePg/>
          <w:docGrid w:linePitch="312" w:charSpace="0"/>
        </w:sectPr>
      </w:pPr>
    </w:p>
    <w:p w14:paraId="650A4BAE">
      <w:pPr>
        <w:spacing w:line="360" w:lineRule="auto"/>
        <w:rPr>
          <w:rFonts w:hint="eastAsia" w:ascii="宋体" w:hAnsi="宋体" w:cs="宋体"/>
          <w:b/>
          <w:sz w:val="24"/>
        </w:rPr>
      </w:pPr>
      <w:r>
        <w:rPr>
          <w:rFonts w:hint="eastAsia" w:ascii="宋体" w:hAnsi="宋体" w:cs="宋体"/>
          <w:b/>
          <w:sz w:val="24"/>
        </w:rPr>
        <w:t>（3）符合参加采购活动应当具备的特定条件</w:t>
      </w:r>
    </w:p>
    <w:p w14:paraId="57063B09">
      <w:pPr>
        <w:spacing w:line="360" w:lineRule="auto"/>
        <w:jc w:val="center"/>
        <w:rPr>
          <w:rFonts w:hint="eastAsia" w:ascii="宋体" w:hAnsi="宋体" w:cs="宋体"/>
          <w:sz w:val="24"/>
        </w:rPr>
      </w:pPr>
      <w:r>
        <w:rPr>
          <w:rFonts w:hint="eastAsia" w:ascii="宋体" w:hAnsi="宋体" w:cs="宋体"/>
          <w:sz w:val="24"/>
        </w:rPr>
        <w:t>（根据公告本项目的特定资格要求提供相应的材料；未要求的，无需提供）</w:t>
      </w:r>
    </w:p>
    <w:p w14:paraId="0EF099BA">
      <w:pPr>
        <w:snapToGrid w:val="0"/>
        <w:spacing w:line="360" w:lineRule="auto"/>
        <w:ind w:firstLine="602" w:firstLineChars="200"/>
        <w:jc w:val="left"/>
        <w:rPr>
          <w:rFonts w:hint="eastAsia" w:ascii="宋体" w:hAnsi="宋体" w:cs="宋体"/>
          <w:b/>
          <w:bCs/>
          <w:sz w:val="30"/>
          <w:szCs w:val="30"/>
        </w:rPr>
        <w:sectPr>
          <w:pgSz w:w="11906" w:h="16838"/>
          <w:pgMar w:top="1440" w:right="1440" w:bottom="1440" w:left="1440" w:header="851" w:footer="992" w:gutter="0"/>
          <w:pgNumType w:fmt="decimal"/>
          <w:cols w:space="720" w:num="1"/>
          <w:titlePg/>
          <w:docGrid w:linePitch="312" w:charSpace="0"/>
        </w:sectPr>
      </w:pPr>
    </w:p>
    <w:p w14:paraId="7DE87636">
      <w:pPr>
        <w:spacing w:line="360" w:lineRule="auto"/>
        <w:rPr>
          <w:rFonts w:hint="eastAsia" w:ascii="宋体" w:hAnsi="宋体" w:cs="宋体"/>
          <w:b/>
          <w:sz w:val="24"/>
        </w:rPr>
      </w:pPr>
      <w:r>
        <w:rPr>
          <w:rFonts w:hint="eastAsia" w:ascii="宋体" w:hAnsi="宋体" w:cs="宋体"/>
          <w:b/>
          <w:sz w:val="24"/>
        </w:rPr>
        <w:t>（4）联合协议（如果有）</w:t>
      </w:r>
    </w:p>
    <w:p w14:paraId="5A0BE868">
      <w:pPr>
        <w:widowControl/>
        <w:spacing w:line="360" w:lineRule="auto"/>
        <w:ind w:firstLine="482" w:firstLineChars="20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（以联合体形式投标的，提供联合协议；本项目不接受联合体投标或者投标人不以联合体形式投标的，则不需要提供）</w:t>
      </w:r>
    </w:p>
    <w:p w14:paraId="15DFC21D">
      <w:pPr>
        <w:autoSpaceDE w:val="0"/>
        <w:autoSpaceDN w:val="0"/>
        <w:jc w:val="center"/>
        <w:rPr>
          <w:rFonts w:hint="eastAsia" w:cs="宋体" w:asciiTheme="minorEastAsia" w:hAnsiTheme="minorEastAsia" w:eastAsiaTheme="minorEastAsia"/>
          <w:b/>
          <w:spacing w:val="6"/>
          <w:sz w:val="32"/>
          <w:szCs w:val="32"/>
        </w:rPr>
      </w:pPr>
    </w:p>
    <w:p w14:paraId="21098F99">
      <w:pPr>
        <w:rPr>
          <w:rFonts w:eastAsiaTheme="minorEastAsia"/>
        </w:rPr>
        <w:sectPr>
          <w:pgSz w:w="11906" w:h="16838"/>
          <w:pgMar w:top="1440" w:right="1418" w:bottom="1440" w:left="1418" w:header="851" w:footer="992" w:gutter="0"/>
          <w:pgNumType w:fmt="decimal"/>
          <w:cols w:space="0" w:num="1"/>
          <w:titlePg/>
          <w:docGrid w:linePitch="312" w:charSpace="0"/>
        </w:sectPr>
      </w:pPr>
      <w:r>
        <w:rPr>
          <w:rFonts w:hint="eastAsia" w:cs="宋体" w:asciiTheme="minorEastAsia" w:hAnsiTheme="minorEastAsia" w:eastAsiaTheme="minorEastAsia"/>
          <w:b/>
          <w:spacing w:val="6"/>
          <w:sz w:val="32"/>
          <w:szCs w:val="32"/>
        </w:rPr>
        <w:t xml:space="preserve">    格式自拟</w:t>
      </w:r>
    </w:p>
    <w:p w14:paraId="162F0469">
      <w:pPr>
        <w:snapToGrid w:val="0"/>
        <w:spacing w:line="360" w:lineRule="auto"/>
        <w:ind w:firstLine="602" w:firstLineChars="200"/>
        <w:jc w:val="left"/>
        <w:rPr>
          <w:rFonts w:hint="eastAsia" w:asciiTheme="minorEastAsia" w:hAnsiTheme="minorEastAsia" w:eastAsiaTheme="minorEastAsia"/>
          <w:b/>
          <w:color w:val="000000"/>
          <w:sz w:val="24"/>
        </w:rPr>
      </w:pPr>
      <w:r>
        <w:rPr>
          <w:rFonts w:hint="eastAsia" w:ascii="宋体" w:hAnsi="宋体" w:cs="宋体"/>
          <w:b/>
          <w:bCs/>
          <w:sz w:val="30"/>
          <w:szCs w:val="30"/>
        </w:rPr>
        <w:t>2.商务技术文件目录</w:t>
      </w:r>
    </w:p>
    <w:p w14:paraId="24C8E618">
      <w:pPr>
        <w:snapToGrid w:val="0"/>
        <w:spacing w:line="360" w:lineRule="auto"/>
        <w:ind w:firstLine="360" w:firstLineChars="150"/>
        <w:rPr>
          <w:rFonts w:hint="eastAsia" w:ascii="宋体" w:hAnsi="宋体" w:cs="宋体"/>
          <w:sz w:val="24"/>
        </w:rPr>
      </w:pPr>
      <w:r>
        <w:rPr>
          <w:rFonts w:hint="eastAsia" w:ascii="宋体" w:hAnsi="宋体" w:cs="宋体"/>
          <w:sz w:val="24"/>
        </w:rPr>
        <w:t>（1）供应商自评分表</w:t>
      </w:r>
    </w:p>
    <w:p w14:paraId="4A2FF82A">
      <w:pPr>
        <w:snapToGrid w:val="0"/>
        <w:spacing w:line="360" w:lineRule="auto"/>
        <w:ind w:firstLine="360" w:firstLineChars="150"/>
        <w:rPr>
          <w:rFonts w:hint="eastAsia" w:ascii="宋体" w:hAnsi="宋体" w:cs="宋体"/>
          <w:color w:val="FF0000"/>
          <w:sz w:val="24"/>
        </w:rPr>
      </w:pPr>
      <w:r>
        <w:rPr>
          <w:rFonts w:hint="eastAsia" w:ascii="宋体" w:hAnsi="宋体" w:cs="宋体"/>
          <w:color w:val="FF0000"/>
          <w:sz w:val="24"/>
        </w:rPr>
        <w:t>（2）评标标准相应的商务技术资料；</w:t>
      </w:r>
    </w:p>
    <w:p w14:paraId="2D504E1B">
      <w:pPr>
        <w:snapToGrid w:val="0"/>
        <w:spacing w:line="360" w:lineRule="auto"/>
        <w:ind w:firstLine="360" w:firstLineChars="150"/>
        <w:rPr>
          <w:rFonts w:hint="eastAsia" w:ascii="宋体" w:hAnsi="宋体" w:cs="宋体"/>
          <w:sz w:val="24"/>
        </w:rPr>
      </w:pPr>
      <w:r>
        <w:rPr>
          <w:rFonts w:hint="eastAsia" w:ascii="宋体" w:hAnsi="宋体" w:cs="宋体"/>
          <w:sz w:val="24"/>
        </w:rPr>
        <w:t>（3）投标人认为需要说明的其他文件等。</w:t>
      </w:r>
    </w:p>
    <w:p w14:paraId="3DF31A46">
      <w:pPr>
        <w:spacing w:line="360" w:lineRule="auto"/>
        <w:rPr>
          <w:rFonts w:hint="eastAsia" w:asciiTheme="minorEastAsia" w:hAnsiTheme="minorEastAsia" w:eastAsiaTheme="minorEastAsia"/>
          <w:b/>
          <w:sz w:val="24"/>
        </w:rPr>
        <w:sectPr>
          <w:pgSz w:w="11906" w:h="16838"/>
          <w:pgMar w:top="1440" w:right="1440" w:bottom="1440" w:left="1440" w:header="851" w:footer="992" w:gutter="0"/>
          <w:pgNumType w:fmt="decimal"/>
          <w:cols w:space="720" w:num="1"/>
          <w:titlePg/>
          <w:docGrid w:linePitch="312" w:charSpace="0"/>
        </w:sectPr>
      </w:pPr>
    </w:p>
    <w:p w14:paraId="0206DFB0">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（1）评分对应表</w:t>
      </w:r>
    </w:p>
    <w:tbl>
      <w:tblPr>
        <w:tblStyle w:val="35"/>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3"/>
        <w:gridCol w:w="3532"/>
        <w:gridCol w:w="1685"/>
      </w:tblGrid>
      <w:tr w14:paraId="1B232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03" w:type="dxa"/>
            <w:tcBorders>
              <w:top w:val="single" w:color="auto" w:sz="4" w:space="0"/>
              <w:left w:val="single" w:color="auto" w:sz="4" w:space="0"/>
              <w:bottom w:val="single" w:color="auto" w:sz="4" w:space="0"/>
              <w:right w:val="single" w:color="auto" w:sz="4" w:space="0"/>
            </w:tcBorders>
            <w:vAlign w:val="center"/>
          </w:tcPr>
          <w:p w14:paraId="5CC0131D">
            <w:pPr>
              <w:spacing w:line="580" w:lineRule="exact"/>
              <w:rPr>
                <w:rFonts w:hint="eastAsia" w:ascii="宋体" w:hAnsi="宋体" w:cs="宋体"/>
                <w:sz w:val="24"/>
              </w:rPr>
            </w:pPr>
            <w:r>
              <w:rPr>
                <w:rFonts w:hint="eastAsia" w:ascii="宋体" w:hAnsi="宋体" w:cs="宋体"/>
                <w:sz w:val="24"/>
              </w:rPr>
              <w:t>评分项目</w:t>
            </w:r>
          </w:p>
        </w:tc>
        <w:tc>
          <w:tcPr>
            <w:tcW w:w="3532" w:type="dxa"/>
            <w:tcBorders>
              <w:top w:val="single" w:color="auto" w:sz="4" w:space="0"/>
              <w:left w:val="nil"/>
              <w:bottom w:val="single" w:color="auto" w:sz="4" w:space="0"/>
              <w:right w:val="single" w:color="auto" w:sz="4" w:space="0"/>
            </w:tcBorders>
            <w:vAlign w:val="center"/>
          </w:tcPr>
          <w:p w14:paraId="4FAA37DF">
            <w:pPr>
              <w:spacing w:line="580" w:lineRule="exact"/>
              <w:rPr>
                <w:rFonts w:hint="eastAsia" w:ascii="宋体" w:hAnsi="宋体" w:cs="宋体"/>
                <w:sz w:val="24"/>
              </w:rPr>
            </w:pPr>
            <w:r>
              <w:rPr>
                <w:rFonts w:hint="eastAsia" w:ascii="宋体" w:hAnsi="宋体" w:cs="宋体"/>
                <w:sz w:val="24"/>
              </w:rPr>
              <w:t>投标文件对应资料</w:t>
            </w:r>
          </w:p>
        </w:tc>
        <w:tc>
          <w:tcPr>
            <w:tcW w:w="1685" w:type="dxa"/>
            <w:tcBorders>
              <w:top w:val="single" w:color="auto" w:sz="4" w:space="0"/>
              <w:left w:val="nil"/>
              <w:bottom w:val="single" w:color="auto" w:sz="4" w:space="0"/>
              <w:right w:val="single" w:color="auto" w:sz="4" w:space="0"/>
            </w:tcBorders>
            <w:vAlign w:val="center"/>
          </w:tcPr>
          <w:p w14:paraId="502E4BEA">
            <w:pPr>
              <w:spacing w:line="580" w:lineRule="exact"/>
              <w:rPr>
                <w:rFonts w:hint="eastAsia" w:ascii="宋体" w:hAnsi="宋体" w:cs="宋体"/>
                <w:sz w:val="24"/>
              </w:rPr>
            </w:pPr>
            <w:r>
              <w:rPr>
                <w:rFonts w:hint="eastAsia" w:ascii="宋体" w:hAnsi="宋体" w:cs="宋体"/>
                <w:sz w:val="24"/>
              </w:rPr>
              <w:t>投标文件页码</w:t>
            </w:r>
          </w:p>
        </w:tc>
      </w:tr>
      <w:tr w14:paraId="578D3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2F373970">
            <w:pPr>
              <w:spacing w:line="580" w:lineRule="exact"/>
              <w:rPr>
                <w:rFonts w:hint="eastAsia" w:ascii="宋体" w:hAnsi="宋体" w:cs="宋体"/>
                <w:sz w:val="24"/>
              </w:rPr>
            </w:pPr>
            <w:r>
              <w:rPr>
                <w:rFonts w:hint="eastAsia" w:ascii="宋体" w:hAnsi="宋体" w:cs="宋体"/>
                <w:sz w:val="24"/>
              </w:rPr>
              <w:t>对应第四章评分办法及评分标准（报价除外）</w:t>
            </w:r>
          </w:p>
        </w:tc>
        <w:tc>
          <w:tcPr>
            <w:tcW w:w="3532" w:type="dxa"/>
            <w:tcBorders>
              <w:top w:val="single" w:color="auto" w:sz="4" w:space="0"/>
              <w:left w:val="nil"/>
              <w:bottom w:val="single" w:color="auto" w:sz="4" w:space="0"/>
              <w:right w:val="single" w:color="auto" w:sz="4" w:space="0"/>
            </w:tcBorders>
          </w:tcPr>
          <w:p w14:paraId="74A33B80">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tcPr>
          <w:p w14:paraId="352E9815">
            <w:pPr>
              <w:spacing w:line="580" w:lineRule="exact"/>
              <w:rPr>
                <w:rFonts w:hint="eastAsia" w:ascii="宋体" w:hAnsi="宋体" w:cs="宋体"/>
                <w:sz w:val="24"/>
              </w:rPr>
            </w:pPr>
          </w:p>
        </w:tc>
      </w:tr>
      <w:tr w14:paraId="03B68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0873D67">
            <w:pPr>
              <w:spacing w:line="580" w:lineRule="exact"/>
              <w:rPr>
                <w:rFonts w:hint="eastAsia" w:ascii="宋体" w:hAnsi="宋体" w:cs="宋体"/>
                <w:sz w:val="24"/>
              </w:rPr>
            </w:pPr>
            <w:r>
              <w:rPr>
                <w:rFonts w:hint="eastAsia" w:ascii="宋体" w:hAnsi="宋体" w:cs="宋体"/>
                <w:sz w:val="24"/>
              </w:rPr>
              <w:t>……</w:t>
            </w:r>
          </w:p>
        </w:tc>
        <w:tc>
          <w:tcPr>
            <w:tcW w:w="3532" w:type="dxa"/>
            <w:tcBorders>
              <w:top w:val="single" w:color="auto" w:sz="4" w:space="0"/>
              <w:left w:val="nil"/>
              <w:bottom w:val="single" w:color="auto" w:sz="4" w:space="0"/>
              <w:right w:val="single" w:color="auto" w:sz="4" w:space="0"/>
            </w:tcBorders>
          </w:tcPr>
          <w:p w14:paraId="3F4B70E9">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tcPr>
          <w:p w14:paraId="4C3761FA">
            <w:pPr>
              <w:spacing w:line="580" w:lineRule="exact"/>
              <w:rPr>
                <w:rFonts w:hint="eastAsia" w:ascii="宋体" w:hAnsi="宋体" w:cs="宋体"/>
                <w:sz w:val="24"/>
              </w:rPr>
            </w:pPr>
          </w:p>
        </w:tc>
      </w:tr>
      <w:tr w14:paraId="73DB4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0CF2633E">
            <w:pPr>
              <w:spacing w:line="580" w:lineRule="exact"/>
              <w:rPr>
                <w:rFonts w:hint="eastAsia" w:ascii="宋体" w:hAnsi="宋体" w:cs="宋体"/>
                <w:sz w:val="24"/>
              </w:rPr>
            </w:pPr>
          </w:p>
        </w:tc>
        <w:tc>
          <w:tcPr>
            <w:tcW w:w="3532" w:type="dxa"/>
            <w:tcBorders>
              <w:top w:val="single" w:color="auto" w:sz="4" w:space="0"/>
              <w:left w:val="nil"/>
              <w:bottom w:val="single" w:color="auto" w:sz="4" w:space="0"/>
              <w:right w:val="single" w:color="auto" w:sz="4" w:space="0"/>
            </w:tcBorders>
          </w:tcPr>
          <w:p w14:paraId="49D5FFF0">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tcPr>
          <w:p w14:paraId="31C87FCB">
            <w:pPr>
              <w:spacing w:line="580" w:lineRule="exact"/>
              <w:rPr>
                <w:rFonts w:hint="eastAsia" w:ascii="宋体" w:hAnsi="宋体" w:cs="宋体"/>
                <w:sz w:val="24"/>
              </w:rPr>
            </w:pPr>
          </w:p>
        </w:tc>
      </w:tr>
      <w:tr w14:paraId="102A5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3F48C234">
            <w:pPr>
              <w:spacing w:line="580" w:lineRule="exact"/>
              <w:rPr>
                <w:rFonts w:hint="eastAsia" w:ascii="宋体" w:hAnsi="宋体" w:cs="宋体"/>
                <w:sz w:val="24"/>
              </w:rPr>
            </w:pPr>
          </w:p>
        </w:tc>
        <w:tc>
          <w:tcPr>
            <w:tcW w:w="3532" w:type="dxa"/>
            <w:tcBorders>
              <w:top w:val="single" w:color="auto" w:sz="4" w:space="0"/>
              <w:left w:val="nil"/>
              <w:bottom w:val="single" w:color="auto" w:sz="4" w:space="0"/>
              <w:right w:val="single" w:color="auto" w:sz="4" w:space="0"/>
            </w:tcBorders>
          </w:tcPr>
          <w:p w14:paraId="654F27B8">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tcPr>
          <w:p w14:paraId="28B3AE17">
            <w:pPr>
              <w:spacing w:line="580" w:lineRule="exact"/>
              <w:rPr>
                <w:rFonts w:hint="eastAsia" w:ascii="宋体" w:hAnsi="宋体" w:cs="宋体"/>
                <w:sz w:val="24"/>
              </w:rPr>
            </w:pPr>
          </w:p>
        </w:tc>
      </w:tr>
      <w:tr w14:paraId="06660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44A18596">
            <w:pPr>
              <w:spacing w:line="580" w:lineRule="exact"/>
              <w:rPr>
                <w:rFonts w:hint="eastAsia" w:ascii="宋体" w:hAnsi="宋体" w:cs="宋体"/>
                <w:sz w:val="24"/>
              </w:rPr>
            </w:pPr>
          </w:p>
        </w:tc>
        <w:tc>
          <w:tcPr>
            <w:tcW w:w="3532" w:type="dxa"/>
            <w:tcBorders>
              <w:top w:val="single" w:color="auto" w:sz="4" w:space="0"/>
              <w:left w:val="nil"/>
              <w:bottom w:val="single" w:color="auto" w:sz="4" w:space="0"/>
              <w:right w:val="single" w:color="auto" w:sz="4" w:space="0"/>
            </w:tcBorders>
          </w:tcPr>
          <w:p w14:paraId="038E96A6">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tcPr>
          <w:p w14:paraId="103618E7">
            <w:pPr>
              <w:spacing w:line="580" w:lineRule="exact"/>
              <w:rPr>
                <w:rFonts w:hint="eastAsia" w:ascii="宋体" w:hAnsi="宋体" w:cs="宋体"/>
                <w:sz w:val="24"/>
              </w:rPr>
            </w:pPr>
          </w:p>
        </w:tc>
      </w:tr>
      <w:tr w14:paraId="505C1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13C27685">
            <w:pPr>
              <w:spacing w:line="580" w:lineRule="exact"/>
              <w:rPr>
                <w:rFonts w:hint="eastAsia" w:ascii="宋体" w:hAnsi="宋体" w:cs="宋体"/>
                <w:sz w:val="24"/>
              </w:rPr>
            </w:pPr>
          </w:p>
        </w:tc>
        <w:tc>
          <w:tcPr>
            <w:tcW w:w="3532" w:type="dxa"/>
            <w:tcBorders>
              <w:top w:val="single" w:color="auto" w:sz="4" w:space="0"/>
              <w:left w:val="nil"/>
              <w:bottom w:val="single" w:color="auto" w:sz="4" w:space="0"/>
              <w:right w:val="single" w:color="auto" w:sz="4" w:space="0"/>
            </w:tcBorders>
          </w:tcPr>
          <w:p w14:paraId="264997C5">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tcPr>
          <w:p w14:paraId="70503708">
            <w:pPr>
              <w:spacing w:line="580" w:lineRule="exact"/>
              <w:rPr>
                <w:rFonts w:hint="eastAsia" w:ascii="宋体" w:hAnsi="宋体" w:cs="宋体"/>
                <w:sz w:val="24"/>
              </w:rPr>
            </w:pPr>
          </w:p>
        </w:tc>
      </w:tr>
      <w:tr w14:paraId="2688F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9289386">
            <w:pPr>
              <w:spacing w:line="580" w:lineRule="exact"/>
              <w:rPr>
                <w:rFonts w:hint="eastAsia" w:ascii="宋体" w:hAnsi="宋体" w:cs="宋体"/>
                <w:sz w:val="24"/>
              </w:rPr>
            </w:pPr>
          </w:p>
        </w:tc>
        <w:tc>
          <w:tcPr>
            <w:tcW w:w="3532" w:type="dxa"/>
            <w:tcBorders>
              <w:top w:val="single" w:color="auto" w:sz="4" w:space="0"/>
              <w:left w:val="nil"/>
              <w:bottom w:val="single" w:color="auto" w:sz="4" w:space="0"/>
              <w:right w:val="single" w:color="auto" w:sz="4" w:space="0"/>
            </w:tcBorders>
          </w:tcPr>
          <w:p w14:paraId="24B06661">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tcPr>
          <w:p w14:paraId="1E5463E4">
            <w:pPr>
              <w:spacing w:line="580" w:lineRule="exact"/>
              <w:rPr>
                <w:rFonts w:hint="eastAsia" w:ascii="宋体" w:hAnsi="宋体" w:cs="宋体"/>
                <w:sz w:val="24"/>
              </w:rPr>
            </w:pPr>
          </w:p>
        </w:tc>
      </w:tr>
      <w:tr w14:paraId="1DDD5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F204CD1">
            <w:pPr>
              <w:spacing w:line="580" w:lineRule="exact"/>
              <w:rPr>
                <w:rFonts w:hint="eastAsia" w:ascii="宋体" w:hAnsi="宋体" w:cs="宋体"/>
                <w:sz w:val="24"/>
              </w:rPr>
            </w:pPr>
          </w:p>
        </w:tc>
        <w:tc>
          <w:tcPr>
            <w:tcW w:w="3532" w:type="dxa"/>
            <w:tcBorders>
              <w:top w:val="single" w:color="auto" w:sz="4" w:space="0"/>
              <w:left w:val="nil"/>
              <w:bottom w:val="single" w:color="auto" w:sz="4" w:space="0"/>
              <w:right w:val="single" w:color="auto" w:sz="4" w:space="0"/>
            </w:tcBorders>
          </w:tcPr>
          <w:p w14:paraId="452FED4E">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tcPr>
          <w:p w14:paraId="5AAF9B15">
            <w:pPr>
              <w:spacing w:line="580" w:lineRule="exact"/>
              <w:rPr>
                <w:rFonts w:hint="eastAsia" w:ascii="宋体" w:hAnsi="宋体" w:cs="宋体"/>
                <w:sz w:val="24"/>
              </w:rPr>
            </w:pPr>
          </w:p>
        </w:tc>
      </w:tr>
      <w:tr w14:paraId="183CD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4F123803">
            <w:pPr>
              <w:spacing w:line="580" w:lineRule="exact"/>
              <w:rPr>
                <w:rFonts w:hint="eastAsia" w:ascii="宋体" w:hAnsi="宋体" w:cs="宋体"/>
                <w:sz w:val="24"/>
              </w:rPr>
            </w:pPr>
          </w:p>
        </w:tc>
        <w:tc>
          <w:tcPr>
            <w:tcW w:w="3532" w:type="dxa"/>
            <w:tcBorders>
              <w:top w:val="single" w:color="auto" w:sz="4" w:space="0"/>
              <w:left w:val="nil"/>
              <w:bottom w:val="single" w:color="auto" w:sz="4" w:space="0"/>
              <w:right w:val="single" w:color="auto" w:sz="4" w:space="0"/>
            </w:tcBorders>
          </w:tcPr>
          <w:p w14:paraId="08FBBD95">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tcPr>
          <w:p w14:paraId="3CA4C596">
            <w:pPr>
              <w:spacing w:line="580" w:lineRule="exact"/>
              <w:rPr>
                <w:rFonts w:hint="eastAsia" w:ascii="宋体" w:hAnsi="宋体" w:cs="宋体"/>
                <w:sz w:val="24"/>
              </w:rPr>
            </w:pPr>
          </w:p>
        </w:tc>
      </w:tr>
    </w:tbl>
    <w:p w14:paraId="712E76F5">
      <w:pPr>
        <w:snapToGrid w:val="0"/>
        <w:spacing w:before="120" w:beforeLines="50" w:after="50" w:line="360" w:lineRule="auto"/>
        <w:rPr>
          <w:rFonts w:hint="eastAsia" w:ascii="宋体" w:hAnsi="宋体" w:cs="宋体"/>
          <w:sz w:val="24"/>
        </w:rPr>
      </w:pPr>
    </w:p>
    <w:p w14:paraId="1E967F68">
      <w:pPr>
        <w:snapToGrid w:val="0"/>
        <w:spacing w:before="120" w:beforeLines="50" w:after="50" w:line="360" w:lineRule="auto"/>
        <w:rPr>
          <w:rFonts w:hint="eastAsia" w:ascii="宋体" w:hAnsi="宋体" w:cs="宋体"/>
          <w:sz w:val="24"/>
        </w:rPr>
      </w:pPr>
    </w:p>
    <w:p w14:paraId="0EA26990">
      <w:pPr>
        <w:snapToGrid w:val="0"/>
        <w:spacing w:before="120" w:beforeLines="50" w:after="50" w:line="460" w:lineRule="exact"/>
        <w:ind w:firstLine="120" w:firstLineChars="50"/>
        <w:jc w:val="right"/>
        <w:rPr>
          <w:rFonts w:hint="eastAsia" w:ascii="宋体" w:hAnsi="宋体" w:cs="宋体"/>
          <w:sz w:val="24"/>
        </w:rPr>
      </w:pPr>
      <w:r>
        <w:rPr>
          <w:rFonts w:hint="eastAsia" w:ascii="宋体" w:hAnsi="宋体" w:cs="宋体"/>
          <w:sz w:val="24"/>
        </w:rPr>
        <w:t>投标人全称（公章）：</w:t>
      </w:r>
    </w:p>
    <w:p w14:paraId="07B8764F">
      <w:pPr>
        <w:spacing w:before="120" w:beforeLines="50" w:after="120" w:afterLines="50" w:line="480" w:lineRule="exact"/>
        <w:ind w:right="105" w:rightChars="50" w:firstLine="2870" w:firstLineChars="1196"/>
        <w:jc w:val="right"/>
        <w:rPr>
          <w:rFonts w:hint="eastAsia" w:ascii="宋体" w:hAnsi="宋体" w:cs="宋体"/>
          <w:sz w:val="24"/>
        </w:rPr>
      </w:pPr>
      <w:r>
        <w:rPr>
          <w:rFonts w:hint="eastAsia" w:ascii="宋体" w:hAnsi="宋体" w:cs="宋体"/>
          <w:sz w:val="24"/>
        </w:rPr>
        <w:t>法定代表人或委托代理人：（签字或盖章）</w:t>
      </w:r>
    </w:p>
    <w:p w14:paraId="4A9F62A1">
      <w:pPr>
        <w:spacing w:line="360" w:lineRule="auto"/>
        <w:jc w:val="right"/>
        <w:rPr>
          <w:rFonts w:hint="eastAsia" w:ascii="宋体" w:hAnsi="宋体" w:cs="宋体"/>
          <w:sz w:val="24"/>
        </w:rPr>
      </w:pPr>
      <w:r>
        <w:rPr>
          <w:rFonts w:hint="eastAsia" w:ascii="宋体" w:hAnsi="宋体" w:cs="宋体"/>
          <w:sz w:val="24"/>
        </w:rPr>
        <w:t>日 期：</w:t>
      </w:r>
    </w:p>
    <w:p w14:paraId="0F0FA448">
      <w:pPr>
        <w:spacing w:line="360" w:lineRule="auto"/>
        <w:rPr>
          <w:rFonts w:hint="eastAsia" w:asciiTheme="minorEastAsia" w:hAnsiTheme="minorEastAsia" w:eastAsiaTheme="minorEastAsia"/>
          <w:b/>
          <w:sz w:val="24"/>
        </w:rPr>
        <w:sectPr>
          <w:pgSz w:w="11906" w:h="16838"/>
          <w:pgMar w:top="1440" w:right="1440" w:bottom="1440" w:left="1440" w:header="851" w:footer="992" w:gutter="0"/>
          <w:pgNumType w:fmt="decimal"/>
          <w:cols w:space="720" w:num="1"/>
          <w:titlePg/>
          <w:docGrid w:linePitch="312" w:charSpace="0"/>
        </w:sectPr>
      </w:pPr>
    </w:p>
    <w:p w14:paraId="571EF54C">
      <w:pPr>
        <w:spacing w:line="440" w:lineRule="exact"/>
        <w:jc w:val="center"/>
        <w:rPr>
          <w:rFonts w:hint="eastAsia" w:ascii="宋体" w:hAnsi="宋体" w:cs="宋体"/>
          <w:b/>
          <w:sz w:val="24"/>
        </w:rPr>
      </w:pPr>
      <w:r>
        <w:rPr>
          <w:rFonts w:hint="eastAsia" w:ascii="宋体" w:hAnsi="宋体" w:cs="宋体"/>
          <w:b/>
          <w:sz w:val="24"/>
        </w:rPr>
        <w:t>法定代表人资格证明书</w:t>
      </w:r>
      <w:r>
        <w:rPr>
          <w:rFonts w:hint="eastAsia" w:ascii="宋体" w:hAnsi="宋体" w:cs="宋体"/>
          <w:b/>
          <w:sz w:val="24"/>
          <w:lang w:val="zh-CN"/>
        </w:rPr>
        <w:t>（适用法人投标）</w:t>
      </w:r>
    </w:p>
    <w:p w14:paraId="59B53D79">
      <w:pPr>
        <w:spacing w:line="440" w:lineRule="exact"/>
        <w:rPr>
          <w:rFonts w:hint="eastAsia" w:ascii="宋体" w:hAnsi="宋体" w:cs="宋体"/>
          <w:sz w:val="24"/>
        </w:rPr>
      </w:pPr>
    </w:p>
    <w:p w14:paraId="19043522">
      <w:pPr>
        <w:spacing w:line="440" w:lineRule="exact"/>
        <w:ind w:firstLine="480" w:firstLineChars="200"/>
        <w:rPr>
          <w:rFonts w:hint="eastAsia" w:ascii="宋体" w:hAnsi="宋体" w:cs="宋体"/>
          <w:sz w:val="24"/>
        </w:rPr>
      </w:pPr>
      <w:r>
        <w:rPr>
          <w:rFonts w:hint="eastAsia" w:ascii="宋体" w:hAnsi="宋体" w:cs="宋体"/>
          <w:sz w:val="24"/>
        </w:rPr>
        <w:t>单位名称：</w:t>
      </w:r>
    </w:p>
    <w:p w14:paraId="51771B96">
      <w:pPr>
        <w:spacing w:line="440" w:lineRule="exact"/>
        <w:ind w:firstLine="480" w:firstLineChars="200"/>
        <w:rPr>
          <w:rFonts w:hint="eastAsia" w:ascii="宋体" w:hAnsi="宋体" w:cs="宋体"/>
          <w:sz w:val="24"/>
        </w:rPr>
      </w:pPr>
      <w:r>
        <w:rPr>
          <w:rFonts w:hint="eastAsia" w:ascii="宋体" w:hAnsi="宋体" w:cs="宋体"/>
          <w:sz w:val="24"/>
        </w:rPr>
        <w:t>地址：</w:t>
      </w:r>
    </w:p>
    <w:p w14:paraId="616A3935">
      <w:pPr>
        <w:spacing w:line="440" w:lineRule="exact"/>
        <w:ind w:firstLine="480" w:firstLineChars="200"/>
        <w:rPr>
          <w:rFonts w:hint="eastAsia" w:ascii="宋体" w:hAnsi="宋体" w:cs="宋体"/>
          <w:sz w:val="24"/>
        </w:rPr>
      </w:pPr>
      <w:r>
        <w:rPr>
          <w:rFonts w:hint="eastAsia" w:ascii="宋体" w:hAnsi="宋体" w:cs="宋体"/>
          <w:sz w:val="24"/>
        </w:rPr>
        <w:t>姓名：__________,性别：__________,年龄：__________,职务：__________,身份证号码：_____________________________，系______________________的法定代表人。</w:t>
      </w:r>
    </w:p>
    <w:p w14:paraId="43219FCA">
      <w:pPr>
        <w:spacing w:line="440" w:lineRule="exact"/>
        <w:ind w:firstLine="480" w:firstLineChars="200"/>
        <w:rPr>
          <w:rFonts w:hint="eastAsia" w:ascii="宋体" w:hAnsi="宋体" w:cs="宋体"/>
          <w:sz w:val="24"/>
        </w:rPr>
      </w:pPr>
      <w:r>
        <w:rPr>
          <w:rFonts w:hint="eastAsia" w:ascii="宋体" w:hAnsi="宋体" w:cs="宋体"/>
          <w:sz w:val="24"/>
        </w:rPr>
        <w:t>特此证明。</w:t>
      </w:r>
    </w:p>
    <w:p w14:paraId="7BFBD3AF">
      <w:pPr>
        <w:spacing w:line="440" w:lineRule="exact"/>
        <w:ind w:firstLine="482" w:firstLineChars="200"/>
        <w:rPr>
          <w:rFonts w:hint="eastAsia" w:ascii="宋体" w:hAnsi="宋体" w:cs="宋体"/>
          <w:b/>
          <w:sz w:val="24"/>
        </w:rPr>
      </w:pPr>
      <w:r>
        <w:rPr>
          <w:rFonts w:hint="eastAsia" w:ascii="宋体" w:hAnsi="宋体" w:cs="宋体"/>
          <w:b/>
          <w:sz w:val="24"/>
        </w:rPr>
        <w:t>附身份证正反面扫描件</w:t>
      </w:r>
    </w:p>
    <w:tbl>
      <w:tblPr>
        <w:tblStyle w:val="35"/>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2BFB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06F4CF79">
            <w:pPr>
              <w:pStyle w:val="175"/>
              <w:spacing w:line="360" w:lineRule="auto"/>
              <w:rPr>
                <w:rFonts w:hint="eastAsia" w:hAnsi="宋体" w:cs="宋体"/>
                <w:bCs/>
                <w:sz w:val="24"/>
                <w:szCs w:val="24"/>
              </w:rPr>
            </w:pPr>
            <w:r>
              <w:rPr>
                <w:rFonts w:hint="eastAsia" w:hAnsi="宋体" w:cs="宋体"/>
                <w:bCs/>
                <w:sz w:val="24"/>
                <w:szCs w:val="24"/>
              </w:rPr>
              <w:t>正面：                                 反面：</w:t>
            </w:r>
          </w:p>
          <w:p w14:paraId="78C801D6">
            <w:pPr>
              <w:pStyle w:val="175"/>
              <w:spacing w:line="360" w:lineRule="auto"/>
              <w:rPr>
                <w:rFonts w:hint="eastAsia" w:hAnsi="宋体" w:cs="宋体"/>
                <w:bCs/>
                <w:sz w:val="24"/>
                <w:szCs w:val="24"/>
              </w:rPr>
            </w:pPr>
          </w:p>
        </w:tc>
      </w:tr>
    </w:tbl>
    <w:p w14:paraId="66B9B8CC">
      <w:pPr>
        <w:spacing w:line="440" w:lineRule="exact"/>
        <w:rPr>
          <w:rFonts w:hint="eastAsia" w:ascii="宋体" w:hAnsi="宋体" w:cs="宋体"/>
          <w:sz w:val="24"/>
        </w:rPr>
      </w:pPr>
    </w:p>
    <w:p w14:paraId="7DF34BAA">
      <w:pPr>
        <w:spacing w:line="440" w:lineRule="exact"/>
        <w:jc w:val="right"/>
        <w:rPr>
          <w:rFonts w:hint="eastAsia" w:ascii="宋体" w:hAnsi="宋体" w:cs="宋体"/>
          <w:sz w:val="24"/>
        </w:rPr>
      </w:pPr>
      <w:r>
        <w:rPr>
          <w:rFonts w:hint="eastAsia" w:ascii="宋体" w:hAnsi="宋体" w:cs="宋体"/>
          <w:sz w:val="24"/>
        </w:rPr>
        <w:t>磋商供应商()：</w:t>
      </w:r>
    </w:p>
    <w:p w14:paraId="79AAA5A0">
      <w:pPr>
        <w:spacing w:line="440" w:lineRule="exact"/>
        <w:jc w:val="right"/>
        <w:rPr>
          <w:rFonts w:hint="eastAsia" w:ascii="宋体" w:hAnsi="宋体" w:cs="宋体"/>
          <w:sz w:val="24"/>
        </w:rPr>
      </w:pPr>
      <w:r>
        <w:rPr>
          <w:rFonts w:hint="eastAsia" w:ascii="宋体" w:hAnsi="宋体" w:cs="宋体"/>
          <w:sz w:val="24"/>
        </w:rPr>
        <w:t>法定代表人：（签名或盖章）</w:t>
      </w:r>
    </w:p>
    <w:p w14:paraId="22A0E87B">
      <w:pPr>
        <w:spacing w:line="440" w:lineRule="exact"/>
        <w:jc w:val="right"/>
        <w:rPr>
          <w:rFonts w:hint="eastAsia" w:ascii="宋体" w:hAnsi="宋体" w:cs="宋体"/>
          <w:sz w:val="24"/>
        </w:rPr>
      </w:pPr>
      <w:r>
        <w:rPr>
          <w:rFonts w:hint="eastAsia" w:ascii="宋体" w:hAnsi="宋体" w:cs="宋体"/>
          <w:sz w:val="24"/>
        </w:rPr>
        <w:t xml:space="preserve">    日期：                              </w:t>
      </w:r>
    </w:p>
    <w:p w14:paraId="12038C2E">
      <w:pPr>
        <w:spacing w:line="440" w:lineRule="exact"/>
        <w:jc w:val="center"/>
        <w:rPr>
          <w:rFonts w:hint="eastAsia" w:ascii="宋体" w:hAnsi="宋体" w:cs="宋体"/>
          <w:b/>
          <w:sz w:val="24"/>
        </w:rPr>
      </w:pPr>
    </w:p>
    <w:p w14:paraId="2D257DDB">
      <w:pPr>
        <w:spacing w:line="440" w:lineRule="exact"/>
        <w:jc w:val="center"/>
        <w:rPr>
          <w:rFonts w:hint="eastAsia" w:ascii="宋体" w:hAnsi="宋体" w:cs="宋体"/>
          <w:b/>
          <w:sz w:val="24"/>
        </w:rPr>
      </w:pPr>
    </w:p>
    <w:p w14:paraId="1259F66E">
      <w:pPr>
        <w:spacing w:line="440" w:lineRule="exact"/>
        <w:jc w:val="center"/>
        <w:rPr>
          <w:rFonts w:hint="eastAsia" w:ascii="宋体" w:hAnsi="宋体" w:cs="宋体"/>
          <w:b/>
          <w:sz w:val="24"/>
        </w:rPr>
      </w:pPr>
    </w:p>
    <w:p w14:paraId="204F9276">
      <w:pPr>
        <w:spacing w:line="440" w:lineRule="exact"/>
        <w:jc w:val="center"/>
        <w:rPr>
          <w:rFonts w:hint="eastAsia" w:ascii="宋体" w:hAnsi="宋体" w:cs="宋体"/>
          <w:b/>
          <w:sz w:val="24"/>
        </w:rPr>
      </w:pPr>
    </w:p>
    <w:p w14:paraId="27B26AB2">
      <w:pPr>
        <w:spacing w:line="440" w:lineRule="exact"/>
        <w:jc w:val="center"/>
        <w:rPr>
          <w:rFonts w:hint="eastAsia" w:ascii="宋体" w:hAnsi="宋体" w:cs="宋体"/>
          <w:b/>
          <w:sz w:val="24"/>
        </w:rPr>
      </w:pPr>
    </w:p>
    <w:p w14:paraId="02B4007D">
      <w:pPr>
        <w:spacing w:line="440" w:lineRule="exact"/>
        <w:jc w:val="center"/>
        <w:rPr>
          <w:rFonts w:hint="eastAsia" w:ascii="宋体" w:hAnsi="宋体" w:cs="宋体"/>
          <w:b/>
          <w:sz w:val="24"/>
        </w:rPr>
      </w:pPr>
    </w:p>
    <w:p w14:paraId="4E837C5F">
      <w:pPr>
        <w:spacing w:line="440" w:lineRule="exact"/>
        <w:jc w:val="center"/>
        <w:rPr>
          <w:rFonts w:hint="eastAsia" w:ascii="宋体" w:hAnsi="宋体" w:cs="宋体"/>
          <w:b/>
          <w:sz w:val="24"/>
        </w:rPr>
      </w:pPr>
    </w:p>
    <w:p w14:paraId="254734DD">
      <w:pPr>
        <w:spacing w:line="440" w:lineRule="exact"/>
        <w:jc w:val="center"/>
        <w:rPr>
          <w:rFonts w:hint="eastAsia" w:ascii="宋体" w:hAnsi="宋体" w:cs="宋体"/>
          <w:b/>
          <w:sz w:val="24"/>
        </w:rPr>
      </w:pPr>
    </w:p>
    <w:p w14:paraId="2FB886EB">
      <w:pPr>
        <w:spacing w:before="156" w:beforeLines="50" w:after="50" w:line="460" w:lineRule="exact"/>
        <w:jc w:val="center"/>
        <w:rPr>
          <w:rFonts w:hint="eastAsia" w:ascii="宋体" w:hAnsi="宋体" w:cs="宋体"/>
          <w:b/>
          <w:sz w:val="24"/>
        </w:rPr>
        <w:sectPr>
          <w:pgSz w:w="11906" w:h="16838"/>
          <w:pgMar w:top="1247" w:right="1418" w:bottom="1247" w:left="1588" w:header="851" w:footer="992" w:gutter="0"/>
          <w:pgNumType w:fmt="decimal"/>
          <w:cols w:space="720" w:num="1"/>
          <w:docGrid w:type="lines" w:linePitch="312" w:charSpace="0"/>
        </w:sectPr>
      </w:pPr>
    </w:p>
    <w:p w14:paraId="6B939AD4">
      <w:pPr>
        <w:spacing w:before="156" w:beforeLines="50" w:after="50" w:line="460" w:lineRule="exact"/>
        <w:jc w:val="center"/>
        <w:rPr>
          <w:rFonts w:hint="eastAsia" w:ascii="宋体" w:hAnsi="宋体" w:cs="宋体"/>
          <w:b/>
          <w:sz w:val="24"/>
        </w:rPr>
      </w:pPr>
      <w:r>
        <w:rPr>
          <w:rFonts w:hint="eastAsia" w:ascii="宋体" w:hAnsi="宋体" w:cs="宋体"/>
          <w:b/>
          <w:sz w:val="24"/>
        </w:rPr>
        <w:t>法定代表人授权委托书（适用授权代表投标）</w:t>
      </w:r>
    </w:p>
    <w:p w14:paraId="18A795E1">
      <w:pPr>
        <w:pStyle w:val="18"/>
        <w:spacing w:before="156" w:after="156" w:line="480" w:lineRule="auto"/>
        <w:jc w:val="left"/>
        <w:rPr>
          <w:rFonts w:hint="eastAsia" w:hAnsi="宋体" w:cs="宋体"/>
          <w:sz w:val="24"/>
          <w:szCs w:val="24"/>
        </w:rPr>
      </w:pPr>
      <w:r>
        <w:rPr>
          <w:rFonts w:hint="eastAsia" w:hAnsi="宋体" w:cs="宋体"/>
          <w:bCs/>
          <w:sz w:val="24"/>
          <w:szCs w:val="24"/>
        </w:rPr>
        <w:t>（采购单位）、</w:t>
      </w:r>
      <w:r>
        <w:rPr>
          <w:rFonts w:hint="eastAsia" w:hAnsi="宋体" w:cs="宋体"/>
          <w:sz w:val="24"/>
          <w:szCs w:val="24"/>
        </w:rPr>
        <w:t>耀华建设管理有限公司：</w:t>
      </w:r>
    </w:p>
    <w:p w14:paraId="702D8AB6">
      <w:pPr>
        <w:wordWrap w:val="0"/>
        <w:topLinePunct/>
        <w:spacing w:line="480" w:lineRule="auto"/>
        <w:ind w:firstLine="720" w:firstLineChars="300"/>
        <w:rPr>
          <w:rFonts w:hint="eastAsia"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（投标人名称）的法定代表人，现授权委托本单位在职职工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（姓名）为授权代表，以我方的名义参加项目编号：</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项目的投标活动，并代表我方全权办理针对上述项目投标过程中的一切与之有关的事务，其在投标中的一切活动本公司均予承认。我方对授权代表的签名事项负全部责任。</w:t>
      </w:r>
    </w:p>
    <w:p w14:paraId="1E2F6E3E">
      <w:pPr>
        <w:spacing w:line="480" w:lineRule="auto"/>
        <w:ind w:firstLine="480"/>
        <w:rPr>
          <w:rFonts w:hint="eastAsia" w:ascii="宋体" w:hAnsi="宋体" w:cs="宋体"/>
          <w:sz w:val="24"/>
        </w:rPr>
      </w:pPr>
      <w:r>
        <w:rPr>
          <w:rFonts w:hint="eastAsia" w:ascii="宋体" w:hAnsi="宋体" w:cs="宋体"/>
          <w:sz w:val="24"/>
        </w:rPr>
        <w:t>在撤销授权的书面通知以前，本授权书一直有效。授权代表在授权书有效期内签署的所有文件不因授权的撤销而失效。</w:t>
      </w:r>
    </w:p>
    <w:p w14:paraId="1CA4F966">
      <w:pPr>
        <w:spacing w:line="480" w:lineRule="auto"/>
        <w:ind w:firstLine="480"/>
        <w:rPr>
          <w:rFonts w:hint="eastAsia" w:ascii="宋体" w:hAnsi="宋体" w:cs="宋体"/>
          <w:sz w:val="24"/>
        </w:rPr>
      </w:pPr>
      <w:r>
        <w:rPr>
          <w:rFonts w:hint="eastAsia" w:ascii="宋体" w:hAnsi="宋体" w:cs="宋体"/>
          <w:sz w:val="24"/>
        </w:rPr>
        <w:t>授权代表无转委托权，特此委托。</w:t>
      </w:r>
    </w:p>
    <w:p w14:paraId="00006C5D">
      <w:pPr>
        <w:spacing w:before="156"/>
        <w:rPr>
          <w:rFonts w:hint="eastAsia" w:ascii="宋体" w:hAnsi="宋体" w:cs="宋体"/>
          <w:sz w:val="24"/>
        </w:rPr>
      </w:pPr>
      <w:r>
        <w:rPr>
          <w:rFonts w:hint="eastAsia" w:ascii="宋体" w:hAnsi="宋体" w:cs="宋体"/>
          <w:sz w:val="24"/>
        </w:rPr>
        <w:t>授权代表（签名或盖章）：</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p>
    <w:p w14:paraId="2B49E901">
      <w:pPr>
        <w:spacing w:before="156"/>
        <w:rPr>
          <w:rFonts w:hint="eastAsia" w:ascii="宋体" w:hAnsi="宋体" w:cs="宋体"/>
          <w:sz w:val="24"/>
        </w:rPr>
      </w:pPr>
      <w:r>
        <w:rPr>
          <w:rFonts w:hint="eastAsia" w:ascii="宋体" w:hAnsi="宋体" w:cs="宋体"/>
          <w:sz w:val="24"/>
        </w:rPr>
        <w:t>授权代表身份证号码：</w:t>
      </w:r>
      <w:r>
        <w:rPr>
          <w:rFonts w:hint="eastAsia" w:ascii="宋体" w:hAnsi="宋体" w:cs="宋体"/>
          <w:sz w:val="24"/>
          <w:u w:val="single"/>
        </w:rPr>
        <w:t xml:space="preserve">                              </w:t>
      </w:r>
      <w:r>
        <w:rPr>
          <w:rFonts w:hint="eastAsia" w:ascii="宋体" w:hAnsi="宋体" w:cs="宋体"/>
          <w:sz w:val="24"/>
        </w:rPr>
        <w:t xml:space="preserve"> </w:t>
      </w:r>
    </w:p>
    <w:p w14:paraId="4D7C8E33">
      <w:pPr>
        <w:spacing w:before="156"/>
        <w:rPr>
          <w:rFonts w:hint="eastAsia" w:ascii="宋体" w:hAnsi="宋体" w:cs="宋体"/>
          <w:sz w:val="24"/>
        </w:rPr>
      </w:pPr>
      <w:r>
        <w:rPr>
          <w:rFonts w:hint="eastAsia" w:ascii="宋体" w:hAnsi="宋体" w:cs="宋体"/>
          <w:sz w:val="24"/>
        </w:rPr>
        <w:t>法定代表人（签名或盖章）：</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3E68230D">
      <w:pPr>
        <w:spacing w:before="156"/>
        <w:rPr>
          <w:rFonts w:hint="eastAsia" w:ascii="宋体" w:hAnsi="宋体" w:cs="宋体"/>
          <w:sz w:val="24"/>
          <w:lang w:val="zh-CN"/>
        </w:rPr>
      </w:pPr>
      <w:r>
        <w:rPr>
          <w:rFonts w:hint="eastAsia" w:ascii="宋体" w:hAnsi="宋体" w:cs="宋体"/>
          <w:sz w:val="24"/>
        </w:rPr>
        <w:t>投标人全称（盖章或电子签章）：</w:t>
      </w:r>
      <w:r>
        <w:rPr>
          <w:rFonts w:hint="eastAsia" w:ascii="宋体" w:hAnsi="宋体" w:cs="宋体"/>
          <w:sz w:val="24"/>
          <w:u w:val="single"/>
        </w:rPr>
        <w:t xml:space="preserve">                      </w:t>
      </w:r>
      <w:r>
        <w:rPr>
          <w:rFonts w:hint="eastAsia" w:ascii="宋体" w:hAnsi="宋体" w:cs="宋体"/>
          <w:sz w:val="24"/>
        </w:rPr>
        <w:t>授权日期：</w:t>
      </w:r>
      <w:r>
        <w:rPr>
          <w:rFonts w:hint="eastAsia" w:ascii="宋体" w:hAnsi="宋体" w:cs="宋体"/>
          <w:sz w:val="24"/>
          <w:u w:val="single"/>
        </w:rPr>
        <w:t xml:space="preserve">    年   月   日</w:t>
      </w:r>
    </w:p>
    <w:p w14:paraId="3C159279">
      <w:pPr>
        <w:pStyle w:val="175"/>
        <w:spacing w:line="360" w:lineRule="auto"/>
        <w:rPr>
          <w:rFonts w:hint="eastAsia" w:hAnsi="宋体" w:cs="宋体"/>
          <w:bCs/>
          <w:sz w:val="24"/>
          <w:szCs w:val="24"/>
        </w:rPr>
      </w:pPr>
      <w:r>
        <w:rPr>
          <w:rFonts w:hint="eastAsia" w:hAnsi="宋体" w:cs="宋体"/>
          <w:b/>
          <w:sz w:val="24"/>
          <w:szCs w:val="24"/>
        </w:rPr>
        <w:t>附授权代表的身份证件正反复印件：</w:t>
      </w:r>
    </w:p>
    <w:tbl>
      <w:tblPr>
        <w:tblStyle w:val="35"/>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1163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22A10340">
            <w:pPr>
              <w:pStyle w:val="175"/>
              <w:spacing w:line="360" w:lineRule="auto"/>
              <w:rPr>
                <w:rFonts w:hint="eastAsia" w:hAnsi="宋体" w:cs="宋体"/>
                <w:bCs/>
                <w:sz w:val="24"/>
                <w:szCs w:val="24"/>
              </w:rPr>
            </w:pPr>
            <w:r>
              <w:rPr>
                <w:rFonts w:hint="eastAsia" w:hAnsi="宋体" w:cs="宋体"/>
                <w:bCs/>
                <w:sz w:val="24"/>
                <w:szCs w:val="24"/>
              </w:rPr>
              <w:t>正面：                                 反面：</w:t>
            </w:r>
          </w:p>
          <w:p w14:paraId="1606792E">
            <w:pPr>
              <w:pStyle w:val="175"/>
              <w:spacing w:line="360" w:lineRule="auto"/>
              <w:rPr>
                <w:rFonts w:hint="eastAsia" w:hAnsi="宋体" w:cs="宋体"/>
                <w:bCs/>
                <w:sz w:val="24"/>
                <w:szCs w:val="24"/>
              </w:rPr>
            </w:pPr>
          </w:p>
        </w:tc>
      </w:tr>
    </w:tbl>
    <w:p w14:paraId="36DB11B1">
      <w:pPr>
        <w:spacing w:line="440" w:lineRule="exact"/>
        <w:rPr>
          <w:rFonts w:hint="eastAsia" w:ascii="宋体" w:hAnsi="宋体" w:cs="宋体"/>
          <w:sz w:val="24"/>
        </w:rPr>
      </w:pPr>
      <w:r>
        <w:rPr>
          <w:rFonts w:hint="eastAsia" w:ascii="宋体" w:hAnsi="宋体" w:cs="宋体"/>
          <w:b/>
          <w:sz w:val="24"/>
          <w:lang w:val="zh-CN"/>
        </w:rPr>
        <w:t>（</w:t>
      </w:r>
      <w:r>
        <w:rPr>
          <w:rFonts w:hint="eastAsia" w:ascii="宋体" w:hAnsi="宋体" w:cs="宋体"/>
          <w:b/>
          <w:sz w:val="24"/>
        </w:rPr>
        <w:t>注：如法定代表人直接参加投标并对相应文件签字的，只需提供其身份证复印件正反面。</w:t>
      </w:r>
      <w:r>
        <w:rPr>
          <w:rFonts w:hint="eastAsia" w:ascii="宋体" w:hAnsi="宋体" w:cs="宋体"/>
          <w:b/>
          <w:sz w:val="24"/>
          <w:lang w:val="zh-CN"/>
        </w:rPr>
        <w:t>）</w:t>
      </w:r>
      <w:r>
        <w:rPr>
          <w:rFonts w:hint="eastAsia" w:ascii="宋体" w:hAnsi="宋体" w:cs="宋体"/>
          <w:b/>
          <w:bCs/>
          <w:sz w:val="24"/>
        </w:rPr>
        <w:t>▲投标文件中法定代表人授权委托书所载内容与本项目内容有异的，投标无效。</w:t>
      </w:r>
    </w:p>
    <w:p w14:paraId="0732B83F">
      <w:pPr>
        <w:pStyle w:val="132"/>
        <w:snapToGrid w:val="0"/>
        <w:spacing w:line="440" w:lineRule="exact"/>
        <w:jc w:val="left"/>
        <w:rPr>
          <w:rFonts w:hint="eastAsia" w:ascii="宋体" w:hAnsi="宋体" w:cs="宋体"/>
          <w:b/>
          <w:szCs w:val="24"/>
          <w:lang w:val="zh-CN"/>
        </w:rPr>
        <w:sectPr>
          <w:pgSz w:w="11906" w:h="16838"/>
          <w:pgMar w:top="1247" w:right="1418" w:bottom="1247" w:left="1588" w:header="851" w:footer="992" w:gutter="0"/>
          <w:pgNumType w:fmt="decimal"/>
          <w:cols w:space="720" w:num="1"/>
          <w:docGrid w:type="lines" w:linePitch="312" w:charSpace="0"/>
        </w:sectPr>
      </w:pPr>
    </w:p>
    <w:p w14:paraId="4BC3400B">
      <w:pPr>
        <w:spacing w:line="440" w:lineRule="exact"/>
        <w:jc w:val="center"/>
        <w:rPr>
          <w:rFonts w:hint="eastAsia" w:ascii="宋体" w:hAnsi="宋体" w:cs="宋体"/>
          <w:b/>
          <w:bCs/>
          <w:sz w:val="24"/>
        </w:rPr>
      </w:pPr>
      <w:r>
        <w:rPr>
          <w:rFonts w:hint="eastAsia" w:ascii="宋体" w:hAnsi="宋体" w:cs="宋体"/>
          <w:b/>
          <w:bCs/>
          <w:sz w:val="24"/>
        </w:rPr>
        <w:t>投标响应函</w:t>
      </w:r>
    </w:p>
    <w:p w14:paraId="1C7CD3EB">
      <w:pPr>
        <w:pStyle w:val="18"/>
        <w:spacing w:line="440" w:lineRule="exact"/>
        <w:rPr>
          <w:rFonts w:hint="eastAsia" w:hAnsi="宋体" w:cs="宋体"/>
          <w:sz w:val="24"/>
          <w:szCs w:val="24"/>
        </w:rPr>
      </w:pPr>
      <w:r>
        <w:rPr>
          <w:rFonts w:hint="eastAsia" w:hAnsi="宋体" w:cs="宋体"/>
          <w:bCs/>
          <w:sz w:val="24"/>
          <w:szCs w:val="24"/>
        </w:rPr>
        <w:t>（采购单位）、</w:t>
      </w:r>
      <w:r>
        <w:rPr>
          <w:rFonts w:hint="eastAsia" w:hAnsi="宋体" w:cs="宋体"/>
          <w:sz w:val="24"/>
          <w:szCs w:val="24"/>
        </w:rPr>
        <w:t>耀华建设管理有限公司：</w:t>
      </w:r>
    </w:p>
    <w:p w14:paraId="7BDAA3C0">
      <w:pPr>
        <w:pStyle w:val="18"/>
        <w:spacing w:line="440" w:lineRule="exact"/>
        <w:ind w:firstLine="480" w:firstLineChars="200"/>
        <w:rPr>
          <w:rFonts w:hint="eastAsia" w:hAnsi="宋体" w:cs="宋体"/>
          <w:sz w:val="24"/>
          <w:szCs w:val="24"/>
        </w:rPr>
      </w:pPr>
      <w:r>
        <w:rPr>
          <w:rFonts w:hint="eastAsia" w:hAnsi="宋体" w:cs="宋体"/>
          <w:sz w:val="24"/>
          <w:szCs w:val="24"/>
        </w:rPr>
        <w:t xml:space="preserve">我 </w:t>
      </w:r>
      <w:r>
        <w:rPr>
          <w:rFonts w:hint="eastAsia" w:hAnsi="宋体" w:cs="宋体"/>
          <w:sz w:val="24"/>
          <w:szCs w:val="24"/>
          <w:u w:val="single"/>
        </w:rPr>
        <w:t xml:space="preserve">（姓名） </w:t>
      </w:r>
      <w:r>
        <w:rPr>
          <w:rFonts w:hint="eastAsia" w:hAnsi="宋体" w:cs="宋体"/>
          <w:sz w:val="24"/>
          <w:szCs w:val="24"/>
        </w:rPr>
        <w:t>系</w:t>
      </w:r>
      <w:r>
        <w:rPr>
          <w:rFonts w:hint="eastAsia" w:hAnsi="宋体" w:cs="宋体"/>
          <w:sz w:val="24"/>
          <w:szCs w:val="24"/>
          <w:u w:val="single"/>
        </w:rPr>
        <w:t xml:space="preserve">  （投标人名称）  </w:t>
      </w:r>
      <w:r>
        <w:rPr>
          <w:rFonts w:hint="eastAsia" w:hAnsi="宋体" w:cs="宋体"/>
          <w:sz w:val="24"/>
          <w:szCs w:val="24"/>
        </w:rPr>
        <w:t>的法定代表人，授权</w:t>
      </w:r>
      <w:r>
        <w:rPr>
          <w:rFonts w:hint="eastAsia" w:hAnsi="宋体" w:cs="宋体"/>
          <w:sz w:val="24"/>
          <w:szCs w:val="24"/>
          <w:u w:val="single"/>
        </w:rPr>
        <w:t xml:space="preserve">  （全名、职务） </w:t>
      </w:r>
      <w:r>
        <w:rPr>
          <w:rFonts w:hint="eastAsia" w:hAnsi="宋体" w:cs="宋体"/>
          <w:sz w:val="24"/>
          <w:szCs w:val="24"/>
        </w:rPr>
        <w:t>为全权代表，参加贵方组织的</w:t>
      </w:r>
      <w:r>
        <w:rPr>
          <w:rFonts w:hint="eastAsia" w:hAnsi="宋体" w:cs="宋体"/>
          <w:sz w:val="24"/>
          <w:szCs w:val="24"/>
          <w:u w:val="single"/>
        </w:rPr>
        <w:t xml:space="preserve">           （招标项目名称）        项目（项目编号：      </w:t>
      </w:r>
      <w:r>
        <w:rPr>
          <w:rFonts w:hint="eastAsia" w:hAnsi="宋体" w:cs="宋体"/>
          <w:sz w:val="24"/>
          <w:szCs w:val="24"/>
        </w:rPr>
        <w:t>）采购的有关活动，并对此项目进行投标。为此，我方就本次投标有关事项郑重声明如下：</w:t>
      </w:r>
    </w:p>
    <w:p w14:paraId="0DC90499">
      <w:pPr>
        <w:pStyle w:val="18"/>
        <w:spacing w:line="440" w:lineRule="exact"/>
        <w:ind w:firstLine="480" w:firstLineChars="200"/>
        <w:rPr>
          <w:rFonts w:hint="eastAsia" w:hAnsi="宋体" w:cs="宋体"/>
          <w:sz w:val="24"/>
          <w:szCs w:val="24"/>
        </w:rPr>
      </w:pPr>
      <w:r>
        <w:rPr>
          <w:rFonts w:hint="eastAsia" w:hAnsi="宋体" w:cs="宋体"/>
          <w:sz w:val="24"/>
          <w:szCs w:val="24"/>
        </w:rPr>
        <w:t>1.我方承诺已经具备《中华人民共和国政府采购法》中规定的参加政府采购活动的供应商应当具备的条件：</w:t>
      </w:r>
    </w:p>
    <w:p w14:paraId="73C22131">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（1）具有独立承担民事责任能力；</w:t>
      </w:r>
    </w:p>
    <w:p w14:paraId="79805D2B">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（2）遵守国家法律、行政法规，具有良好的商业信誉、商业道德和健全的财务会计制度；</w:t>
      </w:r>
    </w:p>
    <w:p w14:paraId="4C832AF0">
      <w:pPr>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（3）具有履行合同所必需的设备和专业技术能力</w:t>
      </w:r>
      <w:r>
        <w:rPr>
          <w:rFonts w:hint="eastAsia" w:ascii="宋体" w:hAnsi="宋体" w:cs="宋体"/>
          <w:sz w:val="24"/>
        </w:rPr>
        <w:t>；</w:t>
      </w:r>
    </w:p>
    <w:p w14:paraId="5F131DD1">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（4）有依法缴纳税收和社会保障资金的良好记录；</w:t>
      </w:r>
    </w:p>
    <w:p w14:paraId="7B6BB297">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（5）遵守中华人民共和国政府采购有关规定，没有违反政府采购法规、政策的记录；</w:t>
      </w:r>
    </w:p>
    <w:p w14:paraId="6DAF389F">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（6）具有良好的财务状况以及良好的履行合同的能力和记录；</w:t>
      </w:r>
    </w:p>
    <w:p w14:paraId="761C3002">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（7）产品及生产所需装备符合中国政府规定的相应技术标准和环保标准；</w:t>
      </w:r>
    </w:p>
    <w:p w14:paraId="326AAD7F">
      <w:pPr>
        <w:widowControl/>
        <w:snapToGrid w:val="0"/>
        <w:spacing w:line="440" w:lineRule="exact"/>
        <w:ind w:firstLine="480" w:firstLineChars="200"/>
        <w:jc w:val="left"/>
        <w:rPr>
          <w:rFonts w:hint="eastAsia" w:ascii="宋体" w:hAnsi="宋体" w:cs="宋体"/>
          <w:kern w:val="0"/>
          <w:sz w:val="24"/>
          <w:u w:val="single"/>
        </w:rPr>
      </w:pPr>
      <w:r>
        <w:rPr>
          <w:rFonts w:hint="eastAsia" w:ascii="宋体" w:hAnsi="宋体" w:cs="宋体"/>
          <w:kern w:val="0"/>
          <w:sz w:val="24"/>
        </w:rPr>
        <w:t>（8）没有违反政府采购法规、政策的记录。</w:t>
      </w:r>
    </w:p>
    <w:p w14:paraId="418EA2D9">
      <w:pPr>
        <w:pStyle w:val="18"/>
        <w:spacing w:line="440" w:lineRule="exact"/>
        <w:ind w:firstLine="480" w:firstLineChars="200"/>
        <w:rPr>
          <w:rFonts w:hint="eastAsia" w:hAnsi="宋体" w:cs="宋体"/>
          <w:sz w:val="24"/>
          <w:szCs w:val="24"/>
        </w:rPr>
      </w:pPr>
      <w:r>
        <w:rPr>
          <w:rFonts w:hint="eastAsia" w:hAnsi="宋体" w:cs="宋体"/>
          <w:sz w:val="24"/>
          <w:szCs w:val="24"/>
        </w:rPr>
        <w:t>2.我方同意在招标文件规定的开标日期起遵守本投标文件中的承诺且在投标有效期满之前均具有约束力。</w:t>
      </w:r>
    </w:p>
    <w:p w14:paraId="180A4423">
      <w:pPr>
        <w:spacing w:line="440" w:lineRule="exact"/>
        <w:ind w:firstLine="480" w:firstLineChars="200"/>
        <w:jc w:val="left"/>
        <w:rPr>
          <w:rFonts w:hint="eastAsia" w:ascii="宋体" w:hAnsi="宋体" w:cs="宋体"/>
          <w:sz w:val="24"/>
        </w:rPr>
      </w:pPr>
      <w:r>
        <w:rPr>
          <w:rFonts w:hint="eastAsia" w:ascii="宋体" w:hAnsi="宋体" w:cs="宋体"/>
          <w:sz w:val="24"/>
        </w:rPr>
        <w:t>3.按招标文件要求提供服务的投标报价详见开标一览表。</w:t>
      </w:r>
    </w:p>
    <w:p w14:paraId="5CE4BC5E">
      <w:pPr>
        <w:spacing w:line="440" w:lineRule="exact"/>
        <w:ind w:firstLine="480" w:firstLineChars="200"/>
        <w:jc w:val="left"/>
        <w:rPr>
          <w:rFonts w:hint="eastAsia" w:ascii="宋体" w:hAnsi="宋体" w:cs="宋体"/>
          <w:sz w:val="24"/>
        </w:rPr>
      </w:pPr>
      <w:r>
        <w:rPr>
          <w:rFonts w:hint="eastAsia" w:ascii="宋体" w:hAnsi="宋体" w:cs="宋体"/>
          <w:sz w:val="24"/>
        </w:rPr>
        <w:t>4.我方已详细审查全部招标文件，包括招标文件澄清修改内容(如果有)、参考资料及有关附件，确认无误，同意并保证遵守招标文件（包括答疑文件、补充文件等）的各项规定和要求。</w:t>
      </w:r>
    </w:p>
    <w:p w14:paraId="4E1B5131">
      <w:pPr>
        <w:spacing w:line="440" w:lineRule="exact"/>
        <w:ind w:firstLine="480" w:firstLineChars="200"/>
        <w:jc w:val="left"/>
        <w:rPr>
          <w:rFonts w:hint="eastAsia" w:ascii="宋体" w:hAnsi="宋体" w:cs="宋体"/>
          <w:sz w:val="24"/>
        </w:rPr>
      </w:pPr>
      <w:r>
        <w:rPr>
          <w:rFonts w:hint="eastAsia" w:ascii="宋体" w:hAnsi="宋体" w:cs="宋体"/>
          <w:sz w:val="24"/>
        </w:rPr>
        <w:t>5.我方同意在中标后按时签订合同。</w:t>
      </w:r>
    </w:p>
    <w:p w14:paraId="0906A5FD">
      <w:pPr>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6.</w:t>
      </w:r>
      <w:r>
        <w:rPr>
          <w:rFonts w:hint="eastAsia" w:ascii="宋体" w:hAnsi="宋体" w:cs="宋体"/>
          <w:sz w:val="24"/>
        </w:rPr>
        <w:t>我方</w:t>
      </w:r>
      <w:r>
        <w:rPr>
          <w:rFonts w:hint="eastAsia" w:ascii="宋体" w:hAnsi="宋体" w:cs="宋体"/>
          <w:kern w:val="0"/>
          <w:sz w:val="24"/>
        </w:rPr>
        <w:t>保证遵守招标文件中的其他有关规定。</w:t>
      </w:r>
    </w:p>
    <w:p w14:paraId="5F1A7E93">
      <w:pPr>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7.我方愿意向贵方提供任何与该项投标有关的数据、情况和技术资料。若贵方需要，我方愿意提供我方作出的一切承诺的证明材料。我方理解贵方不一定要接受最低价的投标或收到的任何投标。</w:t>
      </w:r>
    </w:p>
    <w:p w14:paraId="1676B8ED">
      <w:pPr>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8.我方向贵方提交的所有投标文件、资料都是准确的和真实的。</w:t>
      </w:r>
    </w:p>
    <w:p w14:paraId="63A128AC">
      <w:pPr>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9.我方承诺投标有效期从提交投标文件的截止之日起</w:t>
      </w:r>
      <w:r>
        <w:rPr>
          <w:rFonts w:hint="eastAsia" w:ascii="宋体" w:hAnsi="宋体" w:cs="宋体"/>
          <w:kern w:val="0"/>
          <w:sz w:val="24"/>
          <w:u w:val="single"/>
        </w:rPr>
        <w:t xml:space="preserve">     </w:t>
      </w:r>
      <w:r>
        <w:rPr>
          <w:rFonts w:hint="eastAsia" w:ascii="宋体" w:hAnsi="宋体" w:cs="宋体"/>
          <w:kern w:val="0"/>
          <w:sz w:val="24"/>
        </w:rPr>
        <w:t>天，不少于招标文件中载明的投标有效期（从提交投标文件的截止之日起90天）。</w:t>
      </w:r>
    </w:p>
    <w:p w14:paraId="38A240C0">
      <w:pPr>
        <w:spacing w:line="440" w:lineRule="exact"/>
        <w:ind w:firstLine="480" w:firstLineChars="200"/>
        <w:jc w:val="left"/>
        <w:rPr>
          <w:rFonts w:hint="eastAsia" w:ascii="宋体" w:hAnsi="宋体" w:cs="宋体"/>
          <w:sz w:val="24"/>
        </w:rPr>
      </w:pPr>
      <w:r>
        <w:rPr>
          <w:rFonts w:hint="eastAsia" w:ascii="宋体" w:hAnsi="宋体" w:cs="宋体"/>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39ADFAA">
      <w:pPr>
        <w:spacing w:line="440" w:lineRule="exact"/>
        <w:ind w:firstLine="480" w:firstLineChars="200"/>
        <w:jc w:val="left"/>
        <w:rPr>
          <w:rFonts w:hint="eastAsia" w:ascii="宋体" w:hAnsi="宋体" w:cs="宋体"/>
          <w:sz w:val="24"/>
        </w:rPr>
      </w:pPr>
      <w:r>
        <w:rPr>
          <w:rFonts w:hint="eastAsia" w:ascii="宋体" w:hAnsi="宋体" w:cs="宋体"/>
          <w:sz w:val="24"/>
        </w:rPr>
        <w:t>（1)提供虚假材料谋取中标、成交的；</w:t>
      </w:r>
    </w:p>
    <w:p w14:paraId="27835566">
      <w:pPr>
        <w:spacing w:line="440" w:lineRule="exact"/>
        <w:ind w:firstLine="480" w:firstLineChars="200"/>
        <w:jc w:val="left"/>
        <w:rPr>
          <w:rFonts w:hint="eastAsia" w:ascii="宋体" w:hAnsi="宋体" w:cs="宋体"/>
          <w:sz w:val="24"/>
        </w:rPr>
      </w:pPr>
      <w:r>
        <w:rPr>
          <w:rFonts w:hint="eastAsia" w:ascii="宋体" w:hAnsi="宋体" w:cs="宋体"/>
          <w:sz w:val="24"/>
        </w:rPr>
        <w:t>（2)采取不正当手段诋毁、排挤其他供应商的；</w:t>
      </w:r>
    </w:p>
    <w:p w14:paraId="746FFF52">
      <w:pPr>
        <w:spacing w:line="440" w:lineRule="exact"/>
        <w:ind w:firstLine="480" w:firstLineChars="200"/>
        <w:jc w:val="left"/>
        <w:rPr>
          <w:rFonts w:hint="eastAsia" w:ascii="宋体" w:hAnsi="宋体" w:cs="宋体"/>
          <w:sz w:val="24"/>
        </w:rPr>
      </w:pPr>
      <w:r>
        <w:rPr>
          <w:rFonts w:hint="eastAsia" w:ascii="宋体" w:hAnsi="宋体" w:cs="宋体"/>
          <w:sz w:val="24"/>
        </w:rPr>
        <w:t>（3)与采购单位、其它供应商或者采购代理机构恶意串通的；</w:t>
      </w:r>
    </w:p>
    <w:p w14:paraId="07A2E1C2">
      <w:pPr>
        <w:spacing w:line="440" w:lineRule="exact"/>
        <w:ind w:firstLine="480" w:firstLineChars="200"/>
        <w:jc w:val="left"/>
        <w:rPr>
          <w:rFonts w:hint="eastAsia" w:ascii="宋体" w:hAnsi="宋体" w:cs="宋体"/>
          <w:sz w:val="24"/>
        </w:rPr>
      </w:pPr>
      <w:r>
        <w:rPr>
          <w:rFonts w:hint="eastAsia" w:ascii="宋体" w:hAnsi="宋体" w:cs="宋体"/>
          <w:sz w:val="24"/>
        </w:rPr>
        <w:t>（4)向采购单位、采购代理机构行贿或者提供其他不正当利益的；</w:t>
      </w:r>
    </w:p>
    <w:p w14:paraId="0EBB716C">
      <w:pPr>
        <w:spacing w:line="440" w:lineRule="exact"/>
        <w:ind w:firstLine="480" w:firstLineChars="200"/>
        <w:jc w:val="left"/>
        <w:rPr>
          <w:rFonts w:hint="eastAsia" w:ascii="宋体" w:hAnsi="宋体" w:cs="宋体"/>
          <w:sz w:val="24"/>
        </w:rPr>
      </w:pPr>
      <w:r>
        <w:rPr>
          <w:rFonts w:hint="eastAsia" w:ascii="宋体" w:hAnsi="宋体" w:cs="宋体"/>
          <w:sz w:val="24"/>
        </w:rPr>
        <w:t>（5)在招标采购过程中与采购单位进行协商谈判的；</w:t>
      </w:r>
    </w:p>
    <w:p w14:paraId="47FAFA93">
      <w:pPr>
        <w:spacing w:line="440" w:lineRule="exact"/>
        <w:ind w:firstLine="480" w:firstLineChars="200"/>
        <w:jc w:val="left"/>
        <w:rPr>
          <w:rFonts w:hint="eastAsia" w:ascii="宋体" w:hAnsi="宋体" w:cs="宋体"/>
          <w:sz w:val="24"/>
        </w:rPr>
      </w:pPr>
      <w:r>
        <w:rPr>
          <w:rFonts w:hint="eastAsia" w:ascii="宋体" w:hAnsi="宋体" w:cs="宋体"/>
          <w:sz w:val="24"/>
        </w:rPr>
        <w:t>（6)拒绝有关部门监督检查或提供虚假情况的。</w:t>
      </w:r>
    </w:p>
    <w:p w14:paraId="026BB80A">
      <w:pPr>
        <w:spacing w:line="440" w:lineRule="exact"/>
        <w:ind w:firstLine="480" w:firstLineChars="200"/>
        <w:jc w:val="left"/>
        <w:rPr>
          <w:rFonts w:hint="eastAsia" w:ascii="宋体" w:hAnsi="宋体" w:cs="宋体"/>
          <w:sz w:val="24"/>
        </w:rPr>
      </w:pPr>
      <w:r>
        <w:rPr>
          <w:rFonts w:hint="eastAsia" w:ascii="宋体" w:hAnsi="宋体" w:cs="宋体"/>
          <w:sz w:val="24"/>
        </w:rPr>
        <w:t>供应商有前款第（1)至（5)项情形之一的，中标、成交无效。</w:t>
      </w:r>
    </w:p>
    <w:p w14:paraId="79801AEA">
      <w:pPr>
        <w:spacing w:line="440" w:lineRule="exact"/>
        <w:ind w:firstLine="480" w:firstLineChars="200"/>
        <w:jc w:val="left"/>
        <w:rPr>
          <w:rFonts w:hint="eastAsia" w:ascii="宋体" w:hAnsi="宋体" w:cs="宋体"/>
          <w:sz w:val="24"/>
        </w:rPr>
      </w:pPr>
      <w:r>
        <w:rPr>
          <w:rFonts w:hint="eastAsia" w:ascii="宋体" w:hAnsi="宋体" w:cs="宋体"/>
          <w:sz w:val="24"/>
        </w:rPr>
        <w:t>以上事项如有虚假或隐瞒，我方愿意承担一切后果，并不再寻求任何旨在减轻或免除法律责任的辩解。</w:t>
      </w:r>
    </w:p>
    <w:p w14:paraId="4295878F">
      <w:pPr>
        <w:spacing w:line="440" w:lineRule="exact"/>
        <w:ind w:firstLine="480" w:firstLineChars="200"/>
        <w:jc w:val="left"/>
        <w:rPr>
          <w:rFonts w:hint="eastAsia" w:ascii="宋体" w:hAnsi="宋体" w:cs="宋体"/>
          <w:sz w:val="24"/>
        </w:rPr>
      </w:pPr>
      <w:r>
        <w:rPr>
          <w:rFonts w:hint="eastAsia" w:ascii="宋体" w:hAnsi="宋体" w:cs="宋体"/>
          <w:sz w:val="24"/>
        </w:rPr>
        <w:t>与本投标有关的一切正式往来通讯请联系：</w:t>
      </w:r>
    </w:p>
    <w:p w14:paraId="7D7E4FCA">
      <w:pPr>
        <w:spacing w:line="440" w:lineRule="exact"/>
        <w:ind w:firstLine="480" w:firstLineChars="200"/>
        <w:jc w:val="left"/>
        <w:rPr>
          <w:rFonts w:hint="eastAsia" w:ascii="宋体" w:hAnsi="宋体" w:cs="宋体"/>
          <w:sz w:val="24"/>
        </w:rPr>
      </w:pPr>
    </w:p>
    <w:p w14:paraId="71C7E63A">
      <w:pPr>
        <w:spacing w:line="440" w:lineRule="exact"/>
        <w:ind w:firstLine="480" w:firstLineChars="200"/>
        <w:jc w:val="left"/>
        <w:rPr>
          <w:rFonts w:hint="eastAsia" w:ascii="宋体" w:hAnsi="宋体" w:cs="宋体"/>
          <w:sz w:val="24"/>
          <w:u w:val="single"/>
        </w:rPr>
      </w:pPr>
      <w:r>
        <w:rPr>
          <w:rFonts w:hint="eastAsia" w:ascii="宋体" w:hAnsi="宋体" w:cs="宋体"/>
          <w:sz w:val="24"/>
        </w:rPr>
        <w:t>投标人名称(盖章):</w:t>
      </w:r>
      <w:r>
        <w:rPr>
          <w:rFonts w:hint="eastAsia" w:ascii="宋体" w:hAnsi="宋体" w:cs="宋体"/>
          <w:sz w:val="24"/>
          <w:u w:val="single"/>
        </w:rPr>
        <w:t xml:space="preserve">                                       </w:t>
      </w:r>
    </w:p>
    <w:p w14:paraId="1CD82400">
      <w:pPr>
        <w:spacing w:line="440" w:lineRule="exact"/>
        <w:ind w:firstLine="480" w:firstLineChars="200"/>
        <w:jc w:val="left"/>
        <w:rPr>
          <w:rFonts w:hint="eastAsia" w:ascii="宋体" w:hAnsi="宋体" w:cs="宋体"/>
          <w:sz w:val="24"/>
          <w:u w:val="single"/>
        </w:rPr>
      </w:pPr>
      <w:r>
        <w:rPr>
          <w:rFonts w:hint="eastAsia" w:ascii="宋体" w:hAnsi="宋体" w:cs="宋体"/>
          <w:sz w:val="24"/>
        </w:rPr>
        <w:t>法定代表人或授权代表（签名或盖章）:</w:t>
      </w:r>
      <w:r>
        <w:rPr>
          <w:rFonts w:hint="eastAsia" w:ascii="宋体" w:hAnsi="宋体" w:cs="宋体"/>
          <w:sz w:val="24"/>
          <w:u w:val="single"/>
        </w:rPr>
        <w:t xml:space="preserve">                               </w:t>
      </w:r>
    </w:p>
    <w:p w14:paraId="2AE9E141">
      <w:pPr>
        <w:spacing w:line="440" w:lineRule="exact"/>
        <w:ind w:firstLine="480" w:firstLineChars="200"/>
        <w:jc w:val="left"/>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69733880">
      <w:pPr>
        <w:spacing w:line="440" w:lineRule="exact"/>
        <w:ind w:firstLine="480" w:firstLineChars="200"/>
        <w:jc w:val="left"/>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邮箱：</w:t>
      </w:r>
      <w:r>
        <w:rPr>
          <w:rFonts w:hint="eastAsia" w:ascii="宋体" w:hAnsi="宋体" w:cs="宋体"/>
          <w:sz w:val="24"/>
          <w:u w:val="single"/>
        </w:rPr>
        <w:t xml:space="preserve">                      </w:t>
      </w:r>
    </w:p>
    <w:p w14:paraId="044B880E">
      <w:pPr>
        <w:spacing w:line="440" w:lineRule="exact"/>
        <w:ind w:firstLine="480" w:firstLineChars="200"/>
        <w:rPr>
          <w:rFonts w:hint="eastAsia" w:ascii="宋体" w:hAnsi="宋体" w:cs="宋体"/>
          <w:sz w:val="24"/>
        </w:rPr>
      </w:pPr>
      <w:r>
        <w:rPr>
          <w:rFonts w:hint="eastAsia" w:ascii="宋体" w:hAnsi="宋体" w:cs="宋体"/>
          <w:sz w:val="24"/>
        </w:rPr>
        <w:t>投标日期: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0AF36BC">
      <w:pPr>
        <w:spacing w:line="440" w:lineRule="exact"/>
        <w:ind w:firstLine="482" w:firstLineChars="200"/>
        <w:rPr>
          <w:rFonts w:hint="eastAsia" w:ascii="宋体" w:hAnsi="宋体" w:cs="宋体"/>
          <w:b/>
          <w:bCs/>
          <w:sz w:val="24"/>
        </w:rPr>
      </w:pPr>
    </w:p>
    <w:p w14:paraId="3CD3A63C">
      <w:pPr>
        <w:spacing w:line="440" w:lineRule="exact"/>
        <w:ind w:firstLine="482" w:firstLineChars="200"/>
        <w:rPr>
          <w:rFonts w:hint="eastAsia" w:ascii="宋体" w:hAnsi="宋体" w:cs="宋体"/>
          <w:b/>
          <w:bCs/>
          <w:sz w:val="24"/>
        </w:rPr>
      </w:pPr>
    </w:p>
    <w:p w14:paraId="682722E3">
      <w:pPr>
        <w:spacing w:line="440" w:lineRule="exact"/>
        <w:ind w:firstLine="482" w:firstLineChars="200"/>
        <w:rPr>
          <w:rFonts w:hint="eastAsia" w:ascii="宋体" w:hAnsi="宋体" w:cs="宋体"/>
          <w:b/>
          <w:sz w:val="24"/>
        </w:rPr>
        <w:sectPr>
          <w:headerReference r:id="rId17" w:type="default"/>
          <w:footerReference r:id="rId18" w:type="default"/>
          <w:pgSz w:w="11906" w:h="16838"/>
          <w:pgMar w:top="1418" w:right="1418" w:bottom="1418" w:left="1588" w:header="851" w:footer="992" w:gutter="0"/>
          <w:pgNumType w:fmt="decimal"/>
          <w:cols w:space="720" w:num="1"/>
          <w:docGrid w:type="lines" w:linePitch="312" w:charSpace="0"/>
        </w:sectPr>
      </w:pPr>
      <w:r>
        <w:rPr>
          <w:rFonts w:hint="eastAsia" w:ascii="宋体" w:hAnsi="宋体" w:cs="宋体"/>
          <w:b/>
          <w:bCs/>
          <w:sz w:val="24"/>
        </w:rPr>
        <w:t>▲注：未按照本投标响应函要求填报的将被视为非实质性响应投标。</w:t>
      </w:r>
    </w:p>
    <w:p w14:paraId="0CFED84C">
      <w:pPr>
        <w:tabs>
          <w:tab w:val="left" w:pos="0"/>
        </w:tabs>
        <w:autoSpaceDE w:val="0"/>
        <w:autoSpaceDN w:val="0"/>
        <w:spacing w:line="440" w:lineRule="exact"/>
        <w:jc w:val="center"/>
        <w:rPr>
          <w:rFonts w:hint="eastAsia" w:ascii="宋体" w:hAnsi="宋体" w:cs="宋体"/>
          <w:sz w:val="24"/>
        </w:rPr>
      </w:pPr>
      <w:r>
        <w:rPr>
          <w:rFonts w:hint="eastAsia" w:ascii="宋体" w:hAnsi="宋体" w:cs="宋体"/>
          <w:b/>
          <w:sz w:val="24"/>
        </w:rPr>
        <w:t>采购供应商廉洁自律承诺书</w:t>
      </w:r>
    </w:p>
    <w:p w14:paraId="27BC8DF7">
      <w:pPr>
        <w:spacing w:line="440" w:lineRule="exact"/>
        <w:rPr>
          <w:rFonts w:hint="eastAsia" w:ascii="宋体" w:hAnsi="宋体" w:cs="宋体"/>
          <w:sz w:val="24"/>
          <w:highlight w:val="cyan"/>
        </w:rPr>
      </w:pPr>
    </w:p>
    <w:p w14:paraId="079EF29C">
      <w:pPr>
        <w:spacing w:line="440" w:lineRule="exact"/>
        <w:rPr>
          <w:rFonts w:hint="eastAsia" w:ascii="宋体" w:hAnsi="宋体" w:cs="宋体"/>
          <w:sz w:val="24"/>
        </w:rPr>
      </w:pPr>
      <w:r>
        <w:rPr>
          <w:rFonts w:hint="eastAsia" w:ascii="宋体" w:hAnsi="宋体" w:cs="宋体"/>
          <w:bCs/>
          <w:sz w:val="24"/>
        </w:rPr>
        <w:t>（采购单位）、</w:t>
      </w:r>
      <w:r>
        <w:rPr>
          <w:rFonts w:hint="eastAsia" w:ascii="宋体" w:hAnsi="宋体" w:cs="宋体"/>
          <w:sz w:val="24"/>
        </w:rPr>
        <w:t>耀华建设管理有限公司：</w:t>
      </w:r>
    </w:p>
    <w:p w14:paraId="77CDEEC9">
      <w:pPr>
        <w:snapToGrid w:val="0"/>
        <w:spacing w:line="440" w:lineRule="exact"/>
        <w:ind w:firstLine="720" w:firstLineChars="300"/>
        <w:rPr>
          <w:rFonts w:hint="eastAsia" w:ascii="宋体" w:hAnsi="宋体" w:cs="宋体"/>
          <w:color w:val="000000"/>
          <w:sz w:val="24"/>
        </w:rPr>
      </w:pPr>
      <w:r>
        <w:rPr>
          <w:rFonts w:hint="eastAsia" w:ascii="宋体" w:hAnsi="宋体" w:cs="宋体"/>
          <w:color w:val="000000"/>
          <w:sz w:val="24"/>
        </w:rPr>
        <w:t>本单位合法参加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 xml:space="preserve"> ）采购活动，就有关廉洁自律和公平竞争事项郑重声明如下：</w:t>
      </w:r>
    </w:p>
    <w:p w14:paraId="324E83FD">
      <w:pPr>
        <w:snapToGrid w:val="0"/>
        <w:spacing w:line="440" w:lineRule="exact"/>
        <w:ind w:firstLine="720" w:firstLineChars="300"/>
        <w:rPr>
          <w:rFonts w:hint="eastAsia" w:ascii="宋体" w:hAnsi="宋体" w:cs="宋体"/>
          <w:color w:val="000000"/>
          <w:sz w:val="24"/>
        </w:rPr>
      </w:pPr>
      <w:r>
        <w:rPr>
          <w:rFonts w:hint="eastAsia" w:ascii="宋体" w:hAnsi="宋体" w:cs="宋体"/>
          <w:color w:val="000000"/>
          <w:sz w:val="24"/>
        </w:rPr>
        <w:t>一、本单位与采购单位之间不存在利害关系，不存在行贿、串通等违法行为。</w:t>
      </w:r>
    </w:p>
    <w:p w14:paraId="092A5B34">
      <w:pPr>
        <w:snapToGrid w:val="0"/>
        <w:spacing w:line="440" w:lineRule="exact"/>
        <w:ind w:firstLine="720" w:firstLineChars="300"/>
        <w:rPr>
          <w:rFonts w:hint="eastAsia" w:ascii="宋体" w:hAnsi="宋体" w:cs="宋体"/>
          <w:color w:val="000000"/>
          <w:sz w:val="24"/>
        </w:rPr>
      </w:pPr>
      <w:r>
        <w:rPr>
          <w:rFonts w:hint="eastAsia" w:ascii="宋体" w:hAnsi="宋体" w:cs="宋体"/>
          <w:color w:val="000000"/>
          <w:sz w:val="24"/>
        </w:rPr>
        <w:t>二、本单位与其他当事人之间不存在直接控股、管理关系等情况，不存在法定的不允许投标情形，不存在行贿、串通等违法行为。</w:t>
      </w:r>
    </w:p>
    <w:p w14:paraId="38F988A6">
      <w:pPr>
        <w:snapToGrid w:val="0"/>
        <w:spacing w:line="440" w:lineRule="exact"/>
        <w:ind w:firstLine="720" w:firstLineChars="300"/>
        <w:rPr>
          <w:rFonts w:hint="eastAsia" w:ascii="宋体" w:hAnsi="宋体" w:cs="宋体"/>
          <w:color w:val="000000"/>
          <w:sz w:val="24"/>
        </w:rPr>
      </w:pPr>
      <w:r>
        <w:rPr>
          <w:rFonts w:hint="eastAsia" w:ascii="宋体" w:hAnsi="宋体" w:cs="宋体"/>
          <w:color w:val="000000"/>
          <w:sz w:val="24"/>
        </w:rPr>
        <w:t>三、本单位清楚知道并严格遵守采购法律法规、政策文件和相关纪律。</w:t>
      </w:r>
    </w:p>
    <w:p w14:paraId="57FC08F7">
      <w:pPr>
        <w:tabs>
          <w:tab w:val="left" w:pos="0"/>
        </w:tabs>
        <w:autoSpaceDE w:val="0"/>
        <w:autoSpaceDN w:val="0"/>
        <w:spacing w:line="440" w:lineRule="exact"/>
        <w:ind w:firstLine="1928" w:firstLineChars="800"/>
        <w:rPr>
          <w:rFonts w:hint="eastAsia" w:ascii="宋体" w:hAnsi="宋体" w:cs="宋体"/>
          <w:b/>
          <w:bCs/>
          <w:sz w:val="24"/>
        </w:rPr>
      </w:pPr>
    </w:p>
    <w:p w14:paraId="7AF0E290">
      <w:pPr>
        <w:pStyle w:val="132"/>
        <w:snapToGrid w:val="0"/>
        <w:spacing w:line="440" w:lineRule="exact"/>
        <w:rPr>
          <w:rFonts w:hint="eastAsia" w:ascii="宋体" w:hAnsi="宋体" w:cs="宋体"/>
          <w:szCs w:val="24"/>
        </w:rPr>
      </w:pPr>
      <w:r>
        <w:rPr>
          <w:rFonts w:hint="eastAsia" w:ascii="宋体" w:hAnsi="宋体" w:cs="宋体"/>
          <w:szCs w:val="24"/>
        </w:rPr>
        <w:t>投标人全称（</w:t>
      </w:r>
      <w:r>
        <w:rPr>
          <w:rFonts w:hint="eastAsia" w:ascii="宋体" w:hAnsi="宋体" w:cs="宋体"/>
          <w:kern w:val="0"/>
          <w:szCs w:val="24"/>
          <w:lang w:val="zh-CN"/>
        </w:rPr>
        <w:t>盖章</w:t>
      </w:r>
      <w:r>
        <w:rPr>
          <w:rFonts w:hint="eastAsia" w:ascii="宋体" w:hAnsi="宋体" w:cs="宋体"/>
          <w:szCs w:val="24"/>
        </w:rPr>
        <w:t>）：</w:t>
      </w:r>
      <w:r>
        <w:rPr>
          <w:rFonts w:hint="eastAsia" w:ascii="宋体" w:hAnsi="宋体" w:cs="宋体"/>
          <w:szCs w:val="24"/>
          <w:u w:val="single"/>
        </w:rPr>
        <w:t xml:space="preserve">                      </w:t>
      </w:r>
    </w:p>
    <w:p w14:paraId="0630B1AA">
      <w:pPr>
        <w:snapToGrid w:val="0"/>
        <w:spacing w:line="440" w:lineRule="exact"/>
        <w:rPr>
          <w:rFonts w:hint="eastAsia" w:ascii="宋体" w:hAnsi="宋体" w:cs="宋体"/>
          <w:sz w:val="24"/>
        </w:rPr>
      </w:pPr>
    </w:p>
    <w:p w14:paraId="151C8A45">
      <w:pPr>
        <w:snapToGrid w:val="0"/>
        <w:spacing w:line="440" w:lineRule="exact"/>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年     月     日</w:t>
      </w:r>
    </w:p>
    <w:p w14:paraId="02F145CC">
      <w:pPr>
        <w:snapToGrid w:val="0"/>
        <w:spacing w:line="440" w:lineRule="exact"/>
        <w:rPr>
          <w:rFonts w:hint="eastAsia" w:ascii="宋体" w:hAnsi="宋体" w:cs="宋体"/>
          <w:b/>
          <w:sz w:val="24"/>
        </w:rPr>
      </w:pPr>
    </w:p>
    <w:p w14:paraId="7D0F5695">
      <w:pPr>
        <w:pStyle w:val="4"/>
        <w:tabs>
          <w:tab w:val="left" w:pos="576"/>
        </w:tabs>
        <w:spacing w:before="0" w:after="0" w:line="440" w:lineRule="exact"/>
        <w:rPr>
          <w:rFonts w:hint="eastAsia" w:ascii="宋体" w:hAnsi="宋体" w:eastAsia="宋体" w:cs="宋体"/>
          <w:sz w:val="24"/>
          <w:szCs w:val="24"/>
        </w:rPr>
      </w:pPr>
    </w:p>
    <w:p w14:paraId="50798A2A">
      <w:pPr>
        <w:spacing w:line="440" w:lineRule="exact"/>
        <w:rPr>
          <w:rFonts w:hint="eastAsia" w:ascii="宋体" w:hAnsi="宋体" w:cs="宋体"/>
          <w:sz w:val="24"/>
        </w:rPr>
      </w:pPr>
    </w:p>
    <w:p w14:paraId="17D5F15F">
      <w:pPr>
        <w:spacing w:line="440" w:lineRule="exact"/>
        <w:ind w:firstLine="482" w:firstLineChars="200"/>
        <w:rPr>
          <w:rFonts w:hint="eastAsia" w:ascii="宋体" w:hAnsi="宋体" w:cs="宋体"/>
          <w:b/>
          <w:sz w:val="24"/>
        </w:rPr>
        <w:sectPr>
          <w:headerReference r:id="rId19" w:type="default"/>
          <w:footerReference r:id="rId20" w:type="default"/>
          <w:pgSz w:w="11906" w:h="16838"/>
          <w:pgMar w:top="1418" w:right="1418" w:bottom="1418" w:left="1588" w:header="851" w:footer="992" w:gutter="0"/>
          <w:pgNumType w:fmt="decimal"/>
          <w:cols w:space="720" w:num="1"/>
          <w:docGrid w:type="lines" w:linePitch="312" w:charSpace="0"/>
        </w:sectPr>
      </w:pPr>
      <w:r>
        <w:rPr>
          <w:rFonts w:hint="eastAsia" w:ascii="宋体" w:hAnsi="宋体" w:cs="宋体"/>
          <w:b/>
          <w:bCs/>
          <w:sz w:val="24"/>
        </w:rPr>
        <w:t>▲注：未按照本采购供应商廉洁自律承诺书要求填报的将被视为非实质性响应投标。</w:t>
      </w:r>
    </w:p>
    <w:p w14:paraId="2C3674B3">
      <w:pPr>
        <w:tabs>
          <w:tab w:val="left" w:pos="0"/>
        </w:tabs>
        <w:autoSpaceDE w:val="0"/>
        <w:autoSpaceDN w:val="0"/>
        <w:spacing w:line="440" w:lineRule="exact"/>
        <w:jc w:val="center"/>
        <w:rPr>
          <w:rFonts w:hint="eastAsia" w:ascii="宋体" w:hAnsi="宋体" w:cs="宋体"/>
          <w:b/>
          <w:sz w:val="24"/>
        </w:rPr>
      </w:pPr>
      <w:r>
        <w:rPr>
          <w:rFonts w:hint="eastAsia" w:ascii="宋体" w:hAnsi="宋体" w:cs="宋体"/>
          <w:b/>
          <w:sz w:val="24"/>
        </w:rPr>
        <w:t>廉政承诺书</w:t>
      </w:r>
    </w:p>
    <w:p w14:paraId="4027BF7C">
      <w:pPr>
        <w:spacing w:line="440" w:lineRule="exact"/>
        <w:rPr>
          <w:rFonts w:hint="eastAsia" w:ascii="宋体" w:hAnsi="宋体" w:cs="宋体"/>
          <w:sz w:val="24"/>
          <w:highlight w:val="cyan"/>
        </w:rPr>
      </w:pPr>
    </w:p>
    <w:p w14:paraId="4FE9C453">
      <w:pPr>
        <w:spacing w:line="440" w:lineRule="exact"/>
        <w:rPr>
          <w:rFonts w:hint="eastAsia" w:ascii="宋体" w:hAnsi="宋体" w:cs="宋体"/>
          <w:color w:val="000000"/>
          <w:sz w:val="24"/>
          <w:lang w:val="zh-CN"/>
        </w:rPr>
      </w:pPr>
      <w:r>
        <w:rPr>
          <w:rFonts w:hint="eastAsia" w:ascii="宋体" w:hAnsi="宋体" w:cs="宋体"/>
          <w:bCs/>
          <w:sz w:val="24"/>
        </w:rPr>
        <w:t>（采购单位）、</w:t>
      </w:r>
      <w:r>
        <w:rPr>
          <w:rFonts w:hint="eastAsia" w:ascii="宋体" w:hAnsi="宋体" w:cs="宋体"/>
          <w:sz w:val="24"/>
        </w:rPr>
        <w:t>耀华建设管理有限公司：</w:t>
      </w:r>
      <w:r>
        <w:rPr>
          <w:rFonts w:hint="eastAsia" w:ascii="宋体" w:hAnsi="宋体" w:cs="宋体"/>
          <w:color w:val="000000"/>
          <w:sz w:val="24"/>
          <w:lang w:val="zh-CN"/>
        </w:rPr>
        <w:t xml:space="preserve">    </w:t>
      </w:r>
    </w:p>
    <w:p w14:paraId="561D7A8B">
      <w:pPr>
        <w:snapToGrid w:val="0"/>
        <w:spacing w:line="440" w:lineRule="exact"/>
        <w:ind w:firstLine="720" w:firstLineChars="300"/>
        <w:rPr>
          <w:rFonts w:hint="eastAsia" w:ascii="宋体" w:hAnsi="宋体" w:cs="宋体"/>
          <w:color w:val="000000"/>
          <w:sz w:val="24"/>
          <w:lang w:val="zh-CN"/>
        </w:rPr>
      </w:pPr>
      <w:r>
        <w:rPr>
          <w:rFonts w:hint="eastAsia" w:ascii="宋体" w:hAnsi="宋体" w:cs="宋体"/>
          <w:color w:val="000000"/>
          <w:sz w:val="24"/>
          <w:lang w:val="zh-CN"/>
        </w:rPr>
        <w:t>我单位响应你</w:t>
      </w:r>
      <w:r>
        <w:rPr>
          <w:rFonts w:hint="eastAsia" w:ascii="宋体" w:hAnsi="宋体" w:cs="宋体"/>
          <w:color w:val="000000"/>
          <w:sz w:val="24"/>
        </w:rPr>
        <w:t>单位</w:t>
      </w:r>
      <w:r>
        <w:rPr>
          <w:rFonts w:hint="eastAsia" w:ascii="宋体" w:hAnsi="宋体" w:cs="宋体"/>
          <w:color w:val="000000"/>
          <w:sz w:val="24"/>
          <w:u w:val="single"/>
        </w:rPr>
        <w:t xml:space="preserve">                       </w:t>
      </w:r>
      <w:r>
        <w:rPr>
          <w:rFonts w:hint="eastAsia" w:ascii="宋体" w:hAnsi="宋体" w:cs="宋体"/>
          <w:color w:val="000000"/>
          <w:sz w:val="24"/>
          <w:lang w:val="zh-CN"/>
        </w:rPr>
        <w:t>项目</w:t>
      </w:r>
      <w:r>
        <w:rPr>
          <w:rFonts w:hint="eastAsia" w:ascii="宋体" w:hAnsi="宋体" w:cs="宋体"/>
          <w:color w:val="000000"/>
          <w:sz w:val="24"/>
        </w:rPr>
        <w:t>（项目编号：</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lang w:val="zh-CN"/>
        </w:rPr>
        <w:t>招标要求参加投标。在这次投标过程中和中标后，我们将严格遵守国家法律法规要求，并郑重承诺：</w:t>
      </w:r>
    </w:p>
    <w:p w14:paraId="43F310E5">
      <w:pPr>
        <w:snapToGrid w:val="0"/>
        <w:spacing w:line="440" w:lineRule="exact"/>
        <w:ind w:firstLine="720" w:firstLineChars="300"/>
        <w:rPr>
          <w:rFonts w:hint="eastAsia" w:ascii="宋体" w:hAnsi="宋体" w:cs="宋体"/>
          <w:color w:val="000000"/>
          <w:sz w:val="24"/>
          <w:lang w:val="zh-CN"/>
        </w:rPr>
      </w:pPr>
      <w:r>
        <w:rPr>
          <w:rFonts w:hint="eastAsia" w:ascii="宋体" w:hAnsi="宋体" w:cs="宋体"/>
          <w:color w:val="000000"/>
          <w:sz w:val="24"/>
          <w:lang w:val="zh-CN"/>
        </w:rPr>
        <w:t xml:space="preserve">一、不向项目有关人员及部门赠送礼金礼物、有价证券、回扣以及中介费、介绍费、咨询费等好处费； </w:t>
      </w:r>
    </w:p>
    <w:p w14:paraId="5EDBF855">
      <w:pPr>
        <w:snapToGrid w:val="0"/>
        <w:spacing w:line="440" w:lineRule="exact"/>
        <w:ind w:firstLine="720" w:firstLineChars="300"/>
        <w:rPr>
          <w:rFonts w:hint="eastAsia" w:ascii="宋体" w:hAnsi="宋体" w:cs="宋体"/>
          <w:color w:val="000000"/>
          <w:sz w:val="24"/>
          <w:lang w:val="zh-CN"/>
        </w:rPr>
      </w:pPr>
      <w:r>
        <w:rPr>
          <w:rFonts w:hint="eastAsia" w:ascii="宋体" w:hAnsi="宋体" w:cs="宋体"/>
          <w:color w:val="000000"/>
          <w:sz w:val="24"/>
          <w:lang w:val="zh-CN"/>
        </w:rPr>
        <w:t xml:space="preserve">二、不为项目有关人员及部门报销应由你方单位或个人支付的费用； </w:t>
      </w:r>
    </w:p>
    <w:p w14:paraId="37D2B83C">
      <w:pPr>
        <w:snapToGrid w:val="0"/>
        <w:spacing w:line="440" w:lineRule="exact"/>
        <w:ind w:firstLine="720" w:firstLineChars="300"/>
        <w:rPr>
          <w:rFonts w:hint="eastAsia" w:ascii="宋体" w:hAnsi="宋体" w:cs="宋体"/>
          <w:color w:val="000000"/>
          <w:sz w:val="24"/>
          <w:lang w:val="zh-CN"/>
        </w:rPr>
      </w:pPr>
      <w:r>
        <w:rPr>
          <w:rFonts w:hint="eastAsia" w:ascii="宋体" w:hAnsi="宋体" w:cs="宋体"/>
          <w:color w:val="000000"/>
          <w:sz w:val="24"/>
          <w:lang w:val="zh-CN"/>
        </w:rPr>
        <w:t xml:space="preserve">三、不向项目有关人员及部门提供有可能影响公正的宴请和健身娱乐等活动； </w:t>
      </w:r>
    </w:p>
    <w:p w14:paraId="29F2AA18">
      <w:pPr>
        <w:snapToGrid w:val="0"/>
        <w:spacing w:line="440" w:lineRule="exact"/>
        <w:ind w:firstLine="720" w:firstLineChars="300"/>
        <w:rPr>
          <w:rFonts w:hint="eastAsia" w:ascii="宋体" w:hAnsi="宋体" w:cs="宋体"/>
          <w:color w:val="000000"/>
          <w:sz w:val="24"/>
          <w:lang w:val="zh-CN"/>
        </w:rPr>
      </w:pPr>
      <w:r>
        <w:rPr>
          <w:rFonts w:hint="eastAsia" w:ascii="宋体" w:hAnsi="宋体" w:cs="宋体"/>
          <w:color w:val="000000"/>
          <w:sz w:val="24"/>
          <w:lang w:val="zh-CN"/>
        </w:rPr>
        <w:t>四、不为项目有关人员及部门出国（境）、旅游等提供方便；</w:t>
      </w:r>
    </w:p>
    <w:p w14:paraId="5D741B75">
      <w:pPr>
        <w:snapToGrid w:val="0"/>
        <w:spacing w:line="440" w:lineRule="exact"/>
        <w:ind w:firstLine="720" w:firstLineChars="300"/>
        <w:rPr>
          <w:rFonts w:hint="eastAsia" w:ascii="宋体" w:hAnsi="宋体" w:cs="宋体"/>
          <w:color w:val="000000"/>
          <w:sz w:val="24"/>
          <w:lang w:val="zh-CN"/>
        </w:rPr>
      </w:pPr>
      <w:r>
        <w:rPr>
          <w:rFonts w:hint="eastAsia" w:ascii="宋体" w:hAnsi="宋体" w:cs="宋体"/>
          <w:color w:val="000000"/>
          <w:sz w:val="24"/>
          <w:lang w:val="zh-CN"/>
        </w:rPr>
        <w:t>五、不为项目有关人员个人装修住房、婚丧嫁娶、配偶子女工作安排等提供好处；</w:t>
      </w:r>
    </w:p>
    <w:p w14:paraId="4A4E2EF2">
      <w:pPr>
        <w:snapToGrid w:val="0"/>
        <w:spacing w:line="440" w:lineRule="exact"/>
        <w:ind w:firstLine="720" w:firstLineChars="300"/>
        <w:rPr>
          <w:rFonts w:hint="eastAsia" w:ascii="宋体" w:hAnsi="宋体" w:cs="宋体"/>
          <w:color w:val="000000"/>
          <w:sz w:val="24"/>
          <w:lang w:val="zh-CN"/>
        </w:rPr>
      </w:pPr>
      <w:r>
        <w:rPr>
          <w:rFonts w:hint="eastAsia" w:ascii="宋体" w:hAnsi="宋体" w:cs="宋体"/>
          <w:color w:val="000000"/>
          <w:sz w:val="24"/>
          <w:lang w:val="zh-CN"/>
        </w:rPr>
        <w:t xml:space="preserve">六、严格遵守《中华人民共和国政府采购法》《中华人民共和国招标投标法》《中华人民共和国民法典》等法律法规，诚实守信，合法经营，坚决抵制各种违法违纪行为。 </w:t>
      </w:r>
    </w:p>
    <w:p w14:paraId="346BD2C8">
      <w:pPr>
        <w:snapToGrid w:val="0"/>
        <w:spacing w:line="440" w:lineRule="exact"/>
        <w:ind w:firstLine="720" w:firstLineChars="300"/>
        <w:rPr>
          <w:rFonts w:hint="eastAsia" w:ascii="宋体" w:hAnsi="宋体" w:cs="宋体"/>
          <w:color w:val="000000"/>
          <w:sz w:val="24"/>
          <w:lang w:val="zh-CN"/>
        </w:rPr>
      </w:pPr>
      <w:r>
        <w:rPr>
          <w:rFonts w:hint="eastAsia" w:ascii="宋体" w:hAnsi="宋体" w:cs="宋体"/>
          <w:color w:val="000000"/>
          <w:sz w:val="24"/>
          <w:lang w:val="zh-CN"/>
        </w:rPr>
        <w:t>如违反上述承诺，你</w:t>
      </w:r>
      <w:r>
        <w:rPr>
          <w:rFonts w:hint="eastAsia" w:ascii="宋体" w:hAnsi="宋体" w:cs="宋体"/>
          <w:color w:val="000000"/>
          <w:sz w:val="24"/>
        </w:rPr>
        <w:t>单位</w:t>
      </w:r>
      <w:r>
        <w:rPr>
          <w:rFonts w:hint="eastAsia" w:ascii="宋体" w:hAnsi="宋体" w:cs="宋体"/>
          <w:color w:val="000000"/>
          <w:sz w:val="24"/>
          <w:lang w:val="zh-CN"/>
        </w:rPr>
        <w:t>有权立即取消我单位投标、中标或在建项目的建设资格，有权拒绝我单位在一定时期内进入你</w:t>
      </w:r>
      <w:r>
        <w:rPr>
          <w:rFonts w:hint="eastAsia" w:ascii="宋体" w:hAnsi="宋体" w:cs="宋体"/>
          <w:color w:val="000000"/>
          <w:sz w:val="24"/>
        </w:rPr>
        <w:t>单位</w:t>
      </w:r>
      <w:r>
        <w:rPr>
          <w:rFonts w:hint="eastAsia" w:ascii="宋体" w:hAnsi="宋体" w:cs="宋体"/>
          <w:color w:val="000000"/>
          <w:sz w:val="24"/>
          <w:lang w:val="zh-CN"/>
        </w:rPr>
        <w:t>进行项目建设或其他经营活动，并通报县财政局。由此引起的相应损失均由我单位承担。</w:t>
      </w:r>
    </w:p>
    <w:p w14:paraId="27820678">
      <w:pPr>
        <w:snapToGrid w:val="0"/>
        <w:spacing w:line="440" w:lineRule="exact"/>
        <w:ind w:firstLine="720" w:firstLineChars="300"/>
        <w:rPr>
          <w:rFonts w:hint="eastAsia" w:ascii="宋体" w:hAnsi="宋体" w:cs="宋体"/>
          <w:color w:val="000000"/>
          <w:sz w:val="24"/>
          <w:lang w:val="zh-CN"/>
        </w:rPr>
      </w:pPr>
    </w:p>
    <w:p w14:paraId="423EEBD5">
      <w:pPr>
        <w:pStyle w:val="132"/>
        <w:snapToGrid w:val="0"/>
        <w:spacing w:line="440" w:lineRule="exact"/>
        <w:rPr>
          <w:rFonts w:hint="eastAsia" w:ascii="宋体" w:hAnsi="宋体" w:cs="宋体"/>
          <w:szCs w:val="24"/>
        </w:rPr>
      </w:pPr>
      <w:r>
        <w:rPr>
          <w:rFonts w:hint="eastAsia" w:ascii="宋体" w:hAnsi="宋体" w:cs="宋体"/>
          <w:szCs w:val="24"/>
        </w:rPr>
        <w:t>投标人全称（</w:t>
      </w:r>
      <w:r>
        <w:rPr>
          <w:rFonts w:hint="eastAsia" w:ascii="宋体" w:hAnsi="宋体" w:cs="宋体"/>
          <w:kern w:val="0"/>
          <w:szCs w:val="24"/>
          <w:lang w:val="zh-CN"/>
        </w:rPr>
        <w:t>盖章</w:t>
      </w:r>
      <w:r>
        <w:rPr>
          <w:rFonts w:hint="eastAsia" w:ascii="宋体" w:hAnsi="宋体" w:cs="宋体"/>
          <w:szCs w:val="24"/>
        </w:rPr>
        <w:t>）：</w:t>
      </w:r>
      <w:r>
        <w:rPr>
          <w:rFonts w:hint="eastAsia" w:ascii="宋体" w:hAnsi="宋体" w:cs="宋体"/>
          <w:szCs w:val="24"/>
          <w:u w:val="single"/>
        </w:rPr>
        <w:t xml:space="preserve">                      </w:t>
      </w:r>
    </w:p>
    <w:p w14:paraId="02EA13BD">
      <w:pPr>
        <w:snapToGrid w:val="0"/>
        <w:spacing w:line="440" w:lineRule="exact"/>
        <w:ind w:right="600"/>
        <w:rPr>
          <w:rFonts w:hint="eastAsia" w:ascii="宋体" w:hAnsi="宋体" w:cs="宋体"/>
          <w:sz w:val="24"/>
        </w:rPr>
      </w:pPr>
    </w:p>
    <w:p w14:paraId="6903E677">
      <w:pPr>
        <w:snapToGrid w:val="0"/>
        <w:spacing w:line="440" w:lineRule="exact"/>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年     月     日</w:t>
      </w:r>
    </w:p>
    <w:p w14:paraId="55AD54E6">
      <w:pPr>
        <w:spacing w:line="440" w:lineRule="exact"/>
        <w:jc w:val="center"/>
        <w:rPr>
          <w:rFonts w:hint="eastAsia" w:ascii="宋体" w:hAnsi="宋体" w:cs="宋体"/>
          <w:b/>
          <w:bCs/>
          <w:sz w:val="24"/>
          <w:highlight w:val="cyan"/>
        </w:rPr>
      </w:pPr>
    </w:p>
    <w:p w14:paraId="759EDB16">
      <w:pPr>
        <w:tabs>
          <w:tab w:val="left" w:pos="0"/>
        </w:tabs>
        <w:autoSpaceDE w:val="0"/>
        <w:autoSpaceDN w:val="0"/>
        <w:spacing w:line="440" w:lineRule="exact"/>
        <w:jc w:val="center"/>
        <w:rPr>
          <w:rFonts w:hint="eastAsia" w:ascii="宋体" w:hAnsi="宋体" w:cs="宋体"/>
          <w:b/>
          <w:sz w:val="24"/>
          <w:highlight w:val="cyan"/>
        </w:rPr>
      </w:pPr>
    </w:p>
    <w:p w14:paraId="6A47CB88">
      <w:pPr>
        <w:tabs>
          <w:tab w:val="left" w:pos="0"/>
        </w:tabs>
        <w:autoSpaceDE w:val="0"/>
        <w:autoSpaceDN w:val="0"/>
        <w:spacing w:line="440" w:lineRule="exact"/>
        <w:jc w:val="center"/>
        <w:rPr>
          <w:rFonts w:hint="eastAsia" w:ascii="宋体" w:hAnsi="宋体" w:cs="宋体"/>
          <w:b/>
          <w:sz w:val="24"/>
          <w:highlight w:val="cyan"/>
        </w:rPr>
      </w:pPr>
    </w:p>
    <w:p w14:paraId="5F581A03">
      <w:pPr>
        <w:pStyle w:val="186"/>
        <w:rPr>
          <w:rFonts w:hint="eastAsia" w:ascii="宋体" w:hAnsi="宋体" w:eastAsia="宋体" w:cs="宋体"/>
          <w:sz w:val="24"/>
          <w:highlight w:val="cyan"/>
        </w:rPr>
      </w:pPr>
    </w:p>
    <w:p w14:paraId="51EADDB9">
      <w:pPr>
        <w:rPr>
          <w:rFonts w:hint="eastAsia" w:ascii="宋体" w:hAnsi="宋体" w:cs="宋体"/>
          <w:b/>
          <w:sz w:val="24"/>
          <w:highlight w:val="cyan"/>
        </w:rPr>
      </w:pPr>
    </w:p>
    <w:p w14:paraId="3A48ECFB">
      <w:pPr>
        <w:pStyle w:val="186"/>
        <w:rPr>
          <w:rFonts w:hint="eastAsia" w:ascii="宋体" w:hAnsi="宋体" w:eastAsia="宋体" w:cs="宋体"/>
          <w:sz w:val="24"/>
          <w:highlight w:val="cyan"/>
        </w:rPr>
      </w:pPr>
    </w:p>
    <w:p w14:paraId="1AB82CCE">
      <w:pPr>
        <w:rPr>
          <w:rFonts w:hint="eastAsia" w:ascii="宋体" w:hAnsi="宋体" w:cs="宋体"/>
          <w:b/>
          <w:sz w:val="24"/>
          <w:highlight w:val="cyan"/>
        </w:rPr>
      </w:pPr>
    </w:p>
    <w:p w14:paraId="269BA996">
      <w:pPr>
        <w:tabs>
          <w:tab w:val="left" w:pos="0"/>
        </w:tabs>
        <w:autoSpaceDE w:val="0"/>
        <w:autoSpaceDN w:val="0"/>
        <w:spacing w:line="440" w:lineRule="exact"/>
        <w:jc w:val="center"/>
        <w:rPr>
          <w:rFonts w:hint="eastAsia" w:ascii="宋体" w:hAnsi="宋体" w:cs="宋体"/>
          <w:b/>
          <w:sz w:val="24"/>
        </w:rPr>
      </w:pPr>
    </w:p>
    <w:p w14:paraId="64C6018C">
      <w:pPr>
        <w:tabs>
          <w:tab w:val="left" w:pos="0"/>
        </w:tabs>
        <w:autoSpaceDE w:val="0"/>
        <w:autoSpaceDN w:val="0"/>
        <w:spacing w:line="440" w:lineRule="exact"/>
        <w:jc w:val="center"/>
        <w:rPr>
          <w:rFonts w:hint="eastAsia" w:ascii="宋体" w:hAnsi="宋体" w:cs="宋体"/>
          <w:b/>
          <w:sz w:val="24"/>
        </w:rPr>
        <w:sectPr>
          <w:pgSz w:w="11906" w:h="16838"/>
          <w:pgMar w:top="1247" w:right="1418" w:bottom="1276" w:left="1418" w:header="851" w:footer="992" w:gutter="0"/>
          <w:pgNumType w:fmt="decimal"/>
          <w:cols w:space="720" w:num="1"/>
          <w:titlePg/>
          <w:docGrid w:linePitch="312" w:charSpace="0"/>
        </w:sectPr>
      </w:pPr>
    </w:p>
    <w:p w14:paraId="07D6E9E4">
      <w:pPr>
        <w:tabs>
          <w:tab w:val="left" w:pos="0"/>
        </w:tabs>
        <w:autoSpaceDE w:val="0"/>
        <w:autoSpaceDN w:val="0"/>
        <w:spacing w:line="440" w:lineRule="exact"/>
        <w:jc w:val="center"/>
        <w:rPr>
          <w:rFonts w:hint="eastAsia" w:ascii="宋体" w:hAnsi="宋体" w:cs="宋体"/>
          <w:b/>
          <w:sz w:val="24"/>
        </w:rPr>
      </w:pPr>
      <w:r>
        <w:rPr>
          <w:rFonts w:hint="eastAsia" w:ascii="宋体" w:hAnsi="宋体" w:cs="宋体"/>
          <w:b/>
          <w:sz w:val="24"/>
        </w:rPr>
        <w:t>关于代理服务费的承诺书</w:t>
      </w:r>
    </w:p>
    <w:p w14:paraId="5AD78CF8">
      <w:pPr>
        <w:spacing w:line="440" w:lineRule="exact"/>
        <w:rPr>
          <w:rFonts w:hint="eastAsia" w:ascii="宋体" w:hAnsi="宋体" w:cs="宋体"/>
          <w:sz w:val="24"/>
        </w:rPr>
      </w:pPr>
    </w:p>
    <w:p w14:paraId="1A47E854">
      <w:pPr>
        <w:spacing w:line="440" w:lineRule="exact"/>
        <w:rPr>
          <w:rFonts w:hint="eastAsia" w:ascii="宋体" w:hAnsi="宋体" w:cs="宋体"/>
          <w:sz w:val="24"/>
          <w:lang w:val="zh-CN"/>
        </w:rPr>
      </w:pPr>
      <w:r>
        <w:rPr>
          <w:rFonts w:hint="eastAsia" w:ascii="宋体" w:hAnsi="宋体" w:cs="宋体"/>
          <w:bCs/>
          <w:sz w:val="24"/>
        </w:rPr>
        <w:t>（采购单位）、</w:t>
      </w:r>
      <w:r>
        <w:rPr>
          <w:rFonts w:hint="eastAsia" w:ascii="宋体" w:hAnsi="宋体" w:cs="宋体"/>
          <w:sz w:val="24"/>
        </w:rPr>
        <w:t>耀华建设管理有限公司：</w:t>
      </w:r>
      <w:r>
        <w:rPr>
          <w:rFonts w:hint="eastAsia" w:ascii="宋体" w:hAnsi="宋体" w:cs="宋体"/>
          <w:sz w:val="24"/>
          <w:lang w:val="zh-CN"/>
        </w:rPr>
        <w:t xml:space="preserve">    </w:t>
      </w:r>
    </w:p>
    <w:p w14:paraId="53A89703">
      <w:pPr>
        <w:snapToGrid w:val="0"/>
        <w:spacing w:line="440" w:lineRule="exact"/>
        <w:ind w:firstLine="720" w:firstLineChars="300"/>
        <w:rPr>
          <w:rFonts w:hint="eastAsia" w:ascii="宋体" w:hAnsi="宋体" w:cs="宋体"/>
          <w:sz w:val="24"/>
          <w:lang w:val="zh-CN"/>
        </w:rPr>
      </w:pPr>
      <w:r>
        <w:rPr>
          <w:rFonts w:hint="eastAsia" w:ascii="宋体" w:hAnsi="宋体" w:cs="宋体"/>
          <w:sz w:val="24"/>
          <w:lang w:val="zh-CN"/>
        </w:rPr>
        <w:t>我单位响应你</w:t>
      </w:r>
      <w:r>
        <w:rPr>
          <w:rFonts w:hint="eastAsia" w:ascii="宋体" w:hAnsi="宋体" w:cs="宋体"/>
          <w:sz w:val="24"/>
        </w:rPr>
        <w:t>单位</w:t>
      </w:r>
      <w:r>
        <w:rPr>
          <w:rFonts w:hint="eastAsia" w:ascii="宋体" w:hAnsi="宋体" w:cs="宋体"/>
          <w:sz w:val="24"/>
          <w:u w:val="single"/>
        </w:rPr>
        <w:t xml:space="preserve">                       </w:t>
      </w:r>
      <w:r>
        <w:rPr>
          <w:rFonts w:hint="eastAsia" w:ascii="宋体" w:hAnsi="宋体" w:cs="宋体"/>
          <w:sz w:val="24"/>
          <w:lang w:val="zh-CN"/>
        </w:rPr>
        <w:t>项目</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zh-CN"/>
        </w:rPr>
        <w:t>招标要求参加投标。在这次投标过程中和中标后，我们将严格遵守国家法律法规要求，并郑重承诺：</w:t>
      </w:r>
    </w:p>
    <w:p w14:paraId="05B62649">
      <w:pPr>
        <w:snapToGrid w:val="0"/>
        <w:spacing w:line="440" w:lineRule="exact"/>
        <w:ind w:firstLine="720" w:firstLineChars="300"/>
        <w:rPr>
          <w:rFonts w:hint="eastAsia" w:ascii="宋体" w:hAnsi="宋体" w:cs="宋体"/>
          <w:sz w:val="24"/>
        </w:rPr>
      </w:pPr>
      <w:r>
        <w:rPr>
          <w:rFonts w:hint="eastAsia" w:ascii="宋体" w:hAnsi="宋体" w:cs="宋体"/>
          <w:sz w:val="24"/>
        </w:rPr>
        <w:t>根据采购文件的约定在领取中标通知书时缴纳代理服务费。</w:t>
      </w:r>
    </w:p>
    <w:p w14:paraId="37E769FB">
      <w:pPr>
        <w:snapToGrid w:val="0"/>
        <w:spacing w:line="440" w:lineRule="exact"/>
        <w:ind w:firstLine="720" w:firstLineChars="300"/>
        <w:rPr>
          <w:rFonts w:hint="eastAsia" w:ascii="宋体" w:hAnsi="宋体" w:cs="宋体"/>
          <w:sz w:val="24"/>
          <w:lang w:val="zh-CN"/>
        </w:rPr>
      </w:pPr>
    </w:p>
    <w:p w14:paraId="43D98326">
      <w:pPr>
        <w:pStyle w:val="132"/>
        <w:snapToGrid w:val="0"/>
        <w:spacing w:line="440" w:lineRule="exact"/>
        <w:rPr>
          <w:rFonts w:hint="eastAsia" w:ascii="宋体" w:hAnsi="宋体" w:cs="宋体"/>
          <w:szCs w:val="24"/>
        </w:rPr>
      </w:pPr>
      <w:r>
        <w:rPr>
          <w:rFonts w:hint="eastAsia" w:ascii="宋体" w:hAnsi="宋体" w:cs="宋体"/>
          <w:szCs w:val="24"/>
        </w:rPr>
        <w:t>投标人全称（</w:t>
      </w:r>
      <w:r>
        <w:rPr>
          <w:rFonts w:hint="eastAsia" w:ascii="宋体" w:hAnsi="宋体" w:cs="宋体"/>
          <w:kern w:val="0"/>
          <w:szCs w:val="24"/>
          <w:lang w:val="zh-CN"/>
        </w:rPr>
        <w:t>盖章</w:t>
      </w:r>
      <w:r>
        <w:rPr>
          <w:rFonts w:hint="eastAsia" w:ascii="宋体" w:hAnsi="宋体" w:cs="宋体"/>
          <w:szCs w:val="24"/>
        </w:rPr>
        <w:t>）：</w:t>
      </w:r>
      <w:r>
        <w:rPr>
          <w:rFonts w:hint="eastAsia" w:ascii="宋体" w:hAnsi="宋体" w:cs="宋体"/>
          <w:szCs w:val="24"/>
          <w:u w:val="single"/>
        </w:rPr>
        <w:t xml:space="preserve">                      </w:t>
      </w:r>
    </w:p>
    <w:p w14:paraId="0A890ECB">
      <w:pPr>
        <w:snapToGrid w:val="0"/>
        <w:spacing w:line="440" w:lineRule="exact"/>
        <w:ind w:right="600"/>
        <w:rPr>
          <w:rFonts w:hint="eastAsia" w:ascii="宋体" w:hAnsi="宋体" w:cs="宋体"/>
          <w:sz w:val="24"/>
        </w:rPr>
      </w:pPr>
    </w:p>
    <w:p w14:paraId="470927E2">
      <w:pPr>
        <w:snapToGrid w:val="0"/>
        <w:spacing w:line="440" w:lineRule="exact"/>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年     月     日</w:t>
      </w:r>
    </w:p>
    <w:p w14:paraId="454BF466">
      <w:pPr>
        <w:snapToGrid w:val="0"/>
        <w:spacing w:line="440" w:lineRule="exact"/>
        <w:rPr>
          <w:rFonts w:hint="eastAsia" w:ascii="宋体" w:hAnsi="宋体" w:cs="宋体"/>
          <w:b/>
          <w:sz w:val="24"/>
        </w:rPr>
      </w:pPr>
    </w:p>
    <w:p w14:paraId="19458339">
      <w:pPr>
        <w:spacing w:line="440" w:lineRule="exact"/>
        <w:jc w:val="center"/>
        <w:rPr>
          <w:rFonts w:hint="eastAsia" w:ascii="宋体" w:hAnsi="宋体" w:cs="宋体"/>
          <w:b/>
          <w:bCs/>
          <w:sz w:val="24"/>
        </w:rPr>
        <w:sectPr>
          <w:pgSz w:w="11906" w:h="16838"/>
          <w:pgMar w:top="1247" w:right="1418" w:bottom="1276" w:left="1418" w:header="851" w:footer="992" w:gutter="0"/>
          <w:pgNumType w:fmt="decimal"/>
          <w:cols w:space="720" w:num="1"/>
          <w:titlePg/>
          <w:docGrid w:linePitch="312" w:charSpace="0"/>
        </w:sectPr>
      </w:pPr>
    </w:p>
    <w:p w14:paraId="29DB099F">
      <w:pPr>
        <w:spacing w:line="440" w:lineRule="exact"/>
        <w:jc w:val="center"/>
        <w:rPr>
          <w:rFonts w:hint="eastAsia" w:ascii="宋体" w:hAnsi="宋体" w:cs="宋体"/>
          <w:b/>
          <w:sz w:val="24"/>
        </w:rPr>
      </w:pPr>
      <w:r>
        <w:rPr>
          <w:rFonts w:hint="eastAsia" w:ascii="宋体" w:hAnsi="宋体" w:cs="宋体"/>
          <w:b/>
          <w:sz w:val="24"/>
        </w:rPr>
        <w:t>投标人情况介绍</w:t>
      </w:r>
    </w:p>
    <w:p w14:paraId="530CF18D">
      <w:pPr>
        <w:spacing w:line="440" w:lineRule="exact"/>
        <w:jc w:val="center"/>
        <w:rPr>
          <w:rFonts w:hint="eastAsia" w:ascii="宋体" w:hAnsi="宋体" w:cs="宋体"/>
          <w:b/>
          <w:sz w:val="24"/>
        </w:rPr>
      </w:pPr>
    </w:p>
    <w:tbl>
      <w:tblPr>
        <w:tblStyle w:val="35"/>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11B7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29B916E">
            <w:pPr>
              <w:spacing w:line="440" w:lineRule="exact"/>
              <w:jc w:val="center"/>
              <w:rPr>
                <w:rFonts w:hint="eastAsia" w:ascii="宋体" w:hAnsi="宋体" w:cs="宋体"/>
                <w:sz w:val="24"/>
              </w:rPr>
            </w:pPr>
            <w:r>
              <w:rPr>
                <w:rFonts w:hint="eastAsia" w:ascii="宋体" w:hAnsi="宋体" w:cs="宋体"/>
                <w:sz w:val="24"/>
              </w:rPr>
              <w:t>投标人名称</w:t>
            </w:r>
          </w:p>
        </w:tc>
        <w:tc>
          <w:tcPr>
            <w:tcW w:w="6339" w:type="dxa"/>
            <w:gridSpan w:val="5"/>
            <w:vAlign w:val="center"/>
          </w:tcPr>
          <w:p w14:paraId="1526EF52">
            <w:pPr>
              <w:spacing w:line="440" w:lineRule="exact"/>
              <w:jc w:val="center"/>
              <w:rPr>
                <w:rFonts w:hint="eastAsia" w:ascii="宋体" w:hAnsi="宋体" w:cs="宋体"/>
                <w:sz w:val="24"/>
              </w:rPr>
            </w:pPr>
          </w:p>
        </w:tc>
      </w:tr>
      <w:tr w14:paraId="5413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6F68D42">
            <w:pPr>
              <w:spacing w:line="440" w:lineRule="exact"/>
              <w:jc w:val="center"/>
              <w:rPr>
                <w:rFonts w:hint="eastAsia" w:ascii="宋体" w:hAnsi="宋体" w:cs="宋体"/>
                <w:sz w:val="24"/>
              </w:rPr>
            </w:pPr>
            <w:r>
              <w:rPr>
                <w:rFonts w:hint="eastAsia" w:ascii="宋体" w:hAnsi="宋体" w:cs="宋体"/>
                <w:sz w:val="24"/>
              </w:rPr>
              <w:t>地址</w:t>
            </w:r>
          </w:p>
        </w:tc>
        <w:tc>
          <w:tcPr>
            <w:tcW w:w="6339" w:type="dxa"/>
            <w:gridSpan w:val="5"/>
            <w:vAlign w:val="center"/>
          </w:tcPr>
          <w:p w14:paraId="4B95FCE2">
            <w:pPr>
              <w:spacing w:line="440" w:lineRule="exact"/>
              <w:jc w:val="center"/>
              <w:rPr>
                <w:rFonts w:hint="eastAsia" w:ascii="宋体" w:hAnsi="宋体" w:cs="宋体"/>
                <w:sz w:val="24"/>
              </w:rPr>
            </w:pPr>
          </w:p>
        </w:tc>
      </w:tr>
      <w:tr w14:paraId="1E27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0502251E">
            <w:pPr>
              <w:spacing w:line="440" w:lineRule="exact"/>
              <w:jc w:val="center"/>
              <w:rPr>
                <w:rFonts w:hint="eastAsia" w:ascii="宋体" w:hAnsi="宋体" w:cs="宋体"/>
                <w:sz w:val="24"/>
              </w:rPr>
            </w:pPr>
            <w:r>
              <w:rPr>
                <w:rFonts w:hint="eastAsia" w:ascii="宋体" w:hAnsi="宋体" w:cs="宋体"/>
                <w:sz w:val="24"/>
              </w:rPr>
              <w:t>经营范围</w:t>
            </w:r>
          </w:p>
        </w:tc>
        <w:tc>
          <w:tcPr>
            <w:tcW w:w="2118" w:type="dxa"/>
            <w:vAlign w:val="center"/>
          </w:tcPr>
          <w:p w14:paraId="3E56B61B">
            <w:pPr>
              <w:spacing w:line="440" w:lineRule="exact"/>
              <w:jc w:val="center"/>
              <w:rPr>
                <w:rFonts w:hint="eastAsia" w:ascii="宋体" w:hAnsi="宋体" w:cs="宋体"/>
                <w:sz w:val="24"/>
              </w:rPr>
            </w:pPr>
          </w:p>
        </w:tc>
        <w:tc>
          <w:tcPr>
            <w:tcW w:w="1980" w:type="dxa"/>
            <w:vAlign w:val="center"/>
          </w:tcPr>
          <w:p w14:paraId="1F950B38">
            <w:pPr>
              <w:spacing w:line="440" w:lineRule="exact"/>
              <w:jc w:val="center"/>
              <w:rPr>
                <w:rFonts w:hint="eastAsia" w:ascii="宋体" w:hAnsi="宋体" w:cs="宋体"/>
                <w:sz w:val="24"/>
              </w:rPr>
            </w:pPr>
            <w:r>
              <w:rPr>
                <w:rFonts w:hint="eastAsia" w:ascii="宋体" w:hAnsi="宋体" w:cs="宋体"/>
                <w:sz w:val="24"/>
              </w:rPr>
              <w:t>企业类型</w:t>
            </w:r>
          </w:p>
        </w:tc>
        <w:tc>
          <w:tcPr>
            <w:tcW w:w="2241" w:type="dxa"/>
            <w:gridSpan w:val="3"/>
            <w:vAlign w:val="center"/>
          </w:tcPr>
          <w:p w14:paraId="33DC1BEA">
            <w:pPr>
              <w:spacing w:line="440" w:lineRule="exact"/>
              <w:jc w:val="center"/>
              <w:rPr>
                <w:rFonts w:hint="eastAsia" w:ascii="宋体" w:hAnsi="宋体" w:cs="宋体"/>
                <w:sz w:val="24"/>
              </w:rPr>
            </w:pPr>
            <w:r>
              <w:rPr>
                <w:rFonts w:hint="eastAsia" w:ascii="宋体" w:hAnsi="宋体" w:cs="宋体"/>
                <w:sz w:val="24"/>
              </w:rPr>
              <w:t>（大型、中型、小型、微型）</w:t>
            </w:r>
          </w:p>
        </w:tc>
      </w:tr>
      <w:tr w14:paraId="7378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5DDA252">
            <w:pPr>
              <w:spacing w:line="440" w:lineRule="exact"/>
              <w:jc w:val="center"/>
              <w:rPr>
                <w:rFonts w:hint="eastAsia" w:ascii="宋体" w:hAnsi="宋体" w:cs="宋体"/>
                <w:sz w:val="24"/>
              </w:rPr>
            </w:pPr>
            <w:r>
              <w:rPr>
                <w:rFonts w:hint="eastAsia" w:ascii="宋体" w:hAnsi="宋体" w:cs="宋体"/>
                <w:sz w:val="24"/>
              </w:rPr>
              <w:t>成立时间</w:t>
            </w:r>
          </w:p>
        </w:tc>
        <w:tc>
          <w:tcPr>
            <w:tcW w:w="2118" w:type="dxa"/>
            <w:vAlign w:val="center"/>
          </w:tcPr>
          <w:p w14:paraId="52A90B7D">
            <w:pPr>
              <w:spacing w:line="440" w:lineRule="exact"/>
              <w:jc w:val="center"/>
              <w:rPr>
                <w:rFonts w:hint="eastAsia" w:ascii="宋体" w:hAnsi="宋体" w:cs="宋体"/>
                <w:sz w:val="24"/>
              </w:rPr>
            </w:pPr>
          </w:p>
        </w:tc>
        <w:tc>
          <w:tcPr>
            <w:tcW w:w="1980" w:type="dxa"/>
            <w:vAlign w:val="center"/>
          </w:tcPr>
          <w:p w14:paraId="3A2AA33C">
            <w:pPr>
              <w:spacing w:line="440" w:lineRule="exact"/>
              <w:jc w:val="center"/>
              <w:rPr>
                <w:rFonts w:hint="eastAsia" w:ascii="宋体" w:hAnsi="宋体" w:cs="宋体"/>
                <w:sz w:val="24"/>
              </w:rPr>
            </w:pPr>
            <w:r>
              <w:rPr>
                <w:rFonts w:hint="eastAsia" w:ascii="宋体" w:hAnsi="宋体" w:cs="宋体"/>
                <w:sz w:val="24"/>
              </w:rPr>
              <w:t>经济性质</w:t>
            </w:r>
          </w:p>
        </w:tc>
        <w:tc>
          <w:tcPr>
            <w:tcW w:w="2241" w:type="dxa"/>
            <w:gridSpan w:val="3"/>
            <w:vAlign w:val="center"/>
          </w:tcPr>
          <w:p w14:paraId="10C5130F">
            <w:pPr>
              <w:spacing w:line="440" w:lineRule="exact"/>
              <w:jc w:val="center"/>
              <w:rPr>
                <w:rFonts w:hint="eastAsia" w:ascii="宋体" w:hAnsi="宋体" w:cs="宋体"/>
                <w:sz w:val="24"/>
              </w:rPr>
            </w:pPr>
          </w:p>
        </w:tc>
      </w:tr>
      <w:tr w14:paraId="4926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132C968">
            <w:pPr>
              <w:spacing w:line="440" w:lineRule="exact"/>
              <w:jc w:val="center"/>
              <w:rPr>
                <w:rFonts w:hint="eastAsia" w:ascii="宋体" w:hAnsi="宋体" w:cs="宋体"/>
                <w:sz w:val="24"/>
              </w:rPr>
            </w:pPr>
            <w:r>
              <w:rPr>
                <w:rFonts w:hint="eastAsia" w:ascii="宋体" w:hAnsi="宋体" w:cs="宋体"/>
                <w:sz w:val="24"/>
              </w:rPr>
              <w:t>法定代表人</w:t>
            </w:r>
          </w:p>
        </w:tc>
        <w:tc>
          <w:tcPr>
            <w:tcW w:w="2118" w:type="dxa"/>
            <w:vAlign w:val="center"/>
          </w:tcPr>
          <w:p w14:paraId="146558C0">
            <w:pPr>
              <w:spacing w:line="440" w:lineRule="exact"/>
              <w:jc w:val="center"/>
              <w:rPr>
                <w:rFonts w:hint="eastAsia" w:ascii="宋体" w:hAnsi="宋体" w:cs="宋体"/>
                <w:sz w:val="24"/>
              </w:rPr>
            </w:pPr>
          </w:p>
        </w:tc>
        <w:tc>
          <w:tcPr>
            <w:tcW w:w="1980" w:type="dxa"/>
            <w:vAlign w:val="center"/>
          </w:tcPr>
          <w:p w14:paraId="0F0A798C">
            <w:pPr>
              <w:spacing w:line="440" w:lineRule="exact"/>
              <w:jc w:val="center"/>
              <w:rPr>
                <w:rFonts w:hint="eastAsia" w:ascii="宋体" w:hAnsi="宋体" w:cs="宋体"/>
                <w:sz w:val="24"/>
              </w:rPr>
            </w:pPr>
            <w:r>
              <w:rPr>
                <w:rFonts w:hint="eastAsia" w:ascii="宋体" w:hAnsi="宋体" w:cs="宋体"/>
                <w:sz w:val="24"/>
              </w:rPr>
              <w:t>联系电话</w:t>
            </w:r>
          </w:p>
        </w:tc>
        <w:tc>
          <w:tcPr>
            <w:tcW w:w="2241" w:type="dxa"/>
            <w:gridSpan w:val="3"/>
            <w:vAlign w:val="center"/>
          </w:tcPr>
          <w:p w14:paraId="1FE5ACE4">
            <w:pPr>
              <w:spacing w:line="440" w:lineRule="exact"/>
              <w:jc w:val="center"/>
              <w:rPr>
                <w:rFonts w:hint="eastAsia" w:ascii="宋体" w:hAnsi="宋体" w:cs="宋体"/>
                <w:sz w:val="24"/>
              </w:rPr>
            </w:pPr>
          </w:p>
        </w:tc>
      </w:tr>
      <w:tr w14:paraId="3C17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61F40674">
            <w:pPr>
              <w:spacing w:line="440" w:lineRule="exact"/>
              <w:jc w:val="center"/>
              <w:rPr>
                <w:rFonts w:hint="eastAsia" w:ascii="宋体" w:hAnsi="宋体" w:cs="宋体"/>
                <w:sz w:val="24"/>
              </w:rPr>
            </w:pPr>
            <w:r>
              <w:rPr>
                <w:rFonts w:hint="eastAsia" w:ascii="宋体" w:hAnsi="宋体" w:cs="宋体"/>
                <w:sz w:val="24"/>
              </w:rPr>
              <w:t>注册资本</w:t>
            </w:r>
          </w:p>
        </w:tc>
        <w:tc>
          <w:tcPr>
            <w:tcW w:w="2118" w:type="dxa"/>
            <w:vMerge w:val="restart"/>
            <w:vAlign w:val="center"/>
          </w:tcPr>
          <w:p w14:paraId="69A88E2B">
            <w:pPr>
              <w:spacing w:line="440" w:lineRule="exact"/>
              <w:jc w:val="center"/>
              <w:rPr>
                <w:rFonts w:hint="eastAsia" w:ascii="宋体" w:hAnsi="宋体" w:cs="宋体"/>
                <w:sz w:val="24"/>
              </w:rPr>
            </w:pPr>
          </w:p>
        </w:tc>
        <w:tc>
          <w:tcPr>
            <w:tcW w:w="1980" w:type="dxa"/>
            <w:vMerge w:val="restart"/>
            <w:vAlign w:val="center"/>
          </w:tcPr>
          <w:p w14:paraId="0262F565">
            <w:pPr>
              <w:spacing w:line="440" w:lineRule="exact"/>
              <w:jc w:val="center"/>
              <w:rPr>
                <w:rFonts w:hint="eastAsia" w:ascii="宋体" w:hAnsi="宋体" w:cs="宋体"/>
                <w:sz w:val="24"/>
              </w:rPr>
            </w:pPr>
            <w:r>
              <w:rPr>
                <w:rFonts w:hint="eastAsia" w:ascii="宋体" w:hAnsi="宋体" w:cs="宋体"/>
                <w:sz w:val="24"/>
              </w:rPr>
              <w:t>技术人员数</w:t>
            </w:r>
          </w:p>
        </w:tc>
        <w:tc>
          <w:tcPr>
            <w:tcW w:w="720" w:type="dxa"/>
            <w:vAlign w:val="center"/>
          </w:tcPr>
          <w:p w14:paraId="296CDB24">
            <w:pPr>
              <w:spacing w:line="440" w:lineRule="exact"/>
              <w:jc w:val="center"/>
              <w:rPr>
                <w:rFonts w:hint="eastAsia" w:ascii="宋体" w:hAnsi="宋体" w:cs="宋体"/>
                <w:sz w:val="24"/>
              </w:rPr>
            </w:pPr>
            <w:r>
              <w:rPr>
                <w:rFonts w:hint="eastAsia" w:ascii="宋体" w:hAnsi="宋体" w:cs="宋体"/>
                <w:sz w:val="24"/>
              </w:rPr>
              <w:t>高级</w:t>
            </w:r>
          </w:p>
        </w:tc>
        <w:tc>
          <w:tcPr>
            <w:tcW w:w="720" w:type="dxa"/>
            <w:vAlign w:val="center"/>
          </w:tcPr>
          <w:p w14:paraId="501FB771">
            <w:pPr>
              <w:spacing w:line="440" w:lineRule="exact"/>
              <w:jc w:val="center"/>
              <w:rPr>
                <w:rFonts w:hint="eastAsia" w:ascii="宋体" w:hAnsi="宋体" w:cs="宋体"/>
                <w:sz w:val="24"/>
              </w:rPr>
            </w:pPr>
            <w:r>
              <w:rPr>
                <w:rFonts w:hint="eastAsia" w:ascii="宋体" w:hAnsi="宋体" w:cs="宋体"/>
                <w:sz w:val="24"/>
              </w:rPr>
              <w:t>中级</w:t>
            </w:r>
          </w:p>
        </w:tc>
        <w:tc>
          <w:tcPr>
            <w:tcW w:w="801" w:type="dxa"/>
            <w:vAlign w:val="center"/>
          </w:tcPr>
          <w:p w14:paraId="6BCD3FD7">
            <w:pPr>
              <w:spacing w:line="440" w:lineRule="exact"/>
              <w:jc w:val="center"/>
              <w:rPr>
                <w:rFonts w:hint="eastAsia" w:ascii="宋体" w:hAnsi="宋体" w:cs="宋体"/>
                <w:sz w:val="24"/>
              </w:rPr>
            </w:pPr>
            <w:r>
              <w:rPr>
                <w:rFonts w:hint="eastAsia" w:ascii="宋体" w:hAnsi="宋体" w:cs="宋体"/>
                <w:sz w:val="24"/>
              </w:rPr>
              <w:t>初级</w:t>
            </w:r>
          </w:p>
        </w:tc>
      </w:tr>
      <w:tr w14:paraId="7E16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5D5FD8CB">
            <w:pPr>
              <w:spacing w:line="440" w:lineRule="exact"/>
              <w:jc w:val="center"/>
              <w:rPr>
                <w:rFonts w:hint="eastAsia" w:ascii="宋体" w:hAnsi="宋体" w:cs="宋体"/>
                <w:sz w:val="24"/>
              </w:rPr>
            </w:pPr>
          </w:p>
        </w:tc>
        <w:tc>
          <w:tcPr>
            <w:tcW w:w="2118" w:type="dxa"/>
            <w:vMerge w:val="continue"/>
            <w:vAlign w:val="center"/>
          </w:tcPr>
          <w:p w14:paraId="410CC41B">
            <w:pPr>
              <w:spacing w:line="440" w:lineRule="exact"/>
              <w:jc w:val="center"/>
              <w:rPr>
                <w:rFonts w:hint="eastAsia" w:ascii="宋体" w:hAnsi="宋体" w:cs="宋体"/>
                <w:sz w:val="24"/>
              </w:rPr>
            </w:pPr>
          </w:p>
        </w:tc>
        <w:tc>
          <w:tcPr>
            <w:tcW w:w="1980" w:type="dxa"/>
            <w:vMerge w:val="continue"/>
            <w:vAlign w:val="center"/>
          </w:tcPr>
          <w:p w14:paraId="21CC09EA">
            <w:pPr>
              <w:spacing w:line="440" w:lineRule="exact"/>
              <w:jc w:val="center"/>
              <w:rPr>
                <w:rFonts w:hint="eastAsia" w:ascii="宋体" w:hAnsi="宋体" w:cs="宋体"/>
                <w:sz w:val="24"/>
              </w:rPr>
            </w:pPr>
          </w:p>
        </w:tc>
        <w:tc>
          <w:tcPr>
            <w:tcW w:w="720" w:type="dxa"/>
            <w:vAlign w:val="center"/>
          </w:tcPr>
          <w:p w14:paraId="2BA52223">
            <w:pPr>
              <w:spacing w:line="440" w:lineRule="exact"/>
              <w:jc w:val="center"/>
              <w:rPr>
                <w:rFonts w:hint="eastAsia" w:ascii="宋体" w:hAnsi="宋体" w:cs="宋体"/>
                <w:sz w:val="24"/>
              </w:rPr>
            </w:pPr>
          </w:p>
        </w:tc>
        <w:tc>
          <w:tcPr>
            <w:tcW w:w="720" w:type="dxa"/>
            <w:vAlign w:val="center"/>
          </w:tcPr>
          <w:p w14:paraId="791B612B">
            <w:pPr>
              <w:spacing w:line="440" w:lineRule="exact"/>
              <w:jc w:val="center"/>
              <w:rPr>
                <w:rFonts w:hint="eastAsia" w:ascii="宋体" w:hAnsi="宋体" w:cs="宋体"/>
                <w:sz w:val="24"/>
              </w:rPr>
            </w:pPr>
          </w:p>
        </w:tc>
        <w:tc>
          <w:tcPr>
            <w:tcW w:w="801" w:type="dxa"/>
            <w:vAlign w:val="center"/>
          </w:tcPr>
          <w:p w14:paraId="2A6BA143">
            <w:pPr>
              <w:spacing w:line="440" w:lineRule="exact"/>
              <w:jc w:val="center"/>
              <w:rPr>
                <w:rFonts w:hint="eastAsia" w:ascii="宋体" w:hAnsi="宋体" w:cs="宋体"/>
                <w:sz w:val="24"/>
              </w:rPr>
            </w:pPr>
          </w:p>
        </w:tc>
      </w:tr>
      <w:tr w14:paraId="57BA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B1C7913">
            <w:pPr>
              <w:spacing w:line="440" w:lineRule="exact"/>
              <w:jc w:val="center"/>
              <w:rPr>
                <w:rFonts w:hint="eastAsia" w:ascii="宋体" w:hAnsi="宋体" w:cs="宋体"/>
                <w:sz w:val="24"/>
              </w:rPr>
            </w:pPr>
            <w:r>
              <w:rPr>
                <w:rFonts w:hint="eastAsia" w:ascii="宋体" w:hAnsi="宋体" w:cs="宋体"/>
                <w:sz w:val="24"/>
              </w:rPr>
              <w:t>资产总额</w:t>
            </w:r>
          </w:p>
        </w:tc>
        <w:tc>
          <w:tcPr>
            <w:tcW w:w="2118" w:type="dxa"/>
            <w:vAlign w:val="center"/>
          </w:tcPr>
          <w:p w14:paraId="4E5D9CF3">
            <w:pPr>
              <w:spacing w:line="440" w:lineRule="exact"/>
              <w:jc w:val="center"/>
              <w:rPr>
                <w:rFonts w:hint="eastAsia" w:ascii="宋体" w:hAnsi="宋体" w:cs="宋体"/>
                <w:sz w:val="24"/>
              </w:rPr>
            </w:pPr>
          </w:p>
        </w:tc>
        <w:tc>
          <w:tcPr>
            <w:tcW w:w="1980" w:type="dxa"/>
            <w:vAlign w:val="center"/>
          </w:tcPr>
          <w:p w14:paraId="785B0851">
            <w:pPr>
              <w:spacing w:line="440" w:lineRule="exact"/>
              <w:jc w:val="center"/>
              <w:rPr>
                <w:rFonts w:hint="eastAsia" w:ascii="宋体" w:hAnsi="宋体" w:cs="宋体"/>
                <w:sz w:val="24"/>
              </w:rPr>
            </w:pPr>
            <w:r>
              <w:rPr>
                <w:rFonts w:hint="eastAsia" w:ascii="宋体" w:hAnsi="宋体" w:cs="宋体"/>
                <w:sz w:val="24"/>
              </w:rPr>
              <w:t>所有者权益</w:t>
            </w:r>
          </w:p>
        </w:tc>
        <w:tc>
          <w:tcPr>
            <w:tcW w:w="2241" w:type="dxa"/>
            <w:gridSpan w:val="3"/>
            <w:vAlign w:val="center"/>
          </w:tcPr>
          <w:p w14:paraId="575AF6CC">
            <w:pPr>
              <w:spacing w:line="440" w:lineRule="exact"/>
              <w:jc w:val="center"/>
              <w:rPr>
                <w:rFonts w:hint="eastAsia" w:ascii="宋体" w:hAnsi="宋体" w:cs="宋体"/>
                <w:sz w:val="24"/>
              </w:rPr>
            </w:pPr>
          </w:p>
        </w:tc>
      </w:tr>
      <w:tr w14:paraId="23AC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5916D8D">
            <w:pPr>
              <w:spacing w:line="440" w:lineRule="exact"/>
              <w:jc w:val="center"/>
              <w:rPr>
                <w:rFonts w:hint="eastAsia" w:ascii="宋体" w:hAnsi="宋体" w:cs="宋体"/>
                <w:sz w:val="24"/>
              </w:rPr>
            </w:pPr>
            <w:r>
              <w:rPr>
                <w:rFonts w:hint="eastAsia" w:ascii="宋体" w:hAnsi="宋体" w:cs="宋体"/>
                <w:sz w:val="24"/>
              </w:rPr>
              <w:t>工商登记号</w:t>
            </w:r>
          </w:p>
        </w:tc>
        <w:tc>
          <w:tcPr>
            <w:tcW w:w="2118" w:type="dxa"/>
            <w:vAlign w:val="center"/>
          </w:tcPr>
          <w:p w14:paraId="27248F45">
            <w:pPr>
              <w:spacing w:line="440" w:lineRule="exact"/>
              <w:jc w:val="center"/>
              <w:rPr>
                <w:rFonts w:hint="eastAsia" w:ascii="宋体" w:hAnsi="宋体" w:cs="宋体"/>
                <w:sz w:val="24"/>
              </w:rPr>
            </w:pPr>
          </w:p>
        </w:tc>
        <w:tc>
          <w:tcPr>
            <w:tcW w:w="1980" w:type="dxa"/>
            <w:vAlign w:val="center"/>
          </w:tcPr>
          <w:p w14:paraId="409903C3">
            <w:pPr>
              <w:spacing w:line="440" w:lineRule="exact"/>
              <w:jc w:val="center"/>
              <w:rPr>
                <w:rFonts w:hint="eastAsia" w:ascii="宋体" w:hAnsi="宋体" w:cs="宋体"/>
                <w:sz w:val="24"/>
              </w:rPr>
            </w:pPr>
            <w:r>
              <w:rPr>
                <w:rFonts w:hint="eastAsia" w:ascii="宋体" w:hAnsi="宋体" w:cs="宋体"/>
                <w:sz w:val="24"/>
              </w:rPr>
              <w:t>税务登记号</w:t>
            </w:r>
          </w:p>
        </w:tc>
        <w:tc>
          <w:tcPr>
            <w:tcW w:w="2241" w:type="dxa"/>
            <w:gridSpan w:val="3"/>
            <w:vAlign w:val="center"/>
          </w:tcPr>
          <w:p w14:paraId="4932246F">
            <w:pPr>
              <w:spacing w:line="440" w:lineRule="exact"/>
              <w:jc w:val="center"/>
              <w:rPr>
                <w:rFonts w:hint="eastAsia" w:ascii="宋体" w:hAnsi="宋体" w:cs="宋体"/>
                <w:sz w:val="24"/>
              </w:rPr>
            </w:pPr>
          </w:p>
        </w:tc>
      </w:tr>
      <w:tr w14:paraId="3B4F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E8DC825">
            <w:pPr>
              <w:spacing w:line="440" w:lineRule="exact"/>
              <w:jc w:val="center"/>
              <w:rPr>
                <w:rFonts w:hint="eastAsia" w:ascii="宋体" w:hAnsi="宋体" w:cs="宋体"/>
                <w:sz w:val="24"/>
              </w:rPr>
            </w:pPr>
            <w:r>
              <w:rPr>
                <w:rFonts w:hint="eastAsia" w:ascii="宋体" w:hAnsi="宋体" w:cs="宋体"/>
                <w:sz w:val="24"/>
              </w:rPr>
              <w:t>是否依法纳税</w:t>
            </w:r>
          </w:p>
        </w:tc>
        <w:tc>
          <w:tcPr>
            <w:tcW w:w="2118" w:type="dxa"/>
            <w:vAlign w:val="center"/>
          </w:tcPr>
          <w:p w14:paraId="10440DCF">
            <w:pPr>
              <w:spacing w:line="440" w:lineRule="exact"/>
              <w:jc w:val="center"/>
              <w:rPr>
                <w:rFonts w:hint="eastAsia" w:ascii="宋体" w:hAnsi="宋体" w:cs="宋体"/>
                <w:sz w:val="24"/>
              </w:rPr>
            </w:pPr>
          </w:p>
        </w:tc>
        <w:tc>
          <w:tcPr>
            <w:tcW w:w="1980" w:type="dxa"/>
            <w:vAlign w:val="center"/>
          </w:tcPr>
          <w:p w14:paraId="1DD273ED">
            <w:pPr>
              <w:spacing w:line="440" w:lineRule="exact"/>
              <w:jc w:val="center"/>
              <w:rPr>
                <w:rFonts w:hint="eastAsia" w:ascii="宋体" w:hAnsi="宋体" w:cs="宋体"/>
                <w:sz w:val="24"/>
              </w:rPr>
            </w:pPr>
            <w:r>
              <w:rPr>
                <w:rFonts w:hint="eastAsia" w:ascii="宋体" w:hAnsi="宋体" w:cs="宋体"/>
                <w:sz w:val="24"/>
              </w:rPr>
              <w:t>是否参加社保</w:t>
            </w:r>
          </w:p>
        </w:tc>
        <w:tc>
          <w:tcPr>
            <w:tcW w:w="2241" w:type="dxa"/>
            <w:gridSpan w:val="3"/>
            <w:vAlign w:val="center"/>
          </w:tcPr>
          <w:p w14:paraId="2DB607A4">
            <w:pPr>
              <w:spacing w:line="440" w:lineRule="exact"/>
              <w:jc w:val="center"/>
              <w:rPr>
                <w:rFonts w:hint="eastAsia" w:ascii="宋体" w:hAnsi="宋体" w:cs="宋体"/>
                <w:sz w:val="24"/>
              </w:rPr>
            </w:pPr>
          </w:p>
        </w:tc>
      </w:tr>
      <w:tr w14:paraId="0E4F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04A10211">
            <w:pPr>
              <w:spacing w:line="440" w:lineRule="exact"/>
              <w:jc w:val="center"/>
              <w:rPr>
                <w:rFonts w:hint="eastAsia" w:ascii="宋体" w:hAnsi="宋体" w:cs="宋体"/>
                <w:sz w:val="24"/>
              </w:rPr>
            </w:pPr>
            <w:r>
              <w:rPr>
                <w:rFonts w:hint="eastAsia" w:ascii="宋体" w:hAnsi="宋体" w:cs="宋体"/>
                <w:sz w:val="24"/>
              </w:rPr>
              <w:t>售后服务机构情况</w:t>
            </w:r>
          </w:p>
        </w:tc>
        <w:tc>
          <w:tcPr>
            <w:tcW w:w="6339" w:type="dxa"/>
            <w:gridSpan w:val="5"/>
            <w:vAlign w:val="center"/>
          </w:tcPr>
          <w:p w14:paraId="2FD8F502">
            <w:pPr>
              <w:spacing w:line="440" w:lineRule="exact"/>
              <w:ind w:firstLine="60" w:firstLineChars="25"/>
              <w:rPr>
                <w:rFonts w:hint="eastAsia" w:ascii="宋体" w:hAnsi="宋体" w:cs="宋体"/>
                <w:sz w:val="24"/>
              </w:rPr>
            </w:pPr>
            <w:r>
              <w:rPr>
                <w:rFonts w:hint="eastAsia" w:ascii="宋体" w:hAnsi="宋体" w:cs="宋体"/>
                <w:sz w:val="24"/>
              </w:rPr>
              <w:t>名称：</w:t>
            </w:r>
          </w:p>
          <w:p w14:paraId="313C155C">
            <w:pPr>
              <w:spacing w:line="440" w:lineRule="exact"/>
              <w:ind w:firstLine="60" w:firstLineChars="25"/>
              <w:rPr>
                <w:rFonts w:hint="eastAsia" w:ascii="宋体" w:hAnsi="宋体" w:cs="宋体"/>
                <w:sz w:val="24"/>
              </w:rPr>
            </w:pPr>
            <w:r>
              <w:rPr>
                <w:rFonts w:hint="eastAsia" w:ascii="宋体" w:hAnsi="宋体" w:cs="宋体"/>
                <w:sz w:val="24"/>
              </w:rPr>
              <w:t>地址：</w:t>
            </w:r>
          </w:p>
          <w:p w14:paraId="690C36C6">
            <w:pPr>
              <w:spacing w:line="440" w:lineRule="exact"/>
              <w:ind w:firstLine="60" w:firstLineChars="25"/>
              <w:rPr>
                <w:rFonts w:hint="eastAsia" w:ascii="宋体" w:hAnsi="宋体" w:cs="宋体"/>
                <w:sz w:val="24"/>
              </w:rPr>
            </w:pPr>
            <w:r>
              <w:rPr>
                <w:rFonts w:hint="eastAsia" w:ascii="宋体" w:hAnsi="宋体" w:cs="宋体"/>
                <w:sz w:val="24"/>
              </w:rPr>
              <w:t>人员状况：</w:t>
            </w:r>
          </w:p>
          <w:p w14:paraId="149E274B">
            <w:pPr>
              <w:spacing w:line="440" w:lineRule="exact"/>
              <w:ind w:firstLine="60" w:firstLineChars="25"/>
              <w:rPr>
                <w:rFonts w:hint="eastAsia" w:ascii="宋体" w:hAnsi="宋体" w:cs="宋体"/>
                <w:sz w:val="24"/>
              </w:rPr>
            </w:pPr>
            <w:r>
              <w:rPr>
                <w:rFonts w:hint="eastAsia" w:ascii="宋体" w:hAnsi="宋体" w:cs="宋体"/>
                <w:sz w:val="24"/>
              </w:rPr>
              <w:t>联系方式：</w:t>
            </w:r>
          </w:p>
          <w:p w14:paraId="1256282A">
            <w:pPr>
              <w:spacing w:line="440" w:lineRule="exact"/>
              <w:ind w:firstLine="60" w:firstLineChars="25"/>
              <w:rPr>
                <w:rFonts w:hint="eastAsia" w:ascii="宋体" w:hAnsi="宋体" w:cs="宋体"/>
                <w:sz w:val="24"/>
              </w:rPr>
            </w:pPr>
            <w:r>
              <w:rPr>
                <w:rFonts w:hint="eastAsia" w:ascii="宋体" w:hAnsi="宋体" w:cs="宋体"/>
                <w:sz w:val="24"/>
              </w:rPr>
              <w:t>（可另附纸说明）</w:t>
            </w:r>
          </w:p>
        </w:tc>
      </w:tr>
    </w:tbl>
    <w:p w14:paraId="1B978FFB">
      <w:pPr>
        <w:spacing w:line="440" w:lineRule="exact"/>
        <w:ind w:firstLine="480" w:firstLineChars="200"/>
        <w:rPr>
          <w:rFonts w:hint="eastAsia" w:ascii="宋体" w:hAnsi="宋体" w:cs="宋体"/>
          <w:sz w:val="24"/>
        </w:rPr>
      </w:pPr>
    </w:p>
    <w:p w14:paraId="207B4FE0">
      <w:pPr>
        <w:pStyle w:val="132"/>
        <w:snapToGrid w:val="0"/>
        <w:spacing w:line="440" w:lineRule="exact"/>
        <w:rPr>
          <w:rFonts w:hint="eastAsia" w:ascii="宋体" w:hAnsi="宋体" w:cs="宋体"/>
          <w:szCs w:val="24"/>
        </w:rPr>
      </w:pPr>
      <w:r>
        <w:rPr>
          <w:rFonts w:hint="eastAsia" w:ascii="宋体" w:hAnsi="宋体" w:cs="宋体"/>
          <w:szCs w:val="24"/>
        </w:rPr>
        <w:t>投标人全称（</w:t>
      </w:r>
      <w:r>
        <w:rPr>
          <w:rFonts w:hint="eastAsia" w:ascii="宋体" w:hAnsi="宋体" w:cs="宋体"/>
          <w:kern w:val="0"/>
          <w:szCs w:val="24"/>
          <w:lang w:val="zh-CN"/>
        </w:rPr>
        <w:t>盖章</w:t>
      </w:r>
      <w:r>
        <w:rPr>
          <w:rFonts w:hint="eastAsia" w:ascii="宋体" w:hAnsi="宋体" w:cs="宋体"/>
          <w:szCs w:val="24"/>
        </w:rPr>
        <w:t>）：</w:t>
      </w:r>
      <w:r>
        <w:rPr>
          <w:rFonts w:hint="eastAsia" w:ascii="宋体" w:hAnsi="宋体" w:cs="宋体"/>
          <w:szCs w:val="24"/>
          <w:u w:val="single"/>
        </w:rPr>
        <w:t xml:space="preserve">                      </w:t>
      </w:r>
    </w:p>
    <w:p w14:paraId="35B406FD">
      <w:pPr>
        <w:snapToGrid w:val="0"/>
        <w:spacing w:line="440" w:lineRule="exact"/>
        <w:ind w:right="600"/>
        <w:rPr>
          <w:rFonts w:hint="eastAsia" w:ascii="宋体" w:hAnsi="宋体" w:cs="宋体"/>
          <w:sz w:val="24"/>
        </w:rPr>
      </w:pPr>
    </w:p>
    <w:p w14:paraId="567CDDBE">
      <w:pPr>
        <w:snapToGrid w:val="0"/>
        <w:spacing w:line="440" w:lineRule="exact"/>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年     月     日</w:t>
      </w:r>
    </w:p>
    <w:p w14:paraId="0F53A6F5">
      <w:pPr>
        <w:snapToGrid w:val="0"/>
        <w:spacing w:line="440" w:lineRule="exact"/>
        <w:ind w:right="600"/>
        <w:rPr>
          <w:rFonts w:hint="eastAsia" w:ascii="宋体" w:hAnsi="宋体" w:cs="宋体"/>
          <w:sz w:val="24"/>
          <w:u w:val="single"/>
        </w:rPr>
      </w:pPr>
    </w:p>
    <w:p w14:paraId="1738ABD2">
      <w:pPr>
        <w:pStyle w:val="4"/>
        <w:tabs>
          <w:tab w:val="left" w:pos="576"/>
        </w:tabs>
        <w:spacing w:before="0" w:after="0" w:line="440" w:lineRule="exact"/>
        <w:ind w:left="0" w:firstLine="0"/>
        <w:rPr>
          <w:rFonts w:hint="eastAsia" w:ascii="宋体" w:hAnsi="宋体" w:eastAsia="宋体" w:cs="宋体"/>
          <w:sz w:val="24"/>
          <w:szCs w:val="24"/>
        </w:rPr>
      </w:pPr>
    </w:p>
    <w:p w14:paraId="74244E35">
      <w:pPr>
        <w:pStyle w:val="4"/>
        <w:tabs>
          <w:tab w:val="left" w:pos="576"/>
        </w:tabs>
        <w:spacing w:before="0" w:after="0" w:line="440" w:lineRule="exact"/>
        <w:ind w:left="0" w:firstLine="0"/>
        <w:rPr>
          <w:rFonts w:hint="eastAsia" w:ascii="宋体" w:hAnsi="宋体" w:eastAsia="宋体" w:cs="宋体"/>
          <w:sz w:val="24"/>
          <w:szCs w:val="24"/>
        </w:rPr>
      </w:pPr>
      <w:r>
        <w:rPr>
          <w:rFonts w:hint="eastAsia" w:ascii="宋体" w:hAnsi="宋体" w:eastAsia="宋体" w:cs="宋体"/>
          <w:sz w:val="24"/>
          <w:szCs w:val="24"/>
        </w:rPr>
        <w:br w:type="page"/>
      </w:r>
    </w:p>
    <w:p w14:paraId="2FD94CED">
      <w:pPr>
        <w:snapToGrid w:val="0"/>
        <w:spacing w:line="440" w:lineRule="exact"/>
        <w:ind w:right="600"/>
        <w:jc w:val="center"/>
        <w:rPr>
          <w:rFonts w:hint="eastAsia" w:ascii="宋体" w:hAnsi="宋体" w:cs="宋体"/>
          <w:b/>
          <w:sz w:val="24"/>
        </w:rPr>
      </w:pPr>
      <w:r>
        <w:rPr>
          <w:rFonts w:hint="eastAsia" w:ascii="宋体" w:hAnsi="宋体" w:cs="宋体"/>
          <w:b/>
          <w:sz w:val="24"/>
        </w:rPr>
        <w:t>项目实施人员（主要从业人员及其技术资格）一览表</w:t>
      </w:r>
    </w:p>
    <w:p w14:paraId="3E68FBBC">
      <w:pPr>
        <w:pStyle w:val="10"/>
        <w:snapToGrid w:val="0"/>
        <w:spacing w:before="0" w:after="0" w:line="440" w:lineRule="exact"/>
        <w:rPr>
          <w:rFonts w:hint="eastAsia" w:ascii="宋体" w:hAnsi="宋体" w:eastAsia="宋体" w:cs="宋体"/>
          <w:sz w:val="24"/>
          <w:szCs w:val="24"/>
        </w:rPr>
      </w:pPr>
    </w:p>
    <w:p w14:paraId="5C8E3AC1">
      <w:pPr>
        <w:pStyle w:val="10"/>
        <w:snapToGrid w:val="0"/>
        <w:spacing w:before="0" w:after="0" w:line="440" w:lineRule="exact"/>
        <w:rPr>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bl>
      <w:tblPr>
        <w:tblStyle w:val="35"/>
        <w:tblW w:w="9406"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3"/>
        <w:gridCol w:w="918"/>
        <w:gridCol w:w="918"/>
        <w:gridCol w:w="1497"/>
        <w:gridCol w:w="1387"/>
        <w:gridCol w:w="1713"/>
        <w:gridCol w:w="2150"/>
      </w:tblGrid>
      <w:tr w14:paraId="79B20A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2" w:hRule="atLeast"/>
        </w:trPr>
        <w:tc>
          <w:tcPr>
            <w:tcW w:w="823" w:type="dxa"/>
            <w:vAlign w:val="center"/>
          </w:tcPr>
          <w:p w14:paraId="5770E7B0">
            <w:pPr>
              <w:spacing w:line="360" w:lineRule="auto"/>
              <w:jc w:val="center"/>
              <w:rPr>
                <w:rFonts w:hint="eastAsia" w:ascii="宋体" w:hAnsi="宋体" w:cs="宋体"/>
                <w:sz w:val="24"/>
              </w:rPr>
            </w:pPr>
            <w:r>
              <w:rPr>
                <w:rFonts w:hint="eastAsia" w:ascii="宋体" w:hAnsi="宋体" w:cs="宋体"/>
                <w:sz w:val="24"/>
              </w:rPr>
              <w:t>姓名</w:t>
            </w:r>
          </w:p>
        </w:tc>
        <w:tc>
          <w:tcPr>
            <w:tcW w:w="918" w:type="dxa"/>
            <w:vAlign w:val="center"/>
          </w:tcPr>
          <w:p w14:paraId="21752228">
            <w:pPr>
              <w:spacing w:line="360" w:lineRule="auto"/>
              <w:jc w:val="center"/>
              <w:rPr>
                <w:rFonts w:hint="eastAsia" w:ascii="宋体" w:hAnsi="宋体" w:cs="宋体"/>
                <w:sz w:val="24"/>
              </w:rPr>
            </w:pPr>
            <w:r>
              <w:rPr>
                <w:rFonts w:hint="eastAsia" w:ascii="宋体" w:hAnsi="宋体" w:cs="宋体"/>
                <w:sz w:val="24"/>
              </w:rPr>
              <w:t>性别</w:t>
            </w:r>
          </w:p>
        </w:tc>
        <w:tc>
          <w:tcPr>
            <w:tcW w:w="918" w:type="dxa"/>
            <w:vAlign w:val="center"/>
          </w:tcPr>
          <w:p w14:paraId="25AC1C7E">
            <w:pPr>
              <w:spacing w:line="360" w:lineRule="auto"/>
              <w:jc w:val="center"/>
              <w:rPr>
                <w:rFonts w:hint="eastAsia" w:ascii="宋体" w:hAnsi="宋体" w:cs="宋体"/>
                <w:sz w:val="24"/>
              </w:rPr>
            </w:pPr>
            <w:r>
              <w:rPr>
                <w:rFonts w:hint="eastAsia" w:ascii="宋体" w:hAnsi="宋体" w:cs="宋体"/>
                <w:sz w:val="24"/>
              </w:rPr>
              <w:t>年龄</w:t>
            </w:r>
          </w:p>
        </w:tc>
        <w:tc>
          <w:tcPr>
            <w:tcW w:w="1497" w:type="dxa"/>
            <w:vAlign w:val="center"/>
          </w:tcPr>
          <w:p w14:paraId="56CDDDF2">
            <w:pPr>
              <w:spacing w:line="360" w:lineRule="auto"/>
              <w:jc w:val="center"/>
              <w:rPr>
                <w:rFonts w:hint="eastAsia" w:ascii="宋体" w:hAnsi="宋体" w:cs="宋体"/>
                <w:sz w:val="24"/>
              </w:rPr>
            </w:pPr>
            <w:r>
              <w:rPr>
                <w:rFonts w:hint="eastAsia" w:ascii="宋体" w:hAnsi="宋体" w:cs="宋体"/>
                <w:sz w:val="24"/>
              </w:rPr>
              <w:t>学历/职称</w:t>
            </w:r>
          </w:p>
        </w:tc>
        <w:tc>
          <w:tcPr>
            <w:tcW w:w="1387" w:type="dxa"/>
            <w:vAlign w:val="center"/>
          </w:tcPr>
          <w:p w14:paraId="32C87464">
            <w:pPr>
              <w:spacing w:line="360" w:lineRule="auto"/>
              <w:jc w:val="center"/>
              <w:rPr>
                <w:rFonts w:hint="eastAsia" w:ascii="宋体" w:hAnsi="宋体" w:cs="宋体"/>
                <w:sz w:val="24"/>
              </w:rPr>
            </w:pPr>
            <w:r>
              <w:rPr>
                <w:rFonts w:hint="eastAsia" w:ascii="宋体" w:hAnsi="宋体" w:cs="宋体"/>
                <w:sz w:val="24"/>
              </w:rPr>
              <w:t>专业</w:t>
            </w:r>
          </w:p>
        </w:tc>
        <w:tc>
          <w:tcPr>
            <w:tcW w:w="1713" w:type="dxa"/>
            <w:vAlign w:val="center"/>
          </w:tcPr>
          <w:p w14:paraId="4F25F43F">
            <w:pPr>
              <w:spacing w:line="360" w:lineRule="auto"/>
              <w:rPr>
                <w:rFonts w:hint="eastAsia" w:ascii="宋体" w:hAnsi="宋体" w:cs="宋体"/>
                <w:sz w:val="24"/>
              </w:rPr>
            </w:pPr>
            <w:r>
              <w:rPr>
                <w:rFonts w:hint="eastAsia" w:ascii="宋体" w:hAnsi="宋体" w:cs="宋体"/>
                <w:sz w:val="24"/>
              </w:rPr>
              <w:t>专业工作年限</w:t>
            </w:r>
          </w:p>
        </w:tc>
        <w:tc>
          <w:tcPr>
            <w:tcW w:w="2150" w:type="dxa"/>
            <w:vAlign w:val="center"/>
          </w:tcPr>
          <w:p w14:paraId="7E17FF82">
            <w:pPr>
              <w:spacing w:line="360" w:lineRule="auto"/>
              <w:jc w:val="center"/>
              <w:rPr>
                <w:rFonts w:hint="eastAsia" w:ascii="宋体" w:hAnsi="宋体" w:cs="宋体"/>
                <w:sz w:val="24"/>
              </w:rPr>
            </w:pPr>
            <w:r>
              <w:rPr>
                <w:rFonts w:hint="eastAsia" w:ascii="宋体" w:hAnsi="宋体" w:cs="宋体"/>
                <w:sz w:val="24"/>
              </w:rPr>
              <w:t>在本项目拟担任职务（或负责分项）</w:t>
            </w:r>
          </w:p>
        </w:tc>
      </w:tr>
      <w:tr w14:paraId="74EFED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8" w:hRule="exact"/>
        </w:trPr>
        <w:tc>
          <w:tcPr>
            <w:tcW w:w="823" w:type="dxa"/>
            <w:vAlign w:val="center"/>
          </w:tcPr>
          <w:p w14:paraId="3E40F692">
            <w:pPr>
              <w:spacing w:line="360" w:lineRule="auto"/>
              <w:jc w:val="center"/>
              <w:rPr>
                <w:rFonts w:hint="eastAsia" w:ascii="宋体" w:hAnsi="宋体" w:cs="宋体"/>
                <w:sz w:val="24"/>
              </w:rPr>
            </w:pPr>
          </w:p>
        </w:tc>
        <w:tc>
          <w:tcPr>
            <w:tcW w:w="918" w:type="dxa"/>
            <w:vAlign w:val="center"/>
          </w:tcPr>
          <w:p w14:paraId="5D402278">
            <w:pPr>
              <w:spacing w:line="360" w:lineRule="auto"/>
              <w:jc w:val="center"/>
              <w:rPr>
                <w:rFonts w:hint="eastAsia" w:ascii="宋体" w:hAnsi="宋体" w:cs="宋体"/>
                <w:sz w:val="24"/>
              </w:rPr>
            </w:pPr>
          </w:p>
        </w:tc>
        <w:tc>
          <w:tcPr>
            <w:tcW w:w="918" w:type="dxa"/>
            <w:vAlign w:val="center"/>
          </w:tcPr>
          <w:p w14:paraId="007730DC">
            <w:pPr>
              <w:spacing w:line="360" w:lineRule="auto"/>
              <w:jc w:val="center"/>
              <w:rPr>
                <w:rFonts w:hint="eastAsia" w:ascii="宋体" w:hAnsi="宋体" w:cs="宋体"/>
                <w:sz w:val="24"/>
              </w:rPr>
            </w:pPr>
          </w:p>
        </w:tc>
        <w:tc>
          <w:tcPr>
            <w:tcW w:w="1497" w:type="dxa"/>
            <w:vAlign w:val="center"/>
          </w:tcPr>
          <w:p w14:paraId="779A2489">
            <w:pPr>
              <w:spacing w:line="360" w:lineRule="auto"/>
              <w:jc w:val="center"/>
              <w:rPr>
                <w:rFonts w:hint="eastAsia" w:ascii="宋体" w:hAnsi="宋体" w:cs="宋体"/>
                <w:sz w:val="24"/>
              </w:rPr>
            </w:pPr>
          </w:p>
        </w:tc>
        <w:tc>
          <w:tcPr>
            <w:tcW w:w="1387" w:type="dxa"/>
            <w:vAlign w:val="center"/>
          </w:tcPr>
          <w:p w14:paraId="6F7899F3">
            <w:pPr>
              <w:spacing w:line="360" w:lineRule="auto"/>
              <w:jc w:val="center"/>
              <w:rPr>
                <w:rFonts w:hint="eastAsia" w:ascii="宋体" w:hAnsi="宋体" w:cs="宋体"/>
                <w:sz w:val="24"/>
              </w:rPr>
            </w:pPr>
          </w:p>
        </w:tc>
        <w:tc>
          <w:tcPr>
            <w:tcW w:w="1713" w:type="dxa"/>
            <w:vAlign w:val="center"/>
          </w:tcPr>
          <w:p w14:paraId="00B6E02A">
            <w:pPr>
              <w:spacing w:line="360" w:lineRule="auto"/>
              <w:jc w:val="center"/>
              <w:rPr>
                <w:rFonts w:hint="eastAsia" w:ascii="宋体" w:hAnsi="宋体" w:cs="宋体"/>
                <w:sz w:val="24"/>
              </w:rPr>
            </w:pPr>
          </w:p>
        </w:tc>
        <w:tc>
          <w:tcPr>
            <w:tcW w:w="2150" w:type="dxa"/>
            <w:vAlign w:val="center"/>
          </w:tcPr>
          <w:p w14:paraId="02C2597E">
            <w:pPr>
              <w:spacing w:line="360" w:lineRule="auto"/>
              <w:jc w:val="center"/>
              <w:rPr>
                <w:rFonts w:hint="eastAsia" w:ascii="宋体" w:hAnsi="宋体" w:cs="宋体"/>
                <w:sz w:val="24"/>
              </w:rPr>
            </w:pPr>
          </w:p>
        </w:tc>
      </w:tr>
      <w:tr w14:paraId="01CE6D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8" w:hRule="exact"/>
        </w:trPr>
        <w:tc>
          <w:tcPr>
            <w:tcW w:w="823" w:type="dxa"/>
            <w:vAlign w:val="center"/>
          </w:tcPr>
          <w:p w14:paraId="3364D1A3">
            <w:pPr>
              <w:spacing w:line="360" w:lineRule="auto"/>
              <w:jc w:val="center"/>
              <w:rPr>
                <w:rFonts w:hint="eastAsia" w:ascii="宋体" w:hAnsi="宋体" w:cs="宋体"/>
                <w:sz w:val="24"/>
              </w:rPr>
            </w:pPr>
          </w:p>
        </w:tc>
        <w:tc>
          <w:tcPr>
            <w:tcW w:w="918" w:type="dxa"/>
            <w:vAlign w:val="center"/>
          </w:tcPr>
          <w:p w14:paraId="3DCB2C43">
            <w:pPr>
              <w:spacing w:line="360" w:lineRule="auto"/>
              <w:jc w:val="center"/>
              <w:rPr>
                <w:rFonts w:hint="eastAsia" w:ascii="宋体" w:hAnsi="宋体" w:cs="宋体"/>
                <w:sz w:val="24"/>
              </w:rPr>
            </w:pPr>
          </w:p>
        </w:tc>
        <w:tc>
          <w:tcPr>
            <w:tcW w:w="918" w:type="dxa"/>
            <w:vAlign w:val="center"/>
          </w:tcPr>
          <w:p w14:paraId="366DDC35">
            <w:pPr>
              <w:spacing w:line="360" w:lineRule="auto"/>
              <w:jc w:val="center"/>
              <w:rPr>
                <w:rFonts w:hint="eastAsia" w:ascii="宋体" w:hAnsi="宋体" w:cs="宋体"/>
                <w:sz w:val="24"/>
              </w:rPr>
            </w:pPr>
          </w:p>
        </w:tc>
        <w:tc>
          <w:tcPr>
            <w:tcW w:w="1497" w:type="dxa"/>
            <w:vAlign w:val="center"/>
          </w:tcPr>
          <w:p w14:paraId="2FA5BD3D">
            <w:pPr>
              <w:spacing w:line="360" w:lineRule="auto"/>
              <w:jc w:val="center"/>
              <w:rPr>
                <w:rFonts w:hint="eastAsia" w:ascii="宋体" w:hAnsi="宋体" w:cs="宋体"/>
                <w:sz w:val="24"/>
              </w:rPr>
            </w:pPr>
          </w:p>
        </w:tc>
        <w:tc>
          <w:tcPr>
            <w:tcW w:w="1387" w:type="dxa"/>
            <w:vAlign w:val="center"/>
          </w:tcPr>
          <w:p w14:paraId="04599ACA">
            <w:pPr>
              <w:spacing w:line="360" w:lineRule="auto"/>
              <w:jc w:val="center"/>
              <w:rPr>
                <w:rFonts w:hint="eastAsia" w:ascii="宋体" w:hAnsi="宋体" w:cs="宋体"/>
                <w:sz w:val="24"/>
              </w:rPr>
            </w:pPr>
          </w:p>
        </w:tc>
        <w:tc>
          <w:tcPr>
            <w:tcW w:w="1713" w:type="dxa"/>
            <w:vAlign w:val="center"/>
          </w:tcPr>
          <w:p w14:paraId="7C93F1C0">
            <w:pPr>
              <w:spacing w:line="360" w:lineRule="auto"/>
              <w:jc w:val="center"/>
              <w:rPr>
                <w:rFonts w:hint="eastAsia" w:ascii="宋体" w:hAnsi="宋体" w:cs="宋体"/>
                <w:sz w:val="24"/>
              </w:rPr>
            </w:pPr>
          </w:p>
        </w:tc>
        <w:tc>
          <w:tcPr>
            <w:tcW w:w="2150" w:type="dxa"/>
            <w:vAlign w:val="center"/>
          </w:tcPr>
          <w:p w14:paraId="52AE3FB2">
            <w:pPr>
              <w:spacing w:line="360" w:lineRule="auto"/>
              <w:jc w:val="center"/>
              <w:rPr>
                <w:rFonts w:hint="eastAsia" w:ascii="宋体" w:hAnsi="宋体" w:cs="宋体"/>
                <w:sz w:val="24"/>
              </w:rPr>
            </w:pPr>
          </w:p>
        </w:tc>
      </w:tr>
      <w:tr w14:paraId="264966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8" w:hRule="exact"/>
        </w:trPr>
        <w:tc>
          <w:tcPr>
            <w:tcW w:w="823" w:type="dxa"/>
            <w:vAlign w:val="center"/>
          </w:tcPr>
          <w:p w14:paraId="6753444A">
            <w:pPr>
              <w:spacing w:line="360" w:lineRule="auto"/>
              <w:jc w:val="center"/>
              <w:rPr>
                <w:rFonts w:hint="eastAsia" w:ascii="宋体" w:hAnsi="宋体" w:cs="宋体"/>
                <w:sz w:val="24"/>
              </w:rPr>
            </w:pPr>
          </w:p>
        </w:tc>
        <w:tc>
          <w:tcPr>
            <w:tcW w:w="918" w:type="dxa"/>
            <w:vAlign w:val="center"/>
          </w:tcPr>
          <w:p w14:paraId="006FCA0B">
            <w:pPr>
              <w:spacing w:line="360" w:lineRule="auto"/>
              <w:jc w:val="center"/>
              <w:rPr>
                <w:rFonts w:hint="eastAsia" w:ascii="宋体" w:hAnsi="宋体" w:cs="宋体"/>
                <w:sz w:val="24"/>
              </w:rPr>
            </w:pPr>
          </w:p>
        </w:tc>
        <w:tc>
          <w:tcPr>
            <w:tcW w:w="918" w:type="dxa"/>
            <w:vAlign w:val="center"/>
          </w:tcPr>
          <w:p w14:paraId="5BA6B57A">
            <w:pPr>
              <w:spacing w:line="360" w:lineRule="auto"/>
              <w:jc w:val="center"/>
              <w:rPr>
                <w:rFonts w:hint="eastAsia" w:ascii="宋体" w:hAnsi="宋体" w:cs="宋体"/>
                <w:sz w:val="24"/>
              </w:rPr>
            </w:pPr>
          </w:p>
        </w:tc>
        <w:tc>
          <w:tcPr>
            <w:tcW w:w="1497" w:type="dxa"/>
            <w:vAlign w:val="center"/>
          </w:tcPr>
          <w:p w14:paraId="258CECFA">
            <w:pPr>
              <w:spacing w:line="360" w:lineRule="auto"/>
              <w:jc w:val="center"/>
              <w:rPr>
                <w:rFonts w:hint="eastAsia" w:ascii="宋体" w:hAnsi="宋体" w:cs="宋体"/>
                <w:sz w:val="24"/>
              </w:rPr>
            </w:pPr>
          </w:p>
        </w:tc>
        <w:tc>
          <w:tcPr>
            <w:tcW w:w="1387" w:type="dxa"/>
            <w:vAlign w:val="center"/>
          </w:tcPr>
          <w:p w14:paraId="2A6C0817">
            <w:pPr>
              <w:spacing w:line="360" w:lineRule="auto"/>
              <w:jc w:val="center"/>
              <w:rPr>
                <w:rFonts w:hint="eastAsia" w:ascii="宋体" w:hAnsi="宋体" w:cs="宋体"/>
                <w:sz w:val="24"/>
              </w:rPr>
            </w:pPr>
          </w:p>
        </w:tc>
        <w:tc>
          <w:tcPr>
            <w:tcW w:w="1713" w:type="dxa"/>
            <w:vAlign w:val="center"/>
          </w:tcPr>
          <w:p w14:paraId="0D7F28F5">
            <w:pPr>
              <w:spacing w:line="360" w:lineRule="auto"/>
              <w:jc w:val="center"/>
              <w:rPr>
                <w:rFonts w:hint="eastAsia" w:ascii="宋体" w:hAnsi="宋体" w:cs="宋体"/>
                <w:sz w:val="24"/>
              </w:rPr>
            </w:pPr>
          </w:p>
        </w:tc>
        <w:tc>
          <w:tcPr>
            <w:tcW w:w="2150" w:type="dxa"/>
            <w:vAlign w:val="center"/>
          </w:tcPr>
          <w:p w14:paraId="6253073C">
            <w:pPr>
              <w:spacing w:line="360" w:lineRule="auto"/>
              <w:jc w:val="center"/>
              <w:rPr>
                <w:rFonts w:hint="eastAsia" w:ascii="宋体" w:hAnsi="宋体" w:cs="宋体"/>
                <w:sz w:val="24"/>
              </w:rPr>
            </w:pPr>
          </w:p>
        </w:tc>
      </w:tr>
      <w:tr w14:paraId="67F502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8" w:hRule="exact"/>
        </w:trPr>
        <w:tc>
          <w:tcPr>
            <w:tcW w:w="823" w:type="dxa"/>
            <w:vAlign w:val="center"/>
          </w:tcPr>
          <w:p w14:paraId="68EF5229">
            <w:pPr>
              <w:spacing w:line="360" w:lineRule="auto"/>
              <w:jc w:val="center"/>
              <w:rPr>
                <w:rFonts w:hint="eastAsia" w:ascii="宋体" w:hAnsi="宋体" w:cs="宋体"/>
                <w:sz w:val="24"/>
              </w:rPr>
            </w:pPr>
          </w:p>
        </w:tc>
        <w:tc>
          <w:tcPr>
            <w:tcW w:w="918" w:type="dxa"/>
            <w:vAlign w:val="center"/>
          </w:tcPr>
          <w:p w14:paraId="402FD82B">
            <w:pPr>
              <w:spacing w:line="360" w:lineRule="auto"/>
              <w:jc w:val="center"/>
              <w:rPr>
                <w:rFonts w:hint="eastAsia" w:ascii="宋体" w:hAnsi="宋体" w:cs="宋体"/>
                <w:sz w:val="24"/>
              </w:rPr>
            </w:pPr>
          </w:p>
        </w:tc>
        <w:tc>
          <w:tcPr>
            <w:tcW w:w="918" w:type="dxa"/>
            <w:vAlign w:val="center"/>
          </w:tcPr>
          <w:p w14:paraId="0684CB55">
            <w:pPr>
              <w:spacing w:line="360" w:lineRule="auto"/>
              <w:jc w:val="center"/>
              <w:rPr>
                <w:rFonts w:hint="eastAsia" w:ascii="宋体" w:hAnsi="宋体" w:cs="宋体"/>
                <w:sz w:val="24"/>
              </w:rPr>
            </w:pPr>
          </w:p>
        </w:tc>
        <w:tc>
          <w:tcPr>
            <w:tcW w:w="1497" w:type="dxa"/>
            <w:vAlign w:val="center"/>
          </w:tcPr>
          <w:p w14:paraId="2F7929F6">
            <w:pPr>
              <w:spacing w:line="360" w:lineRule="auto"/>
              <w:jc w:val="center"/>
              <w:rPr>
                <w:rFonts w:hint="eastAsia" w:ascii="宋体" w:hAnsi="宋体" w:cs="宋体"/>
                <w:sz w:val="24"/>
              </w:rPr>
            </w:pPr>
          </w:p>
        </w:tc>
        <w:tc>
          <w:tcPr>
            <w:tcW w:w="1387" w:type="dxa"/>
            <w:vAlign w:val="center"/>
          </w:tcPr>
          <w:p w14:paraId="564B910A">
            <w:pPr>
              <w:spacing w:line="360" w:lineRule="auto"/>
              <w:jc w:val="center"/>
              <w:rPr>
                <w:rFonts w:hint="eastAsia" w:ascii="宋体" w:hAnsi="宋体" w:cs="宋体"/>
                <w:sz w:val="24"/>
              </w:rPr>
            </w:pPr>
          </w:p>
        </w:tc>
        <w:tc>
          <w:tcPr>
            <w:tcW w:w="1713" w:type="dxa"/>
            <w:vAlign w:val="center"/>
          </w:tcPr>
          <w:p w14:paraId="2C082232">
            <w:pPr>
              <w:spacing w:line="360" w:lineRule="auto"/>
              <w:jc w:val="center"/>
              <w:rPr>
                <w:rFonts w:hint="eastAsia" w:ascii="宋体" w:hAnsi="宋体" w:cs="宋体"/>
                <w:sz w:val="24"/>
              </w:rPr>
            </w:pPr>
          </w:p>
        </w:tc>
        <w:tc>
          <w:tcPr>
            <w:tcW w:w="2150" w:type="dxa"/>
            <w:vAlign w:val="center"/>
          </w:tcPr>
          <w:p w14:paraId="4F14B1C7">
            <w:pPr>
              <w:spacing w:line="360" w:lineRule="auto"/>
              <w:jc w:val="center"/>
              <w:rPr>
                <w:rFonts w:hint="eastAsia" w:ascii="宋体" w:hAnsi="宋体" w:cs="宋体"/>
                <w:sz w:val="24"/>
              </w:rPr>
            </w:pPr>
          </w:p>
        </w:tc>
      </w:tr>
      <w:tr w14:paraId="092171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8" w:hRule="exact"/>
        </w:trPr>
        <w:tc>
          <w:tcPr>
            <w:tcW w:w="823" w:type="dxa"/>
            <w:vAlign w:val="center"/>
          </w:tcPr>
          <w:p w14:paraId="3D6ACEFD">
            <w:pPr>
              <w:spacing w:line="360" w:lineRule="auto"/>
              <w:jc w:val="center"/>
              <w:rPr>
                <w:rFonts w:hint="eastAsia" w:ascii="宋体" w:hAnsi="宋体" w:cs="宋体"/>
                <w:sz w:val="24"/>
              </w:rPr>
            </w:pPr>
          </w:p>
        </w:tc>
        <w:tc>
          <w:tcPr>
            <w:tcW w:w="918" w:type="dxa"/>
            <w:vAlign w:val="center"/>
          </w:tcPr>
          <w:p w14:paraId="45938D03">
            <w:pPr>
              <w:spacing w:line="360" w:lineRule="auto"/>
              <w:jc w:val="center"/>
              <w:rPr>
                <w:rFonts w:hint="eastAsia" w:ascii="宋体" w:hAnsi="宋体" w:cs="宋体"/>
                <w:sz w:val="24"/>
              </w:rPr>
            </w:pPr>
          </w:p>
        </w:tc>
        <w:tc>
          <w:tcPr>
            <w:tcW w:w="918" w:type="dxa"/>
            <w:vAlign w:val="center"/>
          </w:tcPr>
          <w:p w14:paraId="48958268">
            <w:pPr>
              <w:spacing w:line="360" w:lineRule="auto"/>
              <w:jc w:val="center"/>
              <w:rPr>
                <w:rFonts w:hint="eastAsia" w:ascii="宋体" w:hAnsi="宋体" w:cs="宋体"/>
                <w:sz w:val="24"/>
              </w:rPr>
            </w:pPr>
          </w:p>
        </w:tc>
        <w:tc>
          <w:tcPr>
            <w:tcW w:w="1497" w:type="dxa"/>
            <w:vAlign w:val="center"/>
          </w:tcPr>
          <w:p w14:paraId="2AB8B336">
            <w:pPr>
              <w:spacing w:line="360" w:lineRule="auto"/>
              <w:jc w:val="center"/>
              <w:rPr>
                <w:rFonts w:hint="eastAsia" w:ascii="宋体" w:hAnsi="宋体" w:cs="宋体"/>
                <w:sz w:val="24"/>
              </w:rPr>
            </w:pPr>
          </w:p>
        </w:tc>
        <w:tc>
          <w:tcPr>
            <w:tcW w:w="1387" w:type="dxa"/>
            <w:vAlign w:val="center"/>
          </w:tcPr>
          <w:p w14:paraId="0ABFF9E2">
            <w:pPr>
              <w:spacing w:line="360" w:lineRule="auto"/>
              <w:jc w:val="center"/>
              <w:rPr>
                <w:rFonts w:hint="eastAsia" w:ascii="宋体" w:hAnsi="宋体" w:cs="宋体"/>
                <w:sz w:val="24"/>
              </w:rPr>
            </w:pPr>
          </w:p>
        </w:tc>
        <w:tc>
          <w:tcPr>
            <w:tcW w:w="1713" w:type="dxa"/>
            <w:vAlign w:val="center"/>
          </w:tcPr>
          <w:p w14:paraId="01E20FB9">
            <w:pPr>
              <w:spacing w:line="360" w:lineRule="auto"/>
              <w:jc w:val="center"/>
              <w:rPr>
                <w:rFonts w:hint="eastAsia" w:ascii="宋体" w:hAnsi="宋体" w:cs="宋体"/>
                <w:sz w:val="24"/>
              </w:rPr>
            </w:pPr>
          </w:p>
        </w:tc>
        <w:tc>
          <w:tcPr>
            <w:tcW w:w="2150" w:type="dxa"/>
            <w:vAlign w:val="center"/>
          </w:tcPr>
          <w:p w14:paraId="5881DDA9">
            <w:pPr>
              <w:spacing w:line="360" w:lineRule="auto"/>
              <w:jc w:val="center"/>
              <w:rPr>
                <w:rFonts w:hint="eastAsia" w:ascii="宋体" w:hAnsi="宋体" w:cs="宋体"/>
                <w:sz w:val="24"/>
              </w:rPr>
            </w:pPr>
          </w:p>
        </w:tc>
      </w:tr>
      <w:tr w14:paraId="03048D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8" w:hRule="exact"/>
        </w:trPr>
        <w:tc>
          <w:tcPr>
            <w:tcW w:w="823" w:type="dxa"/>
            <w:vAlign w:val="center"/>
          </w:tcPr>
          <w:p w14:paraId="63154C3B">
            <w:pPr>
              <w:spacing w:line="360" w:lineRule="auto"/>
              <w:jc w:val="center"/>
              <w:rPr>
                <w:rFonts w:hint="eastAsia" w:ascii="宋体" w:hAnsi="宋体" w:cs="宋体"/>
                <w:sz w:val="24"/>
              </w:rPr>
            </w:pPr>
          </w:p>
        </w:tc>
        <w:tc>
          <w:tcPr>
            <w:tcW w:w="918" w:type="dxa"/>
            <w:vAlign w:val="center"/>
          </w:tcPr>
          <w:p w14:paraId="431A54D7">
            <w:pPr>
              <w:spacing w:line="360" w:lineRule="auto"/>
              <w:jc w:val="center"/>
              <w:rPr>
                <w:rFonts w:hint="eastAsia" w:ascii="宋体" w:hAnsi="宋体" w:cs="宋体"/>
                <w:sz w:val="24"/>
              </w:rPr>
            </w:pPr>
          </w:p>
        </w:tc>
        <w:tc>
          <w:tcPr>
            <w:tcW w:w="918" w:type="dxa"/>
            <w:vAlign w:val="center"/>
          </w:tcPr>
          <w:p w14:paraId="64359B0A">
            <w:pPr>
              <w:spacing w:line="360" w:lineRule="auto"/>
              <w:jc w:val="center"/>
              <w:rPr>
                <w:rFonts w:hint="eastAsia" w:ascii="宋体" w:hAnsi="宋体" w:cs="宋体"/>
                <w:sz w:val="24"/>
              </w:rPr>
            </w:pPr>
          </w:p>
        </w:tc>
        <w:tc>
          <w:tcPr>
            <w:tcW w:w="1497" w:type="dxa"/>
            <w:vAlign w:val="center"/>
          </w:tcPr>
          <w:p w14:paraId="7789ADCA">
            <w:pPr>
              <w:spacing w:line="360" w:lineRule="auto"/>
              <w:jc w:val="center"/>
              <w:rPr>
                <w:rFonts w:hint="eastAsia" w:ascii="宋体" w:hAnsi="宋体" w:cs="宋体"/>
                <w:sz w:val="24"/>
              </w:rPr>
            </w:pPr>
          </w:p>
        </w:tc>
        <w:tc>
          <w:tcPr>
            <w:tcW w:w="1387" w:type="dxa"/>
            <w:vAlign w:val="center"/>
          </w:tcPr>
          <w:p w14:paraId="77DD1272">
            <w:pPr>
              <w:spacing w:line="360" w:lineRule="auto"/>
              <w:jc w:val="center"/>
              <w:rPr>
                <w:rFonts w:hint="eastAsia" w:ascii="宋体" w:hAnsi="宋体" w:cs="宋体"/>
                <w:sz w:val="24"/>
              </w:rPr>
            </w:pPr>
          </w:p>
        </w:tc>
        <w:tc>
          <w:tcPr>
            <w:tcW w:w="1713" w:type="dxa"/>
            <w:vAlign w:val="center"/>
          </w:tcPr>
          <w:p w14:paraId="77198730">
            <w:pPr>
              <w:spacing w:line="360" w:lineRule="auto"/>
              <w:jc w:val="center"/>
              <w:rPr>
                <w:rFonts w:hint="eastAsia" w:ascii="宋体" w:hAnsi="宋体" w:cs="宋体"/>
                <w:sz w:val="24"/>
              </w:rPr>
            </w:pPr>
          </w:p>
        </w:tc>
        <w:tc>
          <w:tcPr>
            <w:tcW w:w="2150" w:type="dxa"/>
            <w:vAlign w:val="center"/>
          </w:tcPr>
          <w:p w14:paraId="29642C4F">
            <w:pPr>
              <w:spacing w:line="360" w:lineRule="auto"/>
              <w:jc w:val="center"/>
              <w:rPr>
                <w:rFonts w:hint="eastAsia" w:ascii="宋体" w:hAnsi="宋体" w:cs="宋体"/>
                <w:sz w:val="24"/>
              </w:rPr>
            </w:pPr>
          </w:p>
        </w:tc>
      </w:tr>
      <w:tr w14:paraId="63F053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8" w:hRule="exact"/>
        </w:trPr>
        <w:tc>
          <w:tcPr>
            <w:tcW w:w="823" w:type="dxa"/>
            <w:vAlign w:val="center"/>
          </w:tcPr>
          <w:p w14:paraId="60B5F158">
            <w:pPr>
              <w:spacing w:line="360" w:lineRule="auto"/>
              <w:jc w:val="center"/>
              <w:rPr>
                <w:rFonts w:hint="eastAsia" w:ascii="宋体" w:hAnsi="宋体" w:cs="宋体"/>
                <w:sz w:val="24"/>
              </w:rPr>
            </w:pPr>
          </w:p>
        </w:tc>
        <w:tc>
          <w:tcPr>
            <w:tcW w:w="918" w:type="dxa"/>
            <w:vAlign w:val="center"/>
          </w:tcPr>
          <w:p w14:paraId="3EF8A87E">
            <w:pPr>
              <w:spacing w:line="360" w:lineRule="auto"/>
              <w:jc w:val="center"/>
              <w:rPr>
                <w:rFonts w:hint="eastAsia" w:ascii="宋体" w:hAnsi="宋体" w:cs="宋体"/>
                <w:sz w:val="24"/>
              </w:rPr>
            </w:pPr>
          </w:p>
        </w:tc>
        <w:tc>
          <w:tcPr>
            <w:tcW w:w="918" w:type="dxa"/>
            <w:vAlign w:val="center"/>
          </w:tcPr>
          <w:p w14:paraId="6464CD5A">
            <w:pPr>
              <w:spacing w:line="360" w:lineRule="auto"/>
              <w:jc w:val="center"/>
              <w:rPr>
                <w:rFonts w:hint="eastAsia" w:ascii="宋体" w:hAnsi="宋体" w:cs="宋体"/>
                <w:sz w:val="24"/>
              </w:rPr>
            </w:pPr>
          </w:p>
        </w:tc>
        <w:tc>
          <w:tcPr>
            <w:tcW w:w="1497" w:type="dxa"/>
            <w:vAlign w:val="center"/>
          </w:tcPr>
          <w:p w14:paraId="0A26DEE6">
            <w:pPr>
              <w:spacing w:line="360" w:lineRule="auto"/>
              <w:jc w:val="center"/>
              <w:rPr>
                <w:rFonts w:hint="eastAsia" w:ascii="宋体" w:hAnsi="宋体" w:cs="宋体"/>
                <w:sz w:val="24"/>
              </w:rPr>
            </w:pPr>
          </w:p>
        </w:tc>
        <w:tc>
          <w:tcPr>
            <w:tcW w:w="1387" w:type="dxa"/>
            <w:vAlign w:val="center"/>
          </w:tcPr>
          <w:p w14:paraId="1041D1EF">
            <w:pPr>
              <w:spacing w:line="360" w:lineRule="auto"/>
              <w:jc w:val="center"/>
              <w:rPr>
                <w:rFonts w:hint="eastAsia" w:ascii="宋体" w:hAnsi="宋体" w:cs="宋体"/>
                <w:sz w:val="24"/>
              </w:rPr>
            </w:pPr>
          </w:p>
        </w:tc>
        <w:tc>
          <w:tcPr>
            <w:tcW w:w="1713" w:type="dxa"/>
            <w:vAlign w:val="center"/>
          </w:tcPr>
          <w:p w14:paraId="481F7007">
            <w:pPr>
              <w:spacing w:line="360" w:lineRule="auto"/>
              <w:jc w:val="center"/>
              <w:rPr>
                <w:rFonts w:hint="eastAsia" w:ascii="宋体" w:hAnsi="宋体" w:cs="宋体"/>
                <w:sz w:val="24"/>
              </w:rPr>
            </w:pPr>
          </w:p>
        </w:tc>
        <w:tc>
          <w:tcPr>
            <w:tcW w:w="2150" w:type="dxa"/>
            <w:vAlign w:val="center"/>
          </w:tcPr>
          <w:p w14:paraId="79198AD7">
            <w:pPr>
              <w:spacing w:line="360" w:lineRule="auto"/>
              <w:jc w:val="center"/>
              <w:rPr>
                <w:rFonts w:hint="eastAsia" w:ascii="宋体" w:hAnsi="宋体" w:cs="宋体"/>
                <w:sz w:val="24"/>
              </w:rPr>
            </w:pPr>
          </w:p>
        </w:tc>
      </w:tr>
    </w:tbl>
    <w:p w14:paraId="15B446A9">
      <w:pPr>
        <w:snapToGrid w:val="0"/>
        <w:spacing w:line="440" w:lineRule="exact"/>
        <w:jc w:val="left"/>
        <w:rPr>
          <w:rFonts w:hint="eastAsia" w:ascii="宋体" w:hAnsi="宋体" w:cs="宋体"/>
          <w:sz w:val="24"/>
        </w:rPr>
      </w:pPr>
      <w:r>
        <w:rPr>
          <w:rFonts w:hint="eastAsia" w:ascii="宋体" w:hAnsi="宋体" w:cs="宋体"/>
          <w:sz w:val="24"/>
        </w:rPr>
        <w:t xml:space="preserve">注：1、在填写时，如本表格不适合投标人的实际情况，可根据本表格式自行划表填写。 </w:t>
      </w:r>
    </w:p>
    <w:p w14:paraId="40077C4A">
      <w:pPr>
        <w:snapToGrid w:val="0"/>
        <w:spacing w:line="440" w:lineRule="exact"/>
        <w:ind w:firstLine="480" w:firstLineChars="200"/>
        <w:jc w:val="left"/>
        <w:rPr>
          <w:rFonts w:hint="eastAsia" w:ascii="宋体" w:hAnsi="宋体" w:cs="宋体"/>
          <w:sz w:val="24"/>
        </w:rPr>
      </w:pPr>
      <w:r>
        <w:rPr>
          <w:rFonts w:hint="eastAsia" w:ascii="宋体" w:hAnsi="宋体" w:cs="宋体"/>
          <w:sz w:val="24"/>
        </w:rPr>
        <w:t>2、本表结合“第三章 评标办法及评分标准”中相关人员要求，后附人员证书等证明材料复印件。</w:t>
      </w:r>
    </w:p>
    <w:p w14:paraId="7A37F3E1">
      <w:pPr>
        <w:pStyle w:val="132"/>
        <w:snapToGrid w:val="0"/>
        <w:spacing w:line="440" w:lineRule="exact"/>
        <w:rPr>
          <w:rFonts w:hint="eastAsia" w:ascii="宋体" w:hAnsi="宋体" w:cs="宋体"/>
          <w:szCs w:val="24"/>
        </w:rPr>
      </w:pPr>
    </w:p>
    <w:p w14:paraId="4F93E624">
      <w:pPr>
        <w:pStyle w:val="132"/>
        <w:snapToGrid w:val="0"/>
        <w:spacing w:line="440" w:lineRule="exact"/>
        <w:rPr>
          <w:rFonts w:hint="eastAsia" w:ascii="宋体" w:hAnsi="宋体" w:cs="宋体"/>
          <w:szCs w:val="24"/>
        </w:rPr>
      </w:pPr>
      <w:r>
        <w:rPr>
          <w:rFonts w:hint="eastAsia" w:ascii="宋体" w:hAnsi="宋体" w:cs="宋体"/>
          <w:szCs w:val="24"/>
        </w:rPr>
        <w:t>投标人全称（盖章）：</w:t>
      </w:r>
      <w:r>
        <w:rPr>
          <w:rFonts w:hint="eastAsia" w:ascii="宋体" w:hAnsi="宋体" w:cs="宋体"/>
          <w:szCs w:val="24"/>
          <w:u w:val="single"/>
        </w:rPr>
        <w:t xml:space="preserve">                      </w:t>
      </w:r>
    </w:p>
    <w:p w14:paraId="77F0C007">
      <w:pPr>
        <w:snapToGrid w:val="0"/>
        <w:spacing w:line="440" w:lineRule="exact"/>
        <w:ind w:right="600"/>
        <w:rPr>
          <w:rFonts w:hint="eastAsia" w:ascii="宋体" w:hAnsi="宋体" w:cs="宋体"/>
          <w:sz w:val="24"/>
        </w:rPr>
      </w:pPr>
    </w:p>
    <w:p w14:paraId="6A03BB49">
      <w:pPr>
        <w:snapToGrid w:val="0"/>
        <w:spacing w:line="440" w:lineRule="exact"/>
        <w:ind w:right="600"/>
        <w:rPr>
          <w:rFonts w:hint="eastAsia" w:ascii="宋体" w:hAnsi="宋体" w:cs="宋体"/>
          <w:sz w:val="24"/>
          <w:u w:val="single"/>
        </w:rPr>
      </w:pPr>
      <w:r>
        <w:rPr>
          <w:rFonts w:hint="eastAsia" w:ascii="宋体" w:hAnsi="宋体" w:cs="宋体"/>
          <w:sz w:val="24"/>
        </w:rPr>
        <w:t>投标日期：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C34CB58">
      <w:pPr>
        <w:spacing w:line="580" w:lineRule="exact"/>
        <w:rPr>
          <w:rFonts w:hint="eastAsia" w:asciiTheme="minorEastAsia" w:hAnsiTheme="minorEastAsia" w:eastAsiaTheme="minorEastAsia"/>
          <w:sz w:val="24"/>
        </w:rPr>
      </w:pPr>
      <w:r>
        <w:rPr>
          <w:rFonts w:hint="eastAsia" w:ascii="宋体" w:hAnsi="宋体"/>
          <w:b/>
          <w:spacing w:val="20"/>
          <w:position w:val="2"/>
          <w:sz w:val="24"/>
        </w:rPr>
        <w:br w:type="page"/>
      </w:r>
    </w:p>
    <w:p w14:paraId="0069B10F">
      <w:pPr>
        <w:spacing w:line="360" w:lineRule="auto"/>
        <w:ind w:firstLine="643" w:firstLineChars="200"/>
        <w:rPr>
          <w:rFonts w:hint="eastAsia" w:ascii="宋体" w:hAnsi="宋体" w:cs="宋体"/>
          <w:b/>
          <w:bCs/>
          <w:sz w:val="32"/>
          <w:szCs w:val="32"/>
        </w:rPr>
      </w:pPr>
      <w:r>
        <w:rPr>
          <w:rFonts w:hint="eastAsia" w:ascii="宋体" w:hAnsi="宋体" w:cs="宋体"/>
          <w:b/>
          <w:bCs/>
          <w:sz w:val="32"/>
          <w:szCs w:val="32"/>
        </w:rPr>
        <w:t>3.报价文件目录</w:t>
      </w:r>
    </w:p>
    <w:p w14:paraId="71BA47DD">
      <w:pPr>
        <w:spacing w:line="360" w:lineRule="auto"/>
        <w:ind w:firstLine="480" w:firstLineChars="200"/>
        <w:rPr>
          <w:rFonts w:hint="eastAsia" w:ascii="宋体" w:hAnsi="宋体"/>
          <w:sz w:val="24"/>
        </w:rPr>
      </w:pPr>
      <w:r>
        <w:rPr>
          <w:rFonts w:hint="eastAsia" w:ascii="宋体" w:hAnsi="宋体"/>
          <w:sz w:val="24"/>
        </w:rPr>
        <w:t>（1）开标一览表（格式见附件）</w:t>
      </w:r>
    </w:p>
    <w:p w14:paraId="388A81C4">
      <w:pPr>
        <w:spacing w:line="360" w:lineRule="auto"/>
        <w:ind w:firstLine="480" w:firstLineChars="200"/>
        <w:rPr>
          <w:rFonts w:hint="eastAsia" w:asciiTheme="minorEastAsia" w:hAnsiTheme="minorEastAsia" w:eastAsiaTheme="minorEastAsia"/>
          <w:b/>
          <w:sz w:val="24"/>
        </w:rPr>
        <w:sectPr>
          <w:pgSz w:w="11906" w:h="16838"/>
          <w:pgMar w:top="1440" w:right="1440" w:bottom="1440" w:left="1440" w:header="851" w:footer="992" w:gutter="0"/>
          <w:pgNumType w:fmt="decimal"/>
          <w:cols w:space="720" w:num="1"/>
          <w:titlePg/>
          <w:docGrid w:linePitch="312" w:charSpace="0"/>
        </w:sectPr>
      </w:pPr>
      <w:r>
        <w:rPr>
          <w:rFonts w:hint="eastAsia" w:ascii="宋体" w:hAnsi="宋体"/>
          <w:sz w:val="24"/>
        </w:rPr>
        <w:t>（2）投标人需要说明的其他文件和说明（格式略）</w:t>
      </w:r>
    </w:p>
    <w:p w14:paraId="1E3D9DC1">
      <w:pPr>
        <w:snapToGrid w:val="0"/>
        <w:spacing w:before="156" w:after="50" w:line="460" w:lineRule="exact"/>
        <w:jc w:val="center"/>
        <w:rPr>
          <w:rFonts w:hint="eastAsia" w:ascii="宋体" w:hAnsi="宋体" w:cs="宋体"/>
          <w:b/>
          <w:sz w:val="32"/>
        </w:rPr>
      </w:pPr>
      <w:r>
        <w:rPr>
          <w:rFonts w:hint="eastAsia" w:ascii="宋体" w:hAnsi="宋体" w:cs="宋体"/>
          <w:b/>
          <w:sz w:val="32"/>
          <w:szCs w:val="32"/>
        </w:rPr>
        <w:t>报价</w:t>
      </w:r>
      <w:r>
        <w:rPr>
          <w:rFonts w:hint="eastAsia" w:ascii="宋体" w:hAnsi="宋体" w:cs="宋体"/>
          <w:b/>
          <w:sz w:val="32"/>
        </w:rPr>
        <w:t>一览表</w:t>
      </w:r>
    </w:p>
    <w:p w14:paraId="3CD9BFE4">
      <w:pPr>
        <w:pStyle w:val="7"/>
        <w:keepNext w:val="0"/>
        <w:keepLines w:val="0"/>
        <w:tabs>
          <w:tab w:val="left" w:pos="1008"/>
        </w:tabs>
        <w:spacing w:before="0" w:after="0" w:line="480" w:lineRule="auto"/>
        <w:ind w:left="1009" w:hanging="1009"/>
        <w:rPr>
          <w:rFonts w:hint="eastAsia" w:ascii="宋体" w:hAnsi="宋体" w:cs="宋体"/>
          <w:b w:val="0"/>
          <w:bCs w:val="0"/>
          <w:szCs w:val="24"/>
          <w:u w:val="single"/>
        </w:rPr>
      </w:pPr>
      <w:r>
        <w:rPr>
          <w:rFonts w:hint="eastAsia" w:ascii="宋体" w:hAnsi="宋体" w:cs="宋体"/>
          <w:b w:val="0"/>
          <w:bCs w:val="0"/>
          <w:szCs w:val="24"/>
        </w:rPr>
        <w:t>项目名称：</w:t>
      </w:r>
      <w:r>
        <w:rPr>
          <w:rFonts w:hint="eastAsia" w:ascii="宋体" w:hAnsi="宋体" w:cs="宋体"/>
          <w:b w:val="0"/>
          <w:bCs w:val="0"/>
          <w:szCs w:val="24"/>
          <w:u w:val="single"/>
        </w:rPr>
        <w:t xml:space="preserve">                          </w:t>
      </w:r>
    </w:p>
    <w:p w14:paraId="08A37250">
      <w:pPr>
        <w:spacing w:line="480" w:lineRule="auto"/>
        <w:rPr>
          <w:rFonts w:hint="eastAsia"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tbl>
      <w:tblPr>
        <w:tblStyle w:val="35"/>
        <w:tblW w:w="867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40"/>
        <w:gridCol w:w="4769"/>
        <w:gridCol w:w="2762"/>
      </w:tblGrid>
      <w:tr w14:paraId="6870DB4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97" w:hRule="atLeast"/>
          <w:tblHeader/>
          <w:jc w:val="center"/>
        </w:trPr>
        <w:tc>
          <w:tcPr>
            <w:tcW w:w="1140" w:type="dxa"/>
            <w:tcBorders>
              <w:top w:val="single" w:color="000000" w:sz="4" w:space="0"/>
              <w:left w:val="single" w:color="000000" w:sz="4" w:space="0"/>
              <w:bottom w:val="single" w:color="000000" w:sz="6" w:space="0"/>
              <w:right w:val="single" w:color="000000" w:sz="4" w:space="0"/>
            </w:tcBorders>
            <w:vAlign w:val="center"/>
          </w:tcPr>
          <w:p w14:paraId="01650A6F">
            <w:pPr>
              <w:spacing w:before="156" w:after="156" w:line="480" w:lineRule="exact"/>
              <w:ind w:left="105" w:leftChars="50" w:right="105"/>
              <w:jc w:val="center"/>
              <w:rPr>
                <w:rStyle w:val="58"/>
                <w:rFonts w:hint="eastAsia" w:ascii="宋体" w:hAnsi="宋体" w:cs="宋体"/>
                <w:bCs/>
                <w:color w:val="000000"/>
                <w:spacing w:val="20"/>
                <w:position w:val="2"/>
                <w:lang w:val="en-GB"/>
              </w:rPr>
            </w:pPr>
            <w:r>
              <w:rPr>
                <w:rStyle w:val="58"/>
                <w:rFonts w:hint="eastAsia" w:ascii="宋体" w:hAnsi="宋体" w:cs="宋体"/>
                <w:bCs/>
                <w:color w:val="000000"/>
                <w:spacing w:val="20"/>
                <w:position w:val="2"/>
                <w:lang w:val="en-GB"/>
              </w:rPr>
              <w:t>序号</w:t>
            </w:r>
          </w:p>
        </w:tc>
        <w:tc>
          <w:tcPr>
            <w:tcW w:w="4769" w:type="dxa"/>
            <w:tcBorders>
              <w:top w:val="single" w:color="000000" w:sz="4" w:space="0"/>
              <w:left w:val="single" w:color="000000" w:sz="4" w:space="0"/>
              <w:bottom w:val="single" w:color="000000" w:sz="6" w:space="0"/>
              <w:right w:val="single" w:color="000000" w:sz="4" w:space="0"/>
            </w:tcBorders>
            <w:vAlign w:val="center"/>
          </w:tcPr>
          <w:p w14:paraId="1C4DED9D">
            <w:pPr>
              <w:spacing w:before="156" w:after="156" w:line="480" w:lineRule="exact"/>
              <w:ind w:left="105" w:leftChars="50" w:right="105"/>
              <w:jc w:val="center"/>
              <w:rPr>
                <w:rStyle w:val="58"/>
                <w:rFonts w:hint="eastAsia" w:ascii="宋体" w:hAnsi="宋体" w:cs="宋体"/>
                <w:color w:val="000000"/>
              </w:rPr>
            </w:pPr>
            <w:r>
              <w:rPr>
                <w:rStyle w:val="58"/>
                <w:rFonts w:hint="eastAsia" w:ascii="宋体" w:hAnsi="宋体" w:cs="宋体"/>
                <w:color w:val="000000"/>
                <w:lang w:val="en-GB"/>
              </w:rPr>
              <w:t>项目</w:t>
            </w:r>
            <w:r>
              <w:rPr>
                <w:rStyle w:val="58"/>
                <w:rFonts w:hint="eastAsia" w:ascii="宋体" w:hAnsi="宋体" w:cs="宋体"/>
                <w:color w:val="000000"/>
              </w:rPr>
              <w:t>内容</w:t>
            </w:r>
          </w:p>
        </w:tc>
        <w:tc>
          <w:tcPr>
            <w:tcW w:w="2762" w:type="dxa"/>
            <w:tcBorders>
              <w:top w:val="single" w:color="000000" w:sz="4" w:space="0"/>
              <w:left w:val="single" w:color="000000" w:sz="4" w:space="0"/>
              <w:bottom w:val="single" w:color="000000" w:sz="6" w:space="0"/>
              <w:right w:val="single" w:color="000000" w:sz="4" w:space="0"/>
            </w:tcBorders>
            <w:vAlign w:val="center"/>
          </w:tcPr>
          <w:p w14:paraId="74A156BB">
            <w:pPr>
              <w:spacing w:before="156" w:after="156" w:line="480" w:lineRule="exact"/>
              <w:ind w:left="105" w:leftChars="50" w:right="105"/>
              <w:jc w:val="center"/>
              <w:rPr>
                <w:rStyle w:val="58"/>
                <w:rFonts w:hint="eastAsia" w:ascii="宋体" w:hAnsi="宋体" w:cs="宋体"/>
                <w:color w:val="000000"/>
                <w:lang w:val="en-GB"/>
              </w:rPr>
            </w:pPr>
            <w:r>
              <w:rPr>
                <w:rStyle w:val="58"/>
                <w:rFonts w:hint="eastAsia" w:ascii="宋体" w:hAnsi="宋体" w:cs="宋体"/>
                <w:color w:val="000000"/>
                <w:lang w:val="en-GB"/>
              </w:rPr>
              <w:t>承销费率</w:t>
            </w:r>
          </w:p>
          <w:p w14:paraId="6C894033">
            <w:pPr>
              <w:pStyle w:val="187"/>
              <w:jc w:val="center"/>
              <w:rPr>
                <w:rStyle w:val="58"/>
                <w:rFonts w:hint="eastAsia" w:ascii="宋体" w:hAnsi="宋体" w:cs="宋体"/>
                <w:color w:val="000000"/>
                <w:szCs w:val="24"/>
                <w:lang w:val="en-GB"/>
              </w:rPr>
            </w:pPr>
          </w:p>
        </w:tc>
      </w:tr>
      <w:tr w14:paraId="0D8898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392" w:hRule="atLeast"/>
          <w:jc w:val="center"/>
        </w:trPr>
        <w:tc>
          <w:tcPr>
            <w:tcW w:w="1140" w:type="dxa"/>
            <w:tcBorders>
              <w:top w:val="single" w:color="000000" w:sz="6" w:space="0"/>
              <w:left w:val="single" w:color="000000" w:sz="4" w:space="0"/>
              <w:bottom w:val="single" w:color="000000" w:sz="6" w:space="0"/>
              <w:right w:val="single" w:color="000000" w:sz="4" w:space="0"/>
            </w:tcBorders>
            <w:vAlign w:val="center"/>
          </w:tcPr>
          <w:p w14:paraId="4C997BFA">
            <w:pPr>
              <w:spacing w:before="156" w:after="156" w:line="480" w:lineRule="exact"/>
              <w:ind w:left="105" w:leftChars="50" w:right="105"/>
              <w:jc w:val="center"/>
              <w:rPr>
                <w:rStyle w:val="58"/>
                <w:rFonts w:hint="eastAsia" w:ascii="宋体" w:hAnsi="宋体" w:cs="宋体"/>
                <w:bCs/>
                <w:color w:val="000000"/>
                <w:spacing w:val="20"/>
                <w:position w:val="2"/>
              </w:rPr>
            </w:pPr>
            <w:r>
              <w:rPr>
                <w:rStyle w:val="58"/>
                <w:rFonts w:hint="eastAsia" w:ascii="宋体" w:hAnsi="宋体" w:cs="宋体"/>
                <w:bCs/>
                <w:color w:val="000000"/>
                <w:spacing w:val="20"/>
                <w:position w:val="2"/>
              </w:rPr>
              <w:t>1</w:t>
            </w:r>
          </w:p>
        </w:tc>
        <w:tc>
          <w:tcPr>
            <w:tcW w:w="4769" w:type="dxa"/>
            <w:tcBorders>
              <w:top w:val="single" w:color="000000" w:sz="6" w:space="0"/>
              <w:left w:val="single" w:color="000000" w:sz="4" w:space="0"/>
              <w:bottom w:val="single" w:color="000000" w:sz="6" w:space="0"/>
              <w:right w:val="single" w:color="000000" w:sz="4" w:space="0"/>
            </w:tcBorders>
            <w:vAlign w:val="center"/>
          </w:tcPr>
          <w:p w14:paraId="3735F459">
            <w:pPr>
              <w:spacing w:before="156" w:after="156" w:line="480" w:lineRule="exact"/>
              <w:ind w:left="105" w:leftChars="50" w:right="105"/>
              <w:jc w:val="center"/>
              <w:rPr>
                <w:rStyle w:val="58"/>
                <w:rFonts w:hint="eastAsia" w:ascii="宋体" w:hAnsi="宋体" w:eastAsia="宋体" w:cs="宋体"/>
                <w:bCs/>
                <w:color w:val="000000"/>
                <w:spacing w:val="20"/>
                <w:position w:val="2"/>
                <w:lang w:eastAsia="zh-CN"/>
              </w:rPr>
            </w:pPr>
            <w:r>
              <w:rPr>
                <w:rFonts w:hint="eastAsia" w:ascii="宋体" w:hAnsi="宋体" w:cs="宋体"/>
                <w:sz w:val="24"/>
                <w:lang w:eastAsia="zh-CN"/>
              </w:rPr>
              <w:t>桐庐县国有资本投资运营控股集团有限公司2025年申报非公开发行公司债券承销商服务采购项目</w:t>
            </w:r>
          </w:p>
        </w:tc>
        <w:tc>
          <w:tcPr>
            <w:tcW w:w="2762" w:type="dxa"/>
            <w:tcBorders>
              <w:top w:val="single" w:color="000000" w:sz="6" w:space="0"/>
              <w:left w:val="single" w:color="000000" w:sz="4" w:space="0"/>
              <w:bottom w:val="single" w:color="000000" w:sz="6" w:space="0"/>
              <w:right w:val="single" w:color="000000" w:sz="4" w:space="0"/>
            </w:tcBorders>
            <w:vAlign w:val="center"/>
          </w:tcPr>
          <w:p w14:paraId="2BEBBB99">
            <w:pPr>
              <w:spacing w:before="156" w:after="156" w:line="480" w:lineRule="exact"/>
              <w:ind w:left="105" w:leftChars="50" w:right="105"/>
              <w:jc w:val="center"/>
              <w:rPr>
                <w:rStyle w:val="58"/>
                <w:rFonts w:hint="eastAsia" w:ascii="宋体" w:hAnsi="宋体" w:cs="宋体"/>
                <w:bCs/>
                <w:color w:val="000000"/>
                <w:spacing w:val="20"/>
                <w:position w:val="2"/>
                <w:u w:val="single" w:color="000000"/>
              </w:rPr>
            </w:pPr>
            <w:r>
              <w:rPr>
                <w:rStyle w:val="58"/>
                <w:rFonts w:hint="eastAsia" w:ascii="宋体" w:hAnsi="宋体" w:cs="宋体"/>
                <w:bCs/>
                <w:color w:val="000000"/>
                <w:spacing w:val="20"/>
                <w:position w:val="2"/>
                <w:u w:val="single"/>
              </w:rPr>
              <w:t xml:space="preserve">    </w:t>
            </w:r>
            <w:r>
              <w:rPr>
                <w:rStyle w:val="58"/>
                <w:rFonts w:hint="eastAsia" w:ascii="宋体" w:hAnsi="宋体" w:cs="宋体"/>
                <w:bCs/>
                <w:color w:val="000000"/>
                <w:spacing w:val="20"/>
                <w:position w:val="2"/>
                <w:lang w:val="en-GB"/>
              </w:rPr>
              <w:t>%</w:t>
            </w:r>
            <w:r>
              <w:rPr>
                <w:rStyle w:val="58"/>
                <w:rFonts w:hint="eastAsia" w:ascii="宋体" w:hAnsi="宋体" w:cs="宋体"/>
                <w:bCs/>
                <w:color w:val="000000"/>
                <w:spacing w:val="20"/>
                <w:position w:val="2"/>
              </w:rPr>
              <w:t>/年</w:t>
            </w:r>
          </w:p>
        </w:tc>
      </w:tr>
    </w:tbl>
    <w:p w14:paraId="4C3EF348">
      <w:pPr>
        <w:spacing w:line="480" w:lineRule="auto"/>
        <w:rPr>
          <w:rFonts w:hint="eastAsia" w:ascii="宋体" w:hAnsi="宋体" w:cs="宋体"/>
          <w:lang w:val="zh-CN"/>
        </w:rPr>
      </w:pPr>
    </w:p>
    <w:p w14:paraId="2607FDF4">
      <w:pPr>
        <w:spacing w:line="480" w:lineRule="auto"/>
        <w:rPr>
          <w:rFonts w:hint="eastAsia" w:ascii="宋体" w:hAnsi="宋体" w:cs="宋体"/>
          <w:lang w:val="zh-CN"/>
        </w:rPr>
      </w:pPr>
      <w:r>
        <w:rPr>
          <w:rFonts w:hint="eastAsia" w:ascii="宋体" w:hAnsi="宋体" w:cs="宋体"/>
          <w:lang w:val="zh-CN"/>
        </w:rPr>
        <w:t xml:space="preserve">注： </w:t>
      </w:r>
    </w:p>
    <w:p w14:paraId="1BA64997">
      <w:pPr>
        <w:spacing w:line="48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kern w:val="0"/>
          <w:sz w:val="24"/>
          <w:lang w:val="zh-CN"/>
        </w:rPr>
        <w:t>投标人需按本表格式填写，不得自行更改，</w:t>
      </w:r>
      <w:r>
        <w:rPr>
          <w:rFonts w:hint="eastAsia" w:ascii="宋体" w:hAnsi="宋体" w:cs="宋体"/>
          <w:sz w:val="24"/>
        </w:rPr>
        <w:t>投标报价以人民币为结算币种。</w:t>
      </w:r>
    </w:p>
    <w:p w14:paraId="5561F86D">
      <w:pPr>
        <w:spacing w:line="480" w:lineRule="auto"/>
        <w:ind w:firstLine="482" w:firstLineChars="200"/>
        <w:rPr>
          <w:rFonts w:hint="eastAsia" w:ascii="宋体" w:hAnsi="宋体" w:cs="宋体"/>
          <w:b/>
          <w:bCs/>
          <w:sz w:val="24"/>
        </w:rPr>
      </w:pPr>
      <w:r>
        <w:rPr>
          <w:rFonts w:hint="eastAsia" w:ascii="宋体" w:hAnsi="宋体" w:cs="宋体"/>
          <w:b/>
          <w:bCs/>
          <w:sz w:val="24"/>
        </w:rPr>
        <w:t>2、本项报价包含但不限于人工费、材料费、管理费、利润、税金等完成本项目所需的一切费用，请投标人综合考虑。</w:t>
      </w:r>
    </w:p>
    <w:p w14:paraId="2A844DE2">
      <w:pPr>
        <w:pStyle w:val="132"/>
        <w:snapToGrid w:val="0"/>
        <w:spacing w:line="480" w:lineRule="auto"/>
        <w:ind w:firstLine="472" w:firstLineChars="196"/>
        <w:rPr>
          <w:rFonts w:hint="eastAsia" w:ascii="宋体" w:hAnsi="宋体" w:cs="宋体"/>
          <w:b/>
          <w:szCs w:val="24"/>
        </w:rPr>
      </w:pPr>
      <w:r>
        <w:rPr>
          <w:rFonts w:hint="eastAsia" w:ascii="宋体" w:hAnsi="宋体" w:cs="宋体"/>
          <w:b/>
          <w:szCs w:val="24"/>
        </w:rPr>
        <w:t>▲3、采购单位将以合同形式有偿取得货物或服务，不接受投标人给予的赠品、扣或者与采购无关的其他商品、服务，费用填写（不得出现“0元”、免费赠送等形式的无偿报价），否则投标无效。</w:t>
      </w:r>
    </w:p>
    <w:p w14:paraId="30AC9A3D">
      <w:pPr>
        <w:pStyle w:val="132"/>
        <w:snapToGrid w:val="0"/>
        <w:spacing w:line="480" w:lineRule="auto"/>
        <w:ind w:firstLine="470" w:firstLineChars="196"/>
        <w:rPr>
          <w:rFonts w:hint="eastAsia" w:ascii="宋体" w:hAnsi="宋体" w:cs="宋体"/>
          <w:szCs w:val="24"/>
        </w:rPr>
      </w:pPr>
    </w:p>
    <w:p w14:paraId="68A5E668">
      <w:pPr>
        <w:pStyle w:val="132"/>
        <w:snapToGrid w:val="0"/>
        <w:spacing w:line="480" w:lineRule="auto"/>
        <w:jc w:val="right"/>
        <w:rPr>
          <w:rFonts w:hint="eastAsia" w:ascii="宋体" w:hAnsi="宋体" w:cs="宋体"/>
          <w:szCs w:val="24"/>
        </w:rPr>
      </w:pPr>
      <w:r>
        <w:rPr>
          <w:rFonts w:hint="eastAsia" w:ascii="宋体" w:hAnsi="宋体" w:cs="宋体"/>
          <w:szCs w:val="24"/>
        </w:rPr>
        <w:t>投标人全称（</w:t>
      </w:r>
      <w:r>
        <w:rPr>
          <w:rFonts w:hint="eastAsia" w:ascii="宋体" w:hAnsi="宋体" w:cs="宋体"/>
          <w:kern w:val="0"/>
          <w:lang w:val="zh-CN"/>
        </w:rPr>
        <w:t>电子签章</w:t>
      </w:r>
      <w:r>
        <w:rPr>
          <w:rFonts w:hint="eastAsia" w:ascii="宋体" w:hAnsi="宋体" w:cs="宋体"/>
          <w:szCs w:val="24"/>
        </w:rPr>
        <w:t>）：</w:t>
      </w:r>
      <w:r>
        <w:rPr>
          <w:rFonts w:hint="eastAsia" w:ascii="宋体" w:hAnsi="宋体" w:cs="宋体"/>
          <w:szCs w:val="24"/>
          <w:u w:val="single"/>
        </w:rPr>
        <w:t xml:space="preserve">                      </w:t>
      </w:r>
    </w:p>
    <w:p w14:paraId="3F85123A">
      <w:pPr>
        <w:snapToGrid w:val="0"/>
        <w:spacing w:line="480" w:lineRule="auto"/>
        <w:ind w:right="600"/>
        <w:jc w:val="right"/>
        <w:rPr>
          <w:rFonts w:hint="eastAsia" w:ascii="宋体" w:hAnsi="宋体" w:cs="宋体"/>
        </w:rPr>
      </w:pPr>
      <w:r>
        <w:rPr>
          <w:rFonts w:hint="eastAsia" w:ascii="宋体" w:hAnsi="宋体" w:cs="宋体"/>
          <w:sz w:val="24"/>
        </w:rPr>
        <w:t>法定代表人或授权代表（签名或盖章）：</w:t>
      </w:r>
      <w:r>
        <w:rPr>
          <w:rFonts w:hint="eastAsia" w:ascii="宋体" w:hAnsi="宋体" w:cs="宋体"/>
          <w:u w:val="single"/>
        </w:rPr>
        <w:t xml:space="preserve">         </w:t>
      </w:r>
    </w:p>
    <w:p w14:paraId="6F190ADE">
      <w:pPr>
        <w:spacing w:before="120" w:beforeLines="50" w:after="120" w:afterLines="50" w:line="360" w:lineRule="auto"/>
        <w:ind w:right="105" w:rightChars="50"/>
        <w:jc w:val="right"/>
        <w:rPr>
          <w:rFonts w:hint="eastAsia" w:asciiTheme="minorEastAsia" w:hAnsiTheme="minorEastAsia" w:eastAsiaTheme="minorEastAsia"/>
          <w:b/>
          <w:spacing w:val="20"/>
          <w:position w:val="2"/>
          <w:sz w:val="24"/>
        </w:rPr>
      </w:pPr>
      <w:r>
        <w:rPr>
          <w:rFonts w:hint="eastAsia" w:ascii="宋体" w:hAnsi="宋体" w:cs="宋体"/>
          <w:sz w:val="24"/>
        </w:rPr>
        <w:t>日期：</w:t>
      </w:r>
      <w:r>
        <w:rPr>
          <w:rFonts w:hint="eastAsia" w:ascii="宋体" w:hAnsi="宋体" w:cs="宋体"/>
          <w:sz w:val="24"/>
          <w:u w:val="single"/>
        </w:rPr>
        <w:t xml:space="preserve">       年     月     日</w:t>
      </w:r>
    </w:p>
    <w:sectPr>
      <w:pgSz w:w="11906" w:h="16838"/>
      <w:pgMar w:top="1440" w:right="1440" w:bottom="1440" w:left="1440" w:header="851" w:footer="992" w:gutter="0"/>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8BD00">
    <w:pPr>
      <w:pStyle w:val="2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05326">
                          <w:pPr>
                            <w:pStyle w:val="22"/>
                            <w:jc w:val="center"/>
                          </w:pPr>
                          <w:r>
                            <w:rPr>
                              <w:rFonts w:hint="eastAsia"/>
                            </w:rPr>
                            <w:t>第</w:t>
                          </w:r>
                          <w:r>
                            <w:fldChar w:fldCharType="begin"/>
                          </w:r>
                          <w:r>
                            <w:instrText xml:space="preserve"> PAGE  \* MERGEFORMAT </w:instrText>
                          </w:r>
                          <w:r>
                            <w:fldChar w:fldCharType="separate"/>
                          </w:r>
                          <w:r>
                            <w:t>9</w:t>
                          </w:r>
                          <w:r>
                            <w:fldChar w:fldCharType="end"/>
                          </w:r>
                          <w:r>
                            <w:rPr>
                              <w:rFonts w:hint="eastAsia"/>
                            </w:rPr>
                            <w:t>页共</w:t>
                          </w:r>
                          <w:r>
                            <w:fldChar w:fldCharType="begin"/>
                          </w:r>
                          <w:r>
                            <w:instrText xml:space="preserve"> NUMPAGES  \* MERGEFORMAT </w:instrText>
                          </w:r>
                          <w:r>
                            <w:fldChar w:fldCharType="separate"/>
                          </w:r>
                          <w:r>
                            <w:t>44</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1B05326">
                    <w:pPr>
                      <w:pStyle w:val="22"/>
                      <w:jc w:val="center"/>
                    </w:pPr>
                    <w:r>
                      <w:rPr>
                        <w:rFonts w:hint="eastAsia"/>
                      </w:rPr>
                      <w:t>第</w:t>
                    </w:r>
                    <w:r>
                      <w:fldChar w:fldCharType="begin"/>
                    </w:r>
                    <w:r>
                      <w:instrText xml:space="preserve"> PAGE  \* MERGEFORMAT </w:instrText>
                    </w:r>
                    <w:r>
                      <w:fldChar w:fldCharType="separate"/>
                    </w:r>
                    <w:r>
                      <w:t>9</w:t>
                    </w:r>
                    <w:r>
                      <w:fldChar w:fldCharType="end"/>
                    </w:r>
                    <w:r>
                      <w:rPr>
                        <w:rFonts w:hint="eastAsia"/>
                      </w:rPr>
                      <w:t>页共</w:t>
                    </w:r>
                    <w:r>
                      <w:fldChar w:fldCharType="begin"/>
                    </w:r>
                    <w:r>
                      <w:instrText xml:space="preserve"> NUMPAGES  \* MERGEFORMAT </w:instrText>
                    </w:r>
                    <w:r>
                      <w:fldChar w:fldCharType="separate"/>
                    </w:r>
                    <w:r>
                      <w:t>44</w:t>
                    </w:r>
                    <w:r>
                      <w:fldChar w:fldCharType="end"/>
                    </w:r>
                    <w:r>
                      <w:rPr>
                        <w:rFonts w:hint="eastAsia"/>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F97E">
    <w:pPr>
      <w:pStyle w:val="22"/>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486535" cy="29845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a:effectLst/>
                    </wps:spPr>
                    <wps:txbx>
                      <w:txbxContent>
                        <w:p w14:paraId="418E2362">
                          <w:pPr>
                            <w:pStyle w:val="22"/>
                            <w:spacing w:before="120"/>
                            <w:ind w:right="720" w:firstLine="180" w:firstLineChars="100"/>
                            <w:jc w:val="cente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23.5pt;width:117.05pt;mso-position-horizontal:center;mso-position-horizontal-relative:margin;mso-wrap-style:none;z-index:251663360;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Dz6xrSAAAABAEAAA8AAAAAAAAAAQAgAAAAIgAA&#10;AGRycy9kb3ducmV2LnhtbFBLAQIUABQAAAAIAIdO4kBKIbpA1QEAAKYDAAAOAAAAAAAAAAEAIAAA&#10;ACEBAABkcnMvZTJvRG9jLnhtbFBLBQYAAAAABgAGAFkBAABoBQAAAAA=&#10;">
              <v:fill on="f" focussize="0,0"/>
              <v:stroke on="f"/>
              <v:imagedata o:title=""/>
              <o:lock v:ext="edit" aspectratio="f"/>
              <v:textbox inset="0mm,0mm,0mm,0mm" style="mso-fit-shape-to-text:t;">
                <w:txbxContent>
                  <w:p w14:paraId="418E2362">
                    <w:pPr>
                      <w:pStyle w:val="22"/>
                      <w:spacing w:before="120"/>
                      <w:ind w:right="720" w:firstLine="180" w:firstLineChars="100"/>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524F">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DD158">
    <w:pPr>
      <w:pStyle w:val="2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61632">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CA61632">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FCC93">
    <w:pPr>
      <w:pStyle w:val="15"/>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5D293FE">
                          <w:pPr>
                            <w:pStyle w:val="22"/>
                          </w:pPr>
                          <w:r>
                            <w:fldChar w:fldCharType="begin"/>
                          </w:r>
                          <w:r>
                            <w:instrText xml:space="preserve"> PAGE  \* MERGEFORMAT </w:instrText>
                          </w:r>
                          <w:r>
                            <w:fldChar w:fldCharType="separate"/>
                          </w:r>
                          <w:r>
                            <w:t>11</w:t>
                          </w:r>
                          <w:r>
                            <w:fldChar w:fldCharType="end"/>
                          </w:r>
                        </w:p>
                      </w:txbxContent>
                    </wps:txbx>
                    <wps:bodyPr vert="horz" wrap="none" lIns="0" tIns="0" rIns="0" bIns="0" anchor="t">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PoPelbdAQAAvAMAAA4AAAAAAAAA&#10;AQAgAAAAHgEAAGRycy9lMm9Eb2MueG1sUEsFBgAAAAAGAAYAWQEAAG0FAAAAAA==&#10;">
              <v:fill on="f" focussize="0,0"/>
              <v:stroke on="f"/>
              <v:imagedata o:title=""/>
              <o:lock v:ext="edit" aspectratio="f"/>
              <v:textbox inset="0mm,0mm,0mm,0mm" style="mso-fit-shape-to-text:t;">
                <w:txbxContent>
                  <w:p w14:paraId="65D293FE">
                    <w:pPr>
                      <w:pStyle w:val="2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E347B">
    <w:pPr>
      <w:rPr>
        <w:rFonts w:ascii="仿宋_GB2312" w:eastAsia="仿宋_GB2312"/>
      </w:rPr>
    </w:pPr>
    <w:r>
      <w:rPr>
        <w:rFonts w:ascii="Times New Roma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5EE403F">
                          <w:pPr>
                            <w:pStyle w:val="22"/>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&#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Q/UmTdUBAAClAwAADgAAAAAAAAABACAAAAAf&#10;AQAAZHJzL2Uyb0RvYy54bWxQSwUGAAAAAAYABgBZAQAAZgUAAAAA&#10;">
              <v:fill on="f" focussize="0,0"/>
              <v:stroke on="f" weight="0.5pt"/>
              <v:imagedata o:title=""/>
              <o:lock v:ext="edit" aspectratio="f"/>
              <v:textbox inset="0mm,0mm,0mm,0mm" style="mso-fit-shape-to-text:t;">
                <w:txbxContent>
                  <w:p w14:paraId="25EE403F">
                    <w:pPr>
                      <w:pStyle w:val="2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ABD29">
    <w:pPr>
      <w:rPr>
        <w:rFonts w:ascii="仿宋_GB2312" w:eastAsia="仿宋_GB2312"/>
      </w:rPr>
    </w:pPr>
    <w:r>
      <w:rPr>
        <w:rFonts w:ascii="Times New Roma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B99F58">
                          <w:pPr>
                            <w:pStyle w:val="2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AB99F58">
                    <w:pPr>
                      <w:pStyle w:val="2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DB835">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00685" cy="214630"/>
              <wp:effectExtent l="0" t="0" r="0" b="0"/>
              <wp:wrapNone/>
              <wp:docPr id="2" name="4098"/>
              <wp:cNvGraphicFramePr/>
              <a:graphic xmlns:a="http://schemas.openxmlformats.org/drawingml/2006/main">
                <a:graphicData uri="http://schemas.microsoft.com/office/word/2010/wordprocessingShape">
                  <wps:wsp>
                    <wps:cNvSpPr txBox="1"/>
                    <wps:spPr>
                      <a:xfrm>
                        <a:off x="0" y="0"/>
                        <a:ext cx="400685" cy="214630"/>
                      </a:xfrm>
                      <a:prstGeom prst="rect">
                        <a:avLst/>
                      </a:prstGeom>
                      <a:noFill/>
                      <a:ln w="15875">
                        <a:noFill/>
                      </a:ln>
                    </wps:spPr>
                    <wps:txbx>
                      <w:txbxContent>
                        <w:p w14:paraId="05E76C18">
                          <w:pPr>
                            <w:pStyle w:val="2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6.9pt;width:31.55pt;mso-position-horizontal:center;mso-position-horizontal-relative:margin;mso-wrap-style:none;z-index:251661312;mso-width-relative:page;mso-height-relative:page;" filled="f" stroked="f" coordsize="21600,21600" o:gfxdata="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osjwO1AAAAAMBAAAPAAAAAAAAAAEAIAAAACIAAABkcnMvZG93bnJldi54&#10;bWxQSwECFAAUAAAACACHTuJAKLrmG8UBAACaAwAADgAAAAAAAAABACAAAAAjAQAAZHJzL2Uyb0Rv&#10;Yy54bWxQSwUGAAAAAAYABgBZAQAAWgUAAAAA&#10;">
              <v:fill on="f" focussize="0,0"/>
              <v:stroke on="f" weight="1.25pt"/>
              <v:imagedata o:title=""/>
              <o:lock v:ext="edit" aspectratio="f"/>
              <v:textbox inset="0mm,0mm,0mm,0mm" style="mso-fit-shape-to-text:t;">
                <w:txbxContent>
                  <w:p w14:paraId="05E76C18">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D33D">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214630"/>
              <wp:effectExtent l="0" t="0" r="0" b="0"/>
              <wp:wrapNone/>
              <wp:docPr id="1" name="4099"/>
              <wp:cNvGraphicFramePr/>
              <a:graphic xmlns:a="http://schemas.openxmlformats.org/drawingml/2006/main">
                <a:graphicData uri="http://schemas.microsoft.com/office/word/2010/wordprocessingShape">
                  <wps:wsp>
                    <wps:cNvSpPr txBox="1"/>
                    <wps:spPr>
                      <a:xfrm>
                        <a:off x="0" y="0"/>
                        <a:ext cx="400685" cy="214630"/>
                      </a:xfrm>
                      <a:prstGeom prst="rect">
                        <a:avLst/>
                      </a:prstGeom>
                      <a:noFill/>
                      <a:ln w="15875">
                        <a:noFill/>
                      </a:ln>
                    </wps:spPr>
                    <wps:txbx>
                      <w:txbxContent>
                        <w:p w14:paraId="6C58DC1A">
                          <w:pPr>
                            <w:pStyle w:val="2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4099" o:spid="_x0000_s1026" o:spt="202" type="#_x0000_t202" style="position:absolute;left:0pt;margin-top:0pt;height:16.9pt;width:31.55pt;mso-position-horizontal:center;mso-position-horizontal-relative:margin;mso-wrap-style:none;z-index:251659264;mso-width-relative:page;mso-height-relative:page;" filled="f" stroked="f" coordsize="21600,21600" o:gfxdata="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osjwO1AAAAAMBAAAPAAAAAAAAAAEAIAAAACIAAABkcnMvZG93bnJldi54&#10;bWxQSwECFAAUAAAACACHTuJAGFGe2MUBAACaAwAADgAAAAAAAAABACAAAAAjAQAAZHJzL2Uyb0Rv&#10;Yy54bWxQSwUGAAAAAAYABgBZAQAAWgUAAAAA&#10;">
              <v:fill on="f" focussize="0,0"/>
              <v:stroke on="f" weight="1.25pt"/>
              <v:imagedata o:title=""/>
              <o:lock v:ext="edit" aspectratio="f"/>
              <v:textbox inset="0mm,0mm,0mm,0mm" style="mso-fit-shape-to-text:t;">
                <w:txbxContent>
                  <w:p w14:paraId="6C58DC1A">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A294D">
    <w:pPr>
      <w:pStyle w:val="22"/>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486535" cy="29845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a:effectLst/>
                    </wps:spPr>
                    <wps:txbx>
                      <w:txbxContent>
                        <w:p w14:paraId="3FC89DE3">
                          <w:pPr>
                            <w:pStyle w:val="22"/>
                            <w:spacing w:before="120"/>
                            <w:ind w:right="720" w:firstLine="180" w:firstLineChars="100"/>
                            <w:jc w:val="cente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3.5pt;width:117.05pt;mso-position-horizontal:center;mso-position-horizontal-relative:margin;mso-wrap-style:none;z-index:251662336;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8+sa0gAAAAQBAAAPAAAAAAAAAAEAIAAAACIA&#10;AABkcnMvZG93bnJldi54bWxQSwECFAAUAAAACACHTuJAtNL5OtYBAACmAwAADgAAAAAAAAABACAA&#10;AAAhAQAAZHJzL2Uyb0RvYy54bWxQSwUGAAAAAAYABgBZAQAAaQUAAAAA&#10;">
              <v:fill on="f" focussize="0,0"/>
              <v:stroke on="f"/>
              <v:imagedata o:title=""/>
              <o:lock v:ext="edit" aspectratio="f"/>
              <v:textbox inset="0mm,0mm,0mm,0mm" style="mso-fit-shape-to-text:t;">
                <w:txbxContent>
                  <w:p w14:paraId="3FC89DE3">
                    <w:pPr>
                      <w:pStyle w:val="22"/>
                      <w:spacing w:before="120"/>
                      <w:ind w:right="720" w:firstLine="180" w:firstLineChars="100"/>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8" w:lineRule="auto"/>
      </w:pPr>
      <w:r>
        <w:separator/>
      </w:r>
    </w:p>
  </w:footnote>
  <w:footnote w:type="continuationSeparator" w:id="1">
    <w:p>
      <w:pPr>
        <w:spacing w:line="3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1BBCA">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695BB">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A7402">
    <w:pPr>
      <w:pStyle w:val="24"/>
      <w:pBdr>
        <w:bottom w:val="none" w:color="auto" w:sz="0" w:space="1"/>
      </w:pBdr>
      <w:jc w:val="both"/>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74692">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0B43">
    <w:pP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30412">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D052218D"/>
    <w:multiLevelType w:val="singleLevel"/>
    <w:tmpl w:val="D052218D"/>
    <w:lvl w:ilvl="0" w:tentative="0">
      <w:start w:val="1"/>
      <w:numFmt w:val="decimal"/>
      <w:lvlText w:val="%1."/>
      <w:lvlJc w:val="left"/>
      <w:pPr>
        <w:ind w:left="425" w:hanging="425"/>
      </w:pPr>
      <w:rPr>
        <w:rFonts w:hint="default"/>
      </w:rPr>
    </w:lvl>
  </w:abstractNum>
  <w:abstractNum w:abstractNumId="2">
    <w:nsid w:val="FFFFFF89"/>
    <w:multiLevelType w:val="singleLevel"/>
    <w:tmpl w:val="FFFFFF89"/>
    <w:lvl w:ilvl="0" w:tentative="0">
      <w:start w:val="1"/>
      <w:numFmt w:val="bullet"/>
      <w:pStyle w:val="11"/>
      <w:lvlText w:val="•"/>
      <w:lvlJc w:val="left"/>
      <w:pPr>
        <w:ind w:left="7447" w:hanging="360"/>
      </w:pPr>
      <w:rPr>
        <w:rFonts w:hint="default" w:ascii="Cambria" w:hAnsi="Cambria" w:eastAsia="Cambria"/>
        <w:color w:val="5B9BD5"/>
      </w:rPr>
    </w:lvl>
  </w:abstractNum>
  <w:abstractNum w:abstractNumId="3">
    <w:nsid w:val="00000002"/>
    <w:multiLevelType w:val="multilevel"/>
    <w:tmpl w:val="00000002"/>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03"/>
    <w:multiLevelType w:val="multilevel"/>
    <w:tmpl w:val="00000003"/>
    <w:lvl w:ilvl="0" w:tentative="0">
      <w:start w:val="1"/>
      <w:numFmt w:val="decimal"/>
      <w:pStyle w:val="8"/>
      <w:lvlText w:val="（%1）"/>
      <w:lvlJc w:val="left"/>
      <w:pPr>
        <w:tabs>
          <w:tab w:val="left" w:pos="980"/>
        </w:tabs>
        <w:ind w:left="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7"/>
    <w:multiLevelType w:val="multilevel"/>
    <w:tmpl w:val="00000007"/>
    <w:lvl w:ilvl="0" w:tentative="0">
      <w:start w:val="1"/>
      <w:numFmt w:val="chineseCountingThousand"/>
      <w:pStyle w:val="3"/>
      <w:suff w:val="nothing"/>
      <w:lvlText w:val="%1、"/>
      <w:lvlJc w:val="left"/>
      <w:pPr>
        <w:ind w:left="425" w:hanging="425"/>
      </w:pPr>
      <w:rPr>
        <w:rFonts w:hint="eastAsia"/>
        <w:lang w:val="en-US"/>
      </w:rPr>
    </w:lvl>
    <w:lvl w:ilvl="1" w:tentative="0">
      <w:start w:val="1"/>
      <w:numFmt w:val="chineseCountingThousand"/>
      <w:pStyle w:val="4"/>
      <w:suff w:val="nothing"/>
      <w:lvlText w:val="（%2）"/>
      <w:lvlJc w:val="left"/>
      <w:pPr>
        <w:ind w:left="992" w:hanging="992"/>
      </w:pPr>
      <w:rPr>
        <w:rFonts w:hint="eastAsia"/>
      </w:rPr>
    </w:lvl>
    <w:lvl w:ilvl="2" w:tentative="0">
      <w:start w:val="1"/>
      <w:numFmt w:val="decimal"/>
      <w:pStyle w:val="5"/>
      <w:suff w:val="space"/>
      <w:lvlText w:val="%3."/>
      <w:lvlJc w:val="left"/>
      <w:pPr>
        <w:ind w:left="1418" w:hanging="1418"/>
      </w:pPr>
      <w:rPr>
        <w:rFonts w:hint="eastAsia"/>
      </w:rPr>
    </w:lvl>
    <w:lvl w:ilvl="3" w:tentative="0">
      <w:start w:val="1"/>
      <w:numFmt w:val="decimal"/>
      <w:pStyle w:val="6"/>
      <w:suff w:val="nothing"/>
      <w:lvlText w:val="（%4）"/>
      <w:lvlJc w:val="left"/>
      <w:pPr>
        <w:ind w:left="1984" w:hanging="1984"/>
      </w:pPr>
      <w:rPr>
        <w:rFonts w:hint="eastAsia"/>
      </w:rPr>
    </w:lvl>
    <w:lvl w:ilvl="4" w:tentative="0">
      <w:start w:val="1"/>
      <w:numFmt w:val="decimal"/>
      <w:pStyle w:val="7"/>
      <w:suff w:val="nothing"/>
      <w:lvlText w:val="%5）"/>
      <w:lvlJc w:val="left"/>
      <w:pPr>
        <w:ind w:left="15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0000008"/>
    <w:multiLevelType w:val="singleLevel"/>
    <w:tmpl w:val="00000008"/>
    <w:lvl w:ilvl="0" w:tentative="0">
      <w:start w:val="2"/>
      <w:numFmt w:val="chineseCounting"/>
      <w:suff w:val="space"/>
      <w:lvlText w:val="第%1章"/>
      <w:lvlJc w:val="left"/>
    </w:lvl>
  </w:abstractNum>
  <w:abstractNum w:abstractNumId="8">
    <w:nsid w:val="0000000A"/>
    <w:multiLevelType w:val="singleLevel"/>
    <w:tmpl w:val="0000000A"/>
    <w:lvl w:ilvl="0" w:tentative="0">
      <w:start w:val="1"/>
      <w:numFmt w:val="decimal"/>
      <w:suff w:val="nothing"/>
      <w:lvlText w:val="%1."/>
      <w:lvlJc w:val="left"/>
      <w:rPr>
        <w:lang w:val="en-US" w:eastAsia="zh-CN"/>
      </w:rPr>
    </w:lvl>
  </w:abstractNum>
  <w:abstractNum w:abstractNumId="9">
    <w:nsid w:val="4A450E61"/>
    <w:multiLevelType w:val="singleLevel"/>
    <w:tmpl w:val="4A450E61"/>
    <w:lvl w:ilvl="0" w:tentative="0">
      <w:start w:val="1"/>
      <w:numFmt w:val="decimal"/>
      <w:lvlText w:val="%1."/>
      <w:lvlJc w:val="left"/>
      <w:pPr>
        <w:ind w:left="425" w:hanging="425"/>
      </w:pPr>
      <w:rPr>
        <w:rFonts w:hint="default"/>
      </w:rPr>
    </w:lvl>
  </w:abstractNum>
  <w:num w:numId="1">
    <w:abstractNumId w:val="6"/>
  </w:num>
  <w:num w:numId="2">
    <w:abstractNumId w:val="4"/>
  </w:num>
  <w:num w:numId="3">
    <w:abstractNumId w:val="2"/>
  </w:num>
  <w:num w:numId="4">
    <w:abstractNumId w:val="5"/>
  </w:num>
  <w:num w:numId="5">
    <w:abstractNumId w:val="3"/>
  </w:num>
  <w:num w:numId="6">
    <w:abstractNumId w:val="7"/>
  </w:num>
  <w:num w:numId="7">
    <w:abstractNumId w:val="8"/>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B9"/>
    <w:rsid w:val="00002036"/>
    <w:rsid w:val="000024FB"/>
    <w:rsid w:val="000126C5"/>
    <w:rsid w:val="000333CE"/>
    <w:rsid w:val="000369B5"/>
    <w:rsid w:val="00040D36"/>
    <w:rsid w:val="00047B08"/>
    <w:rsid w:val="0005014F"/>
    <w:rsid w:val="00055C8F"/>
    <w:rsid w:val="000720AC"/>
    <w:rsid w:val="00072340"/>
    <w:rsid w:val="000744BA"/>
    <w:rsid w:val="000749EB"/>
    <w:rsid w:val="000769E6"/>
    <w:rsid w:val="000862F2"/>
    <w:rsid w:val="000921AE"/>
    <w:rsid w:val="000944AD"/>
    <w:rsid w:val="00094C31"/>
    <w:rsid w:val="000A0BFA"/>
    <w:rsid w:val="000C2619"/>
    <w:rsid w:val="000D1A8C"/>
    <w:rsid w:val="000D2A00"/>
    <w:rsid w:val="000D38E1"/>
    <w:rsid w:val="000E1229"/>
    <w:rsid w:val="000E4490"/>
    <w:rsid w:val="000F647F"/>
    <w:rsid w:val="00112643"/>
    <w:rsid w:val="001176AC"/>
    <w:rsid w:val="00120244"/>
    <w:rsid w:val="00120277"/>
    <w:rsid w:val="00121DBC"/>
    <w:rsid w:val="0014111A"/>
    <w:rsid w:val="00142C67"/>
    <w:rsid w:val="00150B05"/>
    <w:rsid w:val="00150BAB"/>
    <w:rsid w:val="00152E0B"/>
    <w:rsid w:val="0015468B"/>
    <w:rsid w:val="00155160"/>
    <w:rsid w:val="001576E0"/>
    <w:rsid w:val="00161F9F"/>
    <w:rsid w:val="00163DAF"/>
    <w:rsid w:val="001649B9"/>
    <w:rsid w:val="0016635D"/>
    <w:rsid w:val="00172FD6"/>
    <w:rsid w:val="00174156"/>
    <w:rsid w:val="00181CE5"/>
    <w:rsid w:val="0018583D"/>
    <w:rsid w:val="0019232D"/>
    <w:rsid w:val="00192563"/>
    <w:rsid w:val="0019367C"/>
    <w:rsid w:val="00193AAD"/>
    <w:rsid w:val="001963CB"/>
    <w:rsid w:val="00196FAF"/>
    <w:rsid w:val="001B1C40"/>
    <w:rsid w:val="001B36CB"/>
    <w:rsid w:val="001B3A4B"/>
    <w:rsid w:val="001B7359"/>
    <w:rsid w:val="001C407E"/>
    <w:rsid w:val="001D2BC3"/>
    <w:rsid w:val="001D4E0A"/>
    <w:rsid w:val="001D7320"/>
    <w:rsid w:val="001E7E8E"/>
    <w:rsid w:val="001F0D51"/>
    <w:rsid w:val="001F5323"/>
    <w:rsid w:val="002015A0"/>
    <w:rsid w:val="00201852"/>
    <w:rsid w:val="00202AC6"/>
    <w:rsid w:val="00217BDD"/>
    <w:rsid w:val="00244777"/>
    <w:rsid w:val="00245F16"/>
    <w:rsid w:val="00246D1B"/>
    <w:rsid w:val="0025758C"/>
    <w:rsid w:val="00260850"/>
    <w:rsid w:val="00267A49"/>
    <w:rsid w:val="00267E9D"/>
    <w:rsid w:val="00275487"/>
    <w:rsid w:val="00277C20"/>
    <w:rsid w:val="002848D0"/>
    <w:rsid w:val="0028628D"/>
    <w:rsid w:val="002901BE"/>
    <w:rsid w:val="00294203"/>
    <w:rsid w:val="002A1CAD"/>
    <w:rsid w:val="002A2FA9"/>
    <w:rsid w:val="002A6599"/>
    <w:rsid w:val="002B1F87"/>
    <w:rsid w:val="002B5FBE"/>
    <w:rsid w:val="002C2900"/>
    <w:rsid w:val="002C33AE"/>
    <w:rsid w:val="002C6E7F"/>
    <w:rsid w:val="002D1415"/>
    <w:rsid w:val="002D7CF6"/>
    <w:rsid w:val="002E3647"/>
    <w:rsid w:val="002F0507"/>
    <w:rsid w:val="002F72F1"/>
    <w:rsid w:val="003101FC"/>
    <w:rsid w:val="00314719"/>
    <w:rsid w:val="00316F37"/>
    <w:rsid w:val="00325260"/>
    <w:rsid w:val="00327BB2"/>
    <w:rsid w:val="003316B6"/>
    <w:rsid w:val="00333D05"/>
    <w:rsid w:val="0033566B"/>
    <w:rsid w:val="003406CC"/>
    <w:rsid w:val="00347887"/>
    <w:rsid w:val="00350661"/>
    <w:rsid w:val="00355619"/>
    <w:rsid w:val="00362058"/>
    <w:rsid w:val="00364B07"/>
    <w:rsid w:val="00370089"/>
    <w:rsid w:val="00372297"/>
    <w:rsid w:val="00373B69"/>
    <w:rsid w:val="003743D1"/>
    <w:rsid w:val="00376DB4"/>
    <w:rsid w:val="00381A1F"/>
    <w:rsid w:val="00384E91"/>
    <w:rsid w:val="003A1D5C"/>
    <w:rsid w:val="003A480A"/>
    <w:rsid w:val="003A4CA9"/>
    <w:rsid w:val="003A5730"/>
    <w:rsid w:val="003B4691"/>
    <w:rsid w:val="003C7E05"/>
    <w:rsid w:val="003D00BB"/>
    <w:rsid w:val="003D456C"/>
    <w:rsid w:val="003D4B49"/>
    <w:rsid w:val="003E18A4"/>
    <w:rsid w:val="003E4FA4"/>
    <w:rsid w:val="003F051B"/>
    <w:rsid w:val="003F1E35"/>
    <w:rsid w:val="00400270"/>
    <w:rsid w:val="004039E9"/>
    <w:rsid w:val="00416A97"/>
    <w:rsid w:val="00423024"/>
    <w:rsid w:val="00437B8B"/>
    <w:rsid w:val="004440E5"/>
    <w:rsid w:val="004527EB"/>
    <w:rsid w:val="00457E24"/>
    <w:rsid w:val="00460A06"/>
    <w:rsid w:val="00464100"/>
    <w:rsid w:val="0047077A"/>
    <w:rsid w:val="00491C63"/>
    <w:rsid w:val="004A03C7"/>
    <w:rsid w:val="004B57C0"/>
    <w:rsid w:val="004B57DE"/>
    <w:rsid w:val="004C19A8"/>
    <w:rsid w:val="004C38F3"/>
    <w:rsid w:val="004C5C71"/>
    <w:rsid w:val="004D0DB1"/>
    <w:rsid w:val="004D1628"/>
    <w:rsid w:val="004D2CA6"/>
    <w:rsid w:val="004D388B"/>
    <w:rsid w:val="004E10BF"/>
    <w:rsid w:val="004E259C"/>
    <w:rsid w:val="004E488E"/>
    <w:rsid w:val="004E7D52"/>
    <w:rsid w:val="004F08E4"/>
    <w:rsid w:val="004F1F26"/>
    <w:rsid w:val="00500CCD"/>
    <w:rsid w:val="00502C28"/>
    <w:rsid w:val="00513C50"/>
    <w:rsid w:val="00514F29"/>
    <w:rsid w:val="00534025"/>
    <w:rsid w:val="00534FCA"/>
    <w:rsid w:val="00543E17"/>
    <w:rsid w:val="0054459C"/>
    <w:rsid w:val="00544635"/>
    <w:rsid w:val="005521AB"/>
    <w:rsid w:val="00553A1B"/>
    <w:rsid w:val="00565A48"/>
    <w:rsid w:val="00571686"/>
    <w:rsid w:val="0057439F"/>
    <w:rsid w:val="005866DC"/>
    <w:rsid w:val="00586D29"/>
    <w:rsid w:val="005A1ECE"/>
    <w:rsid w:val="005A64EA"/>
    <w:rsid w:val="005B553A"/>
    <w:rsid w:val="005C3C6A"/>
    <w:rsid w:val="005D554C"/>
    <w:rsid w:val="005D63E6"/>
    <w:rsid w:val="005E1D1E"/>
    <w:rsid w:val="005F0E11"/>
    <w:rsid w:val="005F5624"/>
    <w:rsid w:val="00602011"/>
    <w:rsid w:val="00602F07"/>
    <w:rsid w:val="00612AC6"/>
    <w:rsid w:val="00622467"/>
    <w:rsid w:val="00641997"/>
    <w:rsid w:val="0065105A"/>
    <w:rsid w:val="006562A0"/>
    <w:rsid w:val="006571BD"/>
    <w:rsid w:val="0066278A"/>
    <w:rsid w:val="00670CE8"/>
    <w:rsid w:val="006737F2"/>
    <w:rsid w:val="00680429"/>
    <w:rsid w:val="00682930"/>
    <w:rsid w:val="00684197"/>
    <w:rsid w:val="00684AC9"/>
    <w:rsid w:val="00691AE0"/>
    <w:rsid w:val="00693D52"/>
    <w:rsid w:val="006942C0"/>
    <w:rsid w:val="006A1D2A"/>
    <w:rsid w:val="006A7E00"/>
    <w:rsid w:val="006B1807"/>
    <w:rsid w:val="006B2ED4"/>
    <w:rsid w:val="006C05D7"/>
    <w:rsid w:val="006C7317"/>
    <w:rsid w:val="006D14E0"/>
    <w:rsid w:val="006D2552"/>
    <w:rsid w:val="006D7D19"/>
    <w:rsid w:val="007002F5"/>
    <w:rsid w:val="00713737"/>
    <w:rsid w:val="00715CC4"/>
    <w:rsid w:val="00721505"/>
    <w:rsid w:val="0072239D"/>
    <w:rsid w:val="0072388F"/>
    <w:rsid w:val="00731BAB"/>
    <w:rsid w:val="00733C52"/>
    <w:rsid w:val="007441C7"/>
    <w:rsid w:val="007517E4"/>
    <w:rsid w:val="00757BE4"/>
    <w:rsid w:val="00761FDA"/>
    <w:rsid w:val="00765CE2"/>
    <w:rsid w:val="00767A9D"/>
    <w:rsid w:val="007711EA"/>
    <w:rsid w:val="00776F77"/>
    <w:rsid w:val="0078454B"/>
    <w:rsid w:val="00791299"/>
    <w:rsid w:val="007B0F19"/>
    <w:rsid w:val="007B33C8"/>
    <w:rsid w:val="007C053E"/>
    <w:rsid w:val="007C274F"/>
    <w:rsid w:val="007C63C6"/>
    <w:rsid w:val="007C75F4"/>
    <w:rsid w:val="007E1AA5"/>
    <w:rsid w:val="00801843"/>
    <w:rsid w:val="00814908"/>
    <w:rsid w:val="00815544"/>
    <w:rsid w:val="00817043"/>
    <w:rsid w:val="0082690F"/>
    <w:rsid w:val="008302B3"/>
    <w:rsid w:val="00833AD4"/>
    <w:rsid w:val="00846DC6"/>
    <w:rsid w:val="008617C7"/>
    <w:rsid w:val="0086564C"/>
    <w:rsid w:val="008719F8"/>
    <w:rsid w:val="00872824"/>
    <w:rsid w:val="00882EF4"/>
    <w:rsid w:val="008A2399"/>
    <w:rsid w:val="008A592B"/>
    <w:rsid w:val="008B4E45"/>
    <w:rsid w:val="008C2335"/>
    <w:rsid w:val="008C5EB4"/>
    <w:rsid w:val="008C75B5"/>
    <w:rsid w:val="008C7DA2"/>
    <w:rsid w:val="008D6B10"/>
    <w:rsid w:val="008D7211"/>
    <w:rsid w:val="008D7688"/>
    <w:rsid w:val="008E02CA"/>
    <w:rsid w:val="008E4CE4"/>
    <w:rsid w:val="008F1AB6"/>
    <w:rsid w:val="009003A4"/>
    <w:rsid w:val="0090712D"/>
    <w:rsid w:val="0091388C"/>
    <w:rsid w:val="00920119"/>
    <w:rsid w:val="00921031"/>
    <w:rsid w:val="009218AF"/>
    <w:rsid w:val="00922240"/>
    <w:rsid w:val="00922EA4"/>
    <w:rsid w:val="0092443D"/>
    <w:rsid w:val="00931773"/>
    <w:rsid w:val="00943B08"/>
    <w:rsid w:val="00944997"/>
    <w:rsid w:val="009533E7"/>
    <w:rsid w:val="00953B74"/>
    <w:rsid w:val="009626ED"/>
    <w:rsid w:val="00963516"/>
    <w:rsid w:val="00963527"/>
    <w:rsid w:val="00970853"/>
    <w:rsid w:val="00970B25"/>
    <w:rsid w:val="009838E9"/>
    <w:rsid w:val="00987738"/>
    <w:rsid w:val="00992F69"/>
    <w:rsid w:val="00993A67"/>
    <w:rsid w:val="009A3592"/>
    <w:rsid w:val="009B433F"/>
    <w:rsid w:val="009C33CC"/>
    <w:rsid w:val="009D1D41"/>
    <w:rsid w:val="009D4C42"/>
    <w:rsid w:val="009D6752"/>
    <w:rsid w:val="009E26DF"/>
    <w:rsid w:val="009E74B7"/>
    <w:rsid w:val="009F0BDC"/>
    <w:rsid w:val="009F4CB1"/>
    <w:rsid w:val="00A007E9"/>
    <w:rsid w:val="00A00A75"/>
    <w:rsid w:val="00A01327"/>
    <w:rsid w:val="00A04AF2"/>
    <w:rsid w:val="00A177C0"/>
    <w:rsid w:val="00A25A1D"/>
    <w:rsid w:val="00A4144C"/>
    <w:rsid w:val="00A45E45"/>
    <w:rsid w:val="00A50941"/>
    <w:rsid w:val="00A60A7D"/>
    <w:rsid w:val="00A665FA"/>
    <w:rsid w:val="00A66F8A"/>
    <w:rsid w:val="00A70C01"/>
    <w:rsid w:val="00A70DFB"/>
    <w:rsid w:val="00A72FEB"/>
    <w:rsid w:val="00A851C5"/>
    <w:rsid w:val="00A87B8C"/>
    <w:rsid w:val="00A90967"/>
    <w:rsid w:val="00A938DD"/>
    <w:rsid w:val="00A9685F"/>
    <w:rsid w:val="00AA0DE5"/>
    <w:rsid w:val="00AA7012"/>
    <w:rsid w:val="00AC64D8"/>
    <w:rsid w:val="00AE2DAA"/>
    <w:rsid w:val="00AF466C"/>
    <w:rsid w:val="00AF52BF"/>
    <w:rsid w:val="00B038EF"/>
    <w:rsid w:val="00B114FD"/>
    <w:rsid w:val="00B1404A"/>
    <w:rsid w:val="00B1600A"/>
    <w:rsid w:val="00B168A0"/>
    <w:rsid w:val="00B17053"/>
    <w:rsid w:val="00B17900"/>
    <w:rsid w:val="00B17BEF"/>
    <w:rsid w:val="00B206D8"/>
    <w:rsid w:val="00B238BC"/>
    <w:rsid w:val="00B241B5"/>
    <w:rsid w:val="00B40CE9"/>
    <w:rsid w:val="00B4565B"/>
    <w:rsid w:val="00B76AD1"/>
    <w:rsid w:val="00B77CE4"/>
    <w:rsid w:val="00B81A8B"/>
    <w:rsid w:val="00B825CF"/>
    <w:rsid w:val="00B8369E"/>
    <w:rsid w:val="00B83C79"/>
    <w:rsid w:val="00B849A5"/>
    <w:rsid w:val="00B912BF"/>
    <w:rsid w:val="00B928BD"/>
    <w:rsid w:val="00B978A1"/>
    <w:rsid w:val="00BA0D44"/>
    <w:rsid w:val="00BA442A"/>
    <w:rsid w:val="00BB00D2"/>
    <w:rsid w:val="00BB0E1E"/>
    <w:rsid w:val="00BB5931"/>
    <w:rsid w:val="00BC76B1"/>
    <w:rsid w:val="00BD61EC"/>
    <w:rsid w:val="00BE579A"/>
    <w:rsid w:val="00BE62BE"/>
    <w:rsid w:val="00C016F2"/>
    <w:rsid w:val="00C07457"/>
    <w:rsid w:val="00C10515"/>
    <w:rsid w:val="00C33197"/>
    <w:rsid w:val="00C4507D"/>
    <w:rsid w:val="00C5341A"/>
    <w:rsid w:val="00C56DF7"/>
    <w:rsid w:val="00C60791"/>
    <w:rsid w:val="00C62C90"/>
    <w:rsid w:val="00C649BB"/>
    <w:rsid w:val="00C73683"/>
    <w:rsid w:val="00C9053C"/>
    <w:rsid w:val="00C91037"/>
    <w:rsid w:val="00C9211A"/>
    <w:rsid w:val="00C96FC4"/>
    <w:rsid w:val="00CA548C"/>
    <w:rsid w:val="00CA6434"/>
    <w:rsid w:val="00CA7600"/>
    <w:rsid w:val="00CB07ED"/>
    <w:rsid w:val="00CB3A57"/>
    <w:rsid w:val="00CB42DD"/>
    <w:rsid w:val="00CC7D99"/>
    <w:rsid w:val="00CE01E3"/>
    <w:rsid w:val="00CF1BE3"/>
    <w:rsid w:val="00CF5D3B"/>
    <w:rsid w:val="00D1427B"/>
    <w:rsid w:val="00D14C39"/>
    <w:rsid w:val="00D33620"/>
    <w:rsid w:val="00D33F64"/>
    <w:rsid w:val="00D345F3"/>
    <w:rsid w:val="00D34ED0"/>
    <w:rsid w:val="00D40BA9"/>
    <w:rsid w:val="00D47381"/>
    <w:rsid w:val="00D53ACC"/>
    <w:rsid w:val="00D560CC"/>
    <w:rsid w:val="00D61E14"/>
    <w:rsid w:val="00D75059"/>
    <w:rsid w:val="00D82E7F"/>
    <w:rsid w:val="00D867BF"/>
    <w:rsid w:val="00D90008"/>
    <w:rsid w:val="00DA2310"/>
    <w:rsid w:val="00DA4C14"/>
    <w:rsid w:val="00DA6765"/>
    <w:rsid w:val="00DB33F5"/>
    <w:rsid w:val="00DB6C50"/>
    <w:rsid w:val="00DD29CF"/>
    <w:rsid w:val="00E0472E"/>
    <w:rsid w:val="00E04AF2"/>
    <w:rsid w:val="00E0506E"/>
    <w:rsid w:val="00E127C3"/>
    <w:rsid w:val="00E14797"/>
    <w:rsid w:val="00E22EB3"/>
    <w:rsid w:val="00E31956"/>
    <w:rsid w:val="00E35563"/>
    <w:rsid w:val="00E466F1"/>
    <w:rsid w:val="00E51E05"/>
    <w:rsid w:val="00E63A93"/>
    <w:rsid w:val="00E67334"/>
    <w:rsid w:val="00E7683A"/>
    <w:rsid w:val="00E833DC"/>
    <w:rsid w:val="00EA088E"/>
    <w:rsid w:val="00EA2B9D"/>
    <w:rsid w:val="00EA336E"/>
    <w:rsid w:val="00EA46C8"/>
    <w:rsid w:val="00EA47B0"/>
    <w:rsid w:val="00EA50E5"/>
    <w:rsid w:val="00EA6D01"/>
    <w:rsid w:val="00EC04AD"/>
    <w:rsid w:val="00EC0AF4"/>
    <w:rsid w:val="00EC13A8"/>
    <w:rsid w:val="00EC546D"/>
    <w:rsid w:val="00EF31AF"/>
    <w:rsid w:val="00F01E1B"/>
    <w:rsid w:val="00F032A1"/>
    <w:rsid w:val="00F12B1E"/>
    <w:rsid w:val="00F152A5"/>
    <w:rsid w:val="00F15A19"/>
    <w:rsid w:val="00F42A86"/>
    <w:rsid w:val="00F50A5E"/>
    <w:rsid w:val="00F52D8B"/>
    <w:rsid w:val="00F65FF6"/>
    <w:rsid w:val="00F667EC"/>
    <w:rsid w:val="00F90C8F"/>
    <w:rsid w:val="00F91D8F"/>
    <w:rsid w:val="00F930A7"/>
    <w:rsid w:val="00FA08DB"/>
    <w:rsid w:val="00FA5942"/>
    <w:rsid w:val="00FB2176"/>
    <w:rsid w:val="00FB4123"/>
    <w:rsid w:val="00FC2B38"/>
    <w:rsid w:val="00FD3C1C"/>
    <w:rsid w:val="00FE0B29"/>
    <w:rsid w:val="00FE25CB"/>
    <w:rsid w:val="013A2571"/>
    <w:rsid w:val="02B802CF"/>
    <w:rsid w:val="02BF3353"/>
    <w:rsid w:val="030A0578"/>
    <w:rsid w:val="03365A5A"/>
    <w:rsid w:val="044F0706"/>
    <w:rsid w:val="04DC665C"/>
    <w:rsid w:val="053F4A25"/>
    <w:rsid w:val="05922371"/>
    <w:rsid w:val="05A73CBA"/>
    <w:rsid w:val="062857AA"/>
    <w:rsid w:val="06B148B3"/>
    <w:rsid w:val="07E64C3E"/>
    <w:rsid w:val="08A05695"/>
    <w:rsid w:val="08A059D4"/>
    <w:rsid w:val="092E4D8E"/>
    <w:rsid w:val="09616F12"/>
    <w:rsid w:val="09F1323C"/>
    <w:rsid w:val="0A5A11D0"/>
    <w:rsid w:val="0B2E376B"/>
    <w:rsid w:val="0BE502CE"/>
    <w:rsid w:val="0BE508DA"/>
    <w:rsid w:val="0C6D7834"/>
    <w:rsid w:val="0C6F0349"/>
    <w:rsid w:val="0CD36E5E"/>
    <w:rsid w:val="0D554801"/>
    <w:rsid w:val="0D665DA6"/>
    <w:rsid w:val="0D6B71B3"/>
    <w:rsid w:val="0DA970D9"/>
    <w:rsid w:val="0E0E083C"/>
    <w:rsid w:val="0E950D62"/>
    <w:rsid w:val="0F4A7C21"/>
    <w:rsid w:val="0FC27694"/>
    <w:rsid w:val="102665D2"/>
    <w:rsid w:val="104906FF"/>
    <w:rsid w:val="10645216"/>
    <w:rsid w:val="1106642B"/>
    <w:rsid w:val="11090992"/>
    <w:rsid w:val="110F2B3E"/>
    <w:rsid w:val="11790D5B"/>
    <w:rsid w:val="11C97D4A"/>
    <w:rsid w:val="12472EDE"/>
    <w:rsid w:val="129906A9"/>
    <w:rsid w:val="14D558B7"/>
    <w:rsid w:val="158D151C"/>
    <w:rsid w:val="15D87D38"/>
    <w:rsid w:val="15FA2BC8"/>
    <w:rsid w:val="167037FD"/>
    <w:rsid w:val="16900E36"/>
    <w:rsid w:val="16917DF9"/>
    <w:rsid w:val="16AA639C"/>
    <w:rsid w:val="16DF3B6C"/>
    <w:rsid w:val="170D2487"/>
    <w:rsid w:val="17E87898"/>
    <w:rsid w:val="18E7154D"/>
    <w:rsid w:val="191B4799"/>
    <w:rsid w:val="19DD6C02"/>
    <w:rsid w:val="1A134258"/>
    <w:rsid w:val="1A307E4A"/>
    <w:rsid w:val="1AD559B1"/>
    <w:rsid w:val="1BA2308C"/>
    <w:rsid w:val="1BF260EF"/>
    <w:rsid w:val="1C80484A"/>
    <w:rsid w:val="1CAD1611"/>
    <w:rsid w:val="1D3A5CE9"/>
    <w:rsid w:val="1D6B5C93"/>
    <w:rsid w:val="1E576E25"/>
    <w:rsid w:val="1E8066E5"/>
    <w:rsid w:val="1EE25341"/>
    <w:rsid w:val="2040730C"/>
    <w:rsid w:val="20EF243A"/>
    <w:rsid w:val="21D32CF5"/>
    <w:rsid w:val="21E71400"/>
    <w:rsid w:val="22145700"/>
    <w:rsid w:val="226D4721"/>
    <w:rsid w:val="22A77C33"/>
    <w:rsid w:val="23F53C41"/>
    <w:rsid w:val="245A6D4C"/>
    <w:rsid w:val="252202D5"/>
    <w:rsid w:val="25A15886"/>
    <w:rsid w:val="267C4F33"/>
    <w:rsid w:val="280B2BA6"/>
    <w:rsid w:val="28616AD6"/>
    <w:rsid w:val="28A32C4B"/>
    <w:rsid w:val="292F00A1"/>
    <w:rsid w:val="29FB62B0"/>
    <w:rsid w:val="2A7F6004"/>
    <w:rsid w:val="2A88659C"/>
    <w:rsid w:val="2B434271"/>
    <w:rsid w:val="2BBE5028"/>
    <w:rsid w:val="2BC62A64"/>
    <w:rsid w:val="2BE55328"/>
    <w:rsid w:val="2C62017B"/>
    <w:rsid w:val="2CF73565"/>
    <w:rsid w:val="2EDC604A"/>
    <w:rsid w:val="2F2758EA"/>
    <w:rsid w:val="2F44743E"/>
    <w:rsid w:val="2FA379D4"/>
    <w:rsid w:val="306C4745"/>
    <w:rsid w:val="313531E9"/>
    <w:rsid w:val="33355BAA"/>
    <w:rsid w:val="33DC5263"/>
    <w:rsid w:val="343926B5"/>
    <w:rsid w:val="346C65E7"/>
    <w:rsid w:val="34834546"/>
    <w:rsid w:val="34847DD4"/>
    <w:rsid w:val="35C16E06"/>
    <w:rsid w:val="35E30B2B"/>
    <w:rsid w:val="36CC1BEA"/>
    <w:rsid w:val="37CA5DAF"/>
    <w:rsid w:val="37CF6378"/>
    <w:rsid w:val="3916637F"/>
    <w:rsid w:val="3B4974F4"/>
    <w:rsid w:val="3B6C59E5"/>
    <w:rsid w:val="3C80719C"/>
    <w:rsid w:val="3DE2791A"/>
    <w:rsid w:val="3E3C0F3B"/>
    <w:rsid w:val="3FAC7DB4"/>
    <w:rsid w:val="40EF4827"/>
    <w:rsid w:val="41566655"/>
    <w:rsid w:val="418777E4"/>
    <w:rsid w:val="41A21A3B"/>
    <w:rsid w:val="422266ED"/>
    <w:rsid w:val="42AF6AD1"/>
    <w:rsid w:val="43060812"/>
    <w:rsid w:val="435117C9"/>
    <w:rsid w:val="44E977E0"/>
    <w:rsid w:val="46A61E2C"/>
    <w:rsid w:val="47DD7AD0"/>
    <w:rsid w:val="489A589B"/>
    <w:rsid w:val="48D12A65"/>
    <w:rsid w:val="48E02799"/>
    <w:rsid w:val="48EE3617"/>
    <w:rsid w:val="492B6619"/>
    <w:rsid w:val="493468FE"/>
    <w:rsid w:val="4C3B4FCB"/>
    <w:rsid w:val="4C575FB9"/>
    <w:rsid w:val="4CB761DA"/>
    <w:rsid w:val="4CE65573"/>
    <w:rsid w:val="4D5C5D23"/>
    <w:rsid w:val="4DC569E4"/>
    <w:rsid w:val="4DC94B5A"/>
    <w:rsid w:val="4E503B4D"/>
    <w:rsid w:val="4E513DB4"/>
    <w:rsid w:val="4F623370"/>
    <w:rsid w:val="4F7F76BE"/>
    <w:rsid w:val="4F846D4E"/>
    <w:rsid w:val="4FF43C08"/>
    <w:rsid w:val="505916BF"/>
    <w:rsid w:val="51B80C66"/>
    <w:rsid w:val="52753CDB"/>
    <w:rsid w:val="52A019BD"/>
    <w:rsid w:val="52A86F2C"/>
    <w:rsid w:val="52D21D13"/>
    <w:rsid w:val="533C41C5"/>
    <w:rsid w:val="54094313"/>
    <w:rsid w:val="540B47E8"/>
    <w:rsid w:val="544762D1"/>
    <w:rsid w:val="547312EF"/>
    <w:rsid w:val="55071090"/>
    <w:rsid w:val="55210D67"/>
    <w:rsid w:val="55622306"/>
    <w:rsid w:val="556A04C9"/>
    <w:rsid w:val="559612BE"/>
    <w:rsid w:val="559C1770"/>
    <w:rsid w:val="55C340E1"/>
    <w:rsid w:val="55C833FF"/>
    <w:rsid w:val="56192986"/>
    <w:rsid w:val="56277E50"/>
    <w:rsid w:val="568A2F88"/>
    <w:rsid w:val="581035A9"/>
    <w:rsid w:val="585B05BF"/>
    <w:rsid w:val="592E668F"/>
    <w:rsid w:val="59600776"/>
    <w:rsid w:val="597E01B2"/>
    <w:rsid w:val="59A567CF"/>
    <w:rsid w:val="5A5F48DF"/>
    <w:rsid w:val="5AF32D0E"/>
    <w:rsid w:val="5C64695E"/>
    <w:rsid w:val="5CAB5675"/>
    <w:rsid w:val="5CF35248"/>
    <w:rsid w:val="5D207290"/>
    <w:rsid w:val="5D320B65"/>
    <w:rsid w:val="5D327013"/>
    <w:rsid w:val="5D5C1E8F"/>
    <w:rsid w:val="5DE74DAC"/>
    <w:rsid w:val="5E367ACA"/>
    <w:rsid w:val="5E7B5ABE"/>
    <w:rsid w:val="5EB72012"/>
    <w:rsid w:val="5F36141C"/>
    <w:rsid w:val="5F7D704B"/>
    <w:rsid w:val="5FC52ECB"/>
    <w:rsid w:val="60471B32"/>
    <w:rsid w:val="604B787F"/>
    <w:rsid w:val="6099545F"/>
    <w:rsid w:val="61073070"/>
    <w:rsid w:val="611B3F3F"/>
    <w:rsid w:val="61671D60"/>
    <w:rsid w:val="61A60ADB"/>
    <w:rsid w:val="61B97B0F"/>
    <w:rsid w:val="627B5AC3"/>
    <w:rsid w:val="62B430C4"/>
    <w:rsid w:val="63632607"/>
    <w:rsid w:val="63CF4058"/>
    <w:rsid w:val="63DC18EC"/>
    <w:rsid w:val="63ED479F"/>
    <w:rsid w:val="6441218F"/>
    <w:rsid w:val="65006754"/>
    <w:rsid w:val="65A45331"/>
    <w:rsid w:val="65AD5108"/>
    <w:rsid w:val="65CE453B"/>
    <w:rsid w:val="667F18FA"/>
    <w:rsid w:val="66A70F29"/>
    <w:rsid w:val="66E265A9"/>
    <w:rsid w:val="670E0594"/>
    <w:rsid w:val="67756226"/>
    <w:rsid w:val="67BB4BB4"/>
    <w:rsid w:val="689A19B5"/>
    <w:rsid w:val="68EE5063"/>
    <w:rsid w:val="6908207B"/>
    <w:rsid w:val="69461A42"/>
    <w:rsid w:val="6985191D"/>
    <w:rsid w:val="698711F2"/>
    <w:rsid w:val="6B1E7934"/>
    <w:rsid w:val="6B4328E0"/>
    <w:rsid w:val="6BEA6F9E"/>
    <w:rsid w:val="6CB95B66"/>
    <w:rsid w:val="6D321F6A"/>
    <w:rsid w:val="6D771AF1"/>
    <w:rsid w:val="6D947CC4"/>
    <w:rsid w:val="6DC31EFD"/>
    <w:rsid w:val="6E8D738B"/>
    <w:rsid w:val="6E950418"/>
    <w:rsid w:val="6E9F6864"/>
    <w:rsid w:val="6EEC0EF8"/>
    <w:rsid w:val="6F324FEC"/>
    <w:rsid w:val="6F423858"/>
    <w:rsid w:val="6F796576"/>
    <w:rsid w:val="6F963F3C"/>
    <w:rsid w:val="6FA7439C"/>
    <w:rsid w:val="6FCA3215"/>
    <w:rsid w:val="70DE4D0A"/>
    <w:rsid w:val="71BF141A"/>
    <w:rsid w:val="72134425"/>
    <w:rsid w:val="72137B38"/>
    <w:rsid w:val="731E2BC7"/>
    <w:rsid w:val="73FF0247"/>
    <w:rsid w:val="755424DD"/>
    <w:rsid w:val="75862C3B"/>
    <w:rsid w:val="759A22AD"/>
    <w:rsid w:val="75DC1208"/>
    <w:rsid w:val="765A3C11"/>
    <w:rsid w:val="76F36B53"/>
    <w:rsid w:val="777803CC"/>
    <w:rsid w:val="785B3F75"/>
    <w:rsid w:val="78864E5F"/>
    <w:rsid w:val="788C5310"/>
    <w:rsid w:val="78926EEA"/>
    <w:rsid w:val="78A527C8"/>
    <w:rsid w:val="78CB4988"/>
    <w:rsid w:val="791E4FA3"/>
    <w:rsid w:val="798B7E16"/>
    <w:rsid w:val="79FE22E1"/>
    <w:rsid w:val="7A721A4A"/>
    <w:rsid w:val="7C016BE2"/>
    <w:rsid w:val="7C1E3C37"/>
    <w:rsid w:val="7C325754"/>
    <w:rsid w:val="7C6E38EB"/>
    <w:rsid w:val="7D3C7E2C"/>
    <w:rsid w:val="7DF61A5D"/>
    <w:rsid w:val="7EA50971"/>
    <w:rsid w:val="7FDC3C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qFormat="1" w:unhideWhenUsed="0" w:uiPriority="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48"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qFormat/>
    <w:uiPriority w:val="9"/>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link w:val="68"/>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46"/>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7">
    <w:name w:val="heading 5"/>
    <w:basedOn w:val="1"/>
    <w:next w:val="1"/>
    <w:link w:val="54"/>
    <w:qFormat/>
    <w:uiPriority w:val="0"/>
    <w:pPr>
      <w:keepNext/>
      <w:keepLines/>
      <w:numPr>
        <w:ilvl w:val="4"/>
        <w:numId w:val="1"/>
      </w:numPr>
      <w:spacing w:before="280" w:after="290" w:line="360" w:lineRule="auto"/>
      <w:jc w:val="left"/>
      <w:outlineLvl w:val="4"/>
    </w:pPr>
    <w:rPr>
      <w:b/>
      <w:bCs/>
      <w:kern w:val="0"/>
      <w:sz w:val="24"/>
      <w:szCs w:val="28"/>
    </w:rPr>
  </w:style>
  <w:style w:type="paragraph" w:styleId="2">
    <w:name w:val="heading 6"/>
    <w:basedOn w:val="1"/>
    <w:next w:val="1"/>
    <w:link w:val="55"/>
    <w:qFormat/>
    <w:uiPriority w:val="0"/>
    <w:pPr>
      <w:keepNext/>
      <w:keepLines/>
      <w:spacing w:before="240" w:after="64" w:line="320" w:lineRule="auto"/>
      <w:outlineLvl w:val="5"/>
    </w:pPr>
    <w:rPr>
      <w:rFonts w:ascii="Cambria" w:hAnsi="Cambria"/>
      <w:b/>
      <w:bCs/>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widowControl/>
      <w:numPr>
        <w:ilvl w:val="0"/>
        <w:numId w:val="2"/>
      </w:numPr>
      <w:tabs>
        <w:tab w:val="clear" w:pos="980"/>
      </w:tabs>
      <w:spacing w:afterLines="50"/>
      <w:ind w:left="454" w:hanging="284"/>
      <w:jc w:val="left"/>
    </w:pPr>
    <w:rPr>
      <w:kern w:val="0"/>
      <w:sz w:val="24"/>
      <w:szCs w:val="20"/>
    </w:rPr>
  </w:style>
  <w:style w:type="paragraph" w:styleId="9">
    <w:name w:val="Normal Indent"/>
    <w:basedOn w:val="1"/>
    <w:link w:val="44"/>
    <w:qFormat/>
    <w:uiPriority w:val="0"/>
    <w:pPr>
      <w:ind w:firstLine="420" w:firstLineChars="200"/>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List Bullet"/>
    <w:basedOn w:val="1"/>
    <w:unhideWhenUsed/>
    <w:qFormat/>
    <w:uiPriority w:val="99"/>
    <w:pPr>
      <w:widowControl/>
      <w:numPr>
        <w:ilvl w:val="0"/>
        <w:numId w:val="3"/>
      </w:numPr>
      <w:spacing w:before="40" w:after="40" w:line="288" w:lineRule="auto"/>
      <w:ind w:left="2545" w:hanging="425"/>
      <w:jc w:val="left"/>
    </w:pPr>
    <w:rPr>
      <w:color w:val="595959"/>
      <w:kern w:val="20"/>
      <w:sz w:val="20"/>
      <w:szCs w:val="20"/>
      <w:lang w:val="zh-CN"/>
    </w:rPr>
  </w:style>
  <w:style w:type="paragraph" w:styleId="12">
    <w:name w:val="Document Map"/>
    <w:basedOn w:val="1"/>
    <w:qFormat/>
    <w:uiPriority w:val="0"/>
    <w:pPr>
      <w:shd w:val="clear" w:color="auto" w:fill="000080"/>
    </w:pPr>
  </w:style>
  <w:style w:type="paragraph" w:styleId="13">
    <w:name w:val="annotation text"/>
    <w:basedOn w:val="1"/>
    <w:link w:val="66"/>
    <w:qFormat/>
    <w:uiPriority w:val="0"/>
    <w:pPr>
      <w:spacing w:line="240" w:lineRule="auto"/>
      <w:jc w:val="left"/>
    </w:pPr>
    <w:rPr>
      <w:szCs w:val="22"/>
    </w:rPr>
  </w:style>
  <w:style w:type="paragraph" w:styleId="14">
    <w:name w:val="Body Text 3"/>
    <w:basedOn w:val="1"/>
    <w:qFormat/>
    <w:uiPriority w:val="0"/>
    <w:pPr>
      <w:spacing w:after="120"/>
    </w:pPr>
    <w:rPr>
      <w:sz w:val="16"/>
      <w:szCs w:val="16"/>
    </w:rPr>
  </w:style>
  <w:style w:type="paragraph" w:styleId="15">
    <w:name w:val="Body Text"/>
    <w:basedOn w:val="1"/>
    <w:qFormat/>
    <w:uiPriority w:val="0"/>
    <w:pPr>
      <w:spacing w:after="120"/>
    </w:pPr>
  </w:style>
  <w:style w:type="paragraph" w:styleId="16">
    <w:name w:val="Body Text Indent"/>
    <w:basedOn w:val="1"/>
    <w:next w:val="8"/>
    <w:link w:val="53"/>
    <w:qFormat/>
    <w:uiPriority w:val="0"/>
    <w:pPr>
      <w:spacing w:after="120"/>
      <w:ind w:left="420" w:leftChars="200"/>
    </w:pPr>
  </w:style>
  <w:style w:type="paragraph" w:styleId="17">
    <w:name w:val="List 2"/>
    <w:basedOn w:val="1"/>
    <w:qFormat/>
    <w:uiPriority w:val="0"/>
    <w:pPr>
      <w:ind w:left="100" w:leftChars="200" w:hanging="200" w:hangingChars="200"/>
    </w:pPr>
  </w:style>
  <w:style w:type="paragraph" w:styleId="18">
    <w:name w:val="Plain Text"/>
    <w:basedOn w:val="1"/>
    <w:next w:val="1"/>
    <w:link w:val="56"/>
    <w:qFormat/>
    <w:uiPriority w:val="0"/>
    <w:rPr>
      <w:rFonts w:ascii="宋体" w:hAnsi="Courier New"/>
      <w:szCs w:val="20"/>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qFormat/>
    <w:uiPriority w:val="0"/>
    <w:pPr>
      <w:ind w:left="100"/>
    </w:pPr>
    <w:rPr>
      <w:sz w:val="28"/>
      <w:szCs w:val="20"/>
    </w:rPr>
  </w:style>
  <w:style w:type="paragraph" w:styleId="21">
    <w:name w:val="Balloon Text"/>
    <w:basedOn w:val="1"/>
    <w:next w:val="19"/>
    <w:link w:val="43"/>
    <w:qFormat/>
    <w:uiPriority w:val="99"/>
    <w:rPr>
      <w:sz w:val="18"/>
      <w:szCs w:val="18"/>
    </w:rPr>
  </w:style>
  <w:style w:type="paragraph" w:styleId="22">
    <w:name w:val="footer"/>
    <w:basedOn w:val="1"/>
    <w:link w:val="67"/>
    <w:qFormat/>
    <w:uiPriority w:val="99"/>
    <w:pPr>
      <w:tabs>
        <w:tab w:val="center" w:pos="4153"/>
        <w:tab w:val="right" w:pos="8306"/>
      </w:tabs>
      <w:snapToGrid w:val="0"/>
      <w:jc w:val="left"/>
    </w:pPr>
    <w:rPr>
      <w:sz w:val="18"/>
      <w:szCs w:val="18"/>
    </w:rPr>
  </w:style>
  <w:style w:type="paragraph" w:styleId="23">
    <w:name w:val="envelope return"/>
    <w:basedOn w:val="1"/>
    <w:qFormat/>
    <w:uiPriority w:val="0"/>
    <w:pPr>
      <w:widowControl/>
    </w:pPr>
    <w:rPr>
      <w:kern w:val="0"/>
      <w:sz w:val="24"/>
      <w:szCs w:val="20"/>
      <w:lang w:val="en-GB"/>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left" w:pos="0"/>
        <w:tab w:val="right" w:leader="dot" w:pos="8280"/>
      </w:tabs>
      <w:adjustRightInd w:val="0"/>
      <w:snapToGrid w:val="0"/>
      <w:spacing w:beforeLines="50" w:afterLines="50" w:line="440" w:lineRule="exact"/>
      <w:ind w:firstLine="100" w:firstLineChars="100"/>
    </w:pPr>
    <w:rPr>
      <w:rFonts w:ascii="Times New Roman" w:hAnsi="Times New Roman"/>
    </w:rPr>
  </w:style>
  <w:style w:type="paragraph" w:styleId="26">
    <w:name w:val="List"/>
    <w:basedOn w:val="1"/>
    <w:qFormat/>
    <w:uiPriority w:val="0"/>
    <w:pPr>
      <w:ind w:left="200" w:hanging="200" w:hangingChars="200"/>
    </w:pPr>
    <w:rPr>
      <w:sz w:val="28"/>
    </w:rPr>
  </w:style>
  <w:style w:type="paragraph" w:styleId="27">
    <w:name w:val="toc 6"/>
    <w:basedOn w:val="1"/>
    <w:next w:val="1"/>
    <w:qFormat/>
    <w:uiPriority w:val="0"/>
    <w:pPr>
      <w:ind w:left="1200"/>
      <w:jc w:val="left"/>
    </w:pPr>
    <w:rPr>
      <w:sz w:val="18"/>
      <w:szCs w:val="18"/>
    </w:rPr>
  </w:style>
  <w:style w:type="paragraph" w:styleId="28">
    <w:name w:val="Body Text Indent 3"/>
    <w:basedOn w:val="1"/>
    <w:link w:val="45"/>
    <w:qFormat/>
    <w:uiPriority w:val="0"/>
    <w:pPr>
      <w:spacing w:after="120"/>
      <w:ind w:left="420" w:leftChars="200"/>
    </w:pPr>
    <w:rPr>
      <w:sz w:val="16"/>
      <w:szCs w:val="16"/>
    </w:rPr>
  </w:style>
  <w:style w:type="paragraph" w:styleId="29">
    <w:name w:val="Body Text 2"/>
    <w:basedOn w:val="1"/>
    <w:qFormat/>
    <w:uiPriority w:val="0"/>
    <w:pPr>
      <w:spacing w:after="120" w:line="480" w:lineRule="auto"/>
    </w:p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next w:val="1"/>
    <w:link w:val="169"/>
    <w:qFormat/>
    <w:uiPriority w:val="0"/>
    <w:pPr>
      <w:keepNext/>
      <w:keepLines/>
      <w:widowControl/>
      <w:tabs>
        <w:tab w:val="center" w:pos="540"/>
      </w:tabs>
      <w:spacing w:line="360" w:lineRule="auto"/>
      <w:outlineLvl w:val="0"/>
    </w:pPr>
    <w:rPr>
      <w:rFonts w:ascii="Arial" w:hAnsi="Arial" w:cs="Arial"/>
      <w:b/>
      <w:bCs/>
      <w:sz w:val="28"/>
      <w:szCs w:val="32"/>
    </w:rPr>
  </w:style>
  <w:style w:type="paragraph" w:styleId="32">
    <w:name w:val="annotation subject"/>
    <w:basedOn w:val="13"/>
    <w:next w:val="13"/>
    <w:link w:val="76"/>
    <w:qFormat/>
    <w:uiPriority w:val="0"/>
    <w:pPr>
      <w:spacing w:line="348" w:lineRule="auto"/>
    </w:pPr>
    <w:rPr>
      <w:b/>
      <w:bCs/>
      <w:szCs w:val="24"/>
    </w:rPr>
  </w:style>
  <w:style w:type="paragraph" w:styleId="33">
    <w:name w:val="Body Text First Indent"/>
    <w:basedOn w:val="15"/>
    <w:qFormat/>
    <w:uiPriority w:val="0"/>
    <w:pPr>
      <w:ind w:firstLine="420" w:firstLineChars="100"/>
    </w:pPr>
  </w:style>
  <w:style w:type="paragraph" w:styleId="34">
    <w:name w:val="Body Text First Indent 2"/>
    <w:basedOn w:val="16"/>
    <w:link w:val="174"/>
    <w:unhideWhenUsed/>
    <w:qFormat/>
    <w:uiPriority w:val="0"/>
    <w:pPr>
      <w:spacing w:line="240" w:lineRule="auto"/>
      <w:ind w:firstLine="420" w:firstLineChars="200"/>
    </w:pPr>
    <w:rPr>
      <w:rFonts w:ascii="Times New Roman" w:hAnsi="Times New Roman"/>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FollowedHyperlink"/>
    <w:qFormat/>
    <w:uiPriority w:val="0"/>
    <w:rPr>
      <w:color w:val="800080"/>
      <w:u w:val="single"/>
    </w:rPr>
  </w:style>
  <w:style w:type="character" w:styleId="40">
    <w:name w:val="Emphasis"/>
    <w:qFormat/>
    <w:uiPriority w:val="20"/>
    <w:rPr>
      <w:color w:val="CC0000"/>
    </w:rPr>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character" w:customStyle="1" w:styleId="43">
    <w:name w:val="批注框文本 字符"/>
    <w:link w:val="21"/>
    <w:qFormat/>
    <w:uiPriority w:val="99"/>
    <w:rPr>
      <w:kern w:val="2"/>
      <w:sz w:val="18"/>
      <w:szCs w:val="18"/>
    </w:rPr>
  </w:style>
  <w:style w:type="character" w:customStyle="1" w:styleId="44">
    <w:name w:val="正文缩进 字符"/>
    <w:link w:val="9"/>
    <w:qFormat/>
    <w:uiPriority w:val="99"/>
    <w:rPr>
      <w:kern w:val="2"/>
      <w:sz w:val="21"/>
      <w:szCs w:val="24"/>
    </w:rPr>
  </w:style>
  <w:style w:type="character" w:customStyle="1" w:styleId="45">
    <w:name w:val="正文文本缩进 3 字符"/>
    <w:link w:val="28"/>
    <w:qFormat/>
    <w:uiPriority w:val="0"/>
    <w:rPr>
      <w:kern w:val="2"/>
      <w:sz w:val="16"/>
      <w:szCs w:val="16"/>
    </w:rPr>
  </w:style>
  <w:style w:type="character" w:customStyle="1" w:styleId="46">
    <w:name w:val="标题 4 字符"/>
    <w:link w:val="6"/>
    <w:qFormat/>
    <w:uiPriority w:val="9"/>
    <w:rPr>
      <w:rFonts w:ascii="Cambria" w:hAnsi="Cambria"/>
      <w:b/>
      <w:bCs/>
      <w:kern w:val="2"/>
      <w:sz w:val="28"/>
      <w:szCs w:val="28"/>
    </w:rPr>
  </w:style>
  <w:style w:type="character" w:customStyle="1" w:styleId="47">
    <w:name w:val="正文2 Char Char"/>
    <w:qFormat/>
    <w:uiPriority w:val="0"/>
    <w:rPr>
      <w:kern w:val="2"/>
      <w:sz w:val="24"/>
    </w:rPr>
  </w:style>
  <w:style w:type="character" w:customStyle="1" w:styleId="48">
    <w:name w:val="18"/>
    <w:basedOn w:val="37"/>
    <w:qFormat/>
    <w:uiPriority w:val="0"/>
    <w:rPr>
      <w:rFonts w:hint="eastAsia" w:ascii="宋体" w:hAnsi="宋体" w:eastAsia="宋体"/>
      <w:color w:val="000000"/>
      <w:sz w:val="24"/>
      <w:szCs w:val="24"/>
      <w:vertAlign w:val="superscript"/>
    </w:rPr>
  </w:style>
  <w:style w:type="character" w:customStyle="1" w:styleId="49">
    <w:name w:val="15"/>
    <w:basedOn w:val="37"/>
    <w:qFormat/>
    <w:uiPriority w:val="0"/>
    <w:rPr>
      <w:rFonts w:hint="eastAsia" w:ascii="宋体" w:hAnsi="宋体" w:eastAsia="宋体"/>
      <w:color w:val="000000"/>
      <w:sz w:val="22"/>
      <w:szCs w:val="22"/>
    </w:rPr>
  </w:style>
  <w:style w:type="character" w:customStyle="1" w:styleId="50">
    <w:name w:val="纯文本 Char1"/>
    <w:qFormat/>
    <w:uiPriority w:val="0"/>
    <w:rPr>
      <w:rFonts w:ascii="宋体" w:hAnsi="Courier New" w:eastAsia="宋体"/>
      <w:kern w:val="2"/>
      <w:sz w:val="21"/>
      <w:lang w:val="en-US" w:eastAsia="zh-CN"/>
    </w:rPr>
  </w:style>
  <w:style w:type="character" w:customStyle="1" w:styleId="51">
    <w:name w:val="Char Char Char"/>
    <w:qFormat/>
    <w:uiPriority w:val="0"/>
    <w:rPr>
      <w:rFonts w:ascii="宋体" w:hAnsi="Courier New" w:eastAsia="宋体"/>
      <w:kern w:val="2"/>
      <w:sz w:val="21"/>
      <w:lang w:val="en-US" w:eastAsia="zh-CN" w:bidi="ar-SA"/>
    </w:rPr>
  </w:style>
  <w:style w:type="character" w:customStyle="1" w:styleId="52">
    <w:name w:val="表正文 Char"/>
    <w:qFormat/>
    <w:uiPriority w:val="0"/>
    <w:rPr>
      <w:rFonts w:eastAsia="宋体"/>
      <w:kern w:val="2"/>
      <w:sz w:val="21"/>
      <w:szCs w:val="24"/>
      <w:lang w:val="en-US" w:eastAsia="zh-CN" w:bidi="ar-SA"/>
    </w:rPr>
  </w:style>
  <w:style w:type="character" w:customStyle="1" w:styleId="53">
    <w:name w:val="正文文本缩进 字符"/>
    <w:link w:val="16"/>
    <w:qFormat/>
    <w:uiPriority w:val="0"/>
    <w:rPr>
      <w:rFonts w:eastAsia="宋体"/>
      <w:kern w:val="2"/>
      <w:sz w:val="21"/>
      <w:szCs w:val="24"/>
      <w:lang w:val="en-US" w:eastAsia="zh-CN" w:bidi="ar-SA"/>
    </w:rPr>
  </w:style>
  <w:style w:type="character" w:customStyle="1" w:styleId="54">
    <w:name w:val="标题 5 字符"/>
    <w:link w:val="7"/>
    <w:qFormat/>
    <w:uiPriority w:val="0"/>
    <w:rPr>
      <w:b/>
      <w:bCs/>
      <w:sz w:val="24"/>
      <w:szCs w:val="28"/>
    </w:rPr>
  </w:style>
  <w:style w:type="character" w:customStyle="1" w:styleId="55">
    <w:name w:val="标题 6 字符"/>
    <w:link w:val="2"/>
    <w:qFormat/>
    <w:uiPriority w:val="0"/>
    <w:rPr>
      <w:rFonts w:ascii="Cambria" w:hAnsi="Cambria" w:eastAsia="宋体" w:cs="Times New Roman"/>
      <w:b/>
      <w:bCs/>
      <w:kern w:val="2"/>
      <w:sz w:val="24"/>
      <w:szCs w:val="24"/>
    </w:rPr>
  </w:style>
  <w:style w:type="character" w:customStyle="1" w:styleId="56">
    <w:name w:val="纯文本 字符"/>
    <w:link w:val="18"/>
    <w:qFormat/>
    <w:uiPriority w:val="0"/>
    <w:rPr>
      <w:rFonts w:ascii="宋体" w:hAnsi="Courier New" w:eastAsia="宋体"/>
      <w:kern w:val="2"/>
      <w:sz w:val="21"/>
      <w:lang w:val="en-US" w:eastAsia="zh-CN" w:bidi="ar-SA"/>
    </w:rPr>
  </w:style>
  <w:style w:type="character" w:customStyle="1" w:styleId="57">
    <w:name w:val="纯文本 Char3"/>
    <w:qFormat/>
    <w:uiPriority w:val="0"/>
    <w:rPr>
      <w:rFonts w:ascii="宋体" w:hAnsi="Courier New" w:eastAsia="宋体"/>
      <w:kern w:val="2"/>
      <w:sz w:val="21"/>
      <w:lang w:val="en-US" w:eastAsia="zh-CN" w:bidi="ar-SA"/>
    </w:rPr>
  </w:style>
  <w:style w:type="character" w:customStyle="1" w:styleId="58">
    <w:name w:val="NormalCharacter"/>
    <w:link w:val="59"/>
    <w:qFormat/>
    <w:uiPriority w:val="0"/>
    <w:rPr>
      <w:rFonts w:ascii="Tahoma" w:hAnsi="Tahoma"/>
      <w:sz w:val="24"/>
    </w:rPr>
  </w:style>
  <w:style w:type="paragraph" w:customStyle="1" w:styleId="59">
    <w:name w:val="UserStyle_13"/>
    <w:basedOn w:val="1"/>
    <w:link w:val="58"/>
    <w:qFormat/>
    <w:uiPriority w:val="0"/>
    <w:pPr>
      <w:widowControl/>
      <w:spacing w:line="360" w:lineRule="auto"/>
      <w:ind w:firstLine="200" w:firstLineChars="200"/>
    </w:pPr>
    <w:rPr>
      <w:rFonts w:ascii="Tahoma" w:hAnsi="Tahoma"/>
      <w:kern w:val="0"/>
      <w:sz w:val="24"/>
      <w:szCs w:val="20"/>
    </w:rPr>
  </w:style>
  <w:style w:type="character" w:customStyle="1" w:styleId="60">
    <w:name w:val="正文2 Char"/>
    <w:link w:val="61"/>
    <w:qFormat/>
    <w:uiPriority w:val="0"/>
    <w:rPr>
      <w:kern w:val="2"/>
      <w:sz w:val="24"/>
    </w:rPr>
  </w:style>
  <w:style w:type="paragraph" w:customStyle="1" w:styleId="61">
    <w:name w:val="正文2"/>
    <w:basedOn w:val="1"/>
    <w:link w:val="60"/>
    <w:qFormat/>
    <w:uiPriority w:val="0"/>
    <w:pPr>
      <w:spacing w:before="156" w:line="360" w:lineRule="auto"/>
      <w:ind w:firstLine="510" w:firstLineChars="200"/>
    </w:pPr>
    <w:rPr>
      <w:sz w:val="24"/>
      <w:szCs w:val="20"/>
    </w:rPr>
  </w:style>
  <w:style w:type="character" w:customStyle="1" w:styleId="62">
    <w:name w:val="列表段落 字符"/>
    <w:link w:val="63"/>
    <w:qFormat/>
    <w:uiPriority w:val="34"/>
    <w:rPr>
      <w:rFonts w:ascii="Calibri" w:hAnsi="Calibri" w:eastAsia="宋体" w:cs="Times New Roman"/>
      <w:kern w:val="2"/>
      <w:sz w:val="21"/>
      <w:szCs w:val="22"/>
    </w:rPr>
  </w:style>
  <w:style w:type="paragraph" w:styleId="63">
    <w:name w:val="List Paragraph"/>
    <w:basedOn w:val="1"/>
    <w:link w:val="62"/>
    <w:qFormat/>
    <w:uiPriority w:val="34"/>
    <w:pPr>
      <w:spacing w:line="240" w:lineRule="auto"/>
      <w:ind w:firstLine="420" w:firstLineChars="200"/>
    </w:pPr>
    <w:rPr>
      <w:szCs w:val="22"/>
    </w:rPr>
  </w:style>
  <w:style w:type="character" w:customStyle="1" w:styleId="64">
    <w:name w:val="居中表格内容 Char"/>
    <w:link w:val="65"/>
    <w:qFormat/>
    <w:uiPriority w:val="0"/>
    <w:rPr>
      <w:rFonts w:cs="宋体"/>
      <w:color w:val="000000"/>
      <w:sz w:val="21"/>
      <w:szCs w:val="24"/>
    </w:rPr>
  </w:style>
  <w:style w:type="paragraph" w:customStyle="1" w:styleId="65">
    <w:name w:val="居中表格内容"/>
    <w:basedOn w:val="1"/>
    <w:next w:val="1"/>
    <w:link w:val="64"/>
    <w:qFormat/>
    <w:uiPriority w:val="0"/>
    <w:pPr>
      <w:widowControl/>
      <w:spacing w:line="240" w:lineRule="auto"/>
    </w:pPr>
    <w:rPr>
      <w:color w:val="000000"/>
      <w:kern w:val="0"/>
    </w:rPr>
  </w:style>
  <w:style w:type="character" w:customStyle="1" w:styleId="66">
    <w:name w:val="批注文字 字符"/>
    <w:link w:val="13"/>
    <w:qFormat/>
    <w:uiPriority w:val="0"/>
    <w:rPr>
      <w:rFonts w:ascii="Calibri" w:hAnsi="Calibri" w:eastAsia="宋体" w:cs="Times New Roman"/>
      <w:kern w:val="2"/>
      <w:sz w:val="21"/>
      <w:szCs w:val="22"/>
    </w:rPr>
  </w:style>
  <w:style w:type="character" w:customStyle="1" w:styleId="67">
    <w:name w:val="页脚 字符"/>
    <w:link w:val="22"/>
    <w:qFormat/>
    <w:uiPriority w:val="99"/>
    <w:rPr>
      <w:kern w:val="2"/>
      <w:sz w:val="18"/>
      <w:szCs w:val="18"/>
    </w:rPr>
  </w:style>
  <w:style w:type="character" w:customStyle="1" w:styleId="68">
    <w:name w:val="标题 3 字符"/>
    <w:link w:val="5"/>
    <w:qFormat/>
    <w:uiPriority w:val="9"/>
    <w:rPr>
      <w:b/>
      <w:bCs/>
      <w:kern w:val="2"/>
      <w:sz w:val="32"/>
      <w:szCs w:val="32"/>
    </w:rPr>
  </w:style>
  <w:style w:type="character" w:customStyle="1" w:styleId="69">
    <w:name w:val="正文加粗 字符"/>
    <w:link w:val="70"/>
    <w:qFormat/>
    <w:uiPriority w:val="0"/>
    <w:rPr>
      <w:rFonts w:ascii="微软雅黑" w:hAnsi="等线" w:eastAsia="微软雅黑"/>
      <w:b/>
      <w:kern w:val="2"/>
      <w:sz w:val="24"/>
      <w:szCs w:val="22"/>
    </w:rPr>
  </w:style>
  <w:style w:type="paragraph" w:customStyle="1" w:styleId="70">
    <w:name w:val="正文加粗"/>
    <w:basedOn w:val="1"/>
    <w:link w:val="69"/>
    <w:qFormat/>
    <w:uiPriority w:val="0"/>
    <w:pPr>
      <w:spacing w:line="360" w:lineRule="auto"/>
      <w:ind w:firstLine="480" w:firstLineChars="200"/>
      <w:jc w:val="left"/>
    </w:pPr>
    <w:rPr>
      <w:rFonts w:ascii="微软雅黑" w:hAnsi="等线" w:eastAsia="微软雅黑"/>
      <w:b/>
      <w:sz w:val="24"/>
      <w:szCs w:val="22"/>
    </w:rPr>
  </w:style>
  <w:style w:type="character" w:customStyle="1" w:styleId="71">
    <w:name w:val="列出段落 Char1"/>
    <w:qFormat/>
    <w:uiPriority w:val="0"/>
    <w:rPr>
      <w:rFonts w:ascii="Calibri" w:hAnsi="Calibri"/>
      <w:kern w:val="2"/>
      <w:sz w:val="21"/>
      <w:szCs w:val="22"/>
    </w:rPr>
  </w:style>
  <w:style w:type="character" w:customStyle="1" w:styleId="72">
    <w:name w:val="17"/>
    <w:basedOn w:val="37"/>
    <w:qFormat/>
    <w:uiPriority w:val="0"/>
    <w:rPr>
      <w:rFonts w:hint="default" w:ascii="Arial" w:hAnsi="Arial" w:cs="Arial"/>
      <w:color w:val="000000"/>
      <w:sz w:val="22"/>
      <w:szCs w:val="22"/>
    </w:rPr>
  </w:style>
  <w:style w:type="character" w:customStyle="1" w:styleId="73">
    <w:name w:val="font61"/>
    <w:basedOn w:val="37"/>
    <w:qFormat/>
    <w:uiPriority w:val="0"/>
    <w:rPr>
      <w:rFonts w:hint="eastAsia" w:ascii="宋体" w:hAnsi="宋体" w:eastAsia="宋体" w:cs="宋体"/>
      <w:color w:val="000000"/>
      <w:sz w:val="24"/>
      <w:szCs w:val="24"/>
      <w:u w:val="none"/>
    </w:rPr>
  </w:style>
  <w:style w:type="character" w:customStyle="1" w:styleId="74">
    <w:name w:val="纯文本 Char2"/>
    <w:qFormat/>
    <w:uiPriority w:val="0"/>
    <w:rPr>
      <w:rFonts w:ascii="宋体" w:hAnsi="Courier New" w:eastAsia="宋体" w:cs="Courier New"/>
      <w:sz w:val="21"/>
      <w:szCs w:val="21"/>
    </w:rPr>
  </w:style>
  <w:style w:type="character" w:customStyle="1" w:styleId="75">
    <w:name w:val="16"/>
    <w:basedOn w:val="37"/>
    <w:qFormat/>
    <w:uiPriority w:val="0"/>
    <w:rPr>
      <w:rFonts w:hint="eastAsia" w:ascii="宋体" w:hAnsi="宋体" w:eastAsia="宋体"/>
      <w:color w:val="000000"/>
      <w:sz w:val="24"/>
      <w:szCs w:val="24"/>
    </w:rPr>
  </w:style>
  <w:style w:type="character" w:customStyle="1" w:styleId="76">
    <w:name w:val="批注主题 字符"/>
    <w:link w:val="32"/>
    <w:qFormat/>
    <w:uiPriority w:val="0"/>
    <w:rPr>
      <w:rFonts w:ascii="Calibri" w:hAnsi="Calibri" w:eastAsia="宋体" w:cs="Times New Roman"/>
      <w:b/>
      <w:bCs/>
      <w:kern w:val="2"/>
      <w:sz w:val="21"/>
      <w:szCs w:val="24"/>
    </w:rPr>
  </w:style>
  <w:style w:type="character" w:customStyle="1" w:styleId="77">
    <w:name w:val="1.5倍行距 Char"/>
    <w:link w:val="78"/>
    <w:qFormat/>
    <w:uiPriority w:val="0"/>
    <w:rPr>
      <w:rFonts w:ascii="宋体" w:hAnsi="宋体"/>
      <w:kern w:val="2"/>
      <w:sz w:val="24"/>
      <w:szCs w:val="24"/>
    </w:rPr>
  </w:style>
  <w:style w:type="paragraph" w:customStyle="1" w:styleId="78">
    <w:name w:val="1.5倍行距"/>
    <w:basedOn w:val="1"/>
    <w:link w:val="77"/>
    <w:qFormat/>
    <w:uiPriority w:val="0"/>
    <w:pPr>
      <w:spacing w:line="360" w:lineRule="auto"/>
      <w:ind w:firstLine="480" w:firstLineChars="200"/>
    </w:pPr>
    <w:rPr>
      <w:rFonts w:ascii="宋体" w:hAnsi="宋体"/>
      <w:sz w:val="24"/>
    </w:rPr>
  </w:style>
  <w:style w:type="character" w:customStyle="1" w:styleId="79">
    <w:name w:val="样式4 Char"/>
    <w:link w:val="80"/>
    <w:qFormat/>
    <w:uiPriority w:val="0"/>
    <w:rPr>
      <w:rFonts w:ascii="Calibri" w:hAnsi="Calibri"/>
      <w:kern w:val="2"/>
      <w:sz w:val="24"/>
      <w:szCs w:val="22"/>
    </w:rPr>
  </w:style>
  <w:style w:type="paragraph" w:customStyle="1" w:styleId="80">
    <w:name w:val="样式4"/>
    <w:basedOn w:val="1"/>
    <w:link w:val="79"/>
    <w:qFormat/>
    <w:uiPriority w:val="0"/>
    <w:pPr>
      <w:spacing w:line="360" w:lineRule="auto"/>
    </w:pPr>
    <w:rPr>
      <w:sz w:val="24"/>
      <w:szCs w:val="22"/>
    </w:rPr>
  </w:style>
  <w:style w:type="character" w:customStyle="1" w:styleId="81">
    <w:name w:val="font21"/>
    <w:basedOn w:val="37"/>
    <w:qFormat/>
    <w:uiPriority w:val="0"/>
    <w:rPr>
      <w:rFonts w:hint="default" w:ascii="Times New Roman" w:hAnsi="Times New Roman" w:cs="Times New Roman"/>
      <w:color w:val="000000"/>
      <w:sz w:val="24"/>
      <w:szCs w:val="24"/>
      <w:u w:val="none"/>
    </w:rPr>
  </w:style>
  <w:style w:type="character" w:customStyle="1" w:styleId="82">
    <w:name w:val="正文首行缩进2字符 Char"/>
    <w:link w:val="83"/>
    <w:qFormat/>
    <w:uiPriority w:val="0"/>
    <w:rPr>
      <w:rFonts w:ascii="宋体" w:hAnsi="宋体" w:eastAsia="宋体" w:cs="Times New Roman"/>
      <w:kern w:val="2"/>
      <w:sz w:val="24"/>
      <w:szCs w:val="28"/>
    </w:rPr>
  </w:style>
  <w:style w:type="paragraph" w:customStyle="1" w:styleId="83">
    <w:name w:val="正文首行缩进2字符"/>
    <w:basedOn w:val="1"/>
    <w:link w:val="82"/>
    <w:qFormat/>
    <w:uiPriority w:val="0"/>
    <w:pPr>
      <w:spacing w:line="360" w:lineRule="auto"/>
      <w:ind w:firstLine="480" w:firstLineChars="200"/>
    </w:pPr>
    <w:rPr>
      <w:rFonts w:ascii="宋体" w:hAnsi="宋体"/>
      <w:sz w:val="24"/>
      <w:szCs w:val="28"/>
    </w:rPr>
  </w:style>
  <w:style w:type="paragraph" w:customStyle="1" w:styleId="84">
    <w:name w:val="cm4"/>
    <w:basedOn w:val="1"/>
    <w:qFormat/>
    <w:uiPriority w:val="0"/>
    <w:pPr>
      <w:widowControl/>
      <w:spacing w:before="100" w:beforeAutospacing="1" w:after="100" w:afterAutospacing="1" w:line="312" w:lineRule="auto"/>
      <w:jc w:val="left"/>
    </w:pPr>
    <w:rPr>
      <w:rFonts w:ascii="宋体" w:hAnsi="宋体" w:cs="宋体"/>
      <w:kern w:val="0"/>
      <w:sz w:val="18"/>
      <w:szCs w:val="18"/>
    </w:rPr>
  </w:style>
  <w:style w:type="paragraph" w:customStyle="1" w:styleId="85">
    <w:name w:val="修订1"/>
    <w:qFormat/>
    <w:uiPriority w:val="99"/>
    <w:rPr>
      <w:rFonts w:ascii="Calibri" w:hAnsi="Calibri" w:eastAsia="宋体" w:cs="Times New Roman"/>
      <w:kern w:val="2"/>
      <w:sz w:val="21"/>
      <w:szCs w:val="24"/>
      <w:lang w:val="en-US" w:eastAsia="zh-CN" w:bidi="ar-SA"/>
    </w:rPr>
  </w:style>
  <w:style w:type="paragraph" w:customStyle="1" w:styleId="86">
    <w:name w:val="reader-word-layer reader-word-s8-6 reader-word-s8-17"/>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纯文本1"/>
    <w:basedOn w:val="1"/>
    <w:qFormat/>
    <w:uiPriority w:val="99"/>
    <w:rPr>
      <w:rFonts w:ascii="宋体" w:hAnsi="Courier New"/>
    </w:rPr>
  </w:style>
  <w:style w:type="paragraph" w:customStyle="1" w:styleId="88">
    <w:name w:val="reader-word-layer reader-word-s9-7"/>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reader-word-layer reader-word-s19-3"/>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18-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reader-word-layer reader-word-s19-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段"/>
    <w:qFormat/>
    <w:uiPriority w:val="0"/>
    <w:pPr>
      <w:autoSpaceDE w:val="0"/>
      <w:autoSpaceDN w:val="0"/>
      <w:spacing w:line="348" w:lineRule="auto"/>
      <w:ind w:firstLine="200" w:firstLineChars="200"/>
      <w:jc w:val="both"/>
    </w:pPr>
    <w:rPr>
      <w:rFonts w:ascii="宋体" w:hAnsi="Calibri" w:eastAsia="宋体" w:cs="Times New Roman"/>
      <w:sz w:val="21"/>
      <w:lang w:val="en-US" w:eastAsia="zh-CN" w:bidi="ar-SA"/>
    </w:rPr>
  </w:style>
  <w:style w:type="paragraph" w:customStyle="1" w:styleId="93">
    <w:name w:val="reader-word-layer reader-word-s1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19-19"/>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9-3"/>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Char2"/>
    <w:basedOn w:val="1"/>
    <w:qFormat/>
    <w:uiPriority w:val="0"/>
    <w:rPr>
      <w:rFonts w:ascii="仿宋_GB2312" w:eastAsia="仿宋_GB2312"/>
      <w:b/>
      <w:sz w:val="32"/>
      <w:szCs w:val="32"/>
    </w:rPr>
  </w:style>
  <w:style w:type="paragraph" w:customStyle="1" w:styleId="97">
    <w:name w:val="reader-word-layer reader-word-s9-11"/>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列表内容"/>
    <w:basedOn w:val="1"/>
    <w:next w:val="1"/>
    <w:qFormat/>
    <w:uiPriority w:val="0"/>
    <w:pPr>
      <w:widowControl/>
      <w:numPr>
        <w:ilvl w:val="0"/>
        <w:numId w:val="4"/>
      </w:numPr>
      <w:jc w:val="left"/>
    </w:pPr>
    <w:rPr>
      <w:kern w:val="0"/>
      <w:sz w:val="18"/>
    </w:rPr>
  </w:style>
  <w:style w:type="paragraph" w:customStyle="1" w:styleId="99">
    <w:name w:val="reader-word-layer reader-word-s19-16 reader-word-s19-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列出段落1"/>
    <w:basedOn w:val="1"/>
    <w:qFormat/>
    <w:uiPriority w:val="34"/>
    <w:pPr>
      <w:spacing w:line="240" w:lineRule="auto"/>
      <w:ind w:firstLine="420" w:firstLineChars="200"/>
    </w:pPr>
  </w:style>
  <w:style w:type="paragraph" w:customStyle="1" w:styleId="101">
    <w:name w:val="reader-word-layer reader-word-s19-2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正文 A"/>
    <w:qFormat/>
    <w:uiPriority w:val="0"/>
    <w:pPr>
      <w:widowControl w:val="0"/>
      <w:jc w:val="both"/>
    </w:pPr>
    <w:rPr>
      <w:rFonts w:ascii="Calibri" w:hAnsi="Calibri" w:eastAsia="Times New Roman" w:cs="Calibri"/>
      <w:color w:val="000000"/>
      <w:kern w:val="2"/>
      <w:sz w:val="21"/>
      <w:szCs w:val="21"/>
      <w:u w:color="000000"/>
      <w:lang w:val="en-US" w:eastAsia="zh-CN" w:bidi="ar-SA"/>
    </w:rPr>
  </w:style>
  <w:style w:type="paragraph" w:customStyle="1" w:styleId="103">
    <w:name w:val="reader-word-layer reader-word-s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reader-word-layer reader-word-s9-9"/>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reader-word-layer reader-word-s19-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reader-word-layer reader-word-s19-6"/>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正文1"/>
    <w:next w:val="108"/>
    <w:qFormat/>
    <w:uiPriority w:val="0"/>
    <w:pPr>
      <w:jc w:val="both"/>
    </w:pPr>
    <w:rPr>
      <w:rFonts w:ascii="Calibri" w:hAnsi="Calibri" w:eastAsia="宋体" w:cs="Times New Roman"/>
      <w:kern w:val="2"/>
      <w:sz w:val="21"/>
      <w:szCs w:val="21"/>
      <w:lang w:val="en-US" w:eastAsia="zh-CN" w:bidi="ar-SA"/>
    </w:rPr>
  </w:style>
  <w:style w:type="paragraph" w:customStyle="1" w:styleId="108">
    <w:name w:val="目录 11"/>
    <w:basedOn w:val="107"/>
    <w:next w:val="107"/>
    <w:semiHidden/>
    <w:qFormat/>
    <w:uiPriority w:val="0"/>
    <w:pPr>
      <w:spacing w:before="120" w:after="120"/>
      <w:jc w:val="left"/>
    </w:pPr>
    <w:rPr>
      <w:b/>
      <w:bCs/>
      <w:caps/>
      <w:sz w:val="20"/>
      <w:szCs w:val="20"/>
    </w:rPr>
  </w:style>
  <w:style w:type="paragraph" w:customStyle="1" w:styleId="109">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10">
    <w:name w:val="reader-word-layer reader-word-s9-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List Paragraph1"/>
    <w:basedOn w:val="1"/>
    <w:qFormat/>
    <w:uiPriority w:val="0"/>
    <w:pPr>
      <w:spacing w:line="240" w:lineRule="auto"/>
      <w:ind w:firstLine="420" w:firstLineChars="200"/>
    </w:pPr>
    <w:rPr>
      <w:szCs w:val="22"/>
    </w:rPr>
  </w:style>
  <w:style w:type="paragraph" w:customStyle="1" w:styleId="112">
    <w:name w:val="reader-word-layer reader-word-s8-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reader-word-layer reader-word-s18-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reader-word-layer reader-word-s19-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reader-word-layer reader-word-s18-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reader-word-layer reader-word-s18-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reader-word-layer reader-word-s19-7"/>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reader-word-layer reader-word-s19-15 reader-word-s19-19 reader-word-s19-2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p0"/>
    <w:basedOn w:val="1"/>
    <w:qFormat/>
    <w:uiPriority w:val="0"/>
    <w:pPr>
      <w:widowControl/>
    </w:pPr>
    <w:rPr>
      <w:kern w:val="0"/>
      <w:szCs w:val="20"/>
    </w:rPr>
  </w:style>
  <w:style w:type="paragraph" w:customStyle="1" w:styleId="120">
    <w:name w:val="大转播车"/>
    <w:basedOn w:val="1"/>
    <w:qFormat/>
    <w:uiPriority w:val="0"/>
    <w:pPr>
      <w:shd w:val="clear" w:color="auto" w:fill="FFFFFF"/>
      <w:spacing w:line="300" w:lineRule="auto"/>
      <w:ind w:firstLine="485"/>
    </w:pPr>
    <w:rPr>
      <w:rFonts w:ascii="仿宋_GB2312" w:hAnsi="宋体" w:eastAsia="仿宋_GB2312"/>
      <w:sz w:val="24"/>
      <w:shd w:val="clear" w:color="auto" w:fill="FFFFFF"/>
    </w:rPr>
  </w:style>
  <w:style w:type="paragraph" w:customStyle="1" w:styleId="121">
    <w:name w:val="标书正文"/>
    <w:basedOn w:val="1"/>
    <w:qFormat/>
    <w:uiPriority w:val="0"/>
    <w:pPr>
      <w:spacing w:line="360" w:lineRule="auto"/>
      <w:ind w:firstLine="480" w:firstLineChars="200"/>
    </w:pPr>
    <w:rPr>
      <w:rFonts w:ascii="宋体" w:cs="宋体"/>
      <w:sz w:val="24"/>
    </w:rPr>
  </w:style>
  <w:style w:type="paragraph" w:customStyle="1" w:styleId="122">
    <w:name w:val="reader-word-layer reader-word-s19-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reader-word-layer reader-word-s8-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2 Char Char Char"/>
    <w:basedOn w:val="1"/>
    <w:qFormat/>
    <w:uiPriority w:val="0"/>
    <w:rPr>
      <w:rFonts w:ascii="仿宋_GB2312" w:eastAsia="仿宋_GB2312"/>
      <w:b/>
      <w:sz w:val="32"/>
      <w:szCs w:val="32"/>
    </w:rPr>
  </w:style>
  <w:style w:type="paragraph" w:customStyle="1" w:styleId="125">
    <w:name w:val="reader-word-layer reader-word-s18-2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方案正文"/>
    <w:basedOn w:val="1"/>
    <w:qFormat/>
    <w:uiPriority w:val="0"/>
    <w:pPr>
      <w:spacing w:line="360" w:lineRule="auto"/>
      <w:ind w:firstLine="200" w:firstLineChars="200"/>
    </w:pPr>
    <w:rPr>
      <w:sz w:val="24"/>
    </w:rPr>
  </w:style>
  <w:style w:type="paragraph" w:customStyle="1" w:styleId="127">
    <w:name w:val="标准中文版式_正文"/>
    <w:basedOn w:val="1"/>
    <w:qFormat/>
    <w:uiPriority w:val="0"/>
    <w:pPr>
      <w:spacing w:before="30" w:line="360" w:lineRule="auto"/>
      <w:ind w:firstLine="200" w:firstLineChars="200"/>
    </w:pPr>
    <w:rPr>
      <w:rFonts w:ascii="Arial" w:hAnsi="Arial"/>
      <w:sz w:val="24"/>
    </w:rPr>
  </w:style>
  <w:style w:type="paragraph" w:customStyle="1" w:styleId="128">
    <w:name w:val="_Style 10"/>
    <w:basedOn w:val="15"/>
    <w:next w:val="33"/>
    <w:qFormat/>
    <w:uiPriority w:val="0"/>
    <w:pPr>
      <w:ind w:firstLine="420" w:firstLineChars="100"/>
    </w:pPr>
    <w:rPr>
      <w:kern w:val="0"/>
      <w:sz w:val="20"/>
      <w:szCs w:val="21"/>
    </w:rPr>
  </w:style>
  <w:style w:type="paragraph" w:customStyle="1" w:styleId="129">
    <w:name w:val="reader-word-layer reader-word-s8-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reader-word-layer reader-word-s9-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正文01"/>
    <w:basedOn w:val="1"/>
    <w:qFormat/>
    <w:uiPriority w:val="0"/>
    <w:pPr>
      <w:spacing w:line="560" w:lineRule="exact"/>
      <w:ind w:firstLine="200" w:firstLineChars="200"/>
    </w:pPr>
    <w:rPr>
      <w:rFonts w:eastAsia="仿宋_GB2312"/>
      <w:color w:val="000000"/>
      <w:sz w:val="32"/>
      <w:szCs w:val="32"/>
    </w:rPr>
  </w:style>
  <w:style w:type="paragraph" w:customStyle="1" w:styleId="132">
    <w:name w:val="默认段落字体 Para Char Char Char Char Char Char Char Char Char1 Char Char Char Char"/>
    <w:basedOn w:val="1"/>
    <w:qFormat/>
    <w:uiPriority w:val="0"/>
    <w:rPr>
      <w:rFonts w:ascii="Tahoma" w:hAnsi="Tahoma"/>
      <w:sz w:val="24"/>
      <w:szCs w:val="20"/>
    </w:rPr>
  </w:style>
  <w:style w:type="paragraph" w:customStyle="1" w:styleId="133">
    <w:name w:val="reader-word-layer reader-word-s9-4 reader-word-s9-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35">
    <w:name w:val="reader-word-layer reader-word-s9-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37">
    <w:name w:val="reader-word-layer reader-word-s9-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reader-word-layer reader-word-s8-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reader-word-layer reader-word-s8-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reader-word-layer reader-word-s8-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reader-word-layer reader-word-s8-8 reader-word-s8-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reader-word-layer reader-word-s19-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4">
    <w:name w:val="reader-word-layer reader-word-s19-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reader-word-layer reader-word-s8-7"/>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
    <w:name w:val="reader-word-layer reader-word-s8-8"/>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
    <w:name w:val="正文段"/>
    <w:basedOn w:val="1"/>
    <w:qFormat/>
    <w:uiPriority w:val="0"/>
    <w:pPr>
      <w:widowControl/>
      <w:snapToGrid w:val="0"/>
      <w:spacing w:afterLines="50"/>
      <w:ind w:firstLine="200" w:firstLineChars="200"/>
    </w:pPr>
    <w:rPr>
      <w:kern w:val="0"/>
      <w:sz w:val="24"/>
      <w:szCs w:val="20"/>
    </w:rPr>
  </w:style>
  <w:style w:type="paragraph" w:customStyle="1" w:styleId="148">
    <w:name w:val="Char Char Char Char Char Char"/>
    <w:basedOn w:val="1"/>
    <w:qFormat/>
    <w:uiPriority w:val="0"/>
  </w:style>
  <w:style w:type="paragraph" w:customStyle="1" w:styleId="14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0">
    <w:name w:val="af17cgridlangnp1033langf"/>
    <w:qFormat/>
    <w:uiPriority w:val="0"/>
    <w:pPr>
      <w:widowControl w:val="0"/>
      <w:autoSpaceDE w:val="0"/>
      <w:autoSpaceDN w:val="0"/>
      <w:spacing w:before="156" w:line="360" w:lineRule="atLeast"/>
      <w:ind w:left="567" w:firstLine="510"/>
      <w:jc w:val="both"/>
    </w:pPr>
    <w:rPr>
      <w:rFonts w:hint="eastAsia" w:ascii="Calibri" w:hAnsi="Calibri" w:eastAsia="宋体" w:cs="Times New Roman"/>
      <w:lang w:val="en-US" w:eastAsia="zh-CN" w:bidi="ar-SA"/>
    </w:rPr>
  </w:style>
  <w:style w:type="paragraph" w:customStyle="1" w:styleId="151">
    <w:name w:val="reader-word-layer reader-word-s8-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reader-word-layer reader-word-s18-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MM Topic 3"/>
    <w:basedOn w:val="5"/>
    <w:qFormat/>
    <w:uiPriority w:val="0"/>
    <w:pPr>
      <w:widowControl/>
      <w:numPr>
        <w:ilvl w:val="0"/>
        <w:numId w:val="0"/>
      </w:numPr>
      <w:tabs>
        <w:tab w:val="left" w:pos="720"/>
      </w:tabs>
      <w:spacing w:beforeLines="50" w:afterLines="50"/>
      <w:ind w:left="720" w:hanging="720"/>
    </w:pPr>
    <w:rPr>
      <w:rFonts w:eastAsia="楷体_GB2312"/>
    </w:rPr>
  </w:style>
  <w:style w:type="paragraph" w:customStyle="1" w:styleId="154">
    <w:name w:val="reader-word-layer reader-word-s9-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Char Char6 Char Char Char Char"/>
    <w:basedOn w:val="1"/>
    <w:qFormat/>
    <w:uiPriority w:val="0"/>
  </w:style>
  <w:style w:type="paragraph" w:customStyle="1" w:styleId="156">
    <w:name w:val="reader-word-layer reader-word-s9-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reader-word-layer"/>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58">
    <w:name w:val="reader-word-layer reader-word-s6-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reader-word-layer reader-word-s8-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Char Char Char1"/>
    <w:basedOn w:val="1"/>
    <w:qFormat/>
    <w:uiPriority w:val="0"/>
    <w:rPr>
      <w:szCs w:val="21"/>
    </w:rPr>
  </w:style>
  <w:style w:type="paragraph" w:customStyle="1" w:styleId="161">
    <w:name w:val="Char"/>
    <w:basedOn w:val="1"/>
    <w:qFormat/>
    <w:uiPriority w:val="0"/>
    <w:rPr>
      <w:szCs w:val="20"/>
    </w:rPr>
  </w:style>
  <w:style w:type="paragraph" w:customStyle="1" w:styleId="162">
    <w:name w:val="reader-word-layer reader-word-s19-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reader-word-layer reader-word-s9-8"/>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reader-word-layer reader-word-s19-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Char1"/>
    <w:basedOn w:val="1"/>
    <w:qFormat/>
    <w:uiPriority w:val="0"/>
    <w:rPr>
      <w:szCs w:val="20"/>
    </w:rPr>
  </w:style>
  <w:style w:type="paragraph" w:customStyle="1" w:styleId="166">
    <w:name w:val="表内文字"/>
    <w:basedOn w:val="1"/>
    <w:qFormat/>
    <w:uiPriority w:val="0"/>
    <w:pPr>
      <w:snapToGrid w:val="0"/>
      <w:spacing w:before="50" w:after="50"/>
      <w:jc w:val="center"/>
    </w:pPr>
    <w:rPr>
      <w:rFonts w:ascii="宋体" w:hAnsi="宋体"/>
      <w:sz w:val="24"/>
      <w:szCs w:val="20"/>
    </w:rPr>
  </w:style>
  <w:style w:type="paragraph" w:customStyle="1" w:styleId="167">
    <w:name w:val="reader-word-layer reader-word-s19-11"/>
    <w:basedOn w:val="1"/>
    <w:qFormat/>
    <w:uiPriority w:val="0"/>
    <w:pPr>
      <w:widowControl/>
      <w:spacing w:before="100" w:beforeAutospacing="1" w:after="100" w:afterAutospacing="1"/>
      <w:jc w:val="left"/>
    </w:pPr>
    <w:rPr>
      <w:rFonts w:ascii="宋体" w:hAnsi="宋体" w:cs="宋体"/>
      <w:kern w:val="0"/>
      <w:sz w:val="24"/>
    </w:rPr>
  </w:style>
  <w:style w:type="character" w:customStyle="1" w:styleId="168">
    <w:name w:val="批注文字 Char1"/>
    <w:basedOn w:val="37"/>
    <w:qFormat/>
    <w:uiPriority w:val="99"/>
    <w:rPr>
      <w:rFonts w:ascii="Times New Roman" w:hAnsi="Times New Roman" w:eastAsia="宋体" w:cs="Times New Roman"/>
      <w:szCs w:val="24"/>
    </w:rPr>
  </w:style>
  <w:style w:type="character" w:customStyle="1" w:styleId="169">
    <w:name w:val="标题 字符"/>
    <w:basedOn w:val="37"/>
    <w:link w:val="31"/>
    <w:qFormat/>
    <w:uiPriority w:val="0"/>
    <w:rPr>
      <w:rFonts w:ascii="Arial" w:hAnsi="Arial" w:cs="Arial"/>
      <w:b/>
      <w:bCs/>
      <w:kern w:val="2"/>
      <w:sz w:val="28"/>
      <w:szCs w:val="32"/>
    </w:rPr>
  </w:style>
  <w:style w:type="character" w:customStyle="1" w:styleId="170">
    <w:name w:val="招标正文 字符"/>
    <w:link w:val="171"/>
    <w:qFormat/>
    <w:uiPriority w:val="0"/>
    <w:rPr>
      <w:rFonts w:ascii="宋体" w:hAnsi="宋体"/>
      <w:color w:val="000000"/>
      <w:sz w:val="24"/>
      <w:szCs w:val="21"/>
    </w:rPr>
  </w:style>
  <w:style w:type="paragraph" w:customStyle="1" w:styleId="171">
    <w:name w:val="招标正文"/>
    <w:basedOn w:val="147"/>
    <w:link w:val="170"/>
    <w:qFormat/>
    <w:uiPriority w:val="0"/>
    <w:pPr>
      <w:widowControl w:val="0"/>
      <w:adjustRightInd w:val="0"/>
      <w:spacing w:afterLines="0" w:line="360" w:lineRule="auto"/>
      <w:ind w:firstLine="480"/>
    </w:pPr>
    <w:rPr>
      <w:rFonts w:ascii="宋体" w:hAnsi="宋体"/>
      <w:color w:val="000000"/>
      <w:szCs w:val="21"/>
    </w:rPr>
  </w:style>
  <w:style w:type="character" w:customStyle="1" w:styleId="172">
    <w:name w:val="正文缩进 Char1"/>
    <w:qFormat/>
    <w:locked/>
    <w:uiPriority w:val="0"/>
    <w:rPr>
      <w:kern w:val="2"/>
      <w:sz w:val="21"/>
      <w:szCs w:val="24"/>
      <w:lang w:val="en-US" w:eastAsia="zh-CN" w:bidi="ar-SA"/>
    </w:rPr>
  </w:style>
  <w:style w:type="paragraph" w:customStyle="1" w:styleId="173">
    <w:name w:val="Table Paragraph"/>
    <w:basedOn w:val="1"/>
    <w:qFormat/>
    <w:uiPriority w:val="1"/>
    <w:pPr>
      <w:spacing w:line="240" w:lineRule="auto"/>
    </w:pPr>
    <w:rPr>
      <w:rFonts w:ascii="宋体" w:hAnsi="宋体" w:cs="宋体"/>
      <w:lang w:val="zh-CN" w:bidi="zh-CN"/>
    </w:rPr>
  </w:style>
  <w:style w:type="character" w:customStyle="1" w:styleId="174">
    <w:name w:val="正文文本首行缩进 2 字符"/>
    <w:basedOn w:val="53"/>
    <w:link w:val="34"/>
    <w:qFormat/>
    <w:uiPriority w:val="0"/>
    <w:rPr>
      <w:rFonts w:ascii="Times New Roman" w:hAnsi="Times New Roman" w:eastAsia="宋体"/>
      <w:kern w:val="2"/>
      <w:sz w:val="21"/>
      <w:szCs w:val="24"/>
      <w:lang w:val="en-US" w:eastAsia="zh-CN" w:bidi="ar-SA"/>
    </w:rPr>
  </w:style>
  <w:style w:type="paragraph" w:customStyle="1" w:styleId="175">
    <w:name w:val="纯文本_0_0"/>
    <w:basedOn w:val="176"/>
    <w:link w:val="177"/>
    <w:unhideWhenUsed/>
    <w:qFormat/>
    <w:uiPriority w:val="0"/>
    <w:rPr>
      <w:rFonts w:ascii="宋体" w:hAnsi="Courier New"/>
      <w:szCs w:val="21"/>
    </w:rPr>
  </w:style>
  <w:style w:type="paragraph" w:customStyle="1" w:styleId="1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纯文本 Char_0_0"/>
    <w:link w:val="175"/>
    <w:qFormat/>
    <w:uiPriority w:val="0"/>
    <w:rPr>
      <w:rFonts w:ascii="宋体" w:hAnsi="Courier New"/>
      <w:kern w:val="2"/>
      <w:sz w:val="21"/>
      <w:szCs w:val="21"/>
    </w:rPr>
  </w:style>
  <w:style w:type="paragraph" w:customStyle="1" w:styleId="178">
    <w:name w:val="纯文本2"/>
    <w:basedOn w:val="1"/>
    <w:qFormat/>
    <w:uiPriority w:val="0"/>
    <w:pPr>
      <w:adjustRightInd w:val="0"/>
      <w:spacing w:line="240" w:lineRule="auto"/>
      <w:textAlignment w:val="baseline"/>
    </w:pPr>
    <w:rPr>
      <w:rFonts w:ascii="宋体" w:hAnsi="Courier New" w:eastAsia="楷体_GB2312"/>
      <w:sz w:val="26"/>
      <w:szCs w:val="20"/>
    </w:rPr>
  </w:style>
  <w:style w:type="paragraph" w:customStyle="1" w:styleId="179">
    <w:name w:val="[Normal]"/>
    <w:qFormat/>
    <w:uiPriority w:val="0"/>
    <w:rPr>
      <w:rFonts w:ascii="宋体" w:hAnsi="宋体" w:eastAsia="宋体" w:cs="Times New Roman"/>
      <w:sz w:val="24"/>
      <w:szCs w:val="22"/>
      <w:lang w:val="zh-CN" w:eastAsia="zh-CN" w:bidi="ar-SA"/>
    </w:rPr>
  </w:style>
  <w:style w:type="paragraph" w:customStyle="1" w:styleId="180">
    <w:name w:val="UserStyle_85"/>
    <w:basedOn w:val="1"/>
    <w:qFormat/>
    <w:uiPriority w:val="0"/>
    <w:pPr>
      <w:spacing w:line="240" w:lineRule="auto"/>
    </w:pPr>
    <w:rPr>
      <w:rFonts w:ascii="Tahoma" w:hAnsi="Tahoma"/>
      <w:kern w:val="0"/>
      <w:sz w:val="24"/>
      <w:szCs w:val="20"/>
    </w:rPr>
  </w:style>
  <w:style w:type="character" w:customStyle="1" w:styleId="181">
    <w:name w:val="招标-主标题 字符"/>
    <w:link w:val="182"/>
    <w:qFormat/>
    <w:uiPriority w:val="0"/>
    <w:rPr>
      <w:rFonts w:ascii="宋体" w:hAnsi="宋体"/>
      <w:b/>
      <w:kern w:val="2"/>
      <w:sz w:val="32"/>
      <w:szCs w:val="22"/>
    </w:rPr>
  </w:style>
  <w:style w:type="paragraph" w:customStyle="1" w:styleId="182">
    <w:name w:val="招标-主标题"/>
    <w:basedOn w:val="1"/>
    <w:link w:val="181"/>
    <w:qFormat/>
    <w:uiPriority w:val="0"/>
    <w:pPr>
      <w:tabs>
        <w:tab w:val="left" w:pos="1620"/>
        <w:tab w:val="left" w:pos="1800"/>
        <w:tab w:val="left" w:pos="1980"/>
      </w:tabs>
      <w:spacing w:line="768" w:lineRule="auto"/>
      <w:jc w:val="center"/>
    </w:pPr>
    <w:rPr>
      <w:rFonts w:ascii="宋体" w:hAnsi="宋体"/>
      <w:b/>
      <w:sz w:val="32"/>
      <w:szCs w:val="22"/>
    </w:rPr>
  </w:style>
  <w:style w:type="paragraph" w:customStyle="1" w:styleId="183">
    <w:name w:val="PlainText"/>
    <w:basedOn w:val="1"/>
    <w:next w:val="1"/>
    <w:qFormat/>
    <w:uiPriority w:val="0"/>
    <w:pPr>
      <w:spacing w:line="240" w:lineRule="auto"/>
      <w:textAlignment w:val="baseline"/>
    </w:pPr>
    <w:rPr>
      <w:rFonts w:hint="eastAsia" w:ascii="宋体" w:hAnsi="Courier New"/>
      <w:sz w:val="20"/>
      <w:szCs w:val="20"/>
    </w:rPr>
  </w:style>
  <w:style w:type="paragraph" w:customStyle="1" w:styleId="184">
    <w:name w:val="正文缩进1"/>
    <w:basedOn w:val="1"/>
    <w:next w:val="26"/>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185">
    <w:name w:val="索引 11"/>
    <w:basedOn w:val="1"/>
    <w:next w:val="1"/>
    <w:qFormat/>
    <w:uiPriority w:val="99"/>
    <w:pPr>
      <w:spacing w:line="360" w:lineRule="auto"/>
    </w:pPr>
    <w:rPr>
      <w:rFonts w:ascii="仿宋_GB2312" w:hAnsi="Times New Roman" w:eastAsia="仿宋_GB2312"/>
      <w:sz w:val="24"/>
      <w:szCs w:val="20"/>
    </w:rPr>
  </w:style>
  <w:style w:type="paragraph" w:customStyle="1" w:styleId="186">
    <w:name w:val="Heading5"/>
    <w:basedOn w:val="1"/>
    <w:next w:val="1"/>
    <w:qFormat/>
    <w:uiPriority w:val="0"/>
    <w:pPr>
      <w:keepNext/>
      <w:keepLines/>
      <w:spacing w:after="120"/>
      <w:textAlignment w:val="baseline"/>
    </w:pPr>
    <w:rPr>
      <w:rFonts w:ascii="Times New Roman" w:hAnsi="Times New Roman" w:eastAsia="微软雅黑"/>
      <w:b/>
      <w:bCs/>
    </w:rPr>
  </w:style>
  <w:style w:type="paragraph" w:customStyle="1" w:styleId="187">
    <w:name w:val="UserStyle_0"/>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188">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47</Pages>
  <Words>11986</Words>
  <Characters>12804</Characters>
  <Lines>182</Lines>
  <Paragraphs>51</Paragraphs>
  <TotalTime>175</TotalTime>
  <ScaleCrop>false</ScaleCrop>
  <LinksUpToDate>false</LinksUpToDate>
  <CharactersWithSpaces>12948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2021-05-10T08:06:00Z</dcterms:created>
  <dc:creator>业务管理系统</dc:creator>
  <cp:lastModifiedBy>xhb*</cp:lastModifiedBy>
  <cp:lastPrinted>2025-05-19T00:16:00Z</cp:lastPrinted>
  <dcterms:modified xsi:type="dcterms:W3CDTF">2025-06-30T07:08:30Z</dcterms:modified>
  <dc:title>桐庐县疾病预防控制中心</dc:title>
  <cp:revision>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337B39680002490F9DFA1130FFA157DA_13</vt:lpwstr>
  </property>
  <property fmtid="{D5CDD505-2E9C-101B-9397-08002B2CF9AE}" pid="4" name="KSOTemplateDocerSaveRecord">
    <vt:lpwstr>eyJoZGlkIjoiZTFlYmJjODYxN2M5ZGMzYjdkZTA0ODRmY2RiNzc1ZGEiLCJ1c2VySWQiOiI0NDUxODU0NzcifQ==</vt:lpwstr>
  </property>
</Properties>
</file>