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CBA8">
      <w:pPr>
        <w:spacing w:line="360" w:lineRule="auto"/>
        <w:jc w:val="center"/>
        <w:rPr>
          <w:rFonts w:ascii="仿宋" w:hAnsi="仿宋" w:eastAsia="仿宋" w:cs="仿宋"/>
          <w:b/>
          <w:sz w:val="24"/>
          <w:highlight w:val="none"/>
        </w:rPr>
      </w:pPr>
    </w:p>
    <w:p w14:paraId="5E0AEBA2">
      <w:pPr>
        <w:pageBreakBefore w:val="0"/>
        <w:widowControl w:val="0"/>
        <w:kinsoku/>
        <w:wordWrap/>
        <w:overflowPunct/>
        <w:topLinePunct w:val="0"/>
        <w:autoSpaceDE/>
        <w:autoSpaceDN/>
        <w:bidi w:val="0"/>
        <w:snapToGrid/>
        <w:spacing w:line="480" w:lineRule="auto"/>
        <w:jc w:val="center"/>
        <w:textAlignment w:val="auto"/>
        <w:rPr>
          <w:rFonts w:ascii="仿宋" w:hAnsi="仿宋" w:eastAsia="仿宋" w:cs="仿宋"/>
          <w:b/>
          <w:sz w:val="36"/>
          <w:szCs w:val="36"/>
          <w:highlight w:val="none"/>
        </w:rPr>
      </w:pPr>
    </w:p>
    <w:p w14:paraId="24A36547">
      <w:pPr>
        <w:pStyle w:val="3"/>
        <w:pageBreakBefore w:val="0"/>
        <w:widowControl w:val="0"/>
        <w:kinsoku/>
        <w:wordWrap/>
        <w:overflowPunct/>
        <w:topLinePunct w:val="0"/>
        <w:autoSpaceDE/>
        <w:autoSpaceDN/>
        <w:bidi w:val="0"/>
        <w:snapToGrid/>
        <w:spacing w:line="480" w:lineRule="auto"/>
        <w:jc w:val="center"/>
        <w:textAlignment w:val="auto"/>
        <w:rPr>
          <w:rFonts w:hint="eastAsia" w:ascii="宋体" w:hAnsi="宋体" w:eastAsia="宋体" w:cs="宋体"/>
          <w:sz w:val="60"/>
          <w:szCs w:val="60"/>
          <w:highlight w:val="none"/>
          <w:lang w:eastAsia="zh-CN"/>
        </w:rPr>
      </w:pPr>
      <w:r>
        <w:rPr>
          <w:rFonts w:hint="eastAsia" w:ascii="宋体" w:hAnsi="宋体" w:eastAsia="宋体" w:cs="宋体"/>
          <w:sz w:val="48"/>
          <w:szCs w:val="48"/>
          <w:highlight w:val="none"/>
          <w:lang w:eastAsia="zh-CN"/>
        </w:rPr>
        <w:t>东湖街道3号泵站改造工程设备和自控采购项目</w:t>
      </w:r>
    </w:p>
    <w:p w14:paraId="0A5B265E">
      <w:pPr>
        <w:pStyle w:val="3"/>
        <w:rPr>
          <w:highlight w:val="none"/>
        </w:rPr>
      </w:pPr>
    </w:p>
    <w:p w14:paraId="56A14574">
      <w:pPr>
        <w:rPr>
          <w:highlight w:val="none"/>
        </w:rPr>
      </w:pPr>
    </w:p>
    <w:p w14:paraId="3C981E59">
      <w:pPr>
        <w:adjustRightInd/>
        <w:spacing w:line="360" w:lineRule="auto"/>
        <w:jc w:val="center"/>
        <w:rPr>
          <w:rFonts w:ascii="宋体" w:hAnsi="宋体" w:cs="宋体"/>
          <w:b/>
          <w:bCs/>
          <w:sz w:val="56"/>
          <w:szCs w:val="56"/>
          <w:highlight w:val="none"/>
        </w:rPr>
      </w:pPr>
      <w:r>
        <w:rPr>
          <w:rFonts w:hint="eastAsia" w:ascii="宋体" w:hAnsi="宋体" w:cs="宋体"/>
          <w:b/>
          <w:bCs/>
          <w:sz w:val="84"/>
          <w:szCs w:val="84"/>
          <w:highlight w:val="none"/>
        </w:rPr>
        <w:t>招 标 文 件</w:t>
      </w:r>
      <w:bookmarkStart w:id="424" w:name="_GoBack"/>
      <w:bookmarkEnd w:id="424"/>
    </w:p>
    <w:p w14:paraId="47AF6562">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064B00A4">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w:t>
      </w:r>
      <w:r>
        <w:rPr>
          <w:rFonts w:hint="eastAsia" w:ascii="宋体" w:hAnsi="宋体" w:cs="宋体"/>
          <w:b/>
          <w:sz w:val="44"/>
          <w:szCs w:val="44"/>
          <w:highlight w:val="none"/>
          <w:lang w:val="en-US" w:eastAsia="zh-CN"/>
        </w:rPr>
        <w:t>临采云电子</w:t>
      </w:r>
      <w:r>
        <w:rPr>
          <w:rFonts w:hint="eastAsia" w:ascii="宋体" w:hAnsi="宋体" w:cs="宋体"/>
          <w:b/>
          <w:sz w:val="44"/>
          <w:szCs w:val="44"/>
          <w:highlight w:val="none"/>
        </w:rPr>
        <w:t>招投标）</w:t>
      </w:r>
    </w:p>
    <w:p w14:paraId="530581CE">
      <w:pPr>
        <w:pStyle w:val="26"/>
        <w:ind w:firstLine="482"/>
        <w:rPr>
          <w:rFonts w:cs="宋体"/>
          <w:b/>
          <w:bCs/>
          <w:highlight w:val="none"/>
        </w:rPr>
      </w:pPr>
      <w:r>
        <w:rPr>
          <w:rFonts w:hint="eastAsia" w:cs="宋体"/>
          <w:b/>
          <w:bCs/>
          <w:highlight w:val="none"/>
        </w:rPr>
        <w:t xml:space="preserve"> </w:t>
      </w:r>
    </w:p>
    <w:p w14:paraId="43256BDA">
      <w:pPr>
        <w:snapToGrid w:val="0"/>
        <w:spacing w:line="360" w:lineRule="auto"/>
        <w:ind w:firstLine="0" w:firstLineChars="0"/>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rPr>
        <w:t>项目编号:</w:t>
      </w:r>
      <w:r>
        <w:rPr>
          <w:rFonts w:hint="eastAsia" w:ascii="宋体" w:hAnsi="宋体" w:cs="宋体"/>
          <w:b/>
          <w:bCs/>
          <w:i w:val="0"/>
          <w:iCs w:val="0"/>
          <w:caps w:val="0"/>
          <w:spacing w:val="0"/>
          <w:sz w:val="32"/>
          <w:szCs w:val="32"/>
          <w:highlight w:val="none"/>
          <w:shd w:val="clear"/>
          <w:lang w:val="en-US" w:eastAsia="zh-CN"/>
        </w:rPr>
        <w:t xml:space="preserve"> L3301100000004961002 </w:t>
      </w:r>
    </w:p>
    <w:p w14:paraId="601649BC">
      <w:pPr>
        <w:snapToGrid w:val="0"/>
        <w:spacing w:line="360" w:lineRule="auto"/>
        <w:rPr>
          <w:rFonts w:ascii="宋体" w:hAnsi="宋体" w:cs="宋体"/>
          <w:b/>
          <w:bCs/>
          <w:sz w:val="30"/>
          <w:szCs w:val="30"/>
          <w:highlight w:val="none"/>
        </w:rPr>
      </w:pPr>
    </w:p>
    <w:p w14:paraId="7F0092B7">
      <w:pPr>
        <w:spacing w:line="360" w:lineRule="auto"/>
        <w:rPr>
          <w:rFonts w:ascii="宋体" w:hAnsi="宋体" w:cs="宋体"/>
          <w:b/>
          <w:bCs/>
          <w:sz w:val="32"/>
          <w:szCs w:val="32"/>
          <w:highlight w:val="none"/>
        </w:rPr>
      </w:pPr>
    </w:p>
    <w:p w14:paraId="310CD171">
      <w:pPr>
        <w:spacing w:line="360" w:lineRule="auto"/>
        <w:rPr>
          <w:rFonts w:ascii="宋体" w:hAnsi="宋体" w:cs="宋体"/>
          <w:b/>
          <w:bCs/>
          <w:sz w:val="32"/>
          <w:szCs w:val="32"/>
          <w:highlight w:val="none"/>
        </w:rPr>
      </w:pPr>
    </w:p>
    <w:p w14:paraId="0E9C00C6">
      <w:pPr>
        <w:spacing w:line="360" w:lineRule="auto"/>
        <w:rPr>
          <w:rFonts w:ascii="宋体" w:hAnsi="宋体" w:cs="宋体"/>
          <w:b/>
          <w:bCs/>
          <w:sz w:val="32"/>
          <w:szCs w:val="32"/>
          <w:highlight w:val="none"/>
        </w:rPr>
      </w:pPr>
    </w:p>
    <w:p w14:paraId="6726205F">
      <w:pPr>
        <w:spacing w:line="360" w:lineRule="auto"/>
        <w:rPr>
          <w:rFonts w:ascii="宋体" w:hAnsi="宋体" w:cs="宋体"/>
          <w:b/>
          <w:bCs/>
          <w:sz w:val="32"/>
          <w:szCs w:val="32"/>
          <w:highlight w:val="none"/>
        </w:rPr>
      </w:pPr>
    </w:p>
    <w:p w14:paraId="7B4280A6">
      <w:pPr>
        <w:spacing w:line="360" w:lineRule="auto"/>
        <w:rPr>
          <w:rFonts w:ascii="宋体" w:hAnsi="宋体" w:cs="宋体"/>
          <w:b/>
          <w:bCs/>
          <w:sz w:val="32"/>
          <w:szCs w:val="32"/>
          <w:highlight w:val="none"/>
        </w:rPr>
      </w:pPr>
    </w:p>
    <w:p w14:paraId="3326EFF6">
      <w:pPr>
        <w:shd w:val="clear" w:color="auto" w:fill="FFFFFF"/>
        <w:snapToGrid w:val="0"/>
        <w:spacing w:line="360" w:lineRule="auto"/>
        <w:ind w:firstLine="425"/>
        <w:jc w:val="center"/>
        <w:textAlignment w:val="bottom"/>
        <w:rPr>
          <w:rFonts w:hint="eastAsia" w:ascii="宋体" w:hAnsi="宋体" w:cs="宋体"/>
          <w:b/>
          <w:bCs/>
          <w:sz w:val="36"/>
          <w:szCs w:val="36"/>
          <w:highlight w:val="none"/>
          <w:lang w:eastAsia="zh-CN"/>
        </w:rPr>
      </w:pPr>
      <w:r>
        <w:rPr>
          <w:rFonts w:hint="eastAsia" w:ascii="宋体" w:hAnsi="宋体" w:cs="宋体"/>
          <w:b/>
          <w:bCs/>
          <w:sz w:val="36"/>
          <w:szCs w:val="36"/>
          <w:highlight w:val="none"/>
          <w:lang w:eastAsia="zh-CN"/>
        </w:rPr>
        <w:t>招标</w:t>
      </w:r>
      <w:r>
        <w:rPr>
          <w:rFonts w:hint="eastAsia" w:ascii="宋体" w:hAnsi="宋体" w:cs="宋体"/>
          <w:b/>
          <w:bCs/>
          <w:sz w:val="36"/>
          <w:szCs w:val="36"/>
          <w:highlight w:val="none"/>
        </w:rPr>
        <w:t>人：</w:t>
      </w:r>
      <w:r>
        <w:rPr>
          <w:rFonts w:hint="eastAsia" w:ascii="宋体" w:hAnsi="宋体" w:cs="宋体"/>
          <w:b/>
          <w:bCs/>
          <w:sz w:val="36"/>
          <w:szCs w:val="36"/>
          <w:highlight w:val="none"/>
          <w:lang w:eastAsia="zh-CN"/>
        </w:rPr>
        <w:t>杭州嘉澍新材科技有限公司</w:t>
      </w:r>
      <w:r>
        <w:rPr>
          <w:rFonts w:hint="eastAsia" w:ascii="宋体" w:hAnsi="宋体" w:cs="宋体"/>
          <w:b/>
          <w:bCs/>
          <w:sz w:val="36"/>
          <w:szCs w:val="36"/>
          <w:highlight w:val="none"/>
        </w:rPr>
        <w:t xml:space="preserve">  </w:t>
      </w:r>
    </w:p>
    <w:p w14:paraId="5D1675C4">
      <w:pPr>
        <w:shd w:val="clear" w:color="auto" w:fill="FFFFFF"/>
        <w:snapToGrid w:val="0"/>
        <w:spacing w:line="360" w:lineRule="auto"/>
        <w:jc w:val="center"/>
        <w:textAlignment w:val="bottom"/>
        <w:rPr>
          <w:rFonts w:hint="eastAsia" w:ascii="宋体" w:hAnsi="宋体" w:cs="宋体"/>
          <w:b/>
          <w:bCs/>
          <w:sz w:val="36"/>
          <w:szCs w:val="36"/>
          <w:highlight w:val="none"/>
        </w:rPr>
      </w:pPr>
      <w:r>
        <w:rPr>
          <w:rFonts w:hint="eastAsia" w:ascii="宋体" w:hAnsi="宋体" w:cs="宋体"/>
          <w:b/>
          <w:bCs/>
          <w:sz w:val="36"/>
          <w:szCs w:val="36"/>
          <w:highlight w:val="none"/>
          <w:lang w:eastAsia="zh-CN"/>
        </w:rPr>
        <w:t>委托</w:t>
      </w:r>
      <w:r>
        <w:rPr>
          <w:rFonts w:hint="eastAsia" w:ascii="宋体" w:hAnsi="宋体" w:cs="宋体"/>
          <w:b/>
          <w:bCs/>
          <w:sz w:val="36"/>
          <w:szCs w:val="36"/>
          <w:highlight w:val="none"/>
        </w:rPr>
        <w:t>代理机构：耀华建设管理有限公司</w:t>
      </w:r>
    </w:p>
    <w:p w14:paraId="695C81B3">
      <w:pPr>
        <w:shd w:val="clear" w:color="auto" w:fill="FFFFFF"/>
        <w:snapToGrid w:val="0"/>
        <w:spacing w:line="360" w:lineRule="auto"/>
        <w:jc w:val="center"/>
        <w:textAlignment w:val="bottom"/>
        <w:rPr>
          <w:rFonts w:ascii="宋体" w:hAnsi="宋体" w:cs="宋体"/>
          <w:b/>
          <w:bCs/>
          <w:sz w:val="36"/>
          <w:szCs w:val="36"/>
          <w:highlight w:val="none"/>
        </w:rPr>
      </w:pPr>
      <w:r>
        <w:rPr>
          <w:rFonts w:hint="eastAsia" w:ascii="宋体" w:hAnsi="宋体" w:cs="宋体"/>
          <w:b/>
          <w:bCs/>
          <w:sz w:val="36"/>
          <w:szCs w:val="36"/>
          <w:highlight w:val="none"/>
        </w:rPr>
        <w:t>二〇二</w:t>
      </w:r>
      <w:r>
        <w:rPr>
          <w:rFonts w:hint="eastAsia" w:ascii="宋体" w:hAnsi="宋体" w:cs="宋体"/>
          <w:b/>
          <w:bCs/>
          <w:sz w:val="36"/>
          <w:szCs w:val="36"/>
          <w:highlight w:val="none"/>
          <w:lang w:val="en-US" w:eastAsia="zh-CN"/>
        </w:rPr>
        <w:t>五</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六月十九</w:t>
      </w:r>
      <w:r>
        <w:rPr>
          <w:rFonts w:hint="eastAsia" w:ascii="宋体" w:hAnsi="宋体" w:cs="宋体"/>
          <w:b/>
          <w:bCs/>
          <w:sz w:val="36"/>
          <w:szCs w:val="36"/>
          <w:highlight w:val="none"/>
        </w:rPr>
        <w:t>日</w:t>
      </w:r>
    </w:p>
    <w:p w14:paraId="6DEB3683">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A4C0EE3">
      <w:pPr>
        <w:spacing w:line="360" w:lineRule="auto"/>
        <w:jc w:val="center"/>
        <w:rPr>
          <w:rFonts w:ascii="宋体" w:hAnsi="宋体" w:cs="宋体"/>
          <w:sz w:val="24"/>
          <w:highlight w:val="none"/>
        </w:rPr>
      </w:pPr>
    </w:p>
    <w:p w14:paraId="3254181C">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22975C1">
      <w:pPr>
        <w:spacing w:line="360" w:lineRule="auto"/>
        <w:rPr>
          <w:rFonts w:ascii="宋体" w:hAnsi="宋体" w:cs="宋体"/>
          <w:sz w:val="32"/>
          <w:szCs w:val="32"/>
          <w:highlight w:val="none"/>
        </w:rPr>
      </w:pPr>
    </w:p>
    <w:p w14:paraId="5ADA6592">
      <w:pPr>
        <w:spacing w:line="360" w:lineRule="auto"/>
        <w:rPr>
          <w:rFonts w:ascii="宋体" w:hAnsi="宋体" w:cs="宋体"/>
          <w:sz w:val="32"/>
          <w:szCs w:val="32"/>
          <w:highlight w:val="none"/>
        </w:rPr>
      </w:pPr>
    </w:p>
    <w:p w14:paraId="5623007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67F4CA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5B091B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3D3E179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5C270CB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4B98056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CBE6976">
      <w:pPr>
        <w:spacing w:line="360" w:lineRule="auto"/>
        <w:ind w:firstLine="549" w:firstLineChars="229"/>
        <w:rPr>
          <w:rFonts w:ascii="宋体" w:hAnsi="宋体" w:cs="宋体"/>
          <w:sz w:val="24"/>
          <w:highlight w:val="none"/>
        </w:rPr>
      </w:pPr>
      <w:bookmarkStart w:id="1" w:name="_Hlt91233176"/>
      <w:bookmarkEnd w:id="1"/>
      <w:bookmarkStart w:id="2" w:name="_Toc91899869"/>
    </w:p>
    <w:p w14:paraId="4D547BCB">
      <w:pPr>
        <w:spacing w:line="360" w:lineRule="auto"/>
        <w:ind w:firstLine="549" w:firstLineChars="229"/>
        <w:rPr>
          <w:rFonts w:ascii="宋体" w:hAnsi="宋体" w:cs="宋体"/>
          <w:sz w:val="24"/>
          <w:highlight w:val="none"/>
        </w:rPr>
      </w:pPr>
    </w:p>
    <w:p w14:paraId="512D47A1">
      <w:pPr>
        <w:spacing w:line="360" w:lineRule="auto"/>
        <w:ind w:firstLine="549" w:firstLineChars="229"/>
        <w:rPr>
          <w:rFonts w:ascii="宋体" w:hAnsi="宋体" w:cs="宋体"/>
          <w:sz w:val="24"/>
          <w:highlight w:val="none"/>
        </w:rPr>
      </w:pPr>
    </w:p>
    <w:p w14:paraId="74AAA14D">
      <w:pPr>
        <w:spacing w:line="360" w:lineRule="auto"/>
        <w:ind w:firstLine="549" w:firstLineChars="229"/>
        <w:rPr>
          <w:rFonts w:ascii="宋体" w:hAnsi="宋体" w:cs="宋体"/>
          <w:sz w:val="24"/>
          <w:highlight w:val="none"/>
        </w:rPr>
      </w:pPr>
    </w:p>
    <w:p w14:paraId="0C0B8697">
      <w:pPr>
        <w:spacing w:line="360" w:lineRule="auto"/>
        <w:ind w:firstLine="549" w:firstLineChars="229"/>
        <w:rPr>
          <w:rFonts w:ascii="宋体" w:hAnsi="宋体" w:cs="宋体"/>
          <w:sz w:val="24"/>
          <w:highlight w:val="none"/>
        </w:rPr>
      </w:pPr>
    </w:p>
    <w:p w14:paraId="70B37BA8">
      <w:pPr>
        <w:spacing w:line="360" w:lineRule="auto"/>
        <w:ind w:firstLine="549" w:firstLineChars="229"/>
        <w:rPr>
          <w:rFonts w:ascii="宋体" w:hAnsi="宋体" w:cs="宋体"/>
          <w:sz w:val="24"/>
          <w:highlight w:val="none"/>
        </w:rPr>
      </w:pPr>
    </w:p>
    <w:p w14:paraId="7D2E21CE">
      <w:pPr>
        <w:spacing w:line="360" w:lineRule="auto"/>
        <w:ind w:firstLine="549" w:firstLineChars="229"/>
        <w:rPr>
          <w:rFonts w:ascii="宋体" w:hAnsi="宋体" w:cs="宋体"/>
          <w:sz w:val="24"/>
          <w:highlight w:val="none"/>
        </w:rPr>
      </w:pPr>
    </w:p>
    <w:p w14:paraId="3BABA2EF">
      <w:pPr>
        <w:spacing w:line="360" w:lineRule="auto"/>
        <w:ind w:firstLine="549" w:firstLineChars="229"/>
        <w:rPr>
          <w:rFonts w:ascii="宋体" w:hAnsi="宋体" w:cs="宋体"/>
          <w:sz w:val="24"/>
          <w:highlight w:val="none"/>
        </w:rPr>
      </w:pPr>
    </w:p>
    <w:p w14:paraId="050FC329">
      <w:pPr>
        <w:spacing w:line="360" w:lineRule="auto"/>
        <w:ind w:firstLine="549" w:firstLineChars="229"/>
        <w:rPr>
          <w:rFonts w:ascii="宋体" w:hAnsi="宋体" w:cs="宋体"/>
          <w:sz w:val="24"/>
          <w:highlight w:val="none"/>
        </w:rPr>
      </w:pPr>
    </w:p>
    <w:p w14:paraId="141C1252">
      <w:pPr>
        <w:spacing w:line="360" w:lineRule="auto"/>
        <w:ind w:firstLine="549" w:firstLineChars="229"/>
        <w:rPr>
          <w:rFonts w:ascii="宋体" w:hAnsi="宋体" w:cs="宋体"/>
          <w:sz w:val="24"/>
          <w:highlight w:val="none"/>
        </w:rPr>
      </w:pPr>
    </w:p>
    <w:p w14:paraId="3234DC8F">
      <w:pPr>
        <w:spacing w:line="360" w:lineRule="auto"/>
        <w:ind w:firstLine="549" w:firstLineChars="229"/>
        <w:rPr>
          <w:rFonts w:ascii="宋体" w:hAnsi="宋体" w:cs="宋体"/>
          <w:sz w:val="24"/>
          <w:highlight w:val="none"/>
        </w:rPr>
      </w:pPr>
    </w:p>
    <w:p w14:paraId="6AF22AC9">
      <w:pPr>
        <w:spacing w:line="360" w:lineRule="auto"/>
        <w:ind w:firstLine="549" w:firstLineChars="229"/>
        <w:rPr>
          <w:rFonts w:ascii="宋体" w:hAnsi="宋体" w:cs="宋体"/>
          <w:sz w:val="24"/>
          <w:highlight w:val="none"/>
        </w:rPr>
      </w:pPr>
    </w:p>
    <w:p w14:paraId="16FA1C7F">
      <w:pPr>
        <w:spacing w:line="360" w:lineRule="auto"/>
        <w:ind w:firstLine="549" w:firstLineChars="229"/>
        <w:rPr>
          <w:rFonts w:ascii="宋体" w:hAnsi="宋体" w:cs="宋体"/>
          <w:sz w:val="24"/>
          <w:highlight w:val="none"/>
        </w:rPr>
      </w:pPr>
    </w:p>
    <w:p w14:paraId="4A028226">
      <w:pPr>
        <w:spacing w:line="360" w:lineRule="auto"/>
        <w:rPr>
          <w:rFonts w:ascii="宋体" w:hAnsi="宋体" w:cs="宋体"/>
          <w:sz w:val="24"/>
          <w:highlight w:val="none"/>
        </w:rPr>
      </w:pPr>
    </w:p>
    <w:p w14:paraId="332145F4">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4F33B5D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项目概况</w:t>
      </w:r>
      <w:r>
        <w:rPr>
          <w:rFonts w:hint="eastAsia" w:ascii="宋体" w:hAnsi="宋体" w:cs="宋体"/>
          <w:sz w:val="24"/>
          <w:highlight w:val="none"/>
          <w:lang w:eastAsia="zh-CN"/>
        </w:rPr>
        <w:t>：</w:t>
      </w:r>
    </w:p>
    <w:p w14:paraId="4DB0B0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w:t>
      </w:r>
      <w:r>
        <w:rPr>
          <w:rFonts w:hint="eastAsia" w:ascii="宋体" w:hAnsi="宋体" w:cs="宋体"/>
          <w:sz w:val="24"/>
          <w:highlight w:val="none"/>
          <w:u w:val="single"/>
          <w:lang w:eastAsia="zh-CN"/>
        </w:rPr>
        <w:t>东湖街道3号泵站改造工程设备和自控采购项目</w:t>
      </w:r>
      <w:r>
        <w:rPr>
          <w:rFonts w:hint="eastAsia" w:ascii="宋体" w:hAnsi="宋体" w:cs="宋体"/>
          <w:sz w:val="24"/>
          <w:highlight w:val="none"/>
          <w:u w:val="single"/>
        </w:rPr>
        <w:t>）</w:t>
      </w:r>
      <w:r>
        <w:rPr>
          <w:rFonts w:hint="eastAsia" w:ascii="宋体" w:hAnsi="宋体" w:cs="宋体"/>
          <w:sz w:val="24"/>
          <w:highlight w:val="none"/>
        </w:rPr>
        <w:t>招标项目的潜在投标人应在</w:t>
      </w:r>
      <w:r>
        <w:rPr>
          <w:rFonts w:hint="eastAsia" w:ascii="宋体" w:hAnsi="宋体" w:cs="宋体"/>
          <w:sz w:val="24"/>
          <w:highlight w:val="none"/>
          <w:u w:val="single"/>
        </w:rPr>
        <w:t>临采云平台（lpnbsc.lecaiyun.com）</w:t>
      </w:r>
      <w:r>
        <w:rPr>
          <w:rStyle w:val="76"/>
          <w:rFonts w:hint="eastAsia" w:ascii="宋体" w:hAnsi="宋体" w:eastAsia="宋体" w:cs="宋体"/>
          <w:color w:val="auto"/>
          <w:kern w:val="2"/>
          <w:sz w:val="24"/>
          <w:szCs w:val="24"/>
          <w:highlight w:val="none"/>
          <w:u w:val="single"/>
        </w:rPr>
        <w:t>获取（下载）招标文件，</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14日08</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9C585C3">
      <w:pPr>
        <w:numPr>
          <w:ilvl w:val="0"/>
          <w:numId w:val="1"/>
        </w:numPr>
        <w:spacing w:line="360" w:lineRule="auto"/>
        <w:rPr>
          <w:rFonts w:hint="eastAsia" w:ascii="宋体" w:hAnsi="宋体" w:cs="宋体"/>
          <w:b/>
          <w:sz w:val="24"/>
          <w:highlight w:val="none"/>
        </w:rPr>
      </w:pPr>
      <w:r>
        <w:rPr>
          <w:rFonts w:hint="eastAsia" w:ascii="宋体" w:hAnsi="宋体" w:cs="宋体"/>
          <w:b/>
          <w:sz w:val="24"/>
          <w:highlight w:val="none"/>
        </w:rPr>
        <w:t xml:space="preserve">项目基本情况                                           </w:t>
      </w:r>
    </w:p>
    <w:p w14:paraId="3574084D">
      <w:pPr>
        <w:spacing w:line="360" w:lineRule="auto"/>
        <w:ind w:firstLine="0"/>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r>
        <w:rPr>
          <w:rFonts w:hint="eastAsia" w:ascii="宋体" w:hAnsi="宋体" w:cs="宋体"/>
          <w:b/>
          <w:sz w:val="24"/>
          <w:highlight w:val="none"/>
        </w:rPr>
        <w:t>项目编号：</w:t>
      </w:r>
      <w:r>
        <w:rPr>
          <w:rFonts w:hint="eastAsia" w:ascii="宋体" w:hAnsi="宋体" w:cs="宋体"/>
          <w:b w:val="0"/>
          <w:bCs/>
          <w:sz w:val="24"/>
          <w:highlight w:val="none"/>
          <w:lang w:val="en-US" w:eastAsia="zh-CN"/>
        </w:rPr>
        <w:t xml:space="preserve">L3301100000004961002  </w:t>
      </w:r>
      <w:r>
        <w:rPr>
          <w:rFonts w:hint="eastAsia" w:ascii="宋体" w:hAnsi="宋体" w:cs="宋体"/>
          <w:b/>
          <w:sz w:val="24"/>
          <w:highlight w:val="none"/>
          <w:lang w:val="en-US" w:eastAsia="zh-CN"/>
        </w:rPr>
        <w:t xml:space="preserve">             </w:t>
      </w:r>
    </w:p>
    <w:p w14:paraId="28B16605">
      <w:pPr>
        <w:adjustRightInd/>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东湖街道3号泵站改造工程设备和自控采购项目</w:t>
      </w:r>
    </w:p>
    <w:p w14:paraId="0A385E02">
      <w:pPr>
        <w:adjustRightInd/>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2158145</w:t>
      </w:r>
      <w:r>
        <w:rPr>
          <w:rFonts w:hint="eastAsia" w:ascii="宋体" w:hAnsi="宋体" w:cs="宋体"/>
          <w:b/>
          <w:color w:val="000000" w:themeColor="text1"/>
          <w:sz w:val="24"/>
          <w:highlight w:val="none"/>
          <w14:textFill>
            <w14:solidFill>
              <w14:schemeClr w14:val="tx1"/>
            </w14:solidFill>
          </w14:textFill>
        </w:rPr>
        <w:t>；</w:t>
      </w:r>
    </w:p>
    <w:p w14:paraId="2912A896">
      <w:pPr>
        <w:adjustRightInd/>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color w:val="000000" w:themeColor="text1"/>
          <w:sz w:val="24"/>
          <w:highlight w:val="none"/>
          <w:lang w:val="en-US" w:eastAsia="zh-CN"/>
          <w14:textFill>
            <w14:solidFill>
              <w14:schemeClr w14:val="tx1"/>
            </w14:solidFill>
          </w14:textFill>
        </w:rPr>
        <w:t>2158145</w:t>
      </w:r>
      <w:r>
        <w:rPr>
          <w:rFonts w:hint="eastAsia" w:ascii="宋体" w:hAnsi="宋体" w:cs="宋体"/>
          <w:b/>
          <w:sz w:val="24"/>
          <w:highlight w:val="none"/>
        </w:rPr>
        <w:t>；</w:t>
      </w:r>
    </w:p>
    <w:p w14:paraId="422458CE">
      <w:pPr>
        <w:widowControl w:val="0"/>
        <w:adjustRightInd/>
        <w:spacing w:line="360" w:lineRule="auto"/>
        <w:ind w:firstLineChars="200"/>
        <w:rPr>
          <w:rFonts w:hAnsi="宋体" w:cs="宋体"/>
          <w:b/>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东湖街道3号泵站改造工程设备和自控采购项目，</w:t>
      </w:r>
      <w:r>
        <w:rPr>
          <w:rFonts w:hint="eastAsia" w:hAnsi="宋体" w:cs="宋体"/>
          <w:b w:val="0"/>
          <w:bCs/>
          <w:color w:val="auto"/>
          <w:kern w:val="2"/>
          <w:sz w:val="24"/>
          <w:szCs w:val="24"/>
          <w:highlight w:val="none"/>
        </w:rPr>
        <w:t>具体内容和相关要求详见招标文件“第三部分 采购需求”。</w:t>
      </w:r>
    </w:p>
    <w:p w14:paraId="3EA59006">
      <w:pPr>
        <w:pStyle w:val="107"/>
        <w:adjustRightInd/>
        <w:spacing w:before="0" w:after="0"/>
        <w:ind w:firstLine="482"/>
        <w:outlineLvl w:val="2"/>
        <w:rPr>
          <w:rFonts w:ascii="宋体" w:hAnsi="宋体" w:cs="宋体"/>
          <w:b/>
          <w:highlight w:val="none"/>
        </w:rPr>
      </w:pPr>
      <w:r>
        <w:rPr>
          <w:rFonts w:hint="eastAsia" w:ascii="宋体" w:hAnsi="宋体" w:cs="宋体"/>
          <w:b/>
          <w:highlight w:val="none"/>
        </w:rPr>
        <w:t>本项目接受联合体投标：</w:t>
      </w:r>
      <w:r>
        <w:rPr>
          <w:rFonts w:hint="eastAsia" w:ascii="宋体" w:hAnsi="宋体" w:cs="宋体"/>
          <w:kern w:val="0"/>
          <w:highlight w:val="none"/>
        </w:rPr>
        <w:sym w:font="Wingdings" w:char="00A8"/>
      </w:r>
      <w:r>
        <w:rPr>
          <w:rFonts w:hint="eastAsia" w:ascii="宋体" w:hAnsi="宋体" w:cs="宋体"/>
          <w:b/>
          <w:highlight w:val="none"/>
        </w:rPr>
        <w:t>是，</w:t>
      </w:r>
      <w:r>
        <w:rPr>
          <w:rFonts w:hint="eastAsia" w:ascii="宋体" w:hAnsi="宋体" w:cs="宋体"/>
          <w:kern w:val="0"/>
          <w:highlight w:val="none"/>
        </w:rPr>
        <w:sym w:font="Wingdings" w:char="00FE"/>
      </w:r>
      <w:r>
        <w:rPr>
          <w:rFonts w:hint="eastAsia" w:ascii="宋体" w:hAnsi="宋体" w:cs="宋体"/>
          <w:b/>
          <w:highlight w:val="none"/>
        </w:rPr>
        <w:t>否</w:t>
      </w:r>
      <w:r>
        <w:rPr>
          <w:rFonts w:hint="eastAsia" w:ascii="宋体" w:hAnsi="宋体" w:cs="宋体"/>
          <w:kern w:val="0"/>
          <w:highlight w:val="none"/>
        </w:rPr>
        <w:t>。</w:t>
      </w:r>
    </w:p>
    <w:p w14:paraId="47549F95">
      <w:pPr>
        <w:spacing w:line="360" w:lineRule="auto"/>
        <w:rPr>
          <w:rFonts w:ascii="宋体" w:hAnsi="宋体" w:cs="宋体"/>
          <w:b/>
          <w:sz w:val="24"/>
          <w:szCs w:val="20"/>
          <w:highlight w:val="none"/>
        </w:rPr>
      </w:pPr>
      <w:r>
        <w:rPr>
          <w:rFonts w:hint="eastAsia" w:ascii="宋体" w:hAnsi="宋体" w:cs="宋体"/>
          <w:b/>
          <w:sz w:val="24"/>
          <w:szCs w:val="20"/>
          <w:highlight w:val="none"/>
        </w:rPr>
        <w:t>二、申请人的资格要求：</w:t>
      </w:r>
    </w:p>
    <w:p w14:paraId="340723E0">
      <w:pPr>
        <w:spacing w:line="360" w:lineRule="auto"/>
        <w:ind w:firstLine="480"/>
        <w:rPr>
          <w:rFonts w:hint="eastAsia" w:ascii="宋体" w:hAnsi="宋体" w:cs="宋体"/>
          <w:snapToGrid w:val="0"/>
          <w:kern w:val="28"/>
          <w:sz w:val="24"/>
          <w:szCs w:val="24"/>
          <w:highlight w:val="none"/>
          <w:lang w:val="en-US" w:eastAsia="zh-CN"/>
        </w:rPr>
      </w:pPr>
      <w:r>
        <w:rPr>
          <w:rFonts w:hint="eastAsia" w:ascii="宋体" w:hAnsi="宋体" w:cs="宋体"/>
          <w:snapToGrid w:val="0"/>
          <w:kern w:val="28"/>
          <w:sz w:val="24"/>
          <w:szCs w:val="24"/>
          <w:highlight w:val="none"/>
          <w:lang w:val="en-US" w:eastAsia="zh-CN"/>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诚信制裁企业不得参与）；</w:t>
      </w:r>
    </w:p>
    <w:p w14:paraId="1439E33D">
      <w:pPr>
        <w:spacing w:line="360" w:lineRule="auto"/>
        <w:ind w:firstLine="480"/>
        <w:rPr>
          <w:rFonts w:hint="eastAsia" w:ascii="宋体" w:hAnsi="宋体" w:cs="宋体"/>
          <w:snapToGrid w:val="0"/>
          <w:kern w:val="28"/>
          <w:sz w:val="24"/>
          <w:szCs w:val="24"/>
          <w:highlight w:val="none"/>
          <w:lang w:val="en-US" w:eastAsia="zh-CN"/>
        </w:rPr>
      </w:pPr>
      <w:r>
        <w:rPr>
          <w:rFonts w:hint="eastAsia" w:ascii="宋体" w:hAnsi="宋体" w:cs="宋体"/>
          <w:snapToGrid w:val="0"/>
          <w:kern w:val="28"/>
          <w:sz w:val="24"/>
          <w:szCs w:val="24"/>
          <w:highlight w:val="none"/>
          <w:lang w:val="en-US" w:eastAsia="zh-CN"/>
        </w:rPr>
        <w:t>2、自2020年1月1日以来，投标人至少具有1个类似项目供货业绩，提供合同复印件加盖公章。</w:t>
      </w:r>
    </w:p>
    <w:p w14:paraId="51739EBA">
      <w:pPr>
        <w:snapToGrid w:val="0"/>
        <w:spacing w:line="360" w:lineRule="auto"/>
        <w:ind w:firstLine="480" w:firstLineChars="200"/>
        <w:rPr>
          <w:rFonts w:hint="eastAsia" w:ascii="宋体" w:hAnsi="宋体" w:cs="宋体"/>
          <w:b w:val="0"/>
          <w:bCs w:val="0"/>
          <w:sz w:val="24"/>
          <w:highlight w:val="none"/>
          <w:lang w:val="en-US" w:eastAsia="zh-CN"/>
        </w:rPr>
      </w:pPr>
      <w:r>
        <w:rPr>
          <w:rFonts w:hint="eastAsia" w:ascii="宋体" w:hAnsi="宋体" w:cs="宋体"/>
          <w:snapToGrid w:val="0"/>
          <w:kern w:val="28"/>
          <w:sz w:val="24"/>
          <w:szCs w:val="24"/>
          <w:highlight w:val="none"/>
          <w:lang w:val="en-US" w:eastAsia="zh-CN"/>
        </w:rPr>
        <w:t>3、本次招标不接受联合体投标</w:t>
      </w:r>
      <w:r>
        <w:rPr>
          <w:rFonts w:hint="eastAsia" w:ascii="宋体" w:hAnsi="宋体" w:cs="宋体"/>
          <w:b w:val="0"/>
          <w:bCs w:val="0"/>
          <w:sz w:val="24"/>
          <w:highlight w:val="none"/>
          <w:lang w:val="en-US" w:eastAsia="zh-CN"/>
        </w:rPr>
        <w:t>。</w:t>
      </w:r>
    </w:p>
    <w:p w14:paraId="1FD3EF5C">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7097F107">
      <w:pPr>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1.时间：</w:t>
      </w:r>
      <w:r>
        <w:rPr>
          <w:rFonts w:hint="eastAsia" w:ascii="宋体" w:hAnsi="宋体" w:cs="宋体"/>
          <w:b w:val="0"/>
          <w:bCs/>
          <w:sz w:val="24"/>
          <w:highlight w:val="none"/>
        </w:rPr>
        <w:t>自公告发布之日起至</w:t>
      </w:r>
      <w:r>
        <w:rPr>
          <w:rFonts w:hint="eastAsia" w:ascii="宋体" w:hAnsi="宋体" w:cs="宋体"/>
          <w:b w:val="0"/>
          <w:bCs/>
          <w:sz w:val="24"/>
          <w:highlight w:val="none"/>
          <w:u w:val="single"/>
        </w:rPr>
        <w:t>2025年</w:t>
      </w:r>
      <w:r>
        <w:rPr>
          <w:rFonts w:hint="eastAsia" w:ascii="宋体" w:hAnsi="宋体" w:cs="宋体"/>
          <w:b w:val="0"/>
          <w:bCs/>
          <w:sz w:val="24"/>
          <w:highlight w:val="none"/>
          <w:u w:val="single"/>
          <w:lang w:val="en-US" w:eastAsia="zh-CN"/>
        </w:rPr>
        <w:t>07</w:t>
      </w:r>
      <w:r>
        <w:rPr>
          <w:rFonts w:hint="eastAsia" w:ascii="宋体" w:hAnsi="宋体" w:cs="宋体"/>
          <w:b w:val="0"/>
          <w:bCs/>
          <w:sz w:val="24"/>
          <w:highlight w:val="none"/>
          <w:u w:val="single"/>
        </w:rPr>
        <w:t>月</w:t>
      </w:r>
      <w:r>
        <w:rPr>
          <w:rFonts w:hint="eastAsia" w:ascii="宋体" w:hAnsi="宋体" w:cs="宋体"/>
          <w:b w:val="0"/>
          <w:bCs/>
          <w:sz w:val="24"/>
          <w:highlight w:val="none"/>
          <w:u w:val="single"/>
          <w:lang w:val="en-US" w:eastAsia="zh-CN"/>
        </w:rPr>
        <w:t>14</w:t>
      </w:r>
      <w:r>
        <w:rPr>
          <w:rFonts w:hint="eastAsia" w:ascii="宋体" w:hAnsi="宋体" w:cs="宋体"/>
          <w:b w:val="0"/>
          <w:bCs/>
          <w:sz w:val="24"/>
          <w:highlight w:val="none"/>
          <w:u w:val="single"/>
        </w:rPr>
        <w:t>日</w:t>
      </w:r>
      <w:r>
        <w:rPr>
          <w:rFonts w:hint="eastAsia" w:ascii="宋体" w:hAnsi="宋体" w:cs="宋体"/>
          <w:b w:val="0"/>
          <w:bCs/>
          <w:sz w:val="24"/>
          <w:highlight w:val="none"/>
        </w:rPr>
        <w:t>，每天上午 00:00至12:00 ，下午 12:00至23:59 （北京时间，线上获取法定节假日均可）</w:t>
      </w:r>
      <w:r>
        <w:rPr>
          <w:rFonts w:hint="eastAsia" w:ascii="宋体" w:hAnsi="宋体" w:cs="宋体"/>
          <w:b w:val="0"/>
          <w:bCs/>
          <w:sz w:val="24"/>
          <w:highlight w:val="none"/>
          <w:lang w:val="en-US" w:eastAsia="zh-CN"/>
        </w:rPr>
        <w:t>；</w:t>
      </w:r>
    </w:p>
    <w:p w14:paraId="5B5BF5A5">
      <w:pPr>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cs="宋体"/>
          <w:b/>
          <w:sz w:val="24"/>
          <w:highlight w:val="none"/>
        </w:rPr>
        <w:t>2.地点（网址）：</w:t>
      </w:r>
      <w:r>
        <w:rPr>
          <w:rFonts w:hint="eastAsia" w:ascii="宋体" w:hAnsi="宋体" w:cs="宋体"/>
          <w:b w:val="0"/>
          <w:bCs/>
          <w:sz w:val="24"/>
          <w:highlight w:val="none"/>
        </w:rPr>
        <w:t>临采云平台（lpnbsc.lecaiyun.com）</w:t>
      </w:r>
      <w:r>
        <w:rPr>
          <w:rFonts w:hint="eastAsia" w:ascii="宋体" w:hAnsi="宋体" w:cs="宋体"/>
          <w:b w:val="0"/>
          <w:bCs/>
          <w:sz w:val="24"/>
          <w:highlight w:val="none"/>
          <w:lang w:val="en-US" w:eastAsia="zh-CN"/>
        </w:rPr>
        <w:t>；</w:t>
      </w:r>
    </w:p>
    <w:p w14:paraId="17D4FF8B">
      <w:pPr>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3.方式：</w:t>
      </w:r>
      <w:r>
        <w:rPr>
          <w:rFonts w:hint="eastAsia" w:ascii="宋体" w:hAnsi="宋体" w:cs="宋体"/>
          <w:b w:val="0"/>
          <w:bCs/>
          <w:sz w:val="24"/>
          <w:highlight w:val="none"/>
        </w:rPr>
        <w:t>线上获取（供应商注册成为</w:t>
      </w:r>
      <w:r>
        <w:rPr>
          <w:rFonts w:hint="eastAsia" w:ascii="宋体" w:hAnsi="宋体" w:cs="宋体"/>
          <w:b w:val="0"/>
          <w:sz w:val="24"/>
          <w:szCs w:val="24"/>
          <w:highlight w:val="none"/>
          <w:lang w:eastAsia="zh-CN"/>
        </w:rPr>
        <w:t>临采云</w:t>
      </w:r>
      <w:r>
        <w:rPr>
          <w:rFonts w:hint="eastAsia" w:ascii="宋体" w:hAnsi="宋体" w:cs="宋体"/>
          <w:b w:val="0"/>
          <w:bCs/>
          <w:sz w:val="24"/>
          <w:highlight w:val="none"/>
        </w:rPr>
        <w:t>平台供应商后，登录平台-“项目采购”在获取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菜单中选择项目，申请获取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w:t>
      </w:r>
      <w:r>
        <w:rPr>
          <w:rFonts w:hint="eastAsia" w:ascii="宋体" w:hAnsi="宋体" w:cs="宋体"/>
          <w:b w:val="0"/>
          <w:bCs/>
          <w:sz w:val="24"/>
          <w:highlight w:val="none"/>
          <w:lang w:val="en-US" w:eastAsia="zh-CN"/>
        </w:rPr>
        <w:t>；</w:t>
      </w:r>
    </w:p>
    <w:p w14:paraId="6FB78EE9">
      <w:pPr>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4.售价：</w:t>
      </w:r>
      <w:r>
        <w:rPr>
          <w:rFonts w:hint="eastAsia" w:ascii="宋体" w:hAnsi="宋体" w:cs="宋体"/>
          <w:b w:val="0"/>
          <w:bCs/>
          <w:sz w:val="24"/>
          <w:highlight w:val="none"/>
        </w:rPr>
        <w:t>免费。</w:t>
      </w:r>
    </w:p>
    <w:p w14:paraId="3863B6D3">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5.供应商获取</w:t>
      </w:r>
      <w:r>
        <w:rPr>
          <w:rFonts w:hint="eastAsia" w:ascii="宋体" w:hAnsi="宋体" w:cs="宋体"/>
          <w:b/>
          <w:sz w:val="24"/>
          <w:highlight w:val="none"/>
          <w:lang w:eastAsia="zh-CN"/>
        </w:rPr>
        <w:t>招标文件</w:t>
      </w:r>
      <w:r>
        <w:rPr>
          <w:rFonts w:hint="eastAsia" w:ascii="宋体" w:hAnsi="宋体" w:cs="宋体"/>
          <w:b/>
          <w:sz w:val="24"/>
          <w:highlight w:val="none"/>
        </w:rPr>
        <w:t>时须提交的文件资料：</w:t>
      </w:r>
      <w:r>
        <w:rPr>
          <w:rFonts w:hint="eastAsia" w:ascii="宋体" w:hAnsi="宋体" w:cs="宋体"/>
          <w:b w:val="0"/>
          <w:bCs/>
          <w:sz w:val="24"/>
          <w:highlight w:val="none"/>
        </w:rPr>
        <w:t>无。</w:t>
      </w:r>
    </w:p>
    <w:p w14:paraId="578B7F00">
      <w:pPr>
        <w:spacing w:line="360" w:lineRule="auto"/>
        <w:ind w:firstLine="482" w:firstLineChars="200"/>
        <w:rPr>
          <w:rFonts w:hint="eastAsia" w:ascii="宋体" w:hAnsi="宋体" w:cs="宋体"/>
          <w:b/>
          <w:bCs w:val="0"/>
          <w:sz w:val="24"/>
          <w:highlight w:val="none"/>
        </w:rPr>
      </w:pPr>
      <w:r>
        <w:rPr>
          <w:rFonts w:hint="eastAsia" w:ascii="宋体" w:hAnsi="宋体" w:cs="宋体"/>
          <w:b/>
          <w:bCs w:val="0"/>
          <w:sz w:val="24"/>
          <w:highlight w:val="none"/>
        </w:rPr>
        <w:t>6.提示：</w:t>
      </w:r>
    </w:p>
    <w:p w14:paraId="174A31FA">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eastAsia="zh-CN"/>
        </w:rPr>
        <w:t>招标人</w:t>
      </w:r>
      <w:r>
        <w:rPr>
          <w:rFonts w:hint="eastAsia" w:ascii="宋体" w:hAnsi="宋体" w:cs="宋体"/>
          <w:b w:val="0"/>
          <w:bCs/>
          <w:sz w:val="24"/>
          <w:highlight w:val="none"/>
        </w:rPr>
        <w:t>、</w:t>
      </w:r>
      <w:r>
        <w:rPr>
          <w:rFonts w:hint="eastAsia" w:ascii="宋体" w:hAnsi="宋体" w:cs="宋体"/>
          <w:b w:val="0"/>
          <w:bCs/>
          <w:sz w:val="24"/>
          <w:highlight w:val="none"/>
          <w:lang w:eastAsia="zh-CN"/>
        </w:rPr>
        <w:t>招标代理机构</w:t>
      </w:r>
      <w:r>
        <w:rPr>
          <w:rFonts w:hint="eastAsia" w:ascii="宋体" w:hAnsi="宋体" w:cs="宋体"/>
          <w:b w:val="0"/>
          <w:bCs/>
          <w:sz w:val="24"/>
          <w:highlight w:val="none"/>
        </w:rPr>
        <w:t>依托临采云平台完成本项目的电子交易活动，平台不接受未按上述方式获取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的供应商进行投标活动；</w:t>
      </w:r>
    </w:p>
    <w:p w14:paraId="0EEE2578">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（2）对未按上述方式获取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的供应商对该文件提出的质疑，</w:t>
      </w:r>
      <w:r>
        <w:rPr>
          <w:rFonts w:hint="eastAsia" w:ascii="宋体" w:hAnsi="宋体" w:cs="宋体"/>
          <w:b w:val="0"/>
          <w:bCs/>
          <w:sz w:val="24"/>
          <w:highlight w:val="none"/>
          <w:lang w:eastAsia="zh-CN"/>
        </w:rPr>
        <w:t>招标人</w:t>
      </w:r>
      <w:r>
        <w:rPr>
          <w:rFonts w:hint="eastAsia" w:ascii="宋体" w:hAnsi="宋体" w:cs="宋体"/>
          <w:b w:val="0"/>
          <w:bCs/>
          <w:sz w:val="24"/>
          <w:highlight w:val="none"/>
        </w:rPr>
        <w:t>或</w:t>
      </w:r>
      <w:r>
        <w:rPr>
          <w:rFonts w:hint="eastAsia" w:ascii="宋体" w:hAnsi="宋体" w:cs="宋体"/>
          <w:b w:val="0"/>
          <w:bCs/>
          <w:sz w:val="24"/>
          <w:highlight w:val="none"/>
          <w:lang w:eastAsia="zh-CN"/>
        </w:rPr>
        <w:t>招标代理机构</w:t>
      </w:r>
      <w:r>
        <w:rPr>
          <w:rFonts w:hint="eastAsia" w:ascii="宋体" w:hAnsi="宋体" w:cs="宋体"/>
          <w:b w:val="0"/>
          <w:bCs/>
          <w:sz w:val="24"/>
          <w:highlight w:val="none"/>
        </w:rPr>
        <w:t>将不予处理；</w:t>
      </w:r>
    </w:p>
    <w:p w14:paraId="39611CB4">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（3）</w:t>
      </w:r>
      <w:r>
        <w:rPr>
          <w:rFonts w:hint="eastAsia" w:ascii="宋体" w:hAnsi="宋体" w:cs="宋体"/>
          <w:b w:val="0"/>
          <w:bCs/>
          <w:sz w:val="24"/>
          <w:highlight w:val="none"/>
          <w:lang w:eastAsia="zh-CN"/>
        </w:rPr>
        <w:t>招标人</w:t>
      </w:r>
      <w:r>
        <w:rPr>
          <w:rFonts w:hint="eastAsia" w:ascii="宋体" w:hAnsi="宋体" w:cs="宋体"/>
          <w:b w:val="0"/>
          <w:bCs/>
          <w:sz w:val="24"/>
          <w:highlight w:val="none"/>
        </w:rPr>
        <w:t>或者</w:t>
      </w:r>
      <w:r>
        <w:rPr>
          <w:rFonts w:hint="eastAsia" w:ascii="宋体" w:hAnsi="宋体" w:cs="宋体"/>
          <w:b w:val="0"/>
          <w:bCs/>
          <w:sz w:val="24"/>
          <w:highlight w:val="none"/>
          <w:lang w:eastAsia="zh-CN"/>
        </w:rPr>
        <w:t>招标代理机构</w:t>
      </w:r>
      <w:r>
        <w:rPr>
          <w:rFonts w:hint="eastAsia" w:ascii="宋体" w:hAnsi="宋体" w:cs="宋体"/>
          <w:b w:val="0"/>
          <w:bCs/>
          <w:sz w:val="24"/>
          <w:highlight w:val="none"/>
        </w:rPr>
        <w:t>对已发出的</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等进行必要的澄清或者修改的，</w:t>
      </w:r>
      <w:r>
        <w:rPr>
          <w:rFonts w:hint="eastAsia" w:ascii="宋体" w:hAnsi="宋体" w:cs="宋体"/>
          <w:b w:val="0"/>
          <w:bCs/>
          <w:sz w:val="24"/>
          <w:highlight w:val="none"/>
          <w:lang w:eastAsia="zh-CN"/>
        </w:rPr>
        <w:t>招标人</w:t>
      </w:r>
      <w:r>
        <w:rPr>
          <w:rFonts w:hint="eastAsia" w:ascii="宋体" w:hAnsi="宋体" w:cs="宋体"/>
          <w:b w:val="0"/>
          <w:bCs/>
          <w:sz w:val="24"/>
          <w:highlight w:val="none"/>
        </w:rPr>
        <w:t>或者</w:t>
      </w:r>
      <w:r>
        <w:rPr>
          <w:rFonts w:hint="eastAsia" w:ascii="宋体" w:hAnsi="宋体" w:cs="宋体"/>
          <w:b w:val="0"/>
          <w:bCs/>
          <w:sz w:val="24"/>
          <w:highlight w:val="none"/>
          <w:lang w:eastAsia="zh-CN"/>
        </w:rPr>
        <w:t>招标代理机构</w:t>
      </w:r>
      <w:r>
        <w:rPr>
          <w:rFonts w:hint="eastAsia" w:ascii="宋体" w:hAnsi="宋体" w:cs="宋体"/>
          <w:b w:val="0"/>
          <w:bCs/>
          <w:sz w:val="24"/>
          <w:highlight w:val="none"/>
        </w:rPr>
        <w:t>将无法通过</w:t>
      </w:r>
      <w:r>
        <w:rPr>
          <w:rFonts w:hint="eastAsia" w:ascii="宋体" w:hAnsi="宋体" w:cs="宋体"/>
          <w:b w:val="0"/>
          <w:sz w:val="24"/>
          <w:szCs w:val="24"/>
          <w:highlight w:val="none"/>
          <w:lang w:eastAsia="zh-CN"/>
        </w:rPr>
        <w:t>临采云</w:t>
      </w:r>
      <w:r>
        <w:rPr>
          <w:rFonts w:hint="eastAsia" w:ascii="宋体" w:hAnsi="宋体" w:cs="宋体"/>
          <w:b w:val="0"/>
          <w:bCs/>
          <w:sz w:val="24"/>
          <w:highlight w:val="none"/>
        </w:rPr>
        <w:t>平台通知未按上述方式获取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的供应商；</w:t>
      </w:r>
    </w:p>
    <w:p w14:paraId="63A3DBEC">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（4）供应商只有在“临采云平台”完成获取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申请并下载了</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后才被视为合法获取了</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，否则投标将被拒绝。（供应商获取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时间以供应商完成获取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申请后下载</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的时间为准）。</w:t>
      </w:r>
    </w:p>
    <w:p w14:paraId="02BEAC44">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注：请供应商按上述要求获取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，如未在“临采云”系统内完成相关流程，引起的投标无效责任自负。</w:t>
      </w:r>
    </w:p>
    <w:p w14:paraId="16C9E478">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（5）不提供</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纸质版；</w:t>
      </w:r>
    </w:p>
    <w:p w14:paraId="630FC591">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（6）获取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的时间期限截止之日之后有潜在供应商提出获取</w:t>
      </w:r>
      <w:r>
        <w:rPr>
          <w:rFonts w:hint="eastAsia" w:ascii="宋体" w:hAnsi="宋体" w:cs="宋体"/>
          <w:b w:val="0"/>
          <w:bCs/>
          <w:sz w:val="24"/>
          <w:highlight w:val="none"/>
          <w:lang w:eastAsia="zh-CN"/>
        </w:rPr>
        <w:t>招标文件</w:t>
      </w:r>
      <w:r>
        <w:rPr>
          <w:rFonts w:hint="eastAsia" w:ascii="宋体" w:hAnsi="宋体" w:cs="宋体"/>
          <w:b w:val="0"/>
          <w:bCs/>
          <w:sz w:val="24"/>
          <w:highlight w:val="none"/>
        </w:rPr>
        <w:t>的，采购机构将允许其获取。</w:t>
      </w:r>
    </w:p>
    <w:p w14:paraId="5F5D2F71">
      <w:pPr>
        <w:spacing w:line="360" w:lineRule="auto"/>
        <w:rPr>
          <w:rFonts w:ascii="宋体" w:hAnsi="宋体" w:cs="宋体"/>
          <w:b/>
          <w:sz w:val="24"/>
          <w:highlight w:val="none"/>
        </w:rPr>
      </w:pPr>
      <w:r>
        <w:rPr>
          <w:rFonts w:hint="eastAsia" w:ascii="宋体" w:hAnsi="宋体" w:cs="宋体"/>
          <w:b/>
          <w:sz w:val="24"/>
          <w:highlight w:val="none"/>
        </w:rPr>
        <w:t>四、提交投标文件截止时间</w:t>
      </w:r>
      <w:r>
        <w:rPr>
          <w:rFonts w:hint="eastAsia" w:ascii="宋体" w:hAnsi="宋体" w:cs="宋体"/>
          <w:b/>
          <w:sz w:val="24"/>
          <w:highlight w:val="none"/>
          <w:lang w:eastAsia="zh-CN"/>
        </w:rPr>
        <w:t>、</w:t>
      </w:r>
      <w:r>
        <w:rPr>
          <w:rFonts w:hint="eastAsia" w:ascii="宋体" w:hAnsi="宋体" w:cs="宋体"/>
          <w:b/>
          <w:sz w:val="24"/>
          <w:highlight w:val="none"/>
          <w:lang w:val="en-US" w:eastAsia="zh-CN"/>
        </w:rPr>
        <w:t>地点：</w:t>
      </w:r>
    </w:p>
    <w:p w14:paraId="64371DC4">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提交投标文件截止时间：</w:t>
      </w:r>
      <w:r>
        <w:rPr>
          <w:rFonts w:hint="eastAsia" w:ascii="宋体" w:hAnsi="宋体" w:cs="宋体"/>
          <w:b w:val="0"/>
          <w:bCs/>
          <w:sz w:val="24"/>
          <w:highlight w:val="none"/>
          <w:u w:val="single"/>
        </w:rPr>
        <w:t>202</w:t>
      </w:r>
      <w:r>
        <w:rPr>
          <w:rFonts w:hint="eastAsia" w:ascii="宋体" w:hAnsi="宋体" w:cs="宋体"/>
          <w:b w:val="0"/>
          <w:bCs/>
          <w:sz w:val="24"/>
          <w:highlight w:val="none"/>
          <w:u w:val="single"/>
          <w:lang w:val="en-US" w:eastAsia="zh-CN"/>
        </w:rPr>
        <w:t>5</w:t>
      </w:r>
      <w:r>
        <w:rPr>
          <w:rFonts w:hint="eastAsia" w:ascii="宋体" w:hAnsi="宋体" w:cs="宋体"/>
          <w:b w:val="0"/>
          <w:bCs/>
          <w:sz w:val="24"/>
          <w:highlight w:val="none"/>
          <w:u w:val="single"/>
        </w:rPr>
        <w:t>年</w:t>
      </w:r>
      <w:r>
        <w:rPr>
          <w:rFonts w:hint="eastAsia" w:ascii="宋体" w:hAnsi="宋体" w:cs="宋体"/>
          <w:b w:val="0"/>
          <w:bCs/>
          <w:sz w:val="24"/>
          <w:highlight w:val="none"/>
          <w:u w:val="single"/>
          <w:lang w:val="en-US" w:eastAsia="zh-CN"/>
        </w:rPr>
        <w:t>07</w:t>
      </w:r>
      <w:r>
        <w:rPr>
          <w:rFonts w:hint="eastAsia" w:ascii="宋体" w:hAnsi="宋体" w:cs="宋体"/>
          <w:b w:val="0"/>
          <w:bCs/>
          <w:sz w:val="24"/>
          <w:highlight w:val="none"/>
          <w:u w:val="single"/>
        </w:rPr>
        <w:t>月</w:t>
      </w:r>
      <w:r>
        <w:rPr>
          <w:rFonts w:hint="eastAsia" w:ascii="宋体" w:hAnsi="宋体" w:cs="宋体"/>
          <w:b w:val="0"/>
          <w:bCs/>
          <w:sz w:val="24"/>
          <w:highlight w:val="none"/>
          <w:u w:val="single"/>
          <w:lang w:val="en-US" w:eastAsia="zh-CN"/>
        </w:rPr>
        <w:t>14日08</w:t>
      </w:r>
      <w:r>
        <w:rPr>
          <w:rFonts w:hint="eastAsia" w:ascii="宋体" w:hAnsi="宋体" w:cs="宋体"/>
          <w:b w:val="0"/>
          <w:bCs/>
          <w:sz w:val="24"/>
          <w:highlight w:val="none"/>
          <w:u w:val="single"/>
        </w:rPr>
        <w:t>时</w:t>
      </w:r>
      <w:r>
        <w:rPr>
          <w:rFonts w:hint="eastAsia" w:ascii="宋体" w:hAnsi="宋体" w:cs="宋体"/>
          <w:b w:val="0"/>
          <w:bCs/>
          <w:sz w:val="24"/>
          <w:highlight w:val="none"/>
          <w:u w:val="single"/>
          <w:lang w:val="en-US" w:eastAsia="zh-CN"/>
        </w:rPr>
        <w:t>30</w:t>
      </w:r>
      <w:r>
        <w:rPr>
          <w:rFonts w:hint="eastAsia" w:ascii="宋体" w:hAnsi="宋体" w:cs="宋体"/>
          <w:b w:val="0"/>
          <w:bCs/>
          <w:sz w:val="24"/>
          <w:highlight w:val="none"/>
          <w:u w:val="single"/>
        </w:rPr>
        <w:t>分（北京时间）</w:t>
      </w:r>
      <w:r>
        <w:rPr>
          <w:rFonts w:hint="eastAsia" w:ascii="宋体" w:hAnsi="宋体" w:cs="宋体"/>
          <w:b w:val="0"/>
          <w:bCs/>
          <w:sz w:val="24"/>
          <w:highlight w:val="none"/>
        </w:rPr>
        <w:t>；</w:t>
      </w:r>
    </w:p>
    <w:p w14:paraId="25E23B89">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4CDF399C">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3</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投标地点（网址）：本项目采用全流程电子化交易（临平区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w:t>
      </w:r>
      <w:r>
        <w:rPr>
          <w:rFonts w:hint="eastAsia" w:ascii="宋体" w:hAnsi="宋体" w:cs="宋体"/>
          <w:b w:val="0"/>
          <w:bCs/>
          <w:sz w:val="24"/>
          <w:highlight w:val="none"/>
          <w:lang w:val="en-US" w:eastAsia="zh-CN"/>
        </w:rPr>
        <w:t>线上投标</w:t>
      </w:r>
      <w:r>
        <w:rPr>
          <w:rFonts w:hint="eastAsia" w:ascii="宋体" w:hAnsi="宋体" w:cs="宋体"/>
          <w:b w:val="0"/>
          <w:bCs/>
          <w:sz w:val="24"/>
          <w:highlight w:val="none"/>
        </w:rPr>
        <w:t>），无须参加现场开标会。</w:t>
      </w:r>
    </w:p>
    <w:p w14:paraId="2392BB4F">
      <w:pPr>
        <w:spacing w:line="360" w:lineRule="auto"/>
        <w:ind w:firstLine="0" w:firstLineChars="0"/>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、开标时间与地点：</w:t>
      </w:r>
    </w:p>
    <w:p w14:paraId="2F133AFD">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开标时间：</w:t>
      </w:r>
      <w:r>
        <w:rPr>
          <w:rFonts w:hint="eastAsia" w:ascii="宋体" w:hAnsi="宋体" w:cs="宋体"/>
          <w:b w:val="0"/>
          <w:bCs/>
          <w:sz w:val="24"/>
          <w:highlight w:val="none"/>
          <w:u w:val="single"/>
        </w:rPr>
        <w:t>202</w:t>
      </w:r>
      <w:r>
        <w:rPr>
          <w:rFonts w:hint="eastAsia" w:ascii="宋体" w:hAnsi="宋体" w:cs="宋体"/>
          <w:b w:val="0"/>
          <w:bCs/>
          <w:sz w:val="24"/>
          <w:highlight w:val="none"/>
          <w:u w:val="single"/>
          <w:lang w:val="en-US" w:eastAsia="zh-CN"/>
        </w:rPr>
        <w:t>5</w:t>
      </w:r>
      <w:r>
        <w:rPr>
          <w:rFonts w:hint="eastAsia" w:ascii="宋体" w:hAnsi="宋体" w:cs="宋体"/>
          <w:b w:val="0"/>
          <w:bCs/>
          <w:sz w:val="24"/>
          <w:highlight w:val="none"/>
          <w:u w:val="single"/>
        </w:rPr>
        <w:t>年</w:t>
      </w:r>
      <w:r>
        <w:rPr>
          <w:rFonts w:hint="eastAsia" w:ascii="宋体" w:hAnsi="宋体" w:cs="宋体"/>
          <w:b w:val="0"/>
          <w:bCs/>
          <w:sz w:val="24"/>
          <w:highlight w:val="none"/>
          <w:u w:val="single"/>
          <w:lang w:val="en-US" w:eastAsia="zh-CN"/>
        </w:rPr>
        <w:t>07</w:t>
      </w:r>
      <w:r>
        <w:rPr>
          <w:rFonts w:hint="eastAsia" w:ascii="宋体" w:hAnsi="宋体" w:cs="宋体"/>
          <w:b w:val="0"/>
          <w:bCs/>
          <w:sz w:val="24"/>
          <w:highlight w:val="none"/>
          <w:u w:val="single"/>
        </w:rPr>
        <w:t>月</w:t>
      </w:r>
      <w:r>
        <w:rPr>
          <w:rFonts w:hint="eastAsia" w:ascii="宋体" w:hAnsi="宋体" w:cs="宋体"/>
          <w:b w:val="0"/>
          <w:bCs/>
          <w:sz w:val="24"/>
          <w:highlight w:val="none"/>
          <w:u w:val="single"/>
          <w:lang w:val="en-US" w:eastAsia="zh-CN"/>
        </w:rPr>
        <w:t>14日08</w:t>
      </w:r>
      <w:r>
        <w:rPr>
          <w:rFonts w:hint="eastAsia" w:ascii="宋体" w:hAnsi="宋体" w:cs="宋体"/>
          <w:b w:val="0"/>
          <w:bCs/>
          <w:sz w:val="24"/>
          <w:highlight w:val="none"/>
          <w:u w:val="single"/>
        </w:rPr>
        <w:t>时</w:t>
      </w:r>
      <w:r>
        <w:rPr>
          <w:rFonts w:hint="eastAsia" w:ascii="宋体" w:hAnsi="宋体" w:cs="宋体"/>
          <w:b w:val="0"/>
          <w:bCs/>
          <w:sz w:val="24"/>
          <w:highlight w:val="none"/>
          <w:u w:val="single"/>
          <w:lang w:val="en-US" w:eastAsia="zh-CN"/>
        </w:rPr>
        <w:t>30</w:t>
      </w:r>
      <w:r>
        <w:rPr>
          <w:rFonts w:hint="eastAsia" w:ascii="宋体" w:hAnsi="宋体" w:cs="宋体"/>
          <w:b w:val="0"/>
          <w:bCs/>
          <w:sz w:val="24"/>
          <w:highlight w:val="none"/>
          <w:u w:val="single"/>
        </w:rPr>
        <w:t>分（北京时间）</w:t>
      </w:r>
      <w:r>
        <w:rPr>
          <w:rFonts w:hint="eastAsia" w:ascii="宋体" w:hAnsi="宋体" w:cs="宋体"/>
          <w:b w:val="0"/>
          <w:bCs/>
          <w:sz w:val="24"/>
          <w:highlight w:val="none"/>
        </w:rPr>
        <w:t>；</w:t>
      </w:r>
    </w:p>
    <w:p w14:paraId="4C32CC5A">
      <w:pPr>
        <w:spacing w:line="360" w:lineRule="auto"/>
        <w:ind w:firstLine="480" w:firstLineChars="200"/>
        <w:rPr>
          <w:rFonts w:hint="eastAsia" w:ascii="宋体" w:hAnsi="宋体" w:eastAsia="宋体" w:cs="宋体"/>
          <w:b w:val="0"/>
          <w:bCs/>
          <w:sz w:val="24"/>
          <w:highlight w:val="none"/>
          <w:lang w:val="en-US" w:eastAsia="zh-CN"/>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开标地点（网址）：</w:t>
      </w:r>
      <w:r>
        <w:rPr>
          <w:rFonts w:hint="eastAsia" w:ascii="宋体" w:hAnsi="宋体" w:cs="宋体"/>
          <w:b w:val="0"/>
          <w:bCs/>
          <w:sz w:val="24"/>
          <w:highlight w:val="none"/>
          <w:lang w:val="en-US"/>
        </w:rPr>
        <w:t>登录</w:t>
      </w:r>
      <w:r>
        <w:rPr>
          <w:rFonts w:hint="eastAsia" w:ascii="宋体" w:hAnsi="宋体" w:cs="宋体"/>
          <w:b w:val="0"/>
          <w:bCs/>
          <w:sz w:val="24"/>
          <w:highlight w:val="none"/>
        </w:rPr>
        <w:t>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平台（lpnbsc.lecaiyun.com）开标大厅等候</w:t>
      </w:r>
      <w:r>
        <w:rPr>
          <w:rFonts w:hint="eastAsia" w:ascii="宋体" w:hAnsi="宋体" w:cs="宋体"/>
          <w:b w:val="0"/>
          <w:bCs/>
          <w:sz w:val="24"/>
          <w:highlight w:val="none"/>
          <w:lang w:val="en-US" w:eastAsia="zh-CN"/>
        </w:rPr>
        <w:t>开标</w:t>
      </w:r>
      <w:r>
        <w:rPr>
          <w:rFonts w:hint="eastAsia" w:ascii="宋体" w:hAnsi="宋体" w:cs="宋体"/>
          <w:b w:val="0"/>
          <w:bCs/>
          <w:sz w:val="24"/>
          <w:highlight w:val="none"/>
        </w:rPr>
        <w:t>解密</w:t>
      </w:r>
      <w:r>
        <w:rPr>
          <w:rFonts w:hint="eastAsia" w:ascii="宋体" w:hAnsi="宋体" w:cs="宋体"/>
          <w:b w:val="0"/>
          <w:bCs/>
          <w:sz w:val="24"/>
          <w:highlight w:val="none"/>
          <w:lang w:eastAsia="zh-CN"/>
        </w:rPr>
        <w:t>。</w:t>
      </w:r>
    </w:p>
    <w:p w14:paraId="36EC6AA7">
      <w:pPr>
        <w:spacing w:line="360" w:lineRule="auto"/>
        <w:rPr>
          <w:rFonts w:ascii="宋体" w:hAnsi="宋体" w:cs="宋体"/>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、公告期限</w:t>
      </w:r>
      <w:r>
        <w:rPr>
          <w:rFonts w:hint="eastAsia" w:ascii="宋体" w:hAnsi="宋体" w:cs="宋体"/>
          <w:b/>
          <w:sz w:val="24"/>
          <w:highlight w:val="none"/>
          <w:lang w:val="en-US" w:eastAsia="zh-CN"/>
        </w:rPr>
        <w:t>及说明</w:t>
      </w:r>
      <w:r>
        <w:rPr>
          <w:rFonts w:hint="eastAsia" w:ascii="宋体" w:hAnsi="宋体" w:cs="宋体"/>
          <w:b/>
          <w:sz w:val="24"/>
          <w:highlight w:val="none"/>
        </w:rPr>
        <w:t xml:space="preserve"> </w:t>
      </w:r>
    </w:p>
    <w:p w14:paraId="556F0B7C">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自本公告发布之日起5个工作日。</w:t>
      </w:r>
    </w:p>
    <w:p w14:paraId="36DBFF27">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本项</w:t>
      </w:r>
      <w:r>
        <w:rPr>
          <w:rFonts w:hint="eastAsia" w:ascii="新宋体" w:hAnsi="新宋体" w:eastAsia="新宋体" w:cs="新宋体"/>
          <w:sz w:val="24"/>
          <w:highlight w:val="none"/>
        </w:rPr>
        <w:t>目</w:t>
      </w:r>
      <w:r>
        <w:rPr>
          <w:rFonts w:hint="eastAsia" w:ascii="新宋体" w:hAnsi="新宋体" w:eastAsia="新宋体" w:cs="新宋体"/>
          <w:sz w:val="24"/>
          <w:highlight w:val="none"/>
          <w:lang w:eastAsia="zh-CN"/>
        </w:rPr>
        <w:t>采用临采云电子招投标方式进行招投标。</w:t>
      </w:r>
      <w:r>
        <w:rPr>
          <w:rFonts w:hint="eastAsia" w:ascii="新宋体" w:hAnsi="新宋体" w:eastAsia="新宋体" w:cs="新宋体"/>
          <w:bCs/>
          <w:kern w:val="0"/>
          <w:sz w:val="24"/>
          <w:szCs w:val="24"/>
          <w:highlight w:val="none"/>
        </w:rPr>
        <w:t>（1）电子招投标的说明：①电子招投标：本项目以数据电文形式，依托“临采云平台（lpnbsc.lecaiyun.com）”进行招投标活动，不接受纸质投标文件；</w:t>
      </w:r>
    </w:p>
    <w:p w14:paraId="05F9E287">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②投标准备：注册账号--点击“”</w:t>
      </w:r>
      <w:r>
        <w:rPr>
          <w:rFonts w:hint="eastAsia" w:ascii="新宋体" w:hAnsi="新宋体" w:eastAsia="新宋体" w:cs="新宋体"/>
          <w:bCs/>
          <w:kern w:val="0"/>
          <w:sz w:val="24"/>
          <w:szCs w:val="24"/>
          <w:highlight w:val="none"/>
          <w:lang w:val="en-US" w:eastAsia="zh-CN"/>
        </w:rPr>
        <w:t>商家中心-商家注册（https://middle-lcy.lecaiyun.com/settle-front/#/enter/newsettle?entranceType=150&amp;settleCategory=1）</w:t>
      </w:r>
      <w:r>
        <w:rPr>
          <w:rFonts w:hint="eastAsia" w:ascii="新宋体" w:hAnsi="新宋体" w:eastAsia="新宋体" w:cs="新宋体"/>
          <w:bCs/>
          <w:kern w:val="0"/>
          <w:sz w:val="24"/>
          <w:szCs w:val="24"/>
          <w:highlight w:val="none"/>
        </w:rPr>
        <w:t>，进行供应商资料填写；申领CA数字证书---申领流程详见“</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w:t>
      </w:r>
      <w:r>
        <w:rPr>
          <w:rFonts w:hint="eastAsia" w:ascii="新宋体" w:hAnsi="新宋体" w:eastAsia="新宋体" w:cs="新宋体"/>
          <w:bCs/>
          <w:kern w:val="0"/>
          <w:sz w:val="24"/>
          <w:szCs w:val="24"/>
          <w:highlight w:val="none"/>
          <w:lang w:val="en-US" w:eastAsia="zh-CN"/>
        </w:rPr>
        <w:t>帮助文档-申请CA证书（https://lecaiyun.com/helpcenter/document#/document/detail?siteCode=lecaiyun&amp;topicId=12851&amp;manualId=2185）</w:t>
      </w:r>
      <w:r>
        <w:rPr>
          <w:rFonts w:hint="eastAsia" w:ascii="新宋体" w:hAnsi="新宋体" w:eastAsia="新宋体" w:cs="新宋体"/>
          <w:bCs/>
          <w:kern w:val="0"/>
          <w:sz w:val="24"/>
          <w:szCs w:val="24"/>
          <w:highlight w:val="none"/>
        </w:rPr>
        <w:t>”；</w:t>
      </w:r>
      <w:r>
        <w:rPr>
          <w:rFonts w:hint="eastAsia" w:ascii="新宋体" w:hAnsi="新宋体" w:eastAsia="新宋体" w:cs="新宋体"/>
          <w:color w:val="000000"/>
          <w:sz w:val="24"/>
          <w:szCs w:val="24"/>
          <w:highlight w:val="none"/>
        </w:rPr>
        <w:t>安装“</w:t>
      </w:r>
      <w:r>
        <w:rPr>
          <w:rFonts w:hint="eastAsia" w:ascii="新宋体" w:hAnsi="新宋体" w:eastAsia="新宋体" w:cs="新宋体"/>
          <w:color w:val="000000"/>
          <w:sz w:val="24"/>
          <w:szCs w:val="24"/>
          <w:highlight w:val="none"/>
          <w:lang w:val="en-US" w:eastAsia="zh-CN"/>
        </w:rPr>
        <w:t>临采云</w:t>
      </w:r>
      <w:r>
        <w:rPr>
          <w:rFonts w:hint="eastAsia" w:ascii="新宋体" w:hAnsi="新宋体" w:eastAsia="新宋体" w:cs="新宋体"/>
          <w:color w:val="000000"/>
          <w:sz w:val="24"/>
          <w:szCs w:val="24"/>
          <w:highlight w:val="none"/>
        </w:rPr>
        <w:t>电子交易客户端”----投标人通过</w:t>
      </w:r>
      <w:r>
        <w:rPr>
          <w:rFonts w:hint="eastAsia" w:ascii="新宋体" w:hAnsi="新宋体" w:eastAsia="新宋体" w:cs="新宋体"/>
          <w:color w:val="000000"/>
          <w:sz w:val="24"/>
          <w:szCs w:val="24"/>
          <w:highlight w:val="none"/>
          <w:lang w:eastAsia="zh-CN"/>
        </w:rPr>
        <w:t>临采云平台</w:t>
      </w:r>
      <w:r>
        <w:rPr>
          <w:rFonts w:hint="eastAsia" w:ascii="新宋体" w:hAnsi="新宋体" w:eastAsia="新宋体" w:cs="新宋体"/>
          <w:color w:val="000000"/>
          <w:sz w:val="24"/>
          <w:szCs w:val="24"/>
          <w:highlight w:val="none"/>
        </w:rPr>
        <w:t>电子投标工具制作投标文件，前往“</w:t>
      </w:r>
      <w:r>
        <w:rPr>
          <w:rFonts w:hint="eastAsia" w:ascii="新宋体" w:hAnsi="新宋体" w:eastAsia="新宋体" w:cs="新宋体"/>
          <w:color w:val="000000"/>
          <w:sz w:val="24"/>
          <w:szCs w:val="24"/>
          <w:highlight w:val="none"/>
          <w:lang w:val="en-US" w:eastAsia="zh-CN"/>
        </w:rPr>
        <w:t>临采云平台</w:t>
      </w:r>
      <w:r>
        <w:rPr>
          <w:rFonts w:hint="eastAsia" w:ascii="新宋体" w:hAnsi="新宋体" w:eastAsia="新宋体" w:cs="新宋体"/>
          <w:color w:val="000000"/>
          <w:sz w:val="24"/>
          <w:szCs w:val="24"/>
          <w:highlight w:val="none"/>
        </w:rPr>
        <w:t>-</w:t>
      </w:r>
      <w:r>
        <w:rPr>
          <w:rFonts w:hint="eastAsia" w:ascii="新宋体" w:hAnsi="新宋体" w:eastAsia="新宋体" w:cs="新宋体"/>
          <w:color w:val="000000"/>
          <w:sz w:val="24"/>
          <w:szCs w:val="24"/>
          <w:highlight w:val="none"/>
          <w:lang w:val="en-US" w:eastAsia="zh-CN"/>
        </w:rPr>
        <w:t>服务中心</w:t>
      </w:r>
      <w:r>
        <w:rPr>
          <w:rFonts w:hint="eastAsia" w:ascii="新宋体" w:hAnsi="新宋体" w:eastAsia="新宋体" w:cs="新宋体"/>
          <w:color w:val="000000"/>
          <w:sz w:val="24"/>
          <w:szCs w:val="24"/>
          <w:highlight w:val="none"/>
        </w:rPr>
        <w:t>-电子交易客户端”进行下载并安装。</w:t>
      </w:r>
      <w:r>
        <w:rPr>
          <w:rFonts w:hint="eastAsia" w:ascii="新宋体" w:hAnsi="新宋体" w:eastAsia="新宋体" w:cs="新宋体"/>
          <w:color w:val="000000"/>
          <w:sz w:val="24"/>
          <w:szCs w:val="24"/>
          <w:highlight w:val="none"/>
          <w:lang w:val="en-US" w:eastAsia="zh-CN"/>
        </w:rPr>
        <w:t>临采云</w:t>
      </w:r>
      <w:r>
        <w:rPr>
          <w:rFonts w:hint="eastAsia" w:ascii="新宋体" w:hAnsi="新宋体" w:eastAsia="新宋体" w:cs="新宋体"/>
          <w:color w:val="000000"/>
          <w:sz w:val="24"/>
          <w:szCs w:val="24"/>
          <w:highlight w:val="none"/>
        </w:rPr>
        <w:t>电子交易客户端：</w:t>
      </w:r>
      <w:r>
        <w:rPr>
          <w:rFonts w:hint="eastAsia" w:ascii="新宋体" w:hAnsi="新宋体" w:eastAsia="新宋体" w:cs="新宋体"/>
          <w:sz w:val="24"/>
          <w:szCs w:val="24"/>
          <w:highlight w:val="none"/>
        </w:rPr>
        <w:t>https://sitecdn.zcycdn.com/zcy-client/bidding-client-new/official/lcy/LeCaiYunSetup.latest.exe</w:t>
      </w:r>
      <w:r>
        <w:rPr>
          <w:rFonts w:hint="eastAsia" w:ascii="新宋体" w:hAnsi="新宋体" w:eastAsia="新宋体" w:cs="新宋体"/>
          <w:bCs/>
          <w:kern w:val="0"/>
          <w:sz w:val="24"/>
          <w:szCs w:val="24"/>
          <w:highlight w:val="none"/>
        </w:rPr>
        <w:t>；</w:t>
      </w:r>
    </w:p>
    <w:p w14:paraId="720F92E4">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③招标文件的获取：使用账号登录或者使用CA登录</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平台；进入“项目采购”应用，在获取</w:t>
      </w:r>
      <w:r>
        <w:rPr>
          <w:rFonts w:hint="eastAsia" w:ascii="新宋体" w:hAnsi="新宋体" w:eastAsia="新宋体" w:cs="新宋体"/>
          <w:bCs/>
          <w:kern w:val="0"/>
          <w:sz w:val="24"/>
          <w:szCs w:val="24"/>
          <w:highlight w:val="none"/>
          <w:lang w:eastAsia="zh-CN"/>
        </w:rPr>
        <w:t>招标文件</w:t>
      </w:r>
      <w:r>
        <w:rPr>
          <w:rFonts w:hint="eastAsia" w:ascii="新宋体" w:hAnsi="新宋体" w:eastAsia="新宋体" w:cs="新宋体"/>
          <w:bCs/>
          <w:kern w:val="0"/>
          <w:sz w:val="24"/>
          <w:szCs w:val="24"/>
          <w:highlight w:val="none"/>
        </w:rPr>
        <w:t>菜单中选择项目，获取招标文件；</w:t>
      </w:r>
    </w:p>
    <w:p w14:paraId="645233C0">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④投标文件的制作：在“</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电子交易客户端”中完成“填写基本信息”、“导入投标文件”、“标书关联”、“标书检查”、“电子签名”、“生成电子标书”等操作；</w:t>
      </w:r>
    </w:p>
    <w:p w14:paraId="3184F38F">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⑤</w:t>
      </w:r>
      <w:r>
        <w:rPr>
          <w:rFonts w:hint="eastAsia" w:ascii="新宋体" w:hAnsi="新宋体" w:eastAsia="新宋体" w:cs="新宋体"/>
          <w:bCs/>
          <w:kern w:val="0"/>
          <w:sz w:val="24"/>
          <w:szCs w:val="24"/>
          <w:highlight w:val="none"/>
          <w:lang w:eastAsia="zh-CN"/>
        </w:rPr>
        <w:t>招标人</w:t>
      </w:r>
      <w:r>
        <w:rPr>
          <w:rFonts w:hint="eastAsia" w:ascii="新宋体" w:hAnsi="新宋体" w:eastAsia="新宋体" w:cs="新宋体"/>
          <w:bCs/>
          <w:kern w:val="0"/>
          <w:sz w:val="24"/>
          <w:szCs w:val="24"/>
          <w:highlight w:val="none"/>
        </w:rPr>
        <w:t>、</w:t>
      </w:r>
      <w:r>
        <w:rPr>
          <w:rFonts w:hint="eastAsia" w:ascii="新宋体" w:hAnsi="新宋体" w:eastAsia="新宋体" w:cs="新宋体"/>
          <w:bCs/>
          <w:kern w:val="0"/>
          <w:sz w:val="24"/>
          <w:szCs w:val="24"/>
          <w:highlight w:val="none"/>
          <w:lang w:eastAsia="zh-CN"/>
        </w:rPr>
        <w:t>招标代理机构</w:t>
      </w:r>
      <w:r>
        <w:rPr>
          <w:rFonts w:hint="eastAsia" w:ascii="新宋体" w:hAnsi="新宋体" w:eastAsia="新宋体" w:cs="新宋体"/>
          <w:bCs/>
          <w:kern w:val="0"/>
          <w:sz w:val="24"/>
          <w:szCs w:val="24"/>
          <w:highlight w:val="none"/>
        </w:rPr>
        <w:t>将依托</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平台完成本项目的电子交易活动，平台不接受未按上述方式获取招标文件的供应商进行投标活动；供应商只有在“乐采云平台”完成获取</w:t>
      </w:r>
      <w:r>
        <w:rPr>
          <w:rFonts w:hint="eastAsia" w:ascii="新宋体" w:hAnsi="新宋体" w:eastAsia="新宋体" w:cs="新宋体"/>
          <w:bCs/>
          <w:kern w:val="0"/>
          <w:sz w:val="24"/>
          <w:szCs w:val="24"/>
          <w:highlight w:val="none"/>
          <w:lang w:eastAsia="zh-CN"/>
        </w:rPr>
        <w:t>招标文件</w:t>
      </w:r>
      <w:r>
        <w:rPr>
          <w:rFonts w:hint="eastAsia" w:ascii="新宋体" w:hAnsi="新宋体" w:eastAsia="新宋体" w:cs="新宋体"/>
          <w:bCs/>
          <w:kern w:val="0"/>
          <w:sz w:val="24"/>
          <w:szCs w:val="24"/>
          <w:highlight w:val="none"/>
        </w:rPr>
        <w:t>申请并下载了</w:t>
      </w:r>
      <w:r>
        <w:rPr>
          <w:rFonts w:hint="eastAsia" w:ascii="新宋体" w:hAnsi="新宋体" w:eastAsia="新宋体" w:cs="新宋体"/>
          <w:bCs/>
          <w:kern w:val="0"/>
          <w:sz w:val="24"/>
          <w:szCs w:val="24"/>
          <w:highlight w:val="none"/>
          <w:lang w:eastAsia="zh-CN"/>
        </w:rPr>
        <w:t>招标文件</w:t>
      </w:r>
      <w:r>
        <w:rPr>
          <w:rFonts w:hint="eastAsia" w:ascii="新宋体" w:hAnsi="新宋体" w:eastAsia="新宋体" w:cs="新宋体"/>
          <w:bCs/>
          <w:kern w:val="0"/>
          <w:sz w:val="24"/>
          <w:szCs w:val="24"/>
          <w:highlight w:val="none"/>
        </w:rPr>
        <w:t>后才被视为合法获取了</w:t>
      </w:r>
      <w:r>
        <w:rPr>
          <w:rFonts w:hint="eastAsia" w:ascii="新宋体" w:hAnsi="新宋体" w:eastAsia="新宋体" w:cs="新宋体"/>
          <w:bCs/>
          <w:kern w:val="0"/>
          <w:sz w:val="24"/>
          <w:szCs w:val="24"/>
          <w:highlight w:val="none"/>
          <w:lang w:eastAsia="zh-CN"/>
        </w:rPr>
        <w:t>招标文件</w:t>
      </w:r>
      <w:r>
        <w:rPr>
          <w:rFonts w:hint="eastAsia" w:ascii="新宋体" w:hAnsi="新宋体" w:eastAsia="新宋体" w:cs="新宋体"/>
          <w:bCs/>
          <w:kern w:val="0"/>
          <w:sz w:val="24"/>
          <w:szCs w:val="24"/>
          <w:highlight w:val="none"/>
        </w:rPr>
        <w:t>，否则投标将被拒绝。（供应商获取</w:t>
      </w:r>
      <w:r>
        <w:rPr>
          <w:rFonts w:hint="eastAsia" w:ascii="新宋体" w:hAnsi="新宋体" w:eastAsia="新宋体" w:cs="新宋体"/>
          <w:bCs/>
          <w:kern w:val="0"/>
          <w:sz w:val="24"/>
          <w:szCs w:val="24"/>
          <w:highlight w:val="none"/>
          <w:lang w:eastAsia="zh-CN"/>
        </w:rPr>
        <w:t>招标文件</w:t>
      </w:r>
      <w:r>
        <w:rPr>
          <w:rFonts w:hint="eastAsia" w:ascii="新宋体" w:hAnsi="新宋体" w:eastAsia="新宋体" w:cs="新宋体"/>
          <w:bCs/>
          <w:kern w:val="0"/>
          <w:sz w:val="24"/>
          <w:szCs w:val="24"/>
          <w:highlight w:val="none"/>
        </w:rPr>
        <w:t>时间以供应商完成获取</w:t>
      </w:r>
      <w:r>
        <w:rPr>
          <w:rFonts w:hint="eastAsia" w:ascii="新宋体" w:hAnsi="新宋体" w:eastAsia="新宋体" w:cs="新宋体"/>
          <w:bCs/>
          <w:kern w:val="0"/>
          <w:sz w:val="24"/>
          <w:szCs w:val="24"/>
          <w:highlight w:val="none"/>
          <w:lang w:eastAsia="zh-CN"/>
        </w:rPr>
        <w:t>招标文件</w:t>
      </w:r>
      <w:r>
        <w:rPr>
          <w:rFonts w:hint="eastAsia" w:ascii="新宋体" w:hAnsi="新宋体" w:eastAsia="新宋体" w:cs="新宋体"/>
          <w:bCs/>
          <w:kern w:val="0"/>
          <w:sz w:val="24"/>
          <w:szCs w:val="24"/>
          <w:highlight w:val="none"/>
        </w:rPr>
        <w:t>申请后下载</w:t>
      </w:r>
      <w:r>
        <w:rPr>
          <w:rFonts w:hint="eastAsia" w:ascii="新宋体" w:hAnsi="新宋体" w:eastAsia="新宋体" w:cs="新宋体"/>
          <w:bCs/>
          <w:kern w:val="0"/>
          <w:sz w:val="24"/>
          <w:szCs w:val="24"/>
          <w:highlight w:val="none"/>
          <w:lang w:eastAsia="zh-CN"/>
        </w:rPr>
        <w:t>招标文件</w:t>
      </w:r>
      <w:r>
        <w:rPr>
          <w:rFonts w:hint="eastAsia" w:ascii="新宋体" w:hAnsi="新宋体" w:eastAsia="新宋体" w:cs="新宋体"/>
          <w:bCs/>
          <w:kern w:val="0"/>
          <w:sz w:val="24"/>
          <w:szCs w:val="24"/>
          <w:highlight w:val="none"/>
        </w:rPr>
        <w:t>的时间为准）</w:t>
      </w:r>
    </w:p>
    <w:p w14:paraId="32BE959E">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⑥对未按上述方式获取招标文件的供应商对该文件提出的质疑，</w:t>
      </w:r>
      <w:r>
        <w:rPr>
          <w:rFonts w:hint="eastAsia" w:ascii="新宋体" w:hAnsi="新宋体" w:eastAsia="新宋体" w:cs="新宋体"/>
          <w:bCs/>
          <w:kern w:val="0"/>
          <w:sz w:val="24"/>
          <w:szCs w:val="24"/>
          <w:highlight w:val="none"/>
          <w:lang w:eastAsia="zh-CN"/>
        </w:rPr>
        <w:t>招标人</w:t>
      </w:r>
      <w:r>
        <w:rPr>
          <w:rFonts w:hint="eastAsia" w:ascii="新宋体" w:hAnsi="新宋体" w:eastAsia="新宋体" w:cs="新宋体"/>
          <w:bCs/>
          <w:kern w:val="0"/>
          <w:sz w:val="24"/>
          <w:szCs w:val="24"/>
          <w:highlight w:val="none"/>
        </w:rPr>
        <w:t>或</w:t>
      </w:r>
      <w:r>
        <w:rPr>
          <w:rFonts w:hint="eastAsia" w:ascii="新宋体" w:hAnsi="新宋体" w:eastAsia="新宋体" w:cs="新宋体"/>
          <w:bCs/>
          <w:kern w:val="0"/>
          <w:sz w:val="24"/>
          <w:szCs w:val="24"/>
          <w:highlight w:val="none"/>
          <w:lang w:eastAsia="zh-CN"/>
        </w:rPr>
        <w:t>招标代理机构</w:t>
      </w:r>
      <w:r>
        <w:rPr>
          <w:rFonts w:hint="eastAsia" w:ascii="新宋体" w:hAnsi="新宋体" w:eastAsia="新宋体" w:cs="新宋体"/>
          <w:bCs/>
          <w:kern w:val="0"/>
          <w:sz w:val="24"/>
          <w:szCs w:val="24"/>
          <w:highlight w:val="none"/>
        </w:rPr>
        <w:t>将不予处理；</w:t>
      </w:r>
    </w:p>
    <w:p w14:paraId="7E99B375">
      <w:pPr>
        <w:widowControl/>
        <w:wordWrap w:val="0"/>
        <w:spacing w:line="360" w:lineRule="auto"/>
        <w:ind w:firstLine="480" w:firstLineChars="200"/>
        <w:rPr>
          <w:rFonts w:hint="eastAsia" w:ascii="新宋体" w:hAnsi="新宋体" w:eastAsia="新宋体" w:cs="新宋体"/>
          <w:bCs/>
          <w:kern w:val="0"/>
          <w:sz w:val="24"/>
          <w:highlight w:val="none"/>
        </w:rPr>
      </w:pPr>
      <w:r>
        <w:rPr>
          <w:rFonts w:hint="eastAsia" w:ascii="新宋体" w:hAnsi="新宋体" w:eastAsia="新宋体" w:cs="新宋体"/>
          <w:bCs/>
          <w:kern w:val="0"/>
          <w:sz w:val="24"/>
          <w:highlight w:val="none"/>
        </w:rPr>
        <w:t>注：请供应商按上述要求获取</w:t>
      </w:r>
      <w:r>
        <w:rPr>
          <w:rFonts w:hint="eastAsia" w:ascii="新宋体" w:hAnsi="新宋体" w:eastAsia="新宋体" w:cs="新宋体"/>
          <w:bCs/>
          <w:kern w:val="0"/>
          <w:sz w:val="24"/>
          <w:highlight w:val="none"/>
          <w:lang w:eastAsia="zh-CN"/>
        </w:rPr>
        <w:t>招标文件</w:t>
      </w:r>
      <w:r>
        <w:rPr>
          <w:rFonts w:hint="eastAsia" w:ascii="新宋体" w:hAnsi="新宋体" w:eastAsia="新宋体" w:cs="新宋体"/>
          <w:bCs/>
          <w:kern w:val="0"/>
          <w:sz w:val="24"/>
          <w:highlight w:val="none"/>
        </w:rPr>
        <w:t>，如未在“乐采云”系统内完成相关流程，引起的投标无效责任自负。</w:t>
      </w:r>
    </w:p>
    <w:p w14:paraId="486E41BC">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⑦不提供招标文件纸质版；</w:t>
      </w:r>
    </w:p>
    <w:p w14:paraId="35ADDD79">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⑧投标文件的传输递交：投标人在投标截止时间前将加密的投标文件上传至</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平台；</w:t>
      </w:r>
    </w:p>
    <w:p w14:paraId="018FF940">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⑨投标文件的解密：投标人按照平台提示和招标文件的规定在半小时内完成在线解密。通过“</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平台”上传递交的投标文件无法按时解密，视为投标文件撤回。</w:t>
      </w:r>
    </w:p>
    <w:p w14:paraId="67236889">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⑩具体操作指南：详见</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云平台“服务中心-帮助文档-项目采购-操作流程-电子招投标。</w:t>
      </w:r>
    </w:p>
    <w:p w14:paraId="1EA321EC">
      <w:pPr>
        <w:widowControl/>
        <w:wordWrap w:val="0"/>
        <w:spacing w:before="0" w:line="360"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w:t>
      </w:r>
      <w:r>
        <w:rPr>
          <w:rFonts w:hint="eastAsia" w:ascii="新宋体" w:hAnsi="新宋体" w:eastAsia="新宋体" w:cs="新宋体"/>
          <w:bCs/>
          <w:kern w:val="0"/>
          <w:sz w:val="24"/>
          <w:szCs w:val="24"/>
          <w:highlight w:val="none"/>
          <w:lang w:eastAsia="zh-CN"/>
        </w:rPr>
        <w:t>2</w:t>
      </w:r>
      <w:r>
        <w:rPr>
          <w:rFonts w:hint="eastAsia" w:ascii="新宋体" w:hAnsi="新宋体" w:eastAsia="新宋体" w:cs="新宋体"/>
          <w:bCs/>
          <w:kern w:val="0"/>
          <w:sz w:val="24"/>
          <w:szCs w:val="24"/>
          <w:highlight w:val="none"/>
        </w:rPr>
        <w:t>）招标文件公告期限与招标公告的公告期限一致。</w:t>
      </w:r>
    </w:p>
    <w:p w14:paraId="22DC9135">
      <w:pPr>
        <w:spacing w:line="360" w:lineRule="auto"/>
        <w:rPr>
          <w:rFonts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、其他补充事宜</w:t>
      </w:r>
    </w:p>
    <w:p w14:paraId="13D17EBD">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投标人</w:t>
      </w:r>
      <w:r>
        <w:rPr>
          <w:rFonts w:hint="eastAsia" w:ascii="宋体" w:hAnsi="宋体" w:cs="宋体"/>
          <w:sz w:val="24"/>
          <w:highlight w:val="none"/>
        </w:rPr>
        <w:t>认为</w:t>
      </w:r>
      <w:r>
        <w:rPr>
          <w:rFonts w:hint="eastAsia" w:ascii="宋体" w:hAnsi="宋体" w:cs="宋体"/>
          <w:sz w:val="24"/>
          <w:highlight w:val="none"/>
          <w:lang w:eastAsia="zh-CN"/>
        </w:rPr>
        <w:t>招标</w:t>
      </w:r>
      <w:r>
        <w:rPr>
          <w:rFonts w:hint="eastAsia" w:ascii="宋体" w:hAnsi="宋体" w:cs="宋体"/>
          <w:sz w:val="24"/>
          <w:highlight w:val="none"/>
        </w:rPr>
        <w:t>文件使自己的权益受到损害的，可以获取招标文件之日起或者招标文件公告期限届满之日（公告期限届满后获取招标文件的，以公告期限届满之日为准）起五个工作日内，向</w:t>
      </w:r>
      <w:r>
        <w:rPr>
          <w:rFonts w:hint="eastAsia" w:ascii="宋体" w:hAnsi="宋体" w:cs="宋体"/>
          <w:sz w:val="24"/>
          <w:highlight w:val="none"/>
          <w:lang w:eastAsia="zh-CN"/>
        </w:rPr>
        <w:t>招标人</w:t>
      </w:r>
      <w:r>
        <w:rPr>
          <w:rFonts w:hint="eastAsia" w:ascii="宋体" w:hAnsi="宋体" w:cs="宋体"/>
          <w:sz w:val="24"/>
          <w:highlight w:val="none"/>
        </w:rPr>
        <w:t>或</w:t>
      </w:r>
      <w:r>
        <w:rPr>
          <w:rFonts w:hint="eastAsia" w:ascii="宋体" w:hAnsi="宋体" w:cs="宋体"/>
          <w:sz w:val="24"/>
          <w:highlight w:val="none"/>
          <w:lang w:eastAsia="zh-CN"/>
        </w:rPr>
        <w:t>招标代理机构</w:t>
      </w:r>
      <w:r>
        <w:rPr>
          <w:rFonts w:hint="eastAsia" w:ascii="宋体" w:hAnsi="宋体" w:cs="宋体"/>
          <w:sz w:val="24"/>
          <w:highlight w:val="none"/>
        </w:rPr>
        <w:t>反映提出质疑。</w:t>
      </w:r>
    </w:p>
    <w:p w14:paraId="713FFDD2">
      <w:pPr>
        <w:spacing w:line="360" w:lineRule="auto"/>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、对本次采购提出询问、质疑，请按以下方式联系</w:t>
      </w:r>
    </w:p>
    <w:p w14:paraId="35B7CEF3">
      <w:pPr>
        <w:spacing w:line="360" w:lineRule="auto"/>
        <w:rPr>
          <w:rFonts w:ascii="宋体" w:hAnsi="宋体" w:cs="宋体"/>
          <w:b/>
          <w:bCs/>
          <w:sz w:val="24"/>
          <w:highlight w:val="none"/>
        </w:rPr>
      </w:pPr>
      <w:r>
        <w:rPr>
          <w:rFonts w:hint="eastAsia" w:ascii="宋体" w:hAnsi="宋体" w:cs="宋体"/>
          <w:b/>
          <w:bCs/>
          <w:sz w:val="24"/>
          <w:highlight w:val="none"/>
        </w:rPr>
        <w:t xml:space="preserve">    1.</w:t>
      </w:r>
      <w:r>
        <w:rPr>
          <w:rFonts w:hint="eastAsia" w:ascii="宋体" w:hAnsi="宋体" w:cs="宋体"/>
          <w:b/>
          <w:bCs/>
          <w:sz w:val="24"/>
          <w:highlight w:val="none"/>
          <w:lang w:eastAsia="zh-CN"/>
        </w:rPr>
        <w:t>招标人</w:t>
      </w:r>
      <w:r>
        <w:rPr>
          <w:rFonts w:hint="eastAsia" w:ascii="宋体" w:hAnsi="宋体" w:cs="宋体"/>
          <w:b/>
          <w:bCs/>
          <w:sz w:val="24"/>
          <w:highlight w:val="none"/>
        </w:rPr>
        <w:t>信息</w:t>
      </w:r>
    </w:p>
    <w:p w14:paraId="76E35EF2">
      <w:pPr>
        <w:spacing w:line="360" w:lineRule="auto"/>
        <w:rPr>
          <w:rFonts w:ascii="宋体" w:hAnsi="宋体" w:cs="宋体"/>
          <w:sz w:val="24"/>
          <w:highlight w:val="none"/>
        </w:rPr>
      </w:pPr>
      <w:r>
        <w:rPr>
          <w:rFonts w:hint="eastAsia" w:ascii="宋体" w:hAnsi="宋体" w:cs="宋体"/>
          <w:sz w:val="24"/>
          <w:highlight w:val="none"/>
        </w:rPr>
        <w:t xml:space="preserve">    名称：</w:t>
      </w:r>
      <w:r>
        <w:rPr>
          <w:rFonts w:hint="eastAsia" w:ascii="宋体" w:hAnsi="宋体" w:cs="宋体"/>
          <w:sz w:val="24"/>
          <w:highlight w:val="none"/>
          <w:lang w:eastAsia="zh-CN"/>
        </w:rPr>
        <w:t>杭州嘉澍新材科技有限公司</w:t>
      </w:r>
      <w:r>
        <w:rPr>
          <w:rFonts w:hint="eastAsia" w:ascii="宋体" w:hAnsi="宋体" w:cs="宋体"/>
          <w:sz w:val="24"/>
          <w:highlight w:val="none"/>
        </w:rPr>
        <w:t xml:space="preserve">  </w:t>
      </w:r>
    </w:p>
    <w:p w14:paraId="2E96D380">
      <w:pPr>
        <w:spacing w:line="360" w:lineRule="auto"/>
        <w:ind w:firstLine="480" w:firstLineChars="200"/>
        <w:rPr>
          <w:rFonts w:ascii="宋体" w:hAnsi="宋体" w:cs="宋体"/>
          <w:sz w:val="24"/>
          <w:highlight w:val="none"/>
        </w:rPr>
      </w:pPr>
      <w:r>
        <w:rPr>
          <w:rFonts w:hint="eastAsia" w:ascii="宋体" w:hAnsi="宋体" w:cs="宋体"/>
          <w:sz w:val="24"/>
          <w:highlight w:val="none"/>
        </w:rPr>
        <w:t>地址：</w:t>
      </w:r>
      <w:r>
        <w:rPr>
          <w:rFonts w:hint="eastAsia" w:ascii="宋体" w:hAnsi="宋体" w:eastAsia="宋体" w:cs="宋体"/>
          <w:b w:val="0"/>
          <w:bCs w:val="0"/>
          <w:color w:val="auto"/>
          <w:sz w:val="24"/>
          <w:szCs w:val="24"/>
          <w:highlight w:val="none"/>
          <w:lang w:eastAsia="zh-CN"/>
        </w:rPr>
        <w:t>杭州市临平区东湖街道红梅路1号。</w:t>
      </w:r>
    </w:p>
    <w:p w14:paraId="2DDC1F23">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eastAsia="宋体" w:cs="宋体"/>
          <w:color w:val="auto"/>
          <w:sz w:val="24"/>
          <w:szCs w:val="24"/>
          <w:highlight w:val="none"/>
        </w:rPr>
        <w:t>郁志杰</w:t>
      </w:r>
    </w:p>
    <w:p w14:paraId="6D98E70D">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eastAsia="宋体" w:cs="宋体"/>
          <w:color w:val="auto"/>
          <w:sz w:val="24"/>
          <w:szCs w:val="24"/>
          <w:highlight w:val="none"/>
        </w:rPr>
        <w:t>0571-86169170</w:t>
      </w:r>
    </w:p>
    <w:p w14:paraId="68EA33C0">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2.</w:t>
      </w:r>
      <w:r>
        <w:rPr>
          <w:rFonts w:hint="eastAsia" w:ascii="宋体" w:hAnsi="宋体" w:cs="宋体"/>
          <w:b/>
          <w:bCs/>
          <w:sz w:val="24"/>
          <w:highlight w:val="none"/>
          <w:lang w:eastAsia="zh-CN"/>
        </w:rPr>
        <w:t>招标代理机构</w:t>
      </w:r>
      <w:r>
        <w:rPr>
          <w:rFonts w:hint="eastAsia" w:ascii="宋体" w:hAnsi="宋体" w:cs="宋体"/>
          <w:b/>
          <w:bCs/>
          <w:sz w:val="24"/>
          <w:highlight w:val="none"/>
        </w:rPr>
        <w:t xml:space="preserve">信息    </w:t>
      </w:r>
      <w:r>
        <w:rPr>
          <w:rFonts w:hint="eastAsia" w:ascii="宋体" w:hAnsi="宋体" w:cs="宋体"/>
          <w:sz w:val="24"/>
          <w:highlight w:val="none"/>
        </w:rPr>
        <w:t xml:space="preserve">        </w:t>
      </w:r>
    </w:p>
    <w:p w14:paraId="60E63DF7">
      <w:pPr>
        <w:spacing w:line="360" w:lineRule="auto"/>
        <w:ind w:firstLine="480"/>
        <w:rPr>
          <w:rFonts w:ascii="宋体" w:hAnsi="宋体" w:cs="宋体"/>
          <w:sz w:val="24"/>
          <w:highlight w:val="none"/>
        </w:rPr>
      </w:pPr>
      <w:r>
        <w:rPr>
          <w:rFonts w:hint="eastAsia" w:ascii="宋体" w:hAnsi="宋体" w:cs="宋体"/>
          <w:sz w:val="24"/>
          <w:highlight w:val="none"/>
        </w:rPr>
        <w:t>名称：耀华建设管理有限公司</w:t>
      </w:r>
    </w:p>
    <w:p w14:paraId="0C020D02">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地址：杭州市临平区南苑街道华元欢乐城-华元大厦20层</w:t>
      </w:r>
      <w:r>
        <w:rPr>
          <w:rFonts w:hint="eastAsia" w:ascii="宋体" w:hAnsi="宋体" w:cs="宋体"/>
          <w:sz w:val="24"/>
          <w:highlight w:val="none"/>
          <w:lang w:eastAsia="zh-CN"/>
        </w:rPr>
        <w:t>（整层）</w:t>
      </w:r>
      <w:r>
        <w:rPr>
          <w:rFonts w:hint="eastAsia" w:ascii="宋体" w:hAnsi="宋体" w:cs="宋体"/>
          <w:sz w:val="24"/>
          <w:highlight w:val="none"/>
          <w:lang w:val="en-US" w:eastAsia="zh-CN"/>
        </w:rPr>
        <w:t>。</w:t>
      </w:r>
    </w:p>
    <w:p w14:paraId="6A6D298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szCs w:val="24"/>
          <w:highlight w:val="none"/>
        </w:rPr>
        <w:t>李一帆、单成燕</w:t>
      </w:r>
    </w:p>
    <w:p w14:paraId="15B8D446">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color w:val="000000"/>
          <w:sz w:val="24"/>
          <w:szCs w:val="24"/>
          <w:highlight w:val="none"/>
        </w:rPr>
        <w:t>0571-86320706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18758201932</w:t>
      </w:r>
    </w:p>
    <w:p w14:paraId="5E624FDB">
      <w:pPr>
        <w:spacing w:line="360" w:lineRule="auto"/>
        <w:ind w:firstLine="480" w:firstLineChars="200"/>
        <w:rPr>
          <w:rFonts w:hint="eastAsia" w:ascii="宋体" w:hAnsi="宋体" w:cs="宋体"/>
          <w:sz w:val="24"/>
          <w:highlight w:val="none"/>
        </w:rPr>
      </w:pPr>
    </w:p>
    <w:p w14:paraId="6BDCBDB2">
      <w:pPr>
        <w:adjustRightInd/>
        <w:spacing w:line="360" w:lineRule="auto"/>
        <w:ind w:firstLine="480" w:firstLineChars="200"/>
        <w:jc w:val="left"/>
        <w:outlineLvl w:val="9"/>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若对项目采购电子交易系统操作有疑问，可登录</w:t>
      </w:r>
      <w:r>
        <w:rPr>
          <w:rFonts w:hint="eastAsia" w:ascii="宋体" w:hAnsi="宋体" w:cs="宋体"/>
          <w:b w:val="0"/>
          <w:sz w:val="24"/>
          <w:szCs w:val="24"/>
          <w:highlight w:val="none"/>
          <w:lang w:eastAsia="zh-CN"/>
        </w:rPr>
        <w:t>临采云</w:t>
      </w:r>
      <w:r>
        <w:rPr>
          <w:rFonts w:hint="eastAsia" w:ascii="宋体" w:hAnsi="宋体" w:eastAsia="宋体" w:cs="宋体"/>
          <w:b w:val="0"/>
          <w:sz w:val="24"/>
          <w:szCs w:val="24"/>
          <w:highlight w:val="none"/>
        </w:rPr>
        <w:t>（https://www.lecaiyun.com/），点击右侧咨询小采，获取采小蜜智能服务管家帮助，或拨打服务热线95763获取热线服务帮助。</w:t>
      </w:r>
    </w:p>
    <w:p w14:paraId="1B954F60">
      <w:pPr>
        <w:adjustRightInd/>
        <w:spacing w:line="360" w:lineRule="auto"/>
        <w:ind w:firstLine="480" w:firstLineChars="200"/>
        <w:jc w:val="center"/>
        <w:outlineLvl w:val="9"/>
        <w:rPr>
          <w:rFonts w:ascii="宋体" w:hAnsi="宋体" w:cs="宋体"/>
          <w:b/>
          <w:sz w:val="36"/>
          <w:szCs w:val="20"/>
          <w:highlight w:val="none"/>
        </w:rPr>
      </w:pPr>
      <w:r>
        <w:rPr>
          <w:rFonts w:hint="eastAsia" w:ascii="宋体" w:hAnsi="宋体" w:eastAsia="宋体" w:cs="宋体"/>
          <w:b w:val="0"/>
          <w:sz w:val="24"/>
          <w:szCs w:val="24"/>
          <w:highlight w:val="none"/>
        </w:rPr>
        <w:t>CA问题联系电话（人工）：汇信CA 400-888-4636；天谷CA 400-087-8198。</w:t>
      </w: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108403A0">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62BE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jc w:val="center"/>
        </w:trPr>
        <w:tc>
          <w:tcPr>
            <w:tcW w:w="651" w:type="dxa"/>
            <w:tcBorders>
              <w:top w:val="single" w:color="auto" w:sz="4" w:space="0"/>
              <w:left w:val="single" w:color="auto" w:sz="4" w:space="0"/>
              <w:bottom w:val="single" w:color="auto" w:sz="4" w:space="0"/>
              <w:right w:val="single" w:color="auto" w:sz="4" w:space="0"/>
            </w:tcBorders>
          </w:tcPr>
          <w:p w14:paraId="35026091">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6D7DB61F">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568A0392">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29863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5C939AE6">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126AD1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4"/>
                <w:highlight w:val="none"/>
              </w:rPr>
            </w:pPr>
            <w:r>
              <w:rPr>
                <w:rFonts w:hint="eastAsia" w:ascii="宋体" w:hAnsi="宋体" w:cs="宋体"/>
                <w:b/>
                <w:sz w:val="24"/>
                <w:highlight w:val="none"/>
              </w:rPr>
              <w:t>项目属性</w:t>
            </w:r>
          </w:p>
        </w:tc>
        <w:tc>
          <w:tcPr>
            <w:tcW w:w="6317" w:type="dxa"/>
            <w:tcBorders>
              <w:top w:val="single" w:color="000000" w:sz="8" w:space="0"/>
              <w:left w:val="single" w:color="000000" w:sz="2" w:space="0"/>
              <w:bottom w:val="single" w:color="000000" w:sz="8" w:space="0"/>
              <w:right w:val="single" w:color="000000" w:sz="8" w:space="0"/>
            </w:tcBorders>
            <w:vAlign w:val="top"/>
          </w:tcPr>
          <w:p w14:paraId="5D027B3A">
            <w:pPr>
              <w:pStyle w:val="26"/>
              <w:keepNext w:val="0"/>
              <w:keepLines w:val="0"/>
              <w:pageBreakBefore w:val="0"/>
              <w:widowControl/>
              <w:kinsoku/>
              <w:wordWrap/>
              <w:overflowPunct/>
              <w:topLinePunct w:val="0"/>
              <w:autoSpaceDE/>
              <w:autoSpaceDN/>
              <w:bidi w:val="0"/>
              <w:adjustRightInd/>
              <w:snapToGrid/>
              <w:spacing w:line="600" w:lineRule="exact"/>
              <w:ind w:firstLine="0" w:firstLineChars="0"/>
              <w:jc w:val="both"/>
              <w:textAlignment w:val="auto"/>
              <w:rPr>
                <w:rFonts w:hint="default" w:ascii="宋体" w:hAnsi="宋体" w:eastAsia="宋体" w:cs="宋体"/>
                <w:b/>
                <w:kern w:val="0"/>
                <w:sz w:val="24"/>
                <w:highlight w:val="none"/>
                <w:lang w:val="en-US" w:eastAsia="zh-CN"/>
              </w:rPr>
            </w:pPr>
            <w:r>
              <w:rPr>
                <w:rFonts w:hint="eastAsia" w:cs="宋体"/>
                <w:sz w:val="24"/>
                <w:highlight w:val="none"/>
                <w:lang w:val="en-US" w:eastAsia="zh-CN"/>
              </w:rPr>
              <w:t>货物</w:t>
            </w:r>
          </w:p>
        </w:tc>
      </w:tr>
      <w:tr w14:paraId="49749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33B80B47">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652A91F2">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0D36D981">
            <w:pPr>
              <w:snapToGrid w:val="0"/>
              <w:spacing w:line="360" w:lineRule="auto"/>
              <w:ind w:firstLine="0" w:firstLineChars="0"/>
              <w:jc w:val="left"/>
              <w:rPr>
                <w:rFonts w:hint="eastAsia" w:ascii="宋体" w:hAnsi="宋体" w:cs="宋体"/>
                <w:kern w:val="0"/>
                <w:sz w:val="24"/>
                <w:highlight w:val="none"/>
                <w:lang w:val="zh-CN"/>
              </w:rPr>
            </w:pPr>
            <w:r>
              <w:rPr>
                <w:rFonts w:hint="eastAsia" w:ascii="宋体" w:hAnsi="宋体" w:cs="宋体"/>
                <w:sz w:val="24"/>
                <w:highlight w:val="none"/>
              </w:rPr>
              <w:t>（</w:t>
            </w:r>
            <w:r>
              <w:rPr>
                <w:rFonts w:hint="eastAsia" w:ascii="宋体" w:hAnsi="宋体" w:cs="宋体"/>
                <w:kern w:val="0"/>
                <w:sz w:val="24"/>
                <w:highlight w:val="none"/>
                <w:lang w:val="zh-CN"/>
              </w:rPr>
              <w:t>1）本项目预算公开，预算价（即最高限价）为2158145元 ，凡高于最高限价的报价作无效标处理；本项目设定最高限价的80%作为风险控制价，即1726516元，低于该风险控制价的报价不作无效标处理。若中标价低于风险控制价，则中标单位需缴纳中标价与风险控制价的差额作为风险保证金存入合同签订单位指定账户，待项目履约验收合格后退还（无息）。</w:t>
            </w:r>
          </w:p>
          <w:p w14:paraId="63C16158">
            <w:pPr>
              <w:snapToGrid w:val="0"/>
              <w:spacing w:line="360" w:lineRule="auto"/>
              <w:ind w:firstLine="0" w:firstLineChars="0"/>
              <w:jc w:val="left"/>
              <w:rPr>
                <w:rFonts w:hint="eastAsia" w:ascii="宋体" w:hAnsi="宋体" w:cs="宋体"/>
                <w:kern w:val="0"/>
                <w:sz w:val="24"/>
                <w:highlight w:val="none"/>
                <w:lang w:val="zh-CN"/>
              </w:rPr>
            </w:pPr>
            <w:r>
              <w:rPr>
                <w:rFonts w:hint="eastAsia" w:ascii="宋体" w:hAnsi="宋体" w:cs="宋体"/>
                <w:sz w:val="24"/>
                <w:highlight w:val="none"/>
              </w:rPr>
              <w:t>（</w:t>
            </w:r>
            <w:r>
              <w:rPr>
                <w:rFonts w:hint="eastAsia" w:ascii="宋体" w:hAnsi="宋体" w:cs="宋体"/>
                <w:kern w:val="0"/>
                <w:sz w:val="24"/>
                <w:highlight w:val="none"/>
                <w:lang w:val="zh-CN"/>
              </w:rPr>
              <w:t>2）本项目投标报价超过预算价的（即投标报价&gt;预算价），其投标视为无效；</w:t>
            </w:r>
          </w:p>
          <w:p w14:paraId="51BCE62C">
            <w:pPr>
              <w:snapToGrid w:val="0"/>
              <w:spacing w:line="360" w:lineRule="auto"/>
              <w:ind w:firstLine="0" w:firstLineChars="0"/>
              <w:jc w:val="left"/>
              <w:rPr>
                <w:rFonts w:hint="eastAsia" w:ascii="宋体" w:hAnsi="宋体" w:cs="宋体"/>
                <w:b/>
                <w:kern w:val="0"/>
                <w:sz w:val="24"/>
                <w:highlight w:val="none"/>
                <w:lang w:val="zh-CN"/>
              </w:rPr>
            </w:pPr>
            <w:r>
              <w:rPr>
                <w:rFonts w:hint="eastAsia" w:ascii="宋体" w:hAnsi="宋体" w:cs="宋体"/>
                <w:sz w:val="24"/>
                <w:highlight w:val="none"/>
              </w:rPr>
              <w:t>（</w:t>
            </w:r>
            <w:r>
              <w:rPr>
                <w:rFonts w:hint="eastAsia" w:ascii="宋体" w:hAnsi="宋体" w:cs="宋体"/>
                <w:kern w:val="0"/>
                <w:sz w:val="24"/>
                <w:highlight w:val="none"/>
                <w:lang w:val="zh-CN"/>
              </w:rPr>
              <w:t>3）报价是中标的一个重要因素，但不是中标的唯一依据。</w:t>
            </w:r>
          </w:p>
        </w:tc>
      </w:tr>
      <w:tr w14:paraId="715CC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2127A86D">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910" w:type="dxa"/>
            <w:tcBorders>
              <w:top w:val="single" w:color="000000" w:sz="8" w:space="0"/>
              <w:left w:val="single" w:color="auto" w:sz="4" w:space="0"/>
              <w:bottom w:val="single" w:color="000000" w:sz="8" w:space="0"/>
              <w:right w:val="single" w:color="000000" w:sz="8" w:space="0"/>
            </w:tcBorders>
            <w:vAlign w:val="center"/>
          </w:tcPr>
          <w:p w14:paraId="3ED48FC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6C9E72BC">
            <w:pPr>
              <w:spacing w:line="360" w:lineRule="auto"/>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14:paraId="2E66740B">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1631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jc w:val="center"/>
        </w:trPr>
        <w:tc>
          <w:tcPr>
            <w:tcW w:w="651" w:type="dxa"/>
            <w:vMerge w:val="restart"/>
            <w:tcBorders>
              <w:top w:val="single" w:color="auto" w:sz="4" w:space="0"/>
              <w:left w:val="single" w:color="auto" w:sz="4" w:space="0"/>
              <w:right w:val="single" w:color="auto" w:sz="4" w:space="0"/>
            </w:tcBorders>
          </w:tcPr>
          <w:p w14:paraId="7E941753">
            <w:pPr>
              <w:snapToGrid w:val="0"/>
              <w:spacing w:line="360" w:lineRule="auto"/>
              <w:jc w:val="center"/>
              <w:rPr>
                <w:rFonts w:ascii="宋体" w:hAnsi="宋体" w:cs="宋体"/>
                <w:sz w:val="24"/>
                <w:highlight w:val="none"/>
              </w:rPr>
            </w:pPr>
          </w:p>
          <w:p w14:paraId="68FAEA9C">
            <w:pPr>
              <w:snapToGrid w:val="0"/>
              <w:spacing w:line="360" w:lineRule="auto"/>
              <w:jc w:val="center"/>
              <w:rPr>
                <w:rFonts w:ascii="宋体" w:hAnsi="宋体" w:cs="宋体"/>
                <w:sz w:val="24"/>
                <w:highlight w:val="none"/>
              </w:rPr>
            </w:pPr>
          </w:p>
          <w:p w14:paraId="27A16A8A">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910" w:type="dxa"/>
            <w:vMerge w:val="restart"/>
            <w:tcBorders>
              <w:top w:val="single" w:color="000000" w:sz="8" w:space="0"/>
              <w:left w:val="single" w:color="auto" w:sz="4" w:space="0"/>
              <w:right w:val="single" w:color="000000" w:sz="8" w:space="0"/>
            </w:tcBorders>
            <w:vAlign w:val="center"/>
          </w:tcPr>
          <w:p w14:paraId="37BD6F93">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4B4FB8C0">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C7416F7">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4ACE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51" w:type="dxa"/>
            <w:vMerge w:val="continue"/>
            <w:tcBorders>
              <w:left w:val="single" w:color="auto" w:sz="4" w:space="0"/>
              <w:bottom w:val="single" w:color="auto" w:sz="4" w:space="0"/>
              <w:right w:val="single" w:color="auto" w:sz="4" w:space="0"/>
            </w:tcBorders>
          </w:tcPr>
          <w:p w14:paraId="63E25E5D">
            <w:pPr>
              <w:snapToGrid w:val="0"/>
              <w:spacing w:line="360" w:lineRule="auto"/>
              <w:jc w:val="center"/>
              <w:rPr>
                <w:rFonts w:ascii="宋体" w:hAnsi="宋体" w:cs="宋体"/>
                <w:sz w:val="24"/>
                <w:highlight w:val="none"/>
              </w:rPr>
            </w:pPr>
          </w:p>
        </w:tc>
        <w:tc>
          <w:tcPr>
            <w:tcW w:w="1910" w:type="dxa"/>
            <w:vMerge w:val="continue"/>
            <w:tcBorders>
              <w:left w:val="single" w:color="auto" w:sz="4" w:space="0"/>
              <w:bottom w:val="single" w:color="000000" w:sz="8" w:space="0"/>
              <w:right w:val="single" w:color="000000" w:sz="8" w:space="0"/>
            </w:tcBorders>
            <w:vAlign w:val="center"/>
          </w:tcPr>
          <w:p w14:paraId="0D0D4E70">
            <w:pPr>
              <w:snapToGrid w:val="0"/>
              <w:spacing w:line="360" w:lineRule="auto"/>
              <w:jc w:val="center"/>
              <w:rPr>
                <w:rFonts w:ascii="宋体" w:hAnsi="宋体" w:cs="宋体"/>
                <w:b/>
                <w:sz w:val="24"/>
                <w:highlight w:val="none"/>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73612846">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5C2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2E3B3DF4">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910" w:type="dxa"/>
            <w:tcBorders>
              <w:top w:val="single" w:color="000000" w:sz="8" w:space="0"/>
              <w:left w:val="single" w:color="auto" w:sz="4" w:space="0"/>
              <w:bottom w:val="single" w:color="auto" w:sz="4" w:space="0"/>
              <w:right w:val="single" w:color="000000" w:sz="8" w:space="0"/>
            </w:tcBorders>
            <w:vAlign w:val="center"/>
          </w:tcPr>
          <w:p w14:paraId="133F7299">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3257AE28">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不组织；自行踏勘，安全责任自负。</w:t>
            </w:r>
          </w:p>
          <w:p w14:paraId="47C467CA">
            <w:pPr>
              <w:spacing w:line="360" w:lineRule="auto"/>
              <w:rPr>
                <w:rFonts w:hint="eastAsia"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szCs w:val="20"/>
                <w:highlight w:val="none"/>
              </w:rPr>
              <w:t>。</w:t>
            </w:r>
          </w:p>
          <w:p w14:paraId="40BAC84A">
            <w:pPr>
              <w:spacing w:line="360" w:lineRule="auto"/>
              <w:rPr>
                <w:rFonts w:hint="eastAsia" w:eastAsia="仿宋_GB2312"/>
                <w:lang w:eastAsia="zh-CN"/>
              </w:rPr>
            </w:pPr>
            <w:r>
              <w:rPr>
                <w:rFonts w:hint="eastAsia" w:ascii="宋体" w:hAnsi="宋体" w:eastAsia="宋体" w:cs="宋体"/>
                <w:b/>
                <w:bCs/>
                <w:sz w:val="24"/>
                <w:szCs w:val="32"/>
                <w:lang w:val="en-US" w:eastAsia="zh-CN"/>
              </w:rPr>
              <w:t>注：</w:t>
            </w:r>
            <w:r>
              <w:rPr>
                <w:rFonts w:hint="eastAsia" w:ascii="宋体" w:hAnsi="宋体" w:eastAsia="宋体" w:cs="宋体"/>
                <w:b/>
                <w:sz w:val="24"/>
                <w:szCs w:val="32"/>
                <w:lang w:val="en-US" w:eastAsia="zh-CN"/>
              </w:rPr>
              <w:t>本项目为改造项目，投标人应踏勘现场</w:t>
            </w:r>
            <w:r>
              <w:rPr>
                <w:rFonts w:hint="eastAsia" w:ascii="宋体" w:hAnsi="宋体" w:eastAsia="宋体" w:cs="宋体"/>
                <w:b/>
                <w:sz w:val="24"/>
                <w:szCs w:val="32"/>
                <w:lang w:val="en-US"/>
              </w:rPr>
              <w:t>以充分了解</w:t>
            </w:r>
            <w:r>
              <w:rPr>
                <w:rFonts w:hint="eastAsia" w:ascii="宋体" w:hAnsi="宋体" w:eastAsia="宋体" w:cs="宋体"/>
                <w:b/>
                <w:sz w:val="24"/>
                <w:szCs w:val="32"/>
                <w:lang w:val="en-US" w:eastAsia="zh-CN"/>
              </w:rPr>
              <w:t>现场</w:t>
            </w:r>
            <w:r>
              <w:rPr>
                <w:rFonts w:hint="eastAsia" w:ascii="宋体" w:hAnsi="宋体" w:eastAsia="宋体" w:cs="宋体"/>
                <w:b/>
                <w:sz w:val="24"/>
                <w:szCs w:val="32"/>
                <w:lang w:val="en-US"/>
              </w:rPr>
              <w:t>情况、道路任何其它足以影响报价的情况</w:t>
            </w:r>
            <w:r>
              <w:rPr>
                <w:rFonts w:hint="eastAsia" w:ascii="宋体" w:hAnsi="宋体" w:eastAsia="宋体" w:cs="宋体"/>
                <w:b/>
                <w:sz w:val="24"/>
                <w:szCs w:val="32"/>
                <w:lang w:val="en-US" w:eastAsia="zh-CN"/>
              </w:rPr>
              <w:t>，</w:t>
            </w:r>
            <w:r>
              <w:rPr>
                <w:rFonts w:hint="eastAsia" w:ascii="宋体" w:hAnsi="宋体" w:eastAsia="宋体" w:cs="宋体"/>
                <w:b/>
                <w:sz w:val="24"/>
                <w:szCs w:val="32"/>
                <w:lang w:val="en-US"/>
              </w:rPr>
              <w:t>并结合企业自身情况，慎重报价。招标人不集中组织踏勘现场，投标人自行到项目现场踏勘，因未认真勘察现场而造成的费用增加，一律不予认可。</w:t>
            </w:r>
            <w:r>
              <w:rPr>
                <w:rFonts w:hint="eastAsia" w:ascii="宋体" w:hAnsi="宋体" w:eastAsia="宋体" w:cs="宋体"/>
                <w:b/>
                <w:sz w:val="24"/>
                <w:szCs w:val="32"/>
                <w:lang w:val="en-US" w:eastAsia="zh-CN"/>
              </w:rPr>
              <w:t>现场踏勘联系人姚工</w:t>
            </w:r>
            <w:r>
              <w:rPr>
                <w:rFonts w:hint="eastAsia" w:ascii="宋体" w:hAnsi="宋体" w:eastAsia="宋体" w:cs="宋体"/>
                <w:b/>
                <w:sz w:val="24"/>
                <w:szCs w:val="32"/>
                <w:lang w:val="en-US"/>
              </w:rPr>
              <w:t>:15336890370</w:t>
            </w:r>
          </w:p>
        </w:tc>
      </w:tr>
      <w:tr w14:paraId="30D2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7"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1D69B42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910" w:type="dxa"/>
            <w:tcBorders>
              <w:top w:val="single" w:color="auto" w:sz="4" w:space="0"/>
              <w:left w:val="single" w:color="auto" w:sz="4" w:space="0"/>
              <w:bottom w:val="single" w:color="auto" w:sz="4" w:space="0"/>
              <w:right w:val="single" w:color="auto" w:sz="4" w:space="0"/>
            </w:tcBorders>
            <w:vAlign w:val="center"/>
          </w:tcPr>
          <w:p w14:paraId="6DD8726F">
            <w:pPr>
              <w:snapToGrid w:val="0"/>
              <w:jc w:val="center"/>
              <w:rPr>
                <w:rFonts w:ascii="宋体" w:hAnsi="宋体" w:cs="宋体"/>
                <w:b/>
                <w:sz w:val="24"/>
                <w:highlight w:val="none"/>
              </w:rPr>
            </w:pPr>
            <w:r>
              <w:rPr>
                <w:rFonts w:hint="eastAsia" w:ascii="宋体" w:hAnsi="宋体" w:cs="宋体"/>
                <w:b/>
                <w:sz w:val="24"/>
                <w:highlight w:val="none"/>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60589CDF">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14:paraId="6880FBFA">
            <w:pPr>
              <w:spacing w:line="360" w:lineRule="auto"/>
              <w:rPr>
                <w:rFonts w:ascii="宋体" w:hAnsi="宋体" w:cs="宋体"/>
                <w:b/>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B</w:t>
            </w:r>
            <w:r>
              <w:rPr>
                <w:rFonts w:hint="eastAsia" w:ascii="宋体" w:hAnsi="宋体" w:cs="宋体"/>
                <w:b w:val="0"/>
                <w:bCs w:val="0"/>
                <w:kern w:val="0"/>
                <w:sz w:val="24"/>
                <w:highlight w:val="none"/>
              </w:rPr>
              <w:t>要求提供：</w:t>
            </w:r>
          </w:p>
        </w:tc>
      </w:tr>
      <w:tr w14:paraId="59DA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51" w:type="dxa"/>
            <w:tcBorders>
              <w:top w:val="single" w:color="auto" w:sz="4" w:space="0"/>
              <w:left w:val="single" w:color="auto" w:sz="4" w:space="0"/>
              <w:bottom w:val="single" w:color="auto" w:sz="4" w:space="0"/>
              <w:right w:val="single" w:color="auto" w:sz="4" w:space="0"/>
            </w:tcBorders>
            <w:vAlign w:val="center"/>
          </w:tcPr>
          <w:p w14:paraId="508E5068">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910" w:type="dxa"/>
            <w:tcBorders>
              <w:top w:val="single" w:color="auto" w:sz="4" w:space="0"/>
              <w:left w:val="single" w:color="auto" w:sz="4" w:space="0"/>
              <w:bottom w:val="single" w:color="auto" w:sz="4" w:space="0"/>
              <w:right w:val="single" w:color="auto" w:sz="4" w:space="0"/>
            </w:tcBorders>
            <w:vAlign w:val="center"/>
          </w:tcPr>
          <w:p w14:paraId="1309A202">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3954F0E0">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21E3AFEA">
            <w:pPr>
              <w:spacing w:line="360" w:lineRule="auto"/>
              <w:rPr>
                <w:rFonts w:hint="eastAsia"/>
                <w:highlight w:val="none"/>
                <w:lang w:val="en-US" w:eastAsia="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B组织。</w:t>
            </w:r>
          </w:p>
        </w:tc>
      </w:tr>
      <w:tr w14:paraId="4AAD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jc w:val="center"/>
        </w:trPr>
        <w:tc>
          <w:tcPr>
            <w:tcW w:w="651" w:type="dxa"/>
            <w:tcBorders>
              <w:top w:val="single" w:color="auto" w:sz="4" w:space="0"/>
              <w:left w:val="single" w:color="000000" w:sz="8" w:space="0"/>
              <w:bottom w:val="single" w:color="auto" w:sz="4" w:space="0"/>
              <w:right w:val="single" w:color="000000" w:sz="2" w:space="0"/>
            </w:tcBorders>
            <w:vAlign w:val="center"/>
          </w:tcPr>
          <w:p w14:paraId="74660863">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7D713430">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w:t>
            </w:r>
          </w:p>
        </w:tc>
        <w:tc>
          <w:tcPr>
            <w:tcW w:w="6317" w:type="dxa"/>
            <w:tcBorders>
              <w:top w:val="single" w:color="000000" w:sz="8" w:space="0"/>
              <w:left w:val="single" w:color="000000" w:sz="2" w:space="0"/>
              <w:bottom w:val="single" w:color="000000" w:sz="8" w:space="0"/>
              <w:right w:val="single" w:color="000000" w:sz="8" w:space="0"/>
            </w:tcBorders>
            <w:vAlign w:val="center"/>
          </w:tcPr>
          <w:p w14:paraId="7D583532">
            <w:pPr>
              <w:spacing w:line="360" w:lineRule="auto"/>
              <w:ind w:firstLine="0" w:firstLineChars="0"/>
              <w:rPr>
                <w:rFonts w:ascii="宋体" w:hAnsi="宋体" w:cs="宋体"/>
                <w:kern w:val="28"/>
                <w:sz w:val="24"/>
                <w:highlight w:val="none"/>
              </w:rPr>
            </w:pPr>
            <w:r>
              <w:rPr>
                <w:rFonts w:hint="eastAsia" w:ascii="宋体" w:hAnsi="宋体" w:cs="宋体"/>
                <w:kern w:val="28"/>
                <w:sz w:val="24"/>
                <w:highlight w:val="none"/>
              </w:rPr>
              <w:t>本项目不接收备份投标文件，以线上递交的投标文件为准。</w:t>
            </w:r>
          </w:p>
        </w:tc>
      </w:tr>
      <w:tr w14:paraId="25F4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jc w:val="center"/>
        </w:trPr>
        <w:tc>
          <w:tcPr>
            <w:tcW w:w="651" w:type="dxa"/>
            <w:vMerge w:val="restart"/>
            <w:tcBorders>
              <w:top w:val="single" w:color="auto" w:sz="4" w:space="0"/>
              <w:left w:val="single" w:color="000000" w:sz="8" w:space="0"/>
              <w:right w:val="single" w:color="000000" w:sz="2" w:space="0"/>
            </w:tcBorders>
            <w:vAlign w:val="center"/>
          </w:tcPr>
          <w:p w14:paraId="35755187">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1910" w:type="dxa"/>
            <w:vMerge w:val="restart"/>
            <w:tcBorders>
              <w:top w:val="single" w:color="000000" w:sz="8" w:space="0"/>
              <w:left w:val="single" w:color="000000" w:sz="2" w:space="0"/>
              <w:right w:val="single" w:color="000000" w:sz="8" w:space="0"/>
            </w:tcBorders>
            <w:vAlign w:val="center"/>
          </w:tcPr>
          <w:p w14:paraId="0F487D68">
            <w:pPr>
              <w:snapToGrid w:val="0"/>
              <w:spacing w:line="360" w:lineRule="auto"/>
              <w:jc w:val="center"/>
              <w:rPr>
                <w:rFonts w:ascii="宋体" w:hAnsi="宋体" w:cs="宋体"/>
                <w:b/>
                <w:bCs/>
                <w:color w:val="000000"/>
                <w:sz w:val="24"/>
                <w:highlight w:val="none"/>
              </w:rPr>
            </w:pPr>
            <w:r>
              <w:rPr>
                <w:rFonts w:hint="eastAsia" w:ascii="宋体" w:hAnsi="宋体" w:cs="宋体"/>
                <w:b/>
                <w:sz w:val="24"/>
                <w:highlight w:val="none"/>
                <w:lang w:eastAsia="zh-CN"/>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2F5DAAD6">
            <w:pPr>
              <w:spacing w:line="360" w:lineRule="auto"/>
              <w:rPr>
                <w:rFonts w:ascii="宋体" w:hAnsi="宋体" w:cs="宋体"/>
                <w:sz w:val="24"/>
                <w:highlight w:val="none"/>
              </w:rPr>
            </w:pPr>
            <w:r>
              <w:rPr>
                <w:rFonts w:hint="eastAsia" w:ascii="宋体" w:hAnsi="宋体" w:cs="宋体"/>
                <w:sz w:val="24"/>
                <w:highlight w:val="none"/>
              </w:rPr>
              <w:t>中标单位需在领取中标通知书时，提供本项目纸质投标文件（资格文件”、“报价文件”和“商务技术文件”）四份（正本一份，副本三份）</w:t>
            </w:r>
            <w:r>
              <w:rPr>
                <w:rFonts w:hint="eastAsia" w:ascii="宋体" w:hAnsi="宋体" w:cs="宋体"/>
                <w:sz w:val="24"/>
                <w:highlight w:val="none"/>
                <w:lang w:eastAsia="zh-CN"/>
              </w:rPr>
              <w:t>递交至代理机构</w:t>
            </w:r>
            <w:r>
              <w:rPr>
                <w:rFonts w:hint="eastAsia" w:ascii="宋体" w:hAnsi="宋体" w:cs="宋体"/>
                <w:sz w:val="24"/>
                <w:highlight w:val="none"/>
              </w:rPr>
              <w:t>。</w:t>
            </w:r>
          </w:p>
        </w:tc>
      </w:tr>
      <w:tr w14:paraId="625F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jc w:val="center"/>
        </w:trPr>
        <w:tc>
          <w:tcPr>
            <w:tcW w:w="651" w:type="dxa"/>
            <w:vMerge w:val="continue"/>
            <w:tcBorders>
              <w:left w:val="single" w:color="000000" w:sz="8" w:space="0"/>
              <w:right w:val="single" w:color="000000" w:sz="2" w:space="0"/>
            </w:tcBorders>
            <w:vAlign w:val="center"/>
          </w:tcPr>
          <w:p w14:paraId="1B128CD5">
            <w:pPr>
              <w:spacing w:line="360" w:lineRule="auto"/>
              <w:rPr>
                <w:rFonts w:ascii="宋体" w:hAnsi="宋体" w:cs="宋体"/>
                <w:highlight w:val="none"/>
              </w:rPr>
            </w:pPr>
          </w:p>
        </w:tc>
        <w:tc>
          <w:tcPr>
            <w:tcW w:w="1910" w:type="dxa"/>
            <w:vMerge w:val="continue"/>
            <w:tcBorders>
              <w:left w:val="single" w:color="000000" w:sz="2" w:space="0"/>
              <w:right w:val="single" w:color="000000" w:sz="8" w:space="0"/>
            </w:tcBorders>
            <w:vAlign w:val="center"/>
          </w:tcPr>
          <w:p w14:paraId="46C610D3">
            <w:pPr>
              <w:spacing w:line="360" w:lineRule="auto"/>
              <w:rPr>
                <w:rFonts w:ascii="宋体" w:hAnsi="宋体" w:cs="宋体"/>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1B7D14D6">
            <w:pPr>
              <w:spacing w:line="360" w:lineRule="auto"/>
              <w:rPr>
                <w:rFonts w:hint="eastAsia" w:ascii="宋体" w:hAnsi="宋体" w:eastAsia="宋体" w:cs="宋体"/>
                <w:snapToGrid w:val="0"/>
                <w:kern w:val="28"/>
                <w:sz w:val="24"/>
                <w:highlight w:val="none"/>
                <w:lang w:eastAsia="zh-CN"/>
              </w:rPr>
            </w:pPr>
            <w:r>
              <w:rPr>
                <w:rFonts w:hint="eastAsia" w:ascii="宋体" w:hAnsi="宋体" w:cs="宋体"/>
                <w:snapToGrid w:val="0"/>
                <w:kern w:val="28"/>
                <w:sz w:val="24"/>
                <w:highlight w:val="none"/>
                <w:lang w:eastAsia="zh-CN"/>
              </w:rPr>
              <w:sym w:font="Wingdings" w:char="00FE"/>
            </w:r>
            <w:r>
              <w:rPr>
                <w:rFonts w:hint="eastAsia" w:ascii="宋体" w:hAnsi="宋体" w:cs="宋体"/>
                <w:snapToGrid w:val="0"/>
                <w:kern w:val="28"/>
                <w:sz w:val="24"/>
                <w:highlight w:val="none"/>
                <w:lang w:eastAsia="zh-CN"/>
              </w:rPr>
              <w:t>本项目不接受联合体投标。</w:t>
            </w:r>
          </w:p>
          <w:p w14:paraId="73914F17">
            <w:pPr>
              <w:spacing w:line="360" w:lineRule="auto"/>
              <w:rPr>
                <w:rFonts w:ascii="宋体" w:hAnsi="宋体" w:cs="宋体"/>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E502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7" w:hRule="atLeast"/>
          <w:tblHeader/>
          <w:jc w:val="center"/>
        </w:trPr>
        <w:tc>
          <w:tcPr>
            <w:tcW w:w="651" w:type="dxa"/>
            <w:vMerge w:val="continue"/>
            <w:tcBorders>
              <w:left w:val="single" w:color="000000" w:sz="8" w:space="0"/>
              <w:right w:val="single" w:color="000000" w:sz="2" w:space="0"/>
            </w:tcBorders>
            <w:vAlign w:val="center"/>
          </w:tcPr>
          <w:p w14:paraId="40D6ADCF">
            <w:pPr>
              <w:spacing w:line="360" w:lineRule="auto"/>
              <w:rPr>
                <w:rFonts w:ascii="宋体" w:hAnsi="宋体" w:cs="宋体"/>
                <w:highlight w:val="none"/>
              </w:rPr>
            </w:pPr>
          </w:p>
        </w:tc>
        <w:tc>
          <w:tcPr>
            <w:tcW w:w="1910" w:type="dxa"/>
            <w:vMerge w:val="continue"/>
            <w:tcBorders>
              <w:left w:val="single" w:color="000000" w:sz="2" w:space="0"/>
              <w:right w:val="single" w:color="000000" w:sz="8" w:space="0"/>
            </w:tcBorders>
            <w:vAlign w:val="center"/>
          </w:tcPr>
          <w:p w14:paraId="66A7F283">
            <w:pPr>
              <w:spacing w:line="360" w:lineRule="auto"/>
              <w:rPr>
                <w:rFonts w:ascii="宋体" w:hAnsi="宋体" w:cs="宋体"/>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0D1FCEA4">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DCF2446">
            <w:pPr>
              <w:spacing w:line="360" w:lineRule="auto"/>
              <w:rPr>
                <w:rFonts w:ascii="宋体" w:hAnsi="宋体" w:cs="宋体"/>
                <w:sz w:val="24"/>
                <w:highlight w:val="none"/>
              </w:rPr>
            </w:pPr>
            <w:sdt>
              <w:sdtPr>
                <w:rPr>
                  <w:rFonts w:hint="eastAsia" w:ascii="宋体" w:hAnsi="宋体" w:cs="宋体"/>
                  <w:kern w:val="0"/>
                  <w:sz w:val="24"/>
                  <w:highlight w:val="none"/>
                </w:rPr>
                <w:id w:val="-23231189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lang w:eastAsia="zh-CN"/>
              </w:rPr>
              <w:t>联合</w:t>
            </w:r>
            <w:r>
              <w:rPr>
                <w:rFonts w:hint="eastAsia" w:ascii="宋体" w:hAnsi="宋体" w:cs="宋体"/>
                <w:snapToGrid w:val="0"/>
                <w:kern w:val="28"/>
                <w:sz w:val="24"/>
                <w:highlight w:val="none"/>
              </w:rPr>
              <w:t>体标的，联合体中有一方或者联合体成员根据分工按招标文件第四部分评标标准要求提供资信证明文件的，视为符合了相关要求。</w:t>
            </w:r>
          </w:p>
        </w:tc>
      </w:tr>
      <w:tr w14:paraId="4E861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jc w:val="center"/>
        </w:trPr>
        <w:tc>
          <w:tcPr>
            <w:tcW w:w="651" w:type="dxa"/>
            <w:vMerge w:val="continue"/>
            <w:tcBorders>
              <w:left w:val="single" w:color="000000" w:sz="8" w:space="0"/>
              <w:right w:val="single" w:color="000000" w:sz="2" w:space="0"/>
            </w:tcBorders>
            <w:vAlign w:val="center"/>
          </w:tcPr>
          <w:p w14:paraId="2AAA3DEB">
            <w:pPr>
              <w:snapToGrid w:val="0"/>
              <w:spacing w:line="360" w:lineRule="auto"/>
              <w:jc w:val="center"/>
              <w:rPr>
                <w:rFonts w:hint="eastAsia" w:ascii="宋体" w:hAnsi="宋体" w:cs="宋体"/>
                <w:sz w:val="24"/>
                <w:highlight w:val="none"/>
                <w:lang w:val="en-US" w:eastAsia="zh-CN"/>
              </w:rPr>
            </w:pPr>
            <w:bookmarkStart w:id="11" w:name="_Toc164416483"/>
            <w:bookmarkStart w:id="12" w:name="第三部分"/>
          </w:p>
        </w:tc>
        <w:tc>
          <w:tcPr>
            <w:tcW w:w="1910" w:type="dxa"/>
            <w:vMerge w:val="continue"/>
            <w:tcBorders>
              <w:left w:val="single" w:color="000000" w:sz="2" w:space="0"/>
              <w:right w:val="single" w:color="000000" w:sz="8" w:space="0"/>
            </w:tcBorders>
            <w:vAlign w:val="center"/>
          </w:tcPr>
          <w:p w14:paraId="0BC33148">
            <w:pPr>
              <w:widowControl/>
              <w:snapToGrid w:val="0"/>
              <w:spacing w:line="360" w:lineRule="auto"/>
              <w:jc w:val="center"/>
              <w:textAlignment w:val="center"/>
              <w:rPr>
                <w:rFonts w:hint="eastAsia" w:ascii="宋体" w:hAnsi="宋体" w:cs="宋体"/>
                <w:b/>
                <w:bCs/>
                <w:color w:val="000000"/>
                <w:sz w:val="24"/>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7071FB89">
            <w:pPr>
              <w:spacing w:line="360" w:lineRule="auto"/>
              <w:rPr>
                <w:rFonts w:hint="eastAsia" w:eastAsia="宋体"/>
                <w:sz w:val="24"/>
                <w:szCs w:val="24"/>
                <w:highlight w:val="none"/>
                <w:lang w:eastAsia="zh-CN"/>
              </w:rPr>
            </w:pPr>
            <w:r>
              <w:rPr>
                <w:rFonts w:hint="eastAsia" w:ascii="宋体" w:hAnsi="宋体" w:eastAsia="宋体" w:cs="宋体"/>
                <w:b w:val="0"/>
                <w:bCs w:val="0"/>
                <w:color w:val="auto"/>
                <w:sz w:val="24"/>
                <w:szCs w:val="24"/>
                <w:highlight w:val="none"/>
                <w:lang w:val="en-US" w:eastAsia="zh-CN"/>
              </w:rPr>
              <w:t>该项目若因不可抗力因素、政策性调整、水务体制机制改革等情况，招标人有权终止项目。</w:t>
            </w:r>
            <w:r>
              <w:rPr>
                <w:rFonts w:hint="eastAsia" w:ascii="宋体" w:hAnsi="宋体" w:eastAsia="宋体" w:cs="宋体"/>
                <w:b w:val="0"/>
                <w:bCs w:val="0"/>
                <w:color w:val="auto"/>
                <w:sz w:val="24"/>
                <w:szCs w:val="24"/>
                <w:highlight w:val="none"/>
              </w:rPr>
              <w:t>投标人（中标单位）需无条件服从及配合。合同未签订的，合同不予签订；合同已经签订但尚未履行的，撤销合同；合同已经履行，终止履约。</w:t>
            </w:r>
            <w:r>
              <w:rPr>
                <w:rFonts w:hint="eastAsia" w:ascii="宋体" w:hAnsi="宋体" w:eastAsia="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rPr>
              <w:t>不承担赔偿责任，由投标人（中标单位）自行考虑投标、应标风险。</w:t>
            </w:r>
          </w:p>
        </w:tc>
      </w:tr>
      <w:tr w14:paraId="4942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3" w:hRule="atLeast"/>
          <w:tblHeader/>
          <w:jc w:val="center"/>
        </w:trPr>
        <w:tc>
          <w:tcPr>
            <w:tcW w:w="651" w:type="dxa"/>
            <w:vMerge w:val="continue"/>
            <w:tcBorders>
              <w:left w:val="single" w:color="000000" w:sz="8" w:space="0"/>
              <w:right w:val="single" w:color="000000" w:sz="2" w:space="0"/>
            </w:tcBorders>
            <w:vAlign w:val="center"/>
          </w:tcPr>
          <w:p w14:paraId="1A2C20AA">
            <w:pPr>
              <w:snapToGrid w:val="0"/>
              <w:spacing w:line="360" w:lineRule="auto"/>
              <w:jc w:val="center"/>
              <w:rPr>
                <w:rFonts w:hint="eastAsia" w:ascii="宋体" w:hAnsi="宋体" w:cs="宋体"/>
                <w:sz w:val="24"/>
                <w:highlight w:val="none"/>
                <w:lang w:val="en-US" w:eastAsia="zh-CN"/>
              </w:rPr>
            </w:pPr>
          </w:p>
        </w:tc>
        <w:tc>
          <w:tcPr>
            <w:tcW w:w="1910" w:type="dxa"/>
            <w:vMerge w:val="continue"/>
            <w:tcBorders>
              <w:left w:val="single" w:color="000000" w:sz="2" w:space="0"/>
              <w:right w:val="single" w:color="000000" w:sz="8" w:space="0"/>
            </w:tcBorders>
            <w:vAlign w:val="center"/>
          </w:tcPr>
          <w:p w14:paraId="565C5684">
            <w:pPr>
              <w:widowControl/>
              <w:snapToGrid w:val="0"/>
              <w:spacing w:line="360" w:lineRule="auto"/>
              <w:jc w:val="center"/>
              <w:textAlignment w:val="center"/>
              <w:rPr>
                <w:rFonts w:hint="eastAsia" w:ascii="宋体" w:hAnsi="宋体" w:cs="宋体"/>
                <w:b/>
                <w:bCs/>
                <w:color w:val="000000"/>
                <w:sz w:val="24"/>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0C5472BD">
            <w:pPr>
              <w:spacing w:line="360" w:lineRule="auto"/>
              <w:rPr>
                <w:rFonts w:hint="eastAsia" w:eastAsia="宋体"/>
                <w:sz w:val="24"/>
                <w:szCs w:val="24"/>
                <w:highlight w:val="none"/>
                <w:lang w:eastAsia="zh-CN"/>
              </w:rPr>
            </w:pPr>
            <w:r>
              <w:rPr>
                <w:rFonts w:hint="eastAsia" w:ascii="宋体" w:hAnsi="宋体"/>
                <w:sz w:val="24"/>
                <w:szCs w:val="24"/>
                <w:highlight w:val="none"/>
              </w:rPr>
              <w:t>采购需求中带“●”条款为实质性内容，投标人须提供《采购需求实质性内容响应表》（格式见第五部分投标文件格式），如有任意一条未响应或不满足，将被视为投标无效。</w:t>
            </w:r>
          </w:p>
        </w:tc>
      </w:tr>
      <w:tr w14:paraId="3F611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3" w:hRule="atLeast"/>
          <w:tblHeader/>
          <w:jc w:val="center"/>
        </w:trPr>
        <w:tc>
          <w:tcPr>
            <w:tcW w:w="651" w:type="dxa"/>
            <w:vMerge w:val="continue"/>
            <w:tcBorders>
              <w:left w:val="single" w:color="000000" w:sz="8" w:space="0"/>
              <w:right w:val="single" w:color="000000" w:sz="2" w:space="0"/>
            </w:tcBorders>
            <w:vAlign w:val="center"/>
          </w:tcPr>
          <w:p w14:paraId="40596E2F">
            <w:pPr>
              <w:snapToGrid w:val="0"/>
              <w:spacing w:line="360" w:lineRule="auto"/>
              <w:jc w:val="center"/>
              <w:rPr>
                <w:rFonts w:hint="eastAsia" w:ascii="宋体" w:hAnsi="宋体" w:cs="宋体"/>
                <w:sz w:val="24"/>
                <w:highlight w:val="none"/>
                <w:lang w:val="en-US" w:eastAsia="zh-CN"/>
              </w:rPr>
            </w:pPr>
          </w:p>
        </w:tc>
        <w:tc>
          <w:tcPr>
            <w:tcW w:w="1910" w:type="dxa"/>
            <w:vMerge w:val="continue"/>
            <w:tcBorders>
              <w:left w:val="single" w:color="000000" w:sz="2" w:space="0"/>
              <w:right w:val="single" w:color="000000" w:sz="8" w:space="0"/>
            </w:tcBorders>
            <w:vAlign w:val="center"/>
          </w:tcPr>
          <w:p w14:paraId="6BB768AA">
            <w:pPr>
              <w:widowControl/>
              <w:snapToGrid w:val="0"/>
              <w:spacing w:line="360" w:lineRule="auto"/>
              <w:jc w:val="center"/>
              <w:textAlignment w:val="center"/>
              <w:rPr>
                <w:rFonts w:hint="eastAsia" w:ascii="宋体" w:hAnsi="宋体" w:cs="宋体"/>
                <w:b/>
                <w:bCs/>
                <w:color w:val="000000"/>
                <w:sz w:val="24"/>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3C7E10D2">
            <w:pPr>
              <w:spacing w:line="360" w:lineRule="auto"/>
              <w:rPr>
                <w:rFonts w:hint="eastAsia" w:ascii="宋体" w:hAnsi="宋体"/>
                <w:sz w:val="24"/>
                <w:szCs w:val="24"/>
                <w:highlight w:val="none"/>
              </w:rPr>
            </w:pPr>
            <w:r>
              <w:rPr>
                <w:rFonts w:hint="eastAsia" w:ascii="宋体" w:hAnsi="宋体" w:eastAsia="宋体" w:cs="宋体"/>
                <w:color w:val="000000"/>
                <w:sz w:val="24"/>
                <w:highlight w:val="none"/>
                <w:lang w:val="en-US" w:eastAsia="zh-CN"/>
              </w:rPr>
              <w:t>本项目招标完成后中标单位与杭州水牛环境有限公司签订供货合同，并由杭州水牛环境有限公司负责项目的实施、验收及款项支付工作。</w:t>
            </w:r>
          </w:p>
        </w:tc>
      </w:tr>
      <w:tr w14:paraId="4BB96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3" w:hRule="atLeast"/>
          <w:tblHeader/>
          <w:jc w:val="center"/>
        </w:trPr>
        <w:tc>
          <w:tcPr>
            <w:tcW w:w="651" w:type="dxa"/>
            <w:vMerge w:val="continue"/>
            <w:tcBorders>
              <w:left w:val="single" w:color="000000" w:sz="8" w:space="0"/>
              <w:bottom w:val="single" w:color="auto" w:sz="4" w:space="0"/>
              <w:right w:val="single" w:color="000000" w:sz="2" w:space="0"/>
            </w:tcBorders>
            <w:vAlign w:val="center"/>
          </w:tcPr>
          <w:p w14:paraId="15C2AEC9">
            <w:pPr>
              <w:snapToGrid w:val="0"/>
              <w:spacing w:line="360" w:lineRule="auto"/>
              <w:jc w:val="center"/>
              <w:rPr>
                <w:rFonts w:hint="eastAsia" w:ascii="宋体" w:hAnsi="宋体" w:cs="宋体"/>
                <w:sz w:val="24"/>
                <w:highlight w:val="none"/>
                <w:lang w:val="en-US" w:eastAsia="zh-CN"/>
              </w:rPr>
            </w:pPr>
          </w:p>
        </w:tc>
        <w:tc>
          <w:tcPr>
            <w:tcW w:w="1910" w:type="dxa"/>
            <w:vMerge w:val="continue"/>
            <w:tcBorders>
              <w:left w:val="single" w:color="000000" w:sz="2" w:space="0"/>
              <w:bottom w:val="single" w:color="000000" w:sz="8" w:space="0"/>
              <w:right w:val="single" w:color="000000" w:sz="8" w:space="0"/>
            </w:tcBorders>
            <w:vAlign w:val="center"/>
          </w:tcPr>
          <w:p w14:paraId="75C381D8">
            <w:pPr>
              <w:widowControl/>
              <w:snapToGrid w:val="0"/>
              <w:spacing w:line="360" w:lineRule="auto"/>
              <w:jc w:val="center"/>
              <w:textAlignment w:val="center"/>
              <w:rPr>
                <w:rFonts w:hint="eastAsia" w:ascii="宋体" w:hAnsi="宋体" w:cs="宋体"/>
                <w:b/>
                <w:bCs/>
                <w:color w:val="000000"/>
                <w:sz w:val="24"/>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377B7138">
            <w:pPr>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auto"/>
                <w:sz w:val="24"/>
                <w:szCs w:val="24"/>
                <w:highlight w:val="none"/>
                <w:lang w:val="en-US" w:eastAsia="zh-CN"/>
              </w:rPr>
              <w:t>经评审的有效投标单位≥3家，则选定</w:t>
            </w:r>
            <w:r>
              <w:rPr>
                <w:rFonts w:hint="eastAsia" w:ascii="宋体" w:hAnsi="宋体" w:eastAsia="宋体" w:cs="宋体"/>
                <w:b w:val="0"/>
                <w:bCs w:val="0"/>
                <w:color w:val="auto"/>
                <w:sz w:val="24"/>
                <w:szCs w:val="24"/>
                <w:highlight w:val="none"/>
                <w:shd w:val="clear" w:color="auto" w:fill="FFFFFF"/>
              </w:rPr>
              <w:t>最终确</w:t>
            </w:r>
            <w:r>
              <w:rPr>
                <w:rFonts w:hint="eastAsia" w:ascii="宋体" w:hAnsi="宋体" w:eastAsia="宋体" w:cs="宋体"/>
                <w:b w:val="0"/>
                <w:bCs w:val="0"/>
                <w:color w:val="auto"/>
                <w:sz w:val="24"/>
                <w:szCs w:val="24"/>
                <w:highlight w:val="none"/>
                <w:shd w:val="clear" w:color="auto" w:fill="FFFFFF"/>
                <w:lang w:val="en-US" w:eastAsia="zh-CN"/>
              </w:rPr>
              <w:t>定</w:t>
            </w:r>
            <w:r>
              <w:rPr>
                <w:rFonts w:hint="eastAsia" w:ascii="宋体" w:hAnsi="宋体" w:eastAsia="宋体" w:cs="宋体"/>
                <w:b w:val="0"/>
                <w:bCs w:val="0"/>
                <w:color w:val="auto"/>
                <w:sz w:val="24"/>
                <w:szCs w:val="24"/>
                <w:highlight w:val="none"/>
                <w:shd w:val="clear" w:color="auto" w:fill="FFFFFF"/>
              </w:rPr>
              <w:t>排名第一的中标候选人为中标单位</w:t>
            </w:r>
            <w:r>
              <w:rPr>
                <w:rFonts w:hint="eastAsia" w:ascii="宋体" w:hAnsi="宋体" w:eastAsia="宋体" w:cs="宋体"/>
                <w:color w:val="auto"/>
                <w:sz w:val="24"/>
                <w:szCs w:val="24"/>
                <w:highlight w:val="none"/>
                <w:lang w:val="en-US" w:eastAsia="zh-CN"/>
              </w:rPr>
              <w:t>，经评审的有效投标单位＜3家，则本项目废标。</w:t>
            </w:r>
          </w:p>
        </w:tc>
      </w:tr>
      <w:bookmarkEnd w:id="10"/>
    </w:tbl>
    <w:p w14:paraId="01CDD500">
      <w:pPr>
        <w:adjustRightInd/>
        <w:spacing w:line="360" w:lineRule="auto"/>
        <w:ind w:firstLine="0" w:firstLineChars="0"/>
        <w:jc w:val="center"/>
        <w:outlineLvl w:val="0"/>
        <w:rPr>
          <w:rFonts w:ascii="宋体" w:hAnsi="宋体" w:cs="宋体"/>
          <w:b/>
          <w:sz w:val="32"/>
          <w:szCs w:val="20"/>
          <w:highlight w:val="none"/>
        </w:rPr>
      </w:pPr>
      <w:r>
        <w:rPr>
          <w:rFonts w:hint="eastAsia" w:ascii="宋体" w:hAnsi="宋体" w:cs="宋体"/>
          <w:b/>
          <w:sz w:val="32"/>
          <w:szCs w:val="20"/>
          <w:highlight w:val="none"/>
        </w:rPr>
        <w:br w:type="page"/>
      </w:r>
      <w:bookmarkStart w:id="13" w:name="_Toc91899903"/>
      <w:r>
        <w:rPr>
          <w:rFonts w:hint="eastAsia" w:ascii="宋体" w:hAnsi="宋体" w:cs="宋体"/>
          <w:b/>
          <w:sz w:val="32"/>
          <w:szCs w:val="20"/>
          <w:highlight w:val="none"/>
        </w:rPr>
        <w:t>一、总则</w:t>
      </w:r>
    </w:p>
    <w:p w14:paraId="27F6947D">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23B9800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A513B87">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1FF22225">
      <w:pPr>
        <w:spacing w:line="360" w:lineRule="auto"/>
        <w:ind w:firstLine="480" w:firstLineChars="200"/>
        <w:rPr>
          <w:rFonts w:ascii="宋体" w:hAnsi="宋体" w:cs="宋体"/>
          <w:sz w:val="24"/>
          <w:highlight w:val="none"/>
        </w:rPr>
      </w:pPr>
      <w:r>
        <w:rPr>
          <w:rFonts w:hint="eastAsia" w:ascii="宋体" w:hAnsi="宋体" w:cs="宋体"/>
          <w:sz w:val="24"/>
          <w:highlight w:val="none"/>
        </w:rPr>
        <w:t>2.1 “</w:t>
      </w:r>
      <w:r>
        <w:rPr>
          <w:rFonts w:hint="eastAsia" w:ascii="宋体" w:hAnsi="宋体" w:cs="宋体"/>
          <w:sz w:val="24"/>
          <w:highlight w:val="none"/>
          <w:lang w:eastAsia="zh-CN"/>
        </w:rPr>
        <w:t>招标人</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招标人</w:t>
      </w:r>
      <w:r>
        <w:rPr>
          <w:rFonts w:hint="eastAsia" w:ascii="宋体" w:hAnsi="宋体" w:cs="宋体"/>
          <w:sz w:val="24"/>
          <w:highlight w:val="none"/>
        </w:rPr>
        <w:t>。</w:t>
      </w:r>
    </w:p>
    <w:p w14:paraId="5F03C6DB">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51A41A61">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56D681C4">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8D98792">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0C7B9C">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w:t>
      </w:r>
      <w:r>
        <w:rPr>
          <w:rFonts w:hint="eastAsia" w:ascii="宋体" w:hAnsi="宋体" w:cs="宋体"/>
          <w:sz w:val="24"/>
          <w:highlight w:val="none"/>
          <w:lang w:eastAsia="zh-CN"/>
        </w:rPr>
        <w:t>招标</w:t>
      </w:r>
      <w:r>
        <w:rPr>
          <w:rFonts w:hint="eastAsia" w:ascii="宋体" w:hAnsi="宋体" w:cs="宋体"/>
          <w:sz w:val="24"/>
          <w:highlight w:val="none"/>
        </w:rPr>
        <w:t>活动所依托的</w:t>
      </w:r>
      <w:r>
        <w:rPr>
          <w:rFonts w:hint="eastAsia" w:ascii="宋体" w:hAnsi="宋体" w:cs="宋体"/>
          <w:sz w:val="24"/>
          <w:highlight w:val="none"/>
          <w:lang w:eastAsia="zh-CN"/>
        </w:rPr>
        <w:t>临平区临采云平台</w:t>
      </w:r>
      <w:r>
        <w:rPr>
          <w:rFonts w:hint="eastAsia" w:ascii="宋体" w:hAnsi="宋体" w:cs="宋体"/>
          <w:sz w:val="24"/>
          <w:highlight w:val="none"/>
        </w:rPr>
        <w:t>（</w:t>
      </w:r>
      <w:r>
        <w:rPr>
          <w:rFonts w:hint="eastAsia" w:ascii="宋体" w:hAnsi="宋体" w:cs="宋体"/>
          <w:sz w:val="24"/>
          <w:highlight w:val="none"/>
          <w:lang w:eastAsia="zh-CN"/>
        </w:rPr>
        <w:t>lpnbsc.lecaiyun.com</w:t>
      </w:r>
      <w:r>
        <w:rPr>
          <w:rFonts w:hint="eastAsia" w:ascii="宋体" w:hAnsi="宋体" w:cs="宋体"/>
          <w:sz w:val="24"/>
          <w:highlight w:val="none"/>
        </w:rPr>
        <w:t>）。</w:t>
      </w:r>
    </w:p>
    <w:p w14:paraId="489C0DC6">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sym w:font="Wingdings 2" w:char="0052"/>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73C78F0A">
      <w:pPr>
        <w:spacing w:line="360" w:lineRule="auto"/>
        <w:ind w:firstLine="241" w:firstLineChars="100"/>
        <w:rPr>
          <w:rFonts w:hint="default" w:ascii="宋体" w:hAnsi="宋体" w:eastAsia="宋体" w:cs="宋体"/>
          <w:b/>
          <w:sz w:val="24"/>
          <w:highlight w:val="none"/>
          <w:lang w:val="en-US" w:eastAsia="zh-CN"/>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政府采购政策</w:t>
      </w:r>
      <w:r>
        <w:rPr>
          <w:rFonts w:hint="eastAsia" w:ascii="宋体" w:hAnsi="宋体" w:cs="宋体"/>
          <w:b/>
          <w:sz w:val="24"/>
          <w:highlight w:val="none"/>
          <w:lang w:eastAsia="zh-CN"/>
        </w:rPr>
        <w:t>（</w:t>
      </w:r>
      <w:r>
        <w:rPr>
          <w:rFonts w:hint="eastAsia" w:ascii="宋体" w:hAnsi="宋体" w:cs="宋体"/>
          <w:b/>
          <w:sz w:val="24"/>
          <w:highlight w:val="none"/>
          <w:lang w:val="en-US" w:eastAsia="zh-CN"/>
        </w:rPr>
        <w:t>不采用）</w:t>
      </w:r>
    </w:p>
    <w:p w14:paraId="546FC8DF">
      <w:pPr>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w:t>
      </w:r>
      <w:r>
        <w:rPr>
          <w:rFonts w:hint="eastAsia" w:ascii="宋体" w:hAnsi="宋体" w:cs="宋体"/>
          <w:sz w:val="24"/>
          <w:highlight w:val="none"/>
          <w:lang w:eastAsia="zh-CN"/>
        </w:rPr>
        <w:t>招标人</w:t>
      </w:r>
      <w:r>
        <w:rPr>
          <w:rFonts w:hint="eastAsia" w:ascii="宋体" w:hAnsi="宋体" w:cs="宋体"/>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sz w:val="24"/>
          <w:highlight w:val="none"/>
          <w:lang w:eastAsia="zh-CN"/>
        </w:rPr>
        <w:t>招标人</w:t>
      </w:r>
      <w:r>
        <w:rPr>
          <w:rFonts w:hint="eastAsia" w:ascii="宋体" w:hAnsi="宋体" w:cs="宋体"/>
          <w:sz w:val="24"/>
          <w:highlight w:val="none"/>
        </w:rPr>
        <w:t>、采购机构不会对其加以限制，仍将按照公平竞争原则实施采购）；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73F30D6">
      <w:pPr>
        <w:spacing w:line="360" w:lineRule="auto"/>
        <w:ind w:firstLine="480" w:firstLineChars="200"/>
        <w:rPr>
          <w:rFonts w:ascii="宋体" w:hAnsi="宋体" w:cs="宋体"/>
          <w:sz w:val="24"/>
          <w:highlight w:val="none"/>
        </w:rPr>
      </w:pPr>
      <w:r>
        <w:rPr>
          <w:rFonts w:hint="eastAsia" w:ascii="宋体" w:hAnsi="宋体" w:cs="宋体"/>
          <w:sz w:val="24"/>
          <w:highlight w:val="none"/>
        </w:rPr>
        <w:t>3.2修缮、装修类项目采购建材的，</w:t>
      </w:r>
      <w:r>
        <w:rPr>
          <w:rFonts w:hint="eastAsia" w:ascii="宋体" w:hAnsi="宋体" w:cs="宋体"/>
          <w:sz w:val="24"/>
          <w:highlight w:val="none"/>
          <w:lang w:eastAsia="zh-CN"/>
        </w:rPr>
        <w:t>招标人</w:t>
      </w:r>
      <w:r>
        <w:rPr>
          <w:rFonts w:hint="eastAsia" w:ascii="宋体" w:hAnsi="宋体" w:cs="宋体"/>
          <w:sz w:val="24"/>
          <w:highlight w:val="none"/>
        </w:rPr>
        <w:t>应将绿色建筑和绿色建材性能、指标等作为实质性条件纳入招标文件和合同。</w:t>
      </w:r>
    </w:p>
    <w:p w14:paraId="45B03B8E">
      <w:pPr>
        <w:spacing w:line="360" w:lineRule="auto"/>
        <w:ind w:firstLine="480" w:firstLineChars="200"/>
        <w:rPr>
          <w:rFonts w:ascii="宋体" w:hAnsi="宋体" w:cs="宋体"/>
          <w:sz w:val="24"/>
          <w:highlight w:val="none"/>
        </w:rPr>
      </w:pPr>
      <w:r>
        <w:rPr>
          <w:rFonts w:hint="eastAsia" w:ascii="宋体" w:hAnsi="宋体" w:cs="宋体"/>
          <w:sz w:val="24"/>
          <w:highlight w:val="none"/>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213243">
      <w:pPr>
        <w:spacing w:line="360" w:lineRule="auto"/>
        <w:ind w:firstLine="241" w:firstLineChars="100"/>
        <w:rPr>
          <w:rFonts w:ascii="宋体" w:hAnsi="宋体" w:cs="宋体"/>
          <w:b/>
          <w:sz w:val="24"/>
          <w:highlight w:val="none"/>
        </w:rPr>
      </w:pPr>
      <w:r>
        <w:rPr>
          <w:rFonts w:hint="eastAsia" w:ascii="宋体" w:hAnsi="宋体" w:cs="宋体"/>
          <w:b/>
          <w:sz w:val="24"/>
          <w:highlight w:val="none"/>
        </w:rPr>
        <w:t>4. 询问、质疑、投诉</w:t>
      </w:r>
    </w:p>
    <w:p w14:paraId="7E26A28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4.1在线询问、质疑、投诉。鼓励供应商</w:t>
      </w:r>
      <w:r>
        <w:rPr>
          <w:rFonts w:hint="eastAsia" w:ascii="宋体" w:hAnsi="宋体" w:cs="宋体"/>
          <w:kern w:val="0"/>
          <w:sz w:val="24"/>
          <w:highlight w:val="none"/>
          <w:lang w:val="en-US" w:eastAsia="zh-CN"/>
        </w:rPr>
        <w:t>书面形式</w:t>
      </w:r>
      <w:r>
        <w:rPr>
          <w:rFonts w:hint="eastAsia" w:ascii="宋体" w:hAnsi="宋体" w:cs="宋体"/>
          <w:kern w:val="0"/>
          <w:sz w:val="24"/>
          <w:highlight w:val="none"/>
          <w:lang w:val="zh-CN"/>
        </w:rPr>
        <w:t>提起询问。</w:t>
      </w:r>
    </w:p>
    <w:p w14:paraId="36A7FF9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30ED5A4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招标人或者招标代理机构应当在3个工作日内对供应商依法提出的询问作出答复，但答复的内容不得涉及商业秘密。供应商提出的询问超出招标人对招标代理机构委托授权范围的，招标代理机构应当告知供应商向招标人提出。</w:t>
      </w:r>
    </w:p>
    <w:p w14:paraId="3740039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5156C0B0">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6175E29">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zh-CN"/>
        </w:rPr>
        <w:t>4.3.2</w:t>
      </w:r>
      <w:r>
        <w:rPr>
          <w:rFonts w:hint="eastAsia" w:ascii="宋体" w:hAnsi="宋体" w:cs="宋体"/>
          <w:sz w:val="24"/>
          <w:highlight w:val="none"/>
        </w:rPr>
        <w:t>供应商认为</w:t>
      </w:r>
      <w:r>
        <w:rPr>
          <w:rFonts w:hint="eastAsia" w:ascii="宋体" w:hAnsi="宋体" w:cs="宋体"/>
          <w:sz w:val="24"/>
          <w:highlight w:val="none"/>
          <w:lang w:val="en-US" w:eastAsia="zh-CN"/>
        </w:rPr>
        <w:t>招标文件</w:t>
      </w:r>
      <w:r>
        <w:rPr>
          <w:rFonts w:hint="eastAsia" w:ascii="宋体" w:hAnsi="宋体" w:cs="宋体"/>
          <w:sz w:val="24"/>
          <w:highlight w:val="none"/>
        </w:rPr>
        <w:t>使自己的权益受到损害的，可以</w:t>
      </w:r>
      <w:r>
        <w:rPr>
          <w:rFonts w:hint="eastAsia" w:ascii="宋体" w:hAnsi="宋体" w:cs="宋体"/>
          <w:sz w:val="24"/>
          <w:highlight w:val="none"/>
          <w:lang w:val="en-US" w:eastAsia="zh-CN"/>
        </w:rPr>
        <w:t>获取招标文件</w:t>
      </w:r>
      <w:r>
        <w:rPr>
          <w:rFonts w:hint="eastAsia" w:ascii="宋体" w:hAnsi="宋体" w:cs="宋体"/>
          <w:sz w:val="24"/>
          <w:highlight w:val="none"/>
        </w:rPr>
        <w:t>之日起或者招标文件公告期限届满之日（公告期限届满后获取招标文件的，以公告期限届满之日为准）起</w:t>
      </w:r>
      <w:r>
        <w:rPr>
          <w:rFonts w:hint="eastAsia" w:ascii="宋体" w:hAnsi="宋体" w:cs="宋体"/>
          <w:sz w:val="24"/>
          <w:highlight w:val="none"/>
          <w:lang w:val="en-US" w:eastAsia="zh-CN"/>
        </w:rPr>
        <w:t>五</w:t>
      </w:r>
      <w:r>
        <w:rPr>
          <w:rFonts w:hint="eastAsia" w:ascii="宋体" w:hAnsi="宋体" w:cs="宋体"/>
          <w:sz w:val="24"/>
          <w:highlight w:val="none"/>
        </w:rPr>
        <w:t>个工作日内，以书面形式实名向</w:t>
      </w:r>
      <w:r>
        <w:rPr>
          <w:rFonts w:hint="eastAsia" w:ascii="宋体" w:hAnsi="宋体" w:cs="宋体"/>
          <w:sz w:val="24"/>
          <w:highlight w:val="none"/>
          <w:lang w:eastAsia="zh-CN"/>
        </w:rPr>
        <w:t>招标人</w:t>
      </w:r>
      <w:r>
        <w:rPr>
          <w:rFonts w:hint="eastAsia" w:ascii="宋体" w:hAnsi="宋体" w:cs="宋体"/>
          <w:sz w:val="24"/>
          <w:highlight w:val="none"/>
        </w:rPr>
        <w:t>或</w:t>
      </w:r>
      <w:r>
        <w:rPr>
          <w:rFonts w:hint="eastAsia" w:ascii="宋体" w:hAnsi="宋体" w:cs="宋体"/>
          <w:sz w:val="24"/>
          <w:highlight w:val="none"/>
          <w:lang w:eastAsia="zh-CN"/>
        </w:rPr>
        <w:t>招标代理机构</w:t>
      </w:r>
      <w:r>
        <w:rPr>
          <w:rFonts w:hint="eastAsia" w:ascii="宋体" w:hAnsi="宋体" w:cs="宋体"/>
          <w:sz w:val="24"/>
          <w:highlight w:val="none"/>
        </w:rPr>
        <w:t>反映，提出质疑。</w:t>
      </w:r>
    </w:p>
    <w:p w14:paraId="55E64CF5">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招标人</w:t>
      </w:r>
      <w:r>
        <w:rPr>
          <w:rFonts w:hint="eastAsia" w:ascii="宋体" w:hAnsi="宋体" w:cs="宋体"/>
          <w:sz w:val="24"/>
          <w:highlight w:val="none"/>
        </w:rPr>
        <w:t>或</w:t>
      </w:r>
      <w:r>
        <w:rPr>
          <w:rFonts w:hint="eastAsia" w:ascii="宋体" w:hAnsi="宋体" w:cs="宋体"/>
          <w:sz w:val="24"/>
          <w:highlight w:val="none"/>
          <w:lang w:eastAsia="zh-CN"/>
        </w:rPr>
        <w:t>招标代理机构</w:t>
      </w:r>
      <w:r>
        <w:rPr>
          <w:rFonts w:hint="eastAsia" w:ascii="宋体" w:hAnsi="宋体" w:cs="宋体"/>
          <w:sz w:val="24"/>
          <w:highlight w:val="none"/>
        </w:rPr>
        <w:t>应当按规定在收到书面质疑后</w:t>
      </w:r>
      <w:r>
        <w:rPr>
          <w:rFonts w:hint="eastAsia" w:ascii="宋体" w:hAnsi="宋体" w:cs="宋体"/>
          <w:sz w:val="24"/>
          <w:highlight w:val="none"/>
          <w:lang w:val="en-US" w:eastAsia="zh-CN"/>
        </w:rPr>
        <w:t>5</w:t>
      </w:r>
      <w:r>
        <w:rPr>
          <w:rFonts w:hint="eastAsia" w:ascii="宋体" w:hAnsi="宋体" w:cs="宋体"/>
          <w:sz w:val="24"/>
          <w:highlight w:val="none"/>
        </w:rPr>
        <w:t>个工作日内作出书面答复。</w:t>
      </w:r>
    </w:p>
    <w:p w14:paraId="2A2C8484">
      <w:pPr>
        <w:pStyle w:val="34"/>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4.3.2.</w:t>
      </w:r>
      <w:r>
        <w:rPr>
          <w:rFonts w:hint="eastAsia" w:hAnsi="宋体" w:cs="宋体"/>
          <w:kern w:val="0"/>
          <w:sz w:val="24"/>
          <w:highlight w:val="none"/>
          <w:lang w:val="en-US" w:eastAsia="zh-CN"/>
        </w:rPr>
        <w:t>1</w:t>
      </w:r>
      <w:r>
        <w:rPr>
          <w:rFonts w:hint="eastAsia" w:hAnsi="宋体" w:cs="宋体"/>
          <w:sz w:val="24"/>
          <w:highlight w:val="none"/>
        </w:rPr>
        <w:t>本办法规定的供应商应知其权益受到损害之日，是指：</w:t>
      </w:r>
    </w:p>
    <w:p w14:paraId="0DAFA838">
      <w:pPr>
        <w:pStyle w:val="34"/>
        <w:spacing w:line="360" w:lineRule="auto"/>
        <w:ind w:firstLine="480" w:firstLineChars="200"/>
        <w:rPr>
          <w:rFonts w:hint="eastAsia" w:hAnsi="宋体" w:cs="宋体"/>
          <w:sz w:val="24"/>
          <w:highlight w:val="none"/>
        </w:rPr>
      </w:pPr>
      <w:r>
        <w:rPr>
          <w:rFonts w:hint="eastAsia" w:hAnsi="宋体" w:cs="宋体"/>
          <w:sz w:val="24"/>
          <w:highlight w:val="none"/>
        </w:rPr>
        <w:t>1．对可以质疑的</w:t>
      </w:r>
      <w:r>
        <w:rPr>
          <w:rFonts w:hint="eastAsia" w:hAnsi="宋体" w:cs="宋体"/>
          <w:sz w:val="24"/>
          <w:highlight w:val="none"/>
          <w:lang w:eastAsia="zh-CN"/>
        </w:rPr>
        <w:t>招标文件</w:t>
      </w:r>
      <w:r>
        <w:rPr>
          <w:rFonts w:hint="eastAsia" w:hAnsi="宋体" w:cs="宋体"/>
          <w:sz w:val="24"/>
          <w:highlight w:val="none"/>
        </w:rPr>
        <w:t>提出质疑的，为收到</w:t>
      </w:r>
      <w:r>
        <w:rPr>
          <w:rFonts w:hint="eastAsia" w:hAnsi="宋体" w:cs="宋体"/>
          <w:sz w:val="24"/>
          <w:highlight w:val="none"/>
          <w:lang w:eastAsia="zh-CN"/>
        </w:rPr>
        <w:t>招标文件</w:t>
      </w:r>
      <w:r>
        <w:rPr>
          <w:rFonts w:hint="eastAsia" w:hAnsi="宋体" w:cs="宋体"/>
          <w:sz w:val="24"/>
          <w:highlight w:val="none"/>
        </w:rPr>
        <w:t>之日或者</w:t>
      </w:r>
      <w:r>
        <w:rPr>
          <w:rFonts w:hint="eastAsia" w:hAnsi="宋体" w:cs="宋体"/>
          <w:sz w:val="24"/>
          <w:highlight w:val="none"/>
          <w:lang w:eastAsia="zh-CN"/>
        </w:rPr>
        <w:t>招标文件</w:t>
      </w:r>
      <w:r>
        <w:rPr>
          <w:rFonts w:hint="eastAsia" w:hAnsi="宋体" w:cs="宋体"/>
          <w:sz w:val="24"/>
          <w:highlight w:val="none"/>
        </w:rPr>
        <w:t>发售时间届满之日；</w:t>
      </w:r>
    </w:p>
    <w:p w14:paraId="351E7BDE">
      <w:pPr>
        <w:pStyle w:val="34"/>
        <w:spacing w:line="360" w:lineRule="auto"/>
        <w:ind w:firstLine="480" w:firstLineChars="200"/>
        <w:rPr>
          <w:rFonts w:hint="eastAsia" w:hAnsi="宋体" w:cs="宋体"/>
          <w:sz w:val="24"/>
          <w:highlight w:val="none"/>
        </w:rPr>
      </w:pPr>
      <w:r>
        <w:rPr>
          <w:rFonts w:hint="eastAsia" w:hAnsi="宋体" w:cs="宋体"/>
          <w:sz w:val="24"/>
          <w:highlight w:val="none"/>
        </w:rPr>
        <w:t>2．对采购过程提出质疑的，为各采购程序环节结束之日；</w:t>
      </w:r>
    </w:p>
    <w:p w14:paraId="74B266DF">
      <w:pPr>
        <w:pStyle w:val="34"/>
        <w:spacing w:line="360" w:lineRule="auto"/>
        <w:ind w:firstLine="480" w:firstLineChars="200"/>
        <w:rPr>
          <w:rFonts w:hint="eastAsia" w:ascii="宋体" w:hAnsi="宋体" w:eastAsia="宋体" w:cs="宋体"/>
          <w:kern w:val="0"/>
          <w:sz w:val="24"/>
          <w:highlight w:val="none"/>
          <w:lang w:val="zh-CN"/>
        </w:rPr>
      </w:pPr>
      <w:r>
        <w:rPr>
          <w:rFonts w:hint="eastAsia" w:hAnsi="宋体" w:cs="宋体"/>
          <w:sz w:val="24"/>
          <w:highlight w:val="none"/>
        </w:rPr>
        <w:t>3．对中标或者成交结果提出质疑的，为中标或者成交结果公告发布之日。</w:t>
      </w:r>
    </w:p>
    <w:p w14:paraId="6DEC18FC">
      <w:pPr>
        <w:pStyle w:val="34"/>
        <w:adjustRightInd/>
        <w:spacing w:line="360"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供应商对质疑的答复不满意，或者</w:t>
      </w:r>
      <w:r>
        <w:rPr>
          <w:rFonts w:hint="eastAsia" w:hAnsi="宋体" w:cs="宋体"/>
          <w:kern w:val="0"/>
          <w:sz w:val="24"/>
          <w:highlight w:val="none"/>
          <w:lang w:val="zh-CN"/>
        </w:rPr>
        <w:t>招标人</w:t>
      </w:r>
      <w:r>
        <w:rPr>
          <w:rFonts w:hint="eastAsia" w:ascii="宋体" w:hAnsi="宋体" w:eastAsia="宋体" w:cs="宋体"/>
          <w:kern w:val="0"/>
          <w:sz w:val="24"/>
          <w:highlight w:val="none"/>
          <w:lang w:val="zh-CN"/>
        </w:rPr>
        <w:t>或</w:t>
      </w:r>
      <w:r>
        <w:rPr>
          <w:rFonts w:hint="eastAsia" w:hAnsi="宋体" w:cs="宋体"/>
          <w:kern w:val="0"/>
          <w:sz w:val="24"/>
          <w:highlight w:val="none"/>
          <w:lang w:val="zh-CN"/>
        </w:rPr>
        <w:t>招标代理机构</w:t>
      </w:r>
      <w:r>
        <w:rPr>
          <w:rFonts w:hint="eastAsia" w:ascii="宋体" w:hAnsi="宋体" w:eastAsia="宋体" w:cs="宋体"/>
          <w:kern w:val="0"/>
          <w:sz w:val="24"/>
          <w:highlight w:val="none"/>
          <w:lang w:val="zh-CN"/>
        </w:rPr>
        <w:t>未在规定时间内答复的，可以在答复期满后7个工作日内向</w:t>
      </w:r>
      <w:r>
        <w:rPr>
          <w:rFonts w:hint="eastAsia" w:hAnsi="宋体" w:cs="宋体"/>
          <w:kern w:val="0"/>
          <w:sz w:val="24"/>
          <w:highlight w:val="none"/>
          <w:lang w:val="zh-CN"/>
        </w:rPr>
        <w:t>招标人</w:t>
      </w:r>
      <w:r>
        <w:rPr>
          <w:rFonts w:hint="eastAsia" w:ascii="宋体" w:hAnsi="宋体" w:eastAsia="宋体" w:cs="宋体"/>
          <w:kern w:val="0"/>
          <w:sz w:val="24"/>
          <w:highlight w:val="none"/>
          <w:lang w:val="zh-CN" w:eastAsia="zh-CN"/>
        </w:rPr>
        <w:t>单位</w:t>
      </w:r>
      <w:r>
        <w:rPr>
          <w:rFonts w:hint="eastAsia" w:ascii="宋体" w:hAnsi="宋体" w:eastAsia="宋体" w:cs="宋体"/>
          <w:kern w:val="0"/>
          <w:sz w:val="24"/>
          <w:highlight w:val="none"/>
          <w:lang w:val="zh-CN"/>
        </w:rPr>
        <w:t>投诉。</w:t>
      </w:r>
    </w:p>
    <w:p w14:paraId="762E4A50">
      <w:pPr>
        <w:pStyle w:val="34"/>
        <w:adjustRightInd/>
        <w:snapToGrid/>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投诉人提交投诉件时，应当提供相关证据、依据和其他有关材料。</w:t>
      </w:r>
    </w:p>
    <w:p w14:paraId="4A6846A6">
      <w:pPr>
        <w:pStyle w:val="34"/>
        <w:adjustRightInd/>
        <w:snapToGrid/>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询问或者质疑事项可能影响采购结果的，</w:t>
      </w:r>
      <w:r>
        <w:rPr>
          <w:rFonts w:hint="eastAsia" w:hAnsi="宋体" w:cs="宋体"/>
          <w:kern w:val="0"/>
          <w:sz w:val="24"/>
          <w:highlight w:val="none"/>
          <w:lang w:val="zh-CN"/>
        </w:rPr>
        <w:t>招标人</w:t>
      </w:r>
      <w:r>
        <w:rPr>
          <w:rFonts w:hint="eastAsia" w:ascii="宋体" w:hAnsi="宋体" w:eastAsia="宋体" w:cs="宋体"/>
          <w:kern w:val="0"/>
          <w:sz w:val="24"/>
          <w:highlight w:val="none"/>
          <w:lang w:val="zh-CN"/>
        </w:rPr>
        <w:t>应当暂停签订合同，已经签订合同的，应当中止履行合同。</w:t>
      </w:r>
    </w:p>
    <w:p w14:paraId="53ED695B">
      <w:pPr>
        <w:pStyle w:val="34"/>
        <w:adjustRightInd/>
        <w:snapToGrid/>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供应商投诉的事项不得超出已质疑事项的范围，基于质疑答复内容提出的投诉事项除外。</w:t>
      </w:r>
    </w:p>
    <w:p w14:paraId="539468E0">
      <w:pPr>
        <w:pStyle w:val="34"/>
        <w:adjustRightInd/>
        <w:snapToGrid/>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以联合体形式参加采购活动的，其投诉应当由组成联合体的所有供应商共同提出。</w:t>
      </w:r>
    </w:p>
    <w:p w14:paraId="11EA4304">
      <w:pPr>
        <w:pStyle w:val="34"/>
        <w:adjustRightInd/>
        <w:snapToGrid/>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投诉书范本及制作说明详见附件。</w:t>
      </w:r>
    </w:p>
    <w:p w14:paraId="7E60431E">
      <w:pPr>
        <w:pStyle w:val="107"/>
        <w:snapToGrid w:val="0"/>
        <w:spacing w:before="0"/>
        <w:ind w:firstLine="360"/>
        <w:rPr>
          <w:rFonts w:ascii="宋体" w:hAnsi="宋体" w:cs="宋体"/>
          <w:sz w:val="18"/>
          <w:szCs w:val="18"/>
          <w:highlight w:val="none"/>
        </w:rPr>
      </w:pPr>
    </w:p>
    <w:p w14:paraId="2DF4D854">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2F4CD211">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1A4BD990">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3B5CF83D">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630356A">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4D2FF098">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489EDB80">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227C5FDF">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59AFD952">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017FD6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5D0FD5BD">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398A7C65">
      <w:pPr>
        <w:pStyle w:val="107"/>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52D7053E">
      <w:pPr>
        <w:pStyle w:val="107"/>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CB778">
      <w:pPr>
        <w:pStyle w:val="23"/>
        <w:rPr>
          <w:rFonts w:hAnsi="宋体" w:cs="宋体"/>
          <w:sz w:val="18"/>
          <w:szCs w:val="18"/>
          <w:highlight w:val="none"/>
          <w:lang w:val="en-US"/>
        </w:rPr>
      </w:pPr>
      <w:r>
        <w:rPr>
          <w:rFonts w:hint="eastAsia" w:hAnsi="宋体" w:cs="宋体"/>
          <w:szCs w:val="24"/>
          <w:highlight w:val="none"/>
          <w:lang w:val="en-US"/>
        </w:rPr>
        <w:t xml:space="preserve">    </w:t>
      </w:r>
    </w:p>
    <w:p w14:paraId="6EC2D164">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39990BE2">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466193DA">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F469B49">
      <w:pPr>
        <w:pStyle w:val="34"/>
        <w:numPr>
          <w:ilvl w:val="0"/>
          <w:numId w:val="2"/>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47F1D8E6">
      <w:pPr>
        <w:pStyle w:val="34"/>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lang w:eastAsia="zh-CN"/>
        </w:rPr>
        <w:t>招标人</w:t>
      </w:r>
      <w:r>
        <w:rPr>
          <w:rFonts w:hint="eastAsia" w:hAnsi="宋体" w:cs="宋体"/>
          <w:sz w:val="24"/>
          <w:szCs w:val="24"/>
          <w:highlight w:val="none"/>
        </w:rPr>
        <w:t>组织潜在投标人现场考察或者召开开标前答疑会的，潜在投标人按第二部分投标人须知前附表的规定参加现场考察或者开标前答疑会。</w:t>
      </w:r>
      <w:r>
        <w:rPr>
          <w:rFonts w:hint="eastAsia" w:hAnsi="宋体" w:cs="宋体"/>
          <w:sz w:val="24"/>
          <w:szCs w:val="24"/>
          <w:highlight w:val="none"/>
          <w:lang w:eastAsia="zh-CN"/>
        </w:rPr>
        <w:t>（本项目不组织）</w:t>
      </w:r>
    </w:p>
    <w:p w14:paraId="4B9A191D">
      <w:pPr>
        <w:pStyle w:val="34"/>
        <w:numPr>
          <w:ilvl w:val="0"/>
          <w:numId w:val="2"/>
        </w:numPr>
        <w:spacing w:line="360" w:lineRule="auto"/>
        <w:rPr>
          <w:rFonts w:hint="eastAsia" w:hAnsi="宋体" w:cs="宋体"/>
          <w:b/>
          <w:sz w:val="24"/>
          <w:szCs w:val="24"/>
          <w:highlight w:val="none"/>
        </w:rPr>
      </w:pPr>
      <w:r>
        <w:rPr>
          <w:rFonts w:hint="eastAsia" w:hAnsi="宋体" w:cs="宋体"/>
          <w:b/>
          <w:sz w:val="24"/>
          <w:szCs w:val="24"/>
          <w:highlight w:val="none"/>
        </w:rPr>
        <w:t>投标保证金</w:t>
      </w:r>
    </w:p>
    <w:p w14:paraId="45FE4483">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49A68B3">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2748F4A1">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B0CF73F">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27F5CC5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11.1资格文件（包括不限于）：</w:t>
      </w:r>
    </w:p>
    <w:p w14:paraId="2844A31A">
      <w:pPr>
        <w:snapToGrid w:val="0"/>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▲11.1.1符合参加</w:t>
      </w:r>
      <w:r>
        <w:rPr>
          <w:rFonts w:hint="eastAsia" w:ascii="宋体" w:hAnsi="宋体" w:cs="宋体"/>
          <w:b w:val="0"/>
          <w:bCs w:val="0"/>
          <w:sz w:val="24"/>
          <w:highlight w:val="none"/>
          <w:lang w:eastAsia="zh-CN"/>
        </w:rPr>
        <w:t>招标</w:t>
      </w:r>
      <w:r>
        <w:rPr>
          <w:rFonts w:hint="eastAsia" w:ascii="宋体" w:hAnsi="宋体" w:cs="宋体"/>
          <w:b w:val="0"/>
          <w:bCs w:val="0"/>
          <w:sz w:val="24"/>
          <w:highlight w:val="none"/>
        </w:rPr>
        <w:t>活动应当具备的一般条件的承诺函；</w:t>
      </w:r>
    </w:p>
    <w:p w14:paraId="3303F615">
      <w:pPr>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▲11.1.2</w:t>
      </w:r>
      <w:r>
        <w:rPr>
          <w:rFonts w:hint="eastAsia" w:ascii="宋体" w:hAnsi="宋体" w:cs="宋体"/>
          <w:b w:val="0"/>
          <w:bCs w:val="0"/>
          <w:sz w:val="24"/>
          <w:highlight w:val="none"/>
          <w:lang w:val="en-US" w:eastAsia="zh-CN"/>
        </w:rPr>
        <w:t>营业执照（或事业单位法人登记证书或其他工商等登记证明材料）复印件</w:t>
      </w:r>
      <w:r>
        <w:rPr>
          <w:rFonts w:hint="eastAsia" w:ascii="宋体" w:hAnsi="宋体" w:cs="宋体"/>
          <w:b w:val="0"/>
          <w:bCs w:val="0"/>
          <w:sz w:val="24"/>
          <w:highlight w:val="none"/>
        </w:rPr>
        <w:t>；</w:t>
      </w:r>
    </w:p>
    <w:p w14:paraId="1EA3E475">
      <w:pPr>
        <w:snapToGrid w:val="0"/>
        <w:spacing w:line="360" w:lineRule="auto"/>
        <w:ind w:firstLine="480" w:firstLineChars="2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本项目的特定资格要求</w:t>
      </w:r>
      <w:r>
        <w:rPr>
          <w:rFonts w:hint="eastAsia" w:ascii="宋体" w:hAnsi="宋体" w:cs="宋体"/>
          <w:b w:val="0"/>
          <w:bCs w:val="0"/>
          <w:sz w:val="24"/>
          <w:highlight w:val="none"/>
          <w:lang w:eastAsia="zh-CN"/>
        </w:rPr>
        <w:t>。</w:t>
      </w:r>
    </w:p>
    <w:p w14:paraId="59E758FA">
      <w:pPr>
        <w:snapToGrid w:val="0"/>
        <w:spacing w:line="360" w:lineRule="auto"/>
        <w:ind w:firstLine="723" w:firstLineChars="300"/>
        <w:rPr>
          <w:rFonts w:ascii="宋体" w:hAnsi="宋体" w:cs="宋体"/>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156FE5FE">
      <w:pPr>
        <w:snapToGrid w:val="0"/>
        <w:spacing w:line="360" w:lineRule="auto"/>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p>
    <w:p w14:paraId="0514F5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11.2.1商务技术文件封面；</w:t>
      </w:r>
    </w:p>
    <w:p w14:paraId="6E7099BE">
      <w:pPr>
        <w:snapToGrid w:val="0"/>
        <w:spacing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11.2.2投标响应函；</w:t>
      </w:r>
    </w:p>
    <w:p w14:paraId="562A2A5B">
      <w:pPr>
        <w:snapToGrid w:val="0"/>
        <w:spacing w:line="360" w:lineRule="auto"/>
        <w:ind w:firstLine="240" w:firstLineChars="100"/>
        <w:rPr>
          <w:rFonts w:ascii="宋体" w:hAnsi="宋体" w:cs="宋体"/>
          <w:sz w:val="24"/>
          <w:highlight w:val="none"/>
        </w:rPr>
      </w:pPr>
      <w:r>
        <w:rPr>
          <w:rFonts w:hint="eastAsia" w:ascii="宋体" w:hAnsi="宋体" w:cs="宋体"/>
          <w:b w:val="0"/>
          <w:sz w:val="24"/>
          <w:highlight w:val="none"/>
        </w:rPr>
        <w:t>▲</w:t>
      </w:r>
      <w:r>
        <w:rPr>
          <w:rFonts w:hint="eastAsia" w:ascii="宋体" w:hAnsi="宋体" w:cs="宋体"/>
          <w:sz w:val="24"/>
          <w:highlight w:val="none"/>
        </w:rPr>
        <w:t>11.2.3授权委托书或法定代表人（单位负责人、自然人本人）身份证明；</w:t>
      </w:r>
    </w:p>
    <w:p w14:paraId="221AFD29">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11.2.4</w:t>
      </w:r>
      <w:r>
        <w:rPr>
          <w:rFonts w:hint="eastAsia" w:ascii="宋体" w:hAnsi="宋体" w:cs="宋体"/>
          <w:sz w:val="24"/>
          <w:highlight w:val="none"/>
        </w:rPr>
        <w:t>无失信行为承诺书</w:t>
      </w:r>
      <w:r>
        <w:rPr>
          <w:rFonts w:hint="eastAsia" w:ascii="宋体" w:hAnsi="宋体" w:cs="宋体"/>
          <w:sz w:val="24"/>
          <w:highlight w:val="none"/>
          <w:lang w:eastAsia="zh-CN"/>
        </w:rPr>
        <w:t>；</w:t>
      </w:r>
    </w:p>
    <w:p w14:paraId="5E5FC161">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1</w:t>
      </w:r>
      <w:r>
        <w:rPr>
          <w:rFonts w:hint="eastAsia" w:ascii="宋体" w:hAnsi="宋体" w:cs="宋体"/>
          <w:sz w:val="24"/>
          <w:highlight w:val="none"/>
          <w:lang w:val="en-US" w:eastAsia="zh-CN"/>
        </w:rPr>
        <w:t>1.2.5</w:t>
      </w:r>
      <w:r>
        <w:rPr>
          <w:rFonts w:hint="eastAsia" w:ascii="宋体" w:hAnsi="宋体" w:cs="宋体"/>
          <w:sz w:val="24"/>
          <w:highlight w:val="none"/>
        </w:rPr>
        <w:t>符合性审查资料</w:t>
      </w:r>
      <w:r>
        <w:rPr>
          <w:rFonts w:hint="eastAsia" w:ascii="宋体" w:hAnsi="宋体" w:cs="宋体"/>
          <w:sz w:val="24"/>
          <w:highlight w:val="none"/>
          <w:lang w:eastAsia="zh-CN"/>
        </w:rPr>
        <w:t>；</w:t>
      </w:r>
    </w:p>
    <w:p w14:paraId="5D004E51">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评标标</w:t>
      </w:r>
      <w:r>
        <w:rPr>
          <w:rFonts w:hint="eastAsia" w:ascii="宋体" w:hAnsi="宋体" w:cs="宋体"/>
          <w:sz w:val="24"/>
          <w:highlight w:val="none"/>
          <w:lang w:val="en-US" w:eastAsia="zh-CN"/>
        </w:rPr>
        <w:t>准</w:t>
      </w:r>
      <w:r>
        <w:rPr>
          <w:rFonts w:hint="eastAsia" w:ascii="宋体" w:hAnsi="宋体" w:cs="宋体"/>
          <w:sz w:val="24"/>
          <w:highlight w:val="none"/>
        </w:rPr>
        <w:t>相应的商务技术资料；</w:t>
      </w:r>
    </w:p>
    <w:p w14:paraId="77E976D8">
      <w:pPr>
        <w:spacing w:line="360" w:lineRule="auto"/>
        <w:ind w:firstLine="480" w:firstLineChars="200"/>
        <w:rPr>
          <w:rFonts w:ascii="宋体" w:hAnsi="宋体" w:cs="宋体"/>
          <w:color w:val="000000"/>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7项目人员情况表</w:t>
      </w:r>
    </w:p>
    <w:p w14:paraId="480D16B0">
      <w:pPr>
        <w:adjustRightInd/>
        <w:spacing w:line="360" w:lineRule="auto"/>
        <w:ind w:firstLine="241" w:firstLineChars="100"/>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color w:val="000000"/>
          <w:kern w:val="0"/>
          <w:sz w:val="24"/>
          <w:highlight w:val="none"/>
        </w:rPr>
        <w:t>11.</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商务技</w:t>
      </w:r>
      <w:r>
        <w:rPr>
          <w:rFonts w:hint="eastAsia" w:ascii="宋体" w:hAnsi="宋体" w:cs="宋体"/>
          <w:color w:val="000000"/>
          <w:kern w:val="0"/>
          <w:sz w:val="24"/>
          <w:highlight w:val="none"/>
          <w:lang w:eastAsia="zh-CN"/>
        </w:rPr>
        <w:t>术</w:t>
      </w:r>
      <w:r>
        <w:rPr>
          <w:rFonts w:hint="eastAsia" w:ascii="宋体" w:hAnsi="宋体" w:cs="宋体"/>
          <w:color w:val="000000"/>
          <w:kern w:val="0"/>
          <w:sz w:val="24"/>
          <w:highlight w:val="none"/>
        </w:rPr>
        <w:t>偏离表</w:t>
      </w:r>
      <w:r>
        <w:rPr>
          <w:rFonts w:hint="eastAsia" w:ascii="宋体" w:hAnsi="宋体" w:cs="宋体"/>
          <w:sz w:val="24"/>
          <w:highlight w:val="none"/>
        </w:rPr>
        <w:t>；</w:t>
      </w:r>
    </w:p>
    <w:p w14:paraId="5F5AF507">
      <w:pPr>
        <w:snapToGrid w:val="0"/>
        <w:spacing w:line="360" w:lineRule="auto"/>
        <w:ind w:firstLine="241" w:firstLineChars="100"/>
        <w:rPr>
          <w:rFonts w:hint="eastAsia" w:ascii="宋体" w:hAnsi="宋体" w:cs="宋体"/>
          <w:sz w:val="24"/>
          <w:szCs w:val="32"/>
          <w:highlight w:val="none"/>
          <w:lang w:eastAsia="zh-CN"/>
        </w:rPr>
      </w:pPr>
      <w:r>
        <w:rPr>
          <w:rFonts w:hint="eastAsia" w:ascii="宋体" w:hAnsi="宋体" w:cs="宋体"/>
          <w:b/>
          <w:sz w:val="24"/>
          <w:highlight w:val="none"/>
        </w:rPr>
        <w:t>▲</w:t>
      </w:r>
      <w:r>
        <w:rPr>
          <w:rFonts w:hint="eastAsia" w:ascii="宋体" w:hAnsi="宋体" w:cs="宋体"/>
          <w:color w:val="000000"/>
          <w:kern w:val="0"/>
          <w:sz w:val="24"/>
          <w:highlight w:val="none"/>
        </w:rPr>
        <w:t>11.2.</w:t>
      </w:r>
      <w:r>
        <w:rPr>
          <w:rFonts w:hint="eastAsia" w:ascii="宋体" w:hAnsi="宋体" w:cs="宋体"/>
          <w:color w:val="000000"/>
          <w:kern w:val="0"/>
          <w:sz w:val="24"/>
          <w:highlight w:val="none"/>
          <w:lang w:val="en-US" w:eastAsia="zh-CN"/>
        </w:rPr>
        <w:t>9</w:t>
      </w:r>
      <w:r>
        <w:rPr>
          <w:rFonts w:hint="eastAsia" w:ascii="宋体" w:hAnsi="宋体" w:eastAsia="宋体" w:cs="宋体"/>
          <w:sz w:val="24"/>
          <w:highlight w:val="none"/>
        </w:rPr>
        <w:t>采购需求</w:t>
      </w:r>
      <w:r>
        <w:rPr>
          <w:rFonts w:hint="eastAsia" w:ascii="宋体" w:hAnsi="宋体" w:cs="宋体"/>
          <w:sz w:val="24"/>
          <w:szCs w:val="32"/>
          <w:highlight w:val="none"/>
        </w:rPr>
        <w:t>实质性内容响应表</w:t>
      </w:r>
      <w:r>
        <w:rPr>
          <w:rFonts w:hint="eastAsia" w:ascii="宋体" w:hAnsi="宋体" w:cs="宋体"/>
          <w:sz w:val="24"/>
          <w:szCs w:val="32"/>
          <w:highlight w:val="none"/>
          <w:lang w:eastAsia="zh-CN"/>
        </w:rPr>
        <w:t>；</w:t>
      </w:r>
    </w:p>
    <w:p w14:paraId="25BAD5E5">
      <w:pPr>
        <w:snapToGrid w:val="0"/>
        <w:spacing w:line="360" w:lineRule="auto"/>
        <w:ind w:firstLine="241" w:firstLineChars="100"/>
        <w:rPr>
          <w:rFonts w:hint="eastAsia" w:ascii="宋体" w:hAnsi="宋体" w:cs="宋体"/>
          <w:sz w:val="24"/>
          <w:szCs w:val="32"/>
          <w:highlight w:val="none"/>
          <w:lang w:eastAsia="zh-CN"/>
        </w:rPr>
      </w:pPr>
      <w:r>
        <w:rPr>
          <w:rFonts w:hint="eastAsia" w:ascii="宋体" w:hAnsi="宋体" w:cs="宋体"/>
          <w:b/>
          <w:sz w:val="24"/>
          <w:highlight w:val="none"/>
        </w:rPr>
        <w:t>▲</w:t>
      </w:r>
      <w:r>
        <w:rPr>
          <w:rFonts w:hint="eastAsia" w:ascii="宋体" w:hAnsi="宋体" w:cs="宋体"/>
          <w:color w:val="000000"/>
          <w:kern w:val="0"/>
          <w:sz w:val="24"/>
          <w:highlight w:val="none"/>
        </w:rPr>
        <w:t>11.2.</w:t>
      </w:r>
      <w:r>
        <w:rPr>
          <w:rFonts w:hint="eastAsia" w:ascii="宋体" w:hAnsi="宋体" w:cs="宋体"/>
          <w:color w:val="000000"/>
          <w:kern w:val="0"/>
          <w:sz w:val="24"/>
          <w:highlight w:val="none"/>
          <w:lang w:val="en-US" w:eastAsia="zh-CN"/>
        </w:rPr>
        <w:t>10</w:t>
      </w:r>
      <w:r>
        <w:rPr>
          <w:rFonts w:hint="eastAsia" w:ascii="宋体" w:hAnsi="宋体" w:cs="宋体"/>
          <w:sz w:val="24"/>
          <w:szCs w:val="32"/>
          <w:highlight w:val="none"/>
          <w:lang w:eastAsia="zh-CN"/>
        </w:rPr>
        <w:t>所投产品具体配置表：详细列明所投产品设备清单，完整配置方案及技术指标，项目的主要设备必须明确所投产品的品牌、规格型号、材质及具体技术指标，任何含糊不清的表述对评标结果的影响将是投标人的责任；</w:t>
      </w:r>
    </w:p>
    <w:p w14:paraId="414600E9">
      <w:pPr>
        <w:snapToGrid w:val="0"/>
        <w:spacing w:line="360" w:lineRule="auto"/>
        <w:ind w:firstLine="480" w:firstLineChars="200"/>
        <w:rPr>
          <w:rFonts w:hint="eastAsia" w:ascii="宋体" w:hAnsi="宋体" w:cs="宋体"/>
          <w:sz w:val="24"/>
          <w:szCs w:val="32"/>
          <w:highlight w:val="none"/>
          <w:lang w:eastAsia="zh-CN"/>
        </w:rPr>
      </w:pPr>
      <w:r>
        <w:rPr>
          <w:rFonts w:hint="eastAsia" w:ascii="宋体" w:hAnsi="宋体" w:cs="宋体"/>
          <w:sz w:val="24"/>
          <w:szCs w:val="32"/>
          <w:highlight w:val="none"/>
          <w:lang w:eastAsia="zh-CN"/>
        </w:rPr>
        <w:t>所投产品各厂商网站公开的该产品技术指标或印刷版的产品技术白皮书或手册、厂家出具盖厂家公章的特别说明；</w:t>
      </w:r>
    </w:p>
    <w:p w14:paraId="4F6F9340">
      <w:pPr>
        <w:snapToGrid w:val="0"/>
        <w:spacing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b/>
          <w:sz w:val="24"/>
          <w:highlight w:val="none"/>
          <w:lang w:val="en-US" w:eastAsia="zh-CN"/>
        </w:rPr>
        <w:t>11</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11</w:t>
      </w:r>
      <w:r>
        <w:rPr>
          <w:rFonts w:hint="eastAsia" w:ascii="宋体" w:hAnsi="宋体" w:cs="宋体"/>
          <w:sz w:val="24"/>
          <w:highlight w:val="none"/>
          <w:lang w:val="zh-CN"/>
        </w:rPr>
        <w:t>供应商廉洁自律承诺书；</w:t>
      </w:r>
    </w:p>
    <w:p w14:paraId="407869B8">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11.2.</w:t>
      </w:r>
      <w:r>
        <w:rPr>
          <w:rFonts w:hint="eastAsia" w:ascii="宋体" w:hAnsi="宋体" w:cs="宋体"/>
          <w:bCs/>
          <w:sz w:val="24"/>
          <w:highlight w:val="none"/>
          <w:lang w:val="en-US" w:eastAsia="zh-CN"/>
        </w:rPr>
        <w:t>12</w:t>
      </w:r>
      <w:r>
        <w:rPr>
          <w:rFonts w:hint="eastAsia" w:ascii="宋体" w:hAnsi="宋体" w:cs="宋体"/>
          <w:bCs/>
          <w:sz w:val="24"/>
          <w:highlight w:val="none"/>
        </w:rPr>
        <w:t>关于对招标文件中有关条款的拒绝声明</w:t>
      </w:r>
      <w:r>
        <w:rPr>
          <w:rFonts w:hint="eastAsia" w:ascii="宋体" w:hAnsi="宋体" w:cs="宋体"/>
          <w:b/>
          <w:bCs/>
          <w:sz w:val="24"/>
          <w:highlight w:val="none"/>
        </w:rPr>
        <w:t>（如果有）</w:t>
      </w:r>
      <w:r>
        <w:rPr>
          <w:rFonts w:hint="eastAsia" w:ascii="宋体" w:hAnsi="宋体" w:cs="宋体"/>
          <w:bCs/>
          <w:sz w:val="24"/>
          <w:highlight w:val="none"/>
        </w:rPr>
        <w:t>；</w:t>
      </w:r>
    </w:p>
    <w:p w14:paraId="11195A8E">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11.2.1</w:t>
      </w:r>
      <w:r>
        <w:rPr>
          <w:rFonts w:hint="eastAsia" w:ascii="宋体" w:hAnsi="宋体" w:cs="宋体"/>
          <w:bCs/>
          <w:sz w:val="24"/>
          <w:highlight w:val="none"/>
          <w:lang w:val="en-US" w:eastAsia="zh-CN"/>
        </w:rPr>
        <w:t>3</w:t>
      </w:r>
      <w:r>
        <w:rPr>
          <w:rFonts w:hint="eastAsia" w:ascii="宋体" w:hAnsi="宋体" w:cs="宋体"/>
          <w:bCs/>
          <w:sz w:val="24"/>
          <w:highlight w:val="none"/>
        </w:rPr>
        <w:t>投标人认为需要提供的与本项目有关的其他文件和说明。</w:t>
      </w:r>
    </w:p>
    <w:p w14:paraId="716B0E28">
      <w:pPr>
        <w:snapToGrid w:val="0"/>
        <w:spacing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上述内容部分格式及内容详见“</w:t>
      </w:r>
      <w:r>
        <w:rPr>
          <w:rFonts w:hint="eastAsia" w:ascii="宋体" w:hAnsi="宋体" w:cs="宋体"/>
          <w:sz w:val="24"/>
          <w:highlight w:val="none"/>
        </w:rPr>
        <w:t>第六部分  应提交的有关格式范例”。</w:t>
      </w:r>
    </w:p>
    <w:p w14:paraId="0FDEB573">
      <w:pPr>
        <w:snapToGrid w:val="0"/>
        <w:spacing w:line="360" w:lineRule="auto"/>
        <w:rPr>
          <w:rFonts w:ascii="宋体" w:hAnsi="宋体" w:cs="宋体"/>
          <w:b/>
          <w:bCs/>
          <w:sz w:val="24"/>
          <w:highlight w:val="none"/>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p>
    <w:p w14:paraId="69AC6F73">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报价文件封面；</w:t>
      </w:r>
    </w:p>
    <w:p w14:paraId="39CA2A53">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2</w:t>
      </w:r>
      <w:r>
        <w:rPr>
          <w:rFonts w:hint="eastAsia" w:ascii="宋体" w:hAnsi="宋体" w:cs="宋体"/>
          <w:kern w:val="0"/>
          <w:sz w:val="24"/>
          <w:highlight w:val="none"/>
        </w:rPr>
        <w:t>）开标一览表；</w:t>
      </w:r>
    </w:p>
    <w:p w14:paraId="30E14111">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）分项报价表；</w:t>
      </w:r>
    </w:p>
    <w:p w14:paraId="1127CA31">
      <w:pPr>
        <w:snapToGrid w:val="0"/>
        <w:spacing w:line="360" w:lineRule="auto"/>
        <w:ind w:firstLine="720" w:firstLineChars="300"/>
        <w:rPr>
          <w:rFonts w:hint="eastAsia"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rPr>
        <w:t>）投标人需要说明的其他文件和资料。</w:t>
      </w:r>
    </w:p>
    <w:p w14:paraId="5ED2FFDF">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投标报价注意事项：</w:t>
      </w:r>
    </w:p>
    <w:p w14:paraId="06B7A991">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1）本项目报价包含不限于设备供货、装卸、指导安装、软件编制(包括知识产权)系统组态、调试及所有附属设施材料（包括列入清单备注的材料及配件）、人员培训、售后服务。</w:t>
      </w:r>
    </w:p>
    <w:p w14:paraId="75583326">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2）投标报价应是唯一的，招标方将拒绝有选择的报价。</w:t>
      </w:r>
    </w:p>
    <w:p w14:paraId="6E71F204">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3）投标人在材料清单与报价表中每一单项均需填写单价和总价，投标人没有填写单价和总价的项目将不予支付，并认为此项费用已包括在其他单价和总价中。</w:t>
      </w:r>
    </w:p>
    <w:p w14:paraId="21869085">
      <w:pPr>
        <w:snapToGrid w:val="0"/>
        <w:spacing w:line="360" w:lineRule="auto"/>
        <w:ind w:firstLine="480" w:firstLineChars="200"/>
        <w:rPr>
          <w:rFonts w:hint="eastAsia" w:ascii="宋体" w:hAnsi="宋体" w:cs="宋体"/>
          <w:b/>
          <w:bCs/>
          <w:color w:val="000000"/>
          <w:sz w:val="24"/>
          <w:highlight w:val="none"/>
        </w:rPr>
      </w:pPr>
      <w:r>
        <w:rPr>
          <w:rFonts w:hint="eastAsia" w:ascii="宋体" w:hAnsi="宋体" w:cs="宋体"/>
          <w:kern w:val="0"/>
          <w:sz w:val="24"/>
          <w:highlight w:val="none"/>
        </w:rPr>
        <w:t>4）投标人对所投材料只能提出一个不变的价格，招标单位不接受任何选择价。相同规格的材料单价必须一致。</w:t>
      </w:r>
    </w:p>
    <w:p w14:paraId="75FB67D3">
      <w:pPr>
        <w:snapToGrid w:val="0"/>
        <w:spacing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格式及内容详见“</w:t>
      </w:r>
      <w:r>
        <w:rPr>
          <w:rFonts w:hint="eastAsia" w:ascii="宋体" w:hAnsi="宋体" w:cs="宋体"/>
          <w:sz w:val="24"/>
          <w:highlight w:val="none"/>
        </w:rPr>
        <w:t>第六部分  应提交的有关格式范例”。</w:t>
      </w:r>
    </w:p>
    <w:p w14:paraId="790763D8">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w:t>
      </w:r>
      <w:r>
        <w:rPr>
          <w:rFonts w:hint="eastAsia" w:ascii="宋体" w:hAnsi="宋体" w:cs="宋体"/>
          <w:b/>
          <w:sz w:val="24"/>
          <w:highlight w:val="none"/>
          <w:lang w:eastAsia="zh-CN"/>
        </w:rPr>
        <w:t>招标人</w:t>
      </w:r>
      <w:r>
        <w:rPr>
          <w:rFonts w:hint="eastAsia" w:ascii="宋体" w:hAnsi="宋体" w:cs="宋体"/>
          <w:b/>
          <w:sz w:val="24"/>
          <w:highlight w:val="none"/>
        </w:rPr>
        <w:t>不能接受的附加条件的，投标无效；</w:t>
      </w:r>
    </w:p>
    <w:p w14:paraId="668429CC">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0CF5029B">
      <w:pPr>
        <w:pStyle w:val="107"/>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2CCBEEFF">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68390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12.2投标人进行电子投标应安装客户端软件—“临采云电子交易客户端”，并按照招标文件和电子交易平台的要求编制并加密投标文件。投标人未按规定加密的投标文件，电子交易平台将拒收并提示。</w:t>
      </w:r>
    </w:p>
    <w:p w14:paraId="72BB1CA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w:t>
      </w:r>
      <w:r>
        <w:rPr>
          <w:rFonts w:hint="eastAsia" w:ascii="宋体" w:hAnsi="宋体" w:cs="宋体"/>
          <w:kern w:val="0"/>
          <w:sz w:val="24"/>
          <w:highlight w:val="none"/>
          <w:lang w:val="en-US" w:eastAsia="zh-CN"/>
        </w:rPr>
        <w:t>临采云-政企采购开放平台https://www.lecaiyun.com/</w:t>
      </w:r>
      <w:r>
        <w:rPr>
          <w:rFonts w:hint="eastAsia" w:ascii="宋体" w:hAnsi="宋体" w:cs="宋体"/>
          <w:kern w:val="0"/>
          <w:sz w:val="24"/>
          <w:highlight w:val="none"/>
          <w:lang w:val="zh-CN"/>
        </w:rPr>
        <w:t>电子交易客户端”需要提前申领CA数字证书，申领流程请自行前往“浙江政府采购网-下载专区-电子交易客户端（LeCaiYunSetup.latest.exe）-CA驱动和申领流程”进行查阅。</w:t>
      </w:r>
    </w:p>
    <w:p w14:paraId="18A3A159">
      <w:pPr>
        <w:numPr>
          <w:ilvl w:val="0"/>
          <w:numId w:val="3"/>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2172D41B">
      <w:pPr>
        <w:pStyle w:val="107"/>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E6DA68C">
      <w:pPr>
        <w:pStyle w:val="107"/>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临采云-政企采购开放平台https://www.lecaiyun.com/</w:t>
      </w:r>
      <w:r>
        <w:rPr>
          <w:rFonts w:hint="eastAsia" w:ascii="宋体" w:hAnsi="宋体" w:cs="宋体"/>
          <w:highlight w:val="none"/>
        </w:rPr>
        <w:t>”的身份认证，确保在电子投标过程中能够对相关数据电文进行加密和使用电子签名。</w:t>
      </w:r>
    </w:p>
    <w:p w14:paraId="5FDEBB21">
      <w:pPr>
        <w:pStyle w:val="107"/>
        <w:snapToGrid w:val="0"/>
        <w:spacing w:before="0"/>
        <w:ind w:firstLine="480"/>
        <w:rPr>
          <w:rFonts w:hint="default" w:ascii="宋体" w:hAnsi="宋体" w:eastAsia="宋体" w:cs="宋体"/>
          <w:szCs w:val="24"/>
          <w:highlight w:val="none"/>
          <w:lang w:val="en-US" w:eastAsia="zh-CN"/>
        </w:rPr>
      </w:pPr>
      <w:r>
        <w:rPr>
          <w:rFonts w:hint="eastAsia" w:ascii="宋体" w:hAnsi="宋体" w:cs="宋体"/>
          <w:highlight w:val="none"/>
        </w:rPr>
        <w:t>13.3招标文件对投标文件签署、盖章的要求适用于电子签名。</w:t>
      </w:r>
      <w:r>
        <w:rPr>
          <w:rFonts w:hint="eastAsia" w:ascii="宋体" w:hAnsi="宋体" w:cs="宋体"/>
          <w:highlight w:val="none"/>
          <w:lang w:val="en-US" w:eastAsia="zh-CN"/>
        </w:rPr>
        <w:t>电子签名即为电子公章。</w:t>
      </w:r>
    </w:p>
    <w:p w14:paraId="5F5E846E">
      <w:pPr>
        <w:pStyle w:val="107"/>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40EEECCB">
      <w:pPr>
        <w:pStyle w:val="107"/>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96CA53">
      <w:pPr>
        <w:pStyle w:val="107"/>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A2E0129">
      <w:pPr>
        <w:pStyle w:val="107"/>
        <w:spacing w:before="0"/>
        <w:ind w:firstLine="480"/>
        <w:rPr>
          <w:rFonts w:ascii="宋体" w:hAnsi="宋体" w:cs="宋体"/>
          <w:szCs w:val="24"/>
          <w:highlight w:val="none"/>
        </w:rPr>
      </w:pPr>
      <w:r>
        <w:rPr>
          <w:rFonts w:hint="eastAsia" w:ascii="宋体" w:hAnsi="宋体" w:cs="宋体"/>
          <w:szCs w:val="24"/>
          <w:highlight w:val="none"/>
        </w:rPr>
        <w:t>14.3</w:t>
      </w:r>
      <w:r>
        <w:rPr>
          <w:rFonts w:hint="eastAsia" w:ascii="宋体" w:hAnsi="宋体" w:cs="宋体"/>
          <w:szCs w:val="24"/>
          <w:highlight w:val="none"/>
          <w:lang w:eastAsia="zh-CN"/>
        </w:rPr>
        <w:t>招标人</w:t>
      </w:r>
      <w:r>
        <w:rPr>
          <w:rFonts w:hint="eastAsia" w:ascii="宋体" w:hAnsi="宋体" w:cs="宋体"/>
          <w:szCs w:val="24"/>
          <w:highlight w:val="none"/>
        </w:rPr>
        <w:t>、</w:t>
      </w:r>
      <w:r>
        <w:rPr>
          <w:rFonts w:hint="eastAsia" w:ascii="宋体" w:hAnsi="宋体" w:cs="宋体"/>
          <w:szCs w:val="24"/>
          <w:highlight w:val="none"/>
          <w:lang w:eastAsia="zh-CN"/>
        </w:rPr>
        <w:t>招标代理机构</w:t>
      </w:r>
      <w:r>
        <w:rPr>
          <w:rFonts w:hint="eastAsia" w:ascii="宋体" w:hAnsi="宋体" w:cs="宋体"/>
          <w:szCs w:val="24"/>
          <w:highlight w:val="none"/>
        </w:rPr>
        <w:t>机构可以视情况延长投标文件提交的截止时间。在上述情况下，采购机构与投标人以前在投标截止期方面的全部权利、责任和义务，将适用于延长至新的投标截止期。</w:t>
      </w:r>
    </w:p>
    <w:p w14:paraId="11AE23BE">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2059E639">
      <w:pPr>
        <w:pStyle w:val="107"/>
        <w:spacing w:before="0"/>
        <w:ind w:firstLine="480" w:firstLineChars="200"/>
        <w:rPr>
          <w:rFonts w:hint="eastAsia" w:ascii="宋体" w:hAnsi="宋体" w:cs="宋体"/>
          <w:b/>
          <w:szCs w:val="24"/>
          <w:highlight w:val="none"/>
        </w:rPr>
      </w:pPr>
      <w:r>
        <w:rPr>
          <w:rFonts w:hint="eastAsia" w:hAnsi="宋体" w:cs="宋体"/>
          <w:sz w:val="24"/>
          <w:szCs w:val="24"/>
          <w:highlight w:val="none"/>
        </w:rPr>
        <w:t>本项目不接收备份投标文件，以线上递交的投标文件为准。</w:t>
      </w:r>
    </w:p>
    <w:p w14:paraId="64D9AF63">
      <w:pPr>
        <w:pStyle w:val="107"/>
        <w:spacing w:before="0"/>
        <w:ind w:firstLine="0" w:firstLineChars="0"/>
        <w:rPr>
          <w:rFonts w:ascii="宋体" w:hAnsi="宋体" w:cs="宋体"/>
          <w:b/>
          <w:szCs w:val="24"/>
          <w:highlight w:val="none"/>
        </w:rPr>
      </w:pPr>
      <w:r>
        <w:rPr>
          <w:rFonts w:hint="eastAsia" w:ascii="宋体" w:hAnsi="宋体" w:cs="宋体"/>
          <w:b/>
          <w:szCs w:val="24"/>
          <w:highlight w:val="none"/>
        </w:rPr>
        <w:t>16. 投标文件的无效处理</w:t>
      </w:r>
    </w:p>
    <w:p w14:paraId="2F2A6EEA">
      <w:pPr>
        <w:pStyle w:val="26"/>
        <w:spacing w:line="360" w:lineRule="auto"/>
        <w:ind w:firstLine="360" w:firstLineChars="150"/>
        <w:rPr>
          <w:rFonts w:cs="宋体"/>
          <w:szCs w:val="21"/>
          <w:highlight w:val="none"/>
        </w:rPr>
      </w:pPr>
      <w:r>
        <w:rPr>
          <w:rFonts w:hint="eastAsia" w:cs="宋体"/>
          <w:szCs w:val="21"/>
          <w:highlight w:val="none"/>
        </w:rPr>
        <w:t>有招标文件第四部分规定的情形之一的，投标无效。</w:t>
      </w:r>
    </w:p>
    <w:p w14:paraId="7DFD942F">
      <w:pPr>
        <w:pStyle w:val="107"/>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EFFCE12">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8E35C7D">
      <w:pPr>
        <w:pStyle w:val="107"/>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76C18018">
      <w:pPr>
        <w:pStyle w:val="107"/>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ACD2D2C">
      <w:pPr>
        <w:pStyle w:val="107"/>
        <w:spacing w:before="0"/>
        <w:ind w:firstLine="643"/>
        <w:rPr>
          <w:rFonts w:ascii="宋体" w:hAnsi="宋体" w:cs="宋体"/>
          <w:b/>
          <w:sz w:val="32"/>
          <w:highlight w:val="none"/>
        </w:rPr>
      </w:pPr>
    </w:p>
    <w:p w14:paraId="0564D7BD">
      <w:pPr>
        <w:pStyle w:val="107"/>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7998293A">
      <w:pPr>
        <w:pStyle w:val="260"/>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 开标</w:t>
      </w:r>
      <w:r>
        <w:rPr>
          <w:rFonts w:hint="eastAsia" w:ascii="宋体" w:hAnsi="宋体" w:cs="宋体"/>
          <w:sz w:val="24"/>
          <w:highlight w:val="none"/>
        </w:rPr>
        <w:t xml:space="preserve"> </w:t>
      </w:r>
    </w:p>
    <w:p w14:paraId="00E52DF7">
      <w:pPr>
        <w:pStyle w:val="26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472506C5">
      <w:pPr>
        <w:pStyle w:val="2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5E0A362">
      <w:pPr>
        <w:pStyle w:val="260"/>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投标文件未按时解密，视为投标文件撤回。</w:t>
      </w:r>
    </w:p>
    <w:p w14:paraId="104092CA">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 资格审查</w:t>
      </w:r>
    </w:p>
    <w:p w14:paraId="6A5F3DE2">
      <w:pPr>
        <w:snapToGrid w:val="0"/>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19.1开标后，</w:t>
      </w:r>
      <w:r>
        <w:rPr>
          <w:rFonts w:hint="eastAsia" w:ascii="宋体" w:hAnsi="宋体" w:cs="宋体"/>
          <w:kern w:val="0"/>
          <w:sz w:val="24"/>
          <w:szCs w:val="24"/>
          <w:highlight w:val="none"/>
          <w:lang w:eastAsia="zh-CN"/>
        </w:rPr>
        <w:t>评审小组</w:t>
      </w:r>
      <w:r>
        <w:rPr>
          <w:rFonts w:hint="eastAsia" w:ascii="宋体" w:hAnsi="宋体" w:cs="宋体"/>
          <w:kern w:val="0"/>
          <w:sz w:val="24"/>
          <w:szCs w:val="24"/>
          <w:highlight w:val="none"/>
        </w:rPr>
        <w:t>依据法律法规和招标文件的规定，对投标文件中的资格证明等进行审查，以确定投标人是否具备投标资格。</w:t>
      </w:r>
    </w:p>
    <w:p w14:paraId="237ED9BA">
      <w:pPr>
        <w:pStyle w:val="107"/>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E9FF594">
      <w:pPr>
        <w:pStyle w:val="107"/>
        <w:spacing w:before="0"/>
        <w:ind w:firstLine="480"/>
        <w:rPr>
          <w:rFonts w:hint="eastAsia" w:ascii="宋体" w:hAnsi="宋体" w:cs="宋体"/>
          <w:highlight w:val="none"/>
        </w:rPr>
      </w:pPr>
      <w:r>
        <w:rPr>
          <w:rFonts w:hint="eastAsia" w:ascii="宋体" w:hAnsi="宋体" w:cs="宋体"/>
          <w:highlight w:val="none"/>
          <w:lang w:val="en-US" w:eastAsia="zh-CN"/>
        </w:rPr>
        <w:t>19.3</w:t>
      </w:r>
      <w:r>
        <w:rPr>
          <w:rFonts w:hint="eastAsia" w:ascii="宋体" w:hAnsi="宋体" w:cs="宋体"/>
          <w:highlight w:val="none"/>
        </w:rPr>
        <w:t>资格性检查不合格的投标人则无须继续进行符合性检查，并且投标文件初审结论不合格。</w:t>
      </w:r>
    </w:p>
    <w:p w14:paraId="0F3A7D1B">
      <w:pPr>
        <w:pStyle w:val="107"/>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w:t>
      </w:r>
      <w:r>
        <w:rPr>
          <w:rFonts w:hint="eastAsia" w:ascii="宋体" w:hAnsi="宋体" w:cs="宋体"/>
          <w:highlight w:val="none"/>
          <w:lang w:eastAsia="zh-CN"/>
        </w:rPr>
        <w:t>将</w:t>
      </w:r>
      <w:r>
        <w:rPr>
          <w:rFonts w:hint="eastAsia" w:ascii="宋体" w:hAnsi="宋体" w:cs="宋体"/>
          <w:highlight w:val="none"/>
        </w:rPr>
        <w:t>告知其未通过的原因。</w:t>
      </w:r>
    </w:p>
    <w:p w14:paraId="3970B35D">
      <w:pPr>
        <w:pStyle w:val="107"/>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59A57240">
      <w:pPr>
        <w:pStyle w:val="107"/>
        <w:spacing w:before="0"/>
        <w:ind w:firstLine="0" w:firstLineChars="0"/>
        <w:rPr>
          <w:rFonts w:ascii="宋体" w:hAnsi="宋体" w:cs="宋体"/>
          <w:b/>
          <w:szCs w:val="24"/>
          <w:highlight w:val="none"/>
        </w:rPr>
      </w:pPr>
      <w:r>
        <w:rPr>
          <w:rFonts w:hint="eastAsia" w:ascii="宋体" w:hAnsi="宋体" w:cs="宋体"/>
          <w:b/>
          <w:szCs w:val="24"/>
          <w:highlight w:val="none"/>
        </w:rPr>
        <w:t>20. 信用信息查询</w:t>
      </w:r>
    </w:p>
    <w:p w14:paraId="0E10B20E">
      <w:pPr>
        <w:pStyle w:val="10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3711E9C9">
      <w:pPr>
        <w:pStyle w:val="10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w:t>
      </w:r>
      <w:r>
        <w:rPr>
          <w:rFonts w:hint="eastAsia" w:ascii="宋体" w:hAnsi="宋体" w:cs="宋体"/>
          <w:kern w:val="0"/>
          <w:szCs w:val="24"/>
          <w:highlight w:val="none"/>
          <w:lang w:eastAsia="zh-CN"/>
        </w:rPr>
        <w:t>招标文件</w:t>
      </w:r>
      <w:r>
        <w:rPr>
          <w:rFonts w:hint="eastAsia" w:ascii="宋体" w:hAnsi="宋体" w:cs="宋体"/>
          <w:kern w:val="0"/>
          <w:szCs w:val="24"/>
          <w:highlight w:val="none"/>
        </w:rPr>
        <w:t>一起存档。</w:t>
      </w:r>
    </w:p>
    <w:p w14:paraId="299CF935">
      <w:pPr>
        <w:pStyle w:val="10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5EEC9D5">
      <w:pPr>
        <w:pStyle w:val="107"/>
        <w:spacing w:before="0"/>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w:t>
      </w:r>
      <w:r>
        <w:rPr>
          <w:rFonts w:hint="eastAsia" w:ascii="宋体" w:hAnsi="宋体" w:cs="宋体"/>
          <w:kern w:val="0"/>
          <w:szCs w:val="24"/>
          <w:highlight w:val="none"/>
          <w:lang w:eastAsia="zh-CN"/>
        </w:rPr>
        <w:t>招标</w:t>
      </w:r>
      <w:r>
        <w:rPr>
          <w:rFonts w:hint="eastAsia" w:ascii="宋体" w:hAnsi="宋体" w:cs="宋体"/>
          <w:kern w:val="0"/>
          <w:szCs w:val="24"/>
          <w:highlight w:val="none"/>
        </w:rPr>
        <w:t>活动的，应当对所有联合体成员进行信用记录查询，联合体成员存在不良信用记录的，视同联合体存在不良信用记录</w:t>
      </w:r>
      <w:r>
        <w:rPr>
          <w:rFonts w:hint="eastAsia" w:ascii="宋体" w:hAnsi="宋体" w:cs="宋体"/>
          <w:highlight w:val="none"/>
        </w:rPr>
        <w:t>。</w:t>
      </w:r>
    </w:p>
    <w:p w14:paraId="42859ED3">
      <w:pPr>
        <w:pStyle w:val="107"/>
        <w:spacing w:before="0"/>
        <w:ind w:firstLine="480"/>
        <w:rPr>
          <w:rFonts w:hint="eastAsia" w:ascii="宋体" w:hAnsi="宋体" w:cs="宋体"/>
          <w:highlight w:val="none"/>
        </w:rPr>
      </w:pPr>
    </w:p>
    <w:p w14:paraId="7F036A3F">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31979320">
      <w:pPr>
        <w:spacing w:line="360" w:lineRule="auto"/>
        <w:rPr>
          <w:rFonts w:ascii="宋体" w:hAnsi="宋体" w:cs="宋体"/>
          <w:b/>
          <w:sz w:val="24"/>
          <w:highlight w:val="none"/>
        </w:rPr>
      </w:pPr>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15ECE74D">
      <w:pPr>
        <w:spacing w:line="360" w:lineRule="auto"/>
        <w:rPr>
          <w:rFonts w:ascii="宋体" w:hAnsi="宋体" w:cs="宋体"/>
          <w:b/>
          <w:sz w:val="24"/>
          <w:highlight w:val="none"/>
        </w:rPr>
      </w:pPr>
    </w:p>
    <w:p w14:paraId="321CB9A0">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5D7F62DB">
      <w:pPr>
        <w:pStyle w:val="26"/>
        <w:spacing w:line="360" w:lineRule="auto"/>
        <w:ind w:left="479" w:hanging="479" w:hangingChars="199"/>
        <w:rPr>
          <w:rFonts w:cs="宋体"/>
          <w:b/>
          <w:highlight w:val="none"/>
        </w:rPr>
      </w:pPr>
      <w:r>
        <w:rPr>
          <w:rFonts w:hint="eastAsia" w:cs="宋体"/>
          <w:b/>
          <w:highlight w:val="none"/>
        </w:rPr>
        <w:t>22. 确定中标供应商</w:t>
      </w:r>
    </w:p>
    <w:p w14:paraId="679572FE">
      <w:pPr>
        <w:pStyle w:val="107"/>
        <w:snapToGrid w:val="0"/>
        <w:spacing w:before="0"/>
        <w:ind w:firstLine="480"/>
        <w:rPr>
          <w:rFonts w:ascii="宋体" w:hAnsi="宋体" w:cs="宋体"/>
          <w:b/>
          <w:szCs w:val="24"/>
          <w:highlight w:val="none"/>
        </w:rPr>
      </w:pPr>
      <w:r>
        <w:rPr>
          <w:rFonts w:hint="eastAsia" w:ascii="宋体" w:hAnsi="宋体" w:cs="宋体"/>
          <w:szCs w:val="24"/>
          <w:highlight w:val="none"/>
          <w:lang w:eastAsia="zh-CN"/>
        </w:rPr>
        <w:t>本</w:t>
      </w:r>
      <w:r>
        <w:rPr>
          <w:rFonts w:hint="eastAsia" w:ascii="宋体" w:hAnsi="宋体" w:cs="宋体"/>
          <w:szCs w:val="24"/>
          <w:highlight w:val="none"/>
        </w:rPr>
        <w:t>采购项目实行全流程电子化，评审报告送交、采购结果确定和结果公告均在线完成。为进一步提升采购结果确定效率，</w:t>
      </w:r>
      <w:r>
        <w:rPr>
          <w:rFonts w:hint="eastAsia" w:ascii="宋体" w:hAnsi="宋体" w:cs="宋体"/>
          <w:szCs w:val="24"/>
          <w:highlight w:val="none"/>
          <w:lang w:eastAsia="zh-CN"/>
        </w:rPr>
        <w:t>招标代理机构</w:t>
      </w:r>
      <w:r>
        <w:rPr>
          <w:rFonts w:hint="eastAsia" w:ascii="宋体" w:hAnsi="宋体" w:cs="宋体"/>
          <w:szCs w:val="24"/>
          <w:highlight w:val="none"/>
        </w:rPr>
        <w:t>应当依法及时将评审报告在线送交</w:t>
      </w:r>
      <w:r>
        <w:rPr>
          <w:rFonts w:hint="eastAsia" w:ascii="宋体" w:hAnsi="宋体" w:cs="宋体"/>
          <w:szCs w:val="24"/>
          <w:highlight w:val="none"/>
          <w:lang w:eastAsia="zh-CN"/>
        </w:rPr>
        <w:t>招标人</w:t>
      </w:r>
      <w:r>
        <w:rPr>
          <w:rFonts w:hint="eastAsia" w:ascii="宋体" w:hAnsi="宋体" w:cs="宋体"/>
          <w:szCs w:val="24"/>
          <w:highlight w:val="none"/>
        </w:rPr>
        <w:t>。</w:t>
      </w:r>
      <w:r>
        <w:rPr>
          <w:rFonts w:hint="eastAsia" w:ascii="宋体" w:hAnsi="宋体" w:cs="宋体"/>
          <w:szCs w:val="24"/>
          <w:highlight w:val="none"/>
          <w:lang w:eastAsia="zh-CN"/>
        </w:rPr>
        <w:t>招标人</w:t>
      </w:r>
      <w:r>
        <w:rPr>
          <w:rFonts w:hint="eastAsia" w:ascii="宋体" w:hAnsi="宋体" w:cs="宋体"/>
          <w:szCs w:val="24"/>
          <w:highlight w:val="none"/>
        </w:rPr>
        <w:t>应当自收到评审报告之日起2个工作日内在线确定中标或者成交供应商。中标、成交通知书和中标、成交结果公告应当在规定时间内同时发出。</w:t>
      </w:r>
    </w:p>
    <w:p w14:paraId="4879AF46">
      <w:pPr>
        <w:pStyle w:val="107"/>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6E51CD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007E54FF">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w:t>
      </w:r>
      <w:r>
        <w:rPr>
          <w:rFonts w:hint="eastAsia" w:ascii="宋体" w:hAnsi="宋体" w:cs="宋体"/>
          <w:sz w:val="24"/>
          <w:highlight w:val="none"/>
          <w:lang w:val="en-US" w:eastAsia="zh-CN"/>
        </w:rPr>
        <w:t>评标结果经确认后进行</w:t>
      </w:r>
      <w:r>
        <w:rPr>
          <w:rFonts w:hint="eastAsia" w:ascii="宋体" w:hAnsi="宋体" w:cs="宋体"/>
          <w:sz w:val="24"/>
          <w:highlight w:val="none"/>
        </w:rPr>
        <w:t>结果</w:t>
      </w:r>
      <w:r>
        <w:rPr>
          <w:rFonts w:hint="eastAsia" w:ascii="宋体" w:hAnsi="宋体" w:cs="宋体"/>
          <w:sz w:val="24"/>
          <w:highlight w:val="none"/>
          <w:lang w:val="en-US" w:eastAsia="zh-CN"/>
        </w:rPr>
        <w:t>公示，公示</w:t>
      </w:r>
      <w:r>
        <w:rPr>
          <w:rFonts w:hint="eastAsia" w:ascii="宋体" w:hAnsi="宋体" w:cs="宋体"/>
          <w:sz w:val="24"/>
          <w:highlight w:val="none"/>
        </w:rPr>
        <w:t>内容包括</w:t>
      </w:r>
      <w:r>
        <w:rPr>
          <w:rFonts w:hint="eastAsia" w:ascii="宋体" w:hAnsi="宋体" w:cs="宋体"/>
          <w:sz w:val="24"/>
          <w:highlight w:val="none"/>
          <w:lang w:eastAsia="zh-CN"/>
        </w:rPr>
        <w:t>招标人</w:t>
      </w:r>
      <w:r>
        <w:rPr>
          <w:rFonts w:hint="eastAsia" w:ascii="宋体" w:hAnsi="宋体" w:cs="宋体"/>
          <w:sz w:val="24"/>
          <w:highlight w:val="none"/>
        </w:rPr>
        <w:t>及其</w:t>
      </w:r>
      <w:r>
        <w:rPr>
          <w:rFonts w:hint="eastAsia" w:ascii="宋体" w:hAnsi="宋体" w:cs="宋体"/>
          <w:sz w:val="24"/>
          <w:highlight w:val="none"/>
          <w:lang w:eastAsia="zh-CN"/>
        </w:rPr>
        <w:t>招标代理机构</w:t>
      </w:r>
      <w:r>
        <w:rPr>
          <w:rFonts w:hint="eastAsia" w:ascii="宋体" w:hAnsi="宋体" w:cs="宋体"/>
          <w:sz w:val="24"/>
          <w:highlight w:val="none"/>
        </w:rPr>
        <w:t>的名称、地址、联系方式，项目名称和项目编号，中标人名称和中标金额</w:t>
      </w:r>
      <w:r>
        <w:rPr>
          <w:rFonts w:hint="eastAsia" w:ascii="宋体" w:hAnsi="宋体" w:cs="宋体"/>
          <w:sz w:val="24"/>
          <w:highlight w:val="none"/>
          <w:lang w:val="en-US" w:eastAsia="zh-CN"/>
        </w:rPr>
        <w:t>等。</w:t>
      </w:r>
    </w:p>
    <w:p w14:paraId="527AF5E5">
      <w:pPr>
        <w:widowControl/>
        <w:shd w:val="clear" w:color="auto" w:fill="FFFFFF"/>
        <w:spacing w:line="360" w:lineRule="auto"/>
        <w:ind w:firstLine="480"/>
        <w:jc w:val="left"/>
        <w:rPr>
          <w:rFonts w:hint="default" w:ascii="宋体" w:hAnsi="宋体" w:eastAsia="宋体" w:cs="宋体"/>
          <w:sz w:val="24"/>
          <w:highlight w:val="none"/>
          <w:lang w:val="en-US" w:eastAsia="zh-CN"/>
        </w:rPr>
      </w:pPr>
      <w:r>
        <w:rPr>
          <w:rFonts w:hint="eastAsia" w:ascii="宋体" w:hAnsi="宋体" w:cs="宋体"/>
          <w:sz w:val="24"/>
          <w:highlight w:val="none"/>
        </w:rPr>
        <w:t>23.3公告期限为</w:t>
      </w:r>
      <w:r>
        <w:rPr>
          <w:rFonts w:hint="eastAsia" w:ascii="宋体" w:hAnsi="宋体" w:cs="宋体"/>
          <w:sz w:val="24"/>
          <w:highlight w:val="none"/>
          <w:lang w:val="en-US" w:eastAsia="zh-CN"/>
        </w:rPr>
        <w:t>3</w:t>
      </w:r>
      <w:r>
        <w:rPr>
          <w:rFonts w:hint="eastAsia" w:ascii="宋体" w:hAnsi="宋体" w:cs="宋体"/>
          <w:sz w:val="24"/>
          <w:highlight w:val="none"/>
        </w:rPr>
        <w:t>个工作日。</w:t>
      </w:r>
      <w:r>
        <w:rPr>
          <w:rFonts w:hint="eastAsia" w:ascii="宋体" w:hAnsi="宋体" w:cs="宋体"/>
          <w:sz w:val="24"/>
          <w:highlight w:val="none"/>
          <w:lang w:val="en-US" w:eastAsia="zh-CN"/>
        </w:rPr>
        <w:t>其中中标结果公示期限3个工作日，中标结果公告期限1个工作日。</w:t>
      </w:r>
    </w:p>
    <w:p w14:paraId="7E443287">
      <w:pPr>
        <w:snapToGrid w:val="0"/>
        <w:spacing w:line="360" w:lineRule="auto"/>
        <w:ind w:left="120" w:leftChars="57" w:firstLine="482" w:firstLineChars="150"/>
        <w:jc w:val="center"/>
        <w:rPr>
          <w:rFonts w:ascii="宋体" w:hAnsi="宋体" w:cs="宋体"/>
          <w:b/>
          <w:sz w:val="32"/>
          <w:highlight w:val="none"/>
        </w:rPr>
      </w:pPr>
    </w:p>
    <w:p w14:paraId="64AB60B7">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502D8095">
      <w:pPr>
        <w:pStyle w:val="26"/>
        <w:spacing w:line="360" w:lineRule="auto"/>
        <w:ind w:left="479" w:hanging="479" w:hangingChars="199"/>
        <w:rPr>
          <w:rFonts w:cs="宋体"/>
          <w:b/>
          <w:highlight w:val="none"/>
        </w:rPr>
      </w:pPr>
      <w:r>
        <w:rPr>
          <w:rFonts w:hint="eastAsia" w:cs="宋体"/>
          <w:b/>
          <w:highlight w:val="none"/>
        </w:rPr>
        <w:t>24. 合同主要条款详见第五部分拟签订的合同文本。</w:t>
      </w:r>
    </w:p>
    <w:p w14:paraId="478FF4FC">
      <w:pPr>
        <w:pStyle w:val="26"/>
        <w:spacing w:line="360" w:lineRule="auto"/>
        <w:ind w:left="479" w:hanging="479" w:hangingChars="199"/>
        <w:rPr>
          <w:rFonts w:cs="宋体"/>
          <w:b/>
          <w:highlight w:val="none"/>
        </w:rPr>
      </w:pPr>
      <w:r>
        <w:rPr>
          <w:rFonts w:hint="eastAsia" w:cs="宋体"/>
          <w:b/>
          <w:highlight w:val="none"/>
        </w:rPr>
        <w:t>25. 合同的签订</w:t>
      </w:r>
    </w:p>
    <w:p w14:paraId="28DDDA01">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w:t>
      </w:r>
      <w:r>
        <w:rPr>
          <w:rFonts w:hint="eastAsia" w:ascii="宋体" w:hAnsi="宋体" w:cs="宋体"/>
          <w:kern w:val="0"/>
          <w:sz w:val="24"/>
          <w:highlight w:val="none"/>
          <w:lang w:eastAsia="zh-CN"/>
        </w:rPr>
        <w:t>招标人</w:t>
      </w:r>
      <w:r>
        <w:rPr>
          <w:rFonts w:hint="eastAsia" w:ascii="宋体" w:hAnsi="宋体" w:cs="宋体"/>
          <w:kern w:val="0"/>
          <w:sz w:val="24"/>
          <w:highlight w:val="none"/>
        </w:rPr>
        <w:t>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highlight w:val="none"/>
          <w:lang w:eastAsia="zh-CN"/>
        </w:rPr>
        <w:t>临采云</w:t>
      </w:r>
      <w:r>
        <w:rPr>
          <w:rFonts w:hint="eastAsia" w:ascii="宋体" w:hAnsi="宋体" w:cs="宋体"/>
          <w:kern w:val="0"/>
          <w:sz w:val="24"/>
          <w:highlight w:val="none"/>
        </w:rPr>
        <w:t>网上公告。</w:t>
      </w:r>
    </w:p>
    <w:p w14:paraId="154B8A3C">
      <w:pPr>
        <w:pStyle w:val="107"/>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25.2中标人按规定的日期、时间、地点，由法定代表人或其授权代表与招标人代表签订合同。如中标人为联合体的，由联合体成员各方法定代表人或其授权代表与招标人代表签订合同。</w:t>
      </w:r>
    </w:p>
    <w:p w14:paraId="6290A965">
      <w:pPr>
        <w:pStyle w:val="107"/>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6FFE7B36">
      <w:pPr>
        <w:pStyle w:val="107"/>
        <w:snapToGrid w:val="0"/>
        <w:spacing w:before="0"/>
        <w:ind w:firstLine="480"/>
        <w:rPr>
          <w:rFonts w:ascii="宋体" w:hAnsi="宋体" w:cs="宋体"/>
          <w:highlight w:val="none"/>
        </w:rPr>
      </w:pPr>
      <w:r>
        <w:rPr>
          <w:rFonts w:hint="eastAsia" w:ascii="宋体" w:hAnsi="宋体" w:cs="宋体"/>
          <w:highlight w:val="none"/>
        </w:rPr>
        <w:t>25.4中标供应商拒绝与</w:t>
      </w:r>
      <w:r>
        <w:rPr>
          <w:rFonts w:hint="eastAsia" w:ascii="宋体" w:hAnsi="宋体" w:cs="宋体"/>
          <w:highlight w:val="none"/>
          <w:lang w:eastAsia="zh-CN"/>
        </w:rPr>
        <w:t>招标人</w:t>
      </w:r>
      <w:r>
        <w:rPr>
          <w:rFonts w:hint="eastAsia" w:ascii="宋体" w:hAnsi="宋体" w:cs="宋体"/>
          <w:highlight w:val="none"/>
        </w:rPr>
        <w:t>签订合同的，</w:t>
      </w:r>
      <w:r>
        <w:rPr>
          <w:rFonts w:hint="eastAsia" w:ascii="宋体" w:hAnsi="宋体" w:cs="宋体"/>
          <w:highlight w:val="none"/>
          <w:lang w:eastAsia="zh-CN"/>
        </w:rPr>
        <w:t>招标人</w:t>
      </w:r>
      <w:r>
        <w:rPr>
          <w:rFonts w:hint="eastAsia" w:ascii="宋体" w:hAnsi="宋体" w:cs="宋体"/>
          <w:highlight w:val="none"/>
        </w:rPr>
        <w:t>可以按照评审报告推荐的中标或者成交候选人名单排序，确定下一候选人为中标供应商，也可以重新开展采购活动。</w:t>
      </w:r>
    </w:p>
    <w:p w14:paraId="1FA8B1CA">
      <w:pPr>
        <w:pStyle w:val="107"/>
        <w:snapToGrid w:val="0"/>
        <w:spacing w:before="0" w:after="120"/>
        <w:ind w:firstLine="480"/>
        <w:rPr>
          <w:rFonts w:ascii="宋体" w:hAnsi="宋体" w:cs="宋体"/>
          <w:highlight w:val="none"/>
        </w:rPr>
      </w:pPr>
      <w:r>
        <w:rPr>
          <w:rFonts w:hint="eastAsia" w:ascii="宋体" w:hAnsi="宋体" w:cs="宋体"/>
          <w:highlight w:val="none"/>
        </w:rPr>
        <w:t>25.5采购合同由</w:t>
      </w:r>
      <w:r>
        <w:rPr>
          <w:rFonts w:hint="eastAsia" w:ascii="宋体" w:hAnsi="宋体" w:cs="宋体"/>
          <w:highlight w:val="none"/>
          <w:lang w:eastAsia="zh-CN"/>
        </w:rPr>
        <w:t>招标人</w:t>
      </w:r>
      <w:r>
        <w:rPr>
          <w:rFonts w:hint="eastAsia" w:ascii="宋体" w:hAnsi="宋体" w:cs="宋体"/>
          <w:highlight w:val="none"/>
        </w:rPr>
        <w:t>与中标供应商根据招标文件、投标文件等内容通过采购电子交易平台在线签订，自动备案。</w:t>
      </w:r>
    </w:p>
    <w:p w14:paraId="6ED93829">
      <w:pPr>
        <w:pStyle w:val="26"/>
        <w:spacing w:line="360" w:lineRule="auto"/>
        <w:ind w:left="479" w:hanging="479" w:hangingChars="199"/>
        <w:rPr>
          <w:rFonts w:cs="宋体"/>
          <w:b/>
          <w:highlight w:val="none"/>
        </w:rPr>
      </w:pPr>
      <w:r>
        <w:rPr>
          <w:rFonts w:hint="eastAsia" w:cs="宋体"/>
          <w:b/>
          <w:highlight w:val="none"/>
        </w:rPr>
        <w:t>26. 履约保证金</w:t>
      </w:r>
    </w:p>
    <w:p w14:paraId="2A05855A">
      <w:pPr>
        <w:tabs>
          <w:tab w:val="left" w:pos="0"/>
        </w:tabs>
        <w:spacing w:line="360" w:lineRule="auto"/>
        <w:ind w:firstLine="482"/>
        <w:rPr>
          <w:rFonts w:hint="eastAsia" w:ascii="宋体" w:hAnsi="宋体" w:eastAsia="宋体" w:cs="宋体"/>
          <w:sz w:val="24"/>
          <w:highlight w:val="none"/>
          <w:lang w:eastAsia="zh-CN"/>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。鼓励和支持供应商以银行、保险公司出具的保函形式提供履约保证金。</w:t>
      </w:r>
      <w:r>
        <w:rPr>
          <w:rFonts w:hint="eastAsia" w:ascii="宋体" w:hAnsi="宋体" w:cs="宋体"/>
          <w:sz w:val="24"/>
          <w:highlight w:val="none"/>
          <w:lang w:eastAsia="zh-CN"/>
        </w:rPr>
        <w:t>招标人</w:t>
      </w:r>
      <w:r>
        <w:rPr>
          <w:rFonts w:hint="eastAsia" w:ascii="宋体" w:hAnsi="宋体" w:cs="宋体"/>
          <w:sz w:val="24"/>
          <w:highlight w:val="none"/>
        </w:rPr>
        <w:t>不得拒收履约保函，项目验收结束后应及时退还，延迟退还的，应当按照合同约定和法律规定承担相应的赔偿责任。</w:t>
      </w:r>
    </w:p>
    <w:bookmarkEnd w:id="13"/>
    <w:p w14:paraId="29E362C4">
      <w:pPr>
        <w:snapToGrid w:val="0"/>
        <w:spacing w:line="360" w:lineRule="auto"/>
        <w:jc w:val="center"/>
        <w:rPr>
          <w:rFonts w:hint="eastAsia" w:ascii="宋体" w:hAnsi="宋体" w:cs="宋体"/>
          <w:b/>
          <w:sz w:val="32"/>
          <w:highlight w:val="none"/>
        </w:rPr>
      </w:pPr>
    </w:p>
    <w:p w14:paraId="289B1DD9">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4D50C570">
      <w:pPr>
        <w:pStyle w:val="107"/>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480C91E7">
      <w:pPr>
        <w:pStyle w:val="107"/>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1C0736EC">
      <w:pPr>
        <w:pStyle w:val="107"/>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486C2E3C">
      <w:pPr>
        <w:pStyle w:val="107"/>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4BC58E7A">
      <w:pPr>
        <w:pStyle w:val="107"/>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17A25527">
      <w:pPr>
        <w:pStyle w:val="107"/>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750D0DBF">
      <w:pPr>
        <w:pStyle w:val="107"/>
        <w:snapToGrid w:val="0"/>
        <w:spacing w:before="0"/>
        <w:ind w:firstLine="0" w:firstLineChars="0"/>
        <w:rPr>
          <w:rFonts w:ascii="宋体" w:hAnsi="宋体" w:cs="宋体"/>
          <w:b/>
          <w:bCs/>
          <w:highlight w:val="none"/>
        </w:rPr>
      </w:pPr>
      <w:r>
        <w:rPr>
          <w:rFonts w:hint="eastAsia" w:ascii="宋体" w:hAnsi="宋体" w:cs="宋体"/>
          <w:b/>
          <w:bCs/>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B57B4D">
      <w:pPr>
        <w:tabs>
          <w:tab w:val="left" w:pos="0"/>
        </w:tabs>
        <w:spacing w:line="360" w:lineRule="auto"/>
        <w:ind w:firstLine="480"/>
        <w:rPr>
          <w:rFonts w:ascii="宋体" w:hAnsi="宋体" w:cs="宋体"/>
          <w:sz w:val="24"/>
          <w:highlight w:val="none"/>
        </w:rPr>
      </w:pPr>
    </w:p>
    <w:p w14:paraId="01408D41">
      <w:pPr>
        <w:jc w:val="left"/>
        <w:rPr>
          <w:rFonts w:ascii="宋体" w:hAnsi="宋体" w:cs="宋体"/>
          <w:b/>
          <w:sz w:val="32"/>
          <w:highlight w:val="none"/>
        </w:rPr>
      </w:pPr>
      <w:r>
        <w:rPr>
          <w:rFonts w:hint="eastAsia" w:ascii="宋体" w:hAnsi="宋体" w:cs="宋体"/>
          <w:b/>
          <w:sz w:val="32"/>
          <w:highlight w:val="none"/>
        </w:rPr>
        <w:t xml:space="preserve">                      九、验收</w:t>
      </w:r>
    </w:p>
    <w:p w14:paraId="208EA0AA">
      <w:pPr>
        <w:pStyle w:val="26"/>
        <w:spacing w:line="360" w:lineRule="auto"/>
        <w:ind w:firstLine="0" w:firstLineChars="0"/>
        <w:rPr>
          <w:rFonts w:cs="宋体"/>
          <w:b/>
          <w:highlight w:val="none"/>
        </w:rPr>
      </w:pPr>
      <w:r>
        <w:rPr>
          <w:rFonts w:hint="eastAsia" w:cs="宋体"/>
          <w:b/>
          <w:highlight w:val="none"/>
        </w:rPr>
        <w:t>29.验收</w:t>
      </w:r>
    </w:p>
    <w:p w14:paraId="2F09AB16">
      <w:pPr>
        <w:tabs>
          <w:tab w:val="left" w:pos="0"/>
        </w:tabs>
        <w:spacing w:line="360" w:lineRule="auto"/>
        <w:ind w:firstLine="480"/>
        <w:rPr>
          <w:rFonts w:hint="eastAsia" w:ascii="宋体" w:hAnsi="宋体" w:eastAsia="宋体" w:cs="宋体"/>
          <w:kern w:val="0"/>
          <w:sz w:val="24"/>
          <w:highlight w:val="none"/>
          <w:lang w:eastAsia="zh-CN"/>
        </w:rPr>
      </w:pPr>
      <w:r>
        <w:rPr>
          <w:rFonts w:hint="eastAsia" w:ascii="宋体" w:hAnsi="宋体" w:cs="宋体"/>
          <w:kern w:val="0"/>
          <w:sz w:val="24"/>
          <w:highlight w:val="none"/>
        </w:rPr>
        <w:t>29.1</w:t>
      </w:r>
      <w:r>
        <w:rPr>
          <w:rFonts w:hint="eastAsia" w:ascii="宋体" w:hAnsi="宋体" w:cs="宋体"/>
          <w:kern w:val="0"/>
          <w:sz w:val="24"/>
          <w:highlight w:val="none"/>
          <w:lang w:eastAsia="zh-CN"/>
        </w:rPr>
        <w:t>招标人或合同签订单位</w:t>
      </w:r>
      <w:r>
        <w:rPr>
          <w:rFonts w:hint="eastAsia" w:ascii="宋体" w:hAnsi="宋体" w:cs="宋体"/>
          <w:kern w:val="0"/>
          <w:sz w:val="24"/>
          <w:highlight w:val="none"/>
        </w:rPr>
        <w:t>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ascii="宋体" w:hAnsi="宋体" w:cs="宋体"/>
          <w:kern w:val="0"/>
          <w:sz w:val="24"/>
          <w:highlight w:val="none"/>
          <w:lang w:eastAsia="zh-CN"/>
        </w:rPr>
        <w:t>具体以实际要求为准</w:t>
      </w:r>
    </w:p>
    <w:p w14:paraId="6CE5082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w:t>
      </w:r>
      <w:r>
        <w:rPr>
          <w:rFonts w:hint="eastAsia" w:ascii="宋体" w:hAnsi="宋体" w:cs="宋体"/>
          <w:kern w:val="0"/>
          <w:sz w:val="24"/>
          <w:highlight w:val="none"/>
          <w:lang w:eastAsia="zh-CN"/>
        </w:rPr>
        <w:t>招标人或合同签订单位</w:t>
      </w:r>
      <w:r>
        <w:rPr>
          <w:rFonts w:hint="eastAsia" w:ascii="宋体" w:hAnsi="宋体" w:cs="宋体"/>
          <w:kern w:val="0"/>
          <w:sz w:val="24"/>
          <w:highlight w:val="none"/>
        </w:rPr>
        <w:t>可以邀请参加本项目的其他投标人或者第三方机构参与验收。参与验收的投标人或者第三方机构的意见作为验收书的参考资料一并存档。</w:t>
      </w:r>
    </w:p>
    <w:p w14:paraId="6986E94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w:t>
      </w:r>
      <w:r>
        <w:rPr>
          <w:rFonts w:hint="eastAsia" w:ascii="宋体" w:hAnsi="宋体" w:cs="宋体"/>
          <w:kern w:val="0"/>
          <w:sz w:val="24"/>
          <w:highlight w:val="none"/>
          <w:lang w:eastAsia="zh-CN"/>
        </w:rPr>
        <w:t>招标人或合同签订单位</w:t>
      </w:r>
      <w:r>
        <w:rPr>
          <w:rFonts w:hint="eastAsia" w:ascii="宋体" w:hAnsi="宋体" w:cs="宋体"/>
          <w:kern w:val="0"/>
          <w:sz w:val="24"/>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B51B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29.4验收合格的项目，</w:t>
      </w:r>
      <w:r>
        <w:rPr>
          <w:rFonts w:hint="eastAsia" w:ascii="宋体" w:hAnsi="宋体" w:cs="宋体"/>
          <w:kern w:val="0"/>
          <w:sz w:val="24"/>
          <w:highlight w:val="none"/>
          <w:lang w:eastAsia="zh-CN"/>
        </w:rPr>
        <w:t>招标人或合同签订单位</w:t>
      </w:r>
      <w:r>
        <w:rPr>
          <w:rFonts w:hint="eastAsia" w:ascii="宋体" w:hAnsi="宋体" w:cs="宋体"/>
          <w:kern w:val="0"/>
          <w:sz w:val="24"/>
          <w:highlight w:val="none"/>
        </w:rPr>
        <w:t>将根据采购合同的约定及时向供应商支付采购资金、退还履约保证金。验收不合格的项目，</w:t>
      </w:r>
      <w:r>
        <w:rPr>
          <w:rFonts w:hint="eastAsia" w:ascii="宋体" w:hAnsi="宋体" w:cs="宋体"/>
          <w:kern w:val="0"/>
          <w:sz w:val="24"/>
          <w:highlight w:val="none"/>
          <w:lang w:eastAsia="zh-CN"/>
        </w:rPr>
        <w:t>招标人或合同签订单位</w:t>
      </w:r>
      <w:r>
        <w:rPr>
          <w:rFonts w:hint="eastAsia" w:ascii="宋体" w:hAnsi="宋体" w:cs="宋体"/>
          <w:kern w:val="0"/>
          <w:sz w:val="24"/>
          <w:highlight w:val="none"/>
        </w:rPr>
        <w:t>将依法及时处理。采购合同的履行、违约责任和解决争议的方式等适用《中华人民共和国民法典》。供应商在履约过程中有法律法规规定的违法违规情形的，</w:t>
      </w:r>
      <w:r>
        <w:rPr>
          <w:rFonts w:hint="eastAsia" w:ascii="宋体" w:hAnsi="宋体" w:cs="宋体"/>
          <w:kern w:val="0"/>
          <w:sz w:val="24"/>
          <w:highlight w:val="none"/>
          <w:lang w:eastAsia="zh-CN"/>
        </w:rPr>
        <w:t>招标人或合同签订单位</w:t>
      </w:r>
      <w:r>
        <w:rPr>
          <w:rFonts w:hint="eastAsia" w:ascii="宋体" w:hAnsi="宋体" w:cs="宋体"/>
          <w:kern w:val="0"/>
          <w:sz w:val="24"/>
          <w:highlight w:val="none"/>
        </w:rPr>
        <w:t>应当及时报告本级</w:t>
      </w:r>
      <w:r>
        <w:rPr>
          <w:rFonts w:hint="eastAsia" w:ascii="宋体" w:hAnsi="宋体" w:cs="宋体"/>
          <w:kern w:val="0"/>
          <w:sz w:val="24"/>
          <w:highlight w:val="none"/>
          <w:lang w:eastAsia="zh-CN"/>
        </w:rPr>
        <w:t>监管</w:t>
      </w:r>
      <w:r>
        <w:rPr>
          <w:rFonts w:hint="eastAsia" w:ascii="宋体" w:hAnsi="宋体" w:cs="宋体"/>
          <w:kern w:val="0"/>
          <w:sz w:val="24"/>
          <w:highlight w:val="none"/>
        </w:rPr>
        <w:t>部门。</w:t>
      </w:r>
    </w:p>
    <w:p w14:paraId="15816F15">
      <w:pPr>
        <w:pStyle w:val="61"/>
        <w:rPr>
          <w:highlight w:val="none"/>
        </w:rPr>
      </w:pPr>
    </w:p>
    <w:p w14:paraId="75CDDE5D">
      <w:pPr>
        <w:rPr>
          <w:highlight w:val="none"/>
        </w:rPr>
      </w:pPr>
    </w:p>
    <w:p w14:paraId="134A3C6F">
      <w:pPr>
        <w:numPr>
          <w:ilvl w:val="-1"/>
          <w:numId w:val="0"/>
        </w:numPr>
        <w:spacing w:line="240" w:lineRule="auto"/>
        <w:jc w:val="left"/>
        <w:outlineLvl w:val="9"/>
        <w:rPr>
          <w:rFonts w:ascii="宋体" w:hAnsi="宋体" w:cs="宋体"/>
          <w:b/>
          <w:sz w:val="36"/>
          <w:szCs w:val="36"/>
          <w:highlight w:val="none"/>
        </w:rPr>
      </w:pPr>
    </w:p>
    <w:p w14:paraId="639972AF">
      <w:pPr>
        <w:numPr>
          <w:ilvl w:val="-1"/>
          <w:numId w:val="0"/>
        </w:numPr>
        <w:spacing w:line="240" w:lineRule="auto"/>
        <w:jc w:val="left"/>
        <w:outlineLvl w:val="9"/>
        <w:rPr>
          <w:rFonts w:ascii="宋体" w:hAnsi="宋体" w:cs="宋体"/>
          <w:b/>
          <w:sz w:val="36"/>
          <w:szCs w:val="36"/>
          <w:highlight w:val="none"/>
        </w:rPr>
      </w:pPr>
      <w:r>
        <w:rPr>
          <w:rFonts w:hint="eastAsia" w:ascii="宋体" w:hAnsi="宋体" w:cs="宋体"/>
          <w:b/>
          <w:sz w:val="36"/>
          <w:szCs w:val="36"/>
          <w:highlight w:val="none"/>
        </w:rPr>
        <w:br w:type="page"/>
      </w:r>
    </w:p>
    <w:p w14:paraId="68DF0261">
      <w:pPr>
        <w:numPr>
          <w:ilvl w:val="0"/>
          <w:numId w:val="4"/>
        </w:num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 采购需求</w:t>
      </w:r>
    </w:p>
    <w:p w14:paraId="60FF9B31">
      <w:pPr>
        <w:pStyle w:val="15"/>
        <w:rPr>
          <w:rFonts w:hint="eastAsia" w:ascii="宋体" w:hAnsi="宋体" w:cs="宋体"/>
          <w:b/>
          <w:sz w:val="36"/>
          <w:szCs w:val="36"/>
          <w:highlight w:val="none"/>
        </w:rPr>
      </w:pPr>
    </w:p>
    <w:p w14:paraId="702820DC">
      <w:pPr>
        <w:numPr>
          <w:ilvl w:val="0"/>
          <w:numId w:val="0"/>
        </w:numPr>
        <w:adjustRightInd w:val="0"/>
        <w:spacing w:line="360" w:lineRule="auto"/>
        <w:textAlignment w:val="baseline"/>
        <w:rPr>
          <w:b/>
          <w:color w:val="000000"/>
          <w:sz w:val="28"/>
          <w:szCs w:val="28"/>
          <w:highlight w:val="none"/>
        </w:rPr>
      </w:pPr>
      <w:r>
        <w:rPr>
          <w:rFonts w:hint="eastAsia"/>
          <w:b/>
          <w:color w:val="000000"/>
          <w:sz w:val="28"/>
          <w:szCs w:val="28"/>
          <w:highlight w:val="none"/>
          <w:lang w:val="en-US" w:eastAsia="zh-CN"/>
        </w:rPr>
        <w:t>一、</w:t>
      </w:r>
      <w:r>
        <w:rPr>
          <w:rFonts w:hint="eastAsia"/>
          <w:b/>
          <w:color w:val="000000"/>
          <w:sz w:val="28"/>
          <w:szCs w:val="28"/>
          <w:highlight w:val="none"/>
          <w:lang w:eastAsia="zh-CN"/>
        </w:rPr>
        <w:t>采购内容</w:t>
      </w:r>
    </w:p>
    <w:p w14:paraId="011F2B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以下内容带“●”条款为实质性条款，投标人须提供《采购需求实质性内容响应表》（格式见</w:t>
      </w:r>
      <w:r>
        <w:rPr>
          <w:rFonts w:hint="eastAsia" w:ascii="宋体" w:hAnsi="宋体" w:eastAsia="宋体" w:cs="宋体"/>
          <w:color w:val="000000"/>
          <w:sz w:val="24"/>
          <w:szCs w:val="24"/>
          <w:highlight w:val="none"/>
          <w:lang w:val="en-US" w:eastAsia="zh-CN"/>
        </w:rPr>
        <w:t xml:space="preserve">  第五部分投标</w:t>
      </w:r>
      <w:r>
        <w:rPr>
          <w:rFonts w:hint="eastAsia" w:ascii="宋体" w:hAnsi="宋体" w:eastAsia="宋体" w:cs="宋体"/>
          <w:color w:val="000000"/>
          <w:sz w:val="24"/>
          <w:szCs w:val="24"/>
          <w:highlight w:val="none"/>
        </w:rPr>
        <w:t>文件格式），如有任意一条未响应或不满足，将被视为无效。</w:t>
      </w:r>
    </w:p>
    <w:p w14:paraId="2202A2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color w:val="000000"/>
          <w:sz w:val="24"/>
          <w:szCs w:val="24"/>
          <w:highlight w:val="none"/>
          <w:lang w:val="en-US" w:eastAsia="zh-CN"/>
        </w:rPr>
      </w:pPr>
      <w:r>
        <w:rPr>
          <w:rFonts w:hint="eastAsia" w:ascii="宋体" w:hAnsi="宋体" w:cs="宋体"/>
          <w:sz w:val="24"/>
          <w:szCs w:val="24"/>
          <w:lang w:eastAsia="zh-CN"/>
        </w:rPr>
        <w:t>3号泵站及进出水管改造（泵站维修提升）工程</w:t>
      </w:r>
      <w:r>
        <w:rPr>
          <w:rFonts w:hint="eastAsia" w:ascii="宋体" w:hAnsi="宋体" w:eastAsia="宋体" w:cs="宋体"/>
          <w:sz w:val="24"/>
          <w:szCs w:val="24"/>
          <w:lang w:eastAsia="zh-CN"/>
        </w:rPr>
        <w:t>项目</w:t>
      </w:r>
      <w:r>
        <w:rPr>
          <w:rFonts w:hint="eastAsia" w:ascii="宋体" w:hAnsi="宋体" w:cs="宋体"/>
          <w:sz w:val="24"/>
          <w:szCs w:val="24"/>
          <w:lang w:val="en-US" w:eastAsia="zh-CN"/>
        </w:rPr>
        <w:t>为设备采购标</w:t>
      </w:r>
      <w:r>
        <w:rPr>
          <w:rFonts w:hint="eastAsia" w:ascii="宋体" w:hAnsi="宋体" w:eastAsia="宋体" w:cs="宋体"/>
          <w:sz w:val="24"/>
          <w:szCs w:val="24"/>
        </w:rPr>
        <w:t>，请充分考虑各种费用，</w:t>
      </w:r>
      <w:r>
        <w:rPr>
          <w:rFonts w:hint="eastAsia" w:ascii="宋体" w:hAnsi="宋体" w:cs="宋体"/>
          <w:color w:val="000000"/>
          <w:sz w:val="24"/>
          <w:szCs w:val="24"/>
          <w:highlight w:val="none"/>
          <w:lang w:eastAsia="zh-CN"/>
        </w:rPr>
        <w:t>采购内容包括不限于设备</w:t>
      </w:r>
      <w:r>
        <w:rPr>
          <w:rFonts w:hint="eastAsia" w:ascii="宋体" w:hAnsi="宋体" w:cs="宋体"/>
          <w:color w:val="000000"/>
          <w:sz w:val="24"/>
          <w:szCs w:val="24"/>
          <w:highlight w:val="none"/>
          <w:lang w:val="en-US" w:eastAsia="zh-CN"/>
        </w:rPr>
        <w:t>供货</w:t>
      </w:r>
      <w:r>
        <w:rPr>
          <w:rFonts w:hint="eastAsia" w:ascii="宋体" w:hAnsi="宋体" w:cs="宋体"/>
          <w:color w:val="000000"/>
          <w:sz w:val="24"/>
          <w:szCs w:val="24"/>
          <w:highlight w:val="none"/>
          <w:lang w:eastAsia="zh-CN"/>
        </w:rPr>
        <w:t>、装卸、</w:t>
      </w:r>
      <w:r>
        <w:rPr>
          <w:rFonts w:hint="eastAsia" w:ascii="宋体" w:hAnsi="宋体" w:cs="宋体"/>
          <w:color w:val="000000"/>
          <w:sz w:val="24"/>
          <w:szCs w:val="24"/>
          <w:highlight w:val="none"/>
          <w:lang w:val="en-US" w:eastAsia="zh-CN"/>
        </w:rPr>
        <w:t>指导</w:t>
      </w:r>
      <w:r>
        <w:rPr>
          <w:rFonts w:hint="eastAsia" w:ascii="宋体" w:hAnsi="宋体" w:cs="宋体"/>
          <w:color w:val="000000"/>
          <w:sz w:val="24"/>
          <w:szCs w:val="24"/>
          <w:highlight w:val="none"/>
          <w:lang w:eastAsia="zh-CN"/>
        </w:rPr>
        <w:t>安装、</w:t>
      </w:r>
      <w:r>
        <w:rPr>
          <w:rFonts w:hint="eastAsia" w:ascii="宋体" w:hAnsi="宋体" w:eastAsia="宋体" w:cs="宋体"/>
          <w:sz w:val="24"/>
          <w:szCs w:val="24"/>
        </w:rPr>
        <w:t>软件编制(包括知识产权)系统组态</w:t>
      </w:r>
      <w:r>
        <w:rPr>
          <w:rFonts w:hint="eastAsia" w:ascii="宋体" w:hAnsi="宋体" w:cs="宋体"/>
          <w:sz w:val="24"/>
          <w:szCs w:val="24"/>
          <w:lang w:eastAsia="zh-CN"/>
        </w:rPr>
        <w:t>、</w:t>
      </w:r>
      <w:r>
        <w:rPr>
          <w:rFonts w:hint="eastAsia" w:ascii="宋体" w:hAnsi="宋体" w:cs="宋体"/>
          <w:color w:val="000000"/>
          <w:sz w:val="24"/>
          <w:szCs w:val="24"/>
          <w:highlight w:val="none"/>
          <w:lang w:eastAsia="zh-CN"/>
        </w:rPr>
        <w:t>调试及所有附属设施材料（包括列入清单备注的材料及配件）、</w:t>
      </w:r>
      <w:r>
        <w:rPr>
          <w:rFonts w:hint="eastAsia" w:ascii="宋体" w:hAnsi="宋体" w:eastAsia="宋体" w:cs="宋体"/>
          <w:sz w:val="24"/>
          <w:szCs w:val="24"/>
        </w:rPr>
        <w:t>人员培训、售后服务</w:t>
      </w:r>
      <w:r>
        <w:rPr>
          <w:rFonts w:hint="eastAsia" w:ascii="宋体" w:hAnsi="宋体" w:cs="宋体"/>
          <w:sz w:val="24"/>
          <w:szCs w:val="24"/>
          <w:lang w:eastAsia="zh-CN"/>
        </w:rPr>
        <w:t>。</w:t>
      </w:r>
      <w:r>
        <w:rPr>
          <w:rFonts w:hint="eastAsia" w:ascii="宋体" w:hAnsi="宋体" w:eastAsia="宋体" w:cs="宋体"/>
          <w:sz w:val="24"/>
          <w:szCs w:val="24"/>
        </w:rPr>
        <w:t>中标人需无条件配合其它施工单位，保证系统按设计要求正常运行</w:t>
      </w:r>
      <w:r>
        <w:rPr>
          <w:rFonts w:hint="eastAsia" w:ascii="宋体" w:hAnsi="宋体" w:cs="宋体"/>
          <w:sz w:val="24"/>
          <w:szCs w:val="24"/>
          <w:lang w:eastAsia="zh-CN"/>
        </w:rPr>
        <w:t>。</w:t>
      </w:r>
    </w:p>
    <w:p w14:paraId="1BB78C76">
      <w:pPr>
        <w:numPr>
          <w:ilvl w:val="0"/>
          <w:numId w:val="5"/>
        </w:numPr>
        <w:adjustRightInd w:val="0"/>
        <w:spacing w:line="360" w:lineRule="auto"/>
        <w:ind w:left="140" w:leftChars="0" w:firstLine="0" w:firstLineChars="0"/>
        <w:textAlignment w:val="baseline"/>
        <w:rPr>
          <w:rFonts w:hint="eastAsia"/>
          <w:b/>
          <w:color w:val="000000"/>
          <w:sz w:val="28"/>
          <w:szCs w:val="28"/>
          <w:highlight w:val="none"/>
          <w:lang w:val="en-US" w:eastAsia="zh-CN"/>
        </w:rPr>
      </w:pPr>
      <w:r>
        <w:rPr>
          <w:rFonts w:hint="eastAsia"/>
          <w:b/>
          <w:color w:val="000000"/>
          <w:sz w:val="28"/>
          <w:szCs w:val="28"/>
          <w:highlight w:val="none"/>
          <w:lang w:val="en-US" w:eastAsia="zh-CN"/>
        </w:rPr>
        <w:t>采购清单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011"/>
        <w:gridCol w:w="2296"/>
        <w:gridCol w:w="780"/>
        <w:gridCol w:w="840"/>
        <w:gridCol w:w="1764"/>
      </w:tblGrid>
      <w:tr w14:paraId="277B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594843E0">
            <w:pPr>
              <w:keepNext w:val="0"/>
              <w:keepLines w:val="0"/>
              <w:widowControl/>
              <w:suppressLineNumbers w:val="0"/>
              <w:jc w:val="center"/>
              <w:textAlignment w:val="center"/>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i w:val="0"/>
                <w:color w:val="000000"/>
                <w:kern w:val="0"/>
                <w:sz w:val="24"/>
                <w:szCs w:val="24"/>
                <w:highlight w:val="none"/>
                <w:u w:val="none"/>
                <w:lang w:val="en-US" w:eastAsia="zh-CN" w:bidi="ar-SA"/>
              </w:rPr>
              <w:t>序号</w:t>
            </w:r>
          </w:p>
        </w:tc>
        <w:tc>
          <w:tcPr>
            <w:tcW w:w="2011" w:type="dxa"/>
            <w:shd w:val="clear" w:color="FFFFFF" w:fill="FFFFFF"/>
            <w:noWrap w:val="0"/>
            <w:vAlign w:val="center"/>
          </w:tcPr>
          <w:p w14:paraId="484DC2F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名称</w:t>
            </w:r>
          </w:p>
        </w:tc>
        <w:tc>
          <w:tcPr>
            <w:tcW w:w="2296" w:type="dxa"/>
            <w:shd w:val="clear" w:color="FFFFFF" w:fill="FFFFFF"/>
            <w:noWrap w:val="0"/>
            <w:vAlign w:val="center"/>
          </w:tcPr>
          <w:p w14:paraId="1060A1D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规格</w:t>
            </w:r>
          </w:p>
        </w:tc>
        <w:tc>
          <w:tcPr>
            <w:tcW w:w="780" w:type="dxa"/>
            <w:shd w:val="clear" w:color="FFFFFF" w:fill="FFFFFF"/>
            <w:noWrap w:val="0"/>
            <w:vAlign w:val="center"/>
          </w:tcPr>
          <w:p w14:paraId="0EA09B7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单位</w:t>
            </w:r>
          </w:p>
        </w:tc>
        <w:tc>
          <w:tcPr>
            <w:tcW w:w="840" w:type="dxa"/>
            <w:shd w:val="clear" w:color="FFFFFF" w:fill="FFFFFF"/>
            <w:noWrap w:val="0"/>
            <w:vAlign w:val="center"/>
          </w:tcPr>
          <w:p w14:paraId="3553B30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数量</w:t>
            </w:r>
          </w:p>
        </w:tc>
        <w:tc>
          <w:tcPr>
            <w:tcW w:w="1764" w:type="dxa"/>
            <w:shd w:val="clear" w:color="FFFFFF" w:fill="FFFFFF"/>
            <w:noWrap w:val="0"/>
            <w:vAlign w:val="center"/>
          </w:tcPr>
          <w:p w14:paraId="1F9A19B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备注</w:t>
            </w:r>
          </w:p>
        </w:tc>
      </w:tr>
      <w:tr w14:paraId="7800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75C0BB7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泵房设备</w:t>
            </w:r>
          </w:p>
        </w:tc>
      </w:tr>
      <w:tr w14:paraId="518B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2170E38B">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auto" w:fill="FFFFFF"/>
            <w:noWrap w:val="0"/>
            <w:vAlign w:val="center"/>
          </w:tcPr>
          <w:p w14:paraId="4F2EC08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潜水泵</w:t>
            </w:r>
          </w:p>
        </w:tc>
        <w:tc>
          <w:tcPr>
            <w:tcW w:w="2296" w:type="dxa"/>
            <w:shd w:val="clear" w:color="FFFFFF" w:fill="FFFFFF"/>
            <w:noWrap w:val="0"/>
            <w:vAlign w:val="center"/>
          </w:tcPr>
          <w:p w14:paraId="257917F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Q=1875m 3 /h,H=10m P=75kW</w:t>
            </w:r>
          </w:p>
        </w:tc>
        <w:tc>
          <w:tcPr>
            <w:tcW w:w="780" w:type="dxa"/>
            <w:shd w:val="clear" w:color="auto" w:fill="FFFFFF"/>
            <w:noWrap w:val="0"/>
            <w:vAlign w:val="center"/>
          </w:tcPr>
          <w:p w14:paraId="2088A8A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台</w:t>
            </w:r>
          </w:p>
        </w:tc>
        <w:tc>
          <w:tcPr>
            <w:tcW w:w="840" w:type="dxa"/>
            <w:shd w:val="clear" w:color="auto" w:fill="FFFFFF"/>
            <w:noWrap w:val="0"/>
            <w:vAlign w:val="center"/>
          </w:tcPr>
          <w:p w14:paraId="350A02E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6</w:t>
            </w:r>
          </w:p>
        </w:tc>
        <w:tc>
          <w:tcPr>
            <w:tcW w:w="1764" w:type="dxa"/>
            <w:shd w:val="clear" w:color="FFFFFF" w:fill="FFFFFF"/>
            <w:noWrap w:val="0"/>
            <w:vAlign w:val="center"/>
          </w:tcPr>
          <w:p w14:paraId="71FCEB1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含水泵底座、导杆、</w:t>
            </w:r>
            <w:r>
              <w:rPr>
                <w:rFonts w:hint="eastAsia" w:ascii="宋体" w:hAnsi="宋体" w:cs="宋体"/>
                <w:i w:val="0"/>
                <w:color w:val="000000"/>
                <w:kern w:val="0"/>
                <w:sz w:val="24"/>
                <w:szCs w:val="24"/>
                <w:highlight w:val="none"/>
                <w:u w:val="none"/>
                <w:lang w:val="en-US" w:eastAsia="zh-CN" w:bidi="ar-SA"/>
              </w:rPr>
              <w:t>不锈钢吊链、</w:t>
            </w:r>
            <w:r>
              <w:rPr>
                <w:rFonts w:hint="eastAsia" w:ascii="宋体" w:hAnsi="宋体" w:eastAsia="宋体" w:cs="宋体"/>
                <w:i w:val="0"/>
                <w:color w:val="000000"/>
                <w:kern w:val="0"/>
                <w:sz w:val="24"/>
                <w:szCs w:val="24"/>
                <w:highlight w:val="none"/>
                <w:u w:val="none"/>
                <w:lang w:val="en-US" w:eastAsia="zh-CN" w:bidi="ar-SA"/>
              </w:rPr>
              <w:t>预埋件等安装配件,4用2备</w:t>
            </w:r>
          </w:p>
        </w:tc>
      </w:tr>
      <w:tr w14:paraId="7889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2E322A13">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auto" w:fill="FFFFFF"/>
            <w:noWrap w:val="0"/>
            <w:vAlign w:val="center"/>
          </w:tcPr>
          <w:p w14:paraId="1E9C610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水泵变频控制柜</w:t>
            </w:r>
          </w:p>
        </w:tc>
        <w:tc>
          <w:tcPr>
            <w:tcW w:w="2296" w:type="dxa"/>
            <w:shd w:val="clear" w:color="FFFFFF" w:fill="FFFFFF"/>
            <w:noWrap w:val="0"/>
            <w:vAlign w:val="center"/>
          </w:tcPr>
          <w:p w14:paraId="76DBEA4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800*600*2200</w:t>
            </w:r>
          </w:p>
        </w:tc>
        <w:tc>
          <w:tcPr>
            <w:tcW w:w="780" w:type="dxa"/>
            <w:shd w:val="clear" w:color="auto" w:fill="FFFFFF"/>
            <w:noWrap w:val="0"/>
            <w:vAlign w:val="center"/>
          </w:tcPr>
          <w:p w14:paraId="2DCA4C4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台</w:t>
            </w:r>
          </w:p>
        </w:tc>
        <w:tc>
          <w:tcPr>
            <w:tcW w:w="840" w:type="dxa"/>
            <w:shd w:val="clear" w:color="auto" w:fill="FFFFFF"/>
            <w:noWrap w:val="0"/>
            <w:vAlign w:val="center"/>
          </w:tcPr>
          <w:p w14:paraId="6523C8A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6</w:t>
            </w:r>
          </w:p>
        </w:tc>
        <w:tc>
          <w:tcPr>
            <w:tcW w:w="1764" w:type="dxa"/>
            <w:shd w:val="clear" w:color="FFFFFF" w:fill="FFFFFF"/>
            <w:noWrap w:val="0"/>
            <w:vAlign w:val="center"/>
          </w:tcPr>
          <w:p w14:paraId="7990956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含变频器及所有柜内电气元件，变频器功率需满足潜水泵使用需求</w:t>
            </w:r>
          </w:p>
        </w:tc>
      </w:tr>
      <w:tr w14:paraId="7A12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3D4EF132">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auto" w:fill="FFFFFF"/>
            <w:noWrap w:val="0"/>
            <w:vAlign w:val="center"/>
          </w:tcPr>
          <w:p w14:paraId="4620D75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GH型回转式格栅除污机</w:t>
            </w:r>
          </w:p>
        </w:tc>
        <w:tc>
          <w:tcPr>
            <w:tcW w:w="2296" w:type="dxa"/>
            <w:shd w:val="clear" w:color="FFFFFF" w:fill="FFFFFF"/>
            <w:noWrap w:val="0"/>
            <w:vAlign w:val="center"/>
          </w:tcPr>
          <w:p w14:paraId="594DF81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B=1500mm,b=16mm,α=75°,N=3KW</w:t>
            </w:r>
          </w:p>
        </w:tc>
        <w:tc>
          <w:tcPr>
            <w:tcW w:w="780" w:type="dxa"/>
            <w:shd w:val="clear" w:color="auto" w:fill="FFFFFF"/>
            <w:noWrap w:val="0"/>
            <w:vAlign w:val="center"/>
          </w:tcPr>
          <w:p w14:paraId="1A8FD83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840" w:type="dxa"/>
            <w:shd w:val="clear" w:color="auto" w:fill="FFFFFF"/>
            <w:noWrap w:val="0"/>
            <w:vAlign w:val="center"/>
          </w:tcPr>
          <w:p w14:paraId="09A4143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1764" w:type="dxa"/>
            <w:shd w:val="clear" w:color="FFFFFF" w:fill="FFFFFF"/>
            <w:noWrap w:val="0"/>
            <w:vAlign w:val="center"/>
          </w:tcPr>
          <w:p w14:paraId="56AE548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渠道宽1800mm,泵池深度约7.5m，含就地控制箱（格栅、输送机、压榨机）</w:t>
            </w:r>
          </w:p>
        </w:tc>
      </w:tr>
      <w:tr w14:paraId="3226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009195FE">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auto" w:fill="FFFFFF"/>
            <w:noWrap w:val="0"/>
            <w:vAlign w:val="center"/>
          </w:tcPr>
          <w:p w14:paraId="7F899D7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螺旋输送机</w:t>
            </w:r>
          </w:p>
        </w:tc>
        <w:tc>
          <w:tcPr>
            <w:tcW w:w="2296" w:type="dxa"/>
            <w:shd w:val="clear" w:color="FFFFFF" w:fill="FFFFFF"/>
            <w:noWrap w:val="0"/>
            <w:vAlign w:val="center"/>
          </w:tcPr>
          <w:p w14:paraId="5B86F45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N=1.5KW，L=10m</w:t>
            </w:r>
          </w:p>
        </w:tc>
        <w:tc>
          <w:tcPr>
            <w:tcW w:w="780" w:type="dxa"/>
            <w:shd w:val="clear" w:color="FFFFFF" w:fill="FFFFFF"/>
            <w:noWrap w:val="0"/>
            <w:vAlign w:val="center"/>
          </w:tcPr>
          <w:p w14:paraId="5C24322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840" w:type="dxa"/>
            <w:shd w:val="clear" w:color="FFFFFF" w:fill="FFFFFF"/>
            <w:noWrap w:val="0"/>
            <w:vAlign w:val="center"/>
          </w:tcPr>
          <w:p w14:paraId="1784542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1764" w:type="dxa"/>
            <w:shd w:val="clear" w:color="FFFFFF" w:fill="FFFFFF"/>
            <w:noWrap w:val="0"/>
            <w:vAlign w:val="center"/>
          </w:tcPr>
          <w:p w14:paraId="032324B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处理量1.2m3/h</w:t>
            </w:r>
          </w:p>
        </w:tc>
      </w:tr>
      <w:tr w14:paraId="5C30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6DFC668C">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auto" w:fill="FFFFFF"/>
            <w:noWrap w:val="0"/>
            <w:vAlign w:val="center"/>
          </w:tcPr>
          <w:p w14:paraId="0D19F06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螺旋压榨机</w:t>
            </w:r>
          </w:p>
        </w:tc>
        <w:tc>
          <w:tcPr>
            <w:tcW w:w="2296" w:type="dxa"/>
            <w:shd w:val="clear" w:color="FFFFFF" w:fill="FFFFFF"/>
            <w:noWrap w:val="0"/>
            <w:vAlign w:val="center"/>
          </w:tcPr>
          <w:p w14:paraId="5FCA702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φ=250mm,N=1.5KW</w:t>
            </w:r>
          </w:p>
        </w:tc>
        <w:tc>
          <w:tcPr>
            <w:tcW w:w="780" w:type="dxa"/>
            <w:shd w:val="clear" w:color="FFFFFF" w:fill="FFFFFF"/>
            <w:noWrap w:val="0"/>
            <w:vAlign w:val="center"/>
          </w:tcPr>
          <w:p w14:paraId="4C98576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840" w:type="dxa"/>
            <w:shd w:val="clear" w:color="FFFFFF" w:fill="FFFFFF"/>
            <w:noWrap w:val="0"/>
            <w:vAlign w:val="center"/>
          </w:tcPr>
          <w:p w14:paraId="5C9AF52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1764" w:type="dxa"/>
            <w:shd w:val="clear" w:color="FFFFFF" w:fill="FFFFFF"/>
            <w:noWrap w:val="0"/>
            <w:vAlign w:val="center"/>
          </w:tcPr>
          <w:p w14:paraId="07ECC97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处理量1.2m3/h</w:t>
            </w:r>
          </w:p>
        </w:tc>
      </w:tr>
      <w:tr w14:paraId="3611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761BEAF0">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auto" w:fill="FFFFFF"/>
            <w:noWrap w:val="0"/>
            <w:vAlign w:val="center"/>
          </w:tcPr>
          <w:p w14:paraId="6F362DD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栅渣小车</w:t>
            </w:r>
          </w:p>
        </w:tc>
        <w:tc>
          <w:tcPr>
            <w:tcW w:w="2296" w:type="dxa"/>
            <w:shd w:val="clear" w:color="FFFFFF" w:fill="FFFFFF"/>
            <w:noWrap w:val="0"/>
            <w:vAlign w:val="center"/>
          </w:tcPr>
          <w:p w14:paraId="5D6EDB6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不锈钢</w:t>
            </w:r>
          </w:p>
        </w:tc>
        <w:tc>
          <w:tcPr>
            <w:tcW w:w="780" w:type="dxa"/>
            <w:shd w:val="clear" w:color="auto" w:fill="FFFFFF"/>
            <w:noWrap w:val="0"/>
            <w:vAlign w:val="center"/>
          </w:tcPr>
          <w:p w14:paraId="0A3D0FF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辆</w:t>
            </w:r>
          </w:p>
        </w:tc>
        <w:tc>
          <w:tcPr>
            <w:tcW w:w="840" w:type="dxa"/>
            <w:shd w:val="clear" w:color="auto" w:fill="FFFFFF"/>
            <w:noWrap w:val="0"/>
            <w:vAlign w:val="center"/>
          </w:tcPr>
          <w:p w14:paraId="3C1F8D9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1764" w:type="dxa"/>
            <w:shd w:val="clear" w:color="FFFFFF" w:fill="FFFFFF"/>
            <w:noWrap w:val="0"/>
            <w:vAlign w:val="center"/>
          </w:tcPr>
          <w:p w14:paraId="7364CA6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V≥0.5m3</w:t>
            </w:r>
          </w:p>
        </w:tc>
      </w:tr>
      <w:tr w14:paraId="28C5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45AF744E">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FFFFFF" w:fill="FFFFFF"/>
            <w:noWrap w:val="0"/>
            <w:vAlign w:val="center"/>
          </w:tcPr>
          <w:p w14:paraId="6553447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电动蝶阀</w:t>
            </w:r>
          </w:p>
        </w:tc>
        <w:tc>
          <w:tcPr>
            <w:tcW w:w="2296" w:type="dxa"/>
            <w:shd w:val="clear" w:color="FFFFFF" w:fill="FFFFFF"/>
            <w:noWrap w:val="0"/>
            <w:vAlign w:val="center"/>
          </w:tcPr>
          <w:p w14:paraId="666AF1B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DN500</w:t>
            </w:r>
          </w:p>
        </w:tc>
        <w:tc>
          <w:tcPr>
            <w:tcW w:w="780" w:type="dxa"/>
            <w:shd w:val="clear" w:color="auto" w:fill="FFFFFF"/>
            <w:noWrap w:val="0"/>
            <w:vAlign w:val="center"/>
          </w:tcPr>
          <w:p w14:paraId="38C5951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840" w:type="dxa"/>
            <w:shd w:val="clear" w:color="auto" w:fill="FFFFFF"/>
            <w:noWrap w:val="0"/>
            <w:vAlign w:val="center"/>
          </w:tcPr>
          <w:p w14:paraId="5B7FA62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6</w:t>
            </w:r>
          </w:p>
        </w:tc>
        <w:tc>
          <w:tcPr>
            <w:tcW w:w="1764" w:type="dxa"/>
            <w:noWrap w:val="0"/>
            <w:vAlign w:val="center"/>
          </w:tcPr>
          <w:p w14:paraId="0CD65257">
            <w:pPr>
              <w:jc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含蝶阀控制柜，电动头延长杆大约为2.7米</w:t>
            </w:r>
          </w:p>
        </w:tc>
      </w:tr>
      <w:tr w14:paraId="0834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742121F9">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FFFFFF" w:fill="FFFFFF"/>
            <w:noWrap w:val="0"/>
            <w:vAlign w:val="center"/>
          </w:tcPr>
          <w:p w14:paraId="05D35CE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启闭机</w:t>
            </w:r>
          </w:p>
        </w:tc>
        <w:tc>
          <w:tcPr>
            <w:tcW w:w="2296" w:type="dxa"/>
            <w:shd w:val="clear" w:color="FFFFFF" w:fill="FFFFFF"/>
            <w:noWrap w:val="0"/>
            <w:vAlign w:val="center"/>
          </w:tcPr>
          <w:p w14:paraId="0D8BE68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P=1.5KW,W=5T</w:t>
            </w:r>
          </w:p>
        </w:tc>
        <w:tc>
          <w:tcPr>
            <w:tcW w:w="780" w:type="dxa"/>
            <w:shd w:val="clear" w:color="FFFFFF" w:fill="FFFFFF"/>
            <w:noWrap w:val="0"/>
            <w:vAlign w:val="center"/>
          </w:tcPr>
          <w:p w14:paraId="7FF1855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840" w:type="dxa"/>
            <w:shd w:val="clear" w:color="FFFFFF" w:fill="FFFFFF"/>
            <w:noWrap w:val="0"/>
            <w:vAlign w:val="center"/>
          </w:tcPr>
          <w:p w14:paraId="50BB3D9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w:t>
            </w:r>
          </w:p>
        </w:tc>
        <w:tc>
          <w:tcPr>
            <w:tcW w:w="1764" w:type="dxa"/>
            <w:noWrap w:val="0"/>
            <w:vAlign w:val="center"/>
          </w:tcPr>
          <w:p w14:paraId="3B8D0C6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手自一体，含就地控制箱</w:t>
            </w:r>
          </w:p>
        </w:tc>
      </w:tr>
      <w:tr w14:paraId="3008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3BE2D7B7">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FFFFFF" w:fill="FFFFFF"/>
            <w:noWrap w:val="0"/>
            <w:vAlign w:val="center"/>
          </w:tcPr>
          <w:p w14:paraId="6E49625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不锈钢闸门</w:t>
            </w:r>
          </w:p>
        </w:tc>
        <w:tc>
          <w:tcPr>
            <w:tcW w:w="2296" w:type="dxa"/>
            <w:shd w:val="clear" w:color="FFFFFF" w:fill="FFFFFF"/>
            <w:noWrap w:val="0"/>
            <w:vAlign w:val="center"/>
          </w:tcPr>
          <w:p w14:paraId="78B0BB1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1200mmX1200mm</w:t>
            </w:r>
          </w:p>
        </w:tc>
        <w:tc>
          <w:tcPr>
            <w:tcW w:w="780" w:type="dxa"/>
            <w:shd w:val="clear" w:color="FFFFFF" w:fill="FFFFFF"/>
            <w:noWrap w:val="0"/>
            <w:vAlign w:val="center"/>
          </w:tcPr>
          <w:p w14:paraId="2B9F96E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840" w:type="dxa"/>
            <w:shd w:val="clear" w:color="FFFFFF" w:fill="FFFFFF"/>
            <w:noWrap w:val="0"/>
            <w:vAlign w:val="center"/>
          </w:tcPr>
          <w:p w14:paraId="4513A9F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w:t>
            </w:r>
          </w:p>
        </w:tc>
        <w:tc>
          <w:tcPr>
            <w:tcW w:w="1764" w:type="dxa"/>
            <w:noWrap w:val="0"/>
            <w:vAlign w:val="center"/>
          </w:tcPr>
          <w:p w14:paraId="496F5B5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双向闸门,反向承压能力不小于10m</w:t>
            </w:r>
          </w:p>
        </w:tc>
      </w:tr>
      <w:tr w14:paraId="469F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69554612">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auto"/>
                <w:kern w:val="0"/>
                <w:sz w:val="24"/>
                <w:szCs w:val="24"/>
                <w:highlight w:val="none"/>
                <w:u w:val="none"/>
                <w:lang w:val="en-US" w:eastAsia="zh-CN" w:bidi="ar-SA"/>
              </w:rPr>
            </w:pPr>
          </w:p>
        </w:tc>
        <w:tc>
          <w:tcPr>
            <w:tcW w:w="2011" w:type="dxa"/>
            <w:shd w:val="clear" w:color="FFFFFF" w:fill="FFFFFF"/>
            <w:noWrap w:val="0"/>
            <w:vAlign w:val="center"/>
          </w:tcPr>
          <w:p w14:paraId="54E94AD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可曲挠橡胶接头</w:t>
            </w:r>
          </w:p>
        </w:tc>
        <w:tc>
          <w:tcPr>
            <w:tcW w:w="2296" w:type="dxa"/>
            <w:shd w:val="clear" w:color="FFFFFF" w:fill="FFFFFF"/>
            <w:noWrap w:val="0"/>
            <w:vAlign w:val="center"/>
          </w:tcPr>
          <w:p w14:paraId="0FFE918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DN500,PN1.0MPa</w:t>
            </w:r>
          </w:p>
        </w:tc>
        <w:tc>
          <w:tcPr>
            <w:tcW w:w="780" w:type="dxa"/>
            <w:shd w:val="clear" w:color="FFFFFF" w:fill="FFFFFF"/>
            <w:noWrap w:val="0"/>
            <w:vAlign w:val="center"/>
          </w:tcPr>
          <w:p w14:paraId="6B89AE94">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只</w:t>
            </w:r>
          </w:p>
        </w:tc>
        <w:tc>
          <w:tcPr>
            <w:tcW w:w="840" w:type="dxa"/>
            <w:shd w:val="clear" w:color="FFFFFF" w:fill="FFFFFF"/>
            <w:noWrap w:val="0"/>
            <w:vAlign w:val="center"/>
          </w:tcPr>
          <w:p w14:paraId="4D1B868F">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6</w:t>
            </w:r>
          </w:p>
        </w:tc>
        <w:tc>
          <w:tcPr>
            <w:tcW w:w="1764" w:type="dxa"/>
            <w:noWrap w:val="0"/>
            <w:vAlign w:val="center"/>
          </w:tcPr>
          <w:p w14:paraId="2F12F5B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p>
        </w:tc>
      </w:tr>
      <w:tr w14:paraId="2B50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343601AF">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FFFFFF" w:fill="FFFFFF"/>
            <w:noWrap w:val="0"/>
            <w:vAlign w:val="center"/>
          </w:tcPr>
          <w:p w14:paraId="723AC35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橡胶膜瓣止回阀</w:t>
            </w:r>
          </w:p>
        </w:tc>
        <w:tc>
          <w:tcPr>
            <w:tcW w:w="2296" w:type="dxa"/>
            <w:shd w:val="clear" w:color="FFFFFF" w:fill="FFFFFF"/>
            <w:noWrap w:val="0"/>
            <w:vAlign w:val="center"/>
          </w:tcPr>
          <w:p w14:paraId="108EB33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DN500,PN1.0MPa</w:t>
            </w:r>
          </w:p>
        </w:tc>
        <w:tc>
          <w:tcPr>
            <w:tcW w:w="780" w:type="dxa"/>
            <w:shd w:val="clear" w:color="FFFFFF" w:fill="FFFFFF"/>
            <w:noWrap w:val="0"/>
            <w:vAlign w:val="center"/>
          </w:tcPr>
          <w:p w14:paraId="1D13D77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只</w:t>
            </w:r>
          </w:p>
        </w:tc>
        <w:tc>
          <w:tcPr>
            <w:tcW w:w="840" w:type="dxa"/>
            <w:shd w:val="clear" w:color="FFFFFF" w:fill="FFFFFF"/>
            <w:noWrap w:val="0"/>
            <w:vAlign w:val="center"/>
          </w:tcPr>
          <w:p w14:paraId="4927F07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6</w:t>
            </w:r>
          </w:p>
        </w:tc>
        <w:tc>
          <w:tcPr>
            <w:tcW w:w="1764" w:type="dxa"/>
            <w:noWrap w:val="0"/>
            <w:vAlign w:val="center"/>
          </w:tcPr>
          <w:p w14:paraId="256B85E0">
            <w:pPr>
              <w:jc w:val="center"/>
              <w:rPr>
                <w:rFonts w:hint="eastAsia" w:ascii="宋体" w:hAnsi="宋体" w:eastAsia="宋体" w:cs="宋体"/>
                <w:i w:val="0"/>
                <w:color w:val="000000"/>
                <w:kern w:val="0"/>
                <w:sz w:val="24"/>
                <w:szCs w:val="24"/>
                <w:highlight w:val="none"/>
                <w:u w:val="none"/>
                <w:lang w:val="en-US" w:eastAsia="zh-CN" w:bidi="ar-SA"/>
              </w:rPr>
            </w:pPr>
          </w:p>
        </w:tc>
      </w:tr>
      <w:tr w14:paraId="7267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5295ED93">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FFFFFF" w:fill="FFFFFF"/>
            <w:noWrap w:val="0"/>
            <w:vAlign w:val="center"/>
          </w:tcPr>
          <w:p w14:paraId="76B029B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可曲挠橡胶接头</w:t>
            </w:r>
          </w:p>
        </w:tc>
        <w:tc>
          <w:tcPr>
            <w:tcW w:w="2296" w:type="dxa"/>
            <w:shd w:val="clear" w:color="FFFFFF" w:fill="FFFFFF"/>
            <w:noWrap w:val="0"/>
            <w:vAlign w:val="center"/>
          </w:tcPr>
          <w:p w14:paraId="01D6317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DN1000,PN1.0MPa</w:t>
            </w:r>
          </w:p>
        </w:tc>
        <w:tc>
          <w:tcPr>
            <w:tcW w:w="780" w:type="dxa"/>
            <w:shd w:val="clear" w:color="FFFFFF" w:fill="FFFFFF"/>
            <w:noWrap w:val="0"/>
            <w:vAlign w:val="center"/>
          </w:tcPr>
          <w:p w14:paraId="17EDE21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只</w:t>
            </w:r>
          </w:p>
        </w:tc>
        <w:tc>
          <w:tcPr>
            <w:tcW w:w="840" w:type="dxa"/>
            <w:shd w:val="clear" w:color="FFFFFF" w:fill="FFFFFF"/>
            <w:noWrap w:val="0"/>
            <w:vAlign w:val="center"/>
          </w:tcPr>
          <w:p w14:paraId="761E97D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1764" w:type="dxa"/>
            <w:noWrap w:val="0"/>
            <w:vAlign w:val="center"/>
          </w:tcPr>
          <w:p w14:paraId="441C1451">
            <w:pPr>
              <w:jc w:val="center"/>
              <w:rPr>
                <w:rFonts w:hint="eastAsia" w:ascii="宋体" w:hAnsi="宋体" w:eastAsia="宋体" w:cs="宋体"/>
                <w:i w:val="0"/>
                <w:color w:val="000000"/>
                <w:kern w:val="0"/>
                <w:sz w:val="24"/>
                <w:szCs w:val="24"/>
                <w:highlight w:val="none"/>
                <w:u w:val="none"/>
                <w:lang w:val="en-US" w:eastAsia="zh-CN" w:bidi="ar-SA"/>
              </w:rPr>
            </w:pPr>
          </w:p>
        </w:tc>
      </w:tr>
      <w:tr w14:paraId="4344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13CE25AE">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p>
        </w:tc>
        <w:tc>
          <w:tcPr>
            <w:tcW w:w="2011" w:type="dxa"/>
            <w:shd w:val="clear" w:color="FFFFFF" w:fill="FFFFFF"/>
            <w:noWrap w:val="0"/>
            <w:vAlign w:val="center"/>
          </w:tcPr>
          <w:p w14:paraId="288E73D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泵房桁车检修</w:t>
            </w:r>
          </w:p>
        </w:tc>
        <w:tc>
          <w:tcPr>
            <w:tcW w:w="2296" w:type="dxa"/>
            <w:shd w:val="clear" w:color="FFFFFF" w:fill="FFFFFF"/>
            <w:noWrap w:val="0"/>
            <w:vAlign w:val="center"/>
          </w:tcPr>
          <w:p w14:paraId="09F8A2BD">
            <w:pPr>
              <w:jc w:val="center"/>
              <w:rPr>
                <w:rFonts w:hint="eastAsia" w:ascii="宋体" w:hAnsi="宋体" w:eastAsia="宋体" w:cs="宋体"/>
                <w:i w:val="0"/>
                <w:color w:val="000000"/>
                <w:kern w:val="0"/>
                <w:sz w:val="24"/>
                <w:szCs w:val="24"/>
                <w:highlight w:val="none"/>
                <w:u w:val="none"/>
                <w:lang w:val="en-US" w:eastAsia="zh-CN" w:bidi="ar-SA"/>
              </w:rPr>
            </w:pPr>
          </w:p>
        </w:tc>
        <w:tc>
          <w:tcPr>
            <w:tcW w:w="780" w:type="dxa"/>
            <w:shd w:val="clear" w:color="FFFFFF" w:fill="FFFFFF"/>
            <w:noWrap w:val="0"/>
            <w:vAlign w:val="center"/>
          </w:tcPr>
          <w:p w14:paraId="6BFDF25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项</w:t>
            </w:r>
          </w:p>
        </w:tc>
        <w:tc>
          <w:tcPr>
            <w:tcW w:w="840" w:type="dxa"/>
            <w:shd w:val="clear" w:color="FFFFFF" w:fill="FFFFFF"/>
            <w:noWrap w:val="0"/>
            <w:vAlign w:val="center"/>
          </w:tcPr>
          <w:p w14:paraId="6D46973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1764" w:type="dxa"/>
            <w:noWrap w:val="0"/>
            <w:vAlign w:val="center"/>
          </w:tcPr>
          <w:p w14:paraId="1E0A7F3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原泵房</w:t>
            </w:r>
            <w:r>
              <w:rPr>
                <w:rFonts w:hint="eastAsia" w:ascii="宋体" w:hAnsi="宋体" w:eastAsia="宋体" w:cs="宋体"/>
                <w:i w:val="0"/>
                <w:color w:val="000000"/>
                <w:kern w:val="0"/>
                <w:sz w:val="24"/>
                <w:szCs w:val="24"/>
                <w:highlight w:val="none"/>
                <w:u w:val="none"/>
                <w:lang w:val="en-US" w:eastAsia="zh-CN" w:bidi="ar-SA"/>
              </w:rPr>
              <w:t>桁车检修</w:t>
            </w:r>
            <w:r>
              <w:rPr>
                <w:rFonts w:hint="eastAsia" w:ascii="宋体" w:hAnsi="宋体" w:cs="宋体"/>
                <w:i w:val="0"/>
                <w:color w:val="000000"/>
                <w:kern w:val="0"/>
                <w:sz w:val="24"/>
                <w:szCs w:val="24"/>
                <w:highlight w:val="none"/>
                <w:u w:val="none"/>
                <w:lang w:val="en-US" w:eastAsia="zh-CN" w:bidi="ar-SA"/>
              </w:rPr>
              <w:t>，含维修所需配件</w:t>
            </w:r>
          </w:p>
        </w:tc>
      </w:tr>
      <w:tr w14:paraId="04FA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03F7A08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仪表</w:t>
            </w:r>
          </w:p>
        </w:tc>
      </w:tr>
      <w:tr w14:paraId="16CF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60C10FA2">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2011" w:type="dxa"/>
            <w:shd w:val="clear" w:color="FFFFFF" w:fill="FFFFFF"/>
            <w:noWrap w:val="0"/>
            <w:vAlign w:val="center"/>
          </w:tcPr>
          <w:p w14:paraId="67A4D09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电磁流量计</w:t>
            </w:r>
          </w:p>
        </w:tc>
        <w:tc>
          <w:tcPr>
            <w:tcW w:w="2296" w:type="dxa"/>
            <w:shd w:val="clear" w:color="FFFFFF" w:fill="FFFFFF"/>
            <w:noWrap w:val="0"/>
            <w:vAlign w:val="center"/>
          </w:tcPr>
          <w:p w14:paraId="1A63EBC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污水用，</w:t>
            </w:r>
            <w:r>
              <w:rPr>
                <w:rFonts w:hint="eastAsia" w:ascii="宋体" w:hAnsi="宋体" w:eastAsia="宋体" w:cs="宋体"/>
                <w:i w:val="0"/>
                <w:color w:val="000000"/>
                <w:kern w:val="0"/>
                <w:sz w:val="24"/>
                <w:szCs w:val="24"/>
                <w:highlight w:val="none"/>
                <w:u w:val="none"/>
                <w:lang w:val="en-US" w:eastAsia="zh-CN" w:bidi="ar-SA"/>
              </w:rPr>
              <w:t>分体式, DN1000</w:t>
            </w:r>
          </w:p>
        </w:tc>
        <w:tc>
          <w:tcPr>
            <w:tcW w:w="780" w:type="dxa"/>
            <w:shd w:val="clear" w:color="FFFFFF" w:fill="FFFFFF"/>
            <w:noWrap w:val="0"/>
            <w:vAlign w:val="center"/>
          </w:tcPr>
          <w:p w14:paraId="61E542A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shd w:val="clear" w:color="FFFFFF" w:fill="FFFFFF"/>
            <w:noWrap w:val="0"/>
            <w:vAlign w:val="center"/>
          </w:tcPr>
          <w:p w14:paraId="62CA46C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304D6E36">
            <w:pPr>
              <w:jc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SA"/>
              </w:rPr>
              <w:t>含安装附件，流量计信号线长度大约</w:t>
            </w:r>
            <w:r>
              <w:rPr>
                <w:rFonts w:hint="eastAsia" w:ascii="宋体" w:hAnsi="宋体" w:cs="宋体"/>
                <w:i w:val="0"/>
                <w:color w:val="000000"/>
                <w:kern w:val="0"/>
                <w:sz w:val="24"/>
                <w:szCs w:val="24"/>
                <w:u w:val="none"/>
                <w:lang w:val="en-US" w:eastAsia="zh-CN" w:bidi="ar-SA"/>
              </w:rPr>
              <w:t>3</w:t>
            </w:r>
            <w:r>
              <w:rPr>
                <w:rFonts w:hint="eastAsia" w:ascii="宋体" w:hAnsi="宋体" w:eastAsia="宋体" w:cs="宋体"/>
                <w:i w:val="0"/>
                <w:color w:val="000000"/>
                <w:kern w:val="0"/>
                <w:sz w:val="24"/>
                <w:szCs w:val="24"/>
                <w:u w:val="none"/>
                <w:lang w:val="en-US" w:eastAsia="zh-CN" w:bidi="ar-SA"/>
              </w:rPr>
              <w:t>0m</w:t>
            </w:r>
          </w:p>
        </w:tc>
      </w:tr>
      <w:tr w14:paraId="375A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1555B748">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2011" w:type="dxa"/>
            <w:shd w:val="clear" w:color="FFFFFF" w:fill="FFFFFF"/>
            <w:noWrap w:val="0"/>
            <w:vAlign w:val="center"/>
          </w:tcPr>
          <w:p w14:paraId="22E95EF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仪表箱</w:t>
            </w:r>
          </w:p>
        </w:tc>
        <w:tc>
          <w:tcPr>
            <w:tcW w:w="2296" w:type="dxa"/>
            <w:shd w:val="clear" w:color="FFFFFF" w:fill="FFFFFF"/>
            <w:noWrap w:val="0"/>
            <w:vAlign w:val="center"/>
          </w:tcPr>
          <w:p w14:paraId="2423176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304不锈钢;IP65;立柱安装</w:t>
            </w:r>
          </w:p>
        </w:tc>
        <w:tc>
          <w:tcPr>
            <w:tcW w:w="780" w:type="dxa"/>
            <w:shd w:val="clear" w:color="FFFFFF" w:fill="FFFFFF"/>
            <w:noWrap w:val="0"/>
            <w:vAlign w:val="center"/>
          </w:tcPr>
          <w:p w14:paraId="6936679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shd w:val="clear" w:color="FFFFFF" w:fill="FFFFFF"/>
            <w:noWrap w:val="0"/>
            <w:vAlign w:val="center"/>
          </w:tcPr>
          <w:p w14:paraId="7D0F836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shd w:val="clear" w:color="FFFFFF" w:fill="FFFFFF"/>
            <w:noWrap w:val="0"/>
            <w:vAlign w:val="center"/>
          </w:tcPr>
          <w:p w14:paraId="465F797F">
            <w:pPr>
              <w:jc w:val="center"/>
              <w:rPr>
                <w:rFonts w:hint="eastAsia" w:ascii="宋体" w:hAnsi="宋体" w:eastAsia="宋体" w:cs="宋体"/>
                <w:i w:val="0"/>
                <w:color w:val="000000"/>
                <w:kern w:val="0"/>
                <w:sz w:val="24"/>
                <w:szCs w:val="24"/>
                <w:highlight w:val="none"/>
                <w:u w:val="none"/>
                <w:lang w:val="en-US" w:eastAsia="zh-CN" w:bidi="ar-SA"/>
              </w:rPr>
            </w:pPr>
          </w:p>
        </w:tc>
      </w:tr>
      <w:tr w14:paraId="002B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0CB4E7A9">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w:t>
            </w:r>
          </w:p>
        </w:tc>
        <w:tc>
          <w:tcPr>
            <w:tcW w:w="2011" w:type="dxa"/>
            <w:shd w:val="clear" w:color="FFFFFF" w:fill="FFFFFF"/>
            <w:noWrap w:val="0"/>
            <w:vAlign w:val="center"/>
          </w:tcPr>
          <w:p w14:paraId="2593415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压力变送器</w:t>
            </w:r>
          </w:p>
        </w:tc>
        <w:tc>
          <w:tcPr>
            <w:tcW w:w="2296" w:type="dxa"/>
            <w:shd w:val="clear" w:color="FFFFFF" w:fill="FFFFFF"/>
            <w:noWrap w:val="0"/>
            <w:vAlign w:val="center"/>
          </w:tcPr>
          <w:p w14:paraId="14872DF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一体式, 0~0.4MPa , 4~20mA</w:t>
            </w:r>
          </w:p>
        </w:tc>
        <w:tc>
          <w:tcPr>
            <w:tcW w:w="780" w:type="dxa"/>
            <w:shd w:val="clear" w:color="FFFFFF" w:fill="FFFFFF"/>
            <w:noWrap w:val="0"/>
            <w:vAlign w:val="center"/>
          </w:tcPr>
          <w:p w14:paraId="127D4B2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6</w:t>
            </w:r>
          </w:p>
        </w:tc>
        <w:tc>
          <w:tcPr>
            <w:tcW w:w="840" w:type="dxa"/>
            <w:shd w:val="clear" w:color="FFFFFF" w:fill="FFFFFF"/>
            <w:noWrap w:val="0"/>
            <w:vAlign w:val="center"/>
          </w:tcPr>
          <w:p w14:paraId="2EFA753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shd w:val="clear" w:color="FFFFFF" w:fill="FFFFFF"/>
            <w:noWrap w:val="0"/>
            <w:vAlign w:val="center"/>
          </w:tcPr>
          <w:p w14:paraId="3B7F919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带安装支架，仪表箱,配套控制器,传感器及安装附件</w:t>
            </w:r>
          </w:p>
        </w:tc>
      </w:tr>
      <w:tr w14:paraId="5A8C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5FE7C8B6">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4</w:t>
            </w:r>
          </w:p>
        </w:tc>
        <w:tc>
          <w:tcPr>
            <w:tcW w:w="2011" w:type="dxa"/>
            <w:shd w:val="clear" w:color="FFFFFF" w:fill="FFFFFF"/>
            <w:noWrap w:val="0"/>
            <w:vAlign w:val="center"/>
          </w:tcPr>
          <w:p w14:paraId="736E57F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超声波液位计</w:t>
            </w:r>
          </w:p>
        </w:tc>
        <w:tc>
          <w:tcPr>
            <w:tcW w:w="2296" w:type="dxa"/>
            <w:shd w:val="clear" w:color="FFFFFF" w:fill="FFFFFF"/>
            <w:noWrap w:val="0"/>
            <w:vAlign w:val="center"/>
          </w:tcPr>
          <w:p w14:paraId="44E8BFA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一体式,IP65; 0~10m; 4~20mA</w:t>
            </w:r>
          </w:p>
        </w:tc>
        <w:tc>
          <w:tcPr>
            <w:tcW w:w="780" w:type="dxa"/>
            <w:shd w:val="clear" w:color="FFFFFF" w:fill="FFFFFF"/>
            <w:noWrap w:val="0"/>
            <w:vAlign w:val="center"/>
          </w:tcPr>
          <w:p w14:paraId="463D061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w:t>
            </w:r>
          </w:p>
        </w:tc>
        <w:tc>
          <w:tcPr>
            <w:tcW w:w="840" w:type="dxa"/>
            <w:shd w:val="clear" w:color="FFFFFF" w:fill="FFFFFF"/>
            <w:noWrap w:val="0"/>
            <w:vAlign w:val="center"/>
          </w:tcPr>
          <w:p w14:paraId="35E5200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shd w:val="clear" w:color="FFFFFF" w:fill="FFFFFF"/>
            <w:noWrap w:val="0"/>
            <w:vAlign w:val="center"/>
          </w:tcPr>
          <w:p w14:paraId="0DE9FF8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带安装支架，仪表箱,配套控制器,传感器及安装附件</w:t>
            </w:r>
          </w:p>
        </w:tc>
      </w:tr>
      <w:tr w14:paraId="4598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5C847DD9">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5</w:t>
            </w:r>
          </w:p>
        </w:tc>
        <w:tc>
          <w:tcPr>
            <w:tcW w:w="2011" w:type="dxa"/>
            <w:shd w:val="clear" w:color="FFFFFF" w:fill="FFFFFF"/>
            <w:noWrap w:val="0"/>
            <w:vAlign w:val="center"/>
          </w:tcPr>
          <w:p w14:paraId="377A54F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浮球液位计</w:t>
            </w:r>
          </w:p>
        </w:tc>
        <w:tc>
          <w:tcPr>
            <w:tcW w:w="2296" w:type="dxa"/>
            <w:shd w:val="clear" w:color="FFFFFF" w:fill="FFFFFF"/>
            <w:noWrap w:val="0"/>
            <w:vAlign w:val="center"/>
          </w:tcPr>
          <w:p w14:paraId="2EB2EE03">
            <w:pPr>
              <w:jc w:val="center"/>
              <w:rPr>
                <w:rFonts w:hint="eastAsia" w:ascii="宋体" w:hAnsi="宋体" w:eastAsia="宋体" w:cs="宋体"/>
                <w:i w:val="0"/>
                <w:color w:val="000000"/>
                <w:kern w:val="0"/>
                <w:sz w:val="24"/>
                <w:szCs w:val="24"/>
                <w:highlight w:val="none"/>
                <w:u w:val="none"/>
                <w:lang w:val="en-US" w:eastAsia="zh-CN" w:bidi="ar-SA"/>
              </w:rPr>
            </w:pPr>
          </w:p>
        </w:tc>
        <w:tc>
          <w:tcPr>
            <w:tcW w:w="780" w:type="dxa"/>
            <w:shd w:val="clear" w:color="FFFFFF" w:fill="FFFFFF"/>
            <w:noWrap w:val="0"/>
            <w:vAlign w:val="center"/>
          </w:tcPr>
          <w:p w14:paraId="434FC69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w:t>
            </w:r>
          </w:p>
        </w:tc>
        <w:tc>
          <w:tcPr>
            <w:tcW w:w="840" w:type="dxa"/>
            <w:shd w:val="clear" w:color="FFFFFF" w:fill="FFFFFF"/>
            <w:noWrap w:val="0"/>
            <w:vAlign w:val="center"/>
          </w:tcPr>
          <w:p w14:paraId="560DA89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shd w:val="clear" w:color="FFFFFF" w:fill="FFFFFF"/>
            <w:noWrap w:val="0"/>
            <w:vAlign w:val="center"/>
          </w:tcPr>
          <w:p w14:paraId="6146B42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带安装支架，仪表箱,配套控制器,传感器及安装附件</w:t>
            </w:r>
          </w:p>
        </w:tc>
      </w:tr>
      <w:tr w14:paraId="20D9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00BE841D">
            <w:pPr>
              <w:jc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PLC 控制站</w:t>
            </w:r>
          </w:p>
        </w:tc>
      </w:tr>
      <w:tr w14:paraId="0AEB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7B4725A4">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2011" w:type="dxa"/>
            <w:shd w:val="clear" w:color="FFFFFF" w:fill="FFFFFF"/>
            <w:noWrap w:val="0"/>
            <w:vAlign w:val="center"/>
          </w:tcPr>
          <w:p w14:paraId="3D3BEFB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PLC1 主站</w:t>
            </w:r>
          </w:p>
        </w:tc>
        <w:tc>
          <w:tcPr>
            <w:tcW w:w="2296" w:type="dxa"/>
            <w:shd w:val="clear" w:color="FFFFFF" w:fill="FFFFFF"/>
            <w:noWrap w:val="0"/>
            <w:vAlign w:val="center"/>
          </w:tcPr>
          <w:p w14:paraId="179A7BA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DI:96 DO:64 AI:24 AO:8 ，CPU模块自带以太网</w:t>
            </w:r>
          </w:p>
        </w:tc>
        <w:tc>
          <w:tcPr>
            <w:tcW w:w="780" w:type="dxa"/>
            <w:shd w:val="clear" w:color="FFFFFF" w:fill="FFFFFF"/>
            <w:noWrap w:val="0"/>
            <w:vAlign w:val="center"/>
          </w:tcPr>
          <w:p w14:paraId="7E19522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shd w:val="clear" w:color="FFFFFF" w:fill="FFFFFF"/>
            <w:noWrap w:val="0"/>
            <w:vAlign w:val="center"/>
          </w:tcPr>
          <w:p w14:paraId="5432544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shd w:val="clear" w:color="FFFFFF" w:fill="FFFFFF"/>
            <w:noWrap w:val="0"/>
            <w:vAlign w:val="center"/>
          </w:tcPr>
          <w:p w14:paraId="021F8A2C">
            <w:pPr>
              <w:jc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包含RS485通讯模块</w:t>
            </w:r>
          </w:p>
        </w:tc>
      </w:tr>
      <w:tr w14:paraId="6040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1" w:type="dxa"/>
            <w:noWrap w:val="0"/>
            <w:vAlign w:val="center"/>
          </w:tcPr>
          <w:p w14:paraId="196CB0F2">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1.1</w:t>
            </w:r>
          </w:p>
        </w:tc>
        <w:tc>
          <w:tcPr>
            <w:tcW w:w="2011" w:type="dxa"/>
            <w:noWrap w:val="0"/>
            <w:vAlign w:val="center"/>
          </w:tcPr>
          <w:p w14:paraId="733344E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电源防雷器</w:t>
            </w:r>
          </w:p>
        </w:tc>
        <w:tc>
          <w:tcPr>
            <w:tcW w:w="2296" w:type="dxa"/>
            <w:noWrap w:val="0"/>
            <w:vAlign w:val="center"/>
          </w:tcPr>
          <w:p w14:paraId="7D93269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总进线电源、现场仪表电源, AC220V</w:t>
            </w:r>
          </w:p>
        </w:tc>
        <w:tc>
          <w:tcPr>
            <w:tcW w:w="780" w:type="dxa"/>
            <w:noWrap w:val="0"/>
            <w:vAlign w:val="center"/>
          </w:tcPr>
          <w:p w14:paraId="69FF794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5</w:t>
            </w:r>
          </w:p>
        </w:tc>
        <w:tc>
          <w:tcPr>
            <w:tcW w:w="840" w:type="dxa"/>
            <w:noWrap w:val="0"/>
            <w:vAlign w:val="center"/>
          </w:tcPr>
          <w:p w14:paraId="1BF5C7A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个</w:t>
            </w:r>
          </w:p>
        </w:tc>
        <w:tc>
          <w:tcPr>
            <w:tcW w:w="1764" w:type="dxa"/>
            <w:noWrap w:val="0"/>
            <w:vAlign w:val="center"/>
          </w:tcPr>
          <w:p w14:paraId="781A0E29">
            <w:pPr>
              <w:jc w:val="center"/>
              <w:rPr>
                <w:rFonts w:hint="eastAsia" w:ascii="宋体" w:hAnsi="宋体" w:eastAsia="宋体" w:cs="宋体"/>
                <w:i w:val="0"/>
                <w:color w:val="000000"/>
                <w:kern w:val="0"/>
                <w:sz w:val="24"/>
                <w:szCs w:val="24"/>
                <w:highlight w:val="none"/>
                <w:u w:val="none"/>
                <w:lang w:val="en-US" w:eastAsia="zh-CN" w:bidi="ar-SA"/>
              </w:rPr>
            </w:pPr>
          </w:p>
        </w:tc>
      </w:tr>
      <w:tr w14:paraId="6BAC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1B4CDE80">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r>
              <w:rPr>
                <w:rFonts w:hint="eastAsia" w:ascii="宋体" w:hAnsi="宋体" w:cs="宋体"/>
                <w:i w:val="0"/>
                <w:color w:val="000000"/>
                <w:kern w:val="0"/>
                <w:sz w:val="24"/>
                <w:szCs w:val="24"/>
                <w:highlight w:val="none"/>
                <w:u w:val="none"/>
                <w:lang w:val="en-US" w:eastAsia="zh-CN" w:bidi="ar-SA"/>
              </w:rPr>
              <w:t>2</w:t>
            </w:r>
          </w:p>
        </w:tc>
        <w:tc>
          <w:tcPr>
            <w:tcW w:w="2011" w:type="dxa"/>
            <w:noWrap w:val="0"/>
            <w:vAlign w:val="center"/>
          </w:tcPr>
          <w:p w14:paraId="0FAEFB6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信号防雷器</w:t>
            </w:r>
          </w:p>
        </w:tc>
        <w:tc>
          <w:tcPr>
            <w:tcW w:w="2296" w:type="dxa"/>
            <w:noWrap w:val="0"/>
            <w:vAlign w:val="center"/>
          </w:tcPr>
          <w:p w14:paraId="1A08F90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仪表信号防雷器,双端防雷, DC24V</w:t>
            </w:r>
          </w:p>
        </w:tc>
        <w:tc>
          <w:tcPr>
            <w:tcW w:w="780" w:type="dxa"/>
            <w:noWrap w:val="0"/>
            <w:vAlign w:val="center"/>
          </w:tcPr>
          <w:p w14:paraId="0CE26B8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15</w:t>
            </w:r>
          </w:p>
        </w:tc>
        <w:tc>
          <w:tcPr>
            <w:tcW w:w="840" w:type="dxa"/>
            <w:noWrap w:val="0"/>
            <w:vAlign w:val="center"/>
          </w:tcPr>
          <w:p w14:paraId="4E69608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个</w:t>
            </w:r>
          </w:p>
        </w:tc>
        <w:tc>
          <w:tcPr>
            <w:tcW w:w="1764" w:type="dxa"/>
            <w:noWrap w:val="0"/>
            <w:vAlign w:val="center"/>
          </w:tcPr>
          <w:p w14:paraId="5DB9BD5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含2个RS485+1个RJ45</w:t>
            </w:r>
          </w:p>
        </w:tc>
      </w:tr>
      <w:tr w14:paraId="3199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4B081796">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r>
              <w:rPr>
                <w:rFonts w:hint="eastAsia" w:ascii="宋体" w:hAnsi="宋体" w:cs="宋体"/>
                <w:i w:val="0"/>
                <w:color w:val="000000"/>
                <w:kern w:val="0"/>
                <w:sz w:val="24"/>
                <w:szCs w:val="24"/>
                <w:highlight w:val="none"/>
                <w:u w:val="none"/>
                <w:lang w:val="en-US" w:eastAsia="zh-CN" w:bidi="ar-SA"/>
              </w:rPr>
              <w:t>3</w:t>
            </w:r>
          </w:p>
        </w:tc>
        <w:tc>
          <w:tcPr>
            <w:tcW w:w="2011" w:type="dxa"/>
            <w:noWrap w:val="0"/>
            <w:vAlign w:val="center"/>
          </w:tcPr>
          <w:p w14:paraId="604D41E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触摸屏</w:t>
            </w:r>
          </w:p>
        </w:tc>
        <w:tc>
          <w:tcPr>
            <w:tcW w:w="2296" w:type="dxa"/>
            <w:noWrap w:val="0"/>
            <w:vAlign w:val="center"/>
          </w:tcPr>
          <w:p w14:paraId="37DDEE8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15"触摸屏;DC24V,TCP/IP;</w:t>
            </w:r>
          </w:p>
        </w:tc>
        <w:tc>
          <w:tcPr>
            <w:tcW w:w="780" w:type="dxa"/>
            <w:noWrap w:val="0"/>
            <w:vAlign w:val="center"/>
          </w:tcPr>
          <w:p w14:paraId="3C86CAC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52B97BB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470A24C9">
            <w:pPr>
              <w:jc w:val="center"/>
              <w:rPr>
                <w:rFonts w:hint="eastAsia" w:ascii="宋体" w:hAnsi="宋体" w:eastAsia="宋体" w:cs="宋体"/>
                <w:i w:val="0"/>
                <w:color w:val="000000"/>
                <w:kern w:val="0"/>
                <w:sz w:val="24"/>
                <w:szCs w:val="24"/>
                <w:highlight w:val="none"/>
                <w:u w:val="none"/>
                <w:lang w:val="en-US" w:eastAsia="zh-CN" w:bidi="ar-SA"/>
              </w:rPr>
            </w:pPr>
          </w:p>
        </w:tc>
      </w:tr>
      <w:tr w14:paraId="3B5D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7C078603">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r>
              <w:rPr>
                <w:rFonts w:hint="eastAsia" w:ascii="宋体" w:hAnsi="宋体" w:cs="宋体"/>
                <w:i w:val="0"/>
                <w:color w:val="000000"/>
                <w:kern w:val="0"/>
                <w:sz w:val="24"/>
                <w:szCs w:val="24"/>
                <w:highlight w:val="none"/>
                <w:u w:val="none"/>
                <w:lang w:val="en-US" w:eastAsia="zh-CN" w:bidi="ar-SA"/>
              </w:rPr>
              <w:t>4</w:t>
            </w:r>
          </w:p>
        </w:tc>
        <w:tc>
          <w:tcPr>
            <w:tcW w:w="2011" w:type="dxa"/>
            <w:noWrap w:val="0"/>
            <w:vAlign w:val="center"/>
          </w:tcPr>
          <w:p w14:paraId="428D71B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控制柜</w:t>
            </w:r>
          </w:p>
        </w:tc>
        <w:tc>
          <w:tcPr>
            <w:tcW w:w="2296" w:type="dxa"/>
            <w:noWrap w:val="0"/>
            <w:vAlign w:val="center"/>
          </w:tcPr>
          <w:p w14:paraId="3082E6F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2100*800*600 , IP54,带散热除湿;</w:t>
            </w:r>
          </w:p>
        </w:tc>
        <w:tc>
          <w:tcPr>
            <w:tcW w:w="780" w:type="dxa"/>
            <w:noWrap w:val="0"/>
            <w:vAlign w:val="center"/>
          </w:tcPr>
          <w:p w14:paraId="443D887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7D138FB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2C4CA28A">
            <w:pPr>
              <w:jc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含柜内所有电气元件</w:t>
            </w:r>
          </w:p>
        </w:tc>
      </w:tr>
      <w:tr w14:paraId="581A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406A08D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2011" w:type="dxa"/>
            <w:noWrap w:val="0"/>
            <w:vAlign w:val="center"/>
          </w:tcPr>
          <w:p w14:paraId="67B09122">
            <w:pPr>
              <w:jc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PLC编程电缆、软件编程及调试</w:t>
            </w:r>
          </w:p>
        </w:tc>
        <w:tc>
          <w:tcPr>
            <w:tcW w:w="2296" w:type="dxa"/>
            <w:noWrap w:val="0"/>
            <w:vAlign w:val="center"/>
          </w:tcPr>
          <w:p w14:paraId="39A68B8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780" w:type="dxa"/>
            <w:noWrap w:val="0"/>
            <w:vAlign w:val="center"/>
          </w:tcPr>
          <w:p w14:paraId="38A8E4D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3764942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项</w:t>
            </w:r>
          </w:p>
        </w:tc>
        <w:tc>
          <w:tcPr>
            <w:tcW w:w="1764" w:type="dxa"/>
            <w:noWrap w:val="0"/>
            <w:vAlign w:val="center"/>
          </w:tcPr>
          <w:p w14:paraId="1C8052B1">
            <w:pPr>
              <w:jc w:val="center"/>
              <w:rPr>
                <w:rFonts w:hint="eastAsia" w:ascii="宋体" w:hAnsi="宋体" w:eastAsia="宋体" w:cs="宋体"/>
                <w:i w:val="0"/>
                <w:color w:val="000000"/>
                <w:kern w:val="0"/>
                <w:sz w:val="24"/>
                <w:szCs w:val="24"/>
                <w:highlight w:val="none"/>
                <w:u w:val="none"/>
                <w:lang w:val="en-US" w:eastAsia="zh-CN" w:bidi="ar-SA"/>
              </w:rPr>
            </w:pPr>
          </w:p>
        </w:tc>
      </w:tr>
      <w:tr w14:paraId="39CB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56393383">
            <w:pPr>
              <w:jc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控制层</w:t>
            </w:r>
          </w:p>
        </w:tc>
      </w:tr>
      <w:tr w14:paraId="6EBF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48F2D3D7">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7EF63B3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操作站</w:t>
            </w:r>
          </w:p>
        </w:tc>
        <w:tc>
          <w:tcPr>
            <w:tcW w:w="2296" w:type="dxa"/>
            <w:noWrap w:val="0"/>
            <w:vAlign w:val="center"/>
          </w:tcPr>
          <w:p w14:paraId="4D65424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酷睿I7,16G内存,1T硬盘,独立显</w:t>
            </w:r>
            <w:r>
              <w:rPr>
                <w:rFonts w:hint="eastAsia" w:ascii="宋体" w:hAnsi="宋体" w:eastAsia="宋体" w:cs="宋体"/>
                <w:i w:val="0"/>
                <w:color w:val="000000"/>
                <w:kern w:val="0"/>
                <w:sz w:val="24"/>
                <w:szCs w:val="24"/>
                <w:highlight w:val="none"/>
                <w:u w:val="none"/>
                <w:lang w:val="en-US" w:eastAsia="zh-CN" w:bidi="ar-SA"/>
              </w:rPr>
              <w:br w:type="textWrapping"/>
            </w:r>
            <w:r>
              <w:rPr>
                <w:rFonts w:hint="eastAsia" w:ascii="宋体" w:hAnsi="宋体" w:eastAsia="宋体" w:cs="宋体"/>
                <w:i w:val="0"/>
                <w:color w:val="000000"/>
                <w:kern w:val="0"/>
                <w:sz w:val="24"/>
                <w:szCs w:val="24"/>
                <w:highlight w:val="none"/>
                <w:u w:val="none"/>
                <w:lang w:val="en-US" w:eastAsia="zh-CN" w:bidi="ar-SA"/>
              </w:rPr>
              <w:t>卡,带24寸宽屏显示器</w:t>
            </w:r>
          </w:p>
        </w:tc>
        <w:tc>
          <w:tcPr>
            <w:tcW w:w="780" w:type="dxa"/>
            <w:noWrap w:val="0"/>
            <w:vAlign w:val="center"/>
          </w:tcPr>
          <w:p w14:paraId="1FC3546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06F7573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7D970994">
            <w:pPr>
              <w:jc w:val="center"/>
              <w:rPr>
                <w:rFonts w:hint="eastAsia" w:ascii="宋体" w:hAnsi="宋体" w:eastAsia="宋体" w:cs="宋体"/>
                <w:i w:val="0"/>
                <w:color w:val="000000"/>
                <w:kern w:val="0"/>
                <w:sz w:val="24"/>
                <w:szCs w:val="24"/>
                <w:highlight w:val="none"/>
                <w:u w:val="none"/>
                <w:lang w:val="en-US" w:eastAsia="zh-CN" w:bidi="ar-SA"/>
              </w:rPr>
            </w:pPr>
          </w:p>
        </w:tc>
      </w:tr>
      <w:tr w14:paraId="7118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0DBA738C">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6008FFF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双工位操作台</w:t>
            </w:r>
          </w:p>
        </w:tc>
        <w:tc>
          <w:tcPr>
            <w:tcW w:w="2296" w:type="dxa"/>
            <w:noWrap w:val="0"/>
            <w:vAlign w:val="center"/>
          </w:tcPr>
          <w:p w14:paraId="63B3FBD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1200*800*700</w:t>
            </w:r>
          </w:p>
        </w:tc>
        <w:tc>
          <w:tcPr>
            <w:tcW w:w="780" w:type="dxa"/>
            <w:noWrap w:val="0"/>
            <w:vAlign w:val="center"/>
          </w:tcPr>
          <w:p w14:paraId="53460E0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09595CD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4813CA99">
            <w:pPr>
              <w:jc w:val="center"/>
              <w:rPr>
                <w:rFonts w:hint="eastAsia" w:ascii="宋体" w:hAnsi="宋体" w:eastAsia="宋体" w:cs="宋体"/>
                <w:i w:val="0"/>
                <w:color w:val="000000"/>
                <w:kern w:val="0"/>
                <w:sz w:val="24"/>
                <w:szCs w:val="24"/>
                <w:highlight w:val="none"/>
                <w:u w:val="none"/>
                <w:lang w:val="en-US" w:eastAsia="zh-CN" w:bidi="ar-SA"/>
              </w:rPr>
            </w:pPr>
          </w:p>
        </w:tc>
      </w:tr>
      <w:tr w14:paraId="1429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086949A3">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7D956CD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安防站</w:t>
            </w:r>
          </w:p>
        </w:tc>
        <w:tc>
          <w:tcPr>
            <w:tcW w:w="2296" w:type="dxa"/>
            <w:noWrap w:val="0"/>
            <w:vAlign w:val="center"/>
          </w:tcPr>
          <w:p w14:paraId="665B04E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酷睿I7,16G内存,1T硬盘,独立显</w:t>
            </w:r>
            <w:r>
              <w:rPr>
                <w:rFonts w:hint="eastAsia" w:ascii="宋体" w:hAnsi="宋体" w:eastAsia="宋体" w:cs="宋体"/>
                <w:i w:val="0"/>
                <w:color w:val="000000"/>
                <w:kern w:val="0"/>
                <w:sz w:val="24"/>
                <w:szCs w:val="24"/>
                <w:highlight w:val="none"/>
                <w:u w:val="none"/>
                <w:lang w:val="en-US" w:eastAsia="zh-CN" w:bidi="ar-SA"/>
              </w:rPr>
              <w:br w:type="textWrapping"/>
            </w:r>
            <w:r>
              <w:rPr>
                <w:rFonts w:hint="eastAsia" w:ascii="宋体" w:hAnsi="宋体" w:eastAsia="宋体" w:cs="宋体"/>
                <w:i w:val="0"/>
                <w:color w:val="000000"/>
                <w:kern w:val="0"/>
                <w:sz w:val="24"/>
                <w:szCs w:val="24"/>
                <w:highlight w:val="none"/>
                <w:u w:val="none"/>
                <w:lang w:val="en-US" w:eastAsia="zh-CN" w:bidi="ar-SA"/>
              </w:rPr>
              <w:t>卡,带24寸宽屏显示器</w:t>
            </w:r>
          </w:p>
        </w:tc>
        <w:tc>
          <w:tcPr>
            <w:tcW w:w="780" w:type="dxa"/>
            <w:noWrap w:val="0"/>
            <w:vAlign w:val="center"/>
          </w:tcPr>
          <w:p w14:paraId="1884EA5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399F4B8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5C097203">
            <w:pPr>
              <w:jc w:val="center"/>
              <w:rPr>
                <w:rFonts w:hint="eastAsia" w:ascii="宋体" w:hAnsi="宋体" w:eastAsia="宋体" w:cs="宋体"/>
                <w:i w:val="0"/>
                <w:color w:val="000000"/>
                <w:kern w:val="0"/>
                <w:sz w:val="24"/>
                <w:szCs w:val="24"/>
                <w:highlight w:val="none"/>
                <w:u w:val="none"/>
                <w:lang w:val="en-US" w:eastAsia="zh-CN" w:bidi="ar-SA"/>
              </w:rPr>
            </w:pPr>
          </w:p>
        </w:tc>
      </w:tr>
      <w:tr w14:paraId="1708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2B3CB4F4">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3EF28B0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服务器</w:t>
            </w:r>
          </w:p>
        </w:tc>
        <w:tc>
          <w:tcPr>
            <w:tcW w:w="2296" w:type="dxa"/>
            <w:noWrap w:val="0"/>
            <w:vAlign w:val="center"/>
          </w:tcPr>
          <w:p w14:paraId="14114EE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2U机架式服务器,2X10核英特尔</w:t>
            </w:r>
            <w:r>
              <w:rPr>
                <w:rFonts w:hint="eastAsia" w:ascii="宋体" w:hAnsi="宋体" w:eastAsia="宋体" w:cs="宋体"/>
                <w:i w:val="0"/>
                <w:color w:val="000000"/>
                <w:kern w:val="0"/>
                <w:sz w:val="24"/>
                <w:szCs w:val="24"/>
                <w:highlight w:val="none"/>
                <w:u w:val="none"/>
                <w:lang w:val="en-US" w:eastAsia="zh-CN" w:bidi="ar-SA"/>
              </w:rPr>
              <w:br w:type="textWrapping"/>
            </w:r>
            <w:r>
              <w:rPr>
                <w:rFonts w:hint="eastAsia" w:ascii="宋体" w:hAnsi="宋体" w:eastAsia="宋体" w:cs="宋体"/>
                <w:i w:val="0"/>
                <w:color w:val="000000"/>
                <w:kern w:val="0"/>
                <w:sz w:val="24"/>
                <w:szCs w:val="24"/>
                <w:highlight w:val="none"/>
                <w:u w:val="none"/>
                <w:lang w:val="en-US" w:eastAsia="zh-CN" w:bidi="ar-SA"/>
              </w:rPr>
              <w:t>至强处理器,2.4G以上;</w:t>
            </w:r>
          </w:p>
        </w:tc>
        <w:tc>
          <w:tcPr>
            <w:tcW w:w="780" w:type="dxa"/>
            <w:noWrap w:val="0"/>
            <w:vAlign w:val="center"/>
          </w:tcPr>
          <w:p w14:paraId="71148DE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840" w:type="dxa"/>
            <w:noWrap w:val="0"/>
            <w:vAlign w:val="center"/>
          </w:tcPr>
          <w:p w14:paraId="509B696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top"/>
          </w:tcPr>
          <w:p w14:paraId="142F7A03">
            <w:pPr>
              <w:jc w:val="center"/>
              <w:rPr>
                <w:rFonts w:hint="eastAsia" w:ascii="宋体" w:hAnsi="宋体" w:eastAsia="宋体" w:cs="宋体"/>
                <w:i w:val="0"/>
                <w:color w:val="000000"/>
                <w:kern w:val="0"/>
                <w:sz w:val="24"/>
                <w:szCs w:val="24"/>
                <w:highlight w:val="none"/>
                <w:u w:val="none"/>
                <w:lang w:val="en-US" w:eastAsia="zh-CN" w:bidi="ar-SA"/>
              </w:rPr>
            </w:pPr>
          </w:p>
        </w:tc>
      </w:tr>
      <w:tr w14:paraId="0F98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358427DE">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61FA852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UPS柜</w:t>
            </w:r>
          </w:p>
        </w:tc>
        <w:tc>
          <w:tcPr>
            <w:tcW w:w="2296" w:type="dxa"/>
            <w:noWrap w:val="0"/>
            <w:vAlign w:val="center"/>
          </w:tcPr>
          <w:p w14:paraId="2FCFF80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6KVA , 2 小时,后备式机架安装2000*800*600</w:t>
            </w:r>
          </w:p>
        </w:tc>
        <w:tc>
          <w:tcPr>
            <w:tcW w:w="780" w:type="dxa"/>
            <w:noWrap w:val="0"/>
            <w:vAlign w:val="center"/>
          </w:tcPr>
          <w:p w14:paraId="0BC72FC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7C33B85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top"/>
          </w:tcPr>
          <w:p w14:paraId="6C29A08C">
            <w:pPr>
              <w:jc w:val="center"/>
              <w:rPr>
                <w:rFonts w:hint="eastAsia" w:ascii="宋体" w:hAnsi="宋体" w:eastAsia="宋体" w:cs="宋体"/>
                <w:i w:val="0"/>
                <w:color w:val="000000"/>
                <w:kern w:val="0"/>
                <w:sz w:val="24"/>
                <w:szCs w:val="24"/>
                <w:highlight w:val="none"/>
                <w:u w:val="none"/>
                <w:lang w:val="en-US" w:eastAsia="zh-CN" w:bidi="ar-SA"/>
              </w:rPr>
            </w:pPr>
          </w:p>
        </w:tc>
      </w:tr>
      <w:tr w14:paraId="2CD2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6E913CE">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725C4E9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网络柜</w:t>
            </w:r>
          </w:p>
        </w:tc>
        <w:tc>
          <w:tcPr>
            <w:tcW w:w="2296" w:type="dxa"/>
            <w:noWrap w:val="0"/>
            <w:vAlign w:val="center"/>
          </w:tcPr>
          <w:p w14:paraId="5C98D50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标准 19 英寸网络柜, 2000*800*800</w:t>
            </w:r>
          </w:p>
        </w:tc>
        <w:tc>
          <w:tcPr>
            <w:tcW w:w="780" w:type="dxa"/>
            <w:noWrap w:val="0"/>
            <w:vAlign w:val="center"/>
          </w:tcPr>
          <w:p w14:paraId="334D948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07DD323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top"/>
          </w:tcPr>
          <w:p w14:paraId="41DAB297">
            <w:pPr>
              <w:jc w:val="center"/>
              <w:rPr>
                <w:rFonts w:hint="eastAsia" w:ascii="宋体" w:hAnsi="宋体" w:eastAsia="宋体" w:cs="宋体"/>
                <w:i w:val="0"/>
                <w:color w:val="000000"/>
                <w:kern w:val="0"/>
                <w:sz w:val="24"/>
                <w:szCs w:val="24"/>
                <w:highlight w:val="none"/>
                <w:u w:val="none"/>
                <w:lang w:val="en-US" w:eastAsia="zh-CN" w:bidi="ar-SA"/>
              </w:rPr>
            </w:pPr>
          </w:p>
        </w:tc>
      </w:tr>
      <w:tr w14:paraId="108C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787F2CEC">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7A6C947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交换机</w:t>
            </w:r>
          </w:p>
        </w:tc>
        <w:tc>
          <w:tcPr>
            <w:tcW w:w="2296" w:type="dxa"/>
            <w:noWrap w:val="0"/>
            <w:vAlign w:val="center"/>
          </w:tcPr>
          <w:p w14:paraId="73E6FD7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 光 16 电,千兆自适应,网管型</w:t>
            </w:r>
          </w:p>
        </w:tc>
        <w:tc>
          <w:tcPr>
            <w:tcW w:w="780" w:type="dxa"/>
            <w:noWrap w:val="0"/>
            <w:vAlign w:val="center"/>
          </w:tcPr>
          <w:p w14:paraId="306207A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436ADF3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台</w:t>
            </w:r>
          </w:p>
        </w:tc>
        <w:tc>
          <w:tcPr>
            <w:tcW w:w="1764" w:type="dxa"/>
            <w:noWrap w:val="0"/>
            <w:vAlign w:val="top"/>
          </w:tcPr>
          <w:p w14:paraId="41C74F0F">
            <w:pPr>
              <w:jc w:val="center"/>
              <w:rPr>
                <w:rFonts w:hint="eastAsia" w:ascii="宋体" w:hAnsi="宋体" w:eastAsia="宋体" w:cs="宋体"/>
                <w:i w:val="0"/>
                <w:color w:val="000000"/>
                <w:kern w:val="0"/>
                <w:sz w:val="24"/>
                <w:szCs w:val="24"/>
                <w:highlight w:val="none"/>
                <w:u w:val="none"/>
                <w:lang w:val="en-US" w:eastAsia="zh-CN" w:bidi="ar-SA"/>
              </w:rPr>
            </w:pPr>
          </w:p>
        </w:tc>
      </w:tr>
      <w:tr w14:paraId="1FCB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CC25EF0">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67D561F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防火墙</w:t>
            </w:r>
          </w:p>
        </w:tc>
        <w:tc>
          <w:tcPr>
            <w:tcW w:w="2296" w:type="dxa"/>
            <w:noWrap w:val="0"/>
            <w:vAlign w:val="center"/>
          </w:tcPr>
          <w:p w14:paraId="4B84C8E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6 电口,三层百兆,带入侵监测</w:t>
            </w:r>
          </w:p>
        </w:tc>
        <w:tc>
          <w:tcPr>
            <w:tcW w:w="780" w:type="dxa"/>
            <w:noWrap w:val="0"/>
            <w:vAlign w:val="center"/>
          </w:tcPr>
          <w:p w14:paraId="75502D6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178D4E5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台</w:t>
            </w:r>
          </w:p>
        </w:tc>
        <w:tc>
          <w:tcPr>
            <w:tcW w:w="1764" w:type="dxa"/>
            <w:noWrap w:val="0"/>
            <w:vAlign w:val="top"/>
          </w:tcPr>
          <w:p w14:paraId="3DE692C6">
            <w:pPr>
              <w:jc w:val="center"/>
              <w:rPr>
                <w:rFonts w:hint="eastAsia" w:ascii="宋体" w:hAnsi="宋体" w:eastAsia="宋体" w:cs="宋体"/>
                <w:i w:val="0"/>
                <w:color w:val="000000"/>
                <w:kern w:val="0"/>
                <w:sz w:val="24"/>
                <w:szCs w:val="24"/>
                <w:highlight w:val="none"/>
                <w:u w:val="none"/>
                <w:lang w:val="en-US" w:eastAsia="zh-CN" w:bidi="ar-SA"/>
              </w:rPr>
            </w:pPr>
          </w:p>
        </w:tc>
      </w:tr>
      <w:tr w14:paraId="75DB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40BCD1E">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5BFD2D7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打印机</w:t>
            </w:r>
          </w:p>
        </w:tc>
        <w:tc>
          <w:tcPr>
            <w:tcW w:w="2296" w:type="dxa"/>
            <w:noWrap w:val="0"/>
            <w:vAlign w:val="center"/>
          </w:tcPr>
          <w:p w14:paraId="5E7E48A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A3/A4 激光打印机</w:t>
            </w:r>
          </w:p>
        </w:tc>
        <w:tc>
          <w:tcPr>
            <w:tcW w:w="780" w:type="dxa"/>
            <w:noWrap w:val="0"/>
            <w:vAlign w:val="center"/>
          </w:tcPr>
          <w:p w14:paraId="2A2BC8F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6C5E3AD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台</w:t>
            </w:r>
          </w:p>
        </w:tc>
        <w:tc>
          <w:tcPr>
            <w:tcW w:w="1764" w:type="dxa"/>
            <w:noWrap w:val="0"/>
            <w:vAlign w:val="top"/>
          </w:tcPr>
          <w:p w14:paraId="36391589">
            <w:pPr>
              <w:jc w:val="center"/>
              <w:rPr>
                <w:rFonts w:hint="eastAsia" w:ascii="宋体" w:hAnsi="宋体" w:eastAsia="宋体" w:cs="宋体"/>
                <w:i w:val="0"/>
                <w:color w:val="000000"/>
                <w:kern w:val="0"/>
                <w:sz w:val="24"/>
                <w:szCs w:val="24"/>
                <w:highlight w:val="none"/>
                <w:u w:val="none"/>
                <w:lang w:val="en-US" w:eastAsia="zh-CN" w:bidi="ar-SA"/>
              </w:rPr>
            </w:pPr>
          </w:p>
        </w:tc>
      </w:tr>
      <w:tr w14:paraId="2D96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26158CE3">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3E6E6CF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组态软件</w:t>
            </w:r>
          </w:p>
        </w:tc>
        <w:tc>
          <w:tcPr>
            <w:tcW w:w="2296" w:type="dxa"/>
            <w:noWrap w:val="0"/>
            <w:vAlign w:val="center"/>
          </w:tcPr>
          <w:p w14:paraId="799F824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单机版,含组态画面开发</w:t>
            </w:r>
          </w:p>
        </w:tc>
        <w:tc>
          <w:tcPr>
            <w:tcW w:w="780" w:type="dxa"/>
            <w:noWrap w:val="0"/>
            <w:vAlign w:val="center"/>
          </w:tcPr>
          <w:p w14:paraId="67350ED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5048222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top"/>
          </w:tcPr>
          <w:p w14:paraId="5D551833">
            <w:pPr>
              <w:jc w:val="center"/>
              <w:rPr>
                <w:rFonts w:hint="eastAsia" w:ascii="宋体" w:hAnsi="宋体" w:eastAsia="宋体" w:cs="宋体"/>
                <w:i w:val="0"/>
                <w:color w:val="000000"/>
                <w:kern w:val="0"/>
                <w:sz w:val="24"/>
                <w:szCs w:val="24"/>
                <w:highlight w:val="none"/>
                <w:u w:val="none"/>
                <w:lang w:val="en-US" w:eastAsia="zh-CN" w:bidi="ar-SA"/>
              </w:rPr>
            </w:pPr>
          </w:p>
        </w:tc>
      </w:tr>
      <w:tr w14:paraId="5BBA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2A976C12">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6CE68B1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数据库软件</w:t>
            </w:r>
          </w:p>
        </w:tc>
        <w:tc>
          <w:tcPr>
            <w:tcW w:w="2296" w:type="dxa"/>
            <w:noWrap w:val="0"/>
            <w:vAlign w:val="center"/>
          </w:tcPr>
          <w:p w14:paraId="2E16EE3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历史数据库,500点</w:t>
            </w:r>
          </w:p>
        </w:tc>
        <w:tc>
          <w:tcPr>
            <w:tcW w:w="780" w:type="dxa"/>
            <w:noWrap w:val="0"/>
            <w:vAlign w:val="center"/>
          </w:tcPr>
          <w:p w14:paraId="3EDD4C2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43A6955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top"/>
          </w:tcPr>
          <w:p w14:paraId="03B0D9DF">
            <w:pPr>
              <w:jc w:val="center"/>
              <w:rPr>
                <w:rFonts w:hint="eastAsia" w:ascii="宋体" w:hAnsi="宋体" w:eastAsia="宋体" w:cs="宋体"/>
                <w:i w:val="0"/>
                <w:color w:val="000000"/>
                <w:kern w:val="0"/>
                <w:sz w:val="24"/>
                <w:szCs w:val="24"/>
                <w:highlight w:val="none"/>
                <w:u w:val="none"/>
                <w:lang w:val="en-US" w:eastAsia="zh-CN" w:bidi="ar-SA"/>
              </w:rPr>
            </w:pPr>
          </w:p>
        </w:tc>
      </w:tr>
      <w:tr w14:paraId="57F9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73F75CA3">
            <w:pPr>
              <w:tabs>
                <w:tab w:val="left" w:pos="3193"/>
              </w:tabs>
              <w:jc w:val="left"/>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ab/>
            </w:r>
            <w:r>
              <w:rPr>
                <w:rFonts w:hint="eastAsia" w:ascii="宋体" w:hAnsi="宋体" w:eastAsia="宋体" w:cs="宋体"/>
                <w:i w:val="0"/>
                <w:color w:val="000000"/>
                <w:kern w:val="0"/>
                <w:sz w:val="24"/>
                <w:szCs w:val="24"/>
                <w:highlight w:val="none"/>
                <w:u w:val="none"/>
                <w:lang w:val="en-US" w:eastAsia="zh-CN" w:bidi="ar-SA"/>
              </w:rPr>
              <w:t>安防设备</w:t>
            </w:r>
          </w:p>
        </w:tc>
      </w:tr>
      <w:tr w14:paraId="0A46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2C2C793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2011" w:type="dxa"/>
            <w:noWrap w:val="0"/>
            <w:vAlign w:val="center"/>
          </w:tcPr>
          <w:p w14:paraId="79748CD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监控枪机</w:t>
            </w:r>
          </w:p>
        </w:tc>
        <w:tc>
          <w:tcPr>
            <w:tcW w:w="2296" w:type="dxa"/>
            <w:noWrap w:val="0"/>
            <w:vAlign w:val="center"/>
          </w:tcPr>
          <w:p w14:paraId="53EC294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IP68 , 400 万像素 , 网络型</w:t>
            </w:r>
          </w:p>
        </w:tc>
        <w:tc>
          <w:tcPr>
            <w:tcW w:w="780" w:type="dxa"/>
            <w:noWrap w:val="0"/>
            <w:vAlign w:val="center"/>
          </w:tcPr>
          <w:p w14:paraId="3E234CA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8</w:t>
            </w:r>
          </w:p>
        </w:tc>
        <w:tc>
          <w:tcPr>
            <w:tcW w:w="840" w:type="dxa"/>
            <w:noWrap w:val="0"/>
            <w:vAlign w:val="center"/>
          </w:tcPr>
          <w:p w14:paraId="4D7F922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319179D4">
            <w:pPr>
              <w:jc w:val="center"/>
              <w:rPr>
                <w:rFonts w:hint="eastAsia" w:ascii="宋体" w:hAnsi="宋体" w:eastAsia="宋体" w:cs="宋体"/>
                <w:i w:val="0"/>
                <w:color w:val="000000"/>
                <w:kern w:val="0"/>
                <w:sz w:val="24"/>
                <w:szCs w:val="24"/>
                <w:highlight w:val="none"/>
                <w:u w:val="none"/>
                <w:lang w:val="en-US" w:eastAsia="zh-CN" w:bidi="ar-SA"/>
              </w:rPr>
            </w:pPr>
          </w:p>
        </w:tc>
      </w:tr>
      <w:tr w14:paraId="08DB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1B1400B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2011" w:type="dxa"/>
            <w:noWrap w:val="0"/>
            <w:vAlign w:val="center"/>
          </w:tcPr>
          <w:p w14:paraId="06D7FD5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监控球机</w:t>
            </w:r>
          </w:p>
        </w:tc>
        <w:tc>
          <w:tcPr>
            <w:tcW w:w="2296" w:type="dxa"/>
            <w:noWrap w:val="0"/>
            <w:vAlign w:val="center"/>
          </w:tcPr>
          <w:p w14:paraId="0E0A3D9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IP68 , 400 万像素 , 网络型</w:t>
            </w:r>
          </w:p>
        </w:tc>
        <w:tc>
          <w:tcPr>
            <w:tcW w:w="780" w:type="dxa"/>
            <w:noWrap w:val="0"/>
            <w:vAlign w:val="center"/>
          </w:tcPr>
          <w:p w14:paraId="39FA332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5</w:t>
            </w:r>
          </w:p>
        </w:tc>
        <w:tc>
          <w:tcPr>
            <w:tcW w:w="840" w:type="dxa"/>
            <w:noWrap w:val="0"/>
            <w:vAlign w:val="center"/>
          </w:tcPr>
          <w:p w14:paraId="07D1810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14BF886F">
            <w:pPr>
              <w:jc w:val="center"/>
              <w:rPr>
                <w:rFonts w:hint="eastAsia" w:ascii="宋体" w:hAnsi="宋体" w:eastAsia="宋体" w:cs="宋体"/>
                <w:i w:val="0"/>
                <w:color w:val="000000"/>
                <w:kern w:val="0"/>
                <w:sz w:val="24"/>
                <w:szCs w:val="24"/>
                <w:highlight w:val="none"/>
                <w:u w:val="none"/>
                <w:lang w:val="en-US" w:eastAsia="zh-CN" w:bidi="ar-SA"/>
              </w:rPr>
            </w:pPr>
          </w:p>
        </w:tc>
      </w:tr>
      <w:tr w14:paraId="2BA9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2C562A6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w:t>
            </w:r>
          </w:p>
        </w:tc>
        <w:tc>
          <w:tcPr>
            <w:tcW w:w="2011" w:type="dxa"/>
            <w:noWrap w:val="0"/>
            <w:vAlign w:val="center"/>
          </w:tcPr>
          <w:p w14:paraId="1A6266E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监控箱</w:t>
            </w:r>
          </w:p>
        </w:tc>
        <w:tc>
          <w:tcPr>
            <w:tcW w:w="2296" w:type="dxa"/>
            <w:noWrap w:val="0"/>
            <w:vAlign w:val="center"/>
          </w:tcPr>
          <w:p w14:paraId="5A62376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304 不锈钢 ,IP65;含元器件;</w:t>
            </w:r>
          </w:p>
        </w:tc>
        <w:tc>
          <w:tcPr>
            <w:tcW w:w="780" w:type="dxa"/>
            <w:noWrap w:val="0"/>
            <w:vAlign w:val="center"/>
          </w:tcPr>
          <w:p w14:paraId="2A64AE6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7</w:t>
            </w:r>
          </w:p>
        </w:tc>
        <w:tc>
          <w:tcPr>
            <w:tcW w:w="840" w:type="dxa"/>
            <w:noWrap w:val="0"/>
            <w:vAlign w:val="center"/>
          </w:tcPr>
          <w:p w14:paraId="0565BDD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37D45A20">
            <w:pPr>
              <w:jc w:val="center"/>
              <w:rPr>
                <w:rFonts w:hint="eastAsia" w:ascii="宋体" w:hAnsi="宋体" w:eastAsia="宋体" w:cs="宋体"/>
                <w:i w:val="0"/>
                <w:color w:val="000000"/>
                <w:kern w:val="0"/>
                <w:sz w:val="24"/>
                <w:szCs w:val="24"/>
                <w:highlight w:val="none"/>
                <w:u w:val="none"/>
                <w:lang w:val="en-US" w:eastAsia="zh-CN" w:bidi="ar-SA"/>
              </w:rPr>
            </w:pPr>
          </w:p>
        </w:tc>
      </w:tr>
      <w:tr w14:paraId="5ACE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0291738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4</w:t>
            </w:r>
          </w:p>
        </w:tc>
        <w:tc>
          <w:tcPr>
            <w:tcW w:w="2011" w:type="dxa"/>
            <w:noWrap w:val="0"/>
            <w:vAlign w:val="center"/>
          </w:tcPr>
          <w:p w14:paraId="5634A45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交换机</w:t>
            </w:r>
          </w:p>
        </w:tc>
        <w:tc>
          <w:tcPr>
            <w:tcW w:w="2296" w:type="dxa"/>
            <w:noWrap w:val="0"/>
            <w:vAlign w:val="center"/>
          </w:tcPr>
          <w:p w14:paraId="020E2B9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2光4电口;网管型;环网百兆</w:t>
            </w:r>
          </w:p>
        </w:tc>
        <w:tc>
          <w:tcPr>
            <w:tcW w:w="780" w:type="dxa"/>
            <w:noWrap w:val="0"/>
            <w:vAlign w:val="center"/>
          </w:tcPr>
          <w:p w14:paraId="2A538B3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7</w:t>
            </w:r>
          </w:p>
        </w:tc>
        <w:tc>
          <w:tcPr>
            <w:tcW w:w="840" w:type="dxa"/>
            <w:noWrap w:val="0"/>
            <w:vAlign w:val="center"/>
          </w:tcPr>
          <w:p w14:paraId="4D5C7A4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台</w:t>
            </w:r>
          </w:p>
        </w:tc>
        <w:tc>
          <w:tcPr>
            <w:tcW w:w="1764" w:type="dxa"/>
            <w:noWrap w:val="0"/>
            <w:vAlign w:val="center"/>
          </w:tcPr>
          <w:p w14:paraId="7855D43B">
            <w:pPr>
              <w:jc w:val="center"/>
              <w:rPr>
                <w:rFonts w:hint="eastAsia" w:ascii="宋体" w:hAnsi="宋体" w:eastAsia="宋体" w:cs="宋体"/>
                <w:i w:val="0"/>
                <w:color w:val="000000"/>
                <w:kern w:val="0"/>
                <w:sz w:val="24"/>
                <w:szCs w:val="24"/>
                <w:highlight w:val="none"/>
                <w:u w:val="none"/>
                <w:lang w:val="en-US" w:eastAsia="zh-CN" w:bidi="ar-SA"/>
              </w:rPr>
            </w:pPr>
          </w:p>
        </w:tc>
      </w:tr>
      <w:tr w14:paraId="1734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34F93E0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5</w:t>
            </w:r>
          </w:p>
        </w:tc>
        <w:tc>
          <w:tcPr>
            <w:tcW w:w="2011" w:type="dxa"/>
            <w:noWrap w:val="0"/>
            <w:vAlign w:val="center"/>
          </w:tcPr>
          <w:p w14:paraId="0014139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二合一防雷器</w:t>
            </w:r>
          </w:p>
        </w:tc>
        <w:tc>
          <w:tcPr>
            <w:tcW w:w="2296" w:type="dxa"/>
            <w:noWrap w:val="0"/>
            <w:vAlign w:val="center"/>
          </w:tcPr>
          <w:p w14:paraId="10FB75B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RJ45;AC220V;监控专用;</w:t>
            </w:r>
          </w:p>
        </w:tc>
        <w:tc>
          <w:tcPr>
            <w:tcW w:w="780" w:type="dxa"/>
            <w:noWrap w:val="0"/>
            <w:vAlign w:val="center"/>
          </w:tcPr>
          <w:p w14:paraId="41DF0EC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11</w:t>
            </w:r>
          </w:p>
        </w:tc>
        <w:tc>
          <w:tcPr>
            <w:tcW w:w="840" w:type="dxa"/>
            <w:noWrap w:val="0"/>
            <w:vAlign w:val="center"/>
          </w:tcPr>
          <w:p w14:paraId="59E21AC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5A10D209">
            <w:pPr>
              <w:jc w:val="center"/>
              <w:rPr>
                <w:rFonts w:hint="eastAsia" w:ascii="宋体" w:hAnsi="宋体" w:eastAsia="宋体" w:cs="宋体"/>
                <w:i w:val="0"/>
                <w:color w:val="000000"/>
                <w:kern w:val="0"/>
                <w:sz w:val="24"/>
                <w:szCs w:val="24"/>
                <w:highlight w:val="none"/>
                <w:u w:val="none"/>
                <w:lang w:val="en-US" w:eastAsia="zh-CN" w:bidi="ar-SA"/>
              </w:rPr>
            </w:pPr>
          </w:p>
        </w:tc>
      </w:tr>
      <w:tr w14:paraId="1CA9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791B1E7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6</w:t>
            </w:r>
          </w:p>
        </w:tc>
        <w:tc>
          <w:tcPr>
            <w:tcW w:w="2011" w:type="dxa"/>
            <w:noWrap w:val="0"/>
            <w:vAlign w:val="center"/>
          </w:tcPr>
          <w:p w14:paraId="68B3BE6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监控立杆</w:t>
            </w:r>
          </w:p>
        </w:tc>
        <w:tc>
          <w:tcPr>
            <w:tcW w:w="2296" w:type="dxa"/>
            <w:noWrap w:val="0"/>
            <w:vAlign w:val="center"/>
          </w:tcPr>
          <w:p w14:paraId="45B23ED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3.5m,含基础;</w:t>
            </w:r>
          </w:p>
        </w:tc>
        <w:tc>
          <w:tcPr>
            <w:tcW w:w="780" w:type="dxa"/>
            <w:noWrap w:val="0"/>
            <w:vAlign w:val="center"/>
          </w:tcPr>
          <w:p w14:paraId="623FDA9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w:t>
            </w:r>
          </w:p>
        </w:tc>
        <w:tc>
          <w:tcPr>
            <w:tcW w:w="840" w:type="dxa"/>
            <w:noWrap w:val="0"/>
            <w:vAlign w:val="center"/>
          </w:tcPr>
          <w:p w14:paraId="7C96D1C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63DD0D96">
            <w:pPr>
              <w:jc w:val="center"/>
              <w:rPr>
                <w:rFonts w:hint="eastAsia" w:ascii="宋体" w:hAnsi="宋体" w:eastAsia="宋体" w:cs="宋体"/>
                <w:i w:val="0"/>
                <w:color w:val="000000"/>
                <w:kern w:val="0"/>
                <w:sz w:val="24"/>
                <w:szCs w:val="24"/>
                <w:highlight w:val="none"/>
                <w:u w:val="none"/>
                <w:lang w:val="en-US" w:eastAsia="zh-CN" w:bidi="ar-SA"/>
              </w:rPr>
            </w:pPr>
          </w:p>
        </w:tc>
      </w:tr>
      <w:tr w14:paraId="614E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4EAE9BE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7</w:t>
            </w:r>
          </w:p>
        </w:tc>
        <w:tc>
          <w:tcPr>
            <w:tcW w:w="2011" w:type="dxa"/>
            <w:noWrap w:val="0"/>
            <w:vAlign w:val="center"/>
          </w:tcPr>
          <w:p w14:paraId="1A86A4FA">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硬盘录像机</w:t>
            </w:r>
          </w:p>
        </w:tc>
        <w:tc>
          <w:tcPr>
            <w:tcW w:w="2296" w:type="dxa"/>
            <w:noWrap w:val="0"/>
            <w:vAlign w:val="center"/>
          </w:tcPr>
          <w:p w14:paraId="33E28A5C">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不少于 16 路,支持硬盘热插拔,</w:t>
            </w:r>
            <w:r>
              <w:rPr>
                <w:rFonts w:hint="eastAsia" w:ascii="宋体" w:hAnsi="宋体" w:eastAsia="宋体" w:cs="宋体"/>
                <w:i w:val="0"/>
                <w:color w:val="000000"/>
                <w:kern w:val="0"/>
                <w:sz w:val="24"/>
                <w:szCs w:val="24"/>
                <w:highlight w:val="none"/>
                <w:u w:val="none"/>
                <w:lang w:val="en-US" w:eastAsia="zh-CN" w:bidi="ar-SA"/>
              </w:rPr>
              <w:br w:type="textWrapping"/>
            </w:r>
            <w:r>
              <w:rPr>
                <w:rFonts w:hint="eastAsia" w:ascii="宋体" w:hAnsi="宋体" w:eastAsia="宋体" w:cs="宋体"/>
                <w:i w:val="0"/>
                <w:color w:val="000000"/>
                <w:kern w:val="0"/>
                <w:sz w:val="24"/>
                <w:szCs w:val="24"/>
                <w:highlight w:val="none"/>
                <w:u w:val="none"/>
                <w:lang w:val="en-US" w:eastAsia="zh-CN" w:bidi="ar-SA"/>
              </w:rPr>
              <w:t>含硬盘(8*2T);存储不少于30天</w:t>
            </w:r>
          </w:p>
        </w:tc>
        <w:tc>
          <w:tcPr>
            <w:tcW w:w="780" w:type="dxa"/>
            <w:noWrap w:val="0"/>
            <w:vAlign w:val="center"/>
          </w:tcPr>
          <w:p w14:paraId="12B4779A">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38A19533">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2B2E22E3">
            <w:pPr>
              <w:rPr>
                <w:rFonts w:hint="eastAsia" w:ascii="宋体" w:hAnsi="宋体" w:eastAsia="宋体" w:cs="宋体"/>
                <w:i w:val="0"/>
                <w:color w:val="000000"/>
                <w:kern w:val="0"/>
                <w:sz w:val="24"/>
                <w:szCs w:val="24"/>
                <w:highlight w:val="none"/>
                <w:u w:val="none"/>
                <w:lang w:val="en-US" w:eastAsia="zh-CN" w:bidi="ar-SA"/>
              </w:rPr>
            </w:pPr>
          </w:p>
        </w:tc>
      </w:tr>
      <w:tr w14:paraId="4C8B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C7C10A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8</w:t>
            </w:r>
          </w:p>
        </w:tc>
        <w:tc>
          <w:tcPr>
            <w:tcW w:w="2011" w:type="dxa"/>
            <w:noWrap w:val="0"/>
            <w:vAlign w:val="center"/>
          </w:tcPr>
          <w:p w14:paraId="1588BF9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交换机</w:t>
            </w:r>
          </w:p>
        </w:tc>
        <w:tc>
          <w:tcPr>
            <w:tcW w:w="2296" w:type="dxa"/>
            <w:noWrap w:val="0"/>
            <w:vAlign w:val="center"/>
          </w:tcPr>
          <w:p w14:paraId="3F775CB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 光 16 电,POE,千兆,网管型</w:t>
            </w:r>
          </w:p>
        </w:tc>
        <w:tc>
          <w:tcPr>
            <w:tcW w:w="780" w:type="dxa"/>
            <w:noWrap w:val="0"/>
            <w:vAlign w:val="center"/>
          </w:tcPr>
          <w:p w14:paraId="3096A97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57A3110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台</w:t>
            </w:r>
          </w:p>
        </w:tc>
        <w:tc>
          <w:tcPr>
            <w:tcW w:w="1764" w:type="dxa"/>
            <w:noWrap w:val="0"/>
            <w:vAlign w:val="center"/>
          </w:tcPr>
          <w:p w14:paraId="6AFC7C2C">
            <w:pPr>
              <w:jc w:val="center"/>
              <w:rPr>
                <w:rFonts w:hint="eastAsia" w:ascii="宋体" w:hAnsi="宋体" w:eastAsia="宋体" w:cs="宋体"/>
                <w:i w:val="0"/>
                <w:color w:val="000000"/>
                <w:kern w:val="0"/>
                <w:sz w:val="24"/>
                <w:szCs w:val="24"/>
                <w:highlight w:val="none"/>
                <w:u w:val="none"/>
                <w:lang w:val="en-US" w:eastAsia="zh-CN" w:bidi="ar-SA"/>
              </w:rPr>
            </w:pPr>
          </w:p>
        </w:tc>
      </w:tr>
      <w:tr w14:paraId="586A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27F4F87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w:t>
            </w:r>
          </w:p>
        </w:tc>
        <w:tc>
          <w:tcPr>
            <w:tcW w:w="2011" w:type="dxa"/>
            <w:noWrap w:val="0"/>
            <w:vAlign w:val="center"/>
          </w:tcPr>
          <w:p w14:paraId="0C1C318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电子围栏系统</w:t>
            </w:r>
          </w:p>
        </w:tc>
        <w:tc>
          <w:tcPr>
            <w:tcW w:w="2296" w:type="dxa"/>
            <w:noWrap w:val="0"/>
            <w:vAlign w:val="center"/>
          </w:tcPr>
          <w:p w14:paraId="00D86C5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配置详见系统拓扑图</w:t>
            </w:r>
          </w:p>
        </w:tc>
        <w:tc>
          <w:tcPr>
            <w:tcW w:w="780" w:type="dxa"/>
            <w:noWrap w:val="0"/>
            <w:vAlign w:val="center"/>
          </w:tcPr>
          <w:p w14:paraId="23A0FEB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4257622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25E30B91">
            <w:pPr>
              <w:jc w:val="center"/>
              <w:rPr>
                <w:rFonts w:hint="eastAsia" w:ascii="宋体" w:hAnsi="宋体" w:eastAsia="宋体" w:cs="宋体"/>
                <w:i w:val="0"/>
                <w:color w:val="000000"/>
                <w:kern w:val="0"/>
                <w:sz w:val="24"/>
                <w:szCs w:val="24"/>
                <w:highlight w:val="none"/>
                <w:u w:val="none"/>
                <w:lang w:val="en-US" w:eastAsia="zh-CN" w:bidi="ar-SA"/>
              </w:rPr>
            </w:pPr>
          </w:p>
        </w:tc>
      </w:tr>
      <w:tr w14:paraId="3E8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57DFCBA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13.1</w:t>
            </w:r>
          </w:p>
        </w:tc>
        <w:tc>
          <w:tcPr>
            <w:tcW w:w="2011" w:type="dxa"/>
            <w:noWrap w:val="0"/>
            <w:vAlign w:val="center"/>
          </w:tcPr>
          <w:p w14:paraId="158E081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电子围栏控制器</w:t>
            </w:r>
          </w:p>
        </w:tc>
        <w:tc>
          <w:tcPr>
            <w:tcW w:w="2296" w:type="dxa"/>
            <w:noWrap w:val="0"/>
            <w:vAlign w:val="center"/>
          </w:tcPr>
          <w:p w14:paraId="7093FF3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具备语音识别模块 ,TCP/IP 网络控制功能 , 区域报警段显示 , 带液晶屏,可显示出防区状态;DC24V 供电 , 输出电压峰值:单线对地电压 5KV ~10KV,脉冲持续时间:≤ 0.1s ; 脉冲间隔时间 :1s ~ 1.5s ;单个脉冲输出最大电量:≤ 2.5mC</w:t>
            </w:r>
          </w:p>
        </w:tc>
        <w:tc>
          <w:tcPr>
            <w:tcW w:w="780" w:type="dxa"/>
            <w:noWrap w:val="0"/>
            <w:vAlign w:val="center"/>
          </w:tcPr>
          <w:p w14:paraId="549A257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840" w:type="dxa"/>
            <w:noWrap w:val="0"/>
            <w:vAlign w:val="center"/>
          </w:tcPr>
          <w:p w14:paraId="733FA99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7940CACF">
            <w:pPr>
              <w:jc w:val="center"/>
              <w:rPr>
                <w:rFonts w:hint="eastAsia" w:ascii="宋体" w:hAnsi="宋体" w:eastAsia="宋体" w:cs="宋体"/>
                <w:i w:val="0"/>
                <w:color w:val="000000"/>
                <w:kern w:val="0"/>
                <w:sz w:val="24"/>
                <w:szCs w:val="24"/>
                <w:highlight w:val="none"/>
                <w:u w:val="none"/>
                <w:lang w:val="en-US" w:eastAsia="zh-CN" w:bidi="ar-SA"/>
              </w:rPr>
            </w:pPr>
          </w:p>
        </w:tc>
      </w:tr>
      <w:tr w14:paraId="5EA1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412898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13.2</w:t>
            </w:r>
          </w:p>
        </w:tc>
        <w:tc>
          <w:tcPr>
            <w:tcW w:w="2011" w:type="dxa"/>
            <w:noWrap w:val="0"/>
            <w:vAlign w:val="center"/>
          </w:tcPr>
          <w:p w14:paraId="2EB05F8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主机控制箱</w:t>
            </w:r>
          </w:p>
        </w:tc>
        <w:tc>
          <w:tcPr>
            <w:tcW w:w="2296" w:type="dxa"/>
            <w:noWrap w:val="0"/>
            <w:vAlign w:val="center"/>
          </w:tcPr>
          <w:p w14:paraId="0EEE588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304 不锈钢, 400mm*500mm*170mm , IP55</w:t>
            </w:r>
          </w:p>
        </w:tc>
        <w:tc>
          <w:tcPr>
            <w:tcW w:w="780" w:type="dxa"/>
            <w:noWrap w:val="0"/>
            <w:vAlign w:val="center"/>
          </w:tcPr>
          <w:p w14:paraId="508F4C6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840" w:type="dxa"/>
            <w:noWrap w:val="0"/>
            <w:vAlign w:val="center"/>
          </w:tcPr>
          <w:p w14:paraId="4EFE58D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74B2B6F0">
            <w:pPr>
              <w:jc w:val="center"/>
              <w:rPr>
                <w:rFonts w:hint="eastAsia" w:ascii="宋体" w:hAnsi="宋体" w:eastAsia="宋体" w:cs="宋体"/>
                <w:i w:val="0"/>
                <w:color w:val="000000"/>
                <w:kern w:val="0"/>
                <w:sz w:val="24"/>
                <w:szCs w:val="24"/>
                <w:highlight w:val="none"/>
                <w:u w:val="none"/>
                <w:lang w:val="en-US" w:eastAsia="zh-CN" w:bidi="ar-SA"/>
              </w:rPr>
            </w:pPr>
          </w:p>
        </w:tc>
      </w:tr>
      <w:tr w14:paraId="51B9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5156F5E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13.3</w:t>
            </w:r>
          </w:p>
        </w:tc>
        <w:tc>
          <w:tcPr>
            <w:tcW w:w="2011" w:type="dxa"/>
            <w:noWrap w:val="0"/>
            <w:vAlign w:val="center"/>
          </w:tcPr>
          <w:p w14:paraId="5266F70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高压避雷器</w:t>
            </w:r>
          </w:p>
        </w:tc>
        <w:tc>
          <w:tcPr>
            <w:tcW w:w="2296" w:type="dxa"/>
            <w:noWrap w:val="0"/>
            <w:vAlign w:val="center"/>
          </w:tcPr>
          <w:p w14:paraId="700ADB6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双层高性能氧化锌化学防雷;防静电;保护无线通讯信号不受脉冲高压电干扰</w:t>
            </w:r>
          </w:p>
        </w:tc>
        <w:tc>
          <w:tcPr>
            <w:tcW w:w="780" w:type="dxa"/>
            <w:noWrap w:val="0"/>
            <w:vAlign w:val="center"/>
          </w:tcPr>
          <w:p w14:paraId="6D071EB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4</w:t>
            </w:r>
          </w:p>
        </w:tc>
        <w:tc>
          <w:tcPr>
            <w:tcW w:w="840" w:type="dxa"/>
            <w:noWrap w:val="0"/>
            <w:vAlign w:val="center"/>
          </w:tcPr>
          <w:p w14:paraId="4DDFEE2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个</w:t>
            </w:r>
          </w:p>
        </w:tc>
        <w:tc>
          <w:tcPr>
            <w:tcW w:w="1764" w:type="dxa"/>
            <w:noWrap w:val="0"/>
            <w:vAlign w:val="center"/>
          </w:tcPr>
          <w:p w14:paraId="66518570">
            <w:pPr>
              <w:jc w:val="center"/>
              <w:rPr>
                <w:rFonts w:hint="eastAsia" w:ascii="宋体" w:hAnsi="宋体" w:eastAsia="宋体" w:cs="宋体"/>
                <w:i w:val="0"/>
                <w:color w:val="000000"/>
                <w:kern w:val="0"/>
                <w:sz w:val="24"/>
                <w:szCs w:val="24"/>
                <w:highlight w:val="none"/>
                <w:u w:val="none"/>
                <w:lang w:val="en-US" w:eastAsia="zh-CN" w:bidi="ar-SA"/>
              </w:rPr>
            </w:pPr>
          </w:p>
        </w:tc>
      </w:tr>
      <w:tr w14:paraId="41DB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7934A78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13.4</w:t>
            </w:r>
          </w:p>
        </w:tc>
        <w:tc>
          <w:tcPr>
            <w:tcW w:w="2011" w:type="dxa"/>
            <w:noWrap w:val="0"/>
            <w:vAlign w:val="center"/>
          </w:tcPr>
          <w:p w14:paraId="7F79263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报警服务器</w:t>
            </w:r>
          </w:p>
        </w:tc>
        <w:tc>
          <w:tcPr>
            <w:tcW w:w="2296" w:type="dxa"/>
            <w:noWrap w:val="0"/>
            <w:vAlign w:val="center"/>
          </w:tcPr>
          <w:p w14:paraId="1343F44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通过智能控制终端或软件对周界报警设备实现远程控制,支持直连显示器,支持语音播报与控制,设备直连联动,支持联动抓拍图片本地存储,支持电子围栏 RS485 和 TCP/IP 信号接入,支持模拟电子地图接入,直连报警打印机,直连音箱,支持报警语音推送支持报警云服务接入等。</w:t>
            </w:r>
          </w:p>
        </w:tc>
        <w:tc>
          <w:tcPr>
            <w:tcW w:w="780" w:type="dxa"/>
            <w:noWrap w:val="0"/>
            <w:vAlign w:val="center"/>
          </w:tcPr>
          <w:p w14:paraId="22929A8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663F032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4BFD9009">
            <w:pPr>
              <w:jc w:val="center"/>
              <w:rPr>
                <w:rFonts w:hint="eastAsia" w:ascii="宋体" w:hAnsi="宋体" w:eastAsia="宋体" w:cs="宋体"/>
                <w:i w:val="0"/>
                <w:color w:val="000000"/>
                <w:kern w:val="0"/>
                <w:sz w:val="24"/>
                <w:szCs w:val="24"/>
                <w:highlight w:val="none"/>
                <w:u w:val="none"/>
                <w:lang w:val="en-US" w:eastAsia="zh-CN" w:bidi="ar-SA"/>
              </w:rPr>
            </w:pPr>
          </w:p>
        </w:tc>
      </w:tr>
      <w:tr w14:paraId="7B50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190FFA2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13.5</w:t>
            </w:r>
          </w:p>
        </w:tc>
        <w:tc>
          <w:tcPr>
            <w:tcW w:w="2011" w:type="dxa"/>
            <w:noWrap w:val="0"/>
            <w:vAlign w:val="center"/>
          </w:tcPr>
          <w:p w14:paraId="2C85A86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语音模块</w:t>
            </w:r>
          </w:p>
        </w:tc>
        <w:tc>
          <w:tcPr>
            <w:tcW w:w="2296" w:type="dxa"/>
            <w:noWrap w:val="0"/>
            <w:vAlign w:val="center"/>
          </w:tcPr>
          <w:p w14:paraId="78A577A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RJ45 网络通讯,带 8W 功放电路,可直接用 8W 喇叭输出声音;支持多种内码格式文本的合成;</w:t>
            </w:r>
          </w:p>
        </w:tc>
        <w:tc>
          <w:tcPr>
            <w:tcW w:w="780" w:type="dxa"/>
            <w:noWrap w:val="0"/>
            <w:vAlign w:val="center"/>
          </w:tcPr>
          <w:p w14:paraId="10738CC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4</w:t>
            </w:r>
          </w:p>
        </w:tc>
        <w:tc>
          <w:tcPr>
            <w:tcW w:w="840" w:type="dxa"/>
            <w:noWrap w:val="0"/>
            <w:vAlign w:val="center"/>
          </w:tcPr>
          <w:p w14:paraId="58235C5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个</w:t>
            </w:r>
          </w:p>
        </w:tc>
        <w:tc>
          <w:tcPr>
            <w:tcW w:w="1764" w:type="dxa"/>
            <w:noWrap w:val="0"/>
            <w:vAlign w:val="center"/>
          </w:tcPr>
          <w:p w14:paraId="15862D2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支持语音播报与控制,设备直连联动,支持联动抓拍图片本地存储,</w:t>
            </w:r>
          </w:p>
        </w:tc>
      </w:tr>
      <w:tr w14:paraId="3F58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4A3496B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13.6</w:t>
            </w:r>
          </w:p>
        </w:tc>
        <w:tc>
          <w:tcPr>
            <w:tcW w:w="2011" w:type="dxa"/>
            <w:noWrap w:val="0"/>
            <w:vAlign w:val="center"/>
          </w:tcPr>
          <w:p w14:paraId="2174F4C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高强度铝合金终端杆</w:t>
            </w:r>
          </w:p>
        </w:tc>
        <w:tc>
          <w:tcPr>
            <w:tcW w:w="2296" w:type="dxa"/>
            <w:noWrap w:val="0"/>
            <w:vAlign w:val="center"/>
          </w:tcPr>
          <w:p w14:paraId="5083BBB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拉丝银灰 ,铝镁合金材质</w:t>
            </w:r>
          </w:p>
        </w:tc>
        <w:tc>
          <w:tcPr>
            <w:tcW w:w="780" w:type="dxa"/>
            <w:noWrap w:val="0"/>
            <w:vAlign w:val="center"/>
          </w:tcPr>
          <w:p w14:paraId="3B42E58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按需</w:t>
            </w:r>
          </w:p>
        </w:tc>
        <w:tc>
          <w:tcPr>
            <w:tcW w:w="840" w:type="dxa"/>
            <w:noWrap w:val="0"/>
            <w:vAlign w:val="center"/>
          </w:tcPr>
          <w:p w14:paraId="6144D60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0169BE1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支持电子围栏 RS485 和 TCP/IP 信号接入,支持模拟电子地图接入,</w:t>
            </w:r>
          </w:p>
        </w:tc>
      </w:tr>
      <w:tr w14:paraId="1C86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338882D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13.7</w:t>
            </w:r>
          </w:p>
        </w:tc>
        <w:tc>
          <w:tcPr>
            <w:tcW w:w="2011" w:type="dxa"/>
            <w:noWrap w:val="0"/>
            <w:vAlign w:val="center"/>
          </w:tcPr>
          <w:p w14:paraId="49FD378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中间杆</w:t>
            </w:r>
          </w:p>
        </w:tc>
        <w:tc>
          <w:tcPr>
            <w:tcW w:w="2296" w:type="dxa"/>
            <w:noWrap w:val="0"/>
            <w:vAlign w:val="center"/>
          </w:tcPr>
          <w:p w14:paraId="35F076F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灰色,碳素纤维材质,用于承受拉力,国际标准长为 92CM ,壁厚 10mm</w:t>
            </w:r>
          </w:p>
        </w:tc>
        <w:tc>
          <w:tcPr>
            <w:tcW w:w="780" w:type="dxa"/>
            <w:noWrap w:val="0"/>
            <w:vAlign w:val="center"/>
          </w:tcPr>
          <w:p w14:paraId="5B4A653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按需</w:t>
            </w:r>
          </w:p>
        </w:tc>
        <w:tc>
          <w:tcPr>
            <w:tcW w:w="840" w:type="dxa"/>
            <w:noWrap w:val="0"/>
            <w:vAlign w:val="center"/>
          </w:tcPr>
          <w:p w14:paraId="0814CE4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6F1AB48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直连报警打印机,直连音箱,支持报警语音推送支持报警云服务接入等。</w:t>
            </w:r>
          </w:p>
        </w:tc>
      </w:tr>
      <w:tr w14:paraId="625C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19A0375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13.8</w:t>
            </w:r>
          </w:p>
        </w:tc>
        <w:tc>
          <w:tcPr>
            <w:tcW w:w="2011" w:type="dxa"/>
            <w:noWrap w:val="0"/>
            <w:vAlign w:val="center"/>
          </w:tcPr>
          <w:p w14:paraId="3EF520E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合金线</w:t>
            </w:r>
          </w:p>
        </w:tc>
        <w:tc>
          <w:tcPr>
            <w:tcW w:w="2296" w:type="dxa"/>
            <w:noWrap w:val="0"/>
            <w:vAlign w:val="center"/>
          </w:tcPr>
          <w:p w14:paraId="5A48FE9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脉冲合金导线,多股合金丝搅合,直径规格 2.0mm ,低电阻率,耐腐蚀</w:t>
            </w:r>
          </w:p>
        </w:tc>
        <w:tc>
          <w:tcPr>
            <w:tcW w:w="780" w:type="dxa"/>
            <w:noWrap w:val="0"/>
            <w:vAlign w:val="center"/>
          </w:tcPr>
          <w:p w14:paraId="2788B60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按需</w:t>
            </w:r>
          </w:p>
        </w:tc>
        <w:tc>
          <w:tcPr>
            <w:tcW w:w="840" w:type="dxa"/>
            <w:noWrap w:val="0"/>
            <w:vAlign w:val="center"/>
          </w:tcPr>
          <w:p w14:paraId="5E56261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5C8CFAF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泵站电子围栏长度大约200m</w:t>
            </w:r>
          </w:p>
        </w:tc>
      </w:tr>
      <w:tr w14:paraId="763B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BDFD7C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13.9</w:t>
            </w:r>
          </w:p>
        </w:tc>
        <w:tc>
          <w:tcPr>
            <w:tcW w:w="2011" w:type="dxa"/>
            <w:noWrap w:val="0"/>
            <w:vAlign w:val="center"/>
          </w:tcPr>
          <w:p w14:paraId="555A6F8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高压线</w:t>
            </w:r>
          </w:p>
        </w:tc>
        <w:tc>
          <w:tcPr>
            <w:tcW w:w="2296" w:type="dxa"/>
            <w:noWrap w:val="0"/>
            <w:vAlign w:val="center"/>
          </w:tcPr>
          <w:p w14:paraId="33A974D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脉冲电子围栏专业高压绝缘导线,耐受 30KV 电压,内芯采用合金线</w:t>
            </w:r>
          </w:p>
        </w:tc>
        <w:tc>
          <w:tcPr>
            <w:tcW w:w="780" w:type="dxa"/>
            <w:noWrap w:val="0"/>
            <w:vAlign w:val="center"/>
          </w:tcPr>
          <w:p w14:paraId="72E8512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按需</w:t>
            </w:r>
          </w:p>
        </w:tc>
        <w:tc>
          <w:tcPr>
            <w:tcW w:w="840" w:type="dxa"/>
            <w:noWrap w:val="0"/>
            <w:vAlign w:val="center"/>
          </w:tcPr>
          <w:p w14:paraId="50A8A15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2C9C6CF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泵站电子围栏长度大约200m</w:t>
            </w:r>
          </w:p>
        </w:tc>
      </w:tr>
      <w:tr w14:paraId="356A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3BE085D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13.10 </w:t>
            </w:r>
          </w:p>
        </w:tc>
        <w:tc>
          <w:tcPr>
            <w:tcW w:w="2011" w:type="dxa"/>
            <w:noWrap w:val="0"/>
            <w:vAlign w:val="center"/>
          </w:tcPr>
          <w:p w14:paraId="34D0BF6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防雷接地桩</w:t>
            </w:r>
          </w:p>
        </w:tc>
        <w:tc>
          <w:tcPr>
            <w:tcW w:w="2296" w:type="dxa"/>
            <w:noWrap w:val="0"/>
            <w:vAlign w:val="center"/>
          </w:tcPr>
          <w:p w14:paraId="7616D6C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低阻 50mm*4mm*1000mm ,镀锌角钢</w:t>
            </w:r>
          </w:p>
        </w:tc>
        <w:tc>
          <w:tcPr>
            <w:tcW w:w="780" w:type="dxa"/>
            <w:noWrap w:val="0"/>
            <w:vAlign w:val="center"/>
          </w:tcPr>
          <w:p w14:paraId="7E12A94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按需</w:t>
            </w:r>
          </w:p>
        </w:tc>
        <w:tc>
          <w:tcPr>
            <w:tcW w:w="840" w:type="dxa"/>
            <w:noWrap w:val="0"/>
            <w:vAlign w:val="center"/>
          </w:tcPr>
          <w:p w14:paraId="5766A99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套</w:t>
            </w:r>
          </w:p>
        </w:tc>
        <w:tc>
          <w:tcPr>
            <w:tcW w:w="1764" w:type="dxa"/>
            <w:noWrap w:val="0"/>
            <w:vAlign w:val="center"/>
          </w:tcPr>
          <w:p w14:paraId="798F3994">
            <w:pPr>
              <w:jc w:val="center"/>
              <w:rPr>
                <w:rFonts w:hint="eastAsia" w:ascii="宋体" w:hAnsi="宋体" w:eastAsia="宋体" w:cs="宋体"/>
                <w:i w:val="0"/>
                <w:color w:val="000000"/>
                <w:kern w:val="0"/>
                <w:sz w:val="24"/>
                <w:szCs w:val="24"/>
                <w:highlight w:val="none"/>
                <w:u w:val="none"/>
                <w:lang w:val="en-US" w:eastAsia="zh-CN" w:bidi="ar-SA"/>
              </w:rPr>
            </w:pPr>
          </w:p>
        </w:tc>
      </w:tr>
      <w:tr w14:paraId="716D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01519B8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13.11 </w:t>
            </w:r>
          </w:p>
        </w:tc>
        <w:tc>
          <w:tcPr>
            <w:tcW w:w="2011" w:type="dxa"/>
            <w:noWrap w:val="0"/>
            <w:vAlign w:val="center"/>
          </w:tcPr>
          <w:p w14:paraId="1F3B3E8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夜光型围栏警示牌</w:t>
            </w:r>
          </w:p>
        </w:tc>
        <w:tc>
          <w:tcPr>
            <w:tcW w:w="2296" w:type="dxa"/>
            <w:noWrap w:val="0"/>
            <w:vAlign w:val="center"/>
          </w:tcPr>
          <w:p w14:paraId="3556AFE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双面立体夜光显示,防水耐腐蚀,材质:雪弗板配碳素</w:t>
            </w:r>
          </w:p>
        </w:tc>
        <w:tc>
          <w:tcPr>
            <w:tcW w:w="780" w:type="dxa"/>
            <w:noWrap w:val="0"/>
            <w:vAlign w:val="center"/>
          </w:tcPr>
          <w:p w14:paraId="69C40DD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8</w:t>
            </w:r>
          </w:p>
        </w:tc>
        <w:tc>
          <w:tcPr>
            <w:tcW w:w="840" w:type="dxa"/>
            <w:noWrap w:val="0"/>
            <w:vAlign w:val="center"/>
          </w:tcPr>
          <w:p w14:paraId="3B59AA0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块</w:t>
            </w:r>
          </w:p>
        </w:tc>
        <w:tc>
          <w:tcPr>
            <w:tcW w:w="1764" w:type="dxa"/>
            <w:noWrap w:val="0"/>
            <w:vAlign w:val="center"/>
          </w:tcPr>
          <w:p w14:paraId="65E227FF">
            <w:pPr>
              <w:jc w:val="center"/>
              <w:rPr>
                <w:rFonts w:hint="eastAsia" w:ascii="宋体" w:hAnsi="宋体" w:eastAsia="宋体" w:cs="宋体"/>
                <w:i w:val="0"/>
                <w:color w:val="000000"/>
                <w:kern w:val="0"/>
                <w:sz w:val="24"/>
                <w:szCs w:val="24"/>
                <w:highlight w:val="none"/>
                <w:u w:val="none"/>
                <w:lang w:val="en-US" w:eastAsia="zh-CN" w:bidi="ar-SA"/>
              </w:rPr>
            </w:pPr>
          </w:p>
        </w:tc>
      </w:tr>
      <w:tr w14:paraId="023C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7D343B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13.12 </w:t>
            </w:r>
          </w:p>
        </w:tc>
        <w:tc>
          <w:tcPr>
            <w:tcW w:w="2011" w:type="dxa"/>
            <w:noWrap w:val="0"/>
            <w:vAlign w:val="center"/>
          </w:tcPr>
          <w:p w14:paraId="68A4EEA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通讯线</w:t>
            </w:r>
          </w:p>
        </w:tc>
        <w:tc>
          <w:tcPr>
            <w:tcW w:w="2296" w:type="dxa"/>
            <w:noWrap w:val="0"/>
            <w:vAlign w:val="center"/>
          </w:tcPr>
          <w:p w14:paraId="6C2EB4D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超五类屏蔽网线</w:t>
            </w:r>
          </w:p>
        </w:tc>
        <w:tc>
          <w:tcPr>
            <w:tcW w:w="780" w:type="dxa"/>
            <w:noWrap w:val="0"/>
            <w:vAlign w:val="center"/>
          </w:tcPr>
          <w:p w14:paraId="417E3F5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20</w:t>
            </w:r>
          </w:p>
        </w:tc>
        <w:tc>
          <w:tcPr>
            <w:tcW w:w="840" w:type="dxa"/>
            <w:noWrap w:val="0"/>
            <w:vAlign w:val="center"/>
          </w:tcPr>
          <w:p w14:paraId="20EC471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5E376F8D">
            <w:pPr>
              <w:jc w:val="center"/>
              <w:rPr>
                <w:rFonts w:hint="eastAsia" w:ascii="宋体" w:hAnsi="宋体" w:eastAsia="宋体" w:cs="宋体"/>
                <w:i w:val="0"/>
                <w:color w:val="000000"/>
                <w:kern w:val="0"/>
                <w:sz w:val="24"/>
                <w:szCs w:val="24"/>
                <w:highlight w:val="none"/>
                <w:u w:val="none"/>
                <w:lang w:val="en-US" w:eastAsia="zh-CN" w:bidi="ar-SA"/>
              </w:rPr>
            </w:pPr>
          </w:p>
        </w:tc>
      </w:tr>
      <w:tr w14:paraId="29AF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4420F2E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13.13 </w:t>
            </w:r>
          </w:p>
        </w:tc>
        <w:tc>
          <w:tcPr>
            <w:tcW w:w="2011" w:type="dxa"/>
            <w:noWrap w:val="0"/>
            <w:vAlign w:val="center"/>
          </w:tcPr>
          <w:p w14:paraId="3678AB6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电源线</w:t>
            </w:r>
          </w:p>
        </w:tc>
        <w:tc>
          <w:tcPr>
            <w:tcW w:w="2296" w:type="dxa"/>
            <w:noWrap w:val="0"/>
            <w:vAlign w:val="center"/>
          </w:tcPr>
          <w:p w14:paraId="4A7F244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YJV 3x1.5</w:t>
            </w:r>
          </w:p>
        </w:tc>
        <w:tc>
          <w:tcPr>
            <w:tcW w:w="780" w:type="dxa"/>
            <w:noWrap w:val="0"/>
            <w:vAlign w:val="center"/>
          </w:tcPr>
          <w:p w14:paraId="6DA40F8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20</w:t>
            </w:r>
          </w:p>
        </w:tc>
        <w:tc>
          <w:tcPr>
            <w:tcW w:w="840" w:type="dxa"/>
            <w:noWrap w:val="0"/>
            <w:vAlign w:val="center"/>
          </w:tcPr>
          <w:p w14:paraId="6472579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29F1F429">
            <w:pPr>
              <w:jc w:val="center"/>
              <w:rPr>
                <w:rFonts w:hint="eastAsia" w:ascii="宋体" w:hAnsi="宋体" w:eastAsia="宋体" w:cs="宋体"/>
                <w:i w:val="0"/>
                <w:color w:val="000000"/>
                <w:kern w:val="0"/>
                <w:sz w:val="24"/>
                <w:szCs w:val="24"/>
                <w:highlight w:val="none"/>
                <w:u w:val="none"/>
                <w:lang w:val="en-US" w:eastAsia="zh-CN" w:bidi="ar-SA"/>
              </w:rPr>
            </w:pPr>
          </w:p>
        </w:tc>
      </w:tr>
      <w:tr w14:paraId="2B18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242AAEE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13.14 </w:t>
            </w:r>
          </w:p>
        </w:tc>
        <w:tc>
          <w:tcPr>
            <w:tcW w:w="2011" w:type="dxa"/>
            <w:noWrap w:val="0"/>
            <w:vAlign w:val="center"/>
          </w:tcPr>
          <w:p w14:paraId="1DD8FB1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热镀锌钢管</w:t>
            </w:r>
          </w:p>
        </w:tc>
        <w:tc>
          <w:tcPr>
            <w:tcW w:w="2296" w:type="dxa"/>
            <w:noWrap w:val="0"/>
            <w:vAlign w:val="center"/>
          </w:tcPr>
          <w:p w14:paraId="267BED7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PE20</w:t>
            </w:r>
          </w:p>
        </w:tc>
        <w:tc>
          <w:tcPr>
            <w:tcW w:w="780" w:type="dxa"/>
            <w:noWrap w:val="0"/>
            <w:vAlign w:val="center"/>
          </w:tcPr>
          <w:p w14:paraId="07546B1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20</w:t>
            </w:r>
          </w:p>
        </w:tc>
        <w:tc>
          <w:tcPr>
            <w:tcW w:w="840" w:type="dxa"/>
            <w:noWrap w:val="0"/>
            <w:vAlign w:val="center"/>
          </w:tcPr>
          <w:p w14:paraId="53BA71F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5E7ACAAE">
            <w:pPr>
              <w:jc w:val="center"/>
              <w:rPr>
                <w:rFonts w:hint="eastAsia" w:ascii="宋体" w:hAnsi="宋体" w:eastAsia="宋体" w:cs="宋体"/>
                <w:i w:val="0"/>
                <w:color w:val="000000"/>
                <w:kern w:val="0"/>
                <w:sz w:val="24"/>
                <w:szCs w:val="24"/>
                <w:highlight w:val="none"/>
                <w:u w:val="none"/>
                <w:lang w:val="en-US" w:eastAsia="zh-CN" w:bidi="ar-SA"/>
              </w:rPr>
            </w:pPr>
          </w:p>
        </w:tc>
      </w:tr>
      <w:tr w14:paraId="42AE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762F669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13.15 </w:t>
            </w:r>
          </w:p>
        </w:tc>
        <w:tc>
          <w:tcPr>
            <w:tcW w:w="2011" w:type="dxa"/>
            <w:noWrap w:val="0"/>
            <w:vAlign w:val="center"/>
          </w:tcPr>
          <w:p w14:paraId="3B6E393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安装辅材</w:t>
            </w:r>
          </w:p>
        </w:tc>
        <w:tc>
          <w:tcPr>
            <w:tcW w:w="2296" w:type="dxa"/>
            <w:noWrap w:val="0"/>
            <w:vAlign w:val="center"/>
          </w:tcPr>
          <w:p w14:paraId="727383E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防水帽、绝缘子、底座、喇叭、收紧器等安装辅材</w:t>
            </w:r>
          </w:p>
        </w:tc>
        <w:tc>
          <w:tcPr>
            <w:tcW w:w="780" w:type="dxa"/>
            <w:noWrap w:val="0"/>
            <w:vAlign w:val="center"/>
          </w:tcPr>
          <w:p w14:paraId="331698C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p>
        </w:tc>
        <w:tc>
          <w:tcPr>
            <w:tcW w:w="840" w:type="dxa"/>
            <w:noWrap w:val="0"/>
            <w:vAlign w:val="center"/>
          </w:tcPr>
          <w:p w14:paraId="1BAED0D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批</w:t>
            </w:r>
          </w:p>
        </w:tc>
        <w:tc>
          <w:tcPr>
            <w:tcW w:w="1764" w:type="dxa"/>
            <w:noWrap w:val="0"/>
            <w:vAlign w:val="center"/>
          </w:tcPr>
          <w:p w14:paraId="559402EB">
            <w:pPr>
              <w:jc w:val="center"/>
              <w:rPr>
                <w:rFonts w:hint="eastAsia" w:ascii="宋体" w:hAnsi="宋体" w:eastAsia="宋体" w:cs="宋体"/>
                <w:i w:val="0"/>
                <w:color w:val="000000"/>
                <w:kern w:val="0"/>
                <w:sz w:val="24"/>
                <w:szCs w:val="24"/>
                <w:highlight w:val="none"/>
                <w:u w:val="none"/>
                <w:lang w:val="en-US" w:eastAsia="zh-CN" w:bidi="ar-SA"/>
              </w:rPr>
            </w:pPr>
          </w:p>
        </w:tc>
      </w:tr>
      <w:tr w14:paraId="51D9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625F30A1">
            <w:pPr>
              <w:tabs>
                <w:tab w:val="left" w:pos="3418"/>
              </w:tabs>
              <w:jc w:val="left"/>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ab/>
            </w:r>
            <w:r>
              <w:rPr>
                <w:rFonts w:hint="eastAsia" w:ascii="宋体" w:hAnsi="宋体" w:eastAsia="宋体" w:cs="宋体"/>
                <w:i w:val="0"/>
                <w:color w:val="000000"/>
                <w:kern w:val="0"/>
                <w:sz w:val="24"/>
                <w:szCs w:val="24"/>
                <w:highlight w:val="none"/>
                <w:u w:val="none"/>
                <w:lang w:val="en-US" w:eastAsia="zh-CN" w:bidi="ar-SA"/>
              </w:rPr>
              <w:t>控制电缆</w:t>
            </w:r>
          </w:p>
        </w:tc>
      </w:tr>
      <w:tr w14:paraId="629E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121F1D9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277320A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信号线缆</w:t>
            </w:r>
          </w:p>
        </w:tc>
        <w:tc>
          <w:tcPr>
            <w:tcW w:w="2296" w:type="dxa"/>
            <w:noWrap w:val="0"/>
            <w:vAlign w:val="center"/>
          </w:tcPr>
          <w:p w14:paraId="5415D1F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KVVP 7x1.5</w:t>
            </w:r>
          </w:p>
        </w:tc>
        <w:tc>
          <w:tcPr>
            <w:tcW w:w="780" w:type="dxa"/>
            <w:noWrap w:val="0"/>
            <w:vAlign w:val="center"/>
          </w:tcPr>
          <w:p w14:paraId="5527B6A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475</w:t>
            </w:r>
          </w:p>
        </w:tc>
        <w:tc>
          <w:tcPr>
            <w:tcW w:w="840" w:type="dxa"/>
            <w:noWrap w:val="0"/>
            <w:vAlign w:val="center"/>
          </w:tcPr>
          <w:p w14:paraId="3C66BA9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1E5041E1">
            <w:pPr>
              <w:jc w:val="center"/>
              <w:rPr>
                <w:rFonts w:hint="eastAsia" w:ascii="宋体" w:hAnsi="宋体" w:eastAsia="宋体" w:cs="宋体"/>
                <w:i w:val="0"/>
                <w:color w:val="000000"/>
                <w:kern w:val="0"/>
                <w:sz w:val="24"/>
                <w:szCs w:val="24"/>
                <w:highlight w:val="none"/>
                <w:u w:val="none"/>
                <w:lang w:val="en-US" w:eastAsia="zh-CN" w:bidi="ar-SA"/>
              </w:rPr>
            </w:pPr>
          </w:p>
        </w:tc>
      </w:tr>
      <w:tr w14:paraId="012C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0344F715">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5380D95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信号线缆</w:t>
            </w:r>
          </w:p>
        </w:tc>
        <w:tc>
          <w:tcPr>
            <w:tcW w:w="2296" w:type="dxa"/>
            <w:noWrap w:val="0"/>
            <w:vAlign w:val="center"/>
          </w:tcPr>
          <w:p w14:paraId="5BEA161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KVVP 5x1.5</w:t>
            </w:r>
          </w:p>
        </w:tc>
        <w:tc>
          <w:tcPr>
            <w:tcW w:w="780" w:type="dxa"/>
            <w:noWrap w:val="0"/>
            <w:vAlign w:val="center"/>
          </w:tcPr>
          <w:p w14:paraId="3F66226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545</w:t>
            </w:r>
          </w:p>
        </w:tc>
        <w:tc>
          <w:tcPr>
            <w:tcW w:w="840" w:type="dxa"/>
            <w:noWrap w:val="0"/>
            <w:vAlign w:val="center"/>
          </w:tcPr>
          <w:p w14:paraId="4ADC453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3EA6091B">
            <w:pPr>
              <w:jc w:val="center"/>
              <w:rPr>
                <w:rFonts w:hint="eastAsia" w:ascii="宋体" w:hAnsi="宋体" w:eastAsia="宋体" w:cs="宋体"/>
                <w:i w:val="0"/>
                <w:color w:val="000000"/>
                <w:kern w:val="0"/>
                <w:sz w:val="24"/>
                <w:szCs w:val="24"/>
                <w:highlight w:val="none"/>
                <w:u w:val="none"/>
                <w:lang w:val="en-US" w:eastAsia="zh-CN" w:bidi="ar-SA"/>
              </w:rPr>
            </w:pPr>
          </w:p>
        </w:tc>
      </w:tr>
      <w:tr w14:paraId="6E42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9C6BDF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75A9E4F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信号线缆</w:t>
            </w:r>
          </w:p>
        </w:tc>
        <w:tc>
          <w:tcPr>
            <w:tcW w:w="2296" w:type="dxa"/>
            <w:noWrap w:val="0"/>
            <w:vAlign w:val="center"/>
          </w:tcPr>
          <w:p w14:paraId="370B732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KVVP 3x1.5</w:t>
            </w:r>
          </w:p>
        </w:tc>
        <w:tc>
          <w:tcPr>
            <w:tcW w:w="780" w:type="dxa"/>
            <w:noWrap w:val="0"/>
            <w:vAlign w:val="center"/>
          </w:tcPr>
          <w:p w14:paraId="4EA1B28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190</w:t>
            </w:r>
          </w:p>
        </w:tc>
        <w:tc>
          <w:tcPr>
            <w:tcW w:w="840" w:type="dxa"/>
            <w:noWrap w:val="0"/>
            <w:vAlign w:val="center"/>
          </w:tcPr>
          <w:p w14:paraId="3DE1E02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1B1FCFE6">
            <w:pPr>
              <w:jc w:val="center"/>
              <w:rPr>
                <w:rFonts w:hint="eastAsia" w:ascii="宋体" w:hAnsi="宋体" w:eastAsia="宋体" w:cs="宋体"/>
                <w:i w:val="0"/>
                <w:color w:val="000000"/>
                <w:kern w:val="0"/>
                <w:sz w:val="24"/>
                <w:szCs w:val="24"/>
                <w:highlight w:val="none"/>
                <w:u w:val="none"/>
                <w:lang w:val="en-US" w:eastAsia="zh-CN" w:bidi="ar-SA"/>
              </w:rPr>
            </w:pPr>
          </w:p>
        </w:tc>
      </w:tr>
      <w:tr w14:paraId="4EAD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0FE3228">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3DA36A8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信号线缆</w:t>
            </w:r>
          </w:p>
        </w:tc>
        <w:tc>
          <w:tcPr>
            <w:tcW w:w="2296" w:type="dxa"/>
            <w:noWrap w:val="0"/>
            <w:vAlign w:val="center"/>
          </w:tcPr>
          <w:p w14:paraId="56F245A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DJYVP-2x2x1.0</w:t>
            </w:r>
          </w:p>
        </w:tc>
        <w:tc>
          <w:tcPr>
            <w:tcW w:w="780" w:type="dxa"/>
            <w:noWrap w:val="0"/>
            <w:vAlign w:val="center"/>
          </w:tcPr>
          <w:p w14:paraId="20A78AE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510</w:t>
            </w:r>
          </w:p>
        </w:tc>
        <w:tc>
          <w:tcPr>
            <w:tcW w:w="840" w:type="dxa"/>
            <w:noWrap w:val="0"/>
            <w:vAlign w:val="center"/>
          </w:tcPr>
          <w:p w14:paraId="4B9B71A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317ACB92">
            <w:pPr>
              <w:jc w:val="center"/>
              <w:rPr>
                <w:rFonts w:hint="eastAsia" w:ascii="宋体" w:hAnsi="宋体" w:eastAsia="宋体" w:cs="宋体"/>
                <w:i w:val="0"/>
                <w:color w:val="000000"/>
                <w:kern w:val="0"/>
                <w:sz w:val="24"/>
                <w:szCs w:val="24"/>
                <w:highlight w:val="none"/>
                <w:u w:val="none"/>
                <w:lang w:val="en-US" w:eastAsia="zh-CN" w:bidi="ar-SA"/>
              </w:rPr>
            </w:pPr>
          </w:p>
        </w:tc>
      </w:tr>
      <w:tr w14:paraId="22A2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321606C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5DBFDF9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超五类屏蔽网线</w:t>
            </w:r>
          </w:p>
        </w:tc>
        <w:tc>
          <w:tcPr>
            <w:tcW w:w="2296" w:type="dxa"/>
            <w:noWrap w:val="0"/>
            <w:vAlign w:val="center"/>
          </w:tcPr>
          <w:p w14:paraId="092B9FD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CAT5E-FTP-4P</w:t>
            </w:r>
          </w:p>
        </w:tc>
        <w:tc>
          <w:tcPr>
            <w:tcW w:w="780" w:type="dxa"/>
            <w:noWrap w:val="0"/>
            <w:vAlign w:val="center"/>
          </w:tcPr>
          <w:p w14:paraId="11197B9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w:t>
            </w:r>
            <w:r>
              <w:rPr>
                <w:rFonts w:hint="eastAsia" w:ascii="宋体" w:hAnsi="宋体" w:cs="宋体"/>
                <w:i w:val="0"/>
                <w:color w:val="000000"/>
                <w:kern w:val="0"/>
                <w:sz w:val="24"/>
                <w:szCs w:val="24"/>
                <w:highlight w:val="none"/>
                <w:u w:val="none"/>
                <w:lang w:val="en-US" w:eastAsia="zh-CN" w:bidi="ar-SA"/>
              </w:rPr>
              <w:t>8</w:t>
            </w:r>
            <w:r>
              <w:rPr>
                <w:rFonts w:hint="eastAsia" w:ascii="宋体" w:hAnsi="宋体" w:eastAsia="宋体" w:cs="宋体"/>
                <w:i w:val="0"/>
                <w:color w:val="000000"/>
                <w:kern w:val="0"/>
                <w:sz w:val="24"/>
                <w:szCs w:val="24"/>
                <w:highlight w:val="none"/>
                <w:u w:val="none"/>
                <w:lang w:val="en-US" w:eastAsia="zh-CN" w:bidi="ar-SA"/>
              </w:rPr>
              <w:t>0</w:t>
            </w:r>
          </w:p>
        </w:tc>
        <w:tc>
          <w:tcPr>
            <w:tcW w:w="840" w:type="dxa"/>
            <w:noWrap w:val="0"/>
            <w:vAlign w:val="center"/>
          </w:tcPr>
          <w:p w14:paraId="47BC4E9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49AA0873">
            <w:pPr>
              <w:jc w:val="center"/>
              <w:rPr>
                <w:rFonts w:hint="eastAsia" w:ascii="宋体" w:hAnsi="宋体" w:eastAsia="宋体" w:cs="宋体"/>
                <w:i w:val="0"/>
                <w:color w:val="000000"/>
                <w:kern w:val="0"/>
                <w:sz w:val="24"/>
                <w:szCs w:val="24"/>
                <w:highlight w:val="none"/>
                <w:u w:val="none"/>
                <w:lang w:val="en-US" w:eastAsia="zh-CN" w:bidi="ar-SA"/>
              </w:rPr>
            </w:pPr>
          </w:p>
        </w:tc>
      </w:tr>
      <w:tr w14:paraId="363D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0F56F51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73DEDA9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电源电缆</w:t>
            </w:r>
          </w:p>
        </w:tc>
        <w:tc>
          <w:tcPr>
            <w:tcW w:w="2296" w:type="dxa"/>
            <w:noWrap w:val="0"/>
            <w:vAlign w:val="center"/>
          </w:tcPr>
          <w:p w14:paraId="1D8C992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YJV-3x4.0</w:t>
            </w:r>
          </w:p>
        </w:tc>
        <w:tc>
          <w:tcPr>
            <w:tcW w:w="780" w:type="dxa"/>
            <w:noWrap w:val="0"/>
            <w:vAlign w:val="center"/>
          </w:tcPr>
          <w:p w14:paraId="7536252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160</w:t>
            </w:r>
          </w:p>
        </w:tc>
        <w:tc>
          <w:tcPr>
            <w:tcW w:w="840" w:type="dxa"/>
            <w:noWrap w:val="0"/>
            <w:vAlign w:val="center"/>
          </w:tcPr>
          <w:p w14:paraId="2B25B78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161B68DB">
            <w:pPr>
              <w:jc w:val="center"/>
              <w:rPr>
                <w:rFonts w:hint="eastAsia" w:ascii="宋体" w:hAnsi="宋体" w:eastAsia="宋体" w:cs="宋体"/>
                <w:i w:val="0"/>
                <w:color w:val="000000"/>
                <w:kern w:val="0"/>
                <w:sz w:val="24"/>
                <w:szCs w:val="24"/>
                <w:highlight w:val="none"/>
                <w:u w:val="none"/>
                <w:lang w:val="en-US" w:eastAsia="zh-CN" w:bidi="ar-SA"/>
              </w:rPr>
            </w:pPr>
          </w:p>
        </w:tc>
      </w:tr>
      <w:tr w14:paraId="368A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1E642432">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62F814C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电源电缆</w:t>
            </w:r>
          </w:p>
        </w:tc>
        <w:tc>
          <w:tcPr>
            <w:tcW w:w="2296" w:type="dxa"/>
            <w:noWrap w:val="0"/>
            <w:vAlign w:val="center"/>
          </w:tcPr>
          <w:p w14:paraId="5CDFAAC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YJV-3x2.5</w:t>
            </w:r>
          </w:p>
        </w:tc>
        <w:tc>
          <w:tcPr>
            <w:tcW w:w="780" w:type="dxa"/>
            <w:noWrap w:val="0"/>
            <w:vAlign w:val="center"/>
          </w:tcPr>
          <w:p w14:paraId="713460D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60</w:t>
            </w:r>
          </w:p>
        </w:tc>
        <w:tc>
          <w:tcPr>
            <w:tcW w:w="840" w:type="dxa"/>
            <w:noWrap w:val="0"/>
            <w:vAlign w:val="center"/>
          </w:tcPr>
          <w:p w14:paraId="68F927D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29F30B92">
            <w:pPr>
              <w:jc w:val="center"/>
              <w:rPr>
                <w:rFonts w:hint="eastAsia" w:ascii="宋体" w:hAnsi="宋体" w:eastAsia="宋体" w:cs="宋体"/>
                <w:i w:val="0"/>
                <w:color w:val="000000"/>
                <w:kern w:val="0"/>
                <w:sz w:val="24"/>
                <w:szCs w:val="24"/>
                <w:highlight w:val="none"/>
                <w:u w:val="none"/>
                <w:lang w:val="en-US" w:eastAsia="zh-CN" w:bidi="ar-SA"/>
              </w:rPr>
            </w:pPr>
          </w:p>
        </w:tc>
      </w:tr>
      <w:tr w14:paraId="7598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68425913">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0B2AABB1">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电源电缆</w:t>
            </w:r>
          </w:p>
        </w:tc>
        <w:tc>
          <w:tcPr>
            <w:tcW w:w="2296" w:type="dxa"/>
            <w:noWrap w:val="0"/>
            <w:vAlign w:val="center"/>
          </w:tcPr>
          <w:p w14:paraId="1C0FB305">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YJV-</w:t>
            </w:r>
            <w:r>
              <w:rPr>
                <w:rFonts w:hint="eastAsia" w:ascii="宋体" w:hAnsi="宋体" w:cs="宋体"/>
                <w:i w:val="0"/>
                <w:color w:val="000000"/>
                <w:kern w:val="0"/>
                <w:sz w:val="24"/>
                <w:szCs w:val="24"/>
                <w:highlight w:val="none"/>
                <w:u w:val="none"/>
                <w:lang w:val="en-US" w:eastAsia="zh-CN" w:bidi="ar-SA"/>
              </w:rPr>
              <w:t>3</w:t>
            </w:r>
            <w:r>
              <w:rPr>
                <w:rFonts w:hint="eastAsia" w:ascii="宋体" w:hAnsi="宋体" w:eastAsia="宋体" w:cs="宋体"/>
                <w:i w:val="0"/>
                <w:color w:val="000000"/>
                <w:kern w:val="0"/>
                <w:sz w:val="24"/>
                <w:szCs w:val="24"/>
                <w:highlight w:val="none"/>
                <w:u w:val="none"/>
                <w:lang w:val="en-US" w:eastAsia="zh-CN" w:bidi="ar-SA"/>
              </w:rPr>
              <w:t>x1.5</w:t>
            </w:r>
          </w:p>
        </w:tc>
        <w:tc>
          <w:tcPr>
            <w:tcW w:w="780" w:type="dxa"/>
            <w:noWrap w:val="0"/>
            <w:vAlign w:val="center"/>
          </w:tcPr>
          <w:p w14:paraId="062A18EB">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90</w:t>
            </w:r>
          </w:p>
        </w:tc>
        <w:tc>
          <w:tcPr>
            <w:tcW w:w="840" w:type="dxa"/>
            <w:noWrap w:val="0"/>
            <w:vAlign w:val="center"/>
          </w:tcPr>
          <w:p w14:paraId="272CF5A6">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58CFAF02">
            <w:pPr>
              <w:jc w:val="center"/>
              <w:rPr>
                <w:rFonts w:hint="eastAsia" w:ascii="宋体" w:hAnsi="宋体" w:eastAsia="宋体" w:cs="宋体"/>
                <w:i w:val="0"/>
                <w:color w:val="000000"/>
                <w:kern w:val="0"/>
                <w:sz w:val="24"/>
                <w:szCs w:val="24"/>
                <w:highlight w:val="none"/>
                <w:u w:val="none"/>
                <w:lang w:val="en-US" w:eastAsia="zh-CN" w:bidi="ar-SA"/>
              </w:rPr>
            </w:pPr>
          </w:p>
        </w:tc>
      </w:tr>
      <w:tr w14:paraId="02B2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301F0344">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5EC4353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通讯线</w:t>
            </w:r>
          </w:p>
        </w:tc>
        <w:tc>
          <w:tcPr>
            <w:tcW w:w="2296" w:type="dxa"/>
            <w:noWrap w:val="0"/>
            <w:vAlign w:val="center"/>
          </w:tcPr>
          <w:p w14:paraId="22F01D9D">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Modbus RS485通讯线</w:t>
            </w:r>
          </w:p>
        </w:tc>
        <w:tc>
          <w:tcPr>
            <w:tcW w:w="780" w:type="dxa"/>
            <w:noWrap w:val="0"/>
            <w:vAlign w:val="center"/>
          </w:tcPr>
          <w:p w14:paraId="43FD718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100</w:t>
            </w:r>
          </w:p>
        </w:tc>
        <w:tc>
          <w:tcPr>
            <w:tcW w:w="840" w:type="dxa"/>
            <w:noWrap w:val="0"/>
            <w:vAlign w:val="center"/>
          </w:tcPr>
          <w:p w14:paraId="780BC0D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094DBBBC">
            <w:pPr>
              <w:jc w:val="center"/>
              <w:rPr>
                <w:rFonts w:hint="eastAsia" w:ascii="宋体" w:hAnsi="宋体" w:eastAsia="宋体" w:cs="宋体"/>
                <w:i w:val="0"/>
                <w:color w:val="000000"/>
                <w:kern w:val="0"/>
                <w:sz w:val="24"/>
                <w:szCs w:val="24"/>
                <w:highlight w:val="none"/>
                <w:u w:val="none"/>
                <w:lang w:val="en-US" w:eastAsia="zh-CN" w:bidi="ar-SA"/>
              </w:rPr>
            </w:pPr>
          </w:p>
        </w:tc>
      </w:tr>
      <w:tr w14:paraId="31F1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0ABA519C">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4477BDB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控制线缆</w:t>
            </w:r>
          </w:p>
        </w:tc>
        <w:tc>
          <w:tcPr>
            <w:tcW w:w="2296" w:type="dxa"/>
            <w:noWrap w:val="0"/>
            <w:vAlign w:val="center"/>
          </w:tcPr>
          <w:p w14:paraId="76D8DC0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KVVP-0.45/0.75KV-14X1.5</w:t>
            </w:r>
          </w:p>
        </w:tc>
        <w:tc>
          <w:tcPr>
            <w:tcW w:w="780" w:type="dxa"/>
            <w:noWrap w:val="0"/>
            <w:vAlign w:val="center"/>
          </w:tcPr>
          <w:p w14:paraId="2E0A228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240</w:t>
            </w:r>
          </w:p>
        </w:tc>
        <w:tc>
          <w:tcPr>
            <w:tcW w:w="840" w:type="dxa"/>
            <w:noWrap w:val="0"/>
            <w:vAlign w:val="center"/>
          </w:tcPr>
          <w:p w14:paraId="426DD0F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7FE9D669">
            <w:pPr>
              <w:jc w:val="center"/>
              <w:rPr>
                <w:rFonts w:hint="eastAsia" w:ascii="宋体" w:hAnsi="宋体" w:eastAsia="宋体" w:cs="宋体"/>
                <w:i w:val="0"/>
                <w:color w:val="000000"/>
                <w:kern w:val="0"/>
                <w:sz w:val="24"/>
                <w:szCs w:val="24"/>
                <w:highlight w:val="none"/>
                <w:u w:val="none"/>
                <w:lang w:val="en-US" w:eastAsia="zh-CN" w:bidi="ar-SA"/>
              </w:rPr>
            </w:pPr>
          </w:p>
        </w:tc>
      </w:tr>
      <w:tr w14:paraId="643E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noWrap w:val="0"/>
            <w:vAlign w:val="center"/>
          </w:tcPr>
          <w:p w14:paraId="725F54CE">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noWrap w:val="0"/>
            <w:vAlign w:val="center"/>
          </w:tcPr>
          <w:p w14:paraId="200449D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控制线缆</w:t>
            </w:r>
          </w:p>
        </w:tc>
        <w:tc>
          <w:tcPr>
            <w:tcW w:w="2296" w:type="dxa"/>
            <w:noWrap w:val="0"/>
            <w:vAlign w:val="center"/>
          </w:tcPr>
          <w:p w14:paraId="08AADA5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KVVP-0.45/0.75KV-10X1.5</w:t>
            </w:r>
          </w:p>
        </w:tc>
        <w:tc>
          <w:tcPr>
            <w:tcW w:w="780" w:type="dxa"/>
            <w:noWrap w:val="0"/>
            <w:vAlign w:val="center"/>
          </w:tcPr>
          <w:p w14:paraId="24BB555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185</w:t>
            </w:r>
          </w:p>
        </w:tc>
        <w:tc>
          <w:tcPr>
            <w:tcW w:w="840" w:type="dxa"/>
            <w:noWrap w:val="0"/>
            <w:vAlign w:val="center"/>
          </w:tcPr>
          <w:p w14:paraId="2037164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5FFEB446">
            <w:pPr>
              <w:jc w:val="center"/>
              <w:rPr>
                <w:rFonts w:hint="eastAsia" w:ascii="宋体" w:hAnsi="宋体" w:eastAsia="宋体" w:cs="宋体"/>
                <w:i w:val="0"/>
                <w:color w:val="000000"/>
                <w:kern w:val="0"/>
                <w:sz w:val="24"/>
                <w:szCs w:val="24"/>
                <w:highlight w:val="none"/>
                <w:u w:val="none"/>
                <w:lang w:val="en-US" w:eastAsia="zh-CN" w:bidi="ar-SA"/>
              </w:rPr>
            </w:pPr>
          </w:p>
        </w:tc>
      </w:tr>
      <w:tr w14:paraId="7044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0B4D50C9">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FFFFFF" w:fill="FFFFFF"/>
            <w:noWrap w:val="0"/>
            <w:vAlign w:val="center"/>
          </w:tcPr>
          <w:p w14:paraId="575D699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控制线缆</w:t>
            </w:r>
          </w:p>
        </w:tc>
        <w:tc>
          <w:tcPr>
            <w:tcW w:w="2296" w:type="dxa"/>
            <w:shd w:val="clear" w:color="FFFFFF" w:fill="FFFFFF"/>
            <w:noWrap w:val="0"/>
            <w:vAlign w:val="center"/>
          </w:tcPr>
          <w:p w14:paraId="42015CB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KVVP-0.45/0.75KV-</w:t>
            </w:r>
            <w:r>
              <w:rPr>
                <w:rFonts w:hint="eastAsia" w:ascii="宋体" w:hAnsi="宋体" w:cs="宋体"/>
                <w:i w:val="0"/>
                <w:color w:val="000000"/>
                <w:kern w:val="0"/>
                <w:sz w:val="24"/>
                <w:szCs w:val="24"/>
                <w:highlight w:val="none"/>
                <w:u w:val="none"/>
                <w:lang w:val="en-US" w:eastAsia="zh-CN" w:bidi="ar-SA"/>
              </w:rPr>
              <w:t>4</w:t>
            </w:r>
            <w:r>
              <w:rPr>
                <w:rFonts w:hint="eastAsia" w:ascii="宋体" w:hAnsi="宋体" w:eastAsia="宋体" w:cs="宋体"/>
                <w:i w:val="0"/>
                <w:color w:val="000000"/>
                <w:kern w:val="0"/>
                <w:sz w:val="24"/>
                <w:szCs w:val="24"/>
                <w:highlight w:val="none"/>
                <w:u w:val="none"/>
                <w:lang w:val="en-US" w:eastAsia="zh-CN" w:bidi="ar-SA"/>
              </w:rPr>
              <w:t>X1.5</w:t>
            </w:r>
          </w:p>
        </w:tc>
        <w:tc>
          <w:tcPr>
            <w:tcW w:w="780" w:type="dxa"/>
            <w:shd w:val="clear" w:color="FFFFFF" w:fill="FFFFFF"/>
            <w:noWrap w:val="0"/>
            <w:vAlign w:val="center"/>
          </w:tcPr>
          <w:p w14:paraId="0241BD3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10</w:t>
            </w:r>
          </w:p>
        </w:tc>
        <w:tc>
          <w:tcPr>
            <w:tcW w:w="840" w:type="dxa"/>
            <w:shd w:val="clear" w:color="FFFFFF" w:fill="FFFFFF"/>
            <w:noWrap w:val="0"/>
            <w:vAlign w:val="center"/>
          </w:tcPr>
          <w:p w14:paraId="31E16F2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7B09FB72">
            <w:pPr>
              <w:rPr>
                <w:rFonts w:hint="eastAsia" w:ascii="宋体" w:hAnsi="宋体" w:eastAsia="宋体" w:cs="宋体"/>
                <w:i w:val="0"/>
                <w:color w:val="000000"/>
                <w:kern w:val="0"/>
                <w:sz w:val="24"/>
                <w:szCs w:val="24"/>
                <w:highlight w:val="none"/>
                <w:u w:val="none"/>
                <w:lang w:val="en-US" w:eastAsia="zh-CN" w:bidi="ar-SA"/>
              </w:rPr>
            </w:pPr>
          </w:p>
        </w:tc>
      </w:tr>
      <w:tr w14:paraId="51B9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center"/>
          </w:tcPr>
          <w:p w14:paraId="5F9D643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FFFFFF" w:fill="FFFFFF"/>
            <w:noWrap w:val="0"/>
            <w:vAlign w:val="center"/>
          </w:tcPr>
          <w:p w14:paraId="4DDDE397">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电力电缆</w:t>
            </w:r>
          </w:p>
        </w:tc>
        <w:tc>
          <w:tcPr>
            <w:tcW w:w="2296" w:type="dxa"/>
            <w:shd w:val="clear" w:color="FFFFFF" w:fill="FFFFFF"/>
            <w:noWrap w:val="0"/>
            <w:vAlign w:val="center"/>
          </w:tcPr>
          <w:p w14:paraId="3ED019D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YJV-0.6/1kV-4x2.5</w:t>
            </w:r>
          </w:p>
        </w:tc>
        <w:tc>
          <w:tcPr>
            <w:tcW w:w="780" w:type="dxa"/>
            <w:shd w:val="clear" w:color="FFFFFF" w:fill="FFFFFF"/>
            <w:noWrap w:val="0"/>
            <w:vAlign w:val="center"/>
          </w:tcPr>
          <w:p w14:paraId="24C15100">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840" w:type="dxa"/>
            <w:shd w:val="clear" w:color="FFFFFF" w:fill="FFFFFF"/>
            <w:noWrap w:val="0"/>
            <w:vAlign w:val="center"/>
          </w:tcPr>
          <w:p w14:paraId="1FD4354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185</w:t>
            </w:r>
          </w:p>
        </w:tc>
        <w:tc>
          <w:tcPr>
            <w:tcW w:w="1764" w:type="dxa"/>
            <w:noWrap w:val="0"/>
            <w:vAlign w:val="center"/>
          </w:tcPr>
          <w:p w14:paraId="4DA2F56E">
            <w:pPr>
              <w:rPr>
                <w:rFonts w:hint="eastAsia" w:ascii="宋体" w:hAnsi="宋体" w:eastAsia="宋体" w:cs="宋体"/>
                <w:i w:val="0"/>
                <w:color w:val="000000"/>
                <w:kern w:val="0"/>
                <w:sz w:val="24"/>
                <w:szCs w:val="24"/>
                <w:highlight w:val="none"/>
                <w:u w:val="none"/>
                <w:lang w:val="en-US" w:eastAsia="zh-CN" w:bidi="ar-SA"/>
              </w:rPr>
            </w:pPr>
          </w:p>
        </w:tc>
      </w:tr>
      <w:tr w14:paraId="52D5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7B08E657">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FFFFFF" w:fill="FFFFFF"/>
            <w:noWrap w:val="0"/>
            <w:vAlign w:val="center"/>
          </w:tcPr>
          <w:p w14:paraId="5E4BEC3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电力电缆</w:t>
            </w:r>
          </w:p>
        </w:tc>
        <w:tc>
          <w:tcPr>
            <w:tcW w:w="2296" w:type="dxa"/>
            <w:shd w:val="clear" w:color="FFFFFF" w:fill="FFFFFF"/>
            <w:noWrap w:val="0"/>
            <w:vAlign w:val="center"/>
          </w:tcPr>
          <w:p w14:paraId="1764870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YJV-0.6/1kV-5x4</w:t>
            </w:r>
          </w:p>
        </w:tc>
        <w:tc>
          <w:tcPr>
            <w:tcW w:w="780" w:type="dxa"/>
            <w:shd w:val="clear" w:color="FFFFFF" w:fill="FFFFFF"/>
            <w:noWrap w:val="0"/>
            <w:vAlign w:val="center"/>
          </w:tcPr>
          <w:p w14:paraId="79DBA9F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840" w:type="dxa"/>
            <w:shd w:val="clear" w:color="FFFFFF" w:fill="FFFFFF"/>
            <w:noWrap w:val="0"/>
            <w:vAlign w:val="center"/>
          </w:tcPr>
          <w:p w14:paraId="3051E12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380</w:t>
            </w:r>
          </w:p>
        </w:tc>
        <w:tc>
          <w:tcPr>
            <w:tcW w:w="1764" w:type="dxa"/>
            <w:noWrap w:val="0"/>
            <w:vAlign w:val="center"/>
          </w:tcPr>
          <w:p w14:paraId="30145C77">
            <w:pPr>
              <w:rPr>
                <w:rFonts w:hint="eastAsia" w:ascii="宋体" w:hAnsi="宋体" w:eastAsia="宋体" w:cs="宋体"/>
                <w:i w:val="0"/>
                <w:color w:val="000000"/>
                <w:kern w:val="0"/>
                <w:sz w:val="24"/>
                <w:szCs w:val="24"/>
                <w:highlight w:val="none"/>
                <w:u w:val="none"/>
                <w:lang w:val="en-US" w:eastAsia="zh-CN" w:bidi="ar-SA"/>
              </w:rPr>
            </w:pPr>
          </w:p>
        </w:tc>
      </w:tr>
      <w:tr w14:paraId="4B59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0D85AAC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FFFFFF" w:fill="FFFFFF"/>
            <w:noWrap w:val="0"/>
            <w:vAlign w:val="center"/>
          </w:tcPr>
          <w:p w14:paraId="46510023">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电力电缆</w:t>
            </w:r>
          </w:p>
        </w:tc>
        <w:tc>
          <w:tcPr>
            <w:tcW w:w="2296" w:type="dxa"/>
            <w:shd w:val="clear" w:color="FFFFFF" w:fill="FFFFFF"/>
            <w:noWrap w:val="0"/>
            <w:vAlign w:val="center"/>
          </w:tcPr>
          <w:p w14:paraId="5E0E761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YJV-0.6/1kV-5x6</w:t>
            </w:r>
          </w:p>
        </w:tc>
        <w:tc>
          <w:tcPr>
            <w:tcW w:w="780" w:type="dxa"/>
            <w:shd w:val="clear" w:color="FFFFFF" w:fill="FFFFFF"/>
            <w:noWrap w:val="0"/>
            <w:vAlign w:val="center"/>
          </w:tcPr>
          <w:p w14:paraId="1D3DF47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840" w:type="dxa"/>
            <w:shd w:val="clear" w:color="FFFFFF" w:fill="FFFFFF"/>
            <w:noWrap w:val="0"/>
            <w:vAlign w:val="center"/>
          </w:tcPr>
          <w:p w14:paraId="59809DC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100</w:t>
            </w:r>
          </w:p>
        </w:tc>
        <w:tc>
          <w:tcPr>
            <w:tcW w:w="1764" w:type="dxa"/>
            <w:noWrap w:val="0"/>
            <w:vAlign w:val="center"/>
          </w:tcPr>
          <w:p w14:paraId="2F155B18">
            <w:pPr>
              <w:rPr>
                <w:rFonts w:hint="eastAsia" w:ascii="宋体" w:hAnsi="宋体" w:eastAsia="宋体" w:cs="宋体"/>
                <w:i w:val="0"/>
                <w:color w:val="000000"/>
                <w:kern w:val="0"/>
                <w:sz w:val="24"/>
                <w:szCs w:val="24"/>
                <w:highlight w:val="none"/>
                <w:u w:val="none"/>
                <w:lang w:val="en-US" w:eastAsia="zh-CN" w:bidi="ar-SA"/>
              </w:rPr>
            </w:pPr>
          </w:p>
        </w:tc>
      </w:tr>
      <w:tr w14:paraId="5B10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24E64440">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FFFFFF" w:fill="FFFFFF"/>
            <w:noWrap w:val="0"/>
            <w:vAlign w:val="center"/>
          </w:tcPr>
          <w:p w14:paraId="56CDA79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电力电缆</w:t>
            </w:r>
          </w:p>
        </w:tc>
        <w:tc>
          <w:tcPr>
            <w:tcW w:w="2296" w:type="dxa"/>
            <w:shd w:val="clear" w:color="FFFFFF" w:fill="FFFFFF"/>
            <w:noWrap w:val="0"/>
            <w:vAlign w:val="center"/>
          </w:tcPr>
          <w:p w14:paraId="5FAD140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YJV-1kV-3x70+2x35</w:t>
            </w:r>
          </w:p>
        </w:tc>
        <w:tc>
          <w:tcPr>
            <w:tcW w:w="780" w:type="dxa"/>
            <w:shd w:val="clear" w:color="FFFFFF" w:fill="FFFFFF"/>
            <w:noWrap w:val="0"/>
            <w:vAlign w:val="center"/>
          </w:tcPr>
          <w:p w14:paraId="05AC9899">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840" w:type="dxa"/>
            <w:shd w:val="clear" w:color="FFFFFF" w:fill="FFFFFF"/>
            <w:noWrap w:val="0"/>
            <w:vAlign w:val="center"/>
          </w:tcPr>
          <w:p w14:paraId="4A417FB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160</w:t>
            </w:r>
          </w:p>
        </w:tc>
        <w:tc>
          <w:tcPr>
            <w:tcW w:w="1764" w:type="dxa"/>
            <w:noWrap w:val="0"/>
            <w:vAlign w:val="center"/>
          </w:tcPr>
          <w:p w14:paraId="113F5CA6">
            <w:pPr>
              <w:rPr>
                <w:rFonts w:hint="eastAsia" w:ascii="宋体" w:hAnsi="宋体" w:eastAsia="宋体" w:cs="宋体"/>
                <w:i w:val="0"/>
                <w:color w:val="000000"/>
                <w:kern w:val="0"/>
                <w:sz w:val="24"/>
                <w:szCs w:val="24"/>
                <w:highlight w:val="none"/>
                <w:u w:val="none"/>
                <w:lang w:val="en-US" w:eastAsia="zh-CN" w:bidi="ar-SA"/>
              </w:rPr>
            </w:pPr>
          </w:p>
        </w:tc>
      </w:tr>
      <w:tr w14:paraId="4EF8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153FF756">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FFFFFF" w:fill="FFFFFF"/>
            <w:noWrap w:val="0"/>
            <w:vAlign w:val="center"/>
          </w:tcPr>
          <w:p w14:paraId="287F31A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电力电缆</w:t>
            </w:r>
          </w:p>
        </w:tc>
        <w:tc>
          <w:tcPr>
            <w:tcW w:w="2296" w:type="dxa"/>
            <w:shd w:val="clear" w:color="FFFFFF" w:fill="FFFFFF"/>
            <w:noWrap w:val="0"/>
            <w:vAlign w:val="center"/>
          </w:tcPr>
          <w:p w14:paraId="09B750DE">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BPYJV-1kV-3x70+2x35</w:t>
            </w:r>
          </w:p>
        </w:tc>
        <w:tc>
          <w:tcPr>
            <w:tcW w:w="780" w:type="dxa"/>
            <w:shd w:val="clear" w:color="FFFFFF" w:fill="FFFFFF"/>
            <w:noWrap w:val="0"/>
            <w:vAlign w:val="center"/>
          </w:tcPr>
          <w:p w14:paraId="4A7545D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840" w:type="dxa"/>
            <w:shd w:val="clear" w:color="FFFFFF" w:fill="FFFFFF"/>
            <w:noWrap w:val="0"/>
            <w:vAlign w:val="center"/>
          </w:tcPr>
          <w:p w14:paraId="2956F1E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210</w:t>
            </w:r>
          </w:p>
        </w:tc>
        <w:tc>
          <w:tcPr>
            <w:tcW w:w="1764" w:type="dxa"/>
            <w:noWrap w:val="0"/>
            <w:vAlign w:val="center"/>
          </w:tcPr>
          <w:p w14:paraId="047A2B4D">
            <w:pPr>
              <w:rPr>
                <w:rFonts w:hint="eastAsia" w:ascii="宋体" w:hAnsi="宋体" w:eastAsia="宋体" w:cs="宋体"/>
                <w:i w:val="0"/>
                <w:color w:val="000000"/>
                <w:kern w:val="0"/>
                <w:sz w:val="24"/>
                <w:szCs w:val="24"/>
                <w:highlight w:val="none"/>
                <w:u w:val="none"/>
                <w:lang w:val="en-US" w:eastAsia="zh-CN" w:bidi="ar-SA"/>
              </w:rPr>
            </w:pPr>
          </w:p>
        </w:tc>
      </w:tr>
      <w:tr w14:paraId="7290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422AC1DD">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auto" w:fill="auto"/>
            <w:noWrap w:val="0"/>
            <w:vAlign w:val="center"/>
          </w:tcPr>
          <w:p w14:paraId="11D8940E">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镀锌钢管</w:t>
            </w:r>
          </w:p>
        </w:tc>
        <w:tc>
          <w:tcPr>
            <w:tcW w:w="2296" w:type="dxa"/>
            <w:shd w:val="clear" w:color="auto" w:fill="FFFFFF"/>
            <w:noWrap w:val="0"/>
            <w:vAlign w:val="center"/>
          </w:tcPr>
          <w:p w14:paraId="5921CCB6">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DN80</w:t>
            </w:r>
          </w:p>
        </w:tc>
        <w:tc>
          <w:tcPr>
            <w:tcW w:w="780" w:type="dxa"/>
            <w:shd w:val="clear" w:color="auto" w:fill="FFFFFF"/>
            <w:noWrap w:val="0"/>
            <w:vAlign w:val="center"/>
          </w:tcPr>
          <w:p w14:paraId="1043A967">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220</w:t>
            </w:r>
          </w:p>
        </w:tc>
        <w:tc>
          <w:tcPr>
            <w:tcW w:w="840" w:type="dxa"/>
            <w:shd w:val="clear" w:color="auto" w:fill="FFFFFF"/>
            <w:noWrap w:val="0"/>
            <w:vAlign w:val="center"/>
          </w:tcPr>
          <w:p w14:paraId="41D4B091">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center"/>
          </w:tcPr>
          <w:p w14:paraId="13B4DD47">
            <w:pPr>
              <w:jc w:val="center"/>
              <w:rPr>
                <w:rFonts w:hint="eastAsia" w:ascii="宋体" w:hAnsi="宋体" w:eastAsia="宋体" w:cs="宋体"/>
                <w:i w:val="0"/>
                <w:color w:val="000000"/>
                <w:kern w:val="0"/>
                <w:sz w:val="24"/>
                <w:szCs w:val="24"/>
                <w:highlight w:val="none"/>
                <w:u w:val="none"/>
                <w:lang w:val="en-US" w:eastAsia="zh-CN" w:bidi="ar-SA"/>
              </w:rPr>
            </w:pPr>
          </w:p>
        </w:tc>
      </w:tr>
      <w:tr w14:paraId="3277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4C5A5CB7">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auto" w:fill="auto"/>
            <w:noWrap w:val="0"/>
            <w:vAlign w:val="top"/>
          </w:tcPr>
          <w:p w14:paraId="1911C107">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镀锌钢管</w:t>
            </w:r>
          </w:p>
        </w:tc>
        <w:tc>
          <w:tcPr>
            <w:tcW w:w="2296" w:type="dxa"/>
            <w:shd w:val="clear" w:color="auto" w:fill="FFFFFF"/>
            <w:noWrap w:val="0"/>
            <w:vAlign w:val="center"/>
          </w:tcPr>
          <w:p w14:paraId="192C2630">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DN50</w:t>
            </w:r>
          </w:p>
        </w:tc>
        <w:tc>
          <w:tcPr>
            <w:tcW w:w="780" w:type="dxa"/>
            <w:shd w:val="clear" w:color="auto" w:fill="FFFFFF"/>
            <w:noWrap w:val="0"/>
            <w:vAlign w:val="center"/>
          </w:tcPr>
          <w:p w14:paraId="3252B56E">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160</w:t>
            </w:r>
          </w:p>
        </w:tc>
        <w:tc>
          <w:tcPr>
            <w:tcW w:w="840" w:type="dxa"/>
            <w:shd w:val="clear" w:color="auto" w:fill="FFFFFF"/>
            <w:noWrap w:val="0"/>
            <w:vAlign w:val="center"/>
          </w:tcPr>
          <w:p w14:paraId="29FAD457">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48DE06B1">
            <w:pPr>
              <w:jc w:val="center"/>
              <w:rPr>
                <w:rFonts w:hint="eastAsia" w:ascii="宋体" w:hAnsi="宋体" w:eastAsia="宋体" w:cs="宋体"/>
                <w:i w:val="0"/>
                <w:color w:val="000000"/>
                <w:kern w:val="0"/>
                <w:sz w:val="24"/>
                <w:szCs w:val="24"/>
                <w:highlight w:val="none"/>
                <w:u w:val="none"/>
                <w:lang w:val="en-US" w:eastAsia="zh-CN" w:bidi="ar-SA"/>
              </w:rPr>
            </w:pPr>
          </w:p>
        </w:tc>
      </w:tr>
      <w:tr w14:paraId="7392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2FBF6DCC">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auto" w:fill="auto"/>
            <w:noWrap w:val="0"/>
            <w:vAlign w:val="top"/>
          </w:tcPr>
          <w:p w14:paraId="3C3235BB">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镀锌钢管</w:t>
            </w:r>
          </w:p>
        </w:tc>
        <w:tc>
          <w:tcPr>
            <w:tcW w:w="2296" w:type="dxa"/>
            <w:shd w:val="clear" w:color="auto" w:fill="FFFFFF"/>
            <w:noWrap w:val="0"/>
            <w:vAlign w:val="center"/>
          </w:tcPr>
          <w:p w14:paraId="5C263D9D">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DN40</w:t>
            </w:r>
          </w:p>
        </w:tc>
        <w:tc>
          <w:tcPr>
            <w:tcW w:w="780" w:type="dxa"/>
            <w:shd w:val="clear" w:color="auto" w:fill="FFFFFF"/>
            <w:noWrap w:val="0"/>
            <w:vAlign w:val="center"/>
          </w:tcPr>
          <w:p w14:paraId="2BF3E087">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20</w:t>
            </w:r>
          </w:p>
        </w:tc>
        <w:tc>
          <w:tcPr>
            <w:tcW w:w="840" w:type="dxa"/>
            <w:shd w:val="clear" w:color="auto" w:fill="FFFFFF"/>
            <w:noWrap w:val="0"/>
            <w:vAlign w:val="center"/>
          </w:tcPr>
          <w:p w14:paraId="426778A4">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794F321D">
            <w:pPr>
              <w:jc w:val="center"/>
              <w:rPr>
                <w:rFonts w:hint="eastAsia" w:ascii="宋体" w:hAnsi="宋体" w:eastAsia="宋体" w:cs="宋体"/>
                <w:i w:val="0"/>
                <w:color w:val="000000"/>
                <w:kern w:val="0"/>
                <w:sz w:val="24"/>
                <w:szCs w:val="24"/>
                <w:highlight w:val="none"/>
                <w:u w:val="none"/>
                <w:lang w:val="en-US" w:eastAsia="zh-CN" w:bidi="ar-SA"/>
              </w:rPr>
            </w:pPr>
          </w:p>
        </w:tc>
      </w:tr>
      <w:tr w14:paraId="5C53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3AFDF56F">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auto" w:fill="auto"/>
            <w:noWrap w:val="0"/>
            <w:vAlign w:val="top"/>
          </w:tcPr>
          <w:p w14:paraId="386A280B">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镀锌钢管</w:t>
            </w:r>
          </w:p>
        </w:tc>
        <w:tc>
          <w:tcPr>
            <w:tcW w:w="2296" w:type="dxa"/>
            <w:shd w:val="clear" w:color="auto" w:fill="FFFFFF"/>
            <w:noWrap w:val="0"/>
            <w:vAlign w:val="center"/>
          </w:tcPr>
          <w:p w14:paraId="0C37BEAC">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DN32</w:t>
            </w:r>
          </w:p>
        </w:tc>
        <w:tc>
          <w:tcPr>
            <w:tcW w:w="780" w:type="dxa"/>
            <w:shd w:val="clear" w:color="auto" w:fill="FFFFFF"/>
            <w:noWrap w:val="0"/>
            <w:vAlign w:val="center"/>
          </w:tcPr>
          <w:p w14:paraId="57C448A0">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250</w:t>
            </w:r>
          </w:p>
        </w:tc>
        <w:tc>
          <w:tcPr>
            <w:tcW w:w="840" w:type="dxa"/>
            <w:shd w:val="clear" w:color="auto" w:fill="FFFFFF"/>
            <w:noWrap w:val="0"/>
            <w:vAlign w:val="center"/>
          </w:tcPr>
          <w:p w14:paraId="7C76E7D7">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0B7C7591">
            <w:pPr>
              <w:jc w:val="center"/>
              <w:rPr>
                <w:rFonts w:hint="eastAsia" w:ascii="宋体" w:hAnsi="宋体" w:eastAsia="宋体" w:cs="宋体"/>
                <w:i w:val="0"/>
                <w:color w:val="000000"/>
                <w:kern w:val="0"/>
                <w:sz w:val="24"/>
                <w:szCs w:val="24"/>
                <w:highlight w:val="none"/>
                <w:u w:val="none"/>
                <w:lang w:val="en-US" w:eastAsia="zh-CN" w:bidi="ar-SA"/>
              </w:rPr>
            </w:pPr>
          </w:p>
        </w:tc>
      </w:tr>
      <w:tr w14:paraId="0B6B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5947C5BE">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auto" w:fill="auto"/>
            <w:noWrap w:val="0"/>
            <w:vAlign w:val="top"/>
          </w:tcPr>
          <w:p w14:paraId="70126B8A">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镀锌钢管</w:t>
            </w:r>
          </w:p>
        </w:tc>
        <w:tc>
          <w:tcPr>
            <w:tcW w:w="2296" w:type="dxa"/>
            <w:shd w:val="clear" w:color="auto" w:fill="FFFFFF"/>
            <w:noWrap w:val="0"/>
            <w:vAlign w:val="center"/>
          </w:tcPr>
          <w:p w14:paraId="7F44D1EF">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DN25</w:t>
            </w:r>
          </w:p>
        </w:tc>
        <w:tc>
          <w:tcPr>
            <w:tcW w:w="780" w:type="dxa"/>
            <w:shd w:val="clear" w:color="auto" w:fill="FFFFFF"/>
            <w:noWrap w:val="0"/>
            <w:vAlign w:val="center"/>
          </w:tcPr>
          <w:p w14:paraId="1DAF808A">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400</w:t>
            </w:r>
          </w:p>
        </w:tc>
        <w:tc>
          <w:tcPr>
            <w:tcW w:w="840" w:type="dxa"/>
            <w:shd w:val="clear" w:color="auto" w:fill="FFFFFF"/>
            <w:noWrap w:val="0"/>
            <w:vAlign w:val="center"/>
          </w:tcPr>
          <w:p w14:paraId="7CF5790E">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7BFD8C9D">
            <w:pPr>
              <w:jc w:val="center"/>
              <w:rPr>
                <w:rFonts w:hint="eastAsia" w:ascii="宋体" w:hAnsi="宋体" w:eastAsia="宋体" w:cs="宋体"/>
                <w:i w:val="0"/>
                <w:color w:val="000000"/>
                <w:kern w:val="0"/>
                <w:sz w:val="24"/>
                <w:szCs w:val="24"/>
                <w:highlight w:val="none"/>
                <w:u w:val="none"/>
                <w:lang w:val="en-US" w:eastAsia="zh-CN" w:bidi="ar-SA"/>
              </w:rPr>
            </w:pPr>
          </w:p>
        </w:tc>
      </w:tr>
      <w:tr w14:paraId="66E4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shd w:val="clear" w:color="auto" w:fill="auto"/>
            <w:noWrap w:val="0"/>
            <w:vAlign w:val="top"/>
          </w:tcPr>
          <w:p w14:paraId="4BB2AE71">
            <w:pPr>
              <w:keepNext w:val="0"/>
              <w:keepLines w:val="0"/>
              <w:widowControl/>
              <w:numPr>
                <w:ilvl w:val="0"/>
                <w:numId w:val="8"/>
              </w:numPr>
              <w:suppressLineNumbers w:val="0"/>
              <w:ind w:left="425" w:leftChars="0" w:hanging="425" w:firstLineChars="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2011" w:type="dxa"/>
            <w:shd w:val="clear" w:color="auto" w:fill="auto"/>
            <w:noWrap w:val="0"/>
            <w:vAlign w:val="top"/>
          </w:tcPr>
          <w:p w14:paraId="4E8CE94A">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镀锌钢管</w:t>
            </w:r>
          </w:p>
        </w:tc>
        <w:tc>
          <w:tcPr>
            <w:tcW w:w="2296" w:type="dxa"/>
            <w:shd w:val="clear" w:color="auto" w:fill="FFFFFF"/>
            <w:noWrap w:val="0"/>
            <w:vAlign w:val="center"/>
          </w:tcPr>
          <w:p w14:paraId="0408E24B">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DN20</w:t>
            </w:r>
          </w:p>
        </w:tc>
        <w:tc>
          <w:tcPr>
            <w:tcW w:w="780" w:type="dxa"/>
            <w:shd w:val="clear" w:color="auto" w:fill="FFFFFF"/>
            <w:noWrap w:val="0"/>
            <w:vAlign w:val="center"/>
          </w:tcPr>
          <w:p w14:paraId="4889E45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42</w:t>
            </w:r>
          </w:p>
        </w:tc>
        <w:tc>
          <w:tcPr>
            <w:tcW w:w="840" w:type="dxa"/>
            <w:shd w:val="clear" w:color="auto" w:fill="FFFFFF"/>
            <w:noWrap w:val="0"/>
            <w:vAlign w:val="center"/>
          </w:tcPr>
          <w:p w14:paraId="0003395F">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米</w:t>
            </w:r>
          </w:p>
        </w:tc>
        <w:tc>
          <w:tcPr>
            <w:tcW w:w="1764" w:type="dxa"/>
            <w:noWrap w:val="0"/>
            <w:vAlign w:val="top"/>
          </w:tcPr>
          <w:p w14:paraId="7B5231CE">
            <w:pPr>
              <w:jc w:val="center"/>
              <w:rPr>
                <w:rFonts w:hint="eastAsia" w:ascii="宋体" w:hAnsi="宋体" w:eastAsia="宋体" w:cs="宋体"/>
                <w:i w:val="0"/>
                <w:color w:val="000000"/>
                <w:kern w:val="0"/>
                <w:sz w:val="24"/>
                <w:szCs w:val="24"/>
                <w:highlight w:val="none"/>
                <w:u w:val="none"/>
                <w:lang w:val="en-US" w:eastAsia="zh-CN" w:bidi="ar-SA"/>
              </w:rPr>
            </w:pPr>
          </w:p>
        </w:tc>
      </w:tr>
    </w:tbl>
    <w:p w14:paraId="1E055BD4">
      <w:pPr>
        <w:pStyle w:val="994"/>
        <w:keepNext w:val="0"/>
        <w:keepLines w:val="0"/>
        <w:pageBreakBefore w:val="0"/>
        <w:widowControl w:val="0"/>
        <w:numPr>
          <w:ilvl w:val="0"/>
          <w:numId w:val="0"/>
        </w:numPr>
        <w:kinsoku/>
        <w:wordWrap/>
        <w:overflowPunct/>
        <w:topLinePunct w:val="0"/>
        <w:autoSpaceDE/>
        <w:autoSpaceDN/>
        <w:bidi w:val="0"/>
        <w:spacing w:line="460" w:lineRule="exact"/>
        <w:ind w:right="0" w:rightChars="0" w:firstLine="0" w:firstLineChars="0"/>
        <w:textAlignment w:val="auto"/>
        <w:rPr>
          <w:rFonts w:hint="eastAsia" w:ascii="宋体" w:hAnsi="宋体" w:cs="宋体"/>
          <w:b/>
          <w:color w:val="auto"/>
          <w:sz w:val="24"/>
          <w:szCs w:val="24"/>
          <w:lang w:val="en-US" w:eastAsia="zh-CN"/>
        </w:rPr>
      </w:pPr>
    </w:p>
    <w:p w14:paraId="51B3E8CC">
      <w:pPr>
        <w:pStyle w:val="994"/>
        <w:keepNext w:val="0"/>
        <w:keepLines w:val="0"/>
        <w:pageBreakBefore w:val="0"/>
        <w:widowControl w:val="0"/>
        <w:numPr>
          <w:ilvl w:val="0"/>
          <w:numId w:val="0"/>
        </w:numPr>
        <w:kinsoku/>
        <w:wordWrap/>
        <w:overflowPunct/>
        <w:topLinePunct w:val="0"/>
        <w:autoSpaceDE/>
        <w:autoSpaceDN/>
        <w:bidi w:val="0"/>
        <w:spacing w:line="460" w:lineRule="exact"/>
        <w:ind w:right="0" w:rightChars="0" w:firstLine="0" w:firstLineChars="0"/>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1、推荐品牌</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850"/>
        <w:gridCol w:w="4836"/>
      </w:tblGrid>
      <w:tr w14:paraId="176D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29C286E9">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color w:val="000000"/>
                <w:kern w:val="0"/>
                <w:sz w:val="24"/>
                <w:szCs w:val="24"/>
                <w:u w:val="none"/>
                <w:lang w:val="en-US" w:eastAsia="zh-CN" w:bidi="ar-SA"/>
              </w:rPr>
              <w:t>序号</w:t>
            </w:r>
          </w:p>
        </w:tc>
        <w:tc>
          <w:tcPr>
            <w:tcW w:w="2850" w:type="dxa"/>
            <w:shd w:val="clear" w:color="FFFFFF" w:fill="FFFFFF"/>
            <w:noWrap w:val="0"/>
            <w:vAlign w:val="center"/>
          </w:tcPr>
          <w:p w14:paraId="50C5B549">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SA"/>
              </w:rPr>
              <w:t>名称</w:t>
            </w:r>
          </w:p>
        </w:tc>
        <w:tc>
          <w:tcPr>
            <w:tcW w:w="4836" w:type="dxa"/>
            <w:shd w:val="clear" w:color="FFFFFF" w:fill="FFFFFF"/>
            <w:noWrap w:val="0"/>
            <w:vAlign w:val="center"/>
          </w:tcPr>
          <w:p w14:paraId="5F8458D3">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SA"/>
              </w:rPr>
              <w:t>推荐品牌</w:t>
            </w:r>
          </w:p>
        </w:tc>
      </w:tr>
      <w:tr w14:paraId="6863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42BAC356">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340E4B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潜污泵</w:t>
            </w:r>
          </w:p>
        </w:tc>
        <w:tc>
          <w:tcPr>
            <w:tcW w:w="4836" w:type="dxa"/>
            <w:shd w:val="clear" w:color="FFFFFF" w:fill="FFFFFF"/>
            <w:noWrap w:val="0"/>
            <w:vAlign w:val="center"/>
          </w:tcPr>
          <w:p w14:paraId="4BD6A327">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南方泵业/上海凯泉/江苏蓝深</w:t>
            </w:r>
          </w:p>
        </w:tc>
      </w:tr>
      <w:tr w14:paraId="36AE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4AEECE23">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7F44BD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格栅除污机</w:t>
            </w:r>
          </w:p>
        </w:tc>
        <w:tc>
          <w:tcPr>
            <w:tcW w:w="4836" w:type="dxa"/>
            <w:shd w:val="clear" w:color="FFFFFF" w:fill="FFFFFF"/>
            <w:noWrap w:val="0"/>
            <w:vAlign w:val="center"/>
          </w:tcPr>
          <w:p w14:paraId="46914F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江苏通用/余姚浙东</w:t>
            </w:r>
            <w:r>
              <w:rPr>
                <w:rFonts w:hint="eastAsia" w:ascii="宋体" w:hAnsi="宋体" w:eastAsia="宋体" w:cs="宋体"/>
                <w:sz w:val="24"/>
                <w:szCs w:val="24"/>
                <w:vertAlign w:val="baseline"/>
                <w:lang w:val="en-US" w:eastAsia="zh-CN"/>
              </w:rPr>
              <w:t>/江苏蓝深</w:t>
            </w:r>
          </w:p>
        </w:tc>
      </w:tr>
      <w:tr w14:paraId="6951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130445C2">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7515BD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螺旋输送机</w:t>
            </w:r>
          </w:p>
        </w:tc>
        <w:tc>
          <w:tcPr>
            <w:tcW w:w="4836" w:type="dxa"/>
            <w:noWrap w:val="0"/>
            <w:vAlign w:val="center"/>
          </w:tcPr>
          <w:p w14:paraId="1DD853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江苏通用/余姚浙东</w:t>
            </w:r>
            <w:r>
              <w:rPr>
                <w:rFonts w:hint="eastAsia" w:ascii="宋体" w:hAnsi="宋体" w:eastAsia="宋体" w:cs="宋体"/>
                <w:sz w:val="24"/>
                <w:szCs w:val="24"/>
                <w:vertAlign w:val="baseline"/>
                <w:lang w:val="en-US" w:eastAsia="zh-CN"/>
              </w:rPr>
              <w:t>/江苏蓝深</w:t>
            </w:r>
          </w:p>
        </w:tc>
      </w:tr>
      <w:tr w14:paraId="79C9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622D22D7">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02BFE22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压榨机</w:t>
            </w:r>
          </w:p>
        </w:tc>
        <w:tc>
          <w:tcPr>
            <w:tcW w:w="4836" w:type="dxa"/>
            <w:noWrap w:val="0"/>
            <w:vAlign w:val="center"/>
          </w:tcPr>
          <w:p w14:paraId="2B021A4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江苏通用/余姚浙东</w:t>
            </w:r>
            <w:r>
              <w:rPr>
                <w:rFonts w:hint="eastAsia" w:ascii="宋体" w:hAnsi="宋体" w:eastAsia="宋体" w:cs="宋体"/>
                <w:sz w:val="24"/>
                <w:szCs w:val="24"/>
                <w:vertAlign w:val="baseline"/>
                <w:lang w:val="en-US" w:eastAsia="zh-CN"/>
              </w:rPr>
              <w:t>/江苏蓝深</w:t>
            </w:r>
          </w:p>
        </w:tc>
      </w:tr>
      <w:tr w14:paraId="571F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6A44A774">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714E650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不锈钢闸门</w:t>
            </w:r>
          </w:p>
        </w:tc>
        <w:tc>
          <w:tcPr>
            <w:tcW w:w="4836" w:type="dxa"/>
            <w:noWrap w:val="0"/>
            <w:vAlign w:val="center"/>
          </w:tcPr>
          <w:p w14:paraId="1AEA40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江苏通用/余姚浙东</w:t>
            </w:r>
            <w:r>
              <w:rPr>
                <w:rFonts w:hint="eastAsia" w:ascii="宋体" w:hAnsi="宋体" w:eastAsia="宋体" w:cs="宋体"/>
                <w:sz w:val="24"/>
                <w:szCs w:val="24"/>
                <w:vertAlign w:val="baseline"/>
                <w:lang w:val="en-US" w:eastAsia="zh-CN"/>
              </w:rPr>
              <w:t>/江苏蓝深</w:t>
            </w:r>
          </w:p>
        </w:tc>
      </w:tr>
      <w:tr w14:paraId="25BD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626C8EA6">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503344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电动蝶阀</w:t>
            </w:r>
          </w:p>
        </w:tc>
        <w:tc>
          <w:tcPr>
            <w:tcW w:w="4836" w:type="dxa"/>
            <w:shd w:val="clear" w:color="FFFFFF" w:fill="FFFFFF"/>
            <w:noWrap w:val="0"/>
            <w:vAlign w:val="center"/>
          </w:tcPr>
          <w:p w14:paraId="3065BF5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春江</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vertAlign w:val="baseline"/>
              </w:rPr>
              <w:t>铜都</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vertAlign w:val="baseline"/>
              </w:rPr>
              <w:t>成都川力</w:t>
            </w:r>
          </w:p>
        </w:tc>
      </w:tr>
      <w:tr w14:paraId="20F7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2BBD951C">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681F3D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PLC</w:t>
            </w:r>
          </w:p>
        </w:tc>
        <w:tc>
          <w:tcPr>
            <w:tcW w:w="4836" w:type="dxa"/>
            <w:shd w:val="clear" w:color="FFFFFF" w:fill="FFFFFF"/>
            <w:noWrap w:val="0"/>
            <w:vAlign w:val="center"/>
          </w:tcPr>
          <w:p w14:paraId="48AC9D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bCs/>
                <w:color w:val="auto"/>
                <w:kern w:val="0"/>
                <w:sz w:val="24"/>
                <w:szCs w:val="24"/>
              </w:rPr>
              <w:t>施耐德</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西门子</w:t>
            </w:r>
          </w:p>
        </w:tc>
      </w:tr>
      <w:tr w14:paraId="640C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43DC6E50">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0DC4644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变频器</w:t>
            </w:r>
          </w:p>
        </w:tc>
        <w:tc>
          <w:tcPr>
            <w:tcW w:w="4836" w:type="dxa"/>
            <w:shd w:val="clear" w:color="FFFFFF" w:fill="FFFFFF"/>
            <w:noWrap w:val="0"/>
            <w:vAlign w:val="center"/>
          </w:tcPr>
          <w:p w14:paraId="1D11B17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bCs/>
                <w:color w:val="auto"/>
                <w:kern w:val="0"/>
                <w:sz w:val="24"/>
                <w:szCs w:val="24"/>
              </w:rPr>
              <w:t>施耐德</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ABB</w:t>
            </w:r>
          </w:p>
        </w:tc>
      </w:tr>
      <w:tr w14:paraId="4C12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1404225C">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3BA2EC4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超声波液位计</w:t>
            </w:r>
          </w:p>
        </w:tc>
        <w:tc>
          <w:tcPr>
            <w:tcW w:w="4836" w:type="dxa"/>
            <w:shd w:val="clear" w:color="FFFFFF" w:fill="FFFFFF"/>
            <w:noWrap w:val="0"/>
            <w:vAlign w:val="center"/>
          </w:tcPr>
          <w:p w14:paraId="5714422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德国E+H/西门子/英国Pulsar</w:t>
            </w:r>
          </w:p>
        </w:tc>
      </w:tr>
      <w:tr w14:paraId="74C0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5CD895F7">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41AC3D3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电磁流量计</w:t>
            </w:r>
          </w:p>
        </w:tc>
        <w:tc>
          <w:tcPr>
            <w:tcW w:w="4836" w:type="dxa"/>
            <w:shd w:val="clear" w:color="FFFFFF" w:fill="FFFFFF"/>
            <w:noWrap w:val="0"/>
            <w:vAlign w:val="center"/>
          </w:tcPr>
          <w:p w14:paraId="0918B7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德国 E+H/西门子/科隆</w:t>
            </w:r>
          </w:p>
        </w:tc>
      </w:tr>
      <w:tr w14:paraId="7296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136292CB">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791F763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压力变送器</w:t>
            </w:r>
          </w:p>
        </w:tc>
        <w:tc>
          <w:tcPr>
            <w:tcW w:w="4836" w:type="dxa"/>
            <w:shd w:val="clear" w:color="FFFFFF" w:fill="FFFFFF"/>
            <w:noWrap w:val="0"/>
            <w:vAlign w:val="center"/>
          </w:tcPr>
          <w:p w14:paraId="7AAC48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德国E+H/西门子/ABB</w:t>
            </w:r>
          </w:p>
        </w:tc>
      </w:tr>
      <w:tr w14:paraId="2B52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37BE3DC1">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586E4ED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交换机</w:t>
            </w:r>
          </w:p>
        </w:tc>
        <w:tc>
          <w:tcPr>
            <w:tcW w:w="4836" w:type="dxa"/>
            <w:shd w:val="clear" w:color="FFFFFF" w:fill="FFFFFF"/>
            <w:noWrap w:val="0"/>
            <w:vAlign w:val="center"/>
          </w:tcPr>
          <w:p w14:paraId="0369CC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华为/思科/H3C</w:t>
            </w:r>
          </w:p>
        </w:tc>
      </w:tr>
      <w:tr w14:paraId="24ED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09218432">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08243132">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SA"/>
              </w:rPr>
              <w:t>服务器</w:t>
            </w:r>
          </w:p>
        </w:tc>
        <w:tc>
          <w:tcPr>
            <w:tcW w:w="4836" w:type="dxa"/>
            <w:shd w:val="clear" w:color="FFFFFF" w:fill="FFFFFF"/>
            <w:noWrap w:val="0"/>
            <w:vAlign w:val="center"/>
          </w:tcPr>
          <w:p w14:paraId="1EAB10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华为/思科/H3C</w:t>
            </w:r>
          </w:p>
        </w:tc>
      </w:tr>
      <w:tr w14:paraId="13C4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126E0F59">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5BCC29E8">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SA"/>
              </w:rPr>
              <w:t>防火墙</w:t>
            </w:r>
          </w:p>
        </w:tc>
        <w:tc>
          <w:tcPr>
            <w:tcW w:w="4836" w:type="dxa"/>
            <w:shd w:val="clear" w:color="FFFFFF" w:fill="FFFFFF"/>
            <w:noWrap w:val="0"/>
            <w:vAlign w:val="center"/>
          </w:tcPr>
          <w:p w14:paraId="2481BF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华三、天融信、深信服</w:t>
            </w:r>
          </w:p>
        </w:tc>
      </w:tr>
      <w:tr w14:paraId="1133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00E0CE22">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6B063D0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隔离继电器</w:t>
            </w:r>
          </w:p>
        </w:tc>
        <w:tc>
          <w:tcPr>
            <w:tcW w:w="4836" w:type="dxa"/>
            <w:shd w:val="clear" w:color="FFFFFF" w:fill="FFFFFF"/>
            <w:noWrap w:val="0"/>
            <w:vAlign w:val="center"/>
          </w:tcPr>
          <w:p w14:paraId="598907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bCs/>
                <w:color w:val="auto"/>
                <w:kern w:val="0"/>
                <w:sz w:val="24"/>
                <w:szCs w:val="24"/>
              </w:rPr>
              <w:t>欧姆龙</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施耐德</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西门子</w:t>
            </w:r>
          </w:p>
        </w:tc>
      </w:tr>
      <w:tr w14:paraId="29F5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17D0FEA5">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163A424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电控柜内元器件</w:t>
            </w:r>
          </w:p>
        </w:tc>
        <w:tc>
          <w:tcPr>
            <w:tcW w:w="4836" w:type="dxa"/>
            <w:shd w:val="clear" w:color="FFFFFF" w:fill="FFFFFF"/>
            <w:noWrap w:val="0"/>
            <w:vAlign w:val="center"/>
          </w:tcPr>
          <w:p w14:paraId="309F18B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bCs/>
                <w:color w:val="auto"/>
                <w:kern w:val="0"/>
                <w:sz w:val="24"/>
                <w:szCs w:val="24"/>
              </w:rPr>
              <w:t>施耐德</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ABB</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lang w:eastAsia="zh-CN"/>
              </w:rPr>
              <w:t>欧姆龙</w:t>
            </w:r>
          </w:p>
        </w:tc>
      </w:tr>
      <w:tr w14:paraId="136C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16" w:type="dxa"/>
            <w:shd w:val="clear" w:color="auto" w:fill="auto"/>
            <w:noWrap w:val="0"/>
            <w:vAlign w:val="center"/>
          </w:tcPr>
          <w:p w14:paraId="19AF356B">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744474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SA"/>
              </w:rPr>
              <w:t>电缆</w:t>
            </w:r>
          </w:p>
        </w:tc>
        <w:tc>
          <w:tcPr>
            <w:tcW w:w="4836" w:type="dxa"/>
            <w:shd w:val="clear" w:color="FFFFFF" w:fill="FFFFFF"/>
            <w:noWrap w:val="0"/>
            <w:vAlign w:val="center"/>
          </w:tcPr>
          <w:p w14:paraId="46E62E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bCs/>
                <w:color w:val="auto"/>
                <w:kern w:val="0"/>
                <w:sz w:val="24"/>
                <w:szCs w:val="24"/>
              </w:rPr>
              <w:t>浙江万马</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远东电缆</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宝胜电缆</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上上电缆</w:t>
            </w:r>
          </w:p>
        </w:tc>
      </w:tr>
      <w:tr w14:paraId="7E34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7DABFB00">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058AD8A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组态软件</w:t>
            </w:r>
          </w:p>
        </w:tc>
        <w:tc>
          <w:tcPr>
            <w:tcW w:w="4836" w:type="dxa"/>
            <w:shd w:val="clear" w:color="FFFFFF" w:fill="FFFFFF"/>
            <w:noWrap w:val="0"/>
            <w:vAlign w:val="center"/>
          </w:tcPr>
          <w:p w14:paraId="7548E426">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InTouch</w:t>
            </w:r>
          </w:p>
        </w:tc>
      </w:tr>
      <w:tr w14:paraId="1D9A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shd w:val="clear" w:color="auto" w:fill="auto"/>
            <w:noWrap w:val="0"/>
            <w:vAlign w:val="center"/>
          </w:tcPr>
          <w:p w14:paraId="629F152C">
            <w:pPr>
              <w:keepNext w:val="0"/>
              <w:keepLines w:val="0"/>
              <w:widowControl/>
              <w:numPr>
                <w:ilvl w:val="0"/>
                <w:numId w:val="9"/>
              </w:numPr>
              <w:suppressLineNumbers w:val="0"/>
              <w:ind w:left="425" w:leftChars="0" w:hanging="425" w:firstLineChars="0"/>
              <w:jc w:val="center"/>
              <w:textAlignment w:val="center"/>
              <w:rPr>
                <w:rFonts w:hint="eastAsia" w:ascii="宋体" w:hAnsi="宋体" w:eastAsia="宋体" w:cs="宋体"/>
                <w:sz w:val="24"/>
                <w:szCs w:val="24"/>
                <w:vertAlign w:val="baseline"/>
              </w:rPr>
            </w:pPr>
          </w:p>
        </w:tc>
        <w:tc>
          <w:tcPr>
            <w:tcW w:w="2850" w:type="dxa"/>
            <w:shd w:val="clear" w:color="FFFFFF" w:fill="FFFFFF"/>
            <w:noWrap w:val="0"/>
            <w:vAlign w:val="center"/>
          </w:tcPr>
          <w:p w14:paraId="679E5DA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监控摄像头</w:t>
            </w:r>
          </w:p>
        </w:tc>
        <w:tc>
          <w:tcPr>
            <w:tcW w:w="4836" w:type="dxa"/>
            <w:shd w:val="clear" w:color="FFFFFF" w:fill="FFFFFF"/>
            <w:noWrap w:val="0"/>
            <w:vAlign w:val="center"/>
          </w:tcPr>
          <w:p w14:paraId="73097F3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海康威视</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vertAlign w:val="baseline"/>
              </w:rPr>
              <w:t>浙江大华</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vertAlign w:val="baseline"/>
              </w:rPr>
              <w:t>英飞拓</w:t>
            </w:r>
          </w:p>
        </w:tc>
      </w:tr>
    </w:tbl>
    <w:p w14:paraId="3F9843DC">
      <w:pPr>
        <w:autoSpaceDE/>
        <w:autoSpaceDN/>
        <w:adjustRightInd/>
        <w:snapToGrid/>
        <w:spacing w:line="360" w:lineRule="auto"/>
        <w:ind w:firstLine="480" w:firstLineChars="200"/>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主要货物清单仅指本次招标的主要供货范围，是系统的必要组成部分并非详细完整配置。对清单中未列出和技术要求内未说明的，而投标人为使整套系统设备能够按技术要求的要求长期准确有效安全运行所需的货物，应在清单中予以补充，并包含在投标总价内</w:t>
      </w:r>
    </w:p>
    <w:p w14:paraId="7A34566C">
      <w:pPr>
        <w:autoSpaceDE/>
        <w:autoSpaceDN/>
        <w:adjustRightInd/>
        <w:snapToGrid/>
        <w:spacing w:line="360" w:lineRule="auto"/>
        <w:ind w:firstLine="480" w:firstLineChars="200"/>
        <w:textAlignment w:val="auto"/>
        <w:rPr>
          <w:rFonts w:ascii="宋体" w:hAnsi="宋体" w:eastAsia="宋体"/>
          <w:color w:val="000000"/>
          <w:sz w:val="24"/>
          <w:highlight w:val="none"/>
        </w:rPr>
      </w:pPr>
      <w:r>
        <w:rPr>
          <w:rFonts w:hint="eastAsia" w:ascii="宋体" w:hAnsi="宋体"/>
          <w:color w:val="000000"/>
          <w:sz w:val="24"/>
          <w:highlight w:val="none"/>
          <w:lang w:val="en-US" w:eastAsia="zh-CN"/>
        </w:rPr>
        <w:t>3、</w:t>
      </w:r>
      <w:r>
        <w:rPr>
          <w:rFonts w:hint="eastAsia" w:ascii="宋体" w:hAnsi="宋体" w:eastAsia="宋体"/>
          <w:color w:val="000000"/>
          <w:sz w:val="24"/>
          <w:highlight w:val="none"/>
          <w:lang w:eastAsia="zh-CN"/>
        </w:rPr>
        <w:t>招标文件</w:t>
      </w:r>
      <w:r>
        <w:rPr>
          <w:rFonts w:ascii="宋体" w:hAnsi="宋体" w:eastAsia="宋体"/>
          <w:color w:val="000000"/>
          <w:sz w:val="24"/>
          <w:highlight w:val="none"/>
        </w:rPr>
        <w:t>中所涉及的产品品牌或型号均为建议性要求或为档次选择要求或为代替部分技术指标描述，</w:t>
      </w:r>
      <w:r>
        <w:rPr>
          <w:rFonts w:hint="eastAsia" w:ascii="宋体" w:hAnsi="宋体"/>
          <w:color w:val="000000"/>
          <w:sz w:val="24"/>
          <w:highlight w:val="none"/>
          <w:lang w:val="en-US" w:eastAsia="zh-CN"/>
        </w:rPr>
        <w:t>投标人</w:t>
      </w:r>
      <w:r>
        <w:rPr>
          <w:rFonts w:ascii="宋体" w:hAnsi="宋体" w:eastAsia="宋体"/>
          <w:color w:val="000000"/>
          <w:sz w:val="24"/>
          <w:highlight w:val="none"/>
        </w:rPr>
        <w:t>可以选择其他品牌型号的产品参加响应但响应产品须具有相当于或优于</w:t>
      </w:r>
      <w:r>
        <w:rPr>
          <w:rFonts w:hint="eastAsia" w:ascii="宋体" w:hAnsi="宋体" w:eastAsia="宋体"/>
          <w:color w:val="000000"/>
          <w:sz w:val="24"/>
          <w:highlight w:val="none"/>
          <w:lang w:eastAsia="zh-CN"/>
        </w:rPr>
        <w:t>招标文件</w:t>
      </w:r>
      <w:r>
        <w:rPr>
          <w:rFonts w:ascii="宋体" w:hAnsi="宋体" w:eastAsia="宋体"/>
          <w:color w:val="000000"/>
          <w:sz w:val="24"/>
          <w:highlight w:val="none"/>
        </w:rPr>
        <w:t>要求的指标、性能、档次。因此除</w:t>
      </w:r>
      <w:r>
        <w:rPr>
          <w:rFonts w:hint="eastAsia" w:ascii="宋体" w:hAnsi="宋体" w:eastAsia="宋体"/>
          <w:color w:val="000000"/>
          <w:sz w:val="24"/>
          <w:highlight w:val="none"/>
          <w:lang w:eastAsia="zh-CN"/>
        </w:rPr>
        <w:t>招标文件</w:t>
      </w:r>
      <w:r>
        <w:rPr>
          <w:rFonts w:ascii="宋体" w:hAnsi="宋体" w:eastAsia="宋体"/>
          <w:color w:val="000000"/>
          <w:sz w:val="24"/>
          <w:highlight w:val="none"/>
        </w:rPr>
        <w:t>明确的参考品牌外，欢迎其他能满足本项目技术需求且性能与所明确品牌相当的产品参加，但应充分说明原因及提供技术指标，并提供相应有效的证明材料，否则</w:t>
      </w:r>
      <w:r>
        <w:rPr>
          <w:rFonts w:hint="eastAsia" w:ascii="宋体" w:hAnsi="宋体" w:eastAsia="宋体"/>
          <w:color w:val="000000"/>
          <w:sz w:val="24"/>
          <w:highlight w:val="none"/>
          <w:lang w:eastAsia="zh-CN"/>
        </w:rPr>
        <w:t>招标人</w:t>
      </w:r>
      <w:r>
        <w:rPr>
          <w:rFonts w:ascii="宋体" w:hAnsi="宋体" w:eastAsia="宋体"/>
          <w:color w:val="000000"/>
          <w:sz w:val="24"/>
          <w:highlight w:val="none"/>
        </w:rPr>
        <w:t>或评审委员会将不予认可。</w:t>
      </w:r>
    </w:p>
    <w:p w14:paraId="4D4DADD4">
      <w:pPr>
        <w:autoSpaceDE w:val="0"/>
        <w:autoSpaceDN w:val="0"/>
        <w:adjustRightInd w:val="0"/>
        <w:snapToGrid w:val="0"/>
        <w:spacing w:line="440" w:lineRule="exact"/>
        <w:ind w:firstLine="480"/>
        <w:textAlignment w:val="bottom"/>
        <w:rPr>
          <w:rFonts w:ascii="宋体" w:hAnsi="宋体" w:eastAsia="宋体"/>
          <w:color w:val="000000"/>
          <w:sz w:val="24"/>
          <w:highlight w:val="none"/>
        </w:rPr>
      </w:pPr>
      <w:r>
        <w:rPr>
          <w:rFonts w:hint="eastAsia" w:ascii="宋体" w:hAnsi="宋体"/>
          <w:color w:val="000000"/>
          <w:sz w:val="24"/>
          <w:highlight w:val="none"/>
          <w:lang w:val="en-US" w:eastAsia="zh-CN"/>
        </w:rPr>
        <w:t xml:space="preserve">4、 </w:t>
      </w:r>
      <w:r>
        <w:rPr>
          <w:rFonts w:ascii="宋体" w:hAnsi="宋体" w:eastAsia="宋体"/>
          <w:color w:val="000000"/>
          <w:sz w:val="24"/>
          <w:highlight w:val="none"/>
        </w:rPr>
        <w:t>当采购需求描述与采购清单不一致时，以采购清单为准</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电缆等配件所需长度、数量</w:t>
      </w:r>
      <w:r>
        <w:rPr>
          <w:rFonts w:hint="eastAsia" w:ascii="宋体" w:hAnsi="宋体" w:eastAsia="宋体" w:cs="宋体"/>
          <w:color w:val="000000"/>
          <w:sz w:val="24"/>
          <w:highlight w:val="none"/>
          <w:lang w:val="en-US" w:eastAsia="zh-CN"/>
        </w:rPr>
        <w:t>以图纸和现场踏勘数据为准。</w:t>
      </w:r>
    </w:p>
    <w:p w14:paraId="3BFD7F21">
      <w:pPr>
        <w:numPr>
          <w:ilvl w:val="0"/>
          <w:numId w:val="0"/>
        </w:numPr>
        <w:adjustRightInd w:val="0"/>
        <w:spacing w:line="360" w:lineRule="auto"/>
        <w:textAlignment w:val="baseline"/>
        <w:rPr>
          <w:rFonts w:hint="eastAsia"/>
          <w:b/>
          <w:color w:val="000000"/>
          <w:sz w:val="28"/>
          <w:szCs w:val="28"/>
          <w:highlight w:val="none"/>
          <w:lang w:val="en-US" w:eastAsia="zh-CN"/>
        </w:rPr>
      </w:pPr>
      <w:r>
        <w:rPr>
          <w:rFonts w:hint="eastAsia"/>
          <w:b/>
          <w:color w:val="000000"/>
          <w:sz w:val="28"/>
          <w:szCs w:val="28"/>
          <w:highlight w:val="none"/>
          <w:lang w:val="en-US" w:eastAsia="zh-CN"/>
        </w:rPr>
        <w:t>三、主要设备技术要求：</w:t>
      </w:r>
    </w:p>
    <w:p w14:paraId="1BB7366E">
      <w:pPr>
        <w:pStyle w:val="994"/>
        <w:keepNext w:val="0"/>
        <w:keepLines w:val="0"/>
        <w:pageBreakBefore w:val="0"/>
        <w:widowControl w:val="0"/>
        <w:numPr>
          <w:ilvl w:val="0"/>
          <w:numId w:val="0"/>
        </w:numPr>
        <w:kinsoku/>
        <w:wordWrap/>
        <w:overflowPunct/>
        <w:topLinePunct w:val="0"/>
        <w:autoSpaceDE/>
        <w:autoSpaceDN/>
        <w:bidi w:val="0"/>
        <w:spacing w:line="460" w:lineRule="exact"/>
        <w:ind w:right="0" w:rightChars="0" w:firstLine="0" w:firstLineChars="0"/>
        <w:textAlignment w:val="auto"/>
        <w:rPr>
          <w:rFonts w:hint="eastAsia"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lang w:val="en-US" w:eastAsia="zh-CN"/>
        </w:rPr>
        <w:t>潜污泵技术要求</w:t>
      </w:r>
    </w:p>
    <w:p w14:paraId="7D88AE99">
      <w:pPr>
        <w:pStyle w:val="994"/>
        <w:keepNext w:val="0"/>
        <w:keepLines w:val="0"/>
        <w:pageBreakBefore w:val="0"/>
        <w:widowControl w:val="0"/>
        <w:numPr>
          <w:ilvl w:val="0"/>
          <w:numId w:val="0"/>
        </w:numPr>
        <w:kinsoku/>
        <w:wordWrap/>
        <w:overflowPunct/>
        <w:topLinePunct w:val="0"/>
        <w:autoSpaceDE/>
        <w:autoSpaceDN/>
        <w:bidi w:val="0"/>
        <w:spacing w:line="460" w:lineRule="exact"/>
        <w:ind w:right="0" w:rightChars="0" w:firstLine="0" w:firstLineChars="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性能</w:t>
      </w:r>
    </w:p>
    <w:p w14:paraId="55B9EE32">
      <w:pPr>
        <w:keepNext w:val="0"/>
        <w:keepLines w:val="0"/>
        <w:pageBreakBefore w:val="0"/>
        <w:widowControl w:val="0"/>
        <w:kinsoku/>
        <w:wordWrap/>
        <w:overflowPunct/>
        <w:topLinePunct w:val="0"/>
        <w:autoSpaceDE/>
        <w:autoSpaceDN/>
        <w:bidi w:val="0"/>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A. 泵的性能试验规程</w:t>
      </w:r>
      <w:r>
        <w:rPr>
          <w:rFonts w:hint="eastAsia" w:ascii="宋体" w:hAnsi="宋体" w:eastAsia="宋体" w:cs="宋体"/>
          <w:color w:val="auto"/>
          <w:sz w:val="24"/>
          <w:szCs w:val="24"/>
          <w:highlight w:val="none"/>
        </w:rPr>
        <w:t>应以ISO9906 (2011)为准。</w:t>
      </w:r>
    </w:p>
    <w:p w14:paraId="4DC634DF">
      <w:pPr>
        <w:keepNext w:val="0"/>
        <w:keepLines w:val="0"/>
        <w:pageBreakBefore w:val="0"/>
        <w:widowControl w:val="0"/>
        <w:kinsoku/>
        <w:wordWrap/>
        <w:overflowPunct/>
        <w:topLinePunct w:val="0"/>
        <w:autoSpaceDE/>
        <w:autoSpaceDN/>
        <w:bidi w:val="0"/>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每台泵应能泵送污水。</w:t>
      </w:r>
    </w:p>
    <w:p w14:paraId="4E748534">
      <w:pPr>
        <w:keepNext w:val="0"/>
        <w:keepLines w:val="0"/>
        <w:pageBreakBefore w:val="0"/>
        <w:widowControl w:val="0"/>
        <w:kinsoku/>
        <w:wordWrap/>
        <w:overflowPunct/>
        <w:topLinePunct w:val="0"/>
        <w:autoSpaceDE/>
        <w:autoSpaceDN/>
        <w:bidi w:val="0"/>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潜水电机须能连续运行、间歇运行和长期停止状态后恢复运行。</w:t>
      </w:r>
    </w:p>
    <w:p w14:paraId="26845D88">
      <w:pPr>
        <w:pStyle w:val="994"/>
        <w:keepNext w:val="0"/>
        <w:keepLines w:val="0"/>
        <w:pageBreakBefore w:val="0"/>
        <w:widowControl w:val="0"/>
        <w:kinsoku/>
        <w:wordWrap/>
        <w:overflowPunct/>
        <w:topLinePunct w:val="0"/>
        <w:autoSpaceDE/>
        <w:autoSpaceDN/>
        <w:bidi w:val="0"/>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潜污泵应是立式、单级和可脱卸的具无阻塞性潜水泵，并与潜水电机的轴为一个整体。</w:t>
      </w:r>
    </w:p>
    <w:p w14:paraId="694239B0">
      <w:pPr>
        <w:pStyle w:val="994"/>
        <w:keepNext w:val="0"/>
        <w:keepLines w:val="0"/>
        <w:pageBreakBefore w:val="0"/>
        <w:widowControl w:val="0"/>
        <w:kinsoku/>
        <w:wordWrap/>
        <w:overflowPunct/>
        <w:topLinePunct w:val="0"/>
        <w:autoSpaceDE/>
        <w:autoSpaceDN/>
        <w:bidi w:val="0"/>
        <w:spacing w:line="460" w:lineRule="exact"/>
        <w:ind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技术参数</w:t>
      </w:r>
    </w:p>
    <w:p w14:paraId="23CF3935">
      <w:pPr>
        <w:pStyle w:val="994"/>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水泵在任何工况条件下不过载，不发生汽蚀，并满足以上参数需求，潜污泵必须为成套装置。</w:t>
      </w:r>
    </w:p>
    <w:p w14:paraId="7FACB14E">
      <w:pPr>
        <w:pStyle w:val="994"/>
        <w:keepNext w:val="0"/>
        <w:keepLines w:val="0"/>
        <w:pageBreakBefore w:val="0"/>
        <w:widowControl w:val="0"/>
        <w:kinsoku/>
        <w:wordWrap/>
        <w:overflowPunct/>
        <w:topLinePunct w:val="0"/>
        <w:autoSpaceDE/>
        <w:autoSpaceDN/>
        <w:bidi w:val="0"/>
        <w:spacing w:line="460" w:lineRule="exact"/>
        <w:ind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结构</w:t>
      </w:r>
    </w:p>
    <w:p w14:paraId="74221757">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潜污泵应是立式、单级和可脱卸的具无阻塞性潜水泵，能够在10m水深下持续长期运行，安全运行时间至少为10,000h。</w:t>
      </w:r>
    </w:p>
    <w:p w14:paraId="2343217D">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cs="宋体"/>
          <w:color w:val="auto"/>
          <w:kern w:val="2"/>
          <w:szCs w:val="24"/>
          <w:highlight w:val="none"/>
        </w:rPr>
      </w:pPr>
      <w:r>
        <w:rPr>
          <w:rFonts w:hint="eastAsia" w:ascii="宋体" w:hAnsi="宋体" w:eastAsia="宋体" w:cs="宋体"/>
          <w:color w:val="auto"/>
          <w:kern w:val="2"/>
          <w:sz w:val="24"/>
          <w:szCs w:val="24"/>
          <w:highlight w:val="none"/>
        </w:rPr>
        <w:t>潜水电机直接与泵叶轮同轴相连，水力部件由水泵壳体、叶轮组成。水泵壳体的出水口应为径向出水口，出水口中心线应与电机中心线在同一平面内。为了确保流量稳定且没有过多涡旋，水力部件应设计和制造成没有锐利的棱角。泵出水配管法兰应按ISO标准，</w:t>
      </w:r>
      <w:r>
        <w:rPr>
          <w:rFonts w:hint="eastAsia" w:cs="宋体"/>
          <w:color w:val="auto"/>
          <w:kern w:val="2"/>
          <w:szCs w:val="24"/>
          <w:highlight w:val="none"/>
        </w:rPr>
        <w:t>公称压力</w:t>
      </w:r>
      <w:r>
        <w:rPr>
          <w:rFonts w:cs="宋体"/>
          <w:color w:val="auto"/>
          <w:kern w:val="2"/>
          <w:szCs w:val="24"/>
          <w:highlight w:val="none"/>
        </w:rPr>
        <w:t>0.6</w:t>
      </w:r>
      <w:r>
        <w:rPr>
          <w:rFonts w:hint="eastAsia" w:cs="宋体"/>
          <w:color w:val="auto"/>
          <w:kern w:val="2"/>
          <w:szCs w:val="24"/>
          <w:highlight w:val="none"/>
        </w:rPr>
        <w:t>MPa及以上。</w:t>
      </w:r>
    </w:p>
    <w:p w14:paraId="58A17592">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水泵能自动稳固地与排水连接座联接，并且水泵能够在导杆引导下从泵坑顶部到排水连接座之间自由滑动。</w:t>
      </w:r>
    </w:p>
    <w:p w14:paraId="4907B3F1">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潜水电机应能连续运行、间歇运行和长期停止状态后恢复运行。</w:t>
      </w:r>
    </w:p>
    <w:p w14:paraId="641D81DB">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泵的性能试验规程应以ISO9906 (2011)为准。</w:t>
      </w:r>
    </w:p>
    <w:p w14:paraId="38A9153D">
      <w:pPr>
        <w:keepNext w:val="0"/>
        <w:keepLines w:val="0"/>
        <w:pageBreakBefore w:val="0"/>
        <w:widowControl w:val="0"/>
        <w:numPr>
          <w:ilvl w:val="0"/>
          <w:numId w:val="0"/>
        </w:numPr>
        <w:tabs>
          <w:tab w:val="left" w:pos="964"/>
        </w:tabs>
        <w:kinsoku/>
        <w:wordWrap/>
        <w:overflowPunct/>
        <w:topLinePunct w:val="0"/>
        <w:autoSpaceDE/>
        <w:autoSpaceDN/>
        <w:bidi w:val="0"/>
        <w:adjustRightInd w:val="0"/>
        <w:snapToGrid w:val="0"/>
        <w:spacing w:line="460" w:lineRule="exact"/>
        <w:ind w:left="482" w:right="0" w:rightChars="0" w:firstLine="0"/>
        <w:textAlignment w:val="auto"/>
        <w:outlineLvl w:val="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A.</w:t>
      </w:r>
      <w:r>
        <w:rPr>
          <w:rFonts w:hint="eastAsia" w:ascii="宋体" w:hAnsi="宋体" w:eastAsia="宋体" w:cs="宋体"/>
          <w:b/>
          <w:bCs/>
          <w:color w:val="auto"/>
          <w:sz w:val="24"/>
          <w:szCs w:val="24"/>
          <w:highlight w:val="none"/>
        </w:rPr>
        <w:t>泵壳</w:t>
      </w:r>
    </w:p>
    <w:p w14:paraId="2D436496">
      <w:pPr>
        <w:pStyle w:val="996"/>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泵壳采用灰铸铁整体浇铸，其材料牌号应至少为</w:t>
      </w:r>
      <w:r>
        <w:rPr>
          <w:rFonts w:hint="eastAsia" w:ascii="宋体" w:hAnsi="宋体"/>
          <w:color w:val="auto"/>
          <w:szCs w:val="21"/>
          <w:highlight w:val="none"/>
        </w:rPr>
        <w:t>铸铁HT250</w:t>
      </w:r>
      <w:r>
        <w:rPr>
          <w:rFonts w:hint="eastAsia" w:ascii="宋体" w:hAnsi="宋体" w:eastAsia="宋体" w:cs="宋体"/>
          <w:color w:val="auto"/>
          <w:sz w:val="24"/>
          <w:szCs w:val="24"/>
          <w:highlight w:val="none"/>
        </w:rPr>
        <w:t xml:space="preserve">或以上，泵壳内表面经喷砂、打磨后应光滑、无疵瑕，所有水流通过部分应设计成无锐角形式，以使流速和流态变化趋于平稳。流道的断面应足够大，以使相应粒径的杂物能通过。泵壳要有足够的厚度来承受所有的载荷。 </w:t>
      </w:r>
    </w:p>
    <w:p w14:paraId="68A7F3E7">
      <w:pPr>
        <w:pStyle w:val="996"/>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每台泵壳都必须在制造车间进行静压试验，试验压力不得小于关闭水头的2倍（如特性曲线所示），试验时间应至少持续10min。在这一试验压力下，泵的任一部分均不得有变形、渗漏等缺陷。</w:t>
      </w:r>
    </w:p>
    <w:p w14:paraId="6EBFDECC">
      <w:pPr>
        <w:pStyle w:val="996"/>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除有其它说明外，所有要求水密封的接触面都必须作机械加工和设置Ｏ型圈，靠金属加工面之间的接触，使Ｏ型圈受压达到密封的装配，而不需要施加特殊的外力。</w:t>
      </w:r>
    </w:p>
    <w:p w14:paraId="14768418">
      <w:pPr>
        <w:keepNext w:val="0"/>
        <w:keepLines w:val="0"/>
        <w:pageBreakBefore w:val="0"/>
        <w:widowControl w:val="0"/>
        <w:numPr>
          <w:ilvl w:val="0"/>
          <w:numId w:val="0"/>
        </w:numPr>
        <w:tabs>
          <w:tab w:val="left" w:pos="964"/>
        </w:tabs>
        <w:kinsoku/>
        <w:wordWrap/>
        <w:overflowPunct/>
        <w:topLinePunct w:val="0"/>
        <w:autoSpaceDE/>
        <w:autoSpaceDN/>
        <w:bidi w:val="0"/>
        <w:adjustRightInd w:val="0"/>
        <w:snapToGrid w:val="0"/>
        <w:spacing w:line="460" w:lineRule="exact"/>
        <w:ind w:left="482" w:right="0" w:rightChars="0" w:firstLine="0"/>
        <w:textAlignment w:val="auto"/>
        <w:outlineLvl w:val="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B.</w:t>
      </w:r>
      <w:r>
        <w:rPr>
          <w:rFonts w:hint="eastAsia" w:ascii="宋体" w:hAnsi="宋体" w:eastAsia="宋体" w:cs="宋体"/>
          <w:b/>
          <w:bCs/>
          <w:color w:val="auto"/>
          <w:sz w:val="24"/>
          <w:szCs w:val="24"/>
          <w:highlight w:val="none"/>
        </w:rPr>
        <w:t>叶轮</w:t>
      </w:r>
    </w:p>
    <w:p w14:paraId="4190F44A">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叶轮采用整体铸造无堵塞离心叶轮型式。叶轮和泵轴之间采用双键固定在轴的端部，</w:t>
      </w:r>
      <w:r>
        <w:rPr>
          <w:rFonts w:hint="eastAsia" w:ascii="宋体" w:hAnsi="宋体" w:cs="宋体"/>
          <w:color w:val="auto"/>
          <w:sz w:val="24"/>
          <w:szCs w:val="24"/>
          <w:highlight w:val="none"/>
        </w:rPr>
        <w:t>并采用叶轮螺母进行密封固定。螺母</w:t>
      </w:r>
      <w:r>
        <w:rPr>
          <w:rFonts w:hint="eastAsia" w:ascii="宋体" w:hAnsi="宋体" w:eastAsia="宋体" w:cs="宋体"/>
          <w:color w:val="auto"/>
          <w:sz w:val="24"/>
          <w:szCs w:val="24"/>
          <w:highlight w:val="none"/>
        </w:rPr>
        <w:t>和轴须采用内部锁定装置，以防叶轮在反转时发生松动现象。为保证泵长期稳定运行，流量不衰减，效率不降低，叶轮应采用</w:t>
      </w:r>
      <w:r>
        <w:rPr>
          <w:rFonts w:hint="eastAsia" w:ascii="宋体" w:hAnsi="宋体"/>
          <w:color w:val="auto"/>
          <w:szCs w:val="21"/>
          <w:highlight w:val="none"/>
        </w:rPr>
        <w:t>铸铁HT250</w:t>
      </w:r>
      <w:r>
        <w:rPr>
          <w:rFonts w:hint="eastAsia" w:ascii="宋体" w:hAnsi="宋体" w:eastAsia="宋体" w:cs="宋体"/>
          <w:color w:val="auto"/>
          <w:sz w:val="24"/>
          <w:szCs w:val="24"/>
          <w:highlight w:val="none"/>
        </w:rPr>
        <w:t>或以上材质。</w:t>
      </w:r>
    </w:p>
    <w:p w14:paraId="24E2D06C">
      <w:pPr>
        <w:pStyle w:val="996"/>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叶轮应进行动平衡试验，动平衡精度应不低于ISO1940 G6.3级。</w:t>
      </w:r>
    </w:p>
    <w:p w14:paraId="735F7D66">
      <w:pPr>
        <w:keepNext w:val="0"/>
        <w:keepLines w:val="0"/>
        <w:pageBreakBefore w:val="0"/>
        <w:widowControl w:val="0"/>
        <w:numPr>
          <w:ilvl w:val="0"/>
          <w:numId w:val="0"/>
        </w:numPr>
        <w:tabs>
          <w:tab w:val="left" w:pos="964"/>
        </w:tabs>
        <w:kinsoku/>
        <w:wordWrap/>
        <w:overflowPunct/>
        <w:topLinePunct w:val="0"/>
        <w:autoSpaceDE/>
        <w:autoSpaceDN/>
        <w:bidi w:val="0"/>
        <w:adjustRightInd w:val="0"/>
        <w:snapToGrid w:val="0"/>
        <w:spacing w:line="460" w:lineRule="exact"/>
        <w:ind w:left="482" w:right="0" w:rightChars="0" w:firstLine="0"/>
        <w:textAlignment w:val="auto"/>
        <w:outlineLvl w:val="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C.</w:t>
      </w:r>
      <w:r>
        <w:rPr>
          <w:rFonts w:hint="eastAsia" w:ascii="宋体" w:hAnsi="宋体" w:eastAsia="宋体" w:cs="宋体"/>
          <w:b/>
          <w:bCs/>
          <w:color w:val="auto"/>
          <w:sz w:val="24"/>
          <w:szCs w:val="24"/>
          <w:highlight w:val="none"/>
        </w:rPr>
        <w:t>泵轴</w:t>
      </w:r>
    </w:p>
    <w:p w14:paraId="3C48AF5A">
      <w:pPr>
        <w:pStyle w:val="996"/>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泵轴和电机轴必须为整体结构，并与泵送的液体完全分开。轴材料采用高强度耐腐蚀不锈钢1.4021(420)制造。</w:t>
      </w:r>
    </w:p>
    <w:p w14:paraId="02427291">
      <w:pPr>
        <w:keepNext w:val="0"/>
        <w:keepLines w:val="0"/>
        <w:pageBreakBefore w:val="0"/>
        <w:widowControl w:val="0"/>
        <w:numPr>
          <w:ilvl w:val="0"/>
          <w:numId w:val="0"/>
        </w:numPr>
        <w:tabs>
          <w:tab w:val="left" w:pos="964"/>
        </w:tabs>
        <w:kinsoku/>
        <w:wordWrap/>
        <w:overflowPunct/>
        <w:topLinePunct w:val="0"/>
        <w:autoSpaceDE/>
        <w:autoSpaceDN/>
        <w:bidi w:val="0"/>
        <w:adjustRightInd w:val="0"/>
        <w:snapToGrid w:val="0"/>
        <w:spacing w:line="460" w:lineRule="exact"/>
        <w:ind w:left="482" w:right="0" w:rightChars="0" w:firstLine="0"/>
        <w:textAlignment w:val="auto"/>
        <w:outlineLvl w:val="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●D.</w:t>
      </w:r>
      <w:r>
        <w:rPr>
          <w:rFonts w:hint="eastAsia" w:ascii="宋体" w:hAnsi="宋体" w:eastAsia="宋体" w:cs="宋体"/>
          <w:b/>
          <w:bCs/>
          <w:color w:val="auto"/>
          <w:sz w:val="24"/>
          <w:szCs w:val="24"/>
          <w:highlight w:val="none"/>
        </w:rPr>
        <w:t>轴承</w:t>
      </w:r>
    </w:p>
    <w:p w14:paraId="286F3BDF">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部轴承为圆柱滚子轴承，下部轴承组包括一对单列向心推力球轴承和一只单列圆柱滚子轴承，轴承的设计使用寿命应不小于100,000小时。设计的轴承必须能够承受所有轴向和径向负荷。轴承应选用国际通用知名品牌产品，以便日后业主自行采购备件。</w:t>
      </w:r>
    </w:p>
    <w:p w14:paraId="55913153">
      <w:pPr>
        <w:keepNext w:val="0"/>
        <w:keepLines w:val="0"/>
        <w:pageBreakBefore w:val="0"/>
        <w:widowControl w:val="0"/>
        <w:numPr>
          <w:ilvl w:val="0"/>
          <w:numId w:val="0"/>
        </w:numPr>
        <w:tabs>
          <w:tab w:val="left" w:pos="964"/>
        </w:tabs>
        <w:kinsoku/>
        <w:wordWrap/>
        <w:overflowPunct/>
        <w:topLinePunct w:val="0"/>
        <w:autoSpaceDE/>
        <w:autoSpaceDN/>
        <w:bidi w:val="0"/>
        <w:adjustRightInd w:val="0"/>
        <w:snapToGrid w:val="0"/>
        <w:spacing w:line="460" w:lineRule="exact"/>
        <w:ind w:left="482" w:right="0" w:rightChars="0" w:firstLine="0"/>
        <w:textAlignment w:val="auto"/>
        <w:outlineLvl w:val="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E.</w:t>
      </w:r>
      <w:r>
        <w:rPr>
          <w:rFonts w:hint="eastAsia" w:ascii="宋体" w:hAnsi="宋体" w:eastAsia="宋体" w:cs="宋体"/>
          <w:b/>
          <w:bCs/>
          <w:color w:val="auto"/>
          <w:sz w:val="24"/>
          <w:szCs w:val="24"/>
          <w:highlight w:val="none"/>
        </w:rPr>
        <w:t>耐磨环</w:t>
      </w:r>
    </w:p>
    <w:p w14:paraId="4EB1234B">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为了在蜗壳和叶轮间能有效密封，应安装耐磨环。耐磨环必须可靠地紧固在叶轮和泵壳上，在正常运行条件下或泵逆向运转时都不会发生松动。耐磨环的结构形式应考虑到容易拆除和更换</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耐磨环需采用碳钢Q235A或者更优</w:t>
      </w:r>
      <w:r>
        <w:rPr>
          <w:rFonts w:hint="eastAsia" w:ascii="宋体" w:hAnsi="宋体" w:cs="宋体"/>
          <w:color w:val="auto"/>
          <w:sz w:val="24"/>
          <w:szCs w:val="24"/>
          <w:highlight w:val="none"/>
          <w:lang w:val="en-US" w:eastAsia="zh-CN"/>
        </w:rPr>
        <w:t>材质</w:t>
      </w:r>
      <w:r>
        <w:rPr>
          <w:rFonts w:hint="eastAsia" w:ascii="宋体" w:hAnsi="宋体" w:cs="宋体"/>
          <w:color w:val="auto"/>
          <w:sz w:val="24"/>
          <w:szCs w:val="24"/>
          <w:highlight w:val="none"/>
        </w:rPr>
        <w:t>。</w:t>
      </w:r>
    </w:p>
    <w:p w14:paraId="2ECF8DDE">
      <w:pPr>
        <w:pStyle w:val="997"/>
        <w:keepNext w:val="0"/>
        <w:keepLines w:val="0"/>
        <w:pageBreakBefore w:val="0"/>
        <w:widowControl w:val="0"/>
        <w:kinsoku/>
        <w:wordWrap/>
        <w:overflowPunct/>
        <w:topLinePunct w:val="0"/>
        <w:autoSpaceDE/>
        <w:autoSpaceDN/>
        <w:bidi w:val="0"/>
        <w:spacing w:line="460" w:lineRule="exact"/>
        <w:ind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采用叶轮间隙可调的形式，则可不设耐磨环。叶轮间隙调节应能保证蜗壳和叶轮吸口之间有效的间隙性，并且叶轮间隙应多次可调，当泵由于磨损而效率降低时，可通过调整叶轮的间隙来恢复水泵的效率。叶轮间隙调节时以轴向调节为准，并在泵的外部调节和测量。</w:t>
      </w:r>
    </w:p>
    <w:p w14:paraId="02CD391A">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●F.机械密封</w:t>
      </w:r>
    </w:p>
    <w:p w14:paraId="4B963602">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采用两个上下双重独立的高质量机械密封系统，可以顺时针或逆时针转动，而不会带来不良后果。机械密封采用</w:t>
      </w:r>
      <w:r>
        <w:rPr>
          <w:rFonts w:hint="eastAsia" w:ascii="宋体" w:hAnsi="宋体" w:eastAsia="宋体" w:cs="宋体"/>
          <w:color w:val="auto"/>
          <w:kern w:val="2"/>
          <w:sz w:val="24"/>
          <w:szCs w:val="24"/>
          <w:highlight w:val="none"/>
        </w:rPr>
        <w:t>碳化硅</w:t>
      </w:r>
      <w:r>
        <w:rPr>
          <w:rFonts w:hint="eastAsia" w:cs="宋体"/>
          <w:color w:val="auto"/>
          <w:kern w:val="2"/>
          <w:sz w:val="24"/>
          <w:szCs w:val="24"/>
          <w:highlight w:val="none"/>
          <w:lang w:val="en-US" w:eastAsia="zh-CN"/>
        </w:rPr>
        <w:t>或</w:t>
      </w:r>
      <w:r>
        <w:rPr>
          <w:rFonts w:hint="eastAsia" w:ascii="宋体" w:hAnsi="宋体"/>
          <w:color w:val="auto"/>
          <w:szCs w:val="21"/>
          <w:highlight w:val="none"/>
        </w:rPr>
        <w:t>耐污蚀烧结碳化钨（</w:t>
      </w:r>
      <w:r>
        <w:rPr>
          <w:rFonts w:ascii="宋体" w:hAnsi="宋体"/>
          <w:color w:val="auto"/>
          <w:szCs w:val="21"/>
          <w:highlight w:val="none"/>
        </w:rPr>
        <w:t>WCCR</w:t>
      </w:r>
      <w:r>
        <w:rPr>
          <w:rFonts w:hint="eastAsia" w:ascii="宋体" w:hAnsi="宋体"/>
          <w:color w:val="auto"/>
          <w:szCs w:val="21"/>
          <w:highlight w:val="none"/>
        </w:rPr>
        <w:t>）</w:t>
      </w:r>
      <w:r>
        <w:rPr>
          <w:rFonts w:hint="eastAsia" w:ascii="宋体" w:hAnsi="宋体" w:eastAsia="宋体" w:cs="宋体"/>
          <w:color w:val="auto"/>
          <w:sz w:val="24"/>
          <w:szCs w:val="24"/>
          <w:highlight w:val="none"/>
        </w:rPr>
        <w:t>，介质酸碱度范围为pH6～10。机械密封应该是免维护的，润滑与被输送液体相隔开，应能抵抗热冲击，并具有良好紧急运行的特点。</w:t>
      </w:r>
    </w:p>
    <w:p w14:paraId="01018D34">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机械密封间应有一油室，油室内充有符合卫生标准要求的石蜡油，用石蜡油润滑和冷却机械密封，并作为输送介质和电机腔间的缓冲，作为进一步的保护措施。制造厂应保证机械密封的设计使用寿命不低于25,000小时。</w:t>
      </w:r>
    </w:p>
    <w:p w14:paraId="7FBD9A5F">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机械密封采用国际通用知名品牌产品，以便日后业主自行采购备件，如采用厂家专用机械密封，则每台水泵必须免费提供</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套备用的机械密封。</w:t>
      </w:r>
    </w:p>
    <w:p w14:paraId="1E501D83">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●G.</w:t>
      </w: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电机</w:t>
      </w:r>
    </w:p>
    <w:p w14:paraId="4848CFA0">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应为鼠笼潜水电机，3相、380V、50HZ，防护等级IP68，绝缘等级H。电机功率的选配应保证在工作范围内任一点运行时，都不会出现过载，在设计流量时安全余量应不少于20％，电机能每小时启动10次，能连续泵送温度最高为40°C的介质,并且定子绕组的平均温升不超过105°C。定子应热压嵌入定子室，并与转子保持合适的间隙。为保证水泵的质量和使用寿命,核心部件潜水电机和水泵须同一品牌。</w:t>
      </w:r>
    </w:p>
    <w:p w14:paraId="45268D8E">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w:t>
      </w: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电缆和电缆密封</w:t>
      </w:r>
    </w:p>
    <w:p w14:paraId="116F1FB3">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应配有控制和动力水下电缆，每根电缆都有一个单独的进口，并进行可靠的密封，如果动力电缆是多芯电缆，则每根电缆还要进行单独密封。为了达到最大限度地保护电机，即使在偶然的不正常运行情况下，电缆损坏且电机仍在水下，电缆进口也不会有湿汽进入电机和接线盒。</w:t>
      </w:r>
    </w:p>
    <w:p w14:paraId="005FD693">
      <w:pPr>
        <w:keepNext w:val="0"/>
        <w:keepLines w:val="0"/>
        <w:pageBreakBefore w:val="0"/>
        <w:widowControl w:val="0"/>
        <w:tabs>
          <w:tab w:val="left" w:pos="964"/>
        </w:tabs>
        <w:kinsoku/>
        <w:wordWrap/>
        <w:overflowPunct/>
        <w:topLinePunct w:val="0"/>
        <w:autoSpaceDE/>
        <w:autoSpaceDN/>
        <w:bidi w:val="0"/>
        <w:adjustRightInd w:val="0"/>
        <w:snapToGrid w:val="0"/>
        <w:spacing w:line="460" w:lineRule="exact"/>
        <w:ind w:left="0" w:right="0" w:rightChars="0"/>
        <w:textAlignment w:val="auto"/>
        <w:outlineLvl w:val="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L.水泵保护系统</w:t>
      </w:r>
    </w:p>
    <w:p w14:paraId="58B6570F">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泵应设有一套保护系统，用于阻塞、过载、故障等发出指示，应该在电机或主轴出现严重损坏前发出相关信号。</w:t>
      </w:r>
    </w:p>
    <w:p w14:paraId="196F221E">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电机过载保护：</w:t>
      </w:r>
    </w:p>
    <w:p w14:paraId="71E35677">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电机的每一绕组均有温度传感器保护，三个传感器应串联连接，这些传感器都应在摄氏140℃时动作。</w:t>
      </w:r>
    </w:p>
    <w:p w14:paraId="6F684257">
      <w:pPr>
        <w:keepNext w:val="0"/>
        <w:keepLines w:val="0"/>
        <w:pageBreakBefore w:val="0"/>
        <w:widowControl w:val="0"/>
        <w:tabs>
          <w:tab w:val="left" w:pos="964"/>
        </w:tabs>
        <w:kinsoku/>
        <w:wordWrap/>
        <w:overflowPunct/>
        <w:topLinePunct w:val="0"/>
        <w:autoSpaceDE/>
        <w:autoSpaceDN/>
        <w:bidi w:val="0"/>
        <w:adjustRightInd w:val="0"/>
        <w:snapToGrid w:val="0"/>
        <w:spacing w:line="460" w:lineRule="exact"/>
        <w:ind w:left="482" w:right="0" w:rightChars="0"/>
        <w:textAlignment w:val="auto"/>
        <w:outlineLvl w:val="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M.安装附件</w:t>
      </w:r>
    </w:p>
    <w:p w14:paraId="532014D2">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每一台泵应配有固定在池底的出水弯管，泵应能顺利沿导杆向下滑行并通过卡爪自动与弯座耦合。耦合必须牢固可靠，密封面不会有漏水现象，采用刚性面密封是不允许的，同时必须易于维护时提升、起吊水泵。</w:t>
      </w:r>
    </w:p>
    <w:p w14:paraId="3B8161B7">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cs="宋体"/>
          <w:b/>
          <w:color w:val="auto"/>
          <w:sz w:val="24"/>
          <w:szCs w:val="24"/>
          <w:highlight w:val="none"/>
          <w:lang w:val="en-US" w:eastAsia="zh-CN"/>
        </w:rPr>
        <w:t>●</w:t>
      </w:r>
      <w:r>
        <w:rPr>
          <w:rFonts w:hint="eastAsia" w:cs="宋体"/>
          <w:color w:val="auto"/>
          <w:kern w:val="2"/>
          <w:sz w:val="24"/>
          <w:szCs w:val="24"/>
          <w:highlight w:val="none"/>
          <w:lang w:val="en-US" w:eastAsia="zh-CN"/>
        </w:rPr>
        <w:t>每台水泵必须配备一根水泵</w:t>
      </w:r>
      <w:r>
        <w:rPr>
          <w:rFonts w:hint="eastAsia" w:ascii="宋体" w:hAnsi="宋体" w:eastAsia="宋体" w:cs="宋体"/>
          <w:color w:val="auto"/>
          <w:kern w:val="2"/>
          <w:sz w:val="24"/>
          <w:szCs w:val="24"/>
          <w:highlight w:val="none"/>
        </w:rPr>
        <w:t>提升链</w:t>
      </w:r>
      <w:r>
        <w:rPr>
          <w:rFonts w:hint="eastAsia" w:cs="宋体"/>
          <w:color w:val="auto"/>
          <w:kern w:val="2"/>
          <w:sz w:val="24"/>
          <w:szCs w:val="24"/>
          <w:highlight w:val="none"/>
          <w:lang w:eastAsia="zh-CN"/>
        </w:rPr>
        <w:t>，</w:t>
      </w:r>
      <w:r>
        <w:rPr>
          <w:rFonts w:hint="eastAsia" w:ascii="宋体" w:hAnsi="宋体" w:eastAsia="宋体" w:cs="宋体"/>
          <w:color w:val="auto"/>
          <w:kern w:val="2"/>
          <w:sz w:val="24"/>
          <w:szCs w:val="24"/>
          <w:highlight w:val="none"/>
        </w:rPr>
        <w:t>提升链</w:t>
      </w:r>
      <w:r>
        <w:rPr>
          <w:rFonts w:hint="eastAsia" w:cs="宋体"/>
          <w:color w:val="auto"/>
          <w:kern w:val="2"/>
          <w:sz w:val="24"/>
          <w:szCs w:val="24"/>
          <w:highlight w:val="none"/>
          <w:lang w:eastAsia="zh-CN"/>
        </w:rPr>
        <w:t>的</w:t>
      </w:r>
      <w:r>
        <w:rPr>
          <w:rFonts w:hint="eastAsia" w:cs="宋体"/>
          <w:color w:val="auto"/>
          <w:kern w:val="2"/>
          <w:sz w:val="24"/>
          <w:szCs w:val="24"/>
          <w:highlight w:val="none"/>
          <w:lang w:val="en-US" w:eastAsia="zh-CN"/>
        </w:rPr>
        <w:t>材质应为304不锈钢或者更优材质。</w:t>
      </w:r>
    </w:p>
    <w:p w14:paraId="5544B223">
      <w:pPr>
        <w:pStyle w:val="994"/>
        <w:keepNext w:val="0"/>
        <w:keepLines w:val="0"/>
        <w:pageBreakBefore w:val="0"/>
        <w:widowControl w:val="0"/>
        <w:kinsoku/>
        <w:wordWrap/>
        <w:overflowPunct/>
        <w:topLinePunct w:val="0"/>
        <w:autoSpaceDE/>
        <w:autoSpaceDN/>
        <w:bidi w:val="0"/>
        <w:spacing w:line="460" w:lineRule="exact"/>
        <w:ind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主要材料</w:t>
      </w:r>
    </w:p>
    <w:p w14:paraId="2430F3C3">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叶轮</w:t>
      </w:r>
      <w:r>
        <w:rPr>
          <w:rFonts w:hint="eastAsia" w:ascii="宋体" w:hAnsi="宋体" w:eastAsia="宋体" w:cs="宋体"/>
          <w:color w:val="auto"/>
          <w:kern w:val="2"/>
          <w:sz w:val="24"/>
          <w:szCs w:val="24"/>
          <w:highlight w:val="none"/>
        </w:rPr>
        <w:tab/>
      </w:r>
      <w:r>
        <w:rPr>
          <w:rFonts w:hint="eastAsia"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 </w:t>
      </w:r>
      <w:r>
        <w:rPr>
          <w:rFonts w:hint="eastAsia" w:ascii="宋体" w:hAnsi="宋体"/>
          <w:color w:val="auto"/>
          <w:szCs w:val="21"/>
          <w:highlight w:val="none"/>
        </w:rPr>
        <w:t>铸铁HT250</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者</w:t>
      </w:r>
      <w:r>
        <w:rPr>
          <w:rFonts w:hint="eastAsia" w:ascii="宋体" w:hAnsi="宋体" w:eastAsia="宋体" w:cs="宋体"/>
          <w:color w:val="auto"/>
          <w:sz w:val="24"/>
          <w:szCs w:val="24"/>
          <w:highlight w:val="none"/>
        </w:rPr>
        <w:t>更优</w:t>
      </w:r>
    </w:p>
    <w:p w14:paraId="6C220CFD">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泵壳</w:t>
      </w:r>
      <w:r>
        <w:rPr>
          <w:rFonts w:hint="eastAsia" w:ascii="宋体" w:hAnsi="宋体" w:eastAsia="宋体" w:cs="宋体"/>
          <w:color w:val="auto"/>
          <w:kern w:val="2"/>
          <w:sz w:val="24"/>
          <w:szCs w:val="24"/>
          <w:highlight w:val="none"/>
        </w:rPr>
        <w:tab/>
      </w:r>
      <w:r>
        <w:rPr>
          <w:rFonts w:hint="eastAsia"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    </w:t>
      </w:r>
      <w:r>
        <w:rPr>
          <w:rFonts w:hint="eastAsia" w:ascii="宋体" w:hAnsi="宋体"/>
          <w:color w:val="auto"/>
          <w:szCs w:val="21"/>
          <w:highlight w:val="none"/>
        </w:rPr>
        <w:t>铸铁HT250</w:t>
      </w:r>
      <w:r>
        <w:rPr>
          <w:rFonts w:hint="eastAsia" w:ascii="宋体" w:hAnsi="宋体" w:eastAsia="宋体" w:cs="宋体"/>
          <w:color w:val="auto"/>
          <w:kern w:val="2"/>
          <w:sz w:val="24"/>
          <w:szCs w:val="24"/>
          <w:highlight w:val="none"/>
        </w:rPr>
        <w:t>或者更优</w:t>
      </w:r>
    </w:p>
    <w:p w14:paraId="0E5D807A">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主轴</w:t>
      </w:r>
      <w:r>
        <w:rPr>
          <w:rFonts w:hint="eastAsia" w:ascii="宋体" w:hAnsi="宋体" w:eastAsia="宋体" w:cs="宋体"/>
          <w:color w:val="auto"/>
          <w:kern w:val="2"/>
          <w:sz w:val="24"/>
          <w:szCs w:val="24"/>
          <w:highlight w:val="none"/>
        </w:rPr>
        <w:tab/>
      </w:r>
      <w:r>
        <w:rPr>
          <w:rFonts w:hint="eastAsia"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   </w:t>
      </w:r>
      <w:r>
        <w:rPr>
          <w:rFonts w:hint="eastAsia" w:ascii="宋体" w:hAnsi="宋体"/>
          <w:color w:val="auto"/>
          <w:szCs w:val="21"/>
          <w:highlight w:val="none"/>
        </w:rPr>
        <w:t>不锈钢2CR13</w:t>
      </w:r>
      <w:r>
        <w:rPr>
          <w:rFonts w:hint="eastAsia" w:ascii="宋体" w:hAnsi="宋体" w:eastAsia="宋体" w:cs="宋体"/>
          <w:color w:val="auto"/>
          <w:kern w:val="2"/>
          <w:sz w:val="24"/>
          <w:szCs w:val="24"/>
          <w:highlight w:val="none"/>
        </w:rPr>
        <w:t>或者更优</w:t>
      </w:r>
    </w:p>
    <w:p w14:paraId="7385CB88">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耐磨环  </w:t>
      </w:r>
      <w:r>
        <w:rPr>
          <w:rFonts w:hint="eastAsia"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   碳钢Q235A或者更优</w:t>
      </w:r>
    </w:p>
    <w:p w14:paraId="0DF29293">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提升链</w:t>
      </w:r>
      <w:r>
        <w:rPr>
          <w:rFonts w:hint="eastAsia" w:ascii="宋体" w:hAnsi="宋体" w:eastAsia="宋体" w:cs="宋体"/>
          <w:color w:val="auto"/>
          <w:kern w:val="2"/>
          <w:sz w:val="24"/>
          <w:szCs w:val="24"/>
          <w:highlight w:val="none"/>
        </w:rPr>
        <w:tab/>
      </w:r>
      <w:r>
        <w:rPr>
          <w:rFonts w:hint="eastAsia" w:ascii="宋体" w:hAnsi="宋体" w:eastAsia="宋体" w:cs="宋体"/>
          <w:color w:val="auto"/>
          <w:kern w:val="2"/>
          <w:sz w:val="24"/>
          <w:szCs w:val="24"/>
          <w:highlight w:val="none"/>
        </w:rPr>
        <w:t xml:space="preserve"> </w:t>
      </w:r>
      <w:r>
        <w:rPr>
          <w:rFonts w:hint="eastAsia"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   不锈钢304或者更优</w:t>
      </w:r>
    </w:p>
    <w:p w14:paraId="61CB1A39">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导杆 </w:t>
      </w:r>
      <w:r>
        <w:rPr>
          <w:rFonts w:hint="eastAsia" w:ascii="宋体" w:hAnsi="宋体" w:eastAsia="宋体" w:cs="宋体"/>
          <w:color w:val="auto"/>
          <w:kern w:val="2"/>
          <w:sz w:val="24"/>
          <w:szCs w:val="24"/>
          <w:highlight w:val="none"/>
        </w:rPr>
        <w:tab/>
      </w:r>
      <w:r>
        <w:rPr>
          <w:rFonts w:hint="eastAsia"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    不锈钢304或者更优</w:t>
      </w:r>
    </w:p>
    <w:p w14:paraId="5898F0FD">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机械密封  </w:t>
      </w:r>
      <w:r>
        <w:rPr>
          <w:rFonts w:hint="eastAsia"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 碳化硅</w:t>
      </w:r>
      <w:r>
        <w:rPr>
          <w:rFonts w:hint="eastAsia" w:cs="宋体"/>
          <w:color w:val="auto"/>
          <w:kern w:val="2"/>
          <w:sz w:val="24"/>
          <w:szCs w:val="24"/>
          <w:highlight w:val="none"/>
          <w:lang w:val="en-US" w:eastAsia="zh-CN"/>
        </w:rPr>
        <w:t>或</w:t>
      </w:r>
      <w:r>
        <w:rPr>
          <w:rFonts w:hint="eastAsia" w:ascii="宋体" w:hAnsi="宋体"/>
          <w:color w:val="auto"/>
          <w:szCs w:val="21"/>
          <w:highlight w:val="none"/>
        </w:rPr>
        <w:t>耐污蚀烧结碳化钨（</w:t>
      </w:r>
      <w:r>
        <w:rPr>
          <w:rFonts w:ascii="宋体" w:hAnsi="宋体"/>
          <w:color w:val="auto"/>
          <w:szCs w:val="21"/>
          <w:highlight w:val="none"/>
        </w:rPr>
        <w:t>WCCR</w:t>
      </w:r>
      <w:r>
        <w:rPr>
          <w:rFonts w:hint="eastAsia" w:ascii="宋体" w:hAnsi="宋体"/>
          <w:color w:val="auto"/>
          <w:szCs w:val="21"/>
          <w:highlight w:val="none"/>
        </w:rPr>
        <w:t>）</w:t>
      </w:r>
    </w:p>
    <w:p w14:paraId="65256597">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螺栓 </w:t>
      </w:r>
      <w:r>
        <w:rPr>
          <w:rFonts w:hint="eastAsia"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  不锈钢3</w:t>
      </w:r>
      <w:r>
        <w:rPr>
          <w:rFonts w:hint="eastAsia" w:cs="宋体"/>
          <w:color w:val="auto"/>
          <w:kern w:val="2"/>
          <w:sz w:val="24"/>
          <w:szCs w:val="24"/>
          <w:highlight w:val="none"/>
          <w:lang w:val="en-US" w:eastAsia="zh-CN"/>
        </w:rPr>
        <w:t>16</w:t>
      </w:r>
      <w:r>
        <w:rPr>
          <w:rFonts w:hint="eastAsia" w:ascii="宋体" w:hAnsi="宋体" w:eastAsia="宋体" w:cs="宋体"/>
          <w:color w:val="auto"/>
          <w:kern w:val="2"/>
          <w:sz w:val="24"/>
          <w:szCs w:val="24"/>
          <w:highlight w:val="none"/>
        </w:rPr>
        <w:t>或者更优</w:t>
      </w:r>
    </w:p>
    <w:p w14:paraId="5845BFB8">
      <w:pPr>
        <w:pStyle w:val="994"/>
        <w:keepNext w:val="0"/>
        <w:keepLines w:val="0"/>
        <w:pageBreakBefore w:val="0"/>
        <w:widowControl w:val="0"/>
        <w:kinsoku/>
        <w:wordWrap/>
        <w:overflowPunct/>
        <w:topLinePunct w:val="0"/>
        <w:autoSpaceDE/>
        <w:autoSpaceDN/>
        <w:bidi w:val="0"/>
        <w:spacing w:line="460" w:lineRule="exact"/>
        <w:ind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设备防腐</w:t>
      </w:r>
    </w:p>
    <w:p w14:paraId="16EB5669">
      <w:pPr>
        <w:pStyle w:val="995"/>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不锈钢外，所有与泵送介质接触的金属表面由水基底漆和两组涂层保护。泵外壳底漆运用浸泡、喷漆、刷涂工序，采用磷酸锌合成树脂漆喷漆处理，外涂双组份高固环氧树脂漆喷漆处理，涂层厚度根据ISO2808标准，总干膜厚度为240μm。</w:t>
      </w:r>
    </w:p>
    <w:p w14:paraId="771849BA">
      <w:pPr>
        <w:pStyle w:val="994"/>
        <w:keepNext w:val="0"/>
        <w:keepLines w:val="0"/>
        <w:pageBreakBefore w:val="0"/>
        <w:widowControl w:val="0"/>
        <w:kinsoku/>
        <w:wordWrap/>
        <w:overflowPunct/>
        <w:topLinePunct w:val="0"/>
        <w:autoSpaceDE/>
        <w:autoSpaceDN/>
        <w:bidi w:val="0"/>
        <w:spacing w:line="460" w:lineRule="exact"/>
        <w:ind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设备检验和测试</w:t>
      </w:r>
    </w:p>
    <w:p w14:paraId="4CB91B93">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出厂前应进行工厂检验及测试，提供测试报告：性能或出厂试验报告、产品合格证或质量证明书。</w:t>
      </w:r>
    </w:p>
    <w:p w14:paraId="68E320DA">
      <w:pPr>
        <w:widowControl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潜污泵安装后，承包商应按技术指标进行检验，并符合规定的性能指标带负荷运转1小时（根据进水池的水位确定运行时间），检测其流量、扬程及效率是否符合要求。运转时应平稳、无异常声音和振动，电机电流值正常，潜水电机外壳防护等级IP68。</w:t>
      </w:r>
    </w:p>
    <w:p w14:paraId="2E0E377C">
      <w:pPr>
        <w:pStyle w:val="994"/>
        <w:widowControl w:val="0"/>
        <w:numPr>
          <w:ilvl w:val="0"/>
          <w:numId w:val="0"/>
        </w:numPr>
        <w:spacing w:line="360" w:lineRule="auto"/>
        <w:ind w:firstLine="0" w:firstLineChars="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、格栅机技术要求</w:t>
      </w:r>
    </w:p>
    <w:p w14:paraId="0FE68DBD">
      <w:pPr>
        <w:pStyle w:val="994"/>
        <w:widowControl w:val="0"/>
        <w:spacing w:line="360" w:lineRule="auto"/>
        <w:ind w:firstLine="0" w:firstLineChars="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.1供货范围</w:t>
      </w:r>
    </w:p>
    <w:p w14:paraId="638E3FFB">
      <w:pPr>
        <w:spacing w:line="360" w:lineRule="auto"/>
        <w:ind w:firstLine="412"/>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回转式格栅除污机（俗称回转式固液分离机）为成套设备，整套装置包括如下：</w:t>
      </w:r>
    </w:p>
    <w:p w14:paraId="40F96A8D">
      <w:pPr>
        <w:tabs>
          <w:tab w:val="left" w:pos="7980"/>
        </w:tabs>
        <w:spacing w:line="360" w:lineRule="auto"/>
        <w:ind w:firstLine="412"/>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机架、驱动装置、防护罩；</w:t>
      </w:r>
    </w:p>
    <w:p w14:paraId="0EDDB43A">
      <w:pPr>
        <w:tabs>
          <w:tab w:val="center" w:pos="4827"/>
        </w:tabs>
        <w:spacing w:line="360" w:lineRule="auto"/>
        <w:ind w:firstLine="412"/>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耙齿及耙齿轴、牵引链；</w:t>
      </w:r>
    </w:p>
    <w:p w14:paraId="59B96334">
      <w:pPr>
        <w:tabs>
          <w:tab w:val="center" w:pos="4827"/>
        </w:tabs>
        <w:spacing w:line="360" w:lineRule="auto"/>
        <w:ind w:firstLine="412"/>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导向装置、链条、导轨等组合；</w:t>
      </w:r>
    </w:p>
    <w:p w14:paraId="18283138">
      <w:pPr>
        <w:spacing w:line="360" w:lineRule="auto"/>
        <w:ind w:firstLine="480" w:firstLineChars="200"/>
        <w:rPr>
          <w:rFonts w:hint="default"/>
          <w:color w:val="auto"/>
          <w:sz w:val="24"/>
          <w:szCs w:val="24"/>
          <w:highlight w:val="none"/>
          <w:lang w:eastAsia="zh-CN"/>
        </w:rPr>
      </w:pPr>
      <w:r>
        <w:rPr>
          <w:rFonts w:hint="eastAsia" w:ascii="宋体" w:hAnsi="宋体" w:eastAsia="宋体"/>
          <w:color w:val="auto"/>
          <w:sz w:val="24"/>
          <w:szCs w:val="24"/>
          <w:highlight w:val="none"/>
        </w:rPr>
        <w:t>此外配备就地控制箱和基础螺栓等安全和有效运行所必须的附件及工具。</w:t>
      </w:r>
    </w:p>
    <w:p w14:paraId="6FBCA59C">
      <w:pPr>
        <w:pStyle w:val="994"/>
        <w:widowControl w:val="0"/>
        <w:spacing w:line="360" w:lineRule="auto"/>
        <w:ind w:firstLine="0" w:firstLineChars="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.2型式工作原理</w:t>
      </w:r>
    </w:p>
    <w:p w14:paraId="7EAFA0E9">
      <w:pPr>
        <w:pStyle w:val="994"/>
        <w:widowControl w:val="0"/>
        <w:spacing w:line="360" w:lineRule="auto"/>
        <w:ind w:firstLine="480" w:firstLineChars="200"/>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回转式固液分离机,是由一种特殊形状的耙齿按一定的装配顺序和数量排列在横轴上，组成耙齿链，根据过水流量，装配成不同的栅隙，安装在泵站或水处理系统的入口处，当传动系统带动耙齿链自下向上运动时，耙齿链同时携带悬浮物质等杂物从液体中分离出来，液体则在栅隙中流过，设备转动到上部顶点后，耙齿改变运行方向，由上向下运动，由于物料的自重从耙齿上自行脱落，当耙齿从反面转到设备底部时，又开始由下向上运动，这样循环往复连续运行，不断的从水中清理杂物，本泵站设备采用间隙15mm，大于15mm的悬浮物全部由耙齿捞起，达到固液分离的目的。</w:t>
      </w:r>
    </w:p>
    <w:p w14:paraId="596C1C5E">
      <w:pPr>
        <w:pStyle w:val="994"/>
        <w:widowControl w:val="0"/>
        <w:spacing w:line="460" w:lineRule="exact"/>
        <w:ind w:firstLine="0" w:firstLineChars="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.3技术参数</w:t>
      </w:r>
    </w:p>
    <w:tbl>
      <w:tblPr>
        <w:tblStyle w:val="62"/>
        <w:tblW w:w="0" w:type="auto"/>
        <w:tblInd w:w="0" w:type="dxa"/>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Layout w:type="fixed"/>
        <w:tblCellMar>
          <w:top w:w="0" w:type="dxa"/>
          <w:left w:w="108" w:type="dxa"/>
          <w:bottom w:w="0" w:type="dxa"/>
          <w:right w:w="108" w:type="dxa"/>
        </w:tblCellMar>
      </w:tblPr>
      <w:tblGrid>
        <w:gridCol w:w="4029"/>
        <w:gridCol w:w="1545"/>
        <w:gridCol w:w="3765"/>
      </w:tblGrid>
      <w:tr w14:paraId="4620C1B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479" w:hRule="atLeast"/>
          <w:tblHeader/>
        </w:trPr>
        <w:tc>
          <w:tcPr>
            <w:tcW w:w="4029" w:type="dxa"/>
            <w:tcBorders>
              <w:top w:val="threeDEngrave" w:color="auto" w:sz="6" w:space="0"/>
              <w:left w:val="threeDEngrave" w:color="auto" w:sz="6" w:space="0"/>
              <w:bottom w:val="single" w:color="auto" w:sz="4" w:space="0"/>
              <w:right w:val="dotted" w:color="auto" w:sz="4" w:space="0"/>
              <w:tl2br w:val="nil"/>
              <w:tr2bl w:val="nil"/>
            </w:tcBorders>
            <w:shd w:val="clear" w:color="auto" w:fill="F1F1F1"/>
            <w:noWrap w:val="0"/>
            <w:vAlign w:val="center"/>
          </w:tcPr>
          <w:p w14:paraId="6E0F4480">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1545" w:type="dxa"/>
            <w:tcBorders>
              <w:top w:val="threeDEngrave" w:color="auto" w:sz="6" w:space="0"/>
              <w:left w:val="dotted" w:color="auto" w:sz="4" w:space="0"/>
              <w:bottom w:val="single" w:color="auto" w:sz="4" w:space="0"/>
              <w:right w:val="dotted" w:color="auto" w:sz="4" w:space="0"/>
              <w:tl2br w:val="nil"/>
              <w:tr2bl w:val="nil"/>
            </w:tcBorders>
            <w:shd w:val="clear" w:color="auto" w:fill="F1F1F1"/>
            <w:noWrap w:val="0"/>
            <w:vAlign w:val="center"/>
          </w:tcPr>
          <w:p w14:paraId="5D6729ED">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单位</w:t>
            </w:r>
          </w:p>
        </w:tc>
        <w:tc>
          <w:tcPr>
            <w:tcW w:w="3765" w:type="dxa"/>
            <w:tcBorders>
              <w:top w:val="threeDEngrave" w:color="auto" w:sz="6" w:space="0"/>
              <w:left w:val="dotted" w:color="auto" w:sz="4" w:space="0"/>
              <w:bottom w:val="single" w:color="auto" w:sz="4" w:space="0"/>
              <w:right w:val="threeDEmboss" w:color="auto" w:sz="6" w:space="0"/>
              <w:tl2br w:val="nil"/>
              <w:tr2bl w:val="nil"/>
            </w:tcBorders>
            <w:shd w:val="clear" w:color="auto" w:fill="F1F1F1"/>
            <w:noWrap w:val="0"/>
            <w:vAlign w:val="center"/>
          </w:tcPr>
          <w:p w14:paraId="0EF60A5C">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数值</w:t>
            </w:r>
          </w:p>
        </w:tc>
      </w:tr>
      <w:tr w14:paraId="061DF1F8">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42EF844B">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32ACA902">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台</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1F16686F">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p>
        </w:tc>
      </w:tr>
      <w:tr w14:paraId="75CEFD5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48BBE6FF">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结构形式</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38052FD6">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2ADAFC0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犁形齿耙式</w:t>
            </w:r>
          </w:p>
        </w:tc>
      </w:tr>
      <w:tr w14:paraId="00FD43F5">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634AC9FE">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基本性能参数</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11A5EA56">
            <w:pPr>
              <w:spacing w:line="300" w:lineRule="exact"/>
              <w:jc w:val="left"/>
              <w:rPr>
                <w:rFonts w:hint="eastAsia" w:ascii="宋体" w:hAnsi="宋体" w:eastAsia="宋体"/>
                <w:color w:val="auto"/>
                <w:sz w:val="24"/>
                <w:szCs w:val="24"/>
                <w:highlight w:val="none"/>
              </w:rPr>
            </w:pP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33743F37">
            <w:pPr>
              <w:spacing w:line="300" w:lineRule="exact"/>
              <w:jc w:val="left"/>
              <w:rPr>
                <w:rFonts w:hint="eastAsia" w:ascii="宋体" w:hAnsi="宋体" w:eastAsia="宋体"/>
                <w:color w:val="auto"/>
                <w:sz w:val="24"/>
                <w:szCs w:val="24"/>
                <w:highlight w:val="none"/>
              </w:rPr>
            </w:pPr>
          </w:p>
        </w:tc>
      </w:tr>
      <w:tr w14:paraId="300871F1">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700FDDB2">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渠道宽度</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2273BD7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mm</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7D0DF1B7">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1800</w:t>
            </w:r>
          </w:p>
        </w:tc>
      </w:tr>
      <w:tr w14:paraId="0163CA53">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1BF1197D">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设备宽度 </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5D8D8F7B">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mm</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07FF6277">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1500</w:t>
            </w:r>
          </w:p>
        </w:tc>
      </w:tr>
      <w:tr w14:paraId="77FCE29A">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792DF899">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渠道深度</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10E68579">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mm</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635E2EA2">
            <w:pPr>
              <w:spacing w:line="300" w:lineRule="exact"/>
              <w:jc w:val="left"/>
              <w:rPr>
                <w:rFonts w:hint="eastAsia" w:ascii="宋体" w:hAnsi="宋体" w:eastAsia="宋体"/>
                <w:color w:val="auto"/>
                <w:sz w:val="24"/>
                <w:szCs w:val="24"/>
                <w:highlight w:val="none"/>
                <w:lang w:val="en-US" w:eastAsia="zh-CN"/>
              </w:rPr>
            </w:pPr>
          </w:p>
        </w:tc>
      </w:tr>
      <w:tr w14:paraId="38727A6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089DC353">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排渣高度</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79384B16">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mm</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0A80EF10">
            <w:pPr>
              <w:spacing w:line="300" w:lineRule="exact"/>
              <w:jc w:val="left"/>
              <w:rPr>
                <w:rFonts w:hint="eastAsia" w:ascii="宋体" w:hAnsi="宋体" w:eastAsia="宋体"/>
                <w:color w:val="auto"/>
                <w:sz w:val="24"/>
                <w:szCs w:val="24"/>
                <w:highlight w:val="none"/>
                <w:lang w:val="en-US" w:eastAsia="zh-CN"/>
              </w:rPr>
            </w:pPr>
          </w:p>
        </w:tc>
      </w:tr>
      <w:tr w14:paraId="4978113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0C538341">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安装角度</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26BC846C">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34A0D579">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75</w:t>
            </w:r>
          </w:p>
        </w:tc>
      </w:tr>
      <w:tr w14:paraId="670015C9">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1FC1B699">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栅隙</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67BE53D0">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mm</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487106E6">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w:t>
            </w:r>
          </w:p>
        </w:tc>
      </w:tr>
      <w:tr w14:paraId="14A7F159">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6BBFC444">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工作制</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70889CA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19D4C19B">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间断或连续</w:t>
            </w:r>
          </w:p>
        </w:tc>
      </w:tr>
      <w:tr w14:paraId="1424AAC7">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0CB60CDC">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主要各部件材质</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6F83DC24">
            <w:pPr>
              <w:spacing w:line="300" w:lineRule="exact"/>
              <w:jc w:val="left"/>
              <w:rPr>
                <w:rFonts w:hint="eastAsia" w:ascii="宋体" w:hAnsi="宋体" w:eastAsia="宋体"/>
                <w:color w:val="auto"/>
                <w:sz w:val="24"/>
                <w:szCs w:val="24"/>
                <w:highlight w:val="none"/>
              </w:rPr>
            </w:pP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64F11913">
            <w:pPr>
              <w:spacing w:line="300" w:lineRule="exact"/>
              <w:jc w:val="left"/>
              <w:rPr>
                <w:rFonts w:hint="eastAsia" w:ascii="宋体" w:hAnsi="宋体" w:eastAsia="宋体"/>
                <w:color w:val="auto"/>
                <w:sz w:val="24"/>
                <w:szCs w:val="24"/>
                <w:highlight w:val="none"/>
              </w:rPr>
            </w:pPr>
          </w:p>
        </w:tc>
      </w:tr>
      <w:tr w14:paraId="0E448DB4">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4372ABB1">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机架</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48ACC08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2766A517">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不锈钢3</w:t>
            </w:r>
            <w:r>
              <w:rPr>
                <w:rFonts w:hint="eastAsia" w:ascii="宋体" w:hAnsi="宋体" w:eastAsia="宋体"/>
                <w:color w:val="auto"/>
                <w:sz w:val="24"/>
                <w:szCs w:val="24"/>
                <w:highlight w:val="none"/>
                <w:lang w:val="en-US" w:eastAsia="zh-CN"/>
              </w:rPr>
              <w:t>16</w:t>
            </w:r>
          </w:p>
        </w:tc>
      </w:tr>
      <w:tr w14:paraId="15A35C28">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23A34904">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耙齿</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603D9795">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646827AF">
            <w:pPr>
              <w:spacing w:line="300" w:lineRule="exac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尼龙</w:t>
            </w:r>
            <w:r>
              <w:rPr>
                <w:rFonts w:hint="eastAsia" w:ascii="宋体" w:hAnsi="宋体" w:eastAsia="宋体"/>
                <w:color w:val="auto"/>
                <w:sz w:val="24"/>
                <w:szCs w:val="24"/>
                <w:highlight w:val="none"/>
                <w:lang w:val="en-US" w:eastAsia="zh-CN"/>
              </w:rPr>
              <w:t>1010</w:t>
            </w:r>
          </w:p>
        </w:tc>
      </w:tr>
      <w:tr w14:paraId="285F5750">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3ADB60F0">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耙齿轴</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0D0B3FAE">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4FB3FEB8">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不锈钢3</w:t>
            </w:r>
            <w:r>
              <w:rPr>
                <w:rFonts w:hint="eastAsia" w:ascii="宋体" w:hAnsi="宋体" w:eastAsia="宋体"/>
                <w:color w:val="auto"/>
                <w:sz w:val="24"/>
                <w:szCs w:val="24"/>
                <w:highlight w:val="none"/>
                <w:lang w:val="en-US" w:eastAsia="zh-CN"/>
              </w:rPr>
              <w:t>16</w:t>
            </w:r>
          </w:p>
        </w:tc>
      </w:tr>
      <w:tr w14:paraId="7ABB056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64B4C21C">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牵引链</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280A7F39">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0692831E">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不锈钢3</w:t>
            </w:r>
            <w:r>
              <w:rPr>
                <w:rFonts w:hint="eastAsia" w:ascii="宋体" w:hAnsi="宋体" w:eastAsia="宋体"/>
                <w:color w:val="auto"/>
                <w:sz w:val="24"/>
                <w:szCs w:val="24"/>
                <w:highlight w:val="none"/>
                <w:lang w:val="en-US" w:eastAsia="zh-CN"/>
              </w:rPr>
              <w:t>16</w:t>
            </w:r>
          </w:p>
        </w:tc>
      </w:tr>
      <w:tr w14:paraId="1A7FCDCE">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56CA3D40">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所有连接附件/地脚螺栓</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6CCFA4ED">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386DD9CC">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不锈钢304</w:t>
            </w:r>
          </w:p>
        </w:tc>
      </w:tr>
      <w:tr w14:paraId="07294E53">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77E948E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驱动电机制造商</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4AFF09A0">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3FFA8358">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SEW或</w:t>
            </w:r>
            <w:r>
              <w:rPr>
                <w:rFonts w:hint="eastAsia" w:ascii="宋体" w:hAnsi="宋体" w:eastAsia="宋体"/>
                <w:color w:val="auto"/>
                <w:sz w:val="24"/>
                <w:szCs w:val="24"/>
                <w:highlight w:val="none"/>
              </w:rPr>
              <w:t>NORD</w:t>
            </w:r>
          </w:p>
        </w:tc>
      </w:tr>
      <w:tr w14:paraId="4A92045D">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339D77A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额定功率</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5DFCCF9A">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kW</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1808F2F8">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p>
        </w:tc>
      </w:tr>
      <w:tr w14:paraId="1D83300E">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49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3543088E">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额定电压</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18147121">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04D0C45E">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380V/3ph/50Hz</w:t>
            </w:r>
          </w:p>
        </w:tc>
      </w:tr>
      <w:tr w14:paraId="1AC4E245">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509"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015D831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绝缘等级</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1AF8CE84">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级</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25510EBF">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F</w:t>
            </w:r>
          </w:p>
        </w:tc>
      </w:tr>
      <w:tr w14:paraId="4BD8C9A6">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43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21116C6B">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防护等级</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6FC98A62">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IP</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5F2A94BF">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5</w:t>
            </w:r>
          </w:p>
        </w:tc>
      </w:tr>
      <w:tr w14:paraId="4D5B83E3">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449"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3FF0397B">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转速</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6ABFFC28">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r/min</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6C2C6C94">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5.4</w:t>
            </w:r>
          </w:p>
        </w:tc>
      </w:tr>
      <w:tr w14:paraId="4691E63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306ED0AF">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减速机制造商</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22752711">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12C50E75">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SEW或</w:t>
            </w:r>
            <w:r>
              <w:rPr>
                <w:rFonts w:hint="eastAsia" w:ascii="宋体" w:hAnsi="宋体" w:eastAsia="宋体"/>
                <w:color w:val="auto"/>
                <w:sz w:val="24"/>
                <w:szCs w:val="24"/>
                <w:highlight w:val="none"/>
              </w:rPr>
              <w:t>NORD</w:t>
            </w:r>
          </w:p>
        </w:tc>
      </w:tr>
      <w:tr w14:paraId="122CCF27">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thickThinLargeGap" w:color="auto" w:sz="12" w:space="0"/>
              <w:right w:val="dotted" w:color="auto" w:sz="4" w:space="0"/>
              <w:tl2br w:val="nil"/>
              <w:tr2bl w:val="nil"/>
            </w:tcBorders>
            <w:noWrap w:val="0"/>
            <w:vAlign w:val="top"/>
          </w:tcPr>
          <w:p w14:paraId="4C375058">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控制箱</w:t>
            </w:r>
          </w:p>
        </w:tc>
        <w:tc>
          <w:tcPr>
            <w:tcW w:w="1545" w:type="dxa"/>
            <w:tcBorders>
              <w:top w:val="dotted" w:color="auto" w:sz="4" w:space="0"/>
              <w:left w:val="dotted" w:color="auto" w:sz="4" w:space="0"/>
              <w:bottom w:val="thickThinLargeGap" w:color="auto" w:sz="12" w:space="0"/>
              <w:right w:val="dotted" w:color="auto" w:sz="4" w:space="0"/>
              <w:tl2br w:val="nil"/>
              <w:tr2bl w:val="nil"/>
            </w:tcBorders>
            <w:noWrap w:val="0"/>
            <w:vAlign w:val="center"/>
          </w:tcPr>
          <w:p w14:paraId="54EC3227">
            <w:pPr>
              <w:spacing w:line="300" w:lineRule="exact"/>
              <w:jc w:val="left"/>
              <w:rPr>
                <w:rFonts w:hint="eastAsia" w:ascii="宋体" w:hAnsi="宋体" w:eastAsia="宋体"/>
                <w:color w:val="auto"/>
                <w:sz w:val="24"/>
                <w:szCs w:val="24"/>
                <w:highlight w:val="none"/>
              </w:rPr>
            </w:pPr>
          </w:p>
        </w:tc>
        <w:tc>
          <w:tcPr>
            <w:tcW w:w="3765" w:type="dxa"/>
            <w:tcBorders>
              <w:top w:val="dotted" w:color="auto" w:sz="4" w:space="0"/>
              <w:left w:val="dotted" w:color="auto" w:sz="4" w:space="0"/>
              <w:bottom w:val="thickThinLargeGap" w:color="auto" w:sz="12" w:space="0"/>
              <w:right w:val="threeDEmboss" w:color="auto" w:sz="6" w:space="0"/>
              <w:tl2br w:val="nil"/>
              <w:tr2bl w:val="nil"/>
            </w:tcBorders>
            <w:noWrap w:val="0"/>
            <w:vAlign w:val="top"/>
          </w:tcPr>
          <w:p w14:paraId="28BA7915">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不锈钢304</w:t>
            </w:r>
          </w:p>
        </w:tc>
      </w:tr>
    </w:tbl>
    <w:p w14:paraId="65718958">
      <w:pPr>
        <w:pStyle w:val="994"/>
        <w:widowControl w:val="0"/>
        <w:spacing w:line="460" w:lineRule="exact"/>
        <w:ind w:firstLine="0" w:firstLineChars="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.4 主要部件</w:t>
      </w:r>
    </w:p>
    <w:p w14:paraId="63A47883">
      <w:pPr>
        <w:spacing w:line="360" w:lineRule="exact"/>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回转式固液分离机主要由机架、耙齿、链板、挡板、驱动装置、牵引链、导向装置、水底拦栅等部件组</w:t>
      </w:r>
    </w:p>
    <w:p w14:paraId="7DFF2F56">
      <w:pPr>
        <w:snapToGrid w:val="0"/>
        <w:spacing w:line="360" w:lineRule="auto"/>
        <w:rPr>
          <w:rFonts w:hint="eastAsia" w:hAnsi="宋体"/>
          <w:b/>
          <w:color w:val="auto"/>
          <w:sz w:val="24"/>
          <w:szCs w:val="22"/>
          <w:highlight w:val="none"/>
        </w:rPr>
      </w:pPr>
      <w:r>
        <w:rPr>
          <w:rFonts w:hint="eastAsia" w:hAnsi="宋体"/>
          <w:b/>
          <w:color w:val="auto"/>
          <w:sz w:val="24"/>
          <w:szCs w:val="22"/>
          <w:highlight w:val="none"/>
          <w:lang w:eastAsia="zh-CN"/>
        </w:rPr>
        <w:t>A</w:t>
      </w:r>
      <w:r>
        <w:rPr>
          <w:rFonts w:hint="eastAsia" w:hAnsi="宋体"/>
          <w:b/>
          <w:color w:val="auto"/>
          <w:sz w:val="24"/>
          <w:szCs w:val="22"/>
          <w:highlight w:val="none"/>
          <w:lang w:val="en-US" w:eastAsia="zh-CN"/>
        </w:rPr>
        <w:t>.</w:t>
      </w:r>
      <w:r>
        <w:rPr>
          <w:rFonts w:hint="eastAsia" w:hAnsi="宋体"/>
          <w:b/>
          <w:color w:val="auto"/>
          <w:sz w:val="24"/>
          <w:szCs w:val="22"/>
          <w:highlight w:val="none"/>
        </w:rPr>
        <w:t>机架</w:t>
      </w:r>
    </w:p>
    <w:p w14:paraId="192FE8BB">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机架两侧墙板采用不锈钢板与型钢焊接制作而成，材质为不锈钢3</w:t>
      </w:r>
      <w:r>
        <w:rPr>
          <w:rFonts w:hint="eastAsia" w:ascii="宋体" w:hAnsi="宋体" w:eastAsia="宋体"/>
          <w:color w:val="auto"/>
          <w:sz w:val="24"/>
          <w:szCs w:val="22"/>
          <w:highlight w:val="none"/>
          <w:lang w:val="en-US" w:eastAsia="zh-CN"/>
        </w:rPr>
        <w:t>16</w:t>
      </w:r>
      <w:r>
        <w:rPr>
          <w:rFonts w:hint="eastAsia" w:ascii="宋体" w:hAnsi="宋体" w:eastAsia="宋体"/>
          <w:color w:val="auto"/>
          <w:sz w:val="24"/>
          <w:szCs w:val="22"/>
          <w:highlight w:val="none"/>
        </w:rPr>
        <w:t>，</w:t>
      </w:r>
      <w:r>
        <w:rPr>
          <w:rFonts w:hint="eastAsia" w:ascii="宋体" w:hAnsi="宋体" w:eastAsia="宋体"/>
          <w:color w:val="auto"/>
          <w:sz w:val="24"/>
          <w:szCs w:val="22"/>
          <w:highlight w:val="none"/>
          <w:lang w:eastAsia="zh-CN"/>
        </w:rPr>
        <w:t>厚度不小于</w:t>
      </w:r>
      <w:r>
        <w:rPr>
          <w:rFonts w:hint="eastAsia" w:ascii="宋体" w:hAnsi="宋体" w:eastAsia="宋体"/>
          <w:color w:val="auto"/>
          <w:sz w:val="24"/>
          <w:szCs w:val="22"/>
          <w:highlight w:val="none"/>
          <w:lang w:val="en-US" w:eastAsia="zh-CN"/>
        </w:rPr>
        <w:t>10mm,</w:t>
      </w:r>
      <w:r>
        <w:rPr>
          <w:rFonts w:hint="eastAsia" w:ascii="宋体" w:hAnsi="宋体" w:eastAsia="宋体"/>
          <w:color w:val="auto"/>
          <w:sz w:val="24"/>
          <w:szCs w:val="22"/>
          <w:highlight w:val="none"/>
        </w:rPr>
        <w:t>两侧板间隔一定距离设置槽钢横撑。焊接后的格栅机架形成一个整体，在考虑最不利情况下，前后水位差很大时（≥1m）不会造成机架结构件变形。设备机架设计时采用板式框架，内侧设置牵引链回转运动轨导，机架用钢板和槽钢等焊接而成，其断面尺寸足够满足最大工作截荷的要求。</w:t>
      </w:r>
    </w:p>
    <w:p w14:paraId="43A2079D">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机架两侧与格栅井间留有间隙，通过机架的两侧</w:t>
      </w:r>
      <w:r>
        <w:rPr>
          <w:rFonts w:hint="eastAsia" w:ascii="宋体" w:hAnsi="宋体" w:eastAsia="宋体"/>
          <w:color w:val="auto"/>
          <w:sz w:val="24"/>
          <w:szCs w:val="22"/>
          <w:highlight w:val="none"/>
          <w:lang w:eastAsia="zh-CN"/>
        </w:rPr>
        <w:t>采用不锈钢</w:t>
      </w:r>
      <w:r>
        <w:rPr>
          <w:rFonts w:hint="eastAsia" w:ascii="宋体" w:hAnsi="宋体" w:eastAsia="宋体"/>
          <w:color w:val="auto"/>
          <w:sz w:val="24"/>
          <w:szCs w:val="22"/>
          <w:highlight w:val="none"/>
        </w:rPr>
        <w:t>密封板</w:t>
      </w:r>
      <w:r>
        <w:rPr>
          <w:rFonts w:hint="eastAsia" w:ascii="宋体" w:hAnsi="宋体" w:eastAsia="宋体"/>
          <w:color w:val="auto"/>
          <w:sz w:val="24"/>
          <w:szCs w:val="22"/>
          <w:highlight w:val="none"/>
          <w:lang w:eastAsia="zh-CN"/>
        </w:rPr>
        <w:t>密封，</w:t>
      </w:r>
      <w:r>
        <w:rPr>
          <w:rFonts w:hint="eastAsia" w:ascii="宋体" w:hAnsi="宋体" w:eastAsia="宋体"/>
          <w:color w:val="auto"/>
          <w:sz w:val="24"/>
          <w:szCs w:val="22"/>
          <w:highlight w:val="none"/>
        </w:rPr>
        <w:t>防止垃圾通过；机架平台处的两侧设置安全连接支座，与基础平台之间通过安装连接板连接。安装连接板的上端与机架用螺栓连接，下端在调整机架两侧与格栅井之间间隙相等后，与基础预埋钢板进行焊接，当起吊格栅时，只须拆下安装连接板与机架间的螺栓即可。</w:t>
      </w:r>
    </w:p>
    <w:p w14:paraId="24DE7D10">
      <w:pPr>
        <w:snapToGrid w:val="0"/>
        <w:spacing w:beforeLines="0" w:afterLines="0" w:line="360" w:lineRule="auto"/>
        <w:rPr>
          <w:rFonts w:hint="eastAsia" w:hAnsi="Calibri"/>
          <w:b/>
          <w:color w:val="auto"/>
          <w:sz w:val="24"/>
          <w:szCs w:val="22"/>
          <w:highlight w:val="none"/>
        </w:rPr>
      </w:pPr>
      <w:r>
        <w:rPr>
          <w:rFonts w:hint="eastAsia" w:hAnsi="Calibri"/>
          <w:b/>
          <w:color w:val="auto"/>
          <w:sz w:val="24"/>
          <w:szCs w:val="22"/>
          <w:highlight w:val="none"/>
          <w:lang w:eastAsia="zh-CN"/>
        </w:rPr>
        <w:t>B</w:t>
      </w:r>
      <w:r>
        <w:rPr>
          <w:rFonts w:hint="eastAsia" w:hAnsi="Calibri"/>
          <w:b/>
          <w:color w:val="auto"/>
          <w:sz w:val="24"/>
          <w:szCs w:val="22"/>
          <w:highlight w:val="none"/>
          <w:lang w:val="en-US" w:eastAsia="zh-CN"/>
        </w:rPr>
        <w:t>.</w:t>
      </w:r>
      <w:r>
        <w:rPr>
          <w:rFonts w:hint="eastAsia" w:hAnsi="Calibri"/>
          <w:b/>
          <w:color w:val="auto"/>
          <w:sz w:val="24"/>
          <w:szCs w:val="22"/>
          <w:highlight w:val="none"/>
        </w:rPr>
        <w:t>驱动装置</w:t>
      </w:r>
    </w:p>
    <w:p w14:paraId="0AFCE7F8">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驱动装置包括电机、减速机、传动链条、链轮。电机采用</w:t>
      </w:r>
      <w:r>
        <w:rPr>
          <w:rFonts w:hint="eastAsia" w:ascii="宋体" w:hAnsi="宋体" w:eastAsia="宋体"/>
          <w:color w:val="auto"/>
          <w:sz w:val="24"/>
          <w:szCs w:val="22"/>
          <w:highlight w:val="none"/>
          <w:lang w:val="en-US" w:eastAsia="zh-CN"/>
        </w:rPr>
        <w:t>SEW或NORD</w:t>
      </w:r>
      <w:r>
        <w:rPr>
          <w:rFonts w:hint="eastAsia" w:ascii="宋体" w:hAnsi="宋体" w:eastAsia="宋体"/>
          <w:color w:val="auto"/>
          <w:sz w:val="24"/>
          <w:szCs w:val="22"/>
          <w:highlight w:val="none"/>
        </w:rPr>
        <w:t>电机。电机防护等级不小于IP</w:t>
      </w:r>
      <w:r>
        <w:rPr>
          <w:rFonts w:hint="eastAsia" w:ascii="宋体" w:hAnsi="宋体" w:eastAsia="宋体"/>
          <w:color w:val="auto"/>
          <w:sz w:val="24"/>
          <w:szCs w:val="22"/>
          <w:highlight w:val="none"/>
          <w:lang w:val="en-US" w:eastAsia="zh-CN"/>
        </w:rPr>
        <w:t>6</w:t>
      </w:r>
      <w:r>
        <w:rPr>
          <w:rFonts w:hint="eastAsia" w:ascii="宋体" w:hAnsi="宋体" w:eastAsia="宋体"/>
          <w:color w:val="auto"/>
          <w:sz w:val="24"/>
          <w:szCs w:val="22"/>
          <w:highlight w:val="none"/>
        </w:rPr>
        <w:t>5，绝缘等级为F级；通过传动链条及链轮满足牵引链回转速度为2.1m/min的要求</w:t>
      </w:r>
      <w:r>
        <w:rPr>
          <w:rFonts w:hint="eastAsia" w:ascii="宋体" w:hAnsi="宋体" w:eastAsia="宋体"/>
          <w:color w:val="auto"/>
          <w:sz w:val="24"/>
          <w:szCs w:val="22"/>
          <w:highlight w:val="none"/>
          <w:lang w:val="en-US" w:eastAsia="zh-CN"/>
        </w:rPr>
        <w:t>,</w:t>
      </w:r>
      <w:r>
        <w:rPr>
          <w:rFonts w:hint="eastAsia" w:ascii="宋体" w:hAnsi="宋体" w:eastAsia="宋体"/>
          <w:color w:val="auto"/>
          <w:sz w:val="24"/>
          <w:szCs w:val="22"/>
          <w:highlight w:val="none"/>
        </w:rPr>
        <w:t>并设有过载保护和报警装置。</w:t>
      </w:r>
    </w:p>
    <w:p w14:paraId="67A5329D">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驱动装置安装在机架上部，并设有不锈钢防护罩，并采用不锈钢螺栓固定在机架上部，防止电机日晒雨淋。</w:t>
      </w:r>
    </w:p>
    <w:p w14:paraId="050CF2C5">
      <w:pPr>
        <w:snapToGrid w:val="0"/>
        <w:spacing w:beforeLines="0" w:afterLines="0" w:line="360" w:lineRule="auto"/>
        <w:jc w:val="left"/>
        <w:rPr>
          <w:rFonts w:hint="eastAsia" w:hAnsi="Calibri"/>
          <w:b/>
          <w:color w:val="auto"/>
          <w:sz w:val="24"/>
          <w:szCs w:val="22"/>
          <w:highlight w:val="none"/>
        </w:rPr>
      </w:pPr>
      <w:r>
        <w:rPr>
          <w:rFonts w:hint="eastAsia" w:hAnsi="Calibri"/>
          <w:b/>
          <w:color w:val="auto"/>
          <w:sz w:val="24"/>
          <w:szCs w:val="22"/>
          <w:highlight w:val="none"/>
          <w:lang w:val="en-US" w:eastAsia="zh-CN"/>
        </w:rPr>
        <w:t>C.</w:t>
      </w:r>
      <w:r>
        <w:rPr>
          <w:rFonts w:hint="eastAsia" w:hAnsi="Calibri"/>
          <w:b/>
          <w:color w:val="auto"/>
          <w:sz w:val="24"/>
          <w:szCs w:val="22"/>
          <w:highlight w:val="none"/>
        </w:rPr>
        <w:t>耙齿及耙齿轴</w:t>
      </w:r>
    </w:p>
    <w:p w14:paraId="0BFFD555">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耙齿轴采用Φ</w:t>
      </w:r>
      <w:r>
        <w:rPr>
          <w:rFonts w:hint="eastAsia" w:ascii="宋体" w:hAnsi="宋体" w:eastAsia="宋体"/>
          <w:color w:val="auto"/>
          <w:sz w:val="24"/>
          <w:szCs w:val="22"/>
          <w:highlight w:val="none"/>
          <w:lang w:val="en-US" w:eastAsia="zh-CN"/>
        </w:rPr>
        <w:t>20</w:t>
      </w:r>
      <w:r>
        <w:rPr>
          <w:rFonts w:hint="eastAsia" w:ascii="宋体" w:hAnsi="宋体" w:eastAsia="宋体"/>
          <w:color w:val="auto"/>
          <w:sz w:val="24"/>
          <w:szCs w:val="22"/>
          <w:highlight w:val="none"/>
        </w:rPr>
        <w:t>不锈钢</w:t>
      </w:r>
      <w:r>
        <w:rPr>
          <w:rFonts w:hint="eastAsia" w:ascii="宋体" w:hAnsi="宋体" w:eastAsia="宋体"/>
          <w:color w:val="auto"/>
          <w:sz w:val="24"/>
          <w:szCs w:val="22"/>
          <w:highlight w:val="none"/>
          <w:lang w:val="en-US" w:eastAsia="zh-CN"/>
        </w:rPr>
        <w:t>316</w:t>
      </w:r>
      <w:r>
        <w:rPr>
          <w:rFonts w:hint="eastAsia" w:ascii="宋体" w:hAnsi="宋体" w:eastAsia="宋体"/>
          <w:color w:val="auto"/>
          <w:sz w:val="24"/>
          <w:szCs w:val="22"/>
          <w:highlight w:val="none"/>
        </w:rPr>
        <w:t>圆钢，经金加工而成；耙齿轴两端采用</w:t>
      </w:r>
      <w:r>
        <w:rPr>
          <w:rFonts w:hint="eastAsia" w:ascii="宋体" w:hAnsi="宋体" w:eastAsia="宋体"/>
          <w:color w:val="auto"/>
          <w:sz w:val="24"/>
          <w:szCs w:val="22"/>
          <w:highlight w:val="none"/>
          <w:lang w:val="en-US" w:eastAsia="zh-CN"/>
        </w:rPr>
        <w:t>卡簧外加</w:t>
      </w:r>
      <w:r>
        <w:rPr>
          <w:rFonts w:hint="eastAsia" w:ascii="宋体" w:hAnsi="宋体" w:eastAsia="宋体"/>
          <w:color w:val="auto"/>
          <w:sz w:val="24"/>
          <w:szCs w:val="22"/>
          <w:highlight w:val="none"/>
        </w:rPr>
        <w:t>开口销固定方式，防止牵引链条位移。</w:t>
      </w:r>
    </w:p>
    <w:p w14:paraId="1061307F">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耙齿采用耐磨性能较强的尼龙，经特殊</w:t>
      </w:r>
      <w:r>
        <w:rPr>
          <w:rFonts w:hint="eastAsia" w:ascii="宋体" w:hAnsi="宋体" w:eastAsia="宋体"/>
          <w:color w:val="auto"/>
          <w:sz w:val="24"/>
          <w:szCs w:val="22"/>
          <w:highlight w:val="none"/>
          <w:lang w:eastAsia="zh-CN"/>
        </w:rPr>
        <w:t>注塑机一次</w:t>
      </w:r>
      <w:r>
        <w:rPr>
          <w:rFonts w:hint="eastAsia" w:ascii="宋体" w:hAnsi="宋体" w:eastAsia="宋体"/>
          <w:color w:val="auto"/>
          <w:sz w:val="24"/>
          <w:szCs w:val="22"/>
          <w:highlight w:val="none"/>
        </w:rPr>
        <w:t>成型，使其间隙分别达到1</w:t>
      </w:r>
      <w:r>
        <w:rPr>
          <w:rFonts w:hint="eastAsia" w:ascii="宋体" w:hAnsi="宋体" w:eastAsia="宋体"/>
          <w:color w:val="auto"/>
          <w:sz w:val="24"/>
          <w:szCs w:val="22"/>
          <w:highlight w:val="none"/>
          <w:lang w:val="en-US" w:eastAsia="zh-CN"/>
        </w:rPr>
        <w:t>5</w:t>
      </w:r>
      <w:r>
        <w:rPr>
          <w:rFonts w:hint="eastAsia" w:ascii="宋体" w:hAnsi="宋体" w:eastAsia="宋体"/>
          <w:color w:val="auto"/>
          <w:sz w:val="24"/>
          <w:szCs w:val="22"/>
          <w:highlight w:val="none"/>
        </w:rPr>
        <w:t>mm，将它们一个个串联在耙齿轴上，耙齿轴并联，其两端由牵引链锁定，从而形成一条耙齿链带，耙齿与耙齿间彼此形成垂直和水平的空间，可让水流通过；在驱动装置的带动下，牵引链在导轨上带动耙齿链带作回转运动，从而能有效地除去大于耙齿间隙的所有固体截留物。</w:t>
      </w:r>
    </w:p>
    <w:p w14:paraId="30CE5546">
      <w:pPr>
        <w:snapToGrid w:val="0"/>
        <w:spacing w:beforeLines="0" w:afterLines="0" w:line="360" w:lineRule="auto"/>
        <w:jc w:val="left"/>
        <w:rPr>
          <w:rFonts w:hint="eastAsia" w:hAnsi="Calibri"/>
          <w:b/>
          <w:color w:val="auto"/>
          <w:sz w:val="24"/>
          <w:szCs w:val="22"/>
          <w:highlight w:val="none"/>
        </w:rPr>
      </w:pPr>
      <w:r>
        <w:rPr>
          <w:rFonts w:hint="eastAsia" w:hAnsi="Calibri"/>
          <w:b/>
          <w:color w:val="auto"/>
          <w:sz w:val="24"/>
          <w:szCs w:val="22"/>
          <w:highlight w:val="none"/>
          <w:lang w:eastAsia="zh-CN"/>
        </w:rPr>
        <w:t>D</w:t>
      </w:r>
      <w:r>
        <w:rPr>
          <w:rFonts w:hint="eastAsia" w:hAnsi="Calibri"/>
          <w:b/>
          <w:color w:val="auto"/>
          <w:sz w:val="24"/>
          <w:szCs w:val="22"/>
          <w:highlight w:val="none"/>
          <w:lang w:val="en-US" w:eastAsia="zh-CN"/>
        </w:rPr>
        <w:t>.</w:t>
      </w:r>
      <w:r>
        <w:rPr>
          <w:rFonts w:hint="eastAsia" w:hAnsi="Calibri"/>
          <w:b/>
          <w:color w:val="auto"/>
          <w:sz w:val="24"/>
          <w:szCs w:val="22"/>
          <w:highlight w:val="none"/>
        </w:rPr>
        <w:t>导向装置</w:t>
      </w:r>
    </w:p>
    <w:p w14:paraId="6C5C1EB3">
      <w:pPr>
        <w:spacing w:beforeLines="0" w:afterLines="0" w:line="360" w:lineRule="auto"/>
        <w:ind w:firstLine="412"/>
        <w:jc w:val="left"/>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格栅的导向装置由2组槽导轮组成，分别设置于机架两侧的上部和下部，用于改变耙齿链排的运行方向；在下部设有1组被动回转轮，以起到支承作用</w:t>
      </w:r>
      <w:r>
        <w:rPr>
          <w:rFonts w:hint="eastAsia" w:ascii="宋体" w:hAnsi="宋体" w:eastAsia="宋体"/>
          <w:color w:val="auto"/>
          <w:sz w:val="24"/>
          <w:szCs w:val="22"/>
          <w:highlight w:val="none"/>
          <w:lang w:eastAsia="zh-CN"/>
        </w:rPr>
        <w:t>。</w:t>
      </w:r>
    </w:p>
    <w:p w14:paraId="669F8E26">
      <w:pPr>
        <w:snapToGrid w:val="0"/>
        <w:spacing w:beforeLines="0" w:afterLines="0" w:line="360" w:lineRule="auto"/>
        <w:jc w:val="left"/>
        <w:rPr>
          <w:rFonts w:hint="eastAsia" w:hAnsi="Calibri"/>
          <w:b/>
          <w:color w:val="auto"/>
          <w:sz w:val="24"/>
          <w:szCs w:val="22"/>
          <w:highlight w:val="none"/>
        </w:rPr>
      </w:pPr>
      <w:r>
        <w:rPr>
          <w:rFonts w:hint="eastAsia" w:hAnsi="Calibri"/>
          <w:b/>
          <w:color w:val="auto"/>
          <w:sz w:val="24"/>
          <w:szCs w:val="22"/>
          <w:highlight w:val="none"/>
          <w:lang w:eastAsia="zh-CN"/>
        </w:rPr>
        <w:t>E</w:t>
      </w:r>
      <w:r>
        <w:rPr>
          <w:rFonts w:hint="eastAsia" w:hAnsi="Calibri"/>
          <w:b/>
          <w:color w:val="auto"/>
          <w:sz w:val="24"/>
          <w:szCs w:val="22"/>
          <w:highlight w:val="none"/>
          <w:lang w:val="en-US" w:eastAsia="zh-CN"/>
        </w:rPr>
        <w:t>.</w:t>
      </w:r>
      <w:r>
        <w:rPr>
          <w:rFonts w:hint="eastAsia" w:hAnsi="Calibri"/>
          <w:b/>
          <w:color w:val="auto"/>
          <w:sz w:val="24"/>
          <w:szCs w:val="22"/>
          <w:highlight w:val="none"/>
        </w:rPr>
        <w:t>牵引链装置</w:t>
      </w:r>
    </w:p>
    <w:p w14:paraId="55D8A6A1">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 xml:space="preserve">   每台机均设有牵引链，分别位于耙齿轴的两端，它主要由大套、小套、开口销、卡簧、链板条及挡板等组成，其材质均为不锈钢；将它们依此串接在耙齿轴的一端，并由卡簧及开口销固定，从而形成一圈，即牵引链；它具有足够的强度和刚度，牵引链还设有可调节的张紧装置。</w:t>
      </w:r>
    </w:p>
    <w:p w14:paraId="4CCBCA00">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导轨位于格栅两墙板的内侧，以作牵引链回转运行的轨道之用。</w:t>
      </w:r>
    </w:p>
    <w:p w14:paraId="5D4DA7CE">
      <w:pPr>
        <w:snapToGrid w:val="0"/>
        <w:spacing w:beforeLines="0" w:afterLines="0" w:line="360" w:lineRule="auto"/>
        <w:jc w:val="left"/>
        <w:rPr>
          <w:rFonts w:hint="eastAsia" w:hAnsi="Calibri"/>
          <w:b/>
          <w:color w:val="auto"/>
          <w:sz w:val="24"/>
          <w:szCs w:val="22"/>
          <w:highlight w:val="none"/>
        </w:rPr>
      </w:pPr>
      <w:r>
        <w:rPr>
          <w:rFonts w:hint="eastAsia" w:hAnsi="Calibri"/>
          <w:b/>
          <w:color w:val="auto"/>
          <w:sz w:val="24"/>
          <w:szCs w:val="22"/>
          <w:highlight w:val="none"/>
          <w:lang w:eastAsia="zh-CN"/>
        </w:rPr>
        <w:t>F</w:t>
      </w:r>
      <w:r>
        <w:rPr>
          <w:rFonts w:hint="eastAsia" w:hAnsi="Calibri"/>
          <w:b/>
          <w:color w:val="auto"/>
          <w:sz w:val="24"/>
          <w:szCs w:val="22"/>
          <w:highlight w:val="none"/>
          <w:lang w:val="en-US" w:eastAsia="zh-CN"/>
        </w:rPr>
        <w:t>.</w:t>
      </w:r>
      <w:r>
        <w:rPr>
          <w:rFonts w:hint="eastAsia" w:hAnsi="Calibri"/>
          <w:b/>
          <w:color w:val="auto"/>
          <w:sz w:val="24"/>
          <w:szCs w:val="22"/>
          <w:highlight w:val="none"/>
        </w:rPr>
        <w:t>底污挡板</w:t>
      </w:r>
    </w:p>
    <w:p w14:paraId="6EF635B2">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在格栅底部设有一块底污挡板，其材质采用</w:t>
      </w:r>
      <w:r>
        <w:rPr>
          <w:rFonts w:hint="eastAsia" w:ascii="宋体" w:hAnsi="宋体" w:eastAsia="宋体"/>
          <w:color w:val="auto"/>
          <w:sz w:val="24"/>
          <w:szCs w:val="22"/>
          <w:highlight w:val="none"/>
          <w:lang w:eastAsia="zh-CN"/>
        </w:rPr>
        <w:t>不锈钢板</w:t>
      </w:r>
      <w:r>
        <w:rPr>
          <w:rFonts w:hint="eastAsia" w:ascii="宋体" w:hAnsi="宋体" w:eastAsia="宋体"/>
          <w:color w:val="auto"/>
          <w:sz w:val="24"/>
          <w:szCs w:val="22"/>
          <w:highlight w:val="none"/>
        </w:rPr>
        <w:t>，其作用是防止栅渣从底部通过格栅。</w:t>
      </w:r>
    </w:p>
    <w:p w14:paraId="4F2345B2">
      <w:pPr>
        <w:pStyle w:val="97"/>
        <w:spacing w:beforeLines="0" w:afterLines="0" w:line="360" w:lineRule="auto"/>
        <w:rPr>
          <w:rFonts w:hint="default" w:ascii="宋体" w:hAnsi="宋体" w:eastAsia="宋体"/>
          <w:color w:val="auto"/>
          <w:sz w:val="24"/>
          <w:szCs w:val="24"/>
          <w:highlight w:val="none"/>
          <w:lang w:eastAsia="zh-CN"/>
        </w:rPr>
      </w:pPr>
    </w:p>
    <w:p w14:paraId="3B327EF2">
      <w:pPr>
        <w:snapToGrid w:val="0"/>
        <w:spacing w:beforeLines="0" w:afterLines="0" w:line="360" w:lineRule="auto"/>
        <w:jc w:val="left"/>
        <w:rPr>
          <w:rFonts w:hint="eastAsia" w:hAnsi="Calibri"/>
          <w:b/>
          <w:color w:val="auto"/>
          <w:sz w:val="24"/>
          <w:szCs w:val="22"/>
          <w:highlight w:val="none"/>
        </w:rPr>
      </w:pPr>
      <w:r>
        <w:rPr>
          <w:rFonts w:hint="eastAsia" w:hAnsi="Calibri"/>
          <w:b/>
          <w:color w:val="auto"/>
          <w:sz w:val="24"/>
          <w:szCs w:val="22"/>
          <w:highlight w:val="none"/>
          <w:lang w:val="en-US" w:eastAsia="zh-CN"/>
        </w:rPr>
        <w:t>2</w:t>
      </w:r>
      <w:r>
        <w:rPr>
          <w:rFonts w:hint="eastAsia" w:hAnsi="Calibri" w:eastAsia="宋体"/>
          <w:b/>
          <w:color w:val="auto"/>
          <w:sz w:val="24"/>
          <w:szCs w:val="22"/>
          <w:highlight w:val="none"/>
          <w:lang w:val="en-US" w:eastAsia="zh-CN"/>
        </w:rPr>
        <w:t>.5</w:t>
      </w:r>
      <w:r>
        <w:rPr>
          <w:rFonts w:hint="eastAsia" w:hAnsi="Calibri"/>
          <w:b/>
          <w:color w:val="auto"/>
          <w:sz w:val="24"/>
          <w:szCs w:val="22"/>
          <w:highlight w:val="none"/>
        </w:rPr>
        <w:t>设备的机械与电气保护</w:t>
      </w:r>
    </w:p>
    <w:p w14:paraId="1600AF9A">
      <w:pPr>
        <w:spacing w:beforeLines="0" w:afterLines="0" w:line="360" w:lineRule="auto"/>
        <w:ind w:firstLine="412"/>
        <w:jc w:val="left"/>
        <w:rPr>
          <w:rFonts w:hint="eastAsia" w:ascii="宋体" w:hAnsi="宋体" w:eastAsia="宋体"/>
          <w:color w:val="auto"/>
          <w:sz w:val="24"/>
          <w:szCs w:val="22"/>
          <w:highlight w:val="none"/>
        </w:rPr>
      </w:pPr>
      <w:r>
        <w:rPr>
          <w:rFonts w:hint="eastAsia" w:ascii="宋体" w:hAnsi="宋体" w:eastAsia="宋体"/>
          <w:color w:val="auto"/>
          <w:sz w:val="24"/>
          <w:szCs w:val="22"/>
          <w:highlight w:val="none"/>
        </w:rPr>
        <w:t>格栅的操作方式为就地手动控制</w:t>
      </w:r>
      <w:r>
        <w:rPr>
          <w:rFonts w:hint="eastAsia" w:ascii="宋体" w:hAnsi="宋体" w:eastAsia="宋体"/>
          <w:color w:val="auto"/>
          <w:sz w:val="24"/>
          <w:szCs w:val="22"/>
          <w:highlight w:val="none"/>
          <w:lang w:eastAsia="zh-CN"/>
        </w:rPr>
        <w:t>、</w:t>
      </w:r>
      <w:r>
        <w:rPr>
          <w:rFonts w:hint="eastAsia" w:ascii="宋体" w:hAnsi="宋体" w:eastAsia="宋体"/>
          <w:color w:val="auto"/>
          <w:sz w:val="24"/>
          <w:szCs w:val="22"/>
          <w:highlight w:val="none"/>
        </w:rPr>
        <w:t>自动控制</w:t>
      </w:r>
      <w:r>
        <w:rPr>
          <w:rFonts w:hint="eastAsia" w:ascii="宋体" w:hAnsi="宋体" w:eastAsia="宋体"/>
          <w:color w:val="auto"/>
          <w:sz w:val="24"/>
          <w:szCs w:val="22"/>
          <w:highlight w:val="none"/>
          <w:lang w:val="en-US" w:eastAsia="zh-CN"/>
        </w:rPr>
        <w:t>和远程三</w:t>
      </w:r>
      <w:r>
        <w:rPr>
          <w:rFonts w:hint="eastAsia" w:ascii="宋体" w:hAnsi="宋体" w:eastAsia="宋体"/>
          <w:color w:val="auto"/>
          <w:sz w:val="24"/>
          <w:szCs w:val="22"/>
          <w:highlight w:val="none"/>
        </w:rPr>
        <w:t>种方式。在自动操作方式下，格栅由预先设定时间</w:t>
      </w:r>
      <w:r>
        <w:rPr>
          <w:rFonts w:hint="eastAsia" w:ascii="宋体" w:hAnsi="宋体" w:eastAsia="宋体"/>
          <w:color w:val="auto"/>
          <w:sz w:val="24"/>
          <w:szCs w:val="22"/>
          <w:highlight w:val="none"/>
          <w:lang w:val="en-US" w:eastAsia="zh-CN"/>
        </w:rPr>
        <w:t>或液位差</w:t>
      </w:r>
      <w:r>
        <w:rPr>
          <w:rFonts w:hint="eastAsia" w:ascii="宋体" w:hAnsi="宋体" w:eastAsia="宋体"/>
          <w:color w:val="auto"/>
          <w:sz w:val="24"/>
          <w:szCs w:val="22"/>
          <w:highlight w:val="none"/>
        </w:rPr>
        <w:t>自动控制</w:t>
      </w:r>
      <w:r>
        <w:rPr>
          <w:rFonts w:hint="eastAsia" w:ascii="宋体" w:hAnsi="宋体" w:eastAsia="宋体"/>
          <w:color w:val="auto"/>
          <w:sz w:val="24"/>
          <w:szCs w:val="22"/>
          <w:highlight w:val="none"/>
          <w:lang w:eastAsia="zh-CN"/>
        </w:rPr>
        <w:t>，</w:t>
      </w:r>
      <w:r>
        <w:rPr>
          <w:rFonts w:hint="eastAsia" w:ascii="宋体" w:hAnsi="宋体" w:eastAsia="宋体"/>
          <w:color w:val="auto"/>
          <w:sz w:val="24"/>
          <w:szCs w:val="22"/>
          <w:highlight w:val="none"/>
          <w:lang w:val="en-US" w:eastAsia="zh-CN"/>
        </w:rPr>
        <w:t>液位差控制权限优先时间控制</w:t>
      </w:r>
      <w:r>
        <w:rPr>
          <w:rFonts w:hint="eastAsia" w:ascii="宋体" w:hAnsi="宋体" w:eastAsia="宋体"/>
          <w:color w:val="auto"/>
          <w:sz w:val="24"/>
          <w:szCs w:val="22"/>
          <w:highlight w:val="none"/>
        </w:rPr>
        <w:t>。格栅运行速度2.1m/min。提供现场控制箱，控制格栅的运行。</w:t>
      </w:r>
    </w:p>
    <w:p w14:paraId="08D0B0BD">
      <w:pPr>
        <w:spacing w:beforeLines="0" w:afterLines="0" w:line="360" w:lineRule="auto"/>
        <w:ind w:firstLine="412"/>
        <w:jc w:val="left"/>
        <w:rPr>
          <w:rFonts w:hint="default" w:ascii="宋体" w:hAnsi="宋体" w:eastAsia="宋体" w:cs="宋体"/>
          <w:b w:val="0"/>
          <w:bCs/>
          <w:color w:val="auto"/>
          <w:sz w:val="24"/>
          <w:szCs w:val="24"/>
          <w:highlight w:val="none"/>
          <w:lang w:val="en-US" w:eastAsia="zh-CN"/>
        </w:rPr>
      </w:pPr>
      <w:r>
        <w:rPr>
          <w:rFonts w:hint="eastAsia" w:ascii="宋体" w:hAnsi="宋体" w:eastAsia="宋体"/>
          <w:color w:val="auto"/>
          <w:sz w:val="24"/>
          <w:szCs w:val="22"/>
          <w:highlight w:val="none"/>
        </w:rPr>
        <w:t>现场电控箱在其面板上设有设备的起动、停机按钮，运行、停机事故信号灯，信号灯采用节能型；就地-0-远程控制选择开关及整个功能控制系统的急停按钮。在电控箱内设有电动机保护器、起动器及辅助继电气、停机、事故状态信号的接口。电控箱面板前设有小门及观察窗，防护等级IP54，外壳采用不锈钢AISI3</w:t>
      </w:r>
      <w:r>
        <w:rPr>
          <w:rFonts w:hint="eastAsia" w:ascii="宋体" w:hAnsi="宋体" w:eastAsia="宋体"/>
          <w:color w:val="auto"/>
          <w:sz w:val="24"/>
          <w:szCs w:val="22"/>
          <w:highlight w:val="none"/>
          <w:lang w:val="en-US" w:eastAsia="zh-CN"/>
        </w:rPr>
        <w:t>04</w:t>
      </w:r>
      <w:r>
        <w:rPr>
          <w:rFonts w:hint="eastAsia" w:ascii="宋体" w:hAnsi="宋体" w:eastAsia="宋体"/>
          <w:color w:val="auto"/>
          <w:sz w:val="24"/>
          <w:szCs w:val="22"/>
          <w:highlight w:val="none"/>
        </w:rPr>
        <w:t>材料制造</w:t>
      </w:r>
      <w:r>
        <w:rPr>
          <w:rFonts w:hint="eastAsia" w:ascii="宋体" w:hAnsi="宋体" w:eastAsia="宋体"/>
          <w:color w:val="auto"/>
          <w:sz w:val="24"/>
          <w:szCs w:val="22"/>
          <w:highlight w:val="none"/>
          <w:lang w:eastAsia="zh-CN"/>
        </w:rPr>
        <w:t>，</w:t>
      </w:r>
      <w:r>
        <w:rPr>
          <w:rFonts w:hint="eastAsia" w:ascii="宋体" w:hAnsi="宋体" w:eastAsia="宋体"/>
          <w:color w:val="auto"/>
          <w:sz w:val="24"/>
          <w:szCs w:val="22"/>
          <w:highlight w:val="none"/>
          <w:lang w:val="en-US" w:eastAsia="zh-CN"/>
        </w:rPr>
        <w:t>厚度大于1.5mm</w:t>
      </w:r>
      <w:r>
        <w:rPr>
          <w:rFonts w:hint="eastAsia" w:ascii="宋体" w:hAnsi="宋体" w:eastAsia="宋体"/>
          <w:color w:val="auto"/>
          <w:sz w:val="24"/>
          <w:szCs w:val="22"/>
          <w:highlight w:val="none"/>
        </w:rPr>
        <w:t>，电控箱内设有电缆通道及接线端子防雷接地。</w:t>
      </w:r>
    </w:p>
    <w:p w14:paraId="1F4E307A">
      <w:pPr>
        <w:pStyle w:val="97"/>
        <w:numPr>
          <w:ilvl w:val="0"/>
          <w:numId w:val="0"/>
        </w:numPr>
        <w:spacing w:beforeLines="0" w:afterLines="0" w:line="360" w:lineRule="auto"/>
        <w:ind w:firstLine="0" w:firstLineChars="0"/>
        <w:rPr>
          <w:rFonts w:hint="default"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3.螺旋压榨机技术要求</w:t>
      </w:r>
    </w:p>
    <w:p w14:paraId="72F0F159">
      <w:pPr>
        <w:pStyle w:val="97"/>
        <w:numPr>
          <w:ilvl w:val="0"/>
          <w:numId w:val="0"/>
        </w:numPr>
        <w:spacing w:beforeLines="0" w:afterLines="0" w:line="360" w:lineRule="auto"/>
        <w:ind w:firstLine="0" w:firstLineChars="0"/>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3.1 供货范围</w:t>
      </w:r>
    </w:p>
    <w:p w14:paraId="061E8DBB">
      <w:pPr>
        <w:pStyle w:val="97"/>
        <w:numPr>
          <w:ilvl w:val="0"/>
          <w:numId w:val="0"/>
        </w:numPr>
        <w:spacing w:beforeLines="0" w:afterLines="0" w:line="360" w:lineRule="auto"/>
        <w:ind w:firstLine="480" w:firstLineChars="200"/>
        <w:rPr>
          <w:rFonts w:hint="eastAsia"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螺旋压榨机为成套设备，整套装置包括如下：</w:t>
      </w:r>
    </w:p>
    <w:p w14:paraId="1EC5C330">
      <w:pPr>
        <w:pStyle w:val="97"/>
        <w:numPr>
          <w:ilvl w:val="0"/>
          <w:numId w:val="0"/>
        </w:numPr>
        <w:spacing w:beforeLines="0" w:afterLines="0" w:line="360" w:lineRule="auto"/>
        <w:ind w:firstLine="480" w:firstLineChars="200"/>
        <w:rPr>
          <w:rFonts w:hint="eastAsia"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压榨螺旋、压榨管、输渣管、机架与排水槽及配套附件等</w:t>
      </w:r>
    </w:p>
    <w:p w14:paraId="133B55B7">
      <w:pPr>
        <w:pStyle w:val="97"/>
        <w:numPr>
          <w:ilvl w:val="0"/>
          <w:numId w:val="0"/>
        </w:numPr>
        <w:spacing w:beforeLines="0" w:afterLines="0" w:line="360" w:lineRule="auto"/>
        <w:ind w:firstLine="480" w:firstLineChars="200"/>
        <w:rPr>
          <w:rFonts w:hint="eastAsia"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进料斗</w:t>
      </w:r>
    </w:p>
    <w:p w14:paraId="6BCAB415">
      <w:pPr>
        <w:pStyle w:val="97"/>
        <w:numPr>
          <w:ilvl w:val="0"/>
          <w:numId w:val="0"/>
        </w:numPr>
        <w:spacing w:beforeLines="0" w:afterLines="0" w:line="360" w:lineRule="auto"/>
        <w:ind w:firstLine="480" w:firstLineChars="200"/>
        <w:rPr>
          <w:rFonts w:hint="eastAsia"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驱动装置、减速器及防护罩</w:t>
      </w:r>
    </w:p>
    <w:p w14:paraId="14BB90F1">
      <w:pPr>
        <w:pStyle w:val="97"/>
        <w:numPr>
          <w:ilvl w:val="0"/>
          <w:numId w:val="0"/>
        </w:numPr>
        <w:spacing w:beforeLines="0" w:afterLines="0" w:line="360" w:lineRule="auto"/>
        <w:ind w:firstLine="480" w:firstLineChars="200"/>
        <w:rPr>
          <w:rFonts w:hint="eastAsia"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此外配备基础螺栓等安全和有效运行所必须的附件及工具。</w:t>
      </w:r>
    </w:p>
    <w:p w14:paraId="3CA65C4D">
      <w:pPr>
        <w:pStyle w:val="97"/>
        <w:numPr>
          <w:ilvl w:val="0"/>
          <w:numId w:val="0"/>
        </w:numPr>
        <w:spacing w:beforeLines="0" w:afterLines="0" w:line="360" w:lineRule="auto"/>
        <w:ind w:firstLine="0" w:firstLineChars="0"/>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3.2简述及原理</w:t>
      </w:r>
    </w:p>
    <w:p w14:paraId="0C9D50C5">
      <w:pPr>
        <w:pStyle w:val="97"/>
        <w:numPr>
          <w:ilvl w:val="0"/>
          <w:numId w:val="0"/>
        </w:numPr>
        <w:spacing w:beforeLines="0" w:afterLines="0" w:line="360" w:lineRule="auto"/>
        <w:ind w:firstLine="480" w:firstLineChars="200"/>
        <w:rPr>
          <w:rFonts w:hint="default" w:eastAsia="宋体" w:cs="宋体"/>
          <w:b w:val="0"/>
          <w:bCs w:val="0"/>
          <w:color w:val="auto"/>
          <w:sz w:val="24"/>
          <w:szCs w:val="24"/>
          <w:highlight w:val="none"/>
          <w:lang w:val="en-US" w:eastAsia="zh-CN"/>
        </w:rPr>
      </w:pPr>
      <w:r>
        <w:rPr>
          <w:rFonts w:hint="default" w:eastAsia="宋体" w:cs="宋体"/>
          <w:b w:val="0"/>
          <w:bCs w:val="0"/>
          <w:color w:val="auto"/>
          <w:sz w:val="24"/>
          <w:szCs w:val="24"/>
          <w:highlight w:val="none"/>
          <w:lang w:val="en-US" w:eastAsia="zh-CN"/>
        </w:rPr>
        <w:t>螺旋压榨机采用有轴螺旋的结构形式，适用于由格栅捞出的栅渣进行压榨脱水。其工作原理是栅渣由输送机出料口导入压榨机进料斗内，通过螺旋槽及螺旋压紧机构将栅渣压紧并脱水，沿输送管至出渣口，直接排放至集渣斗车中。压出的废水通过滤网和集水管经排水管排出。</w:t>
      </w:r>
    </w:p>
    <w:p w14:paraId="39C6B70E">
      <w:pPr>
        <w:pStyle w:val="97"/>
        <w:numPr>
          <w:ilvl w:val="0"/>
          <w:numId w:val="0"/>
        </w:numPr>
        <w:spacing w:beforeLines="0" w:afterLines="0" w:line="360" w:lineRule="auto"/>
        <w:ind w:firstLine="0" w:firstLineChars="0"/>
        <w:rPr>
          <w:rFonts w:hint="default" w:eastAsia="宋体" w:cs="宋体"/>
          <w:b w:val="0"/>
          <w:bCs w:val="0"/>
          <w:color w:val="auto"/>
          <w:sz w:val="24"/>
          <w:szCs w:val="24"/>
          <w:highlight w:val="none"/>
          <w:lang w:val="en-US" w:eastAsia="zh-CN"/>
        </w:rPr>
      </w:pPr>
      <w:r>
        <w:rPr>
          <w:rFonts w:hint="default" w:eastAsia="宋体" w:cs="宋体"/>
          <w:b w:val="0"/>
          <w:bCs w:val="0"/>
          <w:color w:val="auto"/>
          <w:sz w:val="24"/>
          <w:szCs w:val="24"/>
          <w:highlight w:val="none"/>
          <w:lang w:val="en-US" w:eastAsia="zh-CN"/>
        </w:rPr>
        <w:t>独特设计保证整体设备在不维修的情况下，其使用寿命至少在10年以上的；并能适应连续24小时运转。</w:t>
      </w:r>
    </w:p>
    <w:p w14:paraId="3DBC7980">
      <w:pPr>
        <w:pStyle w:val="97"/>
        <w:numPr>
          <w:ilvl w:val="0"/>
          <w:numId w:val="0"/>
        </w:numPr>
        <w:ind w:firstLine="0" w:firstLineChars="0"/>
        <w:rPr>
          <w:rFonts w:hint="default" w:eastAsia="宋体" w:cs="宋体"/>
          <w:b w:val="0"/>
          <w:bCs w:val="0"/>
          <w:color w:val="auto"/>
          <w:sz w:val="24"/>
          <w:szCs w:val="24"/>
          <w:highlight w:val="none"/>
          <w:lang w:val="en-US" w:eastAsia="zh-CN"/>
        </w:rPr>
      </w:pPr>
    </w:p>
    <w:p w14:paraId="67B45D9F">
      <w:pPr>
        <w:pStyle w:val="97"/>
        <w:numPr>
          <w:ilvl w:val="0"/>
          <w:numId w:val="0"/>
        </w:numPr>
        <w:ind w:firstLine="0" w:firstLineChars="0"/>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●3.3技术参数表</w:t>
      </w:r>
    </w:p>
    <w:tbl>
      <w:tblPr>
        <w:tblStyle w:val="62"/>
        <w:tblW w:w="0" w:type="auto"/>
        <w:tblInd w:w="108" w:type="dxa"/>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Layout w:type="fixed"/>
        <w:tblCellMar>
          <w:top w:w="0" w:type="dxa"/>
          <w:left w:w="108" w:type="dxa"/>
          <w:bottom w:w="0" w:type="dxa"/>
          <w:right w:w="108" w:type="dxa"/>
        </w:tblCellMar>
      </w:tblPr>
      <w:tblGrid>
        <w:gridCol w:w="3414"/>
        <w:gridCol w:w="1400"/>
        <w:gridCol w:w="4357"/>
      </w:tblGrid>
      <w:tr w14:paraId="1477F85A">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threeDEngrave" w:color="auto" w:sz="12" w:space="0"/>
              <w:left w:val="threeDEngrave" w:color="auto" w:sz="12" w:space="0"/>
              <w:bottom w:val="single" w:color="auto" w:sz="4" w:space="0"/>
              <w:right w:val="dotted" w:color="auto" w:sz="4" w:space="0"/>
              <w:tl2br w:val="nil"/>
              <w:tr2bl w:val="nil"/>
            </w:tcBorders>
            <w:noWrap w:val="0"/>
            <w:vAlign w:val="top"/>
          </w:tcPr>
          <w:p w14:paraId="3696FE1C">
            <w:pPr>
              <w:spacing w:line="30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名称</w:t>
            </w:r>
          </w:p>
        </w:tc>
        <w:tc>
          <w:tcPr>
            <w:tcW w:w="1400" w:type="dxa"/>
            <w:tcBorders>
              <w:top w:val="threeDEngrave" w:color="auto" w:sz="12" w:space="0"/>
              <w:left w:val="dotted" w:color="auto" w:sz="4" w:space="0"/>
              <w:bottom w:val="single" w:color="auto" w:sz="4" w:space="0"/>
              <w:right w:val="dotted" w:color="auto" w:sz="4" w:space="0"/>
              <w:tl2br w:val="nil"/>
              <w:tr2bl w:val="nil"/>
            </w:tcBorders>
            <w:noWrap w:val="0"/>
            <w:vAlign w:val="top"/>
          </w:tcPr>
          <w:p w14:paraId="7D719803">
            <w:pPr>
              <w:spacing w:line="30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单位</w:t>
            </w:r>
          </w:p>
        </w:tc>
        <w:tc>
          <w:tcPr>
            <w:tcW w:w="4357" w:type="dxa"/>
            <w:tcBorders>
              <w:top w:val="threeDEngrave" w:color="auto" w:sz="12" w:space="0"/>
              <w:left w:val="dotted" w:color="auto" w:sz="4" w:space="0"/>
              <w:bottom w:val="single" w:color="auto" w:sz="4" w:space="0"/>
              <w:right w:val="threeDEngrave" w:color="auto" w:sz="12" w:space="0"/>
              <w:tl2br w:val="nil"/>
              <w:tr2bl w:val="nil"/>
            </w:tcBorders>
            <w:noWrap w:val="0"/>
            <w:vAlign w:val="top"/>
          </w:tcPr>
          <w:p w14:paraId="469EC9A3">
            <w:pPr>
              <w:spacing w:line="300" w:lineRule="exact"/>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数值</w:t>
            </w:r>
          </w:p>
        </w:tc>
      </w:tr>
      <w:tr w14:paraId="7A6134BE">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738870AB">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783506AB">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台</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9711A30">
            <w:pPr>
              <w:spacing w:line="300" w:lineRule="exact"/>
              <w:jc w:val="left"/>
              <w:rPr>
                <w:rFonts w:hint="eastAsia" w:ascii="宋体" w:hAnsi="宋体" w:eastAsia="宋体"/>
                <w:color w:val="auto"/>
                <w:sz w:val="24"/>
                <w:szCs w:val="24"/>
                <w:highlight w:val="none"/>
                <w:lang w:eastAsia="zh-CN"/>
              </w:rPr>
            </w:pPr>
          </w:p>
        </w:tc>
      </w:tr>
      <w:tr w14:paraId="7B402713">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465D6F4">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结构形式</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4E4DCDAF">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840117B">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有轴</w:t>
            </w:r>
            <w:r>
              <w:rPr>
                <w:rFonts w:hint="eastAsia" w:ascii="宋体" w:hAnsi="宋体" w:eastAsia="宋体"/>
                <w:color w:val="auto"/>
                <w:sz w:val="24"/>
                <w:szCs w:val="24"/>
                <w:highlight w:val="none"/>
              </w:rPr>
              <w:t>螺旋</w:t>
            </w:r>
          </w:p>
        </w:tc>
      </w:tr>
      <w:tr w14:paraId="50C0B90C">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4916661">
            <w:pPr>
              <w:spacing w:line="3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安装角度</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3BD4F300">
            <w:pPr>
              <w:spacing w:line="30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7CAE3DB">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p>
        </w:tc>
      </w:tr>
      <w:tr w14:paraId="29B6F2E7">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B5CDF85">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螺旋直径</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1309F44E">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mm</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480EF0B">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250</w:t>
            </w:r>
          </w:p>
        </w:tc>
      </w:tr>
      <w:tr w14:paraId="3FA821A1">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6D64B69">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叶片厚度</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16D2AA1E">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mm</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6612D8C">
            <w:pPr>
              <w:spacing w:line="300" w:lineRule="exac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p>
        </w:tc>
      </w:tr>
      <w:tr w14:paraId="458B1E2C">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4EE8D52">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输送能力</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0296D97B">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w:t>
            </w:r>
            <w:r>
              <w:rPr>
                <w:rFonts w:hint="eastAsia" w:ascii="宋体" w:hAnsi="宋体" w:eastAsia="宋体"/>
                <w:color w:val="auto"/>
                <w:sz w:val="24"/>
                <w:szCs w:val="24"/>
                <w:highlight w:val="none"/>
                <w:vertAlign w:val="superscript"/>
              </w:rPr>
              <w:t>3</w:t>
            </w:r>
            <w:r>
              <w:rPr>
                <w:rFonts w:hint="eastAsia" w:ascii="宋体" w:hAnsi="宋体" w:eastAsia="宋体"/>
                <w:color w:val="auto"/>
                <w:sz w:val="24"/>
                <w:szCs w:val="24"/>
                <w:highlight w:val="none"/>
              </w:rPr>
              <w:t>/h</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D5487C0">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1.2</w:t>
            </w:r>
          </w:p>
        </w:tc>
      </w:tr>
      <w:tr w14:paraId="39ED2EF4">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3057D34">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进料口长度</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139293B1">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mm</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8AC629D">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与</w:t>
            </w:r>
            <w:r>
              <w:rPr>
                <w:rFonts w:hint="eastAsia" w:ascii="宋体" w:hAnsi="宋体" w:eastAsia="宋体"/>
                <w:color w:val="auto"/>
                <w:sz w:val="24"/>
                <w:szCs w:val="24"/>
                <w:highlight w:val="none"/>
                <w:lang w:eastAsia="zh-CN"/>
              </w:rPr>
              <w:t>输送机</w:t>
            </w:r>
            <w:r>
              <w:rPr>
                <w:rFonts w:hint="eastAsia" w:ascii="宋体" w:hAnsi="宋体" w:eastAsia="宋体"/>
                <w:color w:val="auto"/>
                <w:sz w:val="24"/>
                <w:szCs w:val="24"/>
                <w:highlight w:val="none"/>
              </w:rPr>
              <w:t>卸料口配套</w:t>
            </w:r>
          </w:p>
        </w:tc>
      </w:tr>
      <w:tr w14:paraId="45517A37">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CB0ADA5">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进料口高度</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27055C5E">
            <w:pPr>
              <w:spacing w:line="300" w:lineRule="exact"/>
              <w:jc w:val="center"/>
              <w:rPr>
                <w:rFonts w:hint="eastAsia" w:ascii="宋体" w:hAnsi="宋体" w:eastAsia="宋体"/>
                <w:color w:val="auto"/>
                <w:sz w:val="24"/>
                <w:szCs w:val="24"/>
                <w:highlight w:val="none"/>
                <w:vertAlign w:val="superscript"/>
              </w:rPr>
            </w:pPr>
            <w:r>
              <w:rPr>
                <w:rFonts w:hint="eastAsia" w:ascii="宋体" w:hAnsi="宋体" w:eastAsia="宋体"/>
                <w:color w:val="auto"/>
                <w:sz w:val="24"/>
                <w:szCs w:val="24"/>
                <w:highlight w:val="none"/>
              </w:rPr>
              <w:t>mm</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200CF54">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与</w:t>
            </w:r>
            <w:r>
              <w:rPr>
                <w:rFonts w:hint="eastAsia" w:ascii="宋体" w:hAnsi="宋体" w:eastAsia="宋体"/>
                <w:color w:val="auto"/>
                <w:sz w:val="24"/>
                <w:szCs w:val="24"/>
                <w:highlight w:val="none"/>
                <w:lang w:eastAsia="zh-CN"/>
              </w:rPr>
              <w:t>输送机</w:t>
            </w:r>
            <w:r>
              <w:rPr>
                <w:rFonts w:hint="eastAsia" w:ascii="宋体" w:hAnsi="宋体" w:eastAsia="宋体"/>
                <w:color w:val="auto"/>
                <w:sz w:val="24"/>
                <w:szCs w:val="24"/>
                <w:highlight w:val="none"/>
              </w:rPr>
              <w:t>卸料口配套</w:t>
            </w:r>
          </w:p>
        </w:tc>
      </w:tr>
      <w:tr w14:paraId="7669409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758A6EA8">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卸料口高度</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11D20027">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mm</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67FABD39">
            <w:pPr>
              <w:spacing w:line="300" w:lineRule="exact"/>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配套垃圾桶</w:t>
            </w:r>
          </w:p>
        </w:tc>
      </w:tr>
      <w:tr w14:paraId="11F74C21">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1C60248">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工作制</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25C17CA7">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h/d</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C748FF9">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24连续或间断运行</w:t>
            </w:r>
          </w:p>
        </w:tc>
      </w:tr>
      <w:tr w14:paraId="11F85D5F">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B0EDD06">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材料</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20CB6A37">
            <w:pPr>
              <w:spacing w:line="300" w:lineRule="exact"/>
              <w:jc w:val="center"/>
              <w:rPr>
                <w:rFonts w:hint="eastAsia" w:ascii="宋体" w:hAnsi="宋体" w:eastAsia="宋体"/>
                <w:color w:val="auto"/>
                <w:sz w:val="24"/>
                <w:szCs w:val="24"/>
                <w:highlight w:val="none"/>
              </w:rPr>
            </w:pP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B66CF93">
            <w:pPr>
              <w:spacing w:line="300" w:lineRule="exact"/>
              <w:jc w:val="left"/>
              <w:rPr>
                <w:rFonts w:hint="eastAsia" w:ascii="宋体" w:hAnsi="宋体" w:eastAsia="宋体"/>
                <w:color w:val="auto"/>
                <w:sz w:val="24"/>
                <w:szCs w:val="24"/>
                <w:highlight w:val="none"/>
              </w:rPr>
            </w:pPr>
          </w:p>
        </w:tc>
      </w:tr>
      <w:tr w14:paraId="4D68BC78">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27781DF">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螺旋体</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5AA3DC98">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19F80658">
            <w:pPr>
              <w:spacing w:line="300" w:lineRule="exac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不锈钢ASTM</w:t>
            </w:r>
            <w:r>
              <w:rPr>
                <w:rFonts w:hint="eastAsia" w:ascii="宋体" w:hAnsi="宋体" w:eastAsia="宋体"/>
                <w:color w:val="auto"/>
                <w:sz w:val="24"/>
                <w:szCs w:val="24"/>
                <w:highlight w:val="none"/>
                <w:lang w:val="en-US" w:eastAsia="zh-CN"/>
              </w:rPr>
              <w:t>316</w:t>
            </w:r>
          </w:p>
        </w:tc>
      </w:tr>
      <w:tr w14:paraId="195867E4">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7C6847B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进、出料口</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047B61E3">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50792A98">
            <w:pPr>
              <w:spacing w:line="300" w:lineRule="exac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不锈钢ASTM</w:t>
            </w:r>
            <w:r>
              <w:rPr>
                <w:rFonts w:hint="eastAsia" w:ascii="宋体" w:hAnsi="宋体" w:eastAsia="宋体"/>
                <w:color w:val="auto"/>
                <w:sz w:val="24"/>
                <w:szCs w:val="24"/>
                <w:highlight w:val="none"/>
                <w:lang w:val="en-US" w:eastAsia="zh-CN"/>
              </w:rPr>
              <w:t>316</w:t>
            </w:r>
          </w:p>
        </w:tc>
      </w:tr>
      <w:tr w14:paraId="24962DA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7E9E668">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罩盖</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2A076F9C">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7C3C77D">
            <w:pPr>
              <w:spacing w:line="300" w:lineRule="exac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不锈钢ASTM</w:t>
            </w:r>
            <w:r>
              <w:rPr>
                <w:rFonts w:hint="eastAsia" w:ascii="宋体" w:hAnsi="宋体" w:eastAsia="宋体"/>
                <w:color w:val="auto"/>
                <w:sz w:val="24"/>
                <w:szCs w:val="24"/>
                <w:highlight w:val="none"/>
                <w:lang w:val="en-US" w:eastAsia="zh-CN"/>
              </w:rPr>
              <w:t>316</w:t>
            </w:r>
          </w:p>
        </w:tc>
      </w:tr>
      <w:tr w14:paraId="005D675D">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2AED51C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输送槽</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3E32F0FD">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CF96706">
            <w:pPr>
              <w:spacing w:line="300" w:lineRule="exac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不锈钢ASTM</w:t>
            </w:r>
            <w:r>
              <w:rPr>
                <w:rFonts w:hint="eastAsia" w:ascii="宋体" w:hAnsi="宋体" w:eastAsia="宋体"/>
                <w:color w:val="auto"/>
                <w:sz w:val="24"/>
                <w:szCs w:val="24"/>
                <w:highlight w:val="none"/>
                <w:lang w:val="en-US" w:eastAsia="zh-CN"/>
              </w:rPr>
              <w:t>316</w:t>
            </w:r>
          </w:p>
        </w:tc>
      </w:tr>
      <w:tr w14:paraId="3E1A59CF">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2A124C42">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机架</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2726F92C">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61F00C3">
            <w:pPr>
              <w:spacing w:line="300" w:lineRule="exac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不锈钢ASTM3</w:t>
            </w:r>
            <w:r>
              <w:rPr>
                <w:rFonts w:hint="eastAsia" w:ascii="宋体" w:hAnsi="宋体" w:eastAsia="宋体"/>
                <w:color w:val="auto"/>
                <w:sz w:val="24"/>
                <w:szCs w:val="24"/>
                <w:highlight w:val="none"/>
                <w:lang w:val="en-US" w:eastAsia="zh-CN"/>
              </w:rPr>
              <w:t>16</w:t>
            </w:r>
          </w:p>
        </w:tc>
      </w:tr>
      <w:tr w14:paraId="291BEBD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F385654">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出口压力板</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3213D745">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4A134243">
            <w:pPr>
              <w:spacing w:line="300" w:lineRule="exac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不锈钢ASTM3</w:t>
            </w:r>
            <w:r>
              <w:rPr>
                <w:rFonts w:hint="eastAsia" w:ascii="宋体" w:hAnsi="宋体" w:eastAsia="宋体"/>
                <w:color w:val="auto"/>
                <w:sz w:val="24"/>
                <w:szCs w:val="24"/>
                <w:highlight w:val="none"/>
                <w:lang w:val="en-US" w:eastAsia="zh-CN"/>
              </w:rPr>
              <w:t>16</w:t>
            </w:r>
          </w:p>
        </w:tc>
      </w:tr>
      <w:tr w14:paraId="7EEB8AD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CE2E08B">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紧固件</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1CEC3597">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55B5E01">
            <w:pPr>
              <w:spacing w:line="300" w:lineRule="exact"/>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不锈钢ASTM</w:t>
            </w:r>
            <w:r>
              <w:rPr>
                <w:rFonts w:hint="eastAsia" w:ascii="宋体" w:hAnsi="宋体" w:eastAsia="宋体"/>
                <w:color w:val="auto"/>
                <w:sz w:val="24"/>
                <w:szCs w:val="24"/>
                <w:highlight w:val="none"/>
                <w:lang w:val="en-US" w:eastAsia="zh-CN"/>
              </w:rPr>
              <w:t>316</w:t>
            </w:r>
          </w:p>
        </w:tc>
      </w:tr>
      <w:tr w14:paraId="1C04E07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A2A4A6D">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驱动</w:t>
            </w:r>
            <w:r>
              <w:rPr>
                <w:rFonts w:hint="eastAsia" w:ascii="宋体" w:hAnsi="宋体" w:eastAsia="宋体"/>
                <w:color w:val="auto"/>
                <w:sz w:val="24"/>
                <w:szCs w:val="24"/>
                <w:highlight w:val="none"/>
                <w:lang w:val="en-US" w:eastAsia="zh-CN"/>
              </w:rPr>
              <w:t>电</w:t>
            </w:r>
            <w:r>
              <w:rPr>
                <w:rFonts w:hint="eastAsia" w:ascii="宋体" w:hAnsi="宋体" w:eastAsia="宋体"/>
                <w:color w:val="auto"/>
                <w:sz w:val="24"/>
                <w:szCs w:val="24"/>
                <w:highlight w:val="none"/>
              </w:rPr>
              <w:t>机制造商</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25BE4EAE">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65C02869">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SEW或</w:t>
            </w:r>
            <w:r>
              <w:rPr>
                <w:rFonts w:hint="eastAsia" w:ascii="宋体" w:hAnsi="宋体" w:eastAsia="宋体"/>
                <w:color w:val="auto"/>
                <w:sz w:val="24"/>
                <w:szCs w:val="24"/>
                <w:highlight w:val="none"/>
              </w:rPr>
              <w:t>NORD</w:t>
            </w:r>
          </w:p>
        </w:tc>
      </w:tr>
      <w:tr w14:paraId="7791BDA7">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C3482BA">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额定功率</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183829F8">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kW</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4DFEC79B">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w:t>
            </w:r>
          </w:p>
        </w:tc>
      </w:tr>
      <w:tr w14:paraId="41766CA3">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43974645">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额定电压</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00E90EA7">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V</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7541A7E">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380</w:t>
            </w:r>
          </w:p>
        </w:tc>
      </w:tr>
      <w:tr w14:paraId="2FB0EC8D">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D3A13EB">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绝缘等级</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6B28A181">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级</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5AE09844">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F</w:t>
            </w:r>
          </w:p>
        </w:tc>
      </w:tr>
      <w:tr w14:paraId="78AC1D9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B65CB97">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防护等级</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3680676D">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IP</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10E85165">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5</w:t>
            </w:r>
          </w:p>
        </w:tc>
      </w:tr>
      <w:tr w14:paraId="56144E0C">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3D55038">
            <w:pPr>
              <w:spacing w:line="30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转速</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408CC91E">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r/min</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9BCAB73">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1440</w:t>
            </w:r>
          </w:p>
        </w:tc>
      </w:tr>
      <w:tr w14:paraId="7B8435A0">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22EE4E9E">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减速机制造商</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7EEEBE6B">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80B96E1">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SEW或</w:t>
            </w:r>
            <w:r>
              <w:rPr>
                <w:rFonts w:hint="eastAsia" w:ascii="宋体" w:hAnsi="宋体" w:eastAsia="宋体"/>
                <w:color w:val="auto"/>
                <w:sz w:val="24"/>
                <w:szCs w:val="24"/>
                <w:highlight w:val="none"/>
              </w:rPr>
              <w:t>NORD</w:t>
            </w:r>
          </w:p>
        </w:tc>
      </w:tr>
      <w:tr w14:paraId="4C3010E4">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D257571">
            <w:pPr>
              <w:spacing w:line="3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类型</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0448D33C">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408BB5EB">
            <w:pPr>
              <w:spacing w:line="300" w:lineRule="exact"/>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平行轴斜齿轮</w:t>
            </w:r>
          </w:p>
        </w:tc>
      </w:tr>
      <w:tr w14:paraId="1800A8FE">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F072D70">
            <w:pPr>
              <w:spacing w:line="3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额定功率</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619C3339">
            <w:pPr>
              <w:spacing w:line="300" w:lineRule="exact"/>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Kw</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44357BC">
            <w:pPr>
              <w:spacing w:line="300" w:lineRule="exact"/>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w:t>
            </w:r>
          </w:p>
        </w:tc>
      </w:tr>
      <w:tr w14:paraId="17BA655C">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90378CA">
            <w:pPr>
              <w:spacing w:line="3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额定电压</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4B4B06FE">
            <w:pPr>
              <w:spacing w:line="300" w:lineRule="exact"/>
              <w:jc w:val="center"/>
              <w:rPr>
                <w:rFonts w:hint="eastAsia" w:ascii="宋体" w:hAnsi="宋体" w:eastAsia="宋体"/>
                <w:color w:val="auto"/>
                <w:sz w:val="24"/>
                <w:szCs w:val="24"/>
              </w:rPr>
            </w:pPr>
            <w:r>
              <w:rPr>
                <w:rFonts w:hint="eastAsia" w:ascii="宋体" w:hAnsi="宋体" w:eastAsia="宋体"/>
                <w:color w:val="auto"/>
                <w:sz w:val="24"/>
                <w:szCs w:val="24"/>
              </w:rPr>
              <w:t>--</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61636C66">
            <w:pPr>
              <w:spacing w:line="300" w:lineRule="exact"/>
              <w:jc w:val="left"/>
              <w:rPr>
                <w:rFonts w:hint="eastAsia" w:ascii="宋体" w:hAnsi="宋体" w:eastAsia="宋体"/>
                <w:color w:val="auto"/>
                <w:sz w:val="24"/>
                <w:szCs w:val="24"/>
              </w:rPr>
            </w:pPr>
            <w:r>
              <w:rPr>
                <w:rFonts w:hint="eastAsia" w:ascii="宋体" w:hAnsi="宋体" w:eastAsia="宋体"/>
                <w:color w:val="auto"/>
                <w:sz w:val="24"/>
                <w:szCs w:val="24"/>
              </w:rPr>
              <w:t>380V</w:t>
            </w:r>
          </w:p>
        </w:tc>
      </w:tr>
      <w:tr w14:paraId="0539B954">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ABB9418">
            <w:pPr>
              <w:spacing w:line="3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绝缘等级</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1856D938">
            <w:pPr>
              <w:spacing w:line="300" w:lineRule="exact"/>
              <w:jc w:val="center"/>
              <w:rPr>
                <w:rFonts w:hint="eastAsia" w:ascii="宋体" w:hAnsi="宋体" w:eastAsia="宋体"/>
                <w:color w:val="auto"/>
                <w:sz w:val="24"/>
                <w:szCs w:val="24"/>
              </w:rPr>
            </w:pPr>
            <w:r>
              <w:rPr>
                <w:rFonts w:hint="eastAsia" w:ascii="宋体" w:hAnsi="宋体" w:eastAsia="宋体"/>
                <w:color w:val="auto"/>
                <w:sz w:val="24"/>
                <w:szCs w:val="24"/>
              </w:rPr>
              <w:t>级</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6116DC9">
            <w:pPr>
              <w:spacing w:line="300" w:lineRule="exact"/>
              <w:jc w:val="left"/>
              <w:rPr>
                <w:rFonts w:hint="eastAsia" w:ascii="宋体" w:hAnsi="宋体" w:eastAsia="宋体"/>
                <w:color w:val="auto"/>
                <w:sz w:val="24"/>
                <w:szCs w:val="24"/>
              </w:rPr>
            </w:pPr>
            <w:r>
              <w:rPr>
                <w:rFonts w:hint="eastAsia" w:ascii="宋体" w:hAnsi="宋体" w:eastAsia="宋体"/>
                <w:color w:val="auto"/>
                <w:sz w:val="24"/>
                <w:szCs w:val="24"/>
              </w:rPr>
              <w:t>F</w:t>
            </w:r>
          </w:p>
        </w:tc>
      </w:tr>
      <w:tr w14:paraId="1229E2CD">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42E66B23">
            <w:pPr>
              <w:spacing w:line="3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防护等级</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39A68C4D">
            <w:pPr>
              <w:spacing w:line="300" w:lineRule="exact"/>
              <w:jc w:val="center"/>
              <w:rPr>
                <w:rFonts w:hint="eastAsia" w:ascii="宋体" w:hAnsi="宋体" w:eastAsia="宋体"/>
                <w:color w:val="auto"/>
                <w:sz w:val="24"/>
                <w:szCs w:val="24"/>
              </w:rPr>
            </w:pPr>
            <w:r>
              <w:rPr>
                <w:rFonts w:hint="eastAsia" w:ascii="宋体" w:hAnsi="宋体" w:eastAsia="宋体"/>
                <w:color w:val="auto"/>
                <w:sz w:val="24"/>
                <w:szCs w:val="24"/>
              </w:rPr>
              <w:t>IP</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0EC0D0E">
            <w:pPr>
              <w:spacing w:line="300" w:lineRule="exact"/>
              <w:jc w:val="left"/>
              <w:rPr>
                <w:rFonts w:hint="eastAsia" w:ascii="宋体" w:hAnsi="宋体" w:eastAsia="宋体"/>
                <w:color w:val="auto"/>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5</w:t>
            </w:r>
          </w:p>
        </w:tc>
      </w:tr>
      <w:tr w14:paraId="0EB8D33C">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414"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32039831">
            <w:pPr>
              <w:spacing w:line="3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eastAsia="zh-CN"/>
              </w:rPr>
              <w:t>电机</w:t>
            </w:r>
            <w:r>
              <w:rPr>
                <w:rFonts w:hint="eastAsia" w:ascii="宋体" w:hAnsi="宋体" w:eastAsia="宋体"/>
                <w:color w:val="auto"/>
                <w:sz w:val="24"/>
                <w:szCs w:val="24"/>
              </w:rPr>
              <w:t>转速</w:t>
            </w:r>
          </w:p>
        </w:tc>
        <w:tc>
          <w:tcPr>
            <w:tcW w:w="1400" w:type="dxa"/>
            <w:tcBorders>
              <w:top w:val="dotted" w:color="auto" w:sz="4" w:space="0"/>
              <w:left w:val="dotted" w:color="auto" w:sz="4" w:space="0"/>
              <w:bottom w:val="dotted" w:color="auto" w:sz="4" w:space="0"/>
              <w:right w:val="dotted" w:color="auto" w:sz="4" w:space="0"/>
              <w:tl2br w:val="nil"/>
              <w:tr2bl w:val="nil"/>
            </w:tcBorders>
            <w:noWrap w:val="0"/>
            <w:vAlign w:val="top"/>
          </w:tcPr>
          <w:p w14:paraId="57424C29">
            <w:pPr>
              <w:spacing w:line="300" w:lineRule="exact"/>
              <w:jc w:val="center"/>
              <w:rPr>
                <w:rFonts w:hint="eastAsia" w:ascii="宋体" w:hAnsi="宋体" w:eastAsia="宋体"/>
                <w:color w:val="auto"/>
                <w:sz w:val="24"/>
                <w:szCs w:val="24"/>
              </w:rPr>
            </w:pPr>
            <w:r>
              <w:rPr>
                <w:rFonts w:hint="eastAsia" w:ascii="宋体" w:hAnsi="宋体" w:eastAsia="宋体"/>
                <w:color w:val="auto"/>
                <w:sz w:val="24"/>
                <w:szCs w:val="24"/>
              </w:rPr>
              <w:t>r/min</w:t>
            </w:r>
          </w:p>
        </w:tc>
        <w:tc>
          <w:tcPr>
            <w:tcW w:w="4357"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0961E9A2">
            <w:pPr>
              <w:spacing w:line="300" w:lineRule="exact"/>
              <w:jc w:val="left"/>
              <w:rPr>
                <w:rFonts w:hint="eastAsia" w:ascii="宋体" w:hAnsi="宋体" w:eastAsia="宋体"/>
                <w:color w:val="auto"/>
                <w:sz w:val="24"/>
                <w:szCs w:val="24"/>
              </w:rPr>
            </w:pPr>
            <w:r>
              <w:rPr>
                <w:rFonts w:hint="eastAsia" w:ascii="宋体" w:hAnsi="宋体" w:eastAsia="宋体"/>
                <w:color w:val="auto"/>
                <w:sz w:val="24"/>
                <w:szCs w:val="24"/>
                <w:lang w:val="en-US" w:eastAsia="zh-CN"/>
              </w:rPr>
              <w:t>7.1</w:t>
            </w:r>
          </w:p>
        </w:tc>
      </w:tr>
      <w:tr w14:paraId="61B67B20">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414" w:type="dxa"/>
            <w:tcBorders>
              <w:top w:val="dotted" w:color="auto" w:sz="4" w:space="0"/>
              <w:left w:val="threeDEngrave" w:color="auto" w:sz="12" w:space="0"/>
              <w:bottom w:val="thickThinLargeGap" w:color="auto" w:sz="12" w:space="0"/>
              <w:right w:val="dotted" w:color="auto" w:sz="4" w:space="0"/>
              <w:tl2br w:val="nil"/>
              <w:tr2bl w:val="nil"/>
            </w:tcBorders>
            <w:noWrap w:val="0"/>
            <w:vAlign w:val="center"/>
          </w:tcPr>
          <w:p w14:paraId="12F4058C">
            <w:pPr>
              <w:snapToGrid w:val="0"/>
              <w:spacing w:line="30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性能</w:t>
            </w:r>
          </w:p>
        </w:tc>
        <w:tc>
          <w:tcPr>
            <w:tcW w:w="1400" w:type="dxa"/>
            <w:tcBorders>
              <w:top w:val="dotted" w:color="auto" w:sz="4" w:space="0"/>
              <w:left w:val="dotted" w:color="auto" w:sz="4" w:space="0"/>
              <w:bottom w:val="thickThinLargeGap" w:color="auto" w:sz="12" w:space="0"/>
              <w:right w:val="dotted" w:color="auto" w:sz="4" w:space="0"/>
              <w:tl2br w:val="nil"/>
              <w:tr2bl w:val="nil"/>
            </w:tcBorders>
            <w:noWrap w:val="0"/>
            <w:vAlign w:val="top"/>
          </w:tcPr>
          <w:p w14:paraId="310D6B7D">
            <w:pPr>
              <w:spacing w:line="300" w:lineRule="exact"/>
              <w:jc w:val="center"/>
              <w:rPr>
                <w:rFonts w:hint="eastAsia" w:ascii="宋体" w:hAnsi="宋体" w:eastAsia="宋体"/>
                <w:color w:val="auto"/>
                <w:sz w:val="24"/>
                <w:szCs w:val="24"/>
              </w:rPr>
            </w:pPr>
            <w:r>
              <w:rPr>
                <w:rFonts w:hint="eastAsia" w:ascii="宋体" w:hAnsi="宋体" w:eastAsia="宋体"/>
                <w:color w:val="auto"/>
                <w:sz w:val="24"/>
                <w:szCs w:val="24"/>
              </w:rPr>
              <w:t>--</w:t>
            </w:r>
          </w:p>
        </w:tc>
        <w:tc>
          <w:tcPr>
            <w:tcW w:w="4357" w:type="dxa"/>
            <w:tcBorders>
              <w:top w:val="dotted" w:color="auto" w:sz="4" w:space="0"/>
              <w:left w:val="dotted" w:color="auto" w:sz="4" w:space="0"/>
              <w:bottom w:val="thickThinLargeGap" w:color="auto" w:sz="12" w:space="0"/>
              <w:right w:val="threeDEngrave" w:color="auto" w:sz="12" w:space="0"/>
              <w:tl2br w:val="nil"/>
              <w:tr2bl w:val="nil"/>
            </w:tcBorders>
            <w:noWrap w:val="0"/>
            <w:vAlign w:val="center"/>
          </w:tcPr>
          <w:p w14:paraId="5729566F">
            <w:pPr>
              <w:spacing w:line="300" w:lineRule="exact"/>
              <w:jc w:val="left"/>
              <w:rPr>
                <w:rFonts w:hint="eastAsia" w:ascii="宋体" w:hAnsi="宋体" w:eastAsia="宋体"/>
                <w:color w:val="auto"/>
                <w:sz w:val="24"/>
                <w:szCs w:val="24"/>
              </w:rPr>
            </w:pPr>
            <w:r>
              <w:rPr>
                <w:rFonts w:hint="eastAsia" w:ascii="宋体" w:hAnsi="宋体" w:eastAsia="宋体"/>
                <w:color w:val="auto"/>
                <w:sz w:val="24"/>
                <w:szCs w:val="24"/>
              </w:rPr>
              <w:t>与</w:t>
            </w:r>
            <w:r>
              <w:rPr>
                <w:rFonts w:hint="eastAsia" w:ascii="宋体" w:hAnsi="宋体" w:eastAsia="宋体"/>
                <w:color w:val="auto"/>
                <w:sz w:val="24"/>
                <w:szCs w:val="24"/>
                <w:lang w:eastAsia="zh-CN"/>
              </w:rPr>
              <w:t>输送机</w:t>
            </w:r>
            <w:r>
              <w:rPr>
                <w:rFonts w:hint="eastAsia" w:ascii="宋体" w:hAnsi="宋体" w:eastAsia="宋体"/>
                <w:color w:val="auto"/>
                <w:sz w:val="24"/>
                <w:szCs w:val="24"/>
              </w:rPr>
              <w:t>联动</w:t>
            </w:r>
          </w:p>
        </w:tc>
      </w:tr>
    </w:tbl>
    <w:p w14:paraId="7AE3F801">
      <w:pPr>
        <w:pStyle w:val="97"/>
        <w:numPr>
          <w:ilvl w:val="0"/>
          <w:numId w:val="0"/>
        </w:numPr>
        <w:spacing w:beforeLines="0" w:afterLines="0" w:line="360" w:lineRule="auto"/>
        <w:ind w:firstLine="0" w:firstLineChars="0"/>
        <w:rPr>
          <w:rFonts w:hint="default" w:eastAsia="宋体" w:cs="宋体"/>
          <w:b w:val="0"/>
          <w:bCs w:val="0"/>
          <w:color w:val="auto"/>
          <w:sz w:val="24"/>
          <w:szCs w:val="24"/>
          <w:lang w:val="en-US" w:eastAsia="zh-CN"/>
        </w:rPr>
      </w:pPr>
    </w:p>
    <w:p w14:paraId="12A53A6B">
      <w:pPr>
        <w:pStyle w:val="97"/>
        <w:numPr>
          <w:ilvl w:val="0"/>
          <w:numId w:val="0"/>
        </w:numPr>
        <w:spacing w:beforeLines="0" w:afterLines="0" w:line="360" w:lineRule="auto"/>
        <w:ind w:firstLine="0" w:firstLineChars="0"/>
        <w:rPr>
          <w:rFonts w:hint="eastAsia" w:eastAsia="宋体" w:cs="宋体"/>
          <w:b w:val="0"/>
          <w:bCs w:val="0"/>
          <w:color w:val="auto"/>
          <w:sz w:val="24"/>
          <w:szCs w:val="24"/>
          <w:lang w:val="en-US" w:eastAsia="zh-CN"/>
        </w:rPr>
      </w:pPr>
      <w:r>
        <w:rPr>
          <w:rFonts w:hint="eastAsia" w:eastAsia="宋体" w:cs="宋体"/>
          <w:b w:val="0"/>
          <w:bCs w:val="0"/>
          <w:color w:val="auto"/>
          <w:sz w:val="24"/>
          <w:szCs w:val="24"/>
          <w:lang w:val="en-US" w:eastAsia="zh-CN"/>
        </w:rPr>
        <w:t>3.4主要部件及结构特点</w:t>
      </w:r>
    </w:p>
    <w:p w14:paraId="163DDEA1">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螺旋压榨机主要由驱动装置、轴承箱体、输送压榨筒、螺旋体、排水管、进料斗、冲洗装置、支架等几个部分构成。</w:t>
      </w:r>
    </w:p>
    <w:p w14:paraId="319FBC96">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A.</w:t>
      </w:r>
      <w:r>
        <w:rPr>
          <w:rFonts w:hint="default" w:eastAsia="宋体" w:cs="宋体"/>
          <w:b w:val="0"/>
          <w:bCs w:val="0"/>
          <w:color w:val="auto"/>
          <w:sz w:val="24"/>
          <w:szCs w:val="24"/>
          <w:lang w:val="en-US" w:eastAsia="zh-CN"/>
        </w:rPr>
        <w:t>驱动装置</w:t>
      </w:r>
    </w:p>
    <w:p w14:paraId="514F0B29">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压榨机驱动装置采用轴装式减速机的结构型式，即为平行轴斜齿轮式减速机，；其安装在机架端面轴承箱体上，减速机的出轴与螺旋体采用刚性连接；减速机轴承具有良好的润滑，其工作寿命不低于100000小时，齿轮设计符合ISO标准，材质为合金钢，热处理，齿面硬度不低于HRC58。</w:t>
      </w:r>
    </w:p>
    <w:p w14:paraId="1DA74766">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减速电机为法兰安装的异步感应电机，适用电源380V、3相、50HZ，防护等级为IP65，绝缘等级为F；并设有过载保护和报警装置。</w:t>
      </w:r>
    </w:p>
    <w:p w14:paraId="244F0680">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B.</w:t>
      </w:r>
      <w:r>
        <w:rPr>
          <w:rFonts w:hint="default" w:eastAsia="宋体" w:cs="宋体"/>
          <w:b w:val="0"/>
          <w:bCs w:val="0"/>
          <w:color w:val="auto"/>
          <w:sz w:val="24"/>
          <w:szCs w:val="24"/>
          <w:lang w:val="en-US" w:eastAsia="zh-CN"/>
        </w:rPr>
        <w:t>轴承箱体</w:t>
      </w:r>
    </w:p>
    <w:p w14:paraId="46A1ABB0">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采用35#钢铸造严格控制各挡尺寸及同心度要求。内设二组向心球轴承及单向推力球轴承，根据输送的方向，来确定向心轴和推力轴承的安装位置，确保螺旋体工作时的同心度及无串动现象，并设置加压油嘴。轴承采用脂润滑，其使用寿命不小于80000小时。</w:t>
      </w:r>
    </w:p>
    <w:p w14:paraId="722F7514">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C.</w:t>
      </w:r>
      <w:r>
        <w:rPr>
          <w:rFonts w:hint="default" w:eastAsia="宋体" w:cs="宋体"/>
          <w:b w:val="0"/>
          <w:bCs w:val="0"/>
          <w:color w:val="auto"/>
          <w:sz w:val="24"/>
          <w:szCs w:val="24"/>
          <w:lang w:val="en-US" w:eastAsia="zh-CN"/>
        </w:rPr>
        <w:t>输送压榨管</w:t>
      </w:r>
    </w:p>
    <w:p w14:paraId="05D21DBD">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采用不锈钢无缝管制作而成，筒身与出料管成45度夹角，通过螺旋轴的推力使物料向上推移，从而使物料相互挤压，脱干物料中的水，达到脱水的效果。进渣含水率≥90%，出渣含水率≤60%。</w:t>
      </w:r>
    </w:p>
    <w:p w14:paraId="7A39AA84">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D.</w:t>
      </w:r>
      <w:r>
        <w:rPr>
          <w:rFonts w:hint="default" w:eastAsia="宋体" w:cs="宋体"/>
          <w:b w:val="0"/>
          <w:bCs w:val="0"/>
          <w:color w:val="auto"/>
          <w:sz w:val="24"/>
          <w:szCs w:val="24"/>
          <w:lang w:val="en-US" w:eastAsia="zh-CN"/>
        </w:rPr>
        <w:t xml:space="preserve">螺旋体 </w:t>
      </w:r>
    </w:p>
    <w:p w14:paraId="0EDC3036">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螺旋体由螺旋叶片和螺旋轴焊接加工而成，螺旋叶片由不锈钢316经拉伸定型后，通过焊接加工而成，具有足够的强度和刚度，以保证在最大挤压作用下其变形量最小，螺旋叶片加工成变螺距形式，以提高栅渣的挤压脱水效果。叶片外周都进行切削加工，适合于带有粘性或长纤维的物料，可避免此类物质的堆积和缠绕问题。</w:t>
      </w:r>
    </w:p>
    <w:p w14:paraId="0CC47BD1">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E.</w:t>
      </w:r>
      <w:r>
        <w:rPr>
          <w:rFonts w:hint="default" w:eastAsia="宋体" w:cs="宋体"/>
          <w:b w:val="0"/>
          <w:bCs w:val="0"/>
          <w:color w:val="auto"/>
          <w:sz w:val="24"/>
          <w:szCs w:val="24"/>
          <w:lang w:val="en-US" w:eastAsia="zh-CN"/>
        </w:rPr>
        <w:t>进料斗及出料管</w:t>
      </w:r>
    </w:p>
    <w:p w14:paraId="362BB4B6">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进料斗采用不锈钢316板折制而成，压榨机上部设有进料斗，其安装位置和尺寸与输送机的出料口相匹配，压榨机末端设有一根弯形出料管，其出料口高度与垃圾桶相匹配，导出后垃圾外运。</w:t>
      </w:r>
    </w:p>
    <w:p w14:paraId="237737CA">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F.</w:t>
      </w:r>
      <w:r>
        <w:rPr>
          <w:rFonts w:hint="default" w:eastAsia="宋体" w:cs="宋体"/>
          <w:b w:val="0"/>
          <w:bCs w:val="0"/>
          <w:color w:val="auto"/>
          <w:sz w:val="24"/>
          <w:szCs w:val="24"/>
          <w:lang w:val="en-US" w:eastAsia="zh-CN"/>
        </w:rPr>
        <w:t>排水孔</w:t>
      </w:r>
    </w:p>
    <w:p w14:paraId="2D06A197">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在槽体底部设有排水孔，与格栅井相连接，便于设备清洗时的污水排放及工作时将栅渣在输送过程中滤出的污水通过它原流回到格栅井中，从而避免了机内积水现象。</w:t>
      </w:r>
    </w:p>
    <w:p w14:paraId="6E62F3F8">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p>
    <w:p w14:paraId="0DDE6FA7">
      <w:pPr>
        <w:pStyle w:val="97"/>
        <w:numPr>
          <w:ilvl w:val="0"/>
          <w:numId w:val="0"/>
        </w:numPr>
        <w:spacing w:beforeLines="0" w:afterLines="0"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G.</w:t>
      </w:r>
      <w:r>
        <w:rPr>
          <w:rFonts w:hint="default" w:eastAsia="宋体" w:cs="宋体"/>
          <w:b w:val="0"/>
          <w:bCs w:val="0"/>
          <w:color w:val="auto"/>
          <w:sz w:val="24"/>
          <w:szCs w:val="24"/>
          <w:lang w:val="en-US" w:eastAsia="zh-CN"/>
        </w:rPr>
        <w:t>支架</w:t>
      </w:r>
    </w:p>
    <w:p w14:paraId="797A957C">
      <w:pPr>
        <w:pStyle w:val="97"/>
        <w:numPr>
          <w:ilvl w:val="0"/>
          <w:numId w:val="0"/>
        </w:numPr>
        <w:spacing w:beforeLines="0" w:afterLines="0" w:line="360" w:lineRule="auto"/>
        <w:ind w:firstLine="480" w:firstLineChars="200"/>
        <w:rPr>
          <w:rFonts w:hint="eastAsia" w:eastAsia="宋体" w:cs="宋体"/>
          <w:b/>
          <w:bCs/>
          <w:color w:val="auto"/>
          <w:sz w:val="24"/>
          <w:szCs w:val="24"/>
          <w:lang w:val="en-US" w:eastAsia="zh-CN"/>
        </w:rPr>
      </w:pPr>
      <w:r>
        <w:rPr>
          <w:rFonts w:hint="default" w:eastAsia="宋体" w:cs="宋体"/>
          <w:b w:val="0"/>
          <w:bCs w:val="0"/>
          <w:color w:val="auto"/>
          <w:sz w:val="24"/>
          <w:szCs w:val="24"/>
          <w:lang w:val="en-US" w:eastAsia="zh-CN"/>
        </w:rPr>
        <w:t>压榨机支架采用不锈钢焊接成一个刚性构件，其内部之间的连接支撑采用连续焊接，使两侧端板与U型槽焊接成一体。</w:t>
      </w:r>
    </w:p>
    <w:p w14:paraId="1D7C339B">
      <w:pPr>
        <w:pStyle w:val="97"/>
        <w:numPr>
          <w:ilvl w:val="0"/>
          <w:numId w:val="0"/>
        </w:numPr>
        <w:spacing w:beforeLines="0" w:afterLines="0" w:line="360" w:lineRule="auto"/>
        <w:ind w:firstLine="482" w:firstLineChars="200"/>
        <w:rPr>
          <w:rFonts w:hint="eastAsia" w:eastAsia="宋体" w:cs="宋体"/>
          <w:b/>
          <w:bCs/>
          <w:color w:val="auto"/>
          <w:sz w:val="24"/>
          <w:szCs w:val="24"/>
          <w:lang w:val="en-US" w:eastAsia="zh-CN"/>
        </w:rPr>
      </w:pPr>
    </w:p>
    <w:p w14:paraId="6FF2C8C6">
      <w:pPr>
        <w:pStyle w:val="97"/>
        <w:numPr>
          <w:ilvl w:val="0"/>
          <w:numId w:val="0"/>
        </w:numPr>
        <w:spacing w:beforeLines="0" w:afterLines="0" w:line="360" w:lineRule="auto"/>
        <w:ind w:firstLine="0" w:firstLineChars="0"/>
        <w:rPr>
          <w:rFonts w:hint="default" w:eastAsia="宋体" w:cs="宋体"/>
          <w:b/>
          <w:bCs/>
          <w:color w:val="auto"/>
          <w:sz w:val="24"/>
          <w:szCs w:val="24"/>
          <w:lang w:val="en-US" w:eastAsia="zh-CN"/>
        </w:rPr>
      </w:pPr>
      <w:r>
        <w:rPr>
          <w:rFonts w:hint="eastAsia" w:eastAsia="宋体" w:cs="宋体"/>
          <w:b/>
          <w:bCs/>
          <w:color w:val="auto"/>
          <w:sz w:val="24"/>
          <w:szCs w:val="24"/>
          <w:lang w:val="en-US" w:eastAsia="zh-CN"/>
        </w:rPr>
        <w:t>4、</w:t>
      </w:r>
      <w:r>
        <w:rPr>
          <w:rFonts w:hint="default" w:eastAsia="宋体" w:cs="宋体"/>
          <w:b/>
          <w:bCs/>
          <w:color w:val="auto"/>
          <w:sz w:val="24"/>
          <w:szCs w:val="24"/>
          <w:lang w:val="en-US" w:eastAsia="zh-CN"/>
        </w:rPr>
        <w:t>无轴螺旋输送机</w:t>
      </w:r>
    </w:p>
    <w:p w14:paraId="3F9644F1">
      <w:pPr>
        <w:pStyle w:val="97"/>
        <w:numPr>
          <w:ilvl w:val="0"/>
          <w:numId w:val="0"/>
        </w:numPr>
        <w:spacing w:beforeLines="0" w:afterLines="0" w:line="360" w:lineRule="auto"/>
        <w:ind w:firstLine="0" w:firstLineChars="0"/>
        <w:rPr>
          <w:rFonts w:hint="default" w:ascii="宋体" w:hAnsi="宋体" w:eastAsia="宋体"/>
          <w:b/>
          <w:bCs/>
          <w:color w:val="auto"/>
          <w:sz w:val="24"/>
          <w:szCs w:val="24"/>
          <w:lang w:val="en-US" w:eastAsia="zh-CN"/>
        </w:rPr>
      </w:pPr>
      <w:r>
        <w:rPr>
          <w:rFonts w:hint="eastAsia" w:eastAsia="宋体"/>
          <w:b/>
          <w:bCs/>
          <w:color w:val="auto"/>
          <w:sz w:val="24"/>
          <w:szCs w:val="24"/>
          <w:lang w:val="en-US" w:eastAsia="zh-CN"/>
        </w:rPr>
        <w:t>4.1</w:t>
      </w:r>
      <w:r>
        <w:rPr>
          <w:rFonts w:hint="default" w:ascii="宋体" w:hAnsi="宋体" w:eastAsia="宋体"/>
          <w:b/>
          <w:bCs/>
          <w:color w:val="auto"/>
          <w:sz w:val="24"/>
          <w:szCs w:val="24"/>
          <w:lang w:val="en-US" w:eastAsia="zh-CN"/>
        </w:rPr>
        <w:t>供货范围</w:t>
      </w:r>
    </w:p>
    <w:p w14:paraId="17AEAB9D">
      <w:pPr>
        <w:pStyle w:val="97"/>
        <w:numPr>
          <w:ilvl w:val="0"/>
          <w:numId w:val="0"/>
        </w:numPr>
        <w:spacing w:beforeLines="0" w:afterLines="0" w:line="360" w:lineRule="auto"/>
        <w:ind w:firstLine="480" w:firstLineChars="200"/>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无轴螺旋输送机为成套设备，整套装置包括如下：</w:t>
      </w:r>
    </w:p>
    <w:p w14:paraId="6DA87F9E">
      <w:pPr>
        <w:pStyle w:val="97"/>
        <w:numPr>
          <w:ilvl w:val="0"/>
          <w:numId w:val="0"/>
        </w:numPr>
        <w:spacing w:beforeLines="0" w:afterLines="0" w:line="360" w:lineRule="auto"/>
        <w:ind w:firstLine="480" w:firstLineChars="200"/>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驱动装置；</w:t>
      </w:r>
    </w:p>
    <w:p w14:paraId="7630AC6A">
      <w:pPr>
        <w:pStyle w:val="97"/>
        <w:numPr>
          <w:ilvl w:val="0"/>
          <w:numId w:val="0"/>
        </w:numPr>
        <w:spacing w:beforeLines="0" w:afterLines="0" w:line="360" w:lineRule="auto"/>
        <w:ind w:firstLine="480" w:firstLineChars="200"/>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U型输送槽、盖板、进料斗及出料口、支架；</w:t>
      </w:r>
    </w:p>
    <w:p w14:paraId="481F21F2">
      <w:pPr>
        <w:pStyle w:val="97"/>
        <w:numPr>
          <w:ilvl w:val="0"/>
          <w:numId w:val="0"/>
        </w:numPr>
        <w:spacing w:beforeLines="0" w:afterLines="0" w:line="360" w:lineRule="auto"/>
        <w:ind w:firstLine="480" w:firstLineChars="200"/>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螺旋叶片、耐磨衬圈等组合；</w:t>
      </w:r>
    </w:p>
    <w:p w14:paraId="4BC13FE9">
      <w:pPr>
        <w:pStyle w:val="97"/>
        <w:numPr>
          <w:ilvl w:val="0"/>
          <w:numId w:val="0"/>
        </w:numPr>
        <w:spacing w:beforeLines="0" w:afterLines="0" w:line="360" w:lineRule="auto"/>
        <w:ind w:firstLine="480" w:firstLineChars="200"/>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此外配备冲洗管接口及基础螺栓等安全和有效运行所必须的附件及工具。</w:t>
      </w:r>
    </w:p>
    <w:p w14:paraId="534BFCF4">
      <w:pPr>
        <w:pStyle w:val="97"/>
        <w:numPr>
          <w:ilvl w:val="0"/>
          <w:numId w:val="0"/>
        </w:numPr>
        <w:spacing w:beforeLines="0" w:afterLines="0" w:line="360" w:lineRule="auto"/>
        <w:ind w:firstLine="482" w:firstLineChars="200"/>
        <w:rPr>
          <w:rFonts w:hint="eastAsia" w:eastAsia="宋体"/>
          <w:b/>
          <w:bCs/>
          <w:color w:val="auto"/>
          <w:sz w:val="24"/>
          <w:szCs w:val="24"/>
          <w:lang w:val="en-US" w:eastAsia="zh-CN"/>
        </w:rPr>
      </w:pPr>
      <w:r>
        <w:rPr>
          <w:rFonts w:hint="eastAsia" w:eastAsia="宋体"/>
          <w:b/>
          <w:bCs/>
          <w:color w:val="auto"/>
          <w:sz w:val="24"/>
          <w:szCs w:val="24"/>
          <w:lang w:val="en-US" w:eastAsia="zh-CN"/>
        </w:rPr>
        <w:t>4.2简述及工作原理</w:t>
      </w:r>
    </w:p>
    <w:p w14:paraId="0F698EB6">
      <w:pPr>
        <w:pStyle w:val="97"/>
        <w:numPr>
          <w:ilvl w:val="0"/>
          <w:numId w:val="0"/>
        </w:numPr>
        <w:spacing w:beforeLines="0" w:afterLines="0" w:line="360" w:lineRule="auto"/>
        <w:ind w:firstLine="480" w:firstLineChars="200"/>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螺旋输送压实机应采用无轴螺旋叶片的结构形式，它输送并兼有连续和密封输送的优点，主要由进料区、螺旋输送区、出料区和排水区构成。其主要原理是通过一个强度极高的螺旋体来完成，其长度将符合格栅除污机的卸渣口相连接，以保证栅渣能顺利进入输送压榨机内，当栅渣进入进料斗，通过螺旋叶片将栅渣推移至出料口，整个输送区内设有耐磨衬圈，在出料口落入压榨机内，格栅垃圾带出的水则通过格栅顶端出水口流入格栅井中。</w:t>
      </w:r>
    </w:p>
    <w:p w14:paraId="6EB99FE3">
      <w:pPr>
        <w:pStyle w:val="97"/>
        <w:numPr>
          <w:ilvl w:val="0"/>
          <w:numId w:val="0"/>
        </w:numPr>
        <w:ind w:firstLine="0"/>
        <w:rPr>
          <w:rFonts w:hint="default" w:ascii="宋体" w:hAnsi="宋体" w:eastAsia="宋体"/>
          <w:color w:val="auto"/>
          <w:sz w:val="24"/>
          <w:szCs w:val="24"/>
          <w:lang w:val="en-US" w:eastAsia="zh-CN"/>
        </w:rPr>
      </w:pPr>
    </w:p>
    <w:p w14:paraId="00A5D585">
      <w:pPr>
        <w:pStyle w:val="97"/>
        <w:numPr>
          <w:ilvl w:val="0"/>
          <w:numId w:val="0"/>
        </w:numPr>
        <w:ind w:firstLine="0"/>
        <w:rPr>
          <w:rFonts w:hint="eastAsia" w:eastAsia="宋体"/>
          <w:b/>
          <w:bCs/>
          <w:color w:val="auto"/>
          <w:sz w:val="24"/>
          <w:szCs w:val="24"/>
          <w:lang w:val="en-US" w:eastAsia="zh-CN"/>
        </w:rPr>
      </w:pPr>
      <w:r>
        <w:rPr>
          <w:rFonts w:hint="eastAsia" w:eastAsia="宋体"/>
          <w:b/>
          <w:bCs/>
          <w:color w:val="auto"/>
          <w:sz w:val="24"/>
          <w:szCs w:val="24"/>
          <w:lang w:val="en-US" w:eastAsia="zh-CN"/>
        </w:rPr>
        <w:t>●4.3 技术参数表</w:t>
      </w:r>
    </w:p>
    <w:tbl>
      <w:tblPr>
        <w:tblStyle w:val="62"/>
        <w:tblW w:w="0" w:type="auto"/>
        <w:tblInd w:w="108" w:type="dxa"/>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Layout w:type="fixed"/>
        <w:tblCellMar>
          <w:top w:w="0" w:type="dxa"/>
          <w:left w:w="108" w:type="dxa"/>
          <w:bottom w:w="0" w:type="dxa"/>
          <w:right w:w="108" w:type="dxa"/>
        </w:tblCellMar>
      </w:tblPr>
      <w:tblGrid>
        <w:gridCol w:w="3689"/>
        <w:gridCol w:w="1862"/>
        <w:gridCol w:w="3620"/>
      </w:tblGrid>
      <w:tr w14:paraId="62C3EAFD">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blHeader/>
        </w:trPr>
        <w:tc>
          <w:tcPr>
            <w:tcW w:w="3689" w:type="dxa"/>
            <w:tcBorders>
              <w:top w:val="threeDEngrave" w:color="auto" w:sz="12" w:space="0"/>
              <w:left w:val="threeDEngrave" w:color="auto" w:sz="12" w:space="0"/>
              <w:bottom w:val="single" w:color="auto" w:sz="4" w:space="0"/>
              <w:right w:val="dotted" w:color="auto" w:sz="4" w:space="0"/>
              <w:tl2br w:val="nil"/>
              <w:tr2bl w:val="nil"/>
            </w:tcBorders>
            <w:shd w:val="clear" w:color="auto" w:fill="F1F1F1"/>
            <w:noWrap w:val="0"/>
            <w:vAlign w:val="top"/>
          </w:tcPr>
          <w:p w14:paraId="6EAA6664">
            <w:pPr>
              <w:spacing w:line="300" w:lineRule="exact"/>
              <w:jc w:val="center"/>
              <w:rPr>
                <w:rFonts w:hint="eastAsia" w:ascii="宋体" w:hAnsi="宋体" w:eastAsia="宋体"/>
                <w:b/>
                <w:color w:val="auto"/>
                <w:sz w:val="24"/>
                <w:szCs w:val="22"/>
              </w:rPr>
            </w:pPr>
            <w:r>
              <w:rPr>
                <w:rFonts w:hint="eastAsia" w:ascii="宋体" w:hAnsi="宋体" w:eastAsia="宋体"/>
                <w:b/>
                <w:color w:val="auto"/>
                <w:sz w:val="24"/>
                <w:szCs w:val="22"/>
              </w:rPr>
              <w:t>名称</w:t>
            </w:r>
          </w:p>
        </w:tc>
        <w:tc>
          <w:tcPr>
            <w:tcW w:w="1862" w:type="dxa"/>
            <w:tcBorders>
              <w:top w:val="threeDEngrave" w:color="auto" w:sz="12" w:space="0"/>
              <w:left w:val="dotted" w:color="auto" w:sz="4" w:space="0"/>
              <w:bottom w:val="single" w:color="auto" w:sz="4" w:space="0"/>
              <w:right w:val="dotted" w:color="auto" w:sz="4" w:space="0"/>
              <w:tl2br w:val="nil"/>
              <w:tr2bl w:val="nil"/>
            </w:tcBorders>
            <w:shd w:val="clear" w:color="auto" w:fill="F1F1F1"/>
            <w:noWrap w:val="0"/>
            <w:vAlign w:val="top"/>
          </w:tcPr>
          <w:p w14:paraId="6C0C7DA7">
            <w:pPr>
              <w:spacing w:line="300" w:lineRule="exact"/>
              <w:jc w:val="center"/>
              <w:rPr>
                <w:rFonts w:hint="eastAsia" w:ascii="宋体" w:hAnsi="宋体" w:eastAsia="宋体"/>
                <w:b/>
                <w:color w:val="auto"/>
                <w:sz w:val="24"/>
                <w:szCs w:val="22"/>
              </w:rPr>
            </w:pPr>
            <w:r>
              <w:rPr>
                <w:rFonts w:hint="eastAsia" w:ascii="宋体" w:hAnsi="宋体" w:eastAsia="宋体"/>
                <w:b/>
                <w:color w:val="auto"/>
                <w:sz w:val="24"/>
                <w:szCs w:val="22"/>
              </w:rPr>
              <w:t>单位</w:t>
            </w:r>
          </w:p>
        </w:tc>
        <w:tc>
          <w:tcPr>
            <w:tcW w:w="3620" w:type="dxa"/>
            <w:tcBorders>
              <w:top w:val="threeDEngrave" w:color="auto" w:sz="12" w:space="0"/>
              <w:left w:val="dotted" w:color="auto" w:sz="4" w:space="0"/>
              <w:bottom w:val="single" w:color="auto" w:sz="4" w:space="0"/>
              <w:right w:val="threeDEngrave" w:color="auto" w:sz="12" w:space="0"/>
              <w:tl2br w:val="nil"/>
              <w:tr2bl w:val="nil"/>
            </w:tcBorders>
            <w:shd w:val="clear" w:color="auto" w:fill="F1F1F1"/>
            <w:noWrap w:val="0"/>
            <w:vAlign w:val="top"/>
          </w:tcPr>
          <w:p w14:paraId="1993A465">
            <w:pPr>
              <w:spacing w:line="300" w:lineRule="exact"/>
              <w:jc w:val="center"/>
              <w:rPr>
                <w:rFonts w:hint="eastAsia" w:ascii="宋体" w:hAnsi="宋体" w:eastAsia="宋体"/>
                <w:b/>
                <w:color w:val="auto"/>
                <w:sz w:val="24"/>
                <w:szCs w:val="22"/>
              </w:rPr>
            </w:pPr>
            <w:r>
              <w:rPr>
                <w:rFonts w:hint="eastAsia" w:ascii="宋体" w:hAnsi="宋体" w:eastAsia="宋体"/>
                <w:b/>
                <w:color w:val="auto"/>
                <w:sz w:val="24"/>
                <w:szCs w:val="22"/>
              </w:rPr>
              <w:t>数值</w:t>
            </w:r>
          </w:p>
        </w:tc>
      </w:tr>
      <w:tr w14:paraId="045CA5B0">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2746BF56">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型号</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633CF9E2">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5CEFA9C">
            <w:pPr>
              <w:spacing w:line="300" w:lineRule="exact"/>
              <w:jc w:val="left"/>
              <w:rPr>
                <w:rFonts w:hint="eastAsia" w:ascii="宋体" w:hAnsi="宋体" w:eastAsia="宋体"/>
                <w:color w:val="auto"/>
                <w:sz w:val="24"/>
                <w:szCs w:val="22"/>
              </w:rPr>
            </w:pPr>
          </w:p>
        </w:tc>
      </w:tr>
      <w:tr w14:paraId="6E3B4644">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4E69E3A">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数量</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51B5A4B9">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台</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7604007">
            <w:pPr>
              <w:spacing w:line="300" w:lineRule="exact"/>
              <w:jc w:val="left"/>
              <w:rPr>
                <w:rFonts w:hint="eastAsia" w:ascii="宋体" w:hAnsi="宋体" w:eastAsia="宋体"/>
                <w:color w:val="auto"/>
                <w:sz w:val="24"/>
                <w:szCs w:val="22"/>
                <w:lang w:eastAsia="zh-CN"/>
              </w:rPr>
            </w:pPr>
          </w:p>
        </w:tc>
      </w:tr>
      <w:tr w14:paraId="38F767EC">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24E5B781">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结构形式</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7BE76E47">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184CA46B">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无轴螺旋</w:t>
            </w:r>
          </w:p>
        </w:tc>
      </w:tr>
      <w:tr w14:paraId="18BDD19A">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CECB956">
            <w:pPr>
              <w:spacing w:line="300" w:lineRule="exact"/>
              <w:ind w:firstLine="480" w:firstLineChars="200"/>
              <w:jc w:val="left"/>
              <w:rPr>
                <w:rFonts w:hint="eastAsia" w:ascii="宋体" w:hAnsi="宋体" w:eastAsia="宋体"/>
                <w:color w:val="auto"/>
                <w:sz w:val="24"/>
                <w:szCs w:val="22"/>
                <w:lang w:eastAsia="zh-CN"/>
              </w:rPr>
            </w:pPr>
            <w:r>
              <w:rPr>
                <w:rFonts w:hint="eastAsia" w:ascii="宋体" w:hAnsi="宋体" w:eastAsia="宋体"/>
                <w:color w:val="auto"/>
                <w:sz w:val="24"/>
                <w:szCs w:val="22"/>
                <w:lang w:eastAsia="zh-CN"/>
              </w:rPr>
              <w:t>安装角度</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26D67CB6">
            <w:pPr>
              <w:spacing w:line="300" w:lineRule="exact"/>
              <w:jc w:val="center"/>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033BA180">
            <w:pPr>
              <w:spacing w:line="300" w:lineRule="exact"/>
              <w:jc w:val="left"/>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0</w:t>
            </w:r>
          </w:p>
        </w:tc>
      </w:tr>
      <w:tr w14:paraId="1B8B9D4F">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79F03EDF">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螺旋直径</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34754737">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mm</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1053BABE">
            <w:pPr>
              <w:spacing w:line="300" w:lineRule="exact"/>
              <w:jc w:val="left"/>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260</w:t>
            </w:r>
          </w:p>
        </w:tc>
      </w:tr>
      <w:tr w14:paraId="5262F86C">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7B96C20">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叶片厚度</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7D90311A">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mm</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1571B7F">
            <w:pPr>
              <w:spacing w:line="300" w:lineRule="exact"/>
              <w:jc w:val="left"/>
              <w:rPr>
                <w:rFonts w:hint="default" w:ascii="宋体" w:hAnsi="宋体" w:eastAsia="宋体"/>
                <w:color w:val="auto"/>
                <w:sz w:val="24"/>
                <w:szCs w:val="22"/>
                <w:lang w:val="en-US" w:eastAsia="zh-CN"/>
              </w:rPr>
            </w:pPr>
            <w:r>
              <w:rPr>
                <w:rFonts w:hint="eastAsia" w:ascii="宋体" w:hAnsi="宋体" w:eastAsia="宋体"/>
                <w:color w:val="auto"/>
                <w:sz w:val="24"/>
                <w:szCs w:val="22"/>
                <w:lang w:val="en-US" w:eastAsia="zh-CN"/>
              </w:rPr>
              <w:t>20</w:t>
            </w:r>
          </w:p>
        </w:tc>
      </w:tr>
      <w:tr w14:paraId="031109B3">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A4B0775">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输送长度</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7EF74C36">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lang w:val="en-US" w:eastAsia="zh-CN"/>
              </w:rPr>
              <w:t>m</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5F51BC65">
            <w:pPr>
              <w:spacing w:line="300" w:lineRule="exact"/>
              <w:jc w:val="left"/>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10</w:t>
            </w:r>
          </w:p>
        </w:tc>
      </w:tr>
      <w:tr w14:paraId="50E2E0B5">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9A07255">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输送能力</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1A2F8C6C">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m</w:t>
            </w:r>
            <w:r>
              <w:rPr>
                <w:rFonts w:hint="eastAsia" w:ascii="宋体" w:hAnsi="宋体" w:eastAsia="宋体"/>
                <w:color w:val="auto"/>
                <w:sz w:val="24"/>
                <w:szCs w:val="22"/>
                <w:vertAlign w:val="superscript"/>
              </w:rPr>
              <w:t>3</w:t>
            </w:r>
            <w:r>
              <w:rPr>
                <w:rFonts w:hint="eastAsia" w:ascii="宋体" w:hAnsi="宋体" w:eastAsia="宋体"/>
                <w:color w:val="auto"/>
                <w:sz w:val="24"/>
                <w:szCs w:val="22"/>
              </w:rPr>
              <w:t>/h</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044936FC">
            <w:pPr>
              <w:spacing w:line="300" w:lineRule="exact"/>
              <w:jc w:val="left"/>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1.2</w:t>
            </w:r>
          </w:p>
        </w:tc>
      </w:tr>
      <w:tr w14:paraId="608174FE">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4F8C6E11">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进料口长度</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73A8243D">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mm</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00782A97">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与格栅卸料口配套</w:t>
            </w:r>
          </w:p>
        </w:tc>
      </w:tr>
      <w:tr w14:paraId="54E7092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3B7F5160">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进料口高度</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0241E01F">
            <w:pPr>
              <w:spacing w:line="300" w:lineRule="exact"/>
              <w:jc w:val="center"/>
              <w:rPr>
                <w:rFonts w:hint="eastAsia" w:ascii="宋体" w:hAnsi="宋体" w:eastAsia="宋体"/>
                <w:color w:val="auto"/>
                <w:sz w:val="24"/>
                <w:szCs w:val="22"/>
                <w:vertAlign w:val="superscript"/>
              </w:rPr>
            </w:pPr>
            <w:r>
              <w:rPr>
                <w:rFonts w:hint="eastAsia" w:ascii="宋体" w:hAnsi="宋体" w:eastAsia="宋体"/>
                <w:color w:val="auto"/>
                <w:sz w:val="24"/>
                <w:szCs w:val="22"/>
              </w:rPr>
              <w:t>mm</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EFBBCEF">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与格栅卸料口配套</w:t>
            </w:r>
          </w:p>
        </w:tc>
      </w:tr>
      <w:tr w14:paraId="7BF35AC1">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235CEA2">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卸料口高度</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62DBA1DF">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mm</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543E3821">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lang w:eastAsia="zh-CN"/>
              </w:rPr>
              <w:t>与压榨机配套</w:t>
            </w:r>
          </w:p>
        </w:tc>
      </w:tr>
      <w:tr w14:paraId="089FFA8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B4BE2BD">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工作制</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376895CB">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h/d</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18039B25">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24连续或间断运行</w:t>
            </w:r>
          </w:p>
        </w:tc>
      </w:tr>
      <w:tr w14:paraId="0D3E86F8">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DEBFE17">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材料</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5426FEA4">
            <w:pPr>
              <w:spacing w:line="300" w:lineRule="exact"/>
              <w:jc w:val="center"/>
              <w:rPr>
                <w:rFonts w:hint="eastAsia" w:ascii="宋体" w:hAnsi="宋体" w:eastAsia="宋体"/>
                <w:color w:val="auto"/>
                <w:sz w:val="24"/>
                <w:szCs w:val="22"/>
              </w:rPr>
            </w:pP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65A27BD3">
            <w:pPr>
              <w:spacing w:line="300" w:lineRule="exact"/>
              <w:jc w:val="left"/>
              <w:rPr>
                <w:rFonts w:hint="eastAsia" w:ascii="宋体" w:hAnsi="宋体" w:eastAsia="宋体"/>
                <w:color w:val="auto"/>
                <w:sz w:val="24"/>
                <w:szCs w:val="22"/>
              </w:rPr>
            </w:pPr>
          </w:p>
        </w:tc>
      </w:tr>
      <w:tr w14:paraId="2AD3E37C">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3E02E189">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螺旋体</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35EE9A24">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5F1F37E">
            <w:pPr>
              <w:spacing w:line="300" w:lineRule="exact"/>
              <w:jc w:val="left"/>
              <w:rPr>
                <w:rFonts w:hint="default" w:ascii="宋体" w:hAnsi="宋体" w:eastAsia="宋体"/>
                <w:color w:val="auto"/>
                <w:sz w:val="24"/>
                <w:szCs w:val="22"/>
                <w:lang w:val="en-US" w:eastAsia="zh-CN"/>
              </w:rPr>
            </w:pPr>
            <w:r>
              <w:rPr>
                <w:rFonts w:hint="eastAsia" w:ascii="宋体" w:hAnsi="宋体" w:eastAsia="宋体"/>
                <w:color w:val="auto"/>
                <w:sz w:val="24"/>
                <w:szCs w:val="22"/>
              </w:rPr>
              <w:t>不锈钢ASTM</w:t>
            </w:r>
            <w:r>
              <w:rPr>
                <w:rFonts w:hint="eastAsia" w:ascii="宋体" w:hAnsi="宋体" w:eastAsia="宋体"/>
                <w:color w:val="auto"/>
                <w:sz w:val="24"/>
                <w:szCs w:val="22"/>
                <w:lang w:val="en-US" w:eastAsia="zh-CN"/>
              </w:rPr>
              <w:t>316</w:t>
            </w:r>
          </w:p>
        </w:tc>
      </w:tr>
      <w:tr w14:paraId="317058D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1B93574">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进、出料口</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3663F029">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6D213801">
            <w:pPr>
              <w:spacing w:line="300" w:lineRule="exact"/>
              <w:jc w:val="left"/>
              <w:rPr>
                <w:rFonts w:hint="default" w:ascii="宋体" w:hAnsi="宋体" w:eastAsia="宋体"/>
                <w:color w:val="auto"/>
                <w:sz w:val="24"/>
                <w:szCs w:val="22"/>
                <w:lang w:val="en-US" w:eastAsia="zh-CN"/>
              </w:rPr>
            </w:pPr>
            <w:r>
              <w:rPr>
                <w:rFonts w:hint="eastAsia" w:ascii="宋体" w:hAnsi="宋体" w:eastAsia="宋体"/>
                <w:color w:val="auto"/>
                <w:sz w:val="24"/>
                <w:szCs w:val="22"/>
              </w:rPr>
              <w:t>不锈钢ASTM</w:t>
            </w:r>
            <w:r>
              <w:rPr>
                <w:rFonts w:hint="eastAsia" w:ascii="宋体" w:hAnsi="宋体" w:eastAsia="宋体"/>
                <w:color w:val="auto"/>
                <w:sz w:val="24"/>
                <w:szCs w:val="22"/>
                <w:lang w:val="en-US" w:eastAsia="zh-CN"/>
              </w:rPr>
              <w:t>316</w:t>
            </w:r>
          </w:p>
        </w:tc>
      </w:tr>
      <w:tr w14:paraId="199DF213">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71BEF1C4">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罩盖</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10687A28">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0E82140">
            <w:pPr>
              <w:spacing w:line="300" w:lineRule="exact"/>
              <w:jc w:val="left"/>
              <w:rPr>
                <w:rFonts w:hint="default" w:ascii="宋体" w:hAnsi="宋体" w:eastAsia="宋体"/>
                <w:color w:val="auto"/>
                <w:sz w:val="24"/>
                <w:szCs w:val="22"/>
                <w:lang w:val="en-US" w:eastAsia="zh-CN"/>
              </w:rPr>
            </w:pPr>
            <w:r>
              <w:rPr>
                <w:rFonts w:hint="eastAsia" w:ascii="宋体" w:hAnsi="宋体" w:eastAsia="宋体"/>
                <w:color w:val="auto"/>
                <w:sz w:val="24"/>
                <w:szCs w:val="22"/>
              </w:rPr>
              <w:t>不锈钢ASTM</w:t>
            </w:r>
            <w:r>
              <w:rPr>
                <w:rFonts w:hint="eastAsia" w:ascii="宋体" w:hAnsi="宋体" w:eastAsia="宋体"/>
                <w:color w:val="auto"/>
                <w:sz w:val="24"/>
                <w:szCs w:val="22"/>
                <w:lang w:val="en-US" w:eastAsia="zh-CN"/>
              </w:rPr>
              <w:t>316</w:t>
            </w:r>
          </w:p>
        </w:tc>
      </w:tr>
      <w:tr w14:paraId="152F0F1F">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EF016A6">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输送槽</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6149C2B2">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10B5AF9">
            <w:pPr>
              <w:spacing w:line="300" w:lineRule="exact"/>
              <w:jc w:val="left"/>
              <w:rPr>
                <w:rFonts w:hint="default" w:ascii="宋体" w:hAnsi="宋体" w:eastAsia="宋体"/>
                <w:color w:val="auto"/>
                <w:sz w:val="24"/>
                <w:szCs w:val="22"/>
                <w:lang w:val="en-US" w:eastAsia="zh-CN"/>
              </w:rPr>
            </w:pPr>
            <w:r>
              <w:rPr>
                <w:rFonts w:hint="eastAsia" w:ascii="宋体" w:hAnsi="宋体" w:eastAsia="宋体"/>
                <w:color w:val="auto"/>
                <w:sz w:val="24"/>
                <w:szCs w:val="22"/>
              </w:rPr>
              <w:t>不锈钢ASTM</w:t>
            </w:r>
            <w:r>
              <w:rPr>
                <w:rFonts w:hint="eastAsia" w:ascii="宋体" w:hAnsi="宋体" w:eastAsia="宋体"/>
                <w:color w:val="auto"/>
                <w:sz w:val="24"/>
                <w:szCs w:val="22"/>
                <w:lang w:val="en-US" w:eastAsia="zh-CN"/>
              </w:rPr>
              <w:t>316</w:t>
            </w:r>
          </w:p>
        </w:tc>
      </w:tr>
      <w:tr w14:paraId="44CC72F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B385E10">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耐磨衬圈</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69D91F3C">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ACFACA3">
            <w:pPr>
              <w:spacing w:line="300" w:lineRule="exact"/>
              <w:jc w:val="left"/>
              <w:rPr>
                <w:rFonts w:hint="eastAsia" w:ascii="宋体" w:hAnsi="宋体" w:eastAsia="宋体"/>
                <w:color w:val="auto"/>
                <w:sz w:val="24"/>
                <w:szCs w:val="22"/>
                <w:lang w:eastAsia="zh-CN"/>
              </w:rPr>
            </w:pPr>
            <w:r>
              <w:rPr>
                <w:rFonts w:hint="eastAsia" w:ascii="宋体" w:hAnsi="宋体" w:eastAsia="宋体"/>
                <w:color w:val="auto"/>
                <w:sz w:val="24"/>
                <w:szCs w:val="22"/>
                <w:lang w:eastAsia="zh-CN"/>
              </w:rPr>
              <w:t>增强尼龙</w:t>
            </w:r>
          </w:p>
        </w:tc>
      </w:tr>
      <w:tr w14:paraId="4683B5E8">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F9FD4A3">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机架</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330101B1">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6DCCB203">
            <w:pPr>
              <w:spacing w:line="300" w:lineRule="exact"/>
              <w:jc w:val="left"/>
              <w:rPr>
                <w:rFonts w:hint="default" w:ascii="宋体" w:hAnsi="宋体" w:eastAsia="宋体"/>
                <w:color w:val="auto"/>
                <w:sz w:val="24"/>
                <w:szCs w:val="22"/>
                <w:lang w:val="en-US" w:eastAsia="zh-CN"/>
              </w:rPr>
            </w:pPr>
            <w:r>
              <w:rPr>
                <w:rFonts w:hint="eastAsia" w:ascii="宋体" w:hAnsi="宋体" w:eastAsia="宋体"/>
                <w:color w:val="auto"/>
                <w:sz w:val="24"/>
                <w:szCs w:val="22"/>
              </w:rPr>
              <w:t>不锈钢ASTM3</w:t>
            </w:r>
            <w:r>
              <w:rPr>
                <w:rFonts w:hint="eastAsia" w:ascii="宋体" w:hAnsi="宋体" w:eastAsia="宋体"/>
                <w:color w:val="auto"/>
                <w:sz w:val="24"/>
                <w:szCs w:val="22"/>
                <w:lang w:val="en-US" w:eastAsia="zh-CN"/>
              </w:rPr>
              <w:t>16</w:t>
            </w:r>
          </w:p>
        </w:tc>
      </w:tr>
      <w:tr w14:paraId="506B5AE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FAD5A83">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出口压力板</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293CDCEE">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98F5AC9">
            <w:pPr>
              <w:spacing w:line="300" w:lineRule="exact"/>
              <w:jc w:val="left"/>
              <w:rPr>
                <w:rFonts w:hint="default" w:ascii="宋体" w:hAnsi="宋体" w:eastAsia="宋体"/>
                <w:color w:val="auto"/>
                <w:sz w:val="24"/>
                <w:szCs w:val="22"/>
                <w:lang w:val="en-US" w:eastAsia="zh-CN"/>
              </w:rPr>
            </w:pPr>
            <w:r>
              <w:rPr>
                <w:rFonts w:hint="eastAsia" w:ascii="宋体" w:hAnsi="宋体" w:eastAsia="宋体"/>
                <w:color w:val="auto"/>
                <w:sz w:val="24"/>
                <w:szCs w:val="22"/>
              </w:rPr>
              <w:t>不锈钢ASTM3</w:t>
            </w:r>
            <w:r>
              <w:rPr>
                <w:rFonts w:hint="eastAsia" w:ascii="宋体" w:hAnsi="宋体" w:eastAsia="宋体"/>
                <w:color w:val="auto"/>
                <w:sz w:val="24"/>
                <w:szCs w:val="22"/>
                <w:lang w:val="en-US" w:eastAsia="zh-CN"/>
              </w:rPr>
              <w:t>16</w:t>
            </w:r>
          </w:p>
        </w:tc>
      </w:tr>
      <w:tr w14:paraId="39FBB9A0">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8F05318">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紧固件</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51699F83">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30E23FCA">
            <w:pPr>
              <w:spacing w:line="300" w:lineRule="exact"/>
              <w:jc w:val="left"/>
              <w:rPr>
                <w:rFonts w:hint="default" w:ascii="宋体" w:hAnsi="宋体" w:eastAsia="宋体"/>
                <w:color w:val="auto"/>
                <w:sz w:val="24"/>
                <w:szCs w:val="22"/>
                <w:lang w:val="en-US" w:eastAsia="zh-CN"/>
              </w:rPr>
            </w:pPr>
            <w:r>
              <w:rPr>
                <w:rFonts w:hint="eastAsia" w:ascii="宋体" w:hAnsi="宋体" w:eastAsia="宋体"/>
                <w:color w:val="auto"/>
                <w:sz w:val="24"/>
                <w:szCs w:val="22"/>
              </w:rPr>
              <w:t>不锈钢ASTM</w:t>
            </w:r>
            <w:r>
              <w:rPr>
                <w:rFonts w:hint="eastAsia" w:ascii="宋体" w:hAnsi="宋体" w:eastAsia="宋体"/>
                <w:color w:val="auto"/>
                <w:sz w:val="24"/>
                <w:szCs w:val="22"/>
                <w:lang w:val="en-US" w:eastAsia="zh-CN"/>
              </w:rPr>
              <w:t>316</w:t>
            </w:r>
          </w:p>
        </w:tc>
      </w:tr>
      <w:tr w14:paraId="461BFE79">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A26D82D">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驱动电机制造商</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0DBA6CB1">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C1FF3B4">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lang w:val="en-US" w:eastAsia="zh-CN"/>
              </w:rPr>
              <w:t>SEW或</w:t>
            </w:r>
            <w:r>
              <w:rPr>
                <w:rFonts w:hint="eastAsia" w:ascii="宋体" w:hAnsi="宋体" w:eastAsia="宋体"/>
                <w:color w:val="auto"/>
                <w:sz w:val="24"/>
                <w:szCs w:val="22"/>
              </w:rPr>
              <w:t>NORD</w:t>
            </w:r>
          </w:p>
        </w:tc>
      </w:tr>
      <w:tr w14:paraId="7DC91393">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E20AF76">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额定功率</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762F91D9">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kW</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1DAF9AC1">
            <w:pPr>
              <w:spacing w:line="300" w:lineRule="exact"/>
              <w:jc w:val="left"/>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1.5</w:t>
            </w:r>
          </w:p>
        </w:tc>
      </w:tr>
      <w:tr w14:paraId="5558EFF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64A0202">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额定电压</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1DF1341A">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V</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6184DC2">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380</w:t>
            </w:r>
          </w:p>
        </w:tc>
      </w:tr>
      <w:tr w14:paraId="6D80222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FAC0F14">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绝缘等级</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0D3A18ED">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级</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67B1A320">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F</w:t>
            </w:r>
          </w:p>
        </w:tc>
      </w:tr>
      <w:tr w14:paraId="1352B987">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625B5B0">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防护等级</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1FCC17C2">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IP</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609FB185">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lang w:val="en-US" w:eastAsia="zh-CN"/>
              </w:rPr>
              <w:t>6</w:t>
            </w:r>
            <w:r>
              <w:rPr>
                <w:rFonts w:hint="eastAsia" w:ascii="宋体" w:hAnsi="宋体" w:eastAsia="宋体"/>
                <w:color w:val="auto"/>
                <w:sz w:val="24"/>
                <w:szCs w:val="22"/>
              </w:rPr>
              <w:t>5</w:t>
            </w:r>
          </w:p>
        </w:tc>
      </w:tr>
      <w:tr w14:paraId="6C3D0500">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0A128AA5">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转速</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65C42B59">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r/min</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44728674">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1450</w:t>
            </w:r>
          </w:p>
        </w:tc>
      </w:tr>
      <w:tr w14:paraId="3F8EE74D">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2E3BC605">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减速机制造商</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686DCAE8">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2DF26834">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lang w:val="en-US" w:eastAsia="zh-CN"/>
              </w:rPr>
              <w:t>SEW或</w:t>
            </w:r>
            <w:r>
              <w:rPr>
                <w:rFonts w:hint="eastAsia" w:ascii="宋体" w:hAnsi="宋体" w:eastAsia="宋体"/>
                <w:color w:val="auto"/>
                <w:sz w:val="24"/>
                <w:szCs w:val="22"/>
              </w:rPr>
              <w:t>NORD</w:t>
            </w:r>
          </w:p>
        </w:tc>
      </w:tr>
      <w:tr w14:paraId="6E755419">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3AA5ADF">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型号</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2618C18E">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4CCA3819">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FAF77</w:t>
            </w:r>
          </w:p>
        </w:tc>
      </w:tr>
      <w:tr w14:paraId="306E9159">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5D723305">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类型</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2703C0A1">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7390DF76">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平行轴斜齿轮式</w:t>
            </w:r>
          </w:p>
        </w:tc>
      </w:tr>
      <w:tr w14:paraId="38D9CBFF">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6B635076">
            <w:pPr>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减速比</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4D5066EA">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5D05B9EF">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114.45</w:t>
            </w:r>
          </w:p>
        </w:tc>
      </w:tr>
      <w:tr w14:paraId="3C55104A">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4E7DAC30">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 xml:space="preserve">    输出扭矩</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77652BF2">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N.m</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42F21EDE">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1160</w:t>
            </w:r>
          </w:p>
        </w:tc>
      </w:tr>
      <w:tr w14:paraId="5D4980F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c>
          <w:tcPr>
            <w:tcW w:w="3689" w:type="dxa"/>
            <w:tcBorders>
              <w:top w:val="dotted" w:color="auto" w:sz="4" w:space="0"/>
              <w:left w:val="threeDEngrave" w:color="auto" w:sz="12" w:space="0"/>
              <w:bottom w:val="dotted" w:color="auto" w:sz="4" w:space="0"/>
              <w:right w:val="dotted" w:color="auto" w:sz="4" w:space="0"/>
              <w:tl2br w:val="nil"/>
              <w:tr2bl w:val="nil"/>
            </w:tcBorders>
            <w:noWrap w:val="0"/>
            <w:vAlign w:val="top"/>
          </w:tcPr>
          <w:p w14:paraId="13C029D5">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电控箱制造商</w:t>
            </w:r>
          </w:p>
        </w:tc>
        <w:tc>
          <w:tcPr>
            <w:tcW w:w="1862" w:type="dxa"/>
            <w:tcBorders>
              <w:top w:val="dotted" w:color="auto" w:sz="4" w:space="0"/>
              <w:left w:val="dotted" w:color="auto" w:sz="4" w:space="0"/>
              <w:bottom w:val="dotted" w:color="auto" w:sz="4" w:space="0"/>
              <w:right w:val="dotted" w:color="auto" w:sz="4" w:space="0"/>
              <w:tl2br w:val="nil"/>
              <w:tr2bl w:val="nil"/>
            </w:tcBorders>
            <w:noWrap w:val="0"/>
            <w:vAlign w:val="top"/>
          </w:tcPr>
          <w:p w14:paraId="5614DDED">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dotted" w:color="auto" w:sz="4" w:space="0"/>
              <w:right w:val="threeDEngrave" w:color="auto" w:sz="12" w:space="0"/>
              <w:tl2br w:val="nil"/>
              <w:tr2bl w:val="nil"/>
            </w:tcBorders>
            <w:noWrap w:val="0"/>
            <w:vAlign w:val="top"/>
          </w:tcPr>
          <w:p w14:paraId="13D91732">
            <w:pPr>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无</w:t>
            </w:r>
          </w:p>
        </w:tc>
      </w:tr>
      <w:tr w14:paraId="41B6427D">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77" w:hRule="atLeast"/>
        </w:trPr>
        <w:tc>
          <w:tcPr>
            <w:tcW w:w="3689" w:type="dxa"/>
            <w:tcBorders>
              <w:top w:val="dotted" w:color="auto" w:sz="4" w:space="0"/>
              <w:left w:val="threeDEngrave" w:color="auto" w:sz="12" w:space="0"/>
              <w:bottom w:val="thickThinLargeGap" w:color="auto" w:sz="12" w:space="0"/>
              <w:right w:val="dotted" w:color="auto" w:sz="4" w:space="0"/>
              <w:tl2br w:val="nil"/>
              <w:tr2bl w:val="nil"/>
            </w:tcBorders>
            <w:noWrap w:val="0"/>
            <w:vAlign w:val="center"/>
          </w:tcPr>
          <w:p w14:paraId="556C3908">
            <w:pPr>
              <w:snapToGrid w:val="0"/>
              <w:spacing w:line="300" w:lineRule="exact"/>
              <w:ind w:firstLine="480" w:firstLineChars="200"/>
              <w:jc w:val="left"/>
              <w:rPr>
                <w:rFonts w:hint="eastAsia" w:ascii="宋体" w:hAnsi="宋体" w:eastAsia="宋体"/>
                <w:color w:val="auto"/>
                <w:sz w:val="24"/>
                <w:szCs w:val="22"/>
              </w:rPr>
            </w:pPr>
            <w:r>
              <w:rPr>
                <w:rFonts w:hint="eastAsia" w:ascii="宋体" w:hAnsi="宋体" w:eastAsia="宋体"/>
                <w:color w:val="auto"/>
                <w:sz w:val="24"/>
                <w:szCs w:val="22"/>
              </w:rPr>
              <w:t>性能</w:t>
            </w:r>
          </w:p>
        </w:tc>
        <w:tc>
          <w:tcPr>
            <w:tcW w:w="1862" w:type="dxa"/>
            <w:tcBorders>
              <w:top w:val="dotted" w:color="auto" w:sz="4" w:space="0"/>
              <w:left w:val="dotted" w:color="auto" w:sz="4" w:space="0"/>
              <w:bottom w:val="thickThinLargeGap" w:color="auto" w:sz="12" w:space="0"/>
              <w:right w:val="dotted" w:color="auto" w:sz="4" w:space="0"/>
              <w:tl2br w:val="nil"/>
              <w:tr2bl w:val="nil"/>
            </w:tcBorders>
            <w:noWrap w:val="0"/>
            <w:vAlign w:val="top"/>
          </w:tcPr>
          <w:p w14:paraId="4C93317B">
            <w:pPr>
              <w:spacing w:line="300" w:lineRule="exact"/>
              <w:jc w:val="center"/>
              <w:rPr>
                <w:rFonts w:hint="eastAsia" w:ascii="宋体" w:hAnsi="宋体" w:eastAsia="宋体"/>
                <w:color w:val="auto"/>
                <w:sz w:val="24"/>
                <w:szCs w:val="22"/>
              </w:rPr>
            </w:pPr>
            <w:r>
              <w:rPr>
                <w:rFonts w:hint="eastAsia" w:ascii="宋体" w:hAnsi="宋体" w:eastAsia="宋体"/>
                <w:color w:val="auto"/>
                <w:sz w:val="24"/>
                <w:szCs w:val="22"/>
              </w:rPr>
              <w:t>--</w:t>
            </w:r>
          </w:p>
        </w:tc>
        <w:tc>
          <w:tcPr>
            <w:tcW w:w="3620" w:type="dxa"/>
            <w:tcBorders>
              <w:top w:val="dotted" w:color="auto" w:sz="4" w:space="0"/>
              <w:left w:val="dotted" w:color="auto" w:sz="4" w:space="0"/>
              <w:bottom w:val="thickThinLargeGap" w:color="auto" w:sz="12" w:space="0"/>
              <w:right w:val="threeDEngrave" w:color="auto" w:sz="12" w:space="0"/>
              <w:tl2br w:val="nil"/>
              <w:tr2bl w:val="nil"/>
            </w:tcBorders>
            <w:noWrap w:val="0"/>
            <w:vAlign w:val="center"/>
          </w:tcPr>
          <w:p w14:paraId="26831A1E">
            <w:pPr>
              <w:snapToGrid w:val="0"/>
              <w:spacing w:line="300" w:lineRule="exact"/>
              <w:jc w:val="left"/>
              <w:rPr>
                <w:rFonts w:hint="eastAsia" w:ascii="宋体" w:hAnsi="宋体" w:eastAsia="宋体"/>
                <w:color w:val="auto"/>
                <w:sz w:val="24"/>
                <w:szCs w:val="22"/>
              </w:rPr>
            </w:pPr>
            <w:r>
              <w:rPr>
                <w:rFonts w:hint="eastAsia" w:ascii="宋体" w:hAnsi="宋体" w:eastAsia="宋体"/>
                <w:color w:val="auto"/>
                <w:sz w:val="24"/>
                <w:szCs w:val="22"/>
              </w:rPr>
              <w:t>与前格栅联动</w:t>
            </w:r>
          </w:p>
        </w:tc>
      </w:tr>
    </w:tbl>
    <w:p w14:paraId="74C1B519">
      <w:pPr>
        <w:pStyle w:val="97"/>
        <w:numPr>
          <w:ilvl w:val="0"/>
          <w:numId w:val="0"/>
        </w:numPr>
        <w:ind w:firstLine="0"/>
        <w:rPr>
          <w:rFonts w:hint="default" w:ascii="宋体" w:hAnsi="宋体" w:eastAsia="宋体"/>
          <w:color w:val="auto"/>
          <w:sz w:val="24"/>
          <w:szCs w:val="24"/>
          <w:lang w:val="en-US" w:eastAsia="zh-CN"/>
        </w:rPr>
      </w:pPr>
    </w:p>
    <w:p w14:paraId="0739A1B9">
      <w:pPr>
        <w:pStyle w:val="97"/>
        <w:numPr>
          <w:ilvl w:val="0"/>
          <w:numId w:val="0"/>
        </w:numPr>
        <w:spacing w:line="360" w:lineRule="auto"/>
        <w:ind w:firstLine="0" w:firstLineChars="0"/>
        <w:rPr>
          <w:rFonts w:hint="eastAsia" w:eastAsia="宋体" w:cs="宋体"/>
          <w:b/>
          <w:bCs/>
          <w:color w:val="auto"/>
          <w:sz w:val="24"/>
          <w:szCs w:val="24"/>
          <w:lang w:val="en-US" w:eastAsia="zh-CN"/>
        </w:rPr>
      </w:pPr>
      <w:r>
        <w:rPr>
          <w:rFonts w:hint="eastAsia" w:eastAsia="宋体" w:cs="宋体"/>
          <w:b/>
          <w:bCs/>
          <w:color w:val="auto"/>
          <w:sz w:val="24"/>
          <w:szCs w:val="24"/>
          <w:lang w:val="en-US" w:eastAsia="zh-CN"/>
        </w:rPr>
        <w:t>4.4 主要部件及结构特点</w:t>
      </w:r>
    </w:p>
    <w:p w14:paraId="3BBDE438">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螺旋输送压实机主要由驱动装置、输送槽、耐磨衬圈、螺旋体、排水管、进出料斗、机架等几个部分构成。</w:t>
      </w:r>
    </w:p>
    <w:p w14:paraId="0C018BCA">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A</w:t>
      </w:r>
      <w:r>
        <w:rPr>
          <w:rFonts w:hint="default" w:eastAsia="宋体" w:cs="宋体"/>
          <w:b w:val="0"/>
          <w:bCs w:val="0"/>
          <w:color w:val="auto"/>
          <w:sz w:val="24"/>
          <w:szCs w:val="24"/>
          <w:lang w:val="en-US" w:eastAsia="zh-CN"/>
        </w:rPr>
        <w:t>．螺旋体</w:t>
      </w:r>
    </w:p>
    <w:p w14:paraId="3E0098BE">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它是由不锈钢采用特殊工艺加工而成，具有足够的强度和刚度，以保证在最大挤压作用下其变形量最小，螺旋叶片可加工成变螺距形式，以提高栅渣的挤压脱水效果。叶片厚度一般为18mm，外周都进行切削加工，适合于带有粘性或长纤维的物料，可避免此类物质的堆积和缠绕问题。</w:t>
      </w:r>
    </w:p>
    <w:p w14:paraId="5A81D34D">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B</w:t>
      </w:r>
      <w:r>
        <w:rPr>
          <w:rFonts w:hint="default" w:eastAsia="宋体" w:cs="宋体"/>
          <w:b w:val="0"/>
          <w:bCs w:val="0"/>
          <w:color w:val="auto"/>
          <w:sz w:val="24"/>
          <w:szCs w:val="24"/>
          <w:lang w:val="en-US" w:eastAsia="zh-CN"/>
        </w:rPr>
        <w:t>．驱动装置</w:t>
      </w:r>
    </w:p>
    <w:p w14:paraId="7F276305">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输送压实机驱动装置采用轴装式减速机的结构型式，即为平行轴斜齿轮式减速机，它具有传动效率高、低噪声、使用寿命长、运行平稳可靠等优点，适用于户外使用；其安装在机架端面轴承箱体上，减速机的出轴与螺旋体采用刚性连接；减速机轴承具有良好的润滑，其工作寿命不低于100000小时，齿轮设计符合ISO标准，材质为合金钢，热处理，齿面硬度不低于HRC58。</w:t>
      </w:r>
    </w:p>
    <w:p w14:paraId="2D5EA332">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减速电机为法兰安装的异步感应电机，适用电源380V、3相、50HZ，防护等级为IP55，绝缘等级为F；并设有过载保护和报警装置。</w:t>
      </w:r>
    </w:p>
    <w:p w14:paraId="01AE45A3">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C</w:t>
      </w:r>
      <w:r>
        <w:rPr>
          <w:rFonts w:hint="default" w:eastAsia="宋体" w:cs="宋体"/>
          <w:b w:val="0"/>
          <w:bCs w:val="0"/>
          <w:color w:val="auto"/>
          <w:sz w:val="24"/>
          <w:szCs w:val="24"/>
          <w:lang w:val="en-US" w:eastAsia="zh-CN"/>
        </w:rPr>
        <w:t>．输送槽与内衬</w:t>
      </w:r>
    </w:p>
    <w:p w14:paraId="690B55CD">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输送槽是由不锈钢板卷折而成，断面呈U型，具有足够的强度和刚度，输送槽底部设置了呈半圆状的耐磨衬圈，采用耐磨性能高的非金属材料制作而成；衬圈圆孤与螺旋半径相吻合，以减少过量间隙，提高输送效果；内衬的固定采用螺钉压板式，以便日后维修和更换。</w:t>
      </w:r>
    </w:p>
    <w:p w14:paraId="46876395">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D</w:t>
      </w:r>
      <w:r>
        <w:rPr>
          <w:rFonts w:hint="default" w:eastAsia="宋体" w:cs="宋体"/>
          <w:b w:val="0"/>
          <w:bCs w:val="0"/>
          <w:color w:val="auto"/>
          <w:sz w:val="24"/>
          <w:szCs w:val="24"/>
          <w:lang w:val="en-US" w:eastAsia="zh-CN"/>
        </w:rPr>
        <w:t>．进、出料口</w:t>
      </w:r>
    </w:p>
    <w:p w14:paraId="4E4B88DF">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料斗采用不锈钢折制而成，输送压实机上部设有进料口，其数量、安装位置和尺寸与格栅的卸渣口数量、位置和尺寸相匹配，整个接口采用全封闭连接，具有优良的密封性能，以确保栅渣、污水、臭味不致外泄；输送压实机末端设有一出料口，其落料高度与压榨机相匹配。</w:t>
      </w:r>
    </w:p>
    <w:p w14:paraId="23DFE1E2">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E</w:t>
      </w:r>
      <w:r>
        <w:rPr>
          <w:rFonts w:hint="default" w:eastAsia="宋体" w:cs="宋体"/>
          <w:b w:val="0"/>
          <w:bCs w:val="0"/>
          <w:color w:val="auto"/>
          <w:sz w:val="24"/>
          <w:szCs w:val="24"/>
          <w:lang w:val="en-US" w:eastAsia="zh-CN"/>
        </w:rPr>
        <w:t>．盖板</w:t>
      </w:r>
    </w:p>
    <w:p w14:paraId="3A917634">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输送机全长除出料口敞开，其余全部罩盖密封，其采用不锈钢板制作而成，主要是避免输送时栅渣、水的外溢与卸漏，并减少臭气味的挥发，保护周围环境的卫生。</w:t>
      </w:r>
    </w:p>
    <w:p w14:paraId="559973A7">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F</w:t>
      </w:r>
      <w:r>
        <w:rPr>
          <w:rFonts w:hint="default" w:eastAsia="宋体" w:cs="宋体"/>
          <w:b w:val="0"/>
          <w:bCs w:val="0"/>
          <w:color w:val="auto"/>
          <w:sz w:val="24"/>
          <w:szCs w:val="24"/>
          <w:lang w:val="en-US" w:eastAsia="zh-CN"/>
        </w:rPr>
        <w:t>．排水孔</w:t>
      </w:r>
    </w:p>
    <w:p w14:paraId="59AD3141">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在输送机底部还设有排水孔，与外侧的排放管相连接，便于设备清洗时的污水排放及工作时将栅渣在输送过程中滤出的污水通过它回流到格栅井中，从而避免了机内积水现象。</w:t>
      </w:r>
    </w:p>
    <w:p w14:paraId="72DA4ECA">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eastAsia" w:eastAsia="宋体" w:cs="宋体"/>
          <w:b w:val="0"/>
          <w:bCs w:val="0"/>
          <w:color w:val="auto"/>
          <w:sz w:val="24"/>
          <w:szCs w:val="24"/>
          <w:lang w:val="en-US" w:eastAsia="zh-CN"/>
        </w:rPr>
        <w:t>G</w:t>
      </w:r>
      <w:r>
        <w:rPr>
          <w:rFonts w:hint="default" w:eastAsia="宋体" w:cs="宋体"/>
          <w:b w:val="0"/>
          <w:bCs w:val="0"/>
          <w:color w:val="auto"/>
          <w:sz w:val="24"/>
          <w:szCs w:val="24"/>
          <w:lang w:val="en-US" w:eastAsia="zh-CN"/>
        </w:rPr>
        <w:t>．机架</w:t>
      </w:r>
    </w:p>
    <w:p w14:paraId="55C30158">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r>
        <w:rPr>
          <w:rFonts w:hint="default" w:eastAsia="宋体" w:cs="宋体"/>
          <w:b w:val="0"/>
          <w:bCs w:val="0"/>
          <w:color w:val="auto"/>
          <w:sz w:val="24"/>
          <w:szCs w:val="24"/>
          <w:lang w:val="en-US" w:eastAsia="zh-CN"/>
        </w:rPr>
        <w:t>输送机支架采用不锈钢焊接成一个刚性构件，其内部之间的连接支撑采用连续焊接，支架高度可适度调节。</w:t>
      </w:r>
    </w:p>
    <w:p w14:paraId="2F524BB2">
      <w:pPr>
        <w:pStyle w:val="97"/>
        <w:numPr>
          <w:ilvl w:val="0"/>
          <w:numId w:val="0"/>
        </w:numPr>
        <w:spacing w:line="360" w:lineRule="auto"/>
        <w:ind w:firstLine="480" w:firstLineChars="200"/>
        <w:rPr>
          <w:rFonts w:hint="default" w:eastAsia="宋体" w:cs="宋体"/>
          <w:b w:val="0"/>
          <w:bCs w:val="0"/>
          <w:color w:val="auto"/>
          <w:sz w:val="24"/>
          <w:szCs w:val="24"/>
          <w:lang w:val="en-US" w:eastAsia="zh-CN"/>
        </w:rPr>
      </w:pPr>
    </w:p>
    <w:p w14:paraId="3AA98095">
      <w:pPr>
        <w:pStyle w:val="97"/>
        <w:numPr>
          <w:ilvl w:val="0"/>
          <w:numId w:val="0"/>
        </w:numPr>
        <w:spacing w:beforeLines="0" w:afterLines="0" w:line="360" w:lineRule="auto"/>
        <w:ind w:firstLine="482" w:firstLineChars="200"/>
        <w:rPr>
          <w:rFonts w:hint="eastAsia" w:eastAsia="宋体" w:cs="宋体"/>
          <w:b w:val="0"/>
          <w:bCs w:val="0"/>
          <w:color w:val="auto"/>
          <w:sz w:val="24"/>
          <w:szCs w:val="24"/>
          <w:lang w:val="en-US" w:eastAsia="zh-CN"/>
        </w:rPr>
      </w:pPr>
      <w:r>
        <w:rPr>
          <w:rFonts w:hint="eastAsia" w:eastAsia="宋体" w:cs="宋体"/>
          <w:b/>
          <w:bCs/>
          <w:color w:val="auto"/>
          <w:sz w:val="24"/>
          <w:szCs w:val="24"/>
          <w:lang w:val="en-US" w:eastAsia="zh-CN"/>
        </w:rPr>
        <w:t>4.5电气控制系统</w:t>
      </w:r>
    </w:p>
    <w:p w14:paraId="2651E0E5">
      <w:pPr>
        <w:pStyle w:val="97"/>
        <w:numPr>
          <w:ilvl w:val="0"/>
          <w:numId w:val="0"/>
        </w:numPr>
        <w:spacing w:beforeLines="0" w:afterLines="0" w:line="360" w:lineRule="auto"/>
        <w:ind w:firstLine="480" w:firstLineChars="200"/>
        <w:rPr>
          <w:rFonts w:hint="eastAsia" w:eastAsia="宋体" w:cs="宋体"/>
          <w:b w:val="0"/>
          <w:bCs w:val="0"/>
          <w:color w:val="auto"/>
          <w:sz w:val="24"/>
          <w:szCs w:val="24"/>
          <w:lang w:val="en-US" w:eastAsia="zh-CN"/>
        </w:rPr>
      </w:pPr>
      <w:r>
        <w:rPr>
          <w:rFonts w:hint="eastAsia" w:eastAsia="宋体" w:cs="宋体"/>
          <w:b w:val="0"/>
          <w:bCs w:val="0"/>
          <w:color w:val="auto"/>
          <w:sz w:val="24"/>
          <w:szCs w:val="24"/>
          <w:lang w:val="en-US" w:eastAsia="zh-CN"/>
        </w:rPr>
        <w:t>输送机控制元件均设在配套的前格栅控制箱内，它能手动或与格栅、压榨机实行联动控制，并能适应连续24小时运转。</w:t>
      </w:r>
    </w:p>
    <w:p w14:paraId="7DE316B4">
      <w:pPr>
        <w:pStyle w:val="97"/>
        <w:numPr>
          <w:ilvl w:val="0"/>
          <w:numId w:val="0"/>
        </w:numPr>
        <w:spacing w:beforeLines="0" w:afterLines="0" w:line="360" w:lineRule="auto"/>
        <w:ind w:firstLine="480" w:firstLineChars="200"/>
        <w:rPr>
          <w:rFonts w:hint="eastAsia" w:eastAsia="宋体" w:cs="宋体"/>
          <w:b w:val="0"/>
          <w:bCs w:val="0"/>
          <w:color w:val="auto"/>
          <w:sz w:val="24"/>
          <w:szCs w:val="24"/>
          <w:lang w:val="en-US" w:eastAsia="zh-CN"/>
        </w:rPr>
      </w:pPr>
      <w:r>
        <w:rPr>
          <w:rFonts w:hint="eastAsia" w:eastAsia="宋体" w:cs="宋体"/>
          <w:b w:val="0"/>
          <w:bCs w:val="0"/>
          <w:color w:val="auto"/>
          <w:sz w:val="24"/>
          <w:szCs w:val="24"/>
          <w:lang w:val="en-US" w:eastAsia="zh-CN"/>
        </w:rPr>
        <w:t>在控制箱面板上设有输送压榨机转换开关，其控制方式为手动-联动控制，当转至手动控制时：人工直接控制输送压榨机的开、停运行；当转至联动控制时，输送压榨机将自动与格栅联动，当格栅开启前，输送机、压榨机提前2min开机；而关机时，输送机、压榨机将滞后2min再停机。</w:t>
      </w:r>
    </w:p>
    <w:p w14:paraId="454E53EE">
      <w:pPr>
        <w:pStyle w:val="97"/>
        <w:numPr>
          <w:ilvl w:val="0"/>
          <w:numId w:val="0"/>
        </w:numPr>
        <w:spacing w:beforeLines="0" w:afterLines="0" w:line="360" w:lineRule="auto"/>
        <w:ind w:firstLine="480" w:firstLineChars="200"/>
        <w:rPr>
          <w:rFonts w:hint="eastAsia" w:eastAsia="宋体" w:cs="宋体"/>
          <w:b w:val="0"/>
          <w:bCs w:val="0"/>
          <w:color w:val="auto"/>
          <w:sz w:val="24"/>
          <w:szCs w:val="24"/>
          <w:lang w:val="en-US" w:eastAsia="zh-CN"/>
        </w:rPr>
      </w:pPr>
      <w:r>
        <w:rPr>
          <w:rFonts w:hint="eastAsia" w:eastAsia="宋体" w:cs="宋体"/>
          <w:b w:val="0"/>
          <w:bCs w:val="0"/>
          <w:color w:val="auto"/>
          <w:sz w:val="24"/>
          <w:szCs w:val="24"/>
          <w:lang w:val="en-US" w:eastAsia="zh-CN"/>
        </w:rPr>
        <w:t>箱内需提供如下信号：</w:t>
      </w:r>
    </w:p>
    <w:p w14:paraId="205CB397">
      <w:pPr>
        <w:pStyle w:val="97"/>
        <w:numPr>
          <w:ilvl w:val="0"/>
          <w:numId w:val="0"/>
        </w:numPr>
        <w:spacing w:beforeLines="0" w:afterLines="0" w:line="360" w:lineRule="auto"/>
        <w:ind w:firstLine="480" w:firstLineChars="200"/>
        <w:rPr>
          <w:rFonts w:hint="eastAsia" w:eastAsia="宋体" w:cs="宋体"/>
          <w:b w:val="0"/>
          <w:bCs w:val="0"/>
          <w:color w:val="auto"/>
          <w:sz w:val="24"/>
          <w:szCs w:val="24"/>
          <w:lang w:val="en-US" w:eastAsia="zh-CN"/>
        </w:rPr>
      </w:pPr>
      <w:r>
        <w:rPr>
          <w:rFonts w:hint="eastAsia" w:eastAsia="宋体" w:cs="宋体"/>
          <w:b w:val="0"/>
          <w:bCs w:val="0"/>
          <w:color w:val="auto"/>
          <w:sz w:val="24"/>
          <w:szCs w:val="24"/>
          <w:lang w:val="en-US" w:eastAsia="zh-CN"/>
        </w:rPr>
        <w:t>A．输送压榨机的运行信号；</w:t>
      </w:r>
    </w:p>
    <w:p w14:paraId="17A59284">
      <w:pPr>
        <w:pStyle w:val="97"/>
        <w:numPr>
          <w:ilvl w:val="0"/>
          <w:numId w:val="0"/>
        </w:numPr>
        <w:spacing w:beforeLines="0" w:afterLines="0" w:line="360" w:lineRule="auto"/>
        <w:ind w:firstLine="480" w:firstLineChars="200"/>
        <w:rPr>
          <w:rFonts w:hint="eastAsia" w:eastAsia="宋体" w:cs="宋体"/>
          <w:b w:val="0"/>
          <w:bCs w:val="0"/>
          <w:color w:val="auto"/>
          <w:sz w:val="24"/>
          <w:szCs w:val="24"/>
          <w:lang w:val="en-US" w:eastAsia="zh-CN"/>
        </w:rPr>
      </w:pPr>
      <w:r>
        <w:rPr>
          <w:rFonts w:hint="eastAsia" w:eastAsia="宋体" w:cs="宋体"/>
          <w:b w:val="0"/>
          <w:bCs w:val="0"/>
          <w:color w:val="auto"/>
          <w:sz w:val="24"/>
          <w:szCs w:val="24"/>
          <w:lang w:val="en-US" w:eastAsia="zh-CN"/>
        </w:rPr>
        <w:t>B．输送压榨机的故障信号。</w:t>
      </w:r>
    </w:p>
    <w:p w14:paraId="5630D90B">
      <w:pPr>
        <w:pStyle w:val="97"/>
        <w:numPr>
          <w:ilvl w:val="0"/>
          <w:numId w:val="10"/>
        </w:numPr>
        <w:spacing w:line="360" w:lineRule="auto"/>
        <w:rPr>
          <w:rFonts w:hint="eastAsia"/>
          <w:b/>
          <w:color w:val="auto"/>
          <w:sz w:val="28"/>
          <w:szCs w:val="28"/>
          <w:highlight w:val="none"/>
        </w:rPr>
      </w:pPr>
      <w:r>
        <w:rPr>
          <w:rFonts w:hint="eastAsia"/>
          <w:b/>
          <w:color w:val="auto"/>
          <w:sz w:val="28"/>
          <w:szCs w:val="28"/>
          <w:highlight w:val="none"/>
        </w:rPr>
        <w:t>阀门类</w:t>
      </w:r>
    </w:p>
    <w:p w14:paraId="4249CFA4">
      <w:pPr>
        <w:pStyle w:val="106"/>
        <w:spacing w:line="360" w:lineRule="auto"/>
        <w:ind w:firstLine="0" w:firstLineChars="0"/>
        <w:outlineLvl w:val="3"/>
        <w:rPr>
          <w:rFonts w:hint="eastAsia"/>
          <w:b/>
          <w:color w:val="auto"/>
          <w:szCs w:val="24"/>
          <w:highlight w:val="none"/>
        </w:rPr>
      </w:pPr>
      <w:r>
        <w:rPr>
          <w:rFonts w:hint="eastAsia"/>
          <w:b/>
          <w:color w:val="auto"/>
          <w:szCs w:val="24"/>
          <w:highlight w:val="none"/>
          <w:lang w:val="en-US" w:eastAsia="zh-CN"/>
        </w:rPr>
        <w:t>5</w:t>
      </w:r>
      <w:r>
        <w:rPr>
          <w:rFonts w:hint="eastAsia"/>
          <w:b/>
          <w:color w:val="auto"/>
          <w:szCs w:val="24"/>
          <w:highlight w:val="none"/>
        </w:rPr>
        <w:t>.1一般技术要求</w:t>
      </w:r>
    </w:p>
    <w:p w14:paraId="084CC629">
      <w:pPr>
        <w:spacing w:line="360" w:lineRule="auto"/>
        <w:ind w:firstLine="480" w:firstLineChars="200"/>
        <w:rPr>
          <w:rFonts w:hAnsi="宋体"/>
          <w:color w:val="auto"/>
          <w:sz w:val="24"/>
          <w:highlight w:val="none"/>
        </w:rPr>
      </w:pPr>
      <w:r>
        <w:rPr>
          <w:rFonts w:hint="eastAsia" w:hAnsi="宋体"/>
          <w:color w:val="auto"/>
          <w:sz w:val="24"/>
          <w:highlight w:val="none"/>
        </w:rPr>
        <w:t>1、电源：380V、50HZ、3相</w:t>
      </w:r>
    </w:p>
    <w:p w14:paraId="643FB27C">
      <w:pPr>
        <w:spacing w:line="360" w:lineRule="auto"/>
        <w:ind w:firstLine="480" w:firstLineChars="200"/>
        <w:rPr>
          <w:rFonts w:hAnsi="宋体"/>
          <w:color w:val="auto"/>
          <w:sz w:val="24"/>
          <w:highlight w:val="none"/>
        </w:rPr>
      </w:pPr>
      <w:r>
        <w:rPr>
          <w:rFonts w:hint="eastAsia" w:hAnsi="宋体"/>
          <w:color w:val="auto"/>
          <w:sz w:val="24"/>
          <w:highlight w:val="none"/>
        </w:rPr>
        <w:t>2、设备防护等级</w:t>
      </w:r>
    </w:p>
    <w:p w14:paraId="42654483">
      <w:pPr>
        <w:spacing w:line="360" w:lineRule="auto"/>
        <w:ind w:firstLine="482" w:firstLineChars="200"/>
        <w:rPr>
          <w:rFonts w:hAnsi="宋体"/>
          <w:color w:val="auto"/>
          <w:sz w:val="24"/>
          <w:highlight w:val="none"/>
        </w:rPr>
      </w:pPr>
      <w:r>
        <w:rPr>
          <w:rFonts w:hint="eastAsia" w:ascii="宋体" w:hAnsi="宋体" w:cs="仿宋_GB2312"/>
          <w:b/>
          <w:kern w:val="0"/>
          <w:sz w:val="24"/>
          <w:lang w:val="zh-CN"/>
        </w:rPr>
        <w:t>●</w:t>
      </w:r>
      <w:r>
        <w:rPr>
          <w:rFonts w:hint="eastAsia" w:hAnsi="宋体"/>
          <w:color w:val="auto"/>
          <w:sz w:val="24"/>
          <w:highlight w:val="none"/>
        </w:rPr>
        <w:t>电动装置的防护等级为IP67/IP68（井内安装采用IP68，露天安装采用IP67），电机绝缘等级为F级。</w:t>
      </w:r>
    </w:p>
    <w:p w14:paraId="183504FF">
      <w:pPr>
        <w:spacing w:line="360" w:lineRule="auto"/>
        <w:ind w:firstLine="480" w:firstLineChars="200"/>
        <w:rPr>
          <w:rFonts w:hAnsi="宋体"/>
          <w:color w:val="auto"/>
          <w:sz w:val="24"/>
          <w:highlight w:val="none"/>
        </w:rPr>
      </w:pPr>
      <w:r>
        <w:rPr>
          <w:rFonts w:hint="eastAsia" w:hAnsi="宋体"/>
          <w:color w:val="auto"/>
          <w:sz w:val="24"/>
          <w:highlight w:val="none"/>
        </w:rPr>
        <w:t>3、材质</w:t>
      </w:r>
    </w:p>
    <w:p w14:paraId="4CFE8EB3">
      <w:pPr>
        <w:spacing w:line="360" w:lineRule="auto"/>
        <w:ind w:firstLine="480" w:firstLineChars="200"/>
        <w:rPr>
          <w:rFonts w:hAnsi="宋体"/>
          <w:color w:val="auto"/>
          <w:sz w:val="24"/>
          <w:highlight w:val="none"/>
        </w:rPr>
      </w:pPr>
      <w:r>
        <w:rPr>
          <w:rFonts w:hint="eastAsia" w:hAnsi="宋体"/>
          <w:color w:val="auto"/>
          <w:sz w:val="24"/>
          <w:highlight w:val="none"/>
        </w:rPr>
        <w:t>除技术文件中明文规定外，供货商应根据设备的使用环境，合理确定设备各部件的材质，以保证整机正常使用，并在投标书中标明各部件材质。</w:t>
      </w:r>
    </w:p>
    <w:p w14:paraId="35B57CE5">
      <w:pPr>
        <w:spacing w:line="360" w:lineRule="auto"/>
        <w:ind w:firstLine="480" w:firstLineChars="200"/>
        <w:rPr>
          <w:rFonts w:hAnsi="宋体"/>
          <w:color w:val="auto"/>
          <w:sz w:val="24"/>
          <w:highlight w:val="none"/>
        </w:rPr>
      </w:pPr>
      <w:r>
        <w:rPr>
          <w:rFonts w:hint="eastAsia" w:hAnsi="宋体"/>
          <w:color w:val="auto"/>
          <w:sz w:val="24"/>
          <w:highlight w:val="none"/>
        </w:rPr>
        <w:t>4、防腐蚀</w:t>
      </w:r>
    </w:p>
    <w:p w14:paraId="43CD9D71">
      <w:pPr>
        <w:spacing w:line="360" w:lineRule="auto"/>
        <w:ind w:firstLine="480" w:firstLineChars="200"/>
        <w:rPr>
          <w:rFonts w:hint="eastAsia" w:hAnsi="宋体"/>
          <w:color w:val="auto"/>
          <w:sz w:val="24"/>
          <w:highlight w:val="none"/>
        </w:rPr>
      </w:pPr>
      <w:r>
        <w:rPr>
          <w:rFonts w:hint="eastAsia" w:hAnsi="宋体"/>
          <w:color w:val="auto"/>
          <w:sz w:val="24"/>
          <w:highlight w:val="none"/>
        </w:rPr>
        <w:t>本包所有招标设备的全部材料应适用于污水腐蚀环境。设备中的各部件应进行合理的防腐处理，至少保用20年，投标文件中给予说明。</w:t>
      </w:r>
    </w:p>
    <w:p w14:paraId="2E083DB7">
      <w:pPr>
        <w:spacing w:line="360" w:lineRule="auto"/>
        <w:ind w:firstLine="480" w:firstLineChars="200"/>
        <w:rPr>
          <w:rFonts w:hAnsi="宋体"/>
          <w:color w:val="auto"/>
          <w:sz w:val="24"/>
          <w:highlight w:val="none"/>
        </w:rPr>
      </w:pPr>
      <w:r>
        <w:rPr>
          <w:rFonts w:hint="eastAsia" w:hAnsi="宋体"/>
          <w:color w:val="auto"/>
          <w:sz w:val="24"/>
          <w:highlight w:val="none"/>
        </w:rPr>
        <w:t>5、同种类型和同种规格的阀门应由同一生产厂家供货，并且可以互相交换使用。</w:t>
      </w:r>
    </w:p>
    <w:p w14:paraId="63E707E8">
      <w:pPr>
        <w:spacing w:line="360" w:lineRule="auto"/>
        <w:ind w:firstLine="480" w:firstLineChars="200"/>
        <w:rPr>
          <w:rFonts w:hAnsi="宋体"/>
          <w:color w:val="auto"/>
          <w:sz w:val="24"/>
          <w:highlight w:val="none"/>
        </w:rPr>
      </w:pPr>
      <w:r>
        <w:rPr>
          <w:rFonts w:hint="eastAsia" w:hAnsi="宋体"/>
          <w:color w:val="auto"/>
          <w:sz w:val="24"/>
          <w:highlight w:val="none"/>
        </w:rPr>
        <w:t>6、任何阀门的设计、制造和测试均应按以下规定的标准进行。</w:t>
      </w:r>
    </w:p>
    <w:p w14:paraId="461DE604">
      <w:pPr>
        <w:spacing w:line="360" w:lineRule="auto"/>
        <w:ind w:firstLine="480" w:firstLineChars="200"/>
        <w:rPr>
          <w:rFonts w:hAnsi="宋体"/>
          <w:color w:val="auto"/>
          <w:sz w:val="24"/>
          <w:highlight w:val="none"/>
        </w:rPr>
      </w:pPr>
      <w:r>
        <w:rPr>
          <w:rFonts w:hint="eastAsia" w:hAnsi="宋体"/>
          <w:color w:val="auto"/>
          <w:sz w:val="24"/>
          <w:highlight w:val="none"/>
        </w:rPr>
        <w:t xml:space="preserve">7、阀门应符合GB4216 </w:t>
      </w:r>
      <w:r>
        <w:rPr>
          <w:rFonts w:hAnsi="宋体"/>
          <w:color w:val="auto"/>
          <w:sz w:val="24"/>
          <w:highlight w:val="none"/>
        </w:rPr>
        <w:t>PN</w:t>
      </w:r>
      <w:r>
        <w:rPr>
          <w:rFonts w:hint="eastAsia" w:hAnsi="宋体"/>
          <w:color w:val="auto"/>
          <w:sz w:val="24"/>
          <w:highlight w:val="none"/>
        </w:rPr>
        <w:t>10标准，通过法兰固定，或者应适合法兰之间的螺栓连结。</w:t>
      </w:r>
    </w:p>
    <w:p w14:paraId="0D4B07D5">
      <w:pPr>
        <w:spacing w:line="360" w:lineRule="auto"/>
        <w:ind w:firstLine="480" w:firstLineChars="200"/>
        <w:rPr>
          <w:rFonts w:hint="eastAsia" w:hAnsi="宋体"/>
          <w:color w:val="auto"/>
          <w:sz w:val="24"/>
          <w:highlight w:val="none"/>
        </w:rPr>
      </w:pPr>
      <w:r>
        <w:rPr>
          <w:rFonts w:hint="eastAsia" w:hAnsi="宋体"/>
          <w:color w:val="auto"/>
          <w:sz w:val="24"/>
          <w:highlight w:val="none"/>
        </w:rPr>
        <w:t>8、除非另有规定，阀门应配置手动启闭用手轮，向反时针转动便可开启阀门，阀门的关闭方法应在手轮上标明。手轮的规格应适合正常使用范围，其轮缘所要求的最大负荷为</w:t>
      </w:r>
      <w:r>
        <w:rPr>
          <w:rFonts w:hAnsi="宋体"/>
          <w:color w:val="auto"/>
          <w:sz w:val="24"/>
          <w:highlight w:val="none"/>
        </w:rPr>
        <w:t>20</w:t>
      </w:r>
      <w:r>
        <w:rPr>
          <w:rFonts w:hint="eastAsia" w:hAnsi="宋体"/>
          <w:color w:val="auto"/>
          <w:sz w:val="24"/>
          <w:highlight w:val="none"/>
        </w:rPr>
        <w:t>kg。</w:t>
      </w:r>
    </w:p>
    <w:p w14:paraId="189FB323">
      <w:pPr>
        <w:pStyle w:val="106"/>
        <w:spacing w:line="360" w:lineRule="auto"/>
        <w:ind w:firstLine="0" w:firstLineChars="0"/>
        <w:outlineLvl w:val="3"/>
        <w:rPr>
          <w:rFonts w:hint="eastAsia"/>
          <w:b/>
          <w:color w:val="auto"/>
          <w:szCs w:val="24"/>
          <w:highlight w:val="none"/>
        </w:rPr>
      </w:pPr>
      <w:r>
        <w:rPr>
          <w:rFonts w:hint="eastAsia"/>
          <w:b/>
          <w:color w:val="auto"/>
          <w:szCs w:val="24"/>
          <w:highlight w:val="none"/>
        </w:rPr>
        <w:t>1.2参考标准</w:t>
      </w:r>
    </w:p>
    <w:p w14:paraId="26FBDEFA">
      <w:pPr>
        <w:pStyle w:val="998"/>
        <w:ind w:firstLine="480"/>
        <w:rPr>
          <w:color w:val="auto"/>
          <w:highlight w:val="none"/>
        </w:rPr>
      </w:pPr>
      <w:r>
        <w:rPr>
          <w:rFonts w:hint="eastAsia"/>
          <w:color w:val="auto"/>
          <w:highlight w:val="none"/>
        </w:rPr>
        <w:t>GB12220          通用阀门标志</w:t>
      </w:r>
    </w:p>
    <w:p w14:paraId="5E6AD2F5">
      <w:pPr>
        <w:pStyle w:val="998"/>
        <w:ind w:firstLine="480"/>
        <w:rPr>
          <w:color w:val="auto"/>
          <w:highlight w:val="none"/>
        </w:rPr>
      </w:pPr>
      <w:r>
        <w:rPr>
          <w:rFonts w:hint="eastAsia"/>
          <w:color w:val="auto"/>
          <w:highlight w:val="none"/>
        </w:rPr>
        <w:t>GB/T12252        通用阀门供货要求</w:t>
      </w:r>
    </w:p>
    <w:p w14:paraId="44B74F7B">
      <w:pPr>
        <w:pStyle w:val="998"/>
        <w:ind w:firstLine="480"/>
        <w:rPr>
          <w:color w:val="auto"/>
          <w:highlight w:val="none"/>
        </w:rPr>
      </w:pPr>
      <w:r>
        <w:rPr>
          <w:rFonts w:hint="eastAsia"/>
          <w:color w:val="auto"/>
          <w:highlight w:val="none"/>
        </w:rPr>
        <w:t>GB12226          通用阀门灰铸铁技术条件</w:t>
      </w:r>
    </w:p>
    <w:p w14:paraId="689FAC58">
      <w:pPr>
        <w:pStyle w:val="998"/>
        <w:ind w:firstLine="480"/>
        <w:rPr>
          <w:color w:val="auto"/>
          <w:highlight w:val="none"/>
        </w:rPr>
      </w:pPr>
      <w:r>
        <w:rPr>
          <w:rFonts w:hint="eastAsia"/>
          <w:color w:val="auto"/>
          <w:highlight w:val="none"/>
        </w:rPr>
        <w:t>CJ/T3006          给水排水工程用铸铁闸门标准</w:t>
      </w:r>
    </w:p>
    <w:p w14:paraId="5D26A27C">
      <w:pPr>
        <w:pStyle w:val="998"/>
        <w:ind w:firstLine="480"/>
        <w:rPr>
          <w:color w:val="auto"/>
          <w:highlight w:val="none"/>
        </w:rPr>
      </w:pPr>
      <w:r>
        <w:rPr>
          <w:rFonts w:hint="eastAsia"/>
          <w:color w:val="auto"/>
          <w:highlight w:val="none"/>
        </w:rPr>
        <w:t>GB50231          机械设备安装工程施工及验收通用规范</w:t>
      </w:r>
    </w:p>
    <w:p w14:paraId="7A6B87B3">
      <w:pPr>
        <w:pStyle w:val="998"/>
        <w:ind w:firstLine="480"/>
        <w:rPr>
          <w:color w:val="auto"/>
          <w:highlight w:val="none"/>
        </w:rPr>
      </w:pPr>
      <w:r>
        <w:rPr>
          <w:rFonts w:hint="eastAsia"/>
          <w:color w:val="auto"/>
          <w:highlight w:val="none"/>
        </w:rPr>
        <w:t>SZ-06             排水工程机电设备安装质量检验评定标准</w:t>
      </w:r>
    </w:p>
    <w:p w14:paraId="0BCB5356">
      <w:pPr>
        <w:pStyle w:val="998"/>
        <w:ind w:firstLine="480"/>
        <w:rPr>
          <w:color w:val="auto"/>
          <w:highlight w:val="none"/>
        </w:rPr>
      </w:pPr>
      <w:r>
        <w:rPr>
          <w:rFonts w:hint="eastAsia"/>
          <w:color w:val="auto"/>
          <w:highlight w:val="none"/>
        </w:rPr>
        <w:t>GB12238          通用阀门法兰和对夹连接蝶阀</w:t>
      </w:r>
    </w:p>
    <w:p w14:paraId="1D6B7122">
      <w:pPr>
        <w:pStyle w:val="998"/>
        <w:ind w:firstLine="480"/>
        <w:rPr>
          <w:color w:val="auto"/>
          <w:highlight w:val="none"/>
        </w:rPr>
      </w:pPr>
      <w:r>
        <w:rPr>
          <w:rFonts w:hint="eastAsia"/>
          <w:color w:val="auto"/>
          <w:highlight w:val="none"/>
        </w:rPr>
        <w:t>GB/T13927        通用阀门压力试验</w:t>
      </w:r>
    </w:p>
    <w:p w14:paraId="2521C88C">
      <w:pPr>
        <w:pStyle w:val="998"/>
        <w:ind w:firstLine="480"/>
        <w:rPr>
          <w:color w:val="auto"/>
          <w:highlight w:val="none"/>
        </w:rPr>
      </w:pPr>
      <w:r>
        <w:rPr>
          <w:rFonts w:hint="eastAsia"/>
          <w:color w:val="auto"/>
          <w:highlight w:val="none"/>
        </w:rPr>
        <w:t>GB12221          法兰连接金属阀门结构长度</w:t>
      </w:r>
    </w:p>
    <w:p w14:paraId="67EC208A">
      <w:pPr>
        <w:pStyle w:val="998"/>
        <w:ind w:firstLine="480"/>
        <w:rPr>
          <w:color w:val="auto"/>
          <w:highlight w:val="none"/>
        </w:rPr>
      </w:pPr>
      <w:r>
        <w:rPr>
          <w:rFonts w:hint="eastAsia"/>
          <w:color w:val="auto"/>
          <w:highlight w:val="none"/>
        </w:rPr>
        <w:t>CJ/T3049          铁制阀门通用技术要求</w:t>
      </w:r>
    </w:p>
    <w:p w14:paraId="4E0DADF8">
      <w:pPr>
        <w:pStyle w:val="998"/>
        <w:ind w:firstLine="480"/>
        <w:rPr>
          <w:color w:val="auto"/>
          <w:highlight w:val="none"/>
        </w:rPr>
      </w:pPr>
      <w:r>
        <w:rPr>
          <w:rFonts w:hint="eastAsia"/>
          <w:color w:val="auto"/>
          <w:highlight w:val="none"/>
        </w:rPr>
        <w:t>JB/T7352          工业过程控制系统用电磁阀</w:t>
      </w:r>
    </w:p>
    <w:p w14:paraId="606CDB50">
      <w:pPr>
        <w:pStyle w:val="998"/>
        <w:ind w:firstLine="480"/>
        <w:rPr>
          <w:rFonts w:hint="eastAsia"/>
          <w:color w:val="auto"/>
          <w:highlight w:val="none"/>
        </w:rPr>
      </w:pPr>
      <w:r>
        <w:rPr>
          <w:rFonts w:hint="eastAsia"/>
          <w:color w:val="auto"/>
          <w:highlight w:val="none"/>
        </w:rPr>
        <w:t>JB/T7387          工业过程控制系统用电动控制阀。</w:t>
      </w:r>
    </w:p>
    <w:p w14:paraId="319C41E3">
      <w:pPr>
        <w:pStyle w:val="106"/>
        <w:spacing w:line="500" w:lineRule="exact"/>
        <w:ind w:firstLine="0" w:firstLineChars="0"/>
        <w:outlineLvl w:val="3"/>
        <w:rPr>
          <w:rFonts w:hint="eastAsia"/>
          <w:b/>
          <w:color w:val="auto"/>
          <w:szCs w:val="24"/>
          <w:highlight w:val="none"/>
        </w:rPr>
      </w:pPr>
      <w:r>
        <w:rPr>
          <w:rFonts w:hint="eastAsia"/>
          <w:b/>
          <w:color w:val="auto"/>
          <w:szCs w:val="24"/>
          <w:highlight w:val="none"/>
          <w:lang w:val="en-US" w:eastAsia="zh-CN"/>
        </w:rPr>
        <w:t>5</w:t>
      </w:r>
      <w:r>
        <w:rPr>
          <w:rFonts w:hint="eastAsia"/>
          <w:b/>
          <w:color w:val="auto"/>
          <w:szCs w:val="24"/>
          <w:highlight w:val="none"/>
        </w:rPr>
        <w:t>.</w:t>
      </w:r>
      <w:r>
        <w:rPr>
          <w:rFonts w:hint="eastAsia"/>
          <w:b/>
          <w:color w:val="auto"/>
          <w:szCs w:val="24"/>
          <w:highlight w:val="none"/>
          <w:lang w:val="en-US" w:eastAsia="zh-CN"/>
        </w:rPr>
        <w:t>2</w:t>
      </w:r>
      <w:r>
        <w:rPr>
          <w:rFonts w:hint="eastAsia"/>
          <w:b/>
          <w:color w:val="auto"/>
          <w:szCs w:val="24"/>
          <w:highlight w:val="none"/>
        </w:rPr>
        <w:t>蝶阀</w:t>
      </w:r>
    </w:p>
    <w:p w14:paraId="5AEAC2AE">
      <w:pPr>
        <w:spacing w:line="500" w:lineRule="exact"/>
        <w:ind w:firstLine="480" w:firstLineChars="200"/>
        <w:rPr>
          <w:rFonts w:hint="eastAsia" w:hAnsi="宋体"/>
          <w:color w:val="auto"/>
          <w:sz w:val="24"/>
          <w:highlight w:val="none"/>
        </w:rPr>
      </w:pPr>
      <w:r>
        <w:rPr>
          <w:rFonts w:hint="eastAsia" w:hAnsi="宋体"/>
          <w:color w:val="auto"/>
          <w:sz w:val="24"/>
          <w:highlight w:val="none"/>
        </w:rPr>
        <w:t>1、供货范围</w:t>
      </w:r>
    </w:p>
    <w:p w14:paraId="02B7DDF3">
      <w:pPr>
        <w:spacing w:line="500" w:lineRule="exact"/>
        <w:ind w:firstLine="482" w:firstLineChars="200"/>
        <w:rPr>
          <w:rFonts w:hint="eastAsia" w:hAnsi="宋体"/>
          <w:b/>
          <w:color w:val="auto"/>
          <w:sz w:val="24"/>
          <w:highlight w:val="none"/>
        </w:rPr>
      </w:pPr>
      <w:r>
        <w:rPr>
          <w:rFonts w:hint="eastAsia" w:hAnsi="宋体"/>
          <w:b/>
          <w:color w:val="auto"/>
          <w:sz w:val="24"/>
          <w:highlight w:val="none"/>
        </w:rPr>
        <w:t>承包商</w:t>
      </w:r>
      <w:r>
        <w:rPr>
          <w:rFonts w:hAnsi="宋体"/>
          <w:b/>
          <w:color w:val="auto"/>
          <w:sz w:val="24"/>
          <w:highlight w:val="none"/>
        </w:rPr>
        <w:t>提供完整的标准的</w:t>
      </w:r>
      <w:r>
        <w:rPr>
          <w:rFonts w:hint="eastAsia" w:hAnsi="宋体"/>
          <w:b/>
          <w:color w:val="auto"/>
          <w:sz w:val="24"/>
          <w:highlight w:val="none"/>
        </w:rPr>
        <w:t>手/电</w:t>
      </w:r>
      <w:r>
        <w:rPr>
          <w:rFonts w:hAnsi="宋体"/>
          <w:b/>
          <w:color w:val="auto"/>
          <w:sz w:val="24"/>
          <w:highlight w:val="none"/>
        </w:rPr>
        <w:t>动蝶阀产品，包括蝶阀、</w:t>
      </w:r>
      <w:r>
        <w:rPr>
          <w:rFonts w:hint="eastAsia" w:hAnsi="宋体"/>
          <w:b/>
          <w:color w:val="auto"/>
          <w:sz w:val="24"/>
          <w:highlight w:val="none"/>
        </w:rPr>
        <w:t>手/电</w:t>
      </w:r>
      <w:r>
        <w:rPr>
          <w:rFonts w:hAnsi="宋体"/>
          <w:b/>
          <w:color w:val="auto"/>
          <w:sz w:val="24"/>
          <w:highlight w:val="none"/>
        </w:rPr>
        <w:t>动执行机构、所有附件、固定件及相应的备品备件。</w:t>
      </w:r>
    </w:p>
    <w:p w14:paraId="3AD7EF79">
      <w:pPr>
        <w:spacing w:line="500" w:lineRule="exact"/>
        <w:ind w:firstLine="480" w:firstLineChars="200"/>
        <w:rPr>
          <w:rFonts w:hAnsi="宋体"/>
          <w:color w:val="auto"/>
          <w:sz w:val="24"/>
          <w:highlight w:val="none"/>
        </w:rPr>
      </w:pPr>
      <w:r>
        <w:rPr>
          <w:rFonts w:hint="eastAsia" w:hAnsi="宋体"/>
          <w:color w:val="auto"/>
          <w:sz w:val="24"/>
          <w:highlight w:val="none"/>
        </w:rPr>
        <w:t>本节陈述了下述手/电动蝶阀的专用技术要求。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67"/>
        <w:gridCol w:w="1838"/>
        <w:gridCol w:w="956"/>
        <w:gridCol w:w="1118"/>
        <w:gridCol w:w="1500"/>
        <w:gridCol w:w="1543"/>
      </w:tblGrid>
      <w:tr w14:paraId="33DB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072FB5C4">
            <w:pPr>
              <w:pStyle w:val="106"/>
              <w:spacing w:line="500" w:lineRule="exact"/>
              <w:ind w:firstLine="0" w:firstLineChars="0"/>
              <w:jc w:val="center"/>
              <w:rPr>
                <w:rFonts w:cs="Times New Roman"/>
                <w:color w:val="auto"/>
                <w:sz w:val="21"/>
                <w:szCs w:val="21"/>
                <w:highlight w:val="none"/>
              </w:rPr>
            </w:pPr>
            <w:r>
              <w:rPr>
                <w:rFonts w:cs="Times New Roman"/>
                <w:color w:val="auto"/>
                <w:sz w:val="21"/>
                <w:szCs w:val="21"/>
                <w:highlight w:val="none"/>
              </w:rPr>
              <w:t>序号</w:t>
            </w:r>
          </w:p>
        </w:tc>
        <w:tc>
          <w:tcPr>
            <w:tcW w:w="1767" w:type="dxa"/>
            <w:noWrap w:val="0"/>
            <w:vAlign w:val="center"/>
          </w:tcPr>
          <w:p w14:paraId="25FFD60C">
            <w:pPr>
              <w:pStyle w:val="106"/>
              <w:spacing w:line="500" w:lineRule="exact"/>
              <w:ind w:firstLine="0" w:firstLineChars="0"/>
              <w:jc w:val="center"/>
              <w:rPr>
                <w:rFonts w:cs="Times New Roman"/>
                <w:color w:val="auto"/>
                <w:sz w:val="21"/>
                <w:szCs w:val="21"/>
                <w:highlight w:val="none"/>
              </w:rPr>
            </w:pPr>
            <w:r>
              <w:rPr>
                <w:rFonts w:cs="Times New Roman"/>
                <w:color w:val="auto"/>
                <w:sz w:val="21"/>
                <w:szCs w:val="21"/>
                <w:highlight w:val="none"/>
              </w:rPr>
              <w:t>设备名称</w:t>
            </w:r>
          </w:p>
        </w:tc>
        <w:tc>
          <w:tcPr>
            <w:tcW w:w="1838" w:type="dxa"/>
            <w:noWrap w:val="0"/>
            <w:vAlign w:val="center"/>
          </w:tcPr>
          <w:p w14:paraId="16E29505">
            <w:pPr>
              <w:pStyle w:val="106"/>
              <w:spacing w:line="500" w:lineRule="exact"/>
              <w:ind w:firstLine="0" w:firstLineChars="0"/>
              <w:jc w:val="center"/>
              <w:rPr>
                <w:rFonts w:cs="Times New Roman"/>
                <w:color w:val="auto"/>
                <w:sz w:val="21"/>
                <w:szCs w:val="21"/>
                <w:highlight w:val="none"/>
              </w:rPr>
            </w:pPr>
            <w:r>
              <w:rPr>
                <w:rFonts w:cs="Times New Roman"/>
                <w:color w:val="auto"/>
                <w:sz w:val="21"/>
                <w:szCs w:val="21"/>
                <w:highlight w:val="none"/>
              </w:rPr>
              <w:t>规格型号</w:t>
            </w:r>
          </w:p>
        </w:tc>
        <w:tc>
          <w:tcPr>
            <w:tcW w:w="956" w:type="dxa"/>
            <w:noWrap w:val="0"/>
            <w:vAlign w:val="center"/>
          </w:tcPr>
          <w:p w14:paraId="51E64CB2">
            <w:pPr>
              <w:pStyle w:val="106"/>
              <w:spacing w:line="500" w:lineRule="exact"/>
              <w:ind w:firstLine="0" w:firstLineChars="0"/>
              <w:jc w:val="center"/>
              <w:rPr>
                <w:rFonts w:cs="Times New Roman"/>
                <w:color w:val="auto"/>
                <w:sz w:val="21"/>
                <w:szCs w:val="21"/>
                <w:highlight w:val="none"/>
              </w:rPr>
            </w:pPr>
            <w:r>
              <w:rPr>
                <w:rFonts w:cs="Times New Roman"/>
                <w:color w:val="auto"/>
                <w:sz w:val="21"/>
                <w:szCs w:val="21"/>
                <w:highlight w:val="none"/>
              </w:rPr>
              <w:t>单位</w:t>
            </w:r>
          </w:p>
        </w:tc>
        <w:tc>
          <w:tcPr>
            <w:tcW w:w="1118" w:type="dxa"/>
            <w:noWrap w:val="0"/>
            <w:vAlign w:val="center"/>
          </w:tcPr>
          <w:p w14:paraId="2AC22129">
            <w:pPr>
              <w:pStyle w:val="106"/>
              <w:spacing w:line="500" w:lineRule="exact"/>
              <w:ind w:firstLine="0" w:firstLineChars="0"/>
              <w:jc w:val="center"/>
              <w:rPr>
                <w:rFonts w:cs="Times New Roman"/>
                <w:color w:val="auto"/>
                <w:sz w:val="21"/>
                <w:szCs w:val="21"/>
                <w:highlight w:val="none"/>
              </w:rPr>
            </w:pPr>
            <w:r>
              <w:rPr>
                <w:rFonts w:cs="Times New Roman"/>
                <w:color w:val="auto"/>
                <w:sz w:val="21"/>
                <w:szCs w:val="21"/>
                <w:highlight w:val="none"/>
              </w:rPr>
              <w:t>数量</w:t>
            </w:r>
          </w:p>
        </w:tc>
        <w:tc>
          <w:tcPr>
            <w:tcW w:w="1500" w:type="dxa"/>
            <w:noWrap w:val="0"/>
            <w:vAlign w:val="center"/>
          </w:tcPr>
          <w:p w14:paraId="73194F89">
            <w:pPr>
              <w:pStyle w:val="106"/>
              <w:spacing w:line="500" w:lineRule="exact"/>
              <w:ind w:firstLine="0" w:firstLineChars="0"/>
              <w:jc w:val="center"/>
              <w:rPr>
                <w:rFonts w:cs="Times New Roman"/>
                <w:color w:val="auto"/>
                <w:sz w:val="21"/>
                <w:szCs w:val="21"/>
                <w:highlight w:val="none"/>
              </w:rPr>
            </w:pPr>
            <w:r>
              <w:rPr>
                <w:rFonts w:cs="Times New Roman"/>
                <w:color w:val="auto"/>
                <w:sz w:val="21"/>
                <w:szCs w:val="21"/>
                <w:highlight w:val="none"/>
              </w:rPr>
              <w:t>安装位置</w:t>
            </w:r>
          </w:p>
        </w:tc>
        <w:tc>
          <w:tcPr>
            <w:tcW w:w="1543" w:type="dxa"/>
            <w:noWrap w:val="0"/>
            <w:vAlign w:val="center"/>
          </w:tcPr>
          <w:p w14:paraId="43F9FCD9">
            <w:pPr>
              <w:pStyle w:val="106"/>
              <w:spacing w:line="500" w:lineRule="exact"/>
              <w:ind w:firstLine="0" w:firstLineChars="0"/>
              <w:jc w:val="center"/>
              <w:rPr>
                <w:rFonts w:cs="Times New Roman"/>
                <w:color w:val="auto"/>
                <w:sz w:val="21"/>
                <w:szCs w:val="21"/>
                <w:highlight w:val="none"/>
              </w:rPr>
            </w:pPr>
            <w:r>
              <w:rPr>
                <w:rFonts w:cs="Times New Roman"/>
                <w:color w:val="auto"/>
                <w:sz w:val="21"/>
                <w:szCs w:val="21"/>
                <w:highlight w:val="none"/>
              </w:rPr>
              <w:t>备注</w:t>
            </w:r>
          </w:p>
        </w:tc>
      </w:tr>
      <w:tr w14:paraId="3F9B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noWrap w:val="0"/>
            <w:vAlign w:val="center"/>
          </w:tcPr>
          <w:p w14:paraId="762DBA42">
            <w:pPr>
              <w:pStyle w:val="106"/>
              <w:spacing w:line="5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7" w:type="dxa"/>
            <w:shd w:val="clear" w:color="FFFFFF" w:fill="FFFFFF"/>
            <w:noWrap w:val="0"/>
            <w:vAlign w:val="center"/>
          </w:tcPr>
          <w:p w14:paraId="7F2D0B6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4"/>
                <w:szCs w:val="24"/>
                <w:u w:val="none"/>
                <w:lang w:val="en-US" w:eastAsia="zh-CN" w:bidi="ar-SA"/>
              </w:rPr>
              <w:t>电动蝶阀</w:t>
            </w:r>
          </w:p>
        </w:tc>
        <w:tc>
          <w:tcPr>
            <w:tcW w:w="1838" w:type="dxa"/>
            <w:shd w:val="clear" w:color="FFFFFF" w:fill="FFFFFF"/>
            <w:noWrap w:val="0"/>
            <w:vAlign w:val="center"/>
          </w:tcPr>
          <w:p w14:paraId="0971B27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4"/>
                <w:szCs w:val="24"/>
                <w:u w:val="none"/>
                <w:lang w:val="en-US" w:eastAsia="zh-CN" w:bidi="ar-SA"/>
              </w:rPr>
              <w:t>DN500</w:t>
            </w:r>
          </w:p>
        </w:tc>
        <w:tc>
          <w:tcPr>
            <w:tcW w:w="956" w:type="dxa"/>
            <w:shd w:val="clear" w:color="auto" w:fill="FFFFFF"/>
            <w:noWrap w:val="0"/>
            <w:vAlign w:val="center"/>
          </w:tcPr>
          <w:p w14:paraId="00C759C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4"/>
                <w:szCs w:val="24"/>
                <w:u w:val="none"/>
                <w:lang w:val="en-US" w:eastAsia="zh-CN" w:bidi="ar-SA"/>
              </w:rPr>
              <w:t>套</w:t>
            </w:r>
          </w:p>
        </w:tc>
        <w:tc>
          <w:tcPr>
            <w:tcW w:w="1118" w:type="dxa"/>
            <w:shd w:val="clear" w:color="auto" w:fill="FFFFFF"/>
            <w:noWrap w:val="0"/>
            <w:vAlign w:val="center"/>
          </w:tcPr>
          <w:p w14:paraId="3B1A2D9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4"/>
                <w:szCs w:val="24"/>
                <w:u w:val="none"/>
                <w:lang w:val="en-US" w:eastAsia="zh-CN" w:bidi="ar-SA"/>
              </w:rPr>
              <w:t>6</w:t>
            </w:r>
          </w:p>
        </w:tc>
        <w:tc>
          <w:tcPr>
            <w:tcW w:w="1500" w:type="dxa"/>
            <w:shd w:val="clear" w:color="auto" w:fill="FFFFFF"/>
            <w:noWrap w:val="0"/>
            <w:vAlign w:val="center"/>
          </w:tcPr>
          <w:p w14:paraId="2270E295">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阀门井</w:t>
            </w:r>
          </w:p>
        </w:tc>
        <w:tc>
          <w:tcPr>
            <w:tcW w:w="1543" w:type="dxa"/>
            <w:noWrap w:val="0"/>
            <w:vAlign w:val="center"/>
          </w:tcPr>
          <w:p w14:paraId="0DD5074E">
            <w:pPr>
              <w:pStyle w:val="106"/>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含蝶阀控制柜，电动头延长杆大约为2.7米</w:t>
            </w:r>
          </w:p>
        </w:tc>
      </w:tr>
    </w:tbl>
    <w:p w14:paraId="2F6EA277">
      <w:pPr>
        <w:pStyle w:val="106"/>
        <w:spacing w:line="500" w:lineRule="exact"/>
        <w:ind w:firstLine="480"/>
        <w:rPr>
          <w:rFonts w:hint="eastAsia" w:ascii="宋体" w:hAnsi="宋体" w:eastAsia="宋体" w:cs="宋体"/>
          <w:color w:val="auto"/>
          <w:sz w:val="24"/>
          <w:szCs w:val="24"/>
          <w:highlight w:val="none"/>
        </w:rPr>
      </w:pPr>
      <w:bookmarkStart w:id="14" w:name="_Toc157318646"/>
      <w:r>
        <w:rPr>
          <w:rFonts w:hint="eastAsia" w:ascii="宋体" w:hAnsi="宋体" w:eastAsia="宋体" w:cs="宋体"/>
          <w:color w:val="auto"/>
          <w:sz w:val="24"/>
          <w:szCs w:val="24"/>
          <w:highlight w:val="none"/>
        </w:rPr>
        <w:t>2、提交资料</w:t>
      </w:r>
      <w:bookmarkEnd w:id="14"/>
    </w:p>
    <w:p w14:paraId="43E6C255">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（1）ISO9001质量管理体系和产品认证；</w:t>
      </w:r>
    </w:p>
    <w:p w14:paraId="0C09D2EB">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（2）产品样本（含蝶阀规格、性能和外形尺寸）。</w:t>
      </w:r>
    </w:p>
    <w:p w14:paraId="6C3A4AD8">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3、技术要求</w:t>
      </w:r>
    </w:p>
    <w:p w14:paraId="4FE76A97">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（1）参考标准</w:t>
      </w:r>
    </w:p>
    <w:p w14:paraId="61AF9A95">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设备制造、安装、检查、实施规范等执行ISO、IEC国际标准，AWWA标准或与之等同的其他标准。</w:t>
      </w:r>
    </w:p>
    <w:p w14:paraId="17332CD7">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（2）对制造商要求</w:t>
      </w:r>
    </w:p>
    <w:p w14:paraId="15511E70">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1）具备ISO9001/IS045001质量管理体系认证。</w:t>
      </w:r>
    </w:p>
    <w:p w14:paraId="5E51386C">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2）制造商提供的阀门具有WRAS、GSK、DVGW等认证。</w:t>
      </w:r>
    </w:p>
    <w:p w14:paraId="3DECF516">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（3）设备组成构造与材质</w:t>
      </w:r>
    </w:p>
    <w:p w14:paraId="7C2676DB">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1）概述</w:t>
      </w:r>
    </w:p>
    <w:p w14:paraId="7AE859EE">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①阀门设计为满足1.1倍额定压力双向密封零泄漏。 </w:t>
      </w:r>
    </w:p>
    <w:p w14:paraId="362E06E5">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②阀体和蝶板设计为流线体，保证介质具有极佳的流动特性，在距阀门外1米处所测得噪音水平不超过75dB(A)。 </w:t>
      </w:r>
    </w:p>
    <w:p w14:paraId="4B967EF6">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③蝶阀的连接方式采用双法兰式，法兰连接标准为GB/T17241.6。</w:t>
      </w:r>
    </w:p>
    <w:p w14:paraId="3B6FC743">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④蝶阀结构长度标准为GB/T12221。</w:t>
      </w:r>
    </w:p>
    <w:p w14:paraId="067C01F7">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⑤阀门工作压力：1.0MPa</w:t>
      </w:r>
    </w:p>
    <w:p w14:paraId="71DEF1E3">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2）阀体</w:t>
      </w:r>
    </w:p>
    <w:p w14:paraId="52A47C0D">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①阀体：为球墨铸铁，等级GGG-50，符合DIN1693要求。强度大于500MPa，延伸率大于7。</w:t>
      </w:r>
    </w:p>
    <w:p w14:paraId="18DF4C45">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②法兰顶板与阀体铸为一体，以适用于各种执行机构。</w:t>
      </w:r>
    </w:p>
    <w:p w14:paraId="5B0B8090">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3）阀座</w:t>
      </w:r>
    </w:p>
    <w:p w14:paraId="4B9074FC">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阀座为不锈钢装配阀座或环氧树脂喷涂整体式阀座或EPDM橡胶衬底，具有较高的耐腐蚀性能和耐磨损性。</w:t>
      </w:r>
    </w:p>
    <w:p w14:paraId="7DAA9783">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4）阀板</w:t>
      </w:r>
    </w:p>
    <w:p w14:paraId="49594A1B">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蝶板采用流线型设计，完全符合流体力学要求，无任何截流加强筋，具有强度可靠、刚性高、低噪音以及流阻极小等显著特征；。 </w:t>
      </w:r>
    </w:p>
    <w:p w14:paraId="6F567838">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橡胶密封圈为倒T形嵌入，橡胶密封圈通过压板和调节螺钉固定在蝶板上，该微量调节式结构能保证阀门在满足双向密封的条件下实现阀门最低扭矩操控。</w:t>
      </w:r>
    </w:p>
    <w:p w14:paraId="014571C1">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5）阀轴</w:t>
      </w:r>
    </w:p>
    <w:p w14:paraId="55C61652">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阀轴采用两端分布插入蝶，自润滑轴承与阀轴、阀轴与蝶板的配合长度均超过轴径的1.55倍，确保蝶阀在介质周期性流量的冲击下无颤动。 </w:t>
      </w:r>
    </w:p>
    <w:p w14:paraId="1D8076FE">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轴与蝶板的连接采用高强度不锈钢键和定位销配合连接，从根本上克服了传统偏心退拔销结构存在的连可调密封结构不紧密、容易剪切或疲劳破坏等缺陷。确保蝶板与阀轴紧密连接，在水压及震动时不会松动或脱落。同时高强度键能承受阀门最大扭矩2.5倍的强度。阀轴采用不锈钢420以上。</w:t>
      </w:r>
    </w:p>
    <w:p w14:paraId="6008A1AD">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轴封采用“O”形圈结构，整体免维护。</w:t>
      </w:r>
    </w:p>
    <w:p w14:paraId="523D605B">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6）材质</w:t>
      </w:r>
    </w:p>
    <w:p w14:paraId="71A752BD">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阀体：为球墨铸铁，等级GGG-50或以上。</w:t>
      </w:r>
    </w:p>
    <w:p w14:paraId="4ACF40F4">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阀座：不锈钢装配阀座或环氧树脂喷涂整体式阀座或EPDM橡胶衬底。</w:t>
      </w:r>
    </w:p>
    <w:p w14:paraId="57732C7E">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阀板：双偏心蝶阀为球墨铸铁，等级GGG-50，中线蝶阀为不锈钢SS316</w:t>
      </w:r>
    </w:p>
    <w:p w14:paraId="1809C816">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轴套、密封套：自润滑铝青铜， </w:t>
      </w:r>
    </w:p>
    <w:p w14:paraId="3FFD433B">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固定、调节橡胶密封圈的螺钉材质为优质奥氏体不锈钢。</w:t>
      </w:r>
    </w:p>
    <w:p w14:paraId="581690C7">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密封橡胶采用EPDM，橡胶原料满足W270标准，该橡胶有着极好的耐磨性、回弹性。</w:t>
      </w:r>
    </w:p>
    <w:p w14:paraId="078E4D1C">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所有铸铁表面静电喷涂环氧树脂涂层，环氧树脂粉末等级为加强级。涂层厚度在0.25～0.5mm之间。</w:t>
      </w:r>
    </w:p>
    <w:p w14:paraId="219E21D8">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7）控制系统</w:t>
      </w:r>
    </w:p>
    <w:p w14:paraId="49837E36">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电动蝶阀均采用机电一体化型电动执行机构。</w:t>
      </w:r>
    </w:p>
    <w:p w14:paraId="41E8F457">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执行机构上每台蝶阀设启、闭按钮、就地/远程转换开关。就地状态下通过电动执行机构上的启、闭按钮实现对每台蝶阀的启闭操作。远程状态下电动执行机构接受厂区自控系统的启、闭命令对每台蝶阀进行启闭操作。</w:t>
      </w:r>
    </w:p>
    <w:p w14:paraId="39CB82DA">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操作方式为就地手动控制和自动控制二种方式。另外一体化型电动执行机构应具备向PLC传输状态显示信号并接受PLC输出控制信号的接口。</w:t>
      </w:r>
    </w:p>
    <w:p w14:paraId="019E0B4B">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（4）出厂检验</w:t>
      </w:r>
    </w:p>
    <w:p w14:paraId="759949BE">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每台设备在出厂前须进行出厂检验，检验合格并附有产品合格证和使用维护说明书方可出厂。</w:t>
      </w:r>
    </w:p>
    <w:p w14:paraId="565A82D1">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所有阀门及执行机构在制造与装配之后以及在制造厂发运之前均应经过检查与测试，其中包括材料及铸件的检查与试验，制造时的部件与工艺检查，制造后性能测试以及油漆工作的检查与测试。</w:t>
      </w:r>
    </w:p>
    <w:p w14:paraId="16EC32E6">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阀门应按GB/T4981标准进行压力试验,并进行阀门的密封检验，阀体、法兰连接、阀杆和阀座密封均不允许有泄漏。</w:t>
      </w:r>
    </w:p>
    <w:p w14:paraId="63ED904C">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）检验与调试</w:t>
      </w:r>
    </w:p>
    <w:p w14:paraId="31314D1A">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阀门安装完成后，承包商应负责现场调试，并按上述标准中的项目进行现场检验运行测试，满足要求方可验收。</w:t>
      </w:r>
    </w:p>
    <w:p w14:paraId="7C148E80">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阀门在无负载条件下，至少作阀板启闭3次试验，阀门关闭时，应无渗漏现象。</w:t>
      </w:r>
    </w:p>
    <w:p w14:paraId="100FF995">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操作应灵活，手感轻便，螺杆副旋合平稳，阀门无卡位，限位准确，限位开关的确的重复性偏差</w:t>
      </w:r>
      <w:r>
        <w:rPr>
          <w:rFonts w:hint="eastAsia" w:ascii="宋体" w:hAnsi="宋体" w:eastAsia="宋体" w:cs="宋体"/>
          <w:color w:val="auto"/>
          <w:sz w:val="24"/>
          <w:szCs w:val="24"/>
          <w:highlight w:val="none"/>
        </w:rPr>
        <w:sym w:font="Times New Roman" w:char="0000"/>
      </w:r>
      <w:r>
        <w:rPr>
          <w:rFonts w:hint="eastAsia" w:ascii="宋体" w:hAnsi="宋体" w:eastAsia="宋体" w:cs="宋体"/>
          <w:color w:val="auto"/>
          <w:sz w:val="24"/>
          <w:szCs w:val="24"/>
          <w:highlight w:val="none"/>
        </w:rPr>
        <w:t>1mm。</w:t>
      </w:r>
    </w:p>
    <w:p w14:paraId="4E96F9C5">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电动执行机构的扭矩开关应灵敏可靠。</w:t>
      </w:r>
    </w:p>
    <w:p w14:paraId="6C47D305">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不允许有任何泄漏。</w:t>
      </w:r>
    </w:p>
    <w:p w14:paraId="6E80592F">
      <w:pPr>
        <w:pStyle w:val="106"/>
        <w:spacing w:line="500" w:lineRule="exact"/>
        <w:ind w:firstLine="0" w:firstLineChars="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手动操作力矩应小于150Nm。</w:t>
      </w:r>
    </w:p>
    <w:p w14:paraId="6A616611">
      <w:pPr>
        <w:pStyle w:val="106"/>
        <w:spacing w:line="500" w:lineRule="exact"/>
        <w:ind w:firstLine="0" w:firstLineChars="0"/>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5.3</w:t>
      </w:r>
      <w:r>
        <w:rPr>
          <w:rFonts w:hint="eastAsia" w:ascii="宋体" w:hAnsi="宋体" w:eastAsia="宋体" w:cs="宋体"/>
          <w:b/>
          <w:color w:val="auto"/>
          <w:sz w:val="24"/>
          <w:szCs w:val="24"/>
          <w:highlight w:val="none"/>
        </w:rPr>
        <w:t>橡胶瓣止回阀</w:t>
      </w:r>
    </w:p>
    <w:p w14:paraId="0FBD094D">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1、供货范围</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67"/>
        <w:gridCol w:w="1838"/>
        <w:gridCol w:w="956"/>
        <w:gridCol w:w="1118"/>
        <w:gridCol w:w="1774"/>
        <w:gridCol w:w="1269"/>
      </w:tblGrid>
      <w:tr w14:paraId="3533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4D63710">
            <w:pPr>
              <w:pStyle w:val="106"/>
              <w:spacing w:line="5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67" w:type="dxa"/>
            <w:noWrap w:val="0"/>
            <w:vAlign w:val="center"/>
          </w:tcPr>
          <w:p w14:paraId="3E7154CE">
            <w:pPr>
              <w:pStyle w:val="106"/>
              <w:spacing w:line="5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838" w:type="dxa"/>
            <w:noWrap w:val="0"/>
            <w:vAlign w:val="center"/>
          </w:tcPr>
          <w:p w14:paraId="258F7DA0">
            <w:pPr>
              <w:pStyle w:val="106"/>
              <w:spacing w:line="5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56" w:type="dxa"/>
            <w:noWrap w:val="0"/>
            <w:vAlign w:val="center"/>
          </w:tcPr>
          <w:p w14:paraId="241EC0E5">
            <w:pPr>
              <w:pStyle w:val="106"/>
              <w:spacing w:line="5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18" w:type="dxa"/>
            <w:noWrap w:val="0"/>
            <w:vAlign w:val="center"/>
          </w:tcPr>
          <w:p w14:paraId="45B646E7">
            <w:pPr>
              <w:pStyle w:val="106"/>
              <w:spacing w:line="5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774" w:type="dxa"/>
            <w:noWrap w:val="0"/>
            <w:vAlign w:val="center"/>
          </w:tcPr>
          <w:p w14:paraId="2ABCE241">
            <w:pPr>
              <w:pStyle w:val="106"/>
              <w:spacing w:line="5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安装位置</w:t>
            </w:r>
          </w:p>
        </w:tc>
        <w:tc>
          <w:tcPr>
            <w:tcW w:w="1269" w:type="dxa"/>
            <w:noWrap w:val="0"/>
            <w:vAlign w:val="center"/>
          </w:tcPr>
          <w:p w14:paraId="0FEBBD30">
            <w:pPr>
              <w:pStyle w:val="106"/>
              <w:spacing w:line="5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D91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shd w:val="clear" w:color="auto" w:fill="auto"/>
            <w:noWrap w:val="0"/>
            <w:vAlign w:val="center"/>
          </w:tcPr>
          <w:p w14:paraId="1E0659A3">
            <w:pPr>
              <w:pStyle w:val="106"/>
              <w:spacing w:line="5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7" w:type="dxa"/>
            <w:shd w:val="clear" w:color="FFFFFF" w:fill="FFFFFF"/>
            <w:noWrap w:val="0"/>
            <w:vAlign w:val="center"/>
          </w:tcPr>
          <w:p w14:paraId="3CAC591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SA"/>
              </w:rPr>
              <w:t>橡胶膜瓣止回阀</w:t>
            </w:r>
          </w:p>
        </w:tc>
        <w:tc>
          <w:tcPr>
            <w:tcW w:w="1838" w:type="dxa"/>
            <w:shd w:val="clear" w:color="FFFFFF" w:fill="FFFFFF"/>
            <w:noWrap w:val="0"/>
            <w:vAlign w:val="center"/>
          </w:tcPr>
          <w:p w14:paraId="4E9CF49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SA"/>
              </w:rPr>
              <w:t>DN500,PN1.0MPa</w:t>
            </w:r>
          </w:p>
        </w:tc>
        <w:tc>
          <w:tcPr>
            <w:tcW w:w="956" w:type="dxa"/>
            <w:shd w:val="clear" w:color="FFFFFF" w:fill="FFFFFF"/>
            <w:noWrap w:val="0"/>
            <w:vAlign w:val="center"/>
          </w:tcPr>
          <w:p w14:paraId="19EB9A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SA"/>
              </w:rPr>
              <w:t>只</w:t>
            </w:r>
          </w:p>
        </w:tc>
        <w:tc>
          <w:tcPr>
            <w:tcW w:w="1118" w:type="dxa"/>
            <w:shd w:val="clear" w:color="FFFFFF" w:fill="FFFFFF"/>
            <w:noWrap w:val="0"/>
            <w:vAlign w:val="center"/>
          </w:tcPr>
          <w:p w14:paraId="4D08B8A1">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color w:val="000000"/>
                <w:kern w:val="0"/>
                <w:sz w:val="24"/>
                <w:szCs w:val="24"/>
                <w:u w:val="none"/>
                <w:lang w:val="en-US" w:eastAsia="zh-CN" w:bidi="ar-SA"/>
              </w:rPr>
              <w:t>6</w:t>
            </w:r>
          </w:p>
        </w:tc>
        <w:tc>
          <w:tcPr>
            <w:tcW w:w="1774" w:type="dxa"/>
            <w:noWrap w:val="0"/>
            <w:vAlign w:val="center"/>
          </w:tcPr>
          <w:p w14:paraId="60C7B99D">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阀门井</w:t>
            </w:r>
          </w:p>
        </w:tc>
        <w:tc>
          <w:tcPr>
            <w:tcW w:w="1269" w:type="dxa"/>
            <w:noWrap w:val="0"/>
            <w:vAlign w:val="center"/>
          </w:tcPr>
          <w:p w14:paraId="4BD36D74">
            <w:pPr>
              <w:pStyle w:val="106"/>
              <w:spacing w:line="240" w:lineRule="auto"/>
              <w:ind w:firstLine="0" w:firstLineChars="0"/>
              <w:jc w:val="center"/>
              <w:rPr>
                <w:rFonts w:hint="eastAsia" w:ascii="宋体" w:hAnsi="宋体" w:eastAsia="宋体" w:cs="宋体"/>
                <w:color w:val="auto"/>
                <w:sz w:val="24"/>
                <w:szCs w:val="24"/>
                <w:highlight w:val="none"/>
              </w:rPr>
            </w:pPr>
          </w:p>
        </w:tc>
      </w:tr>
    </w:tbl>
    <w:p w14:paraId="6769C487">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2、型式：橡胶瓣。</w:t>
      </w:r>
    </w:p>
    <w:p w14:paraId="51D34329">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3、操作方式：依靠自重、介质的压力关闭。</w:t>
      </w:r>
    </w:p>
    <w:p w14:paraId="766147EC">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4、构成：由阀体、阀盖及橡胶瓣等组成。</w:t>
      </w:r>
    </w:p>
    <w:p w14:paraId="699BEC0E">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所有止回阀包括：全套螺栓、垫片等安装附件。</w:t>
      </w:r>
    </w:p>
    <w:p w14:paraId="49AC108C">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5、材质</w:t>
      </w:r>
    </w:p>
    <w:p w14:paraId="427F5705">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阀体：球墨铸铁</w:t>
      </w:r>
    </w:p>
    <w:p w14:paraId="4C1D5DCD">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阀盖：球墨铸铁</w:t>
      </w:r>
    </w:p>
    <w:p w14:paraId="20FB28ED">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转轴：不锈钢</w:t>
      </w:r>
    </w:p>
    <w:p w14:paraId="63CA07F4">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阀板：由不锈钢板及强化尼龙做衬底</w:t>
      </w:r>
      <w:r>
        <w:rPr>
          <w:rFonts w:hint="eastAsia" w:ascii="宋体" w:hAnsi="宋体" w:eastAsia="宋体" w:cs="宋体"/>
          <w:color w:val="FF0000"/>
          <w:sz w:val="24"/>
          <w:szCs w:val="24"/>
        </w:rPr>
        <w:t>或球墨铸铁</w:t>
      </w:r>
      <w:r>
        <w:rPr>
          <w:rFonts w:hint="eastAsia" w:ascii="宋体" w:hAnsi="宋体" w:eastAsia="宋体" w:cs="宋体"/>
          <w:color w:val="auto"/>
          <w:sz w:val="24"/>
          <w:szCs w:val="24"/>
          <w:highlight w:val="none"/>
        </w:rPr>
        <w:t>，外层披橡胶</w:t>
      </w:r>
    </w:p>
    <w:p w14:paraId="727BB80F">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其它部件材质由承包商在标书中明确。</w:t>
      </w:r>
    </w:p>
    <w:p w14:paraId="6A69F85C">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6、安装形式及场所</w:t>
      </w:r>
    </w:p>
    <w:p w14:paraId="5E64EF2D">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用螺栓与管道上法兰连接，安装于室外阀门井中。</w:t>
      </w:r>
    </w:p>
    <w:p w14:paraId="3B14D5B5">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管道内介质温度0～40℃</w:t>
      </w:r>
    </w:p>
    <w:p w14:paraId="3380CB92">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7、使用寿命</w:t>
      </w:r>
    </w:p>
    <w:p w14:paraId="32E960A7">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止回阀使用寿命不低于20年</w:t>
      </w:r>
    </w:p>
    <w:p w14:paraId="0808855E">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8、其它</w:t>
      </w:r>
    </w:p>
    <w:p w14:paraId="34AF00E7">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阀门应防污水腐蚀，阀门关严时，渗漏量为零，密封性好。</w:t>
      </w:r>
    </w:p>
    <w:p w14:paraId="24C2D8F3">
      <w:pPr>
        <w:pStyle w:val="106"/>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阀门启闭特性好，阀门开启压力≤0.02Mpa，具有微阻缓闭功能。</w:t>
      </w:r>
    </w:p>
    <w:p w14:paraId="3485D51D">
      <w:pPr>
        <w:spacing w:line="500" w:lineRule="exact"/>
        <w:jc w:val="left"/>
        <w:outlineLvl w:val="2"/>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闸门类</w:t>
      </w:r>
    </w:p>
    <w:p w14:paraId="3A3BB0DC">
      <w:pPr>
        <w:pStyle w:val="106"/>
        <w:rPr>
          <w:rFonts w:hint="eastAsia" w:ascii="宋体" w:hAnsi="宋体" w:eastAsia="宋体" w:cs="宋体"/>
          <w:sz w:val="24"/>
          <w:szCs w:val="24"/>
          <w:lang w:val="en-US" w:eastAsia="zh-CN"/>
        </w:rPr>
      </w:pPr>
      <w:bookmarkStart w:id="15" w:name="_Toc29470"/>
      <w:r>
        <w:rPr>
          <w:rFonts w:hint="eastAsia" w:ascii="宋体" w:hAnsi="宋体" w:eastAsia="宋体" w:cs="宋体"/>
          <w:sz w:val="24"/>
          <w:szCs w:val="24"/>
          <w:lang w:val="en-US" w:eastAsia="zh-CN"/>
        </w:rPr>
        <w:t>6.1 供货范围</w:t>
      </w:r>
      <w:bookmarkEnd w:id="15"/>
    </w:p>
    <w:p w14:paraId="0DB66A7C">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常用于给水、排水、引水、防汛等水利工程。</w:t>
      </w:r>
    </w:p>
    <w:p w14:paraId="117E8190">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1.装配完整的不锈钢方闸门（闸板、闸框、螺杆、楔紧装置、密封座、吊耳等）。</w:t>
      </w:r>
    </w:p>
    <w:p w14:paraId="70747E78">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2.不锈钢传动螺杆及销轴、防雨罩、轴导架。</w:t>
      </w:r>
    </w:p>
    <w:p w14:paraId="636337B1">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3.完整的一体化电动执行机构。</w:t>
      </w:r>
    </w:p>
    <w:p w14:paraId="619E2DDF">
      <w:pPr>
        <w:pStyle w:val="106"/>
        <w:rPr>
          <w:rFonts w:hint="eastAsia" w:ascii="宋体" w:hAnsi="宋体" w:eastAsia="宋体" w:cs="宋体"/>
          <w:sz w:val="24"/>
          <w:szCs w:val="24"/>
          <w:lang w:val="en-US" w:eastAsia="zh-CN"/>
        </w:rPr>
      </w:pPr>
      <w:bookmarkStart w:id="16" w:name="_Toc20276"/>
      <w:r>
        <w:rPr>
          <w:rFonts w:hint="eastAsia" w:ascii="宋体" w:hAnsi="宋体" w:eastAsia="宋体" w:cs="宋体"/>
          <w:sz w:val="24"/>
          <w:szCs w:val="24"/>
          <w:lang w:val="en-US" w:eastAsia="zh-CN"/>
        </w:rPr>
        <w:t>6.2 形式及结构</w:t>
      </w:r>
      <w:bookmarkEnd w:id="16"/>
    </w:p>
    <w:p w14:paraId="125D670B">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1．形式：明杆式不锈钢方闸门</w:t>
      </w:r>
    </w:p>
    <w:p w14:paraId="3A813998">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结构：本设备主要由手电两用启闭机、不锈钢闸门（门框、闸板、螺杆）楔紧装置、密封座、吊耳等部件组成。密封面上压有丁晴橡胶，保证了密封性和耐久性，久用磨损后，并可通过楔形楔块保证正常工作。具有结构合理、封闭性好，安装、调整、使用、维护方便、性能可靠等特点。</w:t>
      </w:r>
    </w:p>
    <w:p w14:paraId="0D25C979">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6.3主要零部件</w:t>
      </w:r>
    </w:p>
    <w:p w14:paraId="541923B2">
      <w:pPr>
        <w:pStyle w:val="106"/>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不锈钢闸门主要材质：</w:t>
      </w:r>
    </w:p>
    <w:p w14:paraId="353F4D2A">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闸板：          不锈钢0Cr18Ni9            </w:t>
      </w:r>
    </w:p>
    <w:p w14:paraId="1622A291">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闸框：          不锈钢0Cr18Ni9</w:t>
      </w:r>
    </w:p>
    <w:p w14:paraId="3EE61EC5">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传动螺杆：      不锈钢2Cr13          </w:t>
      </w:r>
    </w:p>
    <w:p w14:paraId="4AF2611F">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密封座：        丁晴橡胶</w:t>
      </w:r>
    </w:p>
    <w:p w14:paraId="001B32DA">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紧固件：        不锈钢0Cr18Ni9           </w:t>
      </w:r>
    </w:p>
    <w:p w14:paraId="17B70E9A">
      <w:pPr>
        <w:pStyle w:val="106"/>
        <w:rPr>
          <w:rFonts w:hint="eastAsia" w:ascii="宋体" w:hAnsi="宋体" w:eastAsia="宋体" w:cs="宋体"/>
          <w:sz w:val="24"/>
          <w:szCs w:val="24"/>
          <w:lang w:val="en-US" w:eastAsia="zh-CN"/>
        </w:rPr>
      </w:pPr>
      <w:bookmarkStart w:id="17" w:name="_Toc2434"/>
      <w:r>
        <w:rPr>
          <w:rFonts w:hint="eastAsia" w:ascii="宋体" w:hAnsi="宋体" w:eastAsia="宋体" w:cs="宋体"/>
          <w:sz w:val="24"/>
          <w:szCs w:val="24"/>
          <w:lang w:val="en-US" w:eastAsia="zh-CN"/>
        </w:rPr>
        <w:t>6.4 主要技术参数</w:t>
      </w:r>
      <w:bookmarkEnd w:id="17"/>
    </w:p>
    <w:tbl>
      <w:tblPr>
        <w:tblStyle w:val="62"/>
        <w:tblW w:w="0" w:type="auto"/>
        <w:tblInd w:w="0" w:type="dxa"/>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Layout w:type="fixed"/>
        <w:tblCellMar>
          <w:top w:w="0" w:type="dxa"/>
          <w:left w:w="108" w:type="dxa"/>
          <w:bottom w:w="0" w:type="dxa"/>
          <w:right w:w="108" w:type="dxa"/>
        </w:tblCellMar>
      </w:tblPr>
      <w:tblGrid>
        <w:gridCol w:w="4029"/>
        <w:gridCol w:w="1545"/>
        <w:gridCol w:w="3765"/>
      </w:tblGrid>
      <w:tr w14:paraId="0510E1BC">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479" w:hRule="atLeast"/>
          <w:tblHeader/>
        </w:trPr>
        <w:tc>
          <w:tcPr>
            <w:tcW w:w="4029" w:type="dxa"/>
            <w:tcBorders>
              <w:top w:val="threeDEngrave" w:color="auto" w:sz="6" w:space="0"/>
              <w:left w:val="threeDEngrave" w:color="auto" w:sz="6" w:space="0"/>
              <w:bottom w:val="single" w:color="auto" w:sz="4" w:space="0"/>
              <w:right w:val="dotted" w:color="auto" w:sz="4" w:space="0"/>
              <w:tl2br w:val="nil"/>
              <w:tr2bl w:val="nil"/>
            </w:tcBorders>
            <w:shd w:val="clear" w:color="auto" w:fill="F1F1F1"/>
            <w:noWrap w:val="0"/>
            <w:vAlign w:val="center"/>
          </w:tcPr>
          <w:p w14:paraId="0081F550">
            <w:pPr>
              <w:pStyle w:val="106"/>
              <w:rPr>
                <w:rFonts w:hint="eastAsia" w:ascii="宋体" w:hAnsi="宋体" w:eastAsia="宋体" w:cs="宋体"/>
                <w:sz w:val="24"/>
                <w:szCs w:val="24"/>
              </w:rPr>
            </w:pPr>
            <w:r>
              <w:rPr>
                <w:rFonts w:hint="eastAsia" w:ascii="宋体" w:hAnsi="宋体" w:eastAsia="宋体" w:cs="宋体"/>
                <w:sz w:val="24"/>
                <w:szCs w:val="24"/>
              </w:rPr>
              <w:t>名称</w:t>
            </w:r>
          </w:p>
        </w:tc>
        <w:tc>
          <w:tcPr>
            <w:tcW w:w="1545" w:type="dxa"/>
            <w:tcBorders>
              <w:top w:val="threeDEngrave" w:color="auto" w:sz="6" w:space="0"/>
              <w:left w:val="dotted" w:color="auto" w:sz="4" w:space="0"/>
              <w:bottom w:val="single" w:color="auto" w:sz="4" w:space="0"/>
              <w:right w:val="dotted" w:color="auto" w:sz="4" w:space="0"/>
              <w:tl2br w:val="nil"/>
              <w:tr2bl w:val="nil"/>
            </w:tcBorders>
            <w:shd w:val="clear" w:color="auto" w:fill="F1F1F1"/>
            <w:noWrap w:val="0"/>
            <w:vAlign w:val="center"/>
          </w:tcPr>
          <w:p w14:paraId="14FE80CA">
            <w:pPr>
              <w:pStyle w:val="106"/>
              <w:rPr>
                <w:rFonts w:hint="eastAsia" w:ascii="宋体" w:hAnsi="宋体" w:eastAsia="宋体" w:cs="宋体"/>
                <w:sz w:val="24"/>
                <w:szCs w:val="24"/>
              </w:rPr>
            </w:pPr>
            <w:r>
              <w:rPr>
                <w:rFonts w:hint="eastAsia" w:ascii="宋体" w:hAnsi="宋体" w:eastAsia="宋体" w:cs="宋体"/>
                <w:sz w:val="24"/>
                <w:szCs w:val="24"/>
              </w:rPr>
              <w:t>单位</w:t>
            </w:r>
          </w:p>
        </w:tc>
        <w:tc>
          <w:tcPr>
            <w:tcW w:w="3765" w:type="dxa"/>
            <w:tcBorders>
              <w:top w:val="threeDEngrave" w:color="auto" w:sz="6" w:space="0"/>
              <w:left w:val="dotted" w:color="auto" w:sz="4" w:space="0"/>
              <w:bottom w:val="single" w:color="auto" w:sz="4" w:space="0"/>
              <w:right w:val="threeDEmboss" w:color="auto" w:sz="6" w:space="0"/>
              <w:tl2br w:val="nil"/>
              <w:tr2bl w:val="nil"/>
            </w:tcBorders>
            <w:shd w:val="clear" w:color="auto" w:fill="F1F1F1"/>
            <w:noWrap w:val="0"/>
            <w:vAlign w:val="center"/>
          </w:tcPr>
          <w:p w14:paraId="2B793D21">
            <w:pPr>
              <w:pStyle w:val="106"/>
              <w:rPr>
                <w:rFonts w:hint="eastAsia" w:ascii="宋体" w:hAnsi="宋体" w:eastAsia="宋体" w:cs="宋体"/>
                <w:sz w:val="24"/>
                <w:szCs w:val="24"/>
              </w:rPr>
            </w:pPr>
            <w:r>
              <w:rPr>
                <w:rFonts w:hint="eastAsia" w:ascii="宋体" w:hAnsi="宋体" w:eastAsia="宋体" w:cs="宋体"/>
                <w:sz w:val="24"/>
                <w:szCs w:val="24"/>
              </w:rPr>
              <w:t>数值</w:t>
            </w:r>
          </w:p>
        </w:tc>
      </w:tr>
      <w:tr w14:paraId="5742AA65">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70E32708">
            <w:pPr>
              <w:pStyle w:val="106"/>
              <w:rPr>
                <w:rFonts w:hint="eastAsia" w:ascii="宋体" w:hAnsi="宋体" w:eastAsia="宋体" w:cs="宋体"/>
                <w:sz w:val="24"/>
                <w:szCs w:val="24"/>
              </w:rPr>
            </w:pPr>
            <w:r>
              <w:rPr>
                <w:rFonts w:hint="eastAsia" w:ascii="宋体" w:hAnsi="宋体" w:eastAsia="宋体" w:cs="宋体"/>
                <w:sz w:val="24"/>
                <w:szCs w:val="24"/>
              </w:rPr>
              <w:t>数量</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4BF95D2D">
            <w:pPr>
              <w:pStyle w:val="106"/>
              <w:rPr>
                <w:rFonts w:hint="eastAsia" w:ascii="宋体" w:hAnsi="宋体" w:eastAsia="宋体" w:cs="宋体"/>
                <w:sz w:val="24"/>
                <w:szCs w:val="24"/>
              </w:rPr>
            </w:pPr>
            <w:r>
              <w:rPr>
                <w:rFonts w:hint="eastAsia" w:ascii="宋体" w:hAnsi="宋体" w:eastAsia="宋体" w:cs="宋体"/>
                <w:sz w:val="24"/>
                <w:szCs w:val="24"/>
              </w:rPr>
              <w:t>台</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46EEC542">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1E29A119">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4F50FE85">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安装形式</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049CCC7B">
            <w:pPr>
              <w:pStyle w:val="106"/>
              <w:rPr>
                <w:rFonts w:hint="eastAsia" w:ascii="宋体" w:hAnsi="宋体" w:eastAsia="宋体" w:cs="宋体"/>
                <w:sz w:val="24"/>
                <w:szCs w:val="24"/>
              </w:rPr>
            </w:pPr>
            <w:r>
              <w:rPr>
                <w:rFonts w:hint="eastAsia" w:ascii="宋体" w:hAnsi="宋体" w:eastAsia="宋体" w:cs="宋体"/>
                <w:sz w:val="24"/>
                <w:szCs w:val="24"/>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200CF867">
            <w:pPr>
              <w:pStyle w:val="106"/>
              <w:rPr>
                <w:rFonts w:hint="eastAsia" w:ascii="宋体" w:hAnsi="宋体" w:eastAsia="宋体" w:cs="宋体"/>
                <w:sz w:val="24"/>
                <w:szCs w:val="24"/>
              </w:rPr>
            </w:pPr>
            <w:r>
              <w:rPr>
                <w:rFonts w:hint="eastAsia" w:ascii="宋体" w:hAnsi="宋体" w:eastAsia="宋体" w:cs="宋体"/>
                <w:sz w:val="24"/>
                <w:szCs w:val="24"/>
              </w:rPr>
              <w:t>附墙式</w:t>
            </w:r>
          </w:p>
        </w:tc>
      </w:tr>
      <w:tr w14:paraId="38588574">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59334477">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洞口尺寸</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11B75ED3">
            <w:pPr>
              <w:pStyle w:val="106"/>
              <w:rPr>
                <w:rFonts w:hint="eastAsia" w:ascii="宋体" w:hAnsi="宋体" w:eastAsia="宋体" w:cs="宋体"/>
                <w:sz w:val="24"/>
                <w:szCs w:val="24"/>
              </w:rPr>
            </w:pPr>
            <w:r>
              <w:rPr>
                <w:rFonts w:hint="eastAsia" w:ascii="宋体" w:hAnsi="宋体" w:eastAsia="宋体" w:cs="宋体"/>
                <w:sz w:val="24"/>
                <w:szCs w:val="24"/>
              </w:rPr>
              <w:t>mm</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5EE7E9ED">
            <w:pPr>
              <w:pStyle w:val="106"/>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SA"/>
              </w:rPr>
              <w:t>1200*1200</w:t>
            </w:r>
          </w:p>
        </w:tc>
      </w:tr>
      <w:tr w14:paraId="4A02B2B5">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5FEC4E67">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受压方向</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520586EE">
            <w:pPr>
              <w:pStyle w:val="106"/>
              <w:rPr>
                <w:rFonts w:hint="eastAsia" w:ascii="宋体" w:hAnsi="宋体" w:eastAsia="宋体" w:cs="宋体"/>
                <w:sz w:val="24"/>
                <w:szCs w:val="24"/>
              </w:rPr>
            </w:pPr>
            <w:r>
              <w:rPr>
                <w:rFonts w:hint="eastAsia" w:ascii="宋体" w:hAnsi="宋体" w:eastAsia="宋体" w:cs="宋体"/>
                <w:sz w:val="24"/>
                <w:szCs w:val="24"/>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049C7829">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双向受压</w:t>
            </w:r>
          </w:p>
        </w:tc>
      </w:tr>
      <w:tr w14:paraId="1FAD8D72">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695AFEE3">
            <w:pPr>
              <w:pStyle w:val="106"/>
              <w:rPr>
                <w:rFonts w:hint="eastAsia" w:ascii="宋体" w:hAnsi="宋体" w:eastAsia="宋体" w:cs="宋体"/>
                <w:sz w:val="24"/>
                <w:szCs w:val="24"/>
              </w:rPr>
            </w:pPr>
            <w:r>
              <w:rPr>
                <w:rFonts w:hint="eastAsia" w:ascii="宋体" w:hAnsi="宋体" w:eastAsia="宋体" w:cs="宋体"/>
                <w:sz w:val="24"/>
                <w:szCs w:val="24"/>
              </w:rPr>
              <w:t>主要各部件材质</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3BFADD9C">
            <w:pPr>
              <w:pStyle w:val="106"/>
              <w:rPr>
                <w:rFonts w:hint="eastAsia" w:ascii="宋体" w:hAnsi="宋体" w:eastAsia="宋体" w:cs="宋体"/>
                <w:sz w:val="24"/>
                <w:szCs w:val="24"/>
              </w:rPr>
            </w:pP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39B4A8C2">
            <w:pPr>
              <w:pStyle w:val="106"/>
              <w:rPr>
                <w:rFonts w:hint="eastAsia" w:ascii="宋体" w:hAnsi="宋体" w:eastAsia="宋体" w:cs="宋体"/>
                <w:sz w:val="24"/>
                <w:szCs w:val="24"/>
              </w:rPr>
            </w:pPr>
          </w:p>
        </w:tc>
      </w:tr>
      <w:tr w14:paraId="0741687B">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70DEB823">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门体</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26C74D03">
            <w:pPr>
              <w:pStyle w:val="106"/>
              <w:rPr>
                <w:rFonts w:hint="eastAsia" w:ascii="宋体" w:hAnsi="宋体" w:eastAsia="宋体" w:cs="宋体"/>
                <w:sz w:val="24"/>
                <w:szCs w:val="24"/>
              </w:rPr>
            </w:pPr>
            <w:r>
              <w:rPr>
                <w:rFonts w:hint="eastAsia" w:ascii="宋体" w:hAnsi="宋体" w:eastAsia="宋体" w:cs="宋体"/>
                <w:sz w:val="24"/>
                <w:szCs w:val="24"/>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128C9EDE">
            <w:pPr>
              <w:pStyle w:val="106"/>
              <w:rPr>
                <w:rFonts w:hint="eastAsia" w:ascii="宋体" w:hAnsi="宋体" w:eastAsia="宋体" w:cs="宋体"/>
                <w:sz w:val="24"/>
                <w:szCs w:val="24"/>
                <w:lang w:val="en-US" w:eastAsia="zh-CN"/>
              </w:rPr>
            </w:pPr>
            <w:r>
              <w:rPr>
                <w:rFonts w:hint="eastAsia" w:ascii="宋体" w:hAnsi="宋体" w:eastAsia="宋体" w:cs="宋体"/>
                <w:sz w:val="24"/>
                <w:szCs w:val="24"/>
              </w:rPr>
              <w:t>不锈钢</w:t>
            </w:r>
            <w:r>
              <w:rPr>
                <w:rFonts w:hint="eastAsia" w:ascii="宋体" w:hAnsi="宋体" w:eastAsia="宋体" w:cs="宋体"/>
                <w:sz w:val="24"/>
                <w:szCs w:val="24"/>
                <w:lang w:val="en-US" w:eastAsia="zh-CN"/>
              </w:rPr>
              <w:t>304</w:t>
            </w:r>
          </w:p>
        </w:tc>
      </w:tr>
      <w:tr w14:paraId="7FC10C4A">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58D70515">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门框</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242C65C6">
            <w:pPr>
              <w:pStyle w:val="106"/>
              <w:rPr>
                <w:rFonts w:hint="eastAsia" w:ascii="宋体" w:hAnsi="宋体" w:eastAsia="宋体" w:cs="宋体"/>
                <w:sz w:val="24"/>
                <w:szCs w:val="24"/>
              </w:rPr>
            </w:pPr>
            <w:r>
              <w:rPr>
                <w:rFonts w:hint="eastAsia" w:ascii="宋体" w:hAnsi="宋体" w:eastAsia="宋体" w:cs="宋体"/>
                <w:sz w:val="24"/>
                <w:szCs w:val="24"/>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764CAAA7">
            <w:pPr>
              <w:pStyle w:val="106"/>
              <w:rPr>
                <w:rFonts w:hint="eastAsia" w:ascii="宋体" w:hAnsi="宋体" w:eastAsia="宋体" w:cs="宋体"/>
                <w:sz w:val="24"/>
                <w:szCs w:val="24"/>
              </w:rPr>
            </w:pPr>
            <w:r>
              <w:rPr>
                <w:rFonts w:hint="eastAsia" w:ascii="宋体" w:hAnsi="宋体" w:eastAsia="宋体" w:cs="宋体"/>
                <w:sz w:val="24"/>
                <w:szCs w:val="24"/>
              </w:rPr>
              <w:t>不锈钢</w:t>
            </w:r>
            <w:r>
              <w:rPr>
                <w:rFonts w:hint="eastAsia" w:ascii="宋体" w:hAnsi="宋体" w:eastAsia="宋体" w:cs="宋体"/>
                <w:sz w:val="24"/>
                <w:szCs w:val="24"/>
                <w:lang w:val="en-US" w:eastAsia="zh-CN"/>
              </w:rPr>
              <w:t>304</w:t>
            </w:r>
          </w:p>
        </w:tc>
      </w:tr>
      <w:tr w14:paraId="7BDCD880">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51BA9F5E">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启闭机基座</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04F94654">
            <w:pPr>
              <w:pStyle w:val="106"/>
              <w:rPr>
                <w:rFonts w:hint="eastAsia" w:ascii="宋体" w:hAnsi="宋体" w:eastAsia="宋体" w:cs="宋体"/>
                <w:sz w:val="24"/>
                <w:szCs w:val="24"/>
              </w:rPr>
            </w:pPr>
            <w:r>
              <w:rPr>
                <w:rFonts w:hint="eastAsia" w:ascii="宋体" w:hAnsi="宋体" w:eastAsia="宋体" w:cs="宋体"/>
                <w:sz w:val="24"/>
                <w:szCs w:val="24"/>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6E975DC0">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铸铁</w:t>
            </w:r>
          </w:p>
        </w:tc>
      </w:tr>
      <w:tr w14:paraId="46AF767D">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3029E896">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丝杆</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2A0DF3FF">
            <w:pPr>
              <w:pStyle w:val="106"/>
              <w:rPr>
                <w:rFonts w:hint="eastAsia" w:ascii="宋体" w:hAnsi="宋体" w:eastAsia="宋体" w:cs="宋体"/>
                <w:sz w:val="24"/>
                <w:szCs w:val="24"/>
              </w:rPr>
            </w:pPr>
            <w:r>
              <w:rPr>
                <w:rFonts w:hint="eastAsia" w:ascii="宋体" w:hAnsi="宋体" w:eastAsia="宋体" w:cs="宋体"/>
                <w:sz w:val="24"/>
                <w:szCs w:val="24"/>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0C51B247">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2Cr13</w:t>
            </w:r>
          </w:p>
        </w:tc>
      </w:tr>
      <w:tr w14:paraId="21872138">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4ED87D7A">
            <w:pPr>
              <w:pStyle w:val="106"/>
              <w:rPr>
                <w:rFonts w:hint="eastAsia" w:ascii="宋体" w:hAnsi="宋体" w:eastAsia="宋体" w:cs="宋体"/>
                <w:sz w:val="24"/>
                <w:szCs w:val="24"/>
              </w:rPr>
            </w:pPr>
            <w:r>
              <w:rPr>
                <w:rFonts w:hint="eastAsia" w:ascii="宋体" w:hAnsi="宋体" w:eastAsia="宋体" w:cs="宋体"/>
                <w:sz w:val="24"/>
                <w:szCs w:val="24"/>
              </w:rPr>
              <w:t>所有连接附件/地脚螺栓</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2F70DFDA">
            <w:pPr>
              <w:pStyle w:val="106"/>
              <w:rPr>
                <w:rFonts w:hint="eastAsia" w:ascii="宋体" w:hAnsi="宋体" w:eastAsia="宋体" w:cs="宋体"/>
                <w:sz w:val="24"/>
                <w:szCs w:val="24"/>
              </w:rPr>
            </w:pPr>
            <w:r>
              <w:rPr>
                <w:rFonts w:hint="eastAsia" w:ascii="宋体" w:hAnsi="宋体" w:eastAsia="宋体" w:cs="宋体"/>
                <w:sz w:val="24"/>
                <w:szCs w:val="24"/>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0044057C">
            <w:pPr>
              <w:pStyle w:val="106"/>
              <w:rPr>
                <w:rFonts w:hint="eastAsia" w:ascii="宋体" w:hAnsi="宋体" w:eastAsia="宋体" w:cs="宋体"/>
                <w:sz w:val="24"/>
                <w:szCs w:val="24"/>
              </w:rPr>
            </w:pPr>
            <w:r>
              <w:rPr>
                <w:rFonts w:hint="eastAsia" w:ascii="宋体" w:hAnsi="宋体" w:eastAsia="宋体" w:cs="宋体"/>
                <w:sz w:val="24"/>
                <w:szCs w:val="24"/>
              </w:rPr>
              <w:t>不锈钢304</w:t>
            </w:r>
          </w:p>
        </w:tc>
      </w:tr>
      <w:tr w14:paraId="7AA14563">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6E6D931C">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电动执行机构</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7723F225">
            <w:pPr>
              <w:pStyle w:val="106"/>
              <w:rPr>
                <w:rFonts w:hint="eastAsia" w:ascii="宋体" w:hAnsi="宋体" w:eastAsia="宋体" w:cs="宋体"/>
                <w:sz w:val="24"/>
                <w:szCs w:val="24"/>
              </w:rPr>
            </w:pPr>
            <w:r>
              <w:rPr>
                <w:rFonts w:hint="eastAsia" w:ascii="宋体" w:hAnsi="宋体" w:eastAsia="宋体" w:cs="宋体"/>
                <w:sz w:val="24"/>
                <w:szCs w:val="24"/>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659B2454">
            <w:pPr>
              <w:pStyle w:val="106"/>
              <w:rPr>
                <w:rFonts w:hint="eastAsia" w:ascii="宋体" w:hAnsi="宋体" w:eastAsia="宋体" w:cs="宋体"/>
                <w:sz w:val="24"/>
                <w:szCs w:val="24"/>
              </w:rPr>
            </w:pPr>
          </w:p>
        </w:tc>
      </w:tr>
      <w:tr w14:paraId="06E08A7F">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28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top"/>
          </w:tcPr>
          <w:p w14:paraId="52A87954">
            <w:pPr>
              <w:pStyle w:val="106"/>
              <w:rPr>
                <w:rFonts w:hint="eastAsia" w:ascii="宋体" w:hAnsi="宋体" w:eastAsia="宋体" w:cs="宋体"/>
                <w:sz w:val="24"/>
                <w:szCs w:val="24"/>
              </w:rPr>
            </w:pPr>
            <w:r>
              <w:rPr>
                <w:rFonts w:hint="eastAsia" w:ascii="宋体" w:hAnsi="宋体" w:eastAsia="宋体" w:cs="宋体"/>
                <w:sz w:val="24"/>
                <w:szCs w:val="24"/>
              </w:rPr>
              <w:t>额定功率</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7C57025D">
            <w:pPr>
              <w:pStyle w:val="106"/>
              <w:rPr>
                <w:rFonts w:hint="eastAsia" w:ascii="宋体" w:hAnsi="宋体" w:eastAsia="宋体" w:cs="宋体"/>
                <w:sz w:val="24"/>
                <w:szCs w:val="24"/>
              </w:rPr>
            </w:pPr>
            <w:r>
              <w:rPr>
                <w:rFonts w:hint="eastAsia" w:ascii="宋体" w:hAnsi="宋体" w:eastAsia="宋体" w:cs="宋体"/>
                <w:sz w:val="24"/>
                <w:szCs w:val="24"/>
              </w:rPr>
              <w:t>kW</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top"/>
          </w:tcPr>
          <w:p w14:paraId="5ECC56D7">
            <w:pPr>
              <w:pStyle w:val="106"/>
              <w:rPr>
                <w:rFonts w:hint="eastAsia" w:ascii="宋体" w:hAnsi="宋体" w:eastAsia="宋体" w:cs="宋体"/>
                <w:sz w:val="24"/>
                <w:szCs w:val="24"/>
              </w:rPr>
            </w:pPr>
            <w:r>
              <w:rPr>
                <w:rFonts w:hint="eastAsia" w:ascii="宋体" w:hAnsi="宋体" w:eastAsia="宋体" w:cs="宋体"/>
                <w:sz w:val="24"/>
                <w:szCs w:val="24"/>
              </w:rPr>
              <w:t>1.1kw</w:t>
            </w:r>
          </w:p>
        </w:tc>
      </w:tr>
      <w:tr w14:paraId="40EC7DA1">
        <w:tblPrEx>
          <w:tblBorders>
            <w:top w:val="thinThickLargeGap" w:color="auto" w:sz="12" w:space="0"/>
            <w:left w:val="thinThickLargeGap" w:color="auto" w:sz="12" w:space="0"/>
            <w:bottom w:val="thickThinLargeGap" w:color="auto" w:sz="12" w:space="0"/>
            <w:right w:val="thickThinLargeGap" w:color="auto" w:sz="12" w:space="0"/>
            <w:insideH w:val="dotted" w:color="auto" w:sz="4" w:space="0"/>
            <w:insideV w:val="dotted" w:color="auto" w:sz="4" w:space="0"/>
          </w:tblBorders>
          <w:tblCellMar>
            <w:top w:w="0" w:type="dxa"/>
            <w:left w:w="108" w:type="dxa"/>
            <w:bottom w:w="0" w:type="dxa"/>
            <w:right w:w="108" w:type="dxa"/>
          </w:tblCellMar>
        </w:tblPrEx>
        <w:trPr>
          <w:trHeight w:val="394" w:hRule="atLeast"/>
        </w:trPr>
        <w:tc>
          <w:tcPr>
            <w:tcW w:w="4029" w:type="dxa"/>
            <w:tcBorders>
              <w:top w:val="dotted" w:color="auto" w:sz="4" w:space="0"/>
              <w:left w:val="threeDEngrave" w:color="auto" w:sz="6" w:space="0"/>
              <w:bottom w:val="dotted" w:color="auto" w:sz="4" w:space="0"/>
              <w:right w:val="dotted" w:color="auto" w:sz="4" w:space="0"/>
              <w:tl2br w:val="nil"/>
              <w:tr2bl w:val="nil"/>
            </w:tcBorders>
            <w:noWrap w:val="0"/>
            <w:vAlign w:val="center"/>
          </w:tcPr>
          <w:p w14:paraId="7B0C7C45">
            <w:pPr>
              <w:pStyle w:val="106"/>
              <w:rPr>
                <w:rFonts w:hint="eastAsia" w:ascii="宋体" w:hAnsi="宋体" w:eastAsia="宋体" w:cs="宋体"/>
                <w:sz w:val="24"/>
                <w:szCs w:val="24"/>
              </w:rPr>
            </w:pPr>
            <w:r>
              <w:rPr>
                <w:rFonts w:hint="eastAsia" w:ascii="宋体" w:hAnsi="宋体" w:eastAsia="宋体" w:cs="宋体"/>
                <w:sz w:val="24"/>
                <w:szCs w:val="24"/>
              </w:rPr>
              <w:t>额定电压</w:t>
            </w:r>
          </w:p>
        </w:tc>
        <w:tc>
          <w:tcPr>
            <w:tcW w:w="1545" w:type="dxa"/>
            <w:tcBorders>
              <w:top w:val="dotted" w:color="auto" w:sz="4" w:space="0"/>
              <w:left w:val="dotted" w:color="auto" w:sz="4" w:space="0"/>
              <w:bottom w:val="dotted" w:color="auto" w:sz="4" w:space="0"/>
              <w:right w:val="dotted" w:color="auto" w:sz="4" w:space="0"/>
              <w:tl2br w:val="nil"/>
              <w:tr2bl w:val="nil"/>
            </w:tcBorders>
            <w:noWrap w:val="0"/>
            <w:vAlign w:val="center"/>
          </w:tcPr>
          <w:p w14:paraId="3904EB8D">
            <w:pPr>
              <w:pStyle w:val="106"/>
              <w:rPr>
                <w:rFonts w:hint="eastAsia" w:ascii="宋体" w:hAnsi="宋体" w:eastAsia="宋体" w:cs="宋体"/>
                <w:sz w:val="24"/>
                <w:szCs w:val="24"/>
              </w:rPr>
            </w:pPr>
            <w:r>
              <w:rPr>
                <w:rFonts w:hint="eastAsia" w:ascii="宋体" w:hAnsi="宋体" w:eastAsia="宋体" w:cs="宋体"/>
                <w:sz w:val="24"/>
                <w:szCs w:val="24"/>
              </w:rPr>
              <w:t>--</w:t>
            </w:r>
          </w:p>
        </w:tc>
        <w:tc>
          <w:tcPr>
            <w:tcW w:w="3765" w:type="dxa"/>
            <w:tcBorders>
              <w:top w:val="dotted" w:color="auto" w:sz="4" w:space="0"/>
              <w:left w:val="dotted" w:color="auto" w:sz="4" w:space="0"/>
              <w:bottom w:val="dotted" w:color="auto" w:sz="4" w:space="0"/>
              <w:right w:val="threeDEmboss" w:color="auto" w:sz="6" w:space="0"/>
              <w:tl2br w:val="nil"/>
              <w:tr2bl w:val="nil"/>
            </w:tcBorders>
            <w:noWrap w:val="0"/>
            <w:vAlign w:val="center"/>
          </w:tcPr>
          <w:p w14:paraId="6F3DF46F">
            <w:pPr>
              <w:pStyle w:val="106"/>
              <w:rPr>
                <w:rFonts w:hint="eastAsia" w:ascii="宋体" w:hAnsi="宋体" w:eastAsia="宋体" w:cs="宋体"/>
                <w:sz w:val="24"/>
                <w:szCs w:val="24"/>
              </w:rPr>
            </w:pPr>
            <w:r>
              <w:rPr>
                <w:rFonts w:hint="eastAsia" w:ascii="宋体" w:hAnsi="宋体" w:eastAsia="宋体" w:cs="宋体"/>
                <w:sz w:val="24"/>
                <w:szCs w:val="24"/>
              </w:rPr>
              <w:t>380V/3ph/50Hz</w:t>
            </w:r>
          </w:p>
        </w:tc>
      </w:tr>
    </w:tbl>
    <w:p w14:paraId="7EEDBD0C">
      <w:pPr>
        <w:pStyle w:val="106"/>
        <w:rPr>
          <w:rFonts w:hint="eastAsia" w:ascii="宋体" w:hAnsi="宋体" w:eastAsia="宋体" w:cs="宋体"/>
          <w:sz w:val="24"/>
          <w:szCs w:val="24"/>
          <w:lang w:val="en-US" w:eastAsia="zh-CN"/>
        </w:rPr>
      </w:pPr>
      <w:bookmarkStart w:id="18" w:name="_Toc4633"/>
      <w:r>
        <w:rPr>
          <w:rFonts w:hint="eastAsia" w:ascii="宋体" w:hAnsi="宋体" w:eastAsia="宋体" w:cs="宋体"/>
          <w:sz w:val="24"/>
          <w:szCs w:val="24"/>
          <w:lang w:val="en-US" w:eastAsia="zh-CN"/>
        </w:rPr>
        <w:t>6.5性能及结构</w:t>
      </w:r>
      <w:bookmarkEnd w:id="18"/>
    </w:p>
    <w:p w14:paraId="2481BABA">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1．不锈钢闸门的设计、制造、检验、和验收等都符合《不锈钢闸门--技术条件》企业标准。手电两用启闭机按ZBJ86001.2-89《螺杆式启闭机--技术条件》。</w:t>
      </w:r>
    </w:p>
    <w:p w14:paraId="54BD39A2">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2．闸门结构形式为明杆式不锈钢方闸门，闸门的主要闸板、闸框组成。</w:t>
      </w:r>
    </w:p>
    <w:p w14:paraId="6032BA77">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3．闸板、闸框按最大工作水头设计，其拉伸、压缩和剪切强度的安全系数不小于5， 挠度不大于构件长度的1/360 。</w:t>
      </w:r>
    </w:p>
    <w:p w14:paraId="0D026A97">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4．闸板、闸框在厚度上留出2mm的腐蚀裕度。</w:t>
      </w:r>
    </w:p>
    <w:p w14:paraId="7BC16776">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5．门架按最大工作水头设计，其拉伸、压缩和剪切强度的安全系数不小于5，在闸门开启到最高位置时，其门架的平台高于闸板的顶端。</w:t>
      </w:r>
    </w:p>
    <w:p w14:paraId="53FF436D">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密封座置于闸板上，用沉头螺钉紧固。在启闭闸板过程中，不能变形和松动。密封座工作面其表面粗糙度不大于3.2um。</w:t>
      </w:r>
    </w:p>
    <w:p w14:paraId="5F4D7C55">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7．密封座工作表面没有划痕、裂缝等缺陷，密封座的板厚不小于6mm。</w:t>
      </w:r>
    </w:p>
    <w:p w14:paraId="7CC01EEE">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8．在闸板上端设有吊耳与闸板连接，吊耳的受力点在闸板中心线，在最大水头启闭时，其拉伸压缩和剪切强度的安全系数大于5。</w:t>
      </w:r>
    </w:p>
    <w:p w14:paraId="0E8771A6">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9．螺杆的传动螺纹为梯形螺纹，螺杆按最大工作开闭力设计，其拉伸压缩和剪切强度的安全系数不小于5。</w:t>
      </w:r>
    </w:p>
    <w:p w14:paraId="58B678EC">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10．闸门在最大工作水头时，密封泄漏量正向小于1.25L/min.m， 反向小于1.25L/min.m (密封长度)。</w:t>
      </w:r>
    </w:p>
    <w:p w14:paraId="641EFB50">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11．启闭机装置采用螺旋传动，满足人工操作高度~1000mm。手轮上标明开闭方向，手轮顺时针为关闭闸门，人工操作力不大于150N。</w:t>
      </w:r>
    </w:p>
    <w:p w14:paraId="4BEF77DD">
      <w:pPr>
        <w:pStyle w:val="10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12.驱动装置设有防护罩,其结构形式便于维修检查,能满足室外安装使用的要求。</w:t>
      </w:r>
    </w:p>
    <w:p w14:paraId="63A99787">
      <w:pPr>
        <w:pStyle w:val="97"/>
        <w:rPr>
          <w:rFonts w:hint="eastAsia" w:ascii="宋体" w:hAnsi="宋体" w:eastAsia="宋体" w:cs="宋体"/>
          <w:color w:val="auto"/>
          <w:sz w:val="24"/>
          <w:szCs w:val="24"/>
          <w:highlight w:val="none"/>
        </w:rPr>
      </w:pPr>
    </w:p>
    <w:p w14:paraId="4B2EDB51">
      <w:pPr>
        <w:pStyle w:val="106"/>
        <w:numPr>
          <w:ilvl w:val="0"/>
          <w:numId w:val="11"/>
        </w:numPr>
        <w:spacing w:line="500" w:lineRule="exact"/>
        <w:ind w:firstLine="0" w:firstLineChars="0"/>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阀门、启闭机电动执行机构（标书中其他涉及电动执行机构的标准和要求与以下内容一致）</w:t>
      </w:r>
    </w:p>
    <w:p w14:paraId="300E59ED">
      <w:pPr>
        <w:pStyle w:val="97"/>
        <w:numPr>
          <w:ilvl w:val="0"/>
          <w:numId w:val="0"/>
        </w:numPr>
        <w:spacing w:beforeLines="0" w:afterLines="0"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1.适用环境温度：-5～60℃</w:t>
      </w:r>
    </w:p>
    <w:p w14:paraId="5AB947A0">
      <w:pPr>
        <w:pStyle w:val="97"/>
        <w:numPr>
          <w:ilvl w:val="0"/>
          <w:numId w:val="0"/>
        </w:numPr>
        <w:spacing w:beforeLines="0" w:afterLines="0"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2.相对湿度：95%</w:t>
      </w:r>
    </w:p>
    <w:p w14:paraId="75E782F5">
      <w:pPr>
        <w:pStyle w:val="97"/>
        <w:numPr>
          <w:ilvl w:val="0"/>
          <w:numId w:val="0"/>
        </w:numPr>
        <w:spacing w:beforeLines="0" w:afterLines="0" w:line="360" w:lineRule="auto"/>
        <w:ind w:firstLine="480" w:firstLineChars="200"/>
        <w:rPr>
          <w:rFonts w:hint="default" w:eastAsia="宋体" w:cs="宋体"/>
          <w:b w:val="0"/>
          <w:bCs/>
          <w:color w:val="auto"/>
          <w:sz w:val="24"/>
          <w:szCs w:val="24"/>
          <w:lang w:val="en-US" w:eastAsia="zh-CN"/>
        </w:rPr>
      </w:pPr>
      <w:r>
        <w:rPr>
          <w:rFonts w:hint="default" w:eastAsia="宋体" w:cs="宋体"/>
          <w:b w:val="0"/>
          <w:bCs/>
          <w:color w:val="auto"/>
          <w:sz w:val="24"/>
          <w:szCs w:val="24"/>
          <w:lang w:val="en-US" w:eastAsia="zh-CN"/>
        </w:rPr>
        <w:t xml:space="preserve"> 3.手轮：在操作手轮时，应首先把操作手柄扳到手动位置，然后旋转手轮直接操作输出轴转动，从而操纵动作，手轮结构应具有锤击作用，可在闸门卡死时通过锤击作用较快的打开闸门，对于大力矩的阀门电动装置应选用侧面手轮，配备减速器，以便降低操作力。要求有过扭矩空转装置。手动／电动操作手柄：手动／电动操作手柄，用于切换空轴上离合器的位置，电动时不用切换手柄，通电后电动装置即从手动状态自动恢复到电动状态。</w:t>
      </w:r>
    </w:p>
    <w:p w14:paraId="1625F183">
      <w:pPr>
        <w:pStyle w:val="97"/>
        <w:numPr>
          <w:ilvl w:val="0"/>
          <w:numId w:val="0"/>
        </w:numPr>
        <w:spacing w:beforeLines="0" w:afterLines="0" w:line="360" w:lineRule="auto"/>
        <w:ind w:firstLine="480" w:firstLineChars="200"/>
        <w:rPr>
          <w:rFonts w:hint="default" w:eastAsia="宋体" w:cs="宋体"/>
          <w:b w:val="0"/>
          <w:bCs/>
          <w:color w:val="auto"/>
          <w:sz w:val="24"/>
          <w:szCs w:val="24"/>
          <w:lang w:val="en-US" w:eastAsia="zh-CN"/>
        </w:rPr>
      </w:pPr>
      <w:r>
        <w:rPr>
          <w:rFonts w:hint="default" w:eastAsia="宋体" w:cs="宋体"/>
          <w:b w:val="0"/>
          <w:bCs/>
          <w:color w:val="auto"/>
          <w:sz w:val="24"/>
          <w:szCs w:val="24"/>
          <w:lang w:val="en-US" w:eastAsia="zh-CN"/>
        </w:rPr>
        <w:t xml:space="preserve"> 4.三相电动机：采用鼠笼式感应电动机，高转矩、低惯性的阀用特性。</w:t>
      </w:r>
    </w:p>
    <w:p w14:paraId="63A07AB3">
      <w:pPr>
        <w:pStyle w:val="97"/>
        <w:numPr>
          <w:ilvl w:val="0"/>
          <w:numId w:val="0"/>
        </w:numPr>
        <w:spacing w:beforeLines="0" w:afterLines="0" w:line="360" w:lineRule="auto"/>
        <w:ind w:firstLine="480" w:firstLineChars="200"/>
        <w:rPr>
          <w:rFonts w:hint="default" w:eastAsia="宋体" w:cs="宋体"/>
          <w:b w:val="0"/>
          <w:bCs/>
          <w:color w:val="auto"/>
          <w:sz w:val="24"/>
          <w:szCs w:val="24"/>
          <w:lang w:val="en-US" w:eastAsia="zh-CN"/>
        </w:rPr>
      </w:pPr>
      <w:r>
        <w:rPr>
          <w:rFonts w:hint="default" w:eastAsia="宋体" w:cs="宋体"/>
          <w:b w:val="0"/>
          <w:bCs/>
          <w:color w:val="auto"/>
          <w:sz w:val="24"/>
          <w:szCs w:val="24"/>
          <w:lang w:val="en-US" w:eastAsia="zh-CN"/>
        </w:rPr>
        <w:t xml:space="preserve"> 5.过热继电器：过热继电器应嵌装在电机定子中，一旦电动机温升达到132℃时，过热继电器开路，保护电动机不被损坏。</w:t>
      </w:r>
    </w:p>
    <w:p w14:paraId="7280FC54">
      <w:pPr>
        <w:pStyle w:val="97"/>
        <w:numPr>
          <w:ilvl w:val="0"/>
          <w:numId w:val="0"/>
        </w:numPr>
        <w:spacing w:beforeLines="0" w:afterLines="0" w:line="360" w:lineRule="auto"/>
        <w:ind w:firstLine="480" w:firstLineChars="200"/>
        <w:rPr>
          <w:rFonts w:hint="default" w:eastAsia="宋体" w:cs="宋体"/>
          <w:b w:val="0"/>
          <w:bCs/>
          <w:color w:val="auto"/>
          <w:sz w:val="24"/>
          <w:szCs w:val="24"/>
          <w:lang w:val="en-US" w:eastAsia="zh-CN"/>
        </w:rPr>
      </w:pPr>
      <w:r>
        <w:rPr>
          <w:rFonts w:hint="default" w:eastAsia="宋体" w:cs="宋体"/>
          <w:b w:val="0"/>
          <w:bCs/>
          <w:color w:val="auto"/>
          <w:sz w:val="24"/>
          <w:szCs w:val="24"/>
          <w:lang w:val="en-US" w:eastAsia="zh-CN"/>
        </w:rPr>
        <w:t>6.密封结构：应为双密封结构；即使在现场拆下端子盒盖接线，电气箱内部仍与外界环境隔绝。</w:t>
      </w:r>
    </w:p>
    <w:p w14:paraId="7B048764">
      <w:pPr>
        <w:pStyle w:val="97"/>
        <w:numPr>
          <w:ilvl w:val="0"/>
          <w:numId w:val="0"/>
        </w:numPr>
        <w:spacing w:beforeLines="0" w:afterLines="0" w:line="360" w:lineRule="auto"/>
        <w:ind w:firstLine="480" w:firstLineChars="200"/>
        <w:rPr>
          <w:rFonts w:hint="default" w:eastAsia="宋体" w:cs="宋体"/>
          <w:b w:val="0"/>
          <w:bCs/>
          <w:color w:val="auto"/>
          <w:sz w:val="24"/>
          <w:szCs w:val="24"/>
          <w:lang w:val="en-US" w:eastAsia="zh-CN"/>
        </w:rPr>
      </w:pPr>
      <w:r>
        <w:rPr>
          <w:rFonts w:hint="default" w:eastAsia="宋体" w:cs="宋体"/>
          <w:b w:val="0"/>
          <w:bCs/>
          <w:color w:val="auto"/>
          <w:sz w:val="24"/>
          <w:szCs w:val="24"/>
          <w:lang w:val="en-US" w:eastAsia="zh-CN"/>
        </w:rPr>
        <w:t>7.驱动装置采用油浴润滑，齿轮设计按GB标准，齿轮材料采用低合金钢渗碳处理，齿面硬度不低于HRC58，轴承寿命不小于100000小时，在任何情况下，油浴齿轮箱都应是密封的，无需维修。蜗轮、蜗杆采用优质低碳铬钼加真空渗碳热处理工艺，蜗轮采用高度青铜。</w:t>
      </w:r>
    </w:p>
    <w:p w14:paraId="6CFBF3B9">
      <w:pPr>
        <w:pStyle w:val="97"/>
        <w:numPr>
          <w:ilvl w:val="0"/>
          <w:numId w:val="0"/>
        </w:numPr>
        <w:spacing w:beforeLines="0" w:afterLines="0" w:line="360" w:lineRule="auto"/>
        <w:ind w:firstLine="480" w:firstLineChars="200"/>
        <w:rPr>
          <w:rFonts w:hint="default" w:eastAsia="宋体" w:cs="宋体"/>
          <w:b w:val="0"/>
          <w:bCs/>
          <w:color w:val="auto"/>
          <w:sz w:val="24"/>
          <w:szCs w:val="24"/>
          <w:lang w:val="en-US" w:eastAsia="zh-CN"/>
        </w:rPr>
      </w:pPr>
      <w:r>
        <w:rPr>
          <w:rFonts w:hint="default" w:eastAsia="宋体" w:cs="宋体"/>
          <w:b w:val="0"/>
          <w:bCs/>
          <w:color w:val="auto"/>
          <w:sz w:val="24"/>
          <w:szCs w:val="24"/>
          <w:lang w:val="en-US" w:eastAsia="zh-CN"/>
        </w:rPr>
        <w:t>8.传动轴套：传动轴套可拆卸，在出厂前按JB2920—81或ISO5210标准加工。</w:t>
      </w:r>
    </w:p>
    <w:p w14:paraId="3E3EF989">
      <w:pPr>
        <w:pStyle w:val="97"/>
        <w:numPr>
          <w:ilvl w:val="0"/>
          <w:numId w:val="0"/>
        </w:numPr>
        <w:spacing w:beforeLines="0" w:afterLines="0" w:line="360" w:lineRule="auto"/>
        <w:ind w:firstLine="480" w:firstLineChars="200"/>
        <w:rPr>
          <w:rFonts w:hint="default" w:eastAsia="宋体" w:cs="宋体"/>
          <w:b w:val="0"/>
          <w:bCs/>
          <w:color w:val="auto"/>
          <w:sz w:val="24"/>
          <w:szCs w:val="24"/>
          <w:lang w:val="en-US" w:eastAsia="zh-CN"/>
        </w:rPr>
      </w:pPr>
      <w:r>
        <w:rPr>
          <w:rFonts w:hint="default" w:eastAsia="宋体" w:cs="宋体"/>
          <w:b w:val="0"/>
          <w:bCs/>
          <w:color w:val="auto"/>
          <w:sz w:val="24"/>
          <w:szCs w:val="24"/>
          <w:lang w:val="en-US" w:eastAsia="zh-CN"/>
        </w:rPr>
        <w:t>9.转矩限制机构，采螺杆轴向窜动原理，当超过力矩时螺杆位移，通过围矩限位电器接触开关动作，切断电源，控制闸门开启或关闭的双向“力矩”保护作用，最大转矩达额定转矩的3倍，连续运行时间大于30分钟。</w:t>
      </w:r>
    </w:p>
    <w:p w14:paraId="44AFF49E">
      <w:pPr>
        <w:pStyle w:val="97"/>
        <w:numPr>
          <w:ilvl w:val="0"/>
          <w:numId w:val="0"/>
        </w:numPr>
        <w:spacing w:beforeLines="0" w:afterLines="0" w:line="360" w:lineRule="auto"/>
        <w:ind w:firstLine="480" w:firstLineChars="200"/>
        <w:rPr>
          <w:rFonts w:hint="default" w:eastAsia="宋体" w:cs="宋体"/>
          <w:b w:val="0"/>
          <w:bCs/>
          <w:color w:val="auto"/>
          <w:sz w:val="24"/>
          <w:szCs w:val="24"/>
          <w:lang w:val="en-US" w:eastAsia="zh-CN"/>
        </w:rPr>
      </w:pPr>
      <w:r>
        <w:rPr>
          <w:rFonts w:hint="default" w:eastAsia="宋体" w:cs="宋体"/>
          <w:b w:val="0"/>
          <w:bCs/>
          <w:color w:val="auto"/>
          <w:sz w:val="24"/>
          <w:szCs w:val="24"/>
          <w:lang w:val="en-US" w:eastAsia="zh-CN"/>
        </w:rPr>
        <w:t>10.行程控制：由输出齿轮带动“计数”进位的凸轮锁定机构达到选定闸门的行程，而控制闸门的启闭。电动装置输出轴内应采用可拆装式阀杆螺母结构。</w:t>
      </w:r>
    </w:p>
    <w:p w14:paraId="0A29D23A">
      <w:pPr>
        <w:pStyle w:val="97"/>
        <w:numPr>
          <w:ilvl w:val="0"/>
          <w:numId w:val="0"/>
        </w:numPr>
        <w:spacing w:beforeLines="0" w:afterLines="0" w:line="360" w:lineRule="auto"/>
        <w:ind w:firstLine="480" w:firstLineChars="200"/>
        <w:rPr>
          <w:rFonts w:hint="default" w:eastAsia="宋体" w:cs="宋体"/>
          <w:b w:val="0"/>
          <w:bCs/>
          <w:color w:val="auto"/>
          <w:sz w:val="24"/>
          <w:szCs w:val="24"/>
          <w:lang w:val="en-US" w:eastAsia="zh-CN"/>
        </w:rPr>
      </w:pPr>
      <w:r>
        <w:rPr>
          <w:rFonts w:hint="default" w:eastAsia="宋体" w:cs="宋体"/>
          <w:b w:val="0"/>
          <w:bCs/>
          <w:color w:val="auto"/>
          <w:sz w:val="24"/>
          <w:szCs w:val="24"/>
          <w:lang w:val="en-US" w:eastAsia="zh-CN"/>
        </w:rPr>
        <w:t>11.开关机构：开关结构在开关行程终点应各有一常开、常闭两只辅助开关，转矩和行程限位保护功能，并有机械锁定装置，防止转矩／限位开关的触点抖动，可在开关机构面板上进行开关力矩的设定。</w:t>
      </w:r>
    </w:p>
    <w:p w14:paraId="6B3901E2">
      <w:pPr>
        <w:spacing w:line="500" w:lineRule="exact"/>
        <w:rPr>
          <w:rFonts w:hint="eastAsia" w:hAnsi="宋体"/>
          <w:color w:val="auto"/>
          <w:sz w:val="24"/>
          <w:highlight w:val="none"/>
        </w:rPr>
      </w:pPr>
      <w:r>
        <w:rPr>
          <w:rFonts w:hint="eastAsia" w:hAnsi="宋体"/>
          <w:b/>
          <w:bCs/>
          <w:color w:val="auto"/>
          <w:sz w:val="24"/>
          <w:highlight w:val="none"/>
        </w:rPr>
        <w:t>启闭装置为一体化电动智能装置，外壳须采用金属材质。</w:t>
      </w:r>
    </w:p>
    <w:p w14:paraId="47534848">
      <w:pPr>
        <w:spacing w:line="500" w:lineRule="exact"/>
        <w:ind w:firstLine="480" w:firstLineChars="200"/>
        <w:rPr>
          <w:rFonts w:hint="eastAsia" w:hAnsi="宋体"/>
          <w:color w:val="auto"/>
          <w:sz w:val="24"/>
          <w:highlight w:val="none"/>
        </w:rPr>
      </w:pPr>
      <w:r>
        <w:rPr>
          <w:rFonts w:hint="eastAsia" w:hAnsi="宋体"/>
          <w:color w:val="auto"/>
          <w:sz w:val="24"/>
          <w:highlight w:val="none"/>
          <w:lang w:val="en-US" w:eastAsia="zh-CN"/>
        </w:rPr>
        <w:t>7.</w:t>
      </w:r>
      <w:r>
        <w:rPr>
          <w:rFonts w:hint="eastAsia" w:hAnsi="宋体"/>
          <w:color w:val="auto"/>
          <w:sz w:val="24"/>
          <w:highlight w:val="none"/>
        </w:rPr>
        <w:t>1电动执行机构技术要求：</w:t>
      </w:r>
    </w:p>
    <w:p w14:paraId="209D8CF1">
      <w:pPr>
        <w:spacing w:line="500" w:lineRule="exact"/>
        <w:ind w:firstLine="480" w:firstLineChars="200"/>
        <w:rPr>
          <w:rFonts w:hint="eastAsia" w:hAnsi="宋体"/>
          <w:color w:val="auto"/>
          <w:sz w:val="24"/>
          <w:highlight w:val="none"/>
        </w:rPr>
      </w:pPr>
      <w:r>
        <w:rPr>
          <w:rFonts w:hint="eastAsia" w:hAnsi="宋体"/>
          <w:color w:val="auto"/>
          <w:sz w:val="24"/>
          <w:highlight w:val="none"/>
        </w:rPr>
        <w:t>（1）用于调节液位、流量的堰门、闸门和阀门等必须配套调节型执行机构，仅用于启闭的堰门、闸门、阀门等可配套开关型执行机构（具有中停功能）。</w:t>
      </w:r>
    </w:p>
    <w:p w14:paraId="3F1449BB">
      <w:pPr>
        <w:spacing w:line="500" w:lineRule="exact"/>
        <w:ind w:firstLine="480" w:firstLineChars="200"/>
        <w:rPr>
          <w:rFonts w:hint="eastAsia" w:hAnsi="宋体"/>
          <w:color w:val="auto"/>
          <w:sz w:val="24"/>
          <w:highlight w:val="none"/>
        </w:rPr>
      </w:pPr>
      <w:r>
        <w:rPr>
          <w:rFonts w:hint="eastAsia" w:hAnsi="宋体"/>
          <w:color w:val="auto"/>
          <w:sz w:val="24"/>
          <w:highlight w:val="none"/>
        </w:rPr>
        <w:t>（2）产品稳定可靠，所有控制功能均可通过执行机构或上位编程来实现。拥有“非侵入式”设计，所有接线不需要打开执行机构外壳，接线端子采用插拔式设计，所有设定和调试均可通过控制面板来完成。</w:t>
      </w:r>
    </w:p>
    <w:p w14:paraId="217DC482">
      <w:pPr>
        <w:spacing w:line="500" w:lineRule="exact"/>
        <w:ind w:firstLine="480" w:firstLineChars="200"/>
        <w:rPr>
          <w:rFonts w:hint="eastAsia" w:hAnsi="宋体"/>
          <w:color w:val="auto"/>
          <w:sz w:val="24"/>
          <w:highlight w:val="none"/>
        </w:rPr>
      </w:pPr>
      <w:r>
        <w:rPr>
          <w:rFonts w:hint="eastAsia" w:hAnsi="宋体"/>
          <w:color w:val="auto"/>
          <w:sz w:val="24"/>
          <w:highlight w:val="none"/>
        </w:rPr>
        <w:t>（3）调节型执行机构接受和反馈4~20mA连续模拟量控制信号，工作制为可逆断续工作制，当接通持续率为40%时，允许接通次数每小时最高可达1200次；用于开关型堰门（闸门、阀门）配套开关型执行机构，开关型执行器接受ON/OFF开关量控制信号，工作制为短时间歇工作制，允许短时连续工作时间为15-30min，具有现场开度显示功能，开关量输入信号既可以选择点动模式，又可以选择执行机构本体自保持模式，具有4—20mA输出功能。</w:t>
      </w:r>
    </w:p>
    <w:p w14:paraId="6A5399F4">
      <w:pPr>
        <w:spacing w:line="500" w:lineRule="exact"/>
        <w:ind w:firstLine="480" w:firstLineChars="200"/>
        <w:rPr>
          <w:rFonts w:hint="eastAsia" w:hAnsi="宋体"/>
          <w:color w:val="auto"/>
          <w:sz w:val="24"/>
          <w:highlight w:val="none"/>
        </w:rPr>
      </w:pPr>
      <w:r>
        <w:rPr>
          <w:rFonts w:hint="eastAsia" w:hAnsi="宋体"/>
          <w:color w:val="auto"/>
          <w:sz w:val="24"/>
          <w:highlight w:val="none"/>
        </w:rPr>
        <w:t>（4）具备丰富的信号端口供用户选择使用，至少包括：4路开关量输入信号，6路开关量输出，均为无源触点信号。</w:t>
      </w:r>
    </w:p>
    <w:p w14:paraId="7EF1EED9">
      <w:pPr>
        <w:spacing w:line="500" w:lineRule="exact"/>
        <w:ind w:firstLine="480" w:firstLineChars="200"/>
        <w:rPr>
          <w:rFonts w:hint="eastAsia" w:hAnsi="宋体"/>
          <w:color w:val="auto"/>
          <w:sz w:val="24"/>
          <w:highlight w:val="none"/>
        </w:rPr>
      </w:pPr>
      <w:r>
        <w:rPr>
          <w:rFonts w:hint="eastAsia" w:hAnsi="宋体"/>
          <w:color w:val="auto"/>
          <w:sz w:val="24"/>
          <w:highlight w:val="none"/>
        </w:rPr>
        <w:t>（5）机构稳定可靠，机械寿命：调节型180万次启停，开关型10万次循环。设计使用寿命不低于30年。</w:t>
      </w:r>
    </w:p>
    <w:p w14:paraId="075DF474">
      <w:pPr>
        <w:spacing w:line="500" w:lineRule="exact"/>
        <w:ind w:firstLine="480" w:firstLineChars="200"/>
        <w:rPr>
          <w:rFonts w:hint="eastAsia" w:hAnsi="宋体"/>
          <w:color w:val="auto"/>
          <w:sz w:val="24"/>
          <w:highlight w:val="none"/>
        </w:rPr>
      </w:pPr>
      <w:r>
        <w:rPr>
          <w:rFonts w:hint="eastAsia" w:hAnsi="宋体"/>
          <w:color w:val="auto"/>
          <w:sz w:val="24"/>
          <w:highlight w:val="none"/>
        </w:rPr>
        <w:t>（6）执行机构采用高清晰LCD操作界面及标志符显示窗口，大屏幕的设计能让买方便捷地观察执行机构的阀位、力矩和工作状态，背景照明系统在夜晚可进行观测和设定。</w:t>
      </w:r>
    </w:p>
    <w:p w14:paraId="3E076C34">
      <w:pPr>
        <w:spacing w:line="500" w:lineRule="exact"/>
        <w:ind w:firstLine="480" w:firstLineChars="200"/>
        <w:rPr>
          <w:rFonts w:hint="eastAsia" w:hAnsi="宋体"/>
          <w:color w:val="auto"/>
          <w:sz w:val="24"/>
          <w:highlight w:val="none"/>
        </w:rPr>
      </w:pPr>
      <w:r>
        <w:rPr>
          <w:rFonts w:hint="eastAsia" w:hAnsi="宋体"/>
          <w:color w:val="auto"/>
          <w:sz w:val="24"/>
          <w:highlight w:val="none"/>
        </w:rPr>
        <w:t>（7）执行机构具有自保护功能，包括过行程保护、过力矩保护、电机过热保护、断信号保护、报警提示等功能。具有故障诊断功能，可在线诊断执行机构过载、过热和内部故障。</w:t>
      </w:r>
    </w:p>
    <w:p w14:paraId="202B57B6">
      <w:pPr>
        <w:spacing w:line="500" w:lineRule="exact"/>
        <w:ind w:firstLine="480" w:firstLineChars="200"/>
        <w:rPr>
          <w:rFonts w:hint="eastAsia" w:hAnsi="宋体"/>
          <w:color w:val="auto"/>
          <w:sz w:val="24"/>
          <w:highlight w:val="none"/>
        </w:rPr>
      </w:pPr>
      <w:r>
        <w:rPr>
          <w:rFonts w:hint="eastAsia" w:hAnsi="宋体"/>
          <w:color w:val="auto"/>
          <w:sz w:val="24"/>
          <w:highlight w:val="none"/>
        </w:rPr>
        <w:t>（8）执行机构具有自整定功能，可自动整定阀位行程和死区，调试快捷方便。</w:t>
      </w:r>
    </w:p>
    <w:p w14:paraId="0552F632">
      <w:pPr>
        <w:spacing w:line="500" w:lineRule="exact"/>
        <w:ind w:firstLine="480" w:firstLineChars="200"/>
        <w:rPr>
          <w:rFonts w:hint="eastAsia" w:hAnsi="宋体"/>
          <w:color w:val="auto"/>
          <w:sz w:val="24"/>
          <w:highlight w:val="none"/>
        </w:rPr>
      </w:pPr>
      <w:r>
        <w:rPr>
          <w:rFonts w:hint="eastAsia" w:hAnsi="宋体"/>
          <w:color w:val="auto"/>
          <w:sz w:val="24"/>
          <w:highlight w:val="none"/>
        </w:rPr>
        <w:t>（9）执行机构具有就地操作功能，只需通过操作面板的手操开关进行就地操作，即可控制执行机构运行；具有历史记录功能，可以记录总通电时间、运行时间、开关次数等，断电后数据不丢失。</w:t>
      </w:r>
    </w:p>
    <w:p w14:paraId="268C23EA">
      <w:pPr>
        <w:spacing w:line="500" w:lineRule="exact"/>
        <w:ind w:firstLine="480" w:firstLineChars="200"/>
        <w:rPr>
          <w:rFonts w:hint="eastAsia" w:hAnsi="宋体"/>
          <w:color w:val="auto"/>
          <w:sz w:val="24"/>
          <w:highlight w:val="none"/>
        </w:rPr>
      </w:pPr>
      <w:r>
        <w:rPr>
          <w:rFonts w:hint="eastAsia" w:hAnsi="宋体"/>
          <w:color w:val="auto"/>
          <w:sz w:val="24"/>
          <w:highlight w:val="none"/>
        </w:rPr>
        <w:t>（10）自动保位功能：执行机构在控制信号丢失时，可安全保位或运行到预先设定的任意位置，有效保护系统和执行机构自身的安全运行。执行机构在电源丢失时，可安全保位。</w:t>
      </w:r>
    </w:p>
    <w:p w14:paraId="28138646">
      <w:pPr>
        <w:spacing w:line="500" w:lineRule="exact"/>
        <w:ind w:firstLine="480" w:firstLineChars="200"/>
        <w:rPr>
          <w:rFonts w:hint="eastAsia" w:hAnsi="宋体"/>
          <w:color w:val="auto"/>
          <w:sz w:val="24"/>
          <w:highlight w:val="none"/>
        </w:rPr>
      </w:pPr>
      <w:r>
        <w:rPr>
          <w:rFonts w:hint="eastAsia" w:hAnsi="宋体"/>
          <w:color w:val="auto"/>
          <w:sz w:val="24"/>
          <w:highlight w:val="none"/>
        </w:rPr>
        <w:t>（11）防护等级要求：不低于IP67，室外裸露、井、沟内要求IP68，确保内部元件不受外部恶劣环境影响。</w:t>
      </w:r>
    </w:p>
    <w:p w14:paraId="2D92BE74">
      <w:pPr>
        <w:spacing w:line="500" w:lineRule="exact"/>
        <w:ind w:firstLine="480" w:firstLineChars="200"/>
        <w:rPr>
          <w:rFonts w:hint="eastAsia" w:hAnsi="宋体"/>
          <w:color w:val="auto"/>
          <w:sz w:val="24"/>
          <w:highlight w:val="none"/>
        </w:rPr>
      </w:pPr>
      <w:r>
        <w:rPr>
          <w:rFonts w:hint="eastAsia" w:hAnsi="宋体"/>
          <w:color w:val="auto"/>
          <w:sz w:val="24"/>
          <w:highlight w:val="none"/>
        </w:rPr>
        <w:t>（12）要求执行机构具有优良的模块化设计，以便于用户根据后期维护需要进行分体式改造。要求控制模块可以通过简易的操作来整体更换。同时，在高温环境、管道强烈振动、现场不易操作等的情况下，控制模块可以根据实际选择分体安装，以保证高正常运行。</w:t>
      </w:r>
    </w:p>
    <w:p w14:paraId="3CF67C3E">
      <w:pPr>
        <w:spacing w:line="500" w:lineRule="exact"/>
        <w:ind w:firstLine="480" w:firstLineChars="200"/>
        <w:rPr>
          <w:rFonts w:hint="eastAsia" w:hAnsi="宋体"/>
          <w:color w:val="auto"/>
          <w:sz w:val="24"/>
          <w:highlight w:val="none"/>
        </w:rPr>
      </w:pPr>
      <w:r>
        <w:rPr>
          <w:rFonts w:hint="eastAsia" w:hAnsi="宋体"/>
          <w:color w:val="auto"/>
          <w:sz w:val="24"/>
          <w:highlight w:val="none"/>
        </w:rPr>
        <w:t>（13）为了便于用户更换备件，减少备件库存种类，降低备件库存成本，要求执行机构的控制板必须具备优良的通用性。要求同品牌产品所有逻辑板和电源板必须完全通用。</w:t>
      </w:r>
    </w:p>
    <w:p w14:paraId="29A4E1DE">
      <w:pPr>
        <w:spacing w:line="500" w:lineRule="exact"/>
        <w:ind w:firstLine="480" w:firstLineChars="200"/>
        <w:rPr>
          <w:rFonts w:hint="eastAsia" w:hAnsi="宋体"/>
          <w:color w:val="auto"/>
          <w:sz w:val="24"/>
          <w:highlight w:val="none"/>
        </w:rPr>
      </w:pPr>
      <w:r>
        <w:rPr>
          <w:rFonts w:hint="eastAsia" w:hAnsi="宋体"/>
          <w:color w:val="auto"/>
          <w:sz w:val="24"/>
          <w:highlight w:val="none"/>
        </w:rPr>
        <w:t>（14）由执行机构厂家提供接口尺寸图，闸门（阀门）厂按尺寸图配做连接，以保证安装准确顺畅。</w:t>
      </w:r>
    </w:p>
    <w:p w14:paraId="6DB4BFA5">
      <w:pPr>
        <w:spacing w:line="500" w:lineRule="exact"/>
        <w:ind w:firstLine="480" w:firstLineChars="200"/>
        <w:rPr>
          <w:rFonts w:hint="eastAsia" w:hAnsi="宋体"/>
          <w:color w:val="auto"/>
          <w:sz w:val="24"/>
          <w:highlight w:val="none"/>
        </w:rPr>
      </w:pPr>
      <w:r>
        <w:rPr>
          <w:rFonts w:hint="eastAsia" w:hAnsi="宋体"/>
          <w:color w:val="auto"/>
          <w:sz w:val="24"/>
          <w:highlight w:val="none"/>
          <w:lang w:val="en-US" w:eastAsia="zh-CN"/>
        </w:rPr>
        <w:t>7.2</w:t>
      </w:r>
      <w:r>
        <w:rPr>
          <w:rFonts w:hint="eastAsia" w:hAnsi="宋体"/>
          <w:color w:val="auto"/>
          <w:sz w:val="24"/>
          <w:highlight w:val="none"/>
        </w:rPr>
        <w:t>基本参数：</w:t>
      </w:r>
    </w:p>
    <w:p w14:paraId="13585A95">
      <w:pPr>
        <w:spacing w:line="500" w:lineRule="exact"/>
        <w:ind w:firstLine="480" w:firstLineChars="200"/>
        <w:rPr>
          <w:rFonts w:hint="eastAsia" w:hAnsi="宋体"/>
          <w:color w:val="auto"/>
          <w:sz w:val="24"/>
          <w:highlight w:val="none"/>
        </w:rPr>
      </w:pPr>
      <w:r>
        <w:rPr>
          <w:rFonts w:hint="eastAsia" w:hAnsi="宋体"/>
          <w:color w:val="auto"/>
          <w:sz w:val="24"/>
          <w:highlight w:val="none"/>
        </w:rPr>
        <w:t>（1）输入信号：4～20mA DC</w:t>
      </w:r>
    </w:p>
    <w:p w14:paraId="030A4E11">
      <w:pPr>
        <w:spacing w:line="500" w:lineRule="exact"/>
        <w:ind w:firstLine="480" w:firstLineChars="200"/>
        <w:rPr>
          <w:rFonts w:hint="eastAsia" w:hAnsi="宋体"/>
          <w:color w:val="auto"/>
          <w:sz w:val="24"/>
          <w:highlight w:val="none"/>
        </w:rPr>
      </w:pPr>
      <w:r>
        <w:rPr>
          <w:rFonts w:hint="eastAsia" w:hAnsi="宋体"/>
          <w:color w:val="auto"/>
          <w:sz w:val="24"/>
          <w:highlight w:val="none"/>
        </w:rPr>
        <w:t>（2）输出信号：4～20 mA DC</w:t>
      </w:r>
    </w:p>
    <w:p w14:paraId="6D0F4BA9">
      <w:pPr>
        <w:spacing w:line="500" w:lineRule="exact"/>
        <w:ind w:firstLine="480" w:firstLineChars="200"/>
        <w:rPr>
          <w:rFonts w:hint="eastAsia" w:hAnsi="宋体"/>
          <w:color w:val="auto"/>
          <w:sz w:val="24"/>
          <w:highlight w:val="none"/>
        </w:rPr>
      </w:pPr>
      <w:r>
        <w:rPr>
          <w:rFonts w:hint="eastAsia" w:hAnsi="宋体"/>
          <w:color w:val="auto"/>
          <w:sz w:val="24"/>
          <w:highlight w:val="none"/>
        </w:rPr>
        <w:t>（3）执行机构的电源为：三相380VAC\50Hz或者单相220VAC\50Hz</w:t>
      </w:r>
    </w:p>
    <w:p w14:paraId="477E2073">
      <w:pPr>
        <w:spacing w:line="500" w:lineRule="exact"/>
        <w:ind w:firstLine="480" w:firstLineChars="200"/>
        <w:rPr>
          <w:rFonts w:hint="eastAsia" w:hAnsi="宋体"/>
          <w:color w:val="auto"/>
          <w:sz w:val="24"/>
          <w:highlight w:val="none"/>
        </w:rPr>
      </w:pPr>
      <w:r>
        <w:rPr>
          <w:rFonts w:hint="eastAsia" w:hAnsi="宋体"/>
          <w:color w:val="auto"/>
          <w:sz w:val="24"/>
          <w:highlight w:val="none"/>
        </w:rPr>
        <w:t>（4）工作环境温度：-20～+60℃；</w:t>
      </w:r>
    </w:p>
    <w:p w14:paraId="608AE208">
      <w:pPr>
        <w:spacing w:line="500" w:lineRule="exact"/>
        <w:ind w:firstLine="480" w:firstLineChars="200"/>
        <w:rPr>
          <w:rFonts w:hint="eastAsia" w:hAnsi="宋体"/>
          <w:color w:val="auto"/>
          <w:sz w:val="24"/>
          <w:highlight w:val="none"/>
        </w:rPr>
      </w:pPr>
      <w:r>
        <w:rPr>
          <w:rFonts w:hint="eastAsia" w:hAnsi="宋体"/>
          <w:color w:val="auto"/>
          <w:sz w:val="24"/>
          <w:highlight w:val="none"/>
        </w:rPr>
        <w:t>（5）相对湿度≤95%（+25℃时）；</w:t>
      </w:r>
    </w:p>
    <w:p w14:paraId="6652CE42">
      <w:pPr>
        <w:spacing w:line="500" w:lineRule="exact"/>
        <w:ind w:firstLine="480" w:firstLineChars="200"/>
        <w:rPr>
          <w:rFonts w:hint="eastAsia" w:hAnsi="宋体"/>
          <w:color w:val="auto"/>
          <w:sz w:val="24"/>
          <w:highlight w:val="none"/>
        </w:rPr>
      </w:pPr>
      <w:r>
        <w:rPr>
          <w:rFonts w:hint="eastAsia" w:hAnsi="宋体"/>
          <w:color w:val="auto"/>
          <w:sz w:val="24"/>
          <w:highlight w:val="none"/>
        </w:rPr>
        <w:t>（6）因现场工艺环境潮湿、腐蚀性强，要求执行机构要具备优良的防腐特性。要求表面的防腐涂层采用加强防腐喷漆涂层，包括：环氧富锌底漆、环氧云铁中间漆、聚氨酯防腐面漆，总厚度不低于220μm）。涂层应附着牢固、平整、光滑、色泽均匀，无油污、压痕和其它机械损伤。禁止使用表面喷粉的喷涂工艺，以防出现表面涂层大片脱落的故障现象。</w:t>
      </w:r>
    </w:p>
    <w:p w14:paraId="67E68903">
      <w:pPr>
        <w:spacing w:line="500" w:lineRule="exact"/>
        <w:ind w:firstLine="480" w:firstLineChars="200"/>
        <w:rPr>
          <w:rFonts w:hint="eastAsia" w:hAnsi="宋体"/>
          <w:color w:val="auto"/>
          <w:sz w:val="24"/>
          <w:highlight w:val="none"/>
        </w:rPr>
      </w:pPr>
      <w:r>
        <w:rPr>
          <w:rFonts w:hint="eastAsia" w:hAnsi="宋体"/>
          <w:color w:val="auto"/>
          <w:sz w:val="24"/>
          <w:highlight w:val="none"/>
        </w:rPr>
        <w:t>（7）执行机构的转矩控制机构应灵敏可靠，控制执行机构输出转矩的重复偏差≤±2%。</w:t>
      </w:r>
    </w:p>
    <w:p w14:paraId="46DE3E87">
      <w:pPr>
        <w:spacing w:line="500" w:lineRule="exact"/>
        <w:ind w:firstLine="480" w:firstLineChars="200"/>
        <w:rPr>
          <w:rFonts w:hint="eastAsia" w:hAnsi="宋体"/>
          <w:color w:val="auto"/>
          <w:sz w:val="24"/>
          <w:highlight w:val="none"/>
        </w:rPr>
      </w:pPr>
      <w:r>
        <w:rPr>
          <w:rFonts w:hint="eastAsia" w:hAnsi="宋体"/>
          <w:color w:val="auto"/>
          <w:sz w:val="24"/>
          <w:highlight w:val="none"/>
        </w:rPr>
        <w:t>（8）执行机构的行程控制机构应灵敏可靠，控制输出轴位置的重复偏差≤±1%。</w:t>
      </w:r>
    </w:p>
    <w:p w14:paraId="214CEA8A">
      <w:pPr>
        <w:spacing w:line="500" w:lineRule="exact"/>
        <w:ind w:firstLine="480" w:firstLineChars="200"/>
        <w:rPr>
          <w:rFonts w:hint="eastAsia" w:hAnsi="宋体"/>
          <w:color w:val="auto"/>
          <w:sz w:val="24"/>
          <w:highlight w:val="none"/>
        </w:rPr>
      </w:pPr>
      <w:r>
        <w:rPr>
          <w:rFonts w:hint="eastAsia" w:hAnsi="宋体"/>
          <w:color w:val="auto"/>
          <w:sz w:val="24"/>
          <w:highlight w:val="none"/>
        </w:rPr>
        <w:t>（9）执行机构所有的紧固件均应采用不锈钢制造，须有防止紧固件因振动而松脱的措施。</w:t>
      </w:r>
    </w:p>
    <w:p w14:paraId="4CED31C1">
      <w:pPr>
        <w:spacing w:line="500" w:lineRule="exact"/>
        <w:ind w:firstLine="480" w:firstLineChars="200"/>
        <w:rPr>
          <w:rFonts w:hAnsi="宋体"/>
          <w:color w:val="auto"/>
          <w:sz w:val="24"/>
          <w:highlight w:val="none"/>
        </w:rPr>
      </w:pPr>
      <w:r>
        <w:rPr>
          <w:rFonts w:hint="eastAsia" w:hAnsi="宋体"/>
          <w:color w:val="auto"/>
          <w:sz w:val="24"/>
          <w:highlight w:val="none"/>
          <w:lang w:val="en-US" w:eastAsia="zh-CN"/>
        </w:rPr>
        <w:t>7.3</w:t>
      </w:r>
      <w:r>
        <w:rPr>
          <w:rFonts w:hint="eastAsia" w:hAnsi="宋体"/>
          <w:color w:val="auto"/>
          <w:sz w:val="24"/>
          <w:highlight w:val="none"/>
        </w:rPr>
        <w:t>其控制单元应满足以下电气技术要求：</w:t>
      </w:r>
    </w:p>
    <w:p w14:paraId="78E11E1E">
      <w:pPr>
        <w:spacing w:line="500" w:lineRule="exact"/>
        <w:ind w:firstLine="480" w:firstLineChars="200"/>
        <w:rPr>
          <w:rFonts w:hAnsi="宋体"/>
          <w:color w:val="auto"/>
          <w:sz w:val="24"/>
          <w:highlight w:val="none"/>
        </w:rPr>
      </w:pPr>
      <w:r>
        <w:rPr>
          <w:rFonts w:hint="eastAsia" w:hAnsi="宋体"/>
          <w:color w:val="auto"/>
          <w:sz w:val="24"/>
          <w:highlight w:val="none"/>
        </w:rPr>
        <w:t>（1）需具有“断路器、交流接触器、热继电器”等一次电气元器件及其运行功能。</w:t>
      </w:r>
    </w:p>
    <w:p w14:paraId="4FE838CE">
      <w:pPr>
        <w:spacing w:line="500" w:lineRule="exact"/>
        <w:ind w:firstLine="480" w:firstLineChars="200"/>
        <w:rPr>
          <w:rFonts w:hAnsi="宋体"/>
          <w:color w:val="auto"/>
          <w:sz w:val="24"/>
          <w:highlight w:val="none"/>
        </w:rPr>
      </w:pPr>
      <w:r>
        <w:rPr>
          <w:rFonts w:hint="eastAsia" w:hAnsi="宋体"/>
          <w:color w:val="auto"/>
          <w:sz w:val="24"/>
          <w:highlight w:val="none"/>
        </w:rPr>
        <w:t>（2）需具有“阀门开、关、停开关，阀门开、关、故障指示灯”及其运行功能。</w:t>
      </w:r>
    </w:p>
    <w:p w14:paraId="5427399A">
      <w:pPr>
        <w:spacing w:line="500" w:lineRule="exact"/>
        <w:ind w:firstLine="480" w:firstLineChars="200"/>
        <w:rPr>
          <w:rFonts w:hAnsi="宋体"/>
          <w:color w:val="auto"/>
          <w:sz w:val="24"/>
          <w:highlight w:val="none"/>
        </w:rPr>
      </w:pPr>
      <w:r>
        <w:rPr>
          <w:rFonts w:hint="eastAsia" w:hAnsi="宋体"/>
          <w:color w:val="auto"/>
          <w:sz w:val="24"/>
          <w:highlight w:val="none"/>
        </w:rPr>
        <w:t>（3）需具有“阀门手动/自动”转换开关及其运行功能。</w:t>
      </w:r>
    </w:p>
    <w:p w14:paraId="50FE50B3">
      <w:pPr>
        <w:spacing w:line="500" w:lineRule="exact"/>
        <w:ind w:firstLine="480" w:firstLineChars="200"/>
        <w:rPr>
          <w:rFonts w:hAnsi="宋体"/>
          <w:color w:val="auto"/>
          <w:sz w:val="24"/>
          <w:highlight w:val="none"/>
        </w:rPr>
      </w:pPr>
      <w:r>
        <w:rPr>
          <w:rFonts w:hint="eastAsia" w:hAnsi="宋体"/>
          <w:color w:val="auto"/>
          <w:sz w:val="24"/>
          <w:highlight w:val="none"/>
        </w:rPr>
        <w:t>（4）需具有“PLC控制”开关量输入接口。</w:t>
      </w:r>
    </w:p>
    <w:p w14:paraId="5F294A19">
      <w:pPr>
        <w:spacing w:line="500" w:lineRule="exact"/>
        <w:ind w:firstLine="480" w:firstLineChars="200"/>
        <w:rPr>
          <w:rFonts w:hAnsi="宋体"/>
          <w:color w:val="auto"/>
          <w:sz w:val="24"/>
          <w:highlight w:val="none"/>
        </w:rPr>
      </w:pPr>
      <w:r>
        <w:rPr>
          <w:rFonts w:hint="eastAsia" w:hAnsi="宋体"/>
          <w:color w:val="auto"/>
          <w:sz w:val="24"/>
          <w:highlight w:val="none"/>
        </w:rPr>
        <w:t>（5）需具有“阀门全开、全关、故障及转换开关位置”开关量输出接口。</w:t>
      </w:r>
    </w:p>
    <w:p w14:paraId="07D0498B">
      <w:pPr>
        <w:spacing w:line="500" w:lineRule="exact"/>
        <w:ind w:firstLine="480" w:firstLineChars="200"/>
        <w:rPr>
          <w:rFonts w:hAnsi="宋体"/>
          <w:color w:val="auto"/>
          <w:sz w:val="24"/>
          <w:highlight w:val="none"/>
        </w:rPr>
      </w:pPr>
      <w:r>
        <w:rPr>
          <w:rFonts w:hint="eastAsia" w:hAnsi="宋体"/>
          <w:color w:val="auto"/>
          <w:sz w:val="24"/>
          <w:highlight w:val="none"/>
        </w:rPr>
        <w:t>（6）需具有“PLC控制”4~20mA模拟量输入接口。（对电动调节阀）</w:t>
      </w:r>
    </w:p>
    <w:p w14:paraId="74C4DC84">
      <w:pPr>
        <w:spacing w:line="500" w:lineRule="exact"/>
        <w:ind w:firstLine="480" w:firstLineChars="200"/>
        <w:rPr>
          <w:rFonts w:hAnsi="宋体"/>
          <w:color w:val="auto"/>
          <w:sz w:val="24"/>
          <w:highlight w:val="none"/>
        </w:rPr>
      </w:pPr>
      <w:r>
        <w:rPr>
          <w:rFonts w:hint="eastAsia" w:hAnsi="宋体"/>
          <w:color w:val="auto"/>
          <w:sz w:val="24"/>
          <w:highlight w:val="none"/>
        </w:rPr>
        <w:t>（7）需具有“阀门开度位置”4~20mA模拟量输出接口（对电动调节阀）</w:t>
      </w:r>
    </w:p>
    <w:p w14:paraId="286BB021">
      <w:pPr>
        <w:spacing w:line="500" w:lineRule="exact"/>
        <w:ind w:firstLine="480" w:firstLineChars="200"/>
        <w:rPr>
          <w:rFonts w:hAnsi="宋体"/>
          <w:color w:val="auto"/>
          <w:sz w:val="24"/>
          <w:highlight w:val="none"/>
        </w:rPr>
      </w:pPr>
      <w:r>
        <w:rPr>
          <w:rFonts w:hint="eastAsia" w:hAnsi="宋体"/>
          <w:color w:val="auto"/>
          <w:sz w:val="24"/>
          <w:highlight w:val="none"/>
        </w:rPr>
        <w:t>（8）阀门、闸门生产厂对其提供的电动装置的技术性能应进行全面的考虑，应能适应本工程的工作环境和满足电气控制要求。</w:t>
      </w:r>
      <w:r>
        <w:rPr>
          <w:rFonts w:hAnsi="宋体"/>
          <w:color w:val="auto"/>
          <w:sz w:val="24"/>
          <w:highlight w:val="none"/>
        </w:rPr>
        <w:t>执行机构稳定可靠，采用高性能微处理器作为处理运算单元，所有控制功能均可通过执行机构或上位编程来实现。</w:t>
      </w:r>
    </w:p>
    <w:p w14:paraId="570C0E20">
      <w:pPr>
        <w:spacing w:line="500" w:lineRule="exact"/>
        <w:ind w:firstLine="480" w:firstLineChars="200"/>
        <w:rPr>
          <w:rFonts w:hAnsi="宋体"/>
          <w:color w:val="auto"/>
          <w:sz w:val="24"/>
          <w:highlight w:val="none"/>
        </w:rPr>
      </w:pPr>
      <w:r>
        <w:rPr>
          <w:rFonts w:hint="eastAsia" w:hAnsi="宋体"/>
          <w:color w:val="auto"/>
          <w:sz w:val="24"/>
          <w:highlight w:val="none"/>
        </w:rPr>
        <w:t>（9）要求闸门及启闭机开启、关闭灵活，重复性能高。</w:t>
      </w:r>
    </w:p>
    <w:p w14:paraId="54437B59">
      <w:pPr>
        <w:spacing w:line="500" w:lineRule="exact"/>
        <w:ind w:firstLine="480" w:firstLineChars="200"/>
        <w:rPr>
          <w:rFonts w:hAnsi="宋体"/>
          <w:color w:val="auto"/>
          <w:sz w:val="24"/>
          <w:highlight w:val="none"/>
        </w:rPr>
      </w:pPr>
      <w:r>
        <w:rPr>
          <w:rFonts w:hint="eastAsia" w:hAnsi="宋体"/>
          <w:color w:val="auto"/>
          <w:sz w:val="24"/>
          <w:highlight w:val="none"/>
          <w:lang w:val="en-US" w:eastAsia="zh-CN"/>
        </w:rPr>
        <w:t>7.4</w:t>
      </w:r>
      <w:r>
        <w:rPr>
          <w:rFonts w:hint="eastAsia" w:hAnsi="宋体"/>
          <w:color w:val="auto"/>
          <w:sz w:val="24"/>
          <w:highlight w:val="none"/>
        </w:rPr>
        <w:t>结构要求</w:t>
      </w:r>
    </w:p>
    <w:p w14:paraId="76BEF94E">
      <w:pPr>
        <w:spacing w:line="500" w:lineRule="exact"/>
        <w:ind w:firstLine="480" w:firstLineChars="200"/>
        <w:rPr>
          <w:rFonts w:hAnsi="宋体"/>
          <w:color w:val="auto"/>
          <w:sz w:val="24"/>
          <w:highlight w:val="none"/>
        </w:rPr>
      </w:pPr>
      <w:r>
        <w:rPr>
          <w:rFonts w:hint="eastAsia" w:hAnsi="宋体"/>
          <w:color w:val="auto"/>
          <w:sz w:val="24"/>
          <w:highlight w:val="none"/>
        </w:rPr>
        <w:t>（1）手轮：在操作手轮时，应首先把操作手柄扳到手动位置，然后旋转手轮直接操作输出轴转动，从而操纵动作，手轮结构应具有锤击作用，可在闸门卡死时通过锤击作用较快的打开闸门，对于大力矩的阀门电动装置应选用侧面手轮，配备减速器，以便降低操作力。要求有过扭矩空转装置。</w:t>
      </w:r>
    </w:p>
    <w:p w14:paraId="37B2D109">
      <w:pPr>
        <w:spacing w:line="500" w:lineRule="exact"/>
        <w:ind w:firstLine="480" w:firstLineChars="200"/>
        <w:rPr>
          <w:rFonts w:hAnsi="宋体"/>
          <w:color w:val="auto"/>
          <w:sz w:val="24"/>
          <w:highlight w:val="none"/>
        </w:rPr>
      </w:pPr>
      <w:r>
        <w:rPr>
          <w:rFonts w:hint="eastAsia" w:hAnsi="宋体"/>
          <w:color w:val="auto"/>
          <w:sz w:val="24"/>
          <w:highlight w:val="none"/>
        </w:rPr>
        <w:t>（2）三相电动机：应采用鼠笼式感应电动机，应具备高转矩、低惯性的阀用特性。</w:t>
      </w:r>
    </w:p>
    <w:p w14:paraId="30D25C85">
      <w:pPr>
        <w:spacing w:line="500" w:lineRule="exact"/>
        <w:ind w:firstLine="480" w:firstLineChars="200"/>
        <w:rPr>
          <w:rFonts w:hAnsi="宋体"/>
          <w:color w:val="auto"/>
          <w:sz w:val="24"/>
          <w:highlight w:val="none"/>
        </w:rPr>
      </w:pPr>
      <w:r>
        <w:rPr>
          <w:rFonts w:hint="eastAsia" w:hAnsi="宋体"/>
          <w:color w:val="auto"/>
          <w:sz w:val="24"/>
          <w:highlight w:val="none"/>
        </w:rPr>
        <w:t>（3）过热继电器：过热继电器应嵌装在电机定子中，一旦电动机温升达到132℃时，过热继电器开路，保护电动机不被损坏。</w:t>
      </w:r>
    </w:p>
    <w:p w14:paraId="4F9EFDEE">
      <w:pPr>
        <w:spacing w:line="500" w:lineRule="exact"/>
        <w:ind w:firstLine="480" w:firstLineChars="200"/>
        <w:rPr>
          <w:rFonts w:hint="eastAsia" w:hAnsi="宋体"/>
          <w:color w:val="auto"/>
          <w:sz w:val="24"/>
          <w:highlight w:val="none"/>
        </w:rPr>
      </w:pPr>
      <w:r>
        <w:rPr>
          <w:rFonts w:hint="eastAsia" w:hAnsi="宋体"/>
          <w:color w:val="auto"/>
          <w:sz w:val="24"/>
          <w:highlight w:val="none"/>
        </w:rPr>
        <w:t>（4）密封结构：应为双密封结构；即使在现场拆下端子盒盖接线，电气箱内部仍与外界环境隔绝。</w:t>
      </w:r>
    </w:p>
    <w:p w14:paraId="4B9B099E">
      <w:pPr>
        <w:spacing w:line="500" w:lineRule="exact"/>
        <w:ind w:firstLine="480" w:firstLineChars="200"/>
        <w:rPr>
          <w:rFonts w:hAnsi="宋体"/>
          <w:color w:val="auto"/>
          <w:sz w:val="24"/>
          <w:highlight w:val="none"/>
        </w:rPr>
      </w:pPr>
      <w:r>
        <w:rPr>
          <w:rFonts w:hint="eastAsia" w:hAnsi="宋体"/>
          <w:color w:val="auto"/>
          <w:sz w:val="24"/>
          <w:highlight w:val="none"/>
        </w:rPr>
        <w:t>（5）接线形式：</w:t>
      </w:r>
      <w:r>
        <w:rPr>
          <w:rFonts w:hAnsi="宋体"/>
          <w:color w:val="auto"/>
          <w:sz w:val="24"/>
          <w:highlight w:val="none"/>
        </w:rPr>
        <w:t>执行机构必须拥有“非侵入式”设计，所有接线不需要打开执行机构外壳，接线端子采用插拔式设计，所有设定和调试均可通过控制面板来完成。</w:t>
      </w:r>
    </w:p>
    <w:p w14:paraId="3F70DA32">
      <w:pPr>
        <w:spacing w:line="500" w:lineRule="exact"/>
        <w:ind w:firstLine="480" w:firstLineChars="200"/>
        <w:rPr>
          <w:rFonts w:hAnsi="宋体"/>
          <w:color w:val="auto"/>
          <w:sz w:val="24"/>
          <w:highlight w:val="none"/>
        </w:rPr>
      </w:pPr>
      <w:r>
        <w:rPr>
          <w:rFonts w:hint="eastAsia" w:hAnsi="宋体"/>
          <w:color w:val="auto"/>
          <w:sz w:val="24"/>
          <w:highlight w:val="none"/>
        </w:rPr>
        <w:t>（6）驱动装置采用油浴润滑，齿轮设计按GB标准，齿轮材料采用低合金钢渗碳处理，齿面硬度不低于HRC58，轴承寿命不小于100000小时，在任何情况下，油浴齿轮箱都应是密封的，无需维修。蜗轮、蜗杆采用优质低碳铬钼加真空渗碳热处理工艺，蜗轮采用高度青铜。</w:t>
      </w:r>
    </w:p>
    <w:p w14:paraId="57CD5610">
      <w:pPr>
        <w:spacing w:line="500" w:lineRule="exact"/>
        <w:ind w:firstLine="480" w:firstLineChars="200"/>
        <w:rPr>
          <w:rFonts w:hAnsi="宋体"/>
          <w:color w:val="auto"/>
          <w:sz w:val="24"/>
          <w:highlight w:val="none"/>
        </w:rPr>
      </w:pPr>
      <w:r>
        <w:rPr>
          <w:rFonts w:hint="eastAsia" w:hAnsi="宋体"/>
          <w:color w:val="auto"/>
          <w:sz w:val="24"/>
          <w:highlight w:val="none"/>
        </w:rPr>
        <w:t>（7）传动轴套：传动轴套可拆卸，在出厂前按JB2920或ISO5210标准加工。</w:t>
      </w:r>
    </w:p>
    <w:p w14:paraId="1B21A078">
      <w:pPr>
        <w:spacing w:line="500" w:lineRule="exact"/>
        <w:ind w:firstLine="480" w:firstLineChars="200"/>
        <w:rPr>
          <w:rFonts w:hAnsi="宋体"/>
          <w:color w:val="auto"/>
          <w:sz w:val="24"/>
          <w:highlight w:val="none"/>
        </w:rPr>
      </w:pPr>
      <w:r>
        <w:rPr>
          <w:rFonts w:hint="eastAsia" w:hAnsi="宋体"/>
          <w:color w:val="auto"/>
          <w:sz w:val="24"/>
          <w:highlight w:val="none"/>
        </w:rPr>
        <w:t>（8）转矩限制机构，采螺杆轴向窜动原理，当超过力矩时螺杆位移，通过围矩限位电器接触开关动作，切断电源，控制闸门开启或关闭的双向“力矩”保护作用，最大转矩达额定转矩的3倍，连续运行时间不低于30分钟。</w:t>
      </w:r>
    </w:p>
    <w:p w14:paraId="30FC07B9">
      <w:pPr>
        <w:spacing w:line="500" w:lineRule="exact"/>
        <w:ind w:firstLine="480" w:firstLineChars="200"/>
        <w:rPr>
          <w:rFonts w:hAnsi="宋体"/>
          <w:color w:val="auto"/>
          <w:sz w:val="24"/>
          <w:highlight w:val="none"/>
        </w:rPr>
      </w:pPr>
      <w:r>
        <w:rPr>
          <w:rFonts w:hint="eastAsia" w:hAnsi="宋体"/>
          <w:color w:val="auto"/>
          <w:sz w:val="24"/>
          <w:highlight w:val="none"/>
        </w:rPr>
        <w:t>（9）行程控制：由输出齿轮带动“计数”进位的凸轮锁定机构达到选定闸门的行程，而控制闸门的启闭。</w:t>
      </w:r>
    </w:p>
    <w:p w14:paraId="3EAEAB81">
      <w:pPr>
        <w:spacing w:line="500" w:lineRule="exact"/>
        <w:ind w:firstLine="480" w:firstLineChars="200"/>
        <w:rPr>
          <w:rFonts w:hAnsi="宋体"/>
          <w:color w:val="auto"/>
          <w:sz w:val="24"/>
          <w:highlight w:val="none"/>
        </w:rPr>
      </w:pPr>
      <w:r>
        <w:rPr>
          <w:rFonts w:hint="eastAsia" w:hAnsi="宋体"/>
          <w:color w:val="auto"/>
          <w:sz w:val="24"/>
          <w:highlight w:val="none"/>
        </w:rPr>
        <w:t>（10）电动装置输出轴内应采用可拆装式阀杆螺母结构。</w:t>
      </w:r>
    </w:p>
    <w:p w14:paraId="2126E926">
      <w:pPr>
        <w:spacing w:line="500" w:lineRule="exact"/>
        <w:ind w:firstLine="480" w:firstLineChars="200"/>
        <w:rPr>
          <w:rFonts w:hAnsi="宋体"/>
          <w:color w:val="auto"/>
          <w:sz w:val="24"/>
          <w:highlight w:val="none"/>
        </w:rPr>
      </w:pPr>
      <w:r>
        <w:rPr>
          <w:rFonts w:hint="eastAsia" w:hAnsi="宋体"/>
          <w:color w:val="auto"/>
          <w:sz w:val="24"/>
          <w:highlight w:val="none"/>
        </w:rPr>
        <w:t>（11）电气装置：应配备断路器、热继电器、交流接触器，缺相保护器、电源变压器等完善的一、二次电气元件；能接收开关量或脉冲信号：可输出4～20mA闸门开度信号；具备电机缺相保护、过载保护、过电流保护、超温保护、紧急状态保护等功能。</w:t>
      </w:r>
    </w:p>
    <w:p w14:paraId="5683EED0">
      <w:pPr>
        <w:spacing w:line="500" w:lineRule="exact"/>
        <w:ind w:firstLine="480" w:firstLineChars="200"/>
        <w:rPr>
          <w:rFonts w:hAnsi="宋体"/>
          <w:color w:val="auto"/>
          <w:sz w:val="24"/>
          <w:highlight w:val="none"/>
        </w:rPr>
      </w:pPr>
      <w:r>
        <w:rPr>
          <w:rFonts w:hint="eastAsia" w:hAnsi="宋体"/>
          <w:color w:val="auto"/>
          <w:sz w:val="24"/>
          <w:highlight w:val="none"/>
        </w:rPr>
        <w:t>（12）现场操作开关：供现场直接操作阀门、闸门装置使用，实现“开”与“关”，具备复位功能。</w:t>
      </w:r>
    </w:p>
    <w:p w14:paraId="3D4C0F05">
      <w:pPr>
        <w:spacing w:line="500" w:lineRule="exact"/>
        <w:ind w:firstLine="480" w:firstLineChars="200"/>
        <w:rPr>
          <w:rFonts w:hAnsi="宋体"/>
          <w:color w:val="auto"/>
          <w:sz w:val="24"/>
          <w:highlight w:val="none"/>
        </w:rPr>
      </w:pPr>
      <w:r>
        <w:rPr>
          <w:rFonts w:hint="eastAsia" w:hAnsi="宋体"/>
          <w:color w:val="auto"/>
          <w:sz w:val="24"/>
          <w:highlight w:val="none"/>
        </w:rPr>
        <w:t>（13）要求电动装置具有远程运行、停止等状态信号输出。</w:t>
      </w:r>
    </w:p>
    <w:p w14:paraId="163258AF">
      <w:pPr>
        <w:spacing w:line="500" w:lineRule="exact"/>
        <w:ind w:firstLine="480" w:firstLineChars="200"/>
        <w:rPr>
          <w:rFonts w:hAnsi="宋体"/>
          <w:color w:val="auto"/>
          <w:sz w:val="24"/>
          <w:highlight w:val="none"/>
        </w:rPr>
      </w:pPr>
      <w:r>
        <w:rPr>
          <w:rFonts w:hint="eastAsia" w:hAnsi="宋体"/>
          <w:color w:val="auto"/>
          <w:sz w:val="24"/>
          <w:highlight w:val="none"/>
        </w:rPr>
        <w:t>（14）手动／电动操作手柄：手动／电动操作手柄，用于切换空轴上离合器的位置，电动时不用切换手柄，通电后电动装置即从手动状态自动恢复到电动状态。</w:t>
      </w:r>
    </w:p>
    <w:p w14:paraId="151FD74F">
      <w:pPr>
        <w:spacing w:line="500" w:lineRule="exact"/>
        <w:ind w:firstLine="480" w:firstLineChars="200"/>
        <w:rPr>
          <w:rFonts w:hAnsi="宋体"/>
          <w:color w:val="auto"/>
          <w:sz w:val="24"/>
          <w:highlight w:val="none"/>
        </w:rPr>
      </w:pPr>
      <w:r>
        <w:rPr>
          <w:rFonts w:hint="eastAsia" w:hAnsi="宋体"/>
          <w:color w:val="auto"/>
          <w:sz w:val="24"/>
          <w:highlight w:val="none"/>
        </w:rPr>
        <w:t>（15）开关机构：开关结构在开关行程终点应各有一常开、常闭两只辅助开关，可传递远距离位置信号，另外每个方向上各有一只转矩／限位开关各带一对常开触点，可远距离传送信号，有起转矩和行程限位保护功能，并有机械锁定装置，防止转矩／限位开关的触点抖动。</w:t>
      </w:r>
    </w:p>
    <w:p w14:paraId="66C157D7">
      <w:pPr>
        <w:spacing w:line="500" w:lineRule="exact"/>
        <w:ind w:firstLine="480" w:firstLineChars="200"/>
        <w:rPr>
          <w:rFonts w:hAnsi="宋体"/>
          <w:color w:val="auto"/>
          <w:sz w:val="24"/>
          <w:highlight w:val="none"/>
        </w:rPr>
      </w:pPr>
      <w:r>
        <w:rPr>
          <w:rFonts w:hint="eastAsia" w:hAnsi="宋体"/>
          <w:color w:val="auto"/>
          <w:sz w:val="24"/>
          <w:highlight w:val="none"/>
          <w:lang w:val="en-US" w:eastAsia="zh-CN"/>
        </w:rPr>
        <w:t>7.5</w:t>
      </w:r>
      <w:r>
        <w:rPr>
          <w:rFonts w:hint="eastAsia" w:hAnsi="宋体"/>
          <w:color w:val="auto"/>
          <w:sz w:val="24"/>
          <w:highlight w:val="none"/>
        </w:rPr>
        <w:t>控制方式</w:t>
      </w:r>
    </w:p>
    <w:p w14:paraId="035B5274">
      <w:pPr>
        <w:spacing w:line="500" w:lineRule="exact"/>
        <w:ind w:firstLine="480" w:firstLineChars="200"/>
        <w:rPr>
          <w:rFonts w:hAnsi="宋体"/>
          <w:color w:val="auto"/>
          <w:sz w:val="24"/>
          <w:highlight w:val="none"/>
        </w:rPr>
      </w:pPr>
      <w:r>
        <w:rPr>
          <w:rFonts w:hint="eastAsia" w:hAnsi="宋体"/>
          <w:color w:val="auto"/>
          <w:sz w:val="24"/>
          <w:highlight w:val="none"/>
        </w:rPr>
        <w:t>手动控制及PLC集中控制：</w:t>
      </w:r>
    </w:p>
    <w:p w14:paraId="43416FB8">
      <w:pPr>
        <w:spacing w:line="500" w:lineRule="exact"/>
        <w:ind w:firstLine="480" w:firstLineChars="200"/>
        <w:rPr>
          <w:rFonts w:hAnsi="宋体"/>
          <w:color w:val="auto"/>
          <w:sz w:val="24"/>
          <w:highlight w:val="none"/>
        </w:rPr>
      </w:pPr>
      <w:r>
        <w:rPr>
          <w:rFonts w:hint="eastAsia" w:hAnsi="宋体"/>
          <w:color w:val="auto"/>
          <w:sz w:val="24"/>
          <w:highlight w:val="none"/>
        </w:rPr>
        <w:t>（1）手动控制：将选择开关放到就地机旁位置，操作人员就地开、关阀门。</w:t>
      </w:r>
    </w:p>
    <w:p w14:paraId="0BA1DE8D">
      <w:pPr>
        <w:spacing w:line="500" w:lineRule="exact"/>
        <w:ind w:firstLine="480" w:firstLineChars="200"/>
        <w:rPr>
          <w:rFonts w:hint="eastAsia" w:eastAsia="宋体" w:cs="宋体"/>
          <w:b/>
          <w:bCs w:val="0"/>
          <w:color w:val="auto"/>
          <w:sz w:val="28"/>
          <w:szCs w:val="28"/>
          <w:lang w:val="en-US" w:eastAsia="zh-CN"/>
        </w:rPr>
      </w:pPr>
      <w:r>
        <w:rPr>
          <w:rFonts w:hint="eastAsia" w:hAnsi="宋体"/>
          <w:color w:val="auto"/>
          <w:sz w:val="24"/>
          <w:highlight w:val="none"/>
        </w:rPr>
        <w:t>（2）PLC控制：将选择开关放到远程控制位置，由PLC远程开、关闸门，并采集其工况讯号，可输出4～20mA阀门开度信号。</w:t>
      </w:r>
    </w:p>
    <w:p w14:paraId="53399959">
      <w:pPr>
        <w:spacing w:line="500" w:lineRule="exact"/>
        <w:jc w:val="left"/>
        <w:outlineLvl w:val="2"/>
        <w:rPr>
          <w:rFonts w:hint="eastAsia"/>
          <w:b/>
          <w:color w:val="auto"/>
          <w:sz w:val="28"/>
          <w:szCs w:val="28"/>
          <w:highlight w:val="none"/>
        </w:rPr>
      </w:pPr>
      <w:r>
        <w:rPr>
          <w:rFonts w:hint="eastAsia"/>
          <w:b/>
          <w:color w:val="auto"/>
          <w:sz w:val="28"/>
          <w:szCs w:val="28"/>
          <w:highlight w:val="none"/>
          <w:lang w:val="en-US" w:eastAsia="zh-CN"/>
        </w:rPr>
        <w:t>8、</w:t>
      </w:r>
      <w:r>
        <w:rPr>
          <w:rFonts w:hint="eastAsia"/>
          <w:b/>
          <w:color w:val="auto"/>
          <w:sz w:val="28"/>
          <w:szCs w:val="28"/>
          <w:highlight w:val="none"/>
        </w:rPr>
        <w:t>机械设备配套的电气控制箱（柜）</w:t>
      </w:r>
    </w:p>
    <w:p w14:paraId="63F57939">
      <w:pPr>
        <w:pStyle w:val="106"/>
        <w:spacing w:line="500" w:lineRule="exact"/>
        <w:ind w:firstLine="0" w:firstLineChars="0"/>
        <w:outlineLvl w:val="3"/>
        <w:rPr>
          <w:b/>
          <w:color w:val="auto"/>
          <w:szCs w:val="24"/>
          <w:highlight w:val="none"/>
        </w:rPr>
      </w:pPr>
      <w:r>
        <w:rPr>
          <w:rFonts w:hint="eastAsia"/>
          <w:b/>
          <w:color w:val="auto"/>
          <w:szCs w:val="24"/>
          <w:highlight w:val="none"/>
          <w:lang w:val="en-US" w:eastAsia="zh-CN"/>
        </w:rPr>
        <w:t>8</w:t>
      </w:r>
      <w:r>
        <w:rPr>
          <w:rFonts w:hint="eastAsia"/>
          <w:b/>
          <w:color w:val="auto"/>
          <w:szCs w:val="24"/>
          <w:highlight w:val="none"/>
        </w:rPr>
        <w:t>.1</w:t>
      </w:r>
      <w:r>
        <w:rPr>
          <w:b/>
          <w:color w:val="auto"/>
          <w:szCs w:val="24"/>
          <w:highlight w:val="none"/>
        </w:rPr>
        <w:t>概述</w:t>
      </w:r>
    </w:p>
    <w:p w14:paraId="16840C2D">
      <w:pPr>
        <w:spacing w:line="500" w:lineRule="exact"/>
        <w:ind w:firstLine="480" w:firstLineChars="200"/>
        <w:rPr>
          <w:rFonts w:hAnsi="宋体"/>
          <w:color w:val="auto"/>
          <w:sz w:val="24"/>
          <w:highlight w:val="none"/>
        </w:rPr>
      </w:pPr>
      <w:r>
        <w:rPr>
          <w:rFonts w:hAnsi="宋体"/>
          <w:color w:val="auto"/>
          <w:sz w:val="24"/>
          <w:highlight w:val="none"/>
        </w:rPr>
        <w:t>投标人应负责与机械设备配套电气控制箱（柜）的的设计、制造、测试、供货、运输、安装、调试、培训、运行维护、交付使用、缺陷责任期内保修，以及为上述所作的一切准备工作、服务、人工、材料和包括竣工资料与操作维护手册的提供，不管它们是否在文件或图纸上注明。</w:t>
      </w:r>
    </w:p>
    <w:p w14:paraId="2A5AE499">
      <w:pPr>
        <w:spacing w:line="500" w:lineRule="exact"/>
        <w:ind w:firstLine="480" w:firstLineChars="200"/>
        <w:rPr>
          <w:rFonts w:hAnsi="宋体"/>
          <w:color w:val="auto"/>
          <w:sz w:val="24"/>
          <w:highlight w:val="none"/>
        </w:rPr>
      </w:pPr>
      <w:r>
        <w:rPr>
          <w:rFonts w:hAnsi="宋体"/>
          <w:color w:val="auto"/>
          <w:sz w:val="24"/>
          <w:highlight w:val="none"/>
        </w:rPr>
        <w:t>与机械设备配套电气控制箱（柜）应由机械设备的主机制造商配套供应，主机制造商有责任保证所供电气控制箱（柜）与所控机械设备供电、控制以及保护要求相匹配，保证所供电气控制箱（柜）可以长期、安全、可靠的为所控机械设备供电，并满足机械设备的保护及控制要求。如因配套电气控制箱（柜）而造成机械设备无法正常运行的，应有机械设备供货商负责。所需费用应包含在主机设备的报价内。</w:t>
      </w:r>
    </w:p>
    <w:p w14:paraId="119897FF">
      <w:pPr>
        <w:spacing w:line="500" w:lineRule="exact"/>
        <w:ind w:firstLine="480" w:firstLineChars="200"/>
        <w:rPr>
          <w:rFonts w:hAnsi="宋体"/>
          <w:color w:val="auto"/>
          <w:sz w:val="24"/>
          <w:highlight w:val="none"/>
        </w:rPr>
      </w:pPr>
      <w:r>
        <w:rPr>
          <w:rFonts w:hAnsi="宋体"/>
          <w:color w:val="auto"/>
          <w:sz w:val="24"/>
          <w:highlight w:val="none"/>
        </w:rPr>
        <w:t>为了保持电气设备的一致性，方便运行维护，凡是在中国国内生产的电气控制箱（柜）应由机械设备主机制造商指定低压开关柜制造厂生产，包括进口机械设备在中国国内配套的电气控制箱（柜）。</w:t>
      </w:r>
    </w:p>
    <w:p w14:paraId="424E3F8E">
      <w:pPr>
        <w:spacing w:line="500" w:lineRule="exact"/>
        <w:ind w:firstLine="480" w:firstLineChars="200"/>
        <w:rPr>
          <w:rFonts w:hAnsi="宋体"/>
          <w:color w:val="auto"/>
          <w:sz w:val="24"/>
          <w:highlight w:val="none"/>
        </w:rPr>
      </w:pPr>
      <w:r>
        <w:rPr>
          <w:rFonts w:hAnsi="宋体"/>
          <w:color w:val="auto"/>
          <w:sz w:val="24"/>
          <w:highlight w:val="none"/>
        </w:rPr>
        <w:t>一般落地安装的称为电气控制柜，支架、立柱支撑或挂墙安装的称为电气控制箱，本招标文件为了描述方便，所有的电气控制柜及电气控制箱一律统称为电控箱。</w:t>
      </w:r>
    </w:p>
    <w:p w14:paraId="7F6EB536">
      <w:pPr>
        <w:spacing w:line="500" w:lineRule="exact"/>
        <w:ind w:firstLine="480" w:firstLineChars="200"/>
        <w:rPr>
          <w:rFonts w:hAnsi="宋体"/>
          <w:color w:val="auto"/>
          <w:sz w:val="24"/>
          <w:highlight w:val="none"/>
        </w:rPr>
      </w:pPr>
      <w:r>
        <w:rPr>
          <w:rFonts w:hint="eastAsia" w:hAnsi="宋体"/>
          <w:color w:val="auto"/>
          <w:sz w:val="24"/>
          <w:highlight w:val="none"/>
        </w:rPr>
        <w:t>●配电间、控制室内安装的电控箱（柜）采用冷轧钢板压弯焊接而成，其余安装于现场或户外的</w:t>
      </w:r>
      <w:r>
        <w:rPr>
          <w:rFonts w:hAnsi="宋体"/>
          <w:color w:val="auto"/>
          <w:sz w:val="24"/>
          <w:highlight w:val="none"/>
        </w:rPr>
        <w:t>电控箱箱体体均采用SS304不锈钢板压弯、焊接而成，钢板厚度不小于2mm</w:t>
      </w:r>
      <w:r>
        <w:rPr>
          <w:rFonts w:hint="eastAsia" w:hAnsi="宋体"/>
          <w:color w:val="auto"/>
          <w:sz w:val="24"/>
          <w:highlight w:val="none"/>
        </w:rPr>
        <w:t>。</w:t>
      </w:r>
      <w:r>
        <w:rPr>
          <w:rFonts w:hAnsi="宋体"/>
          <w:color w:val="auto"/>
          <w:sz w:val="24"/>
          <w:highlight w:val="none"/>
        </w:rPr>
        <w:t>箱体表面采用酸洗钝化并静电粉喷，颜色按业主要求。</w:t>
      </w:r>
    </w:p>
    <w:p w14:paraId="7F794167">
      <w:pPr>
        <w:spacing w:line="500" w:lineRule="exact"/>
        <w:ind w:firstLine="480" w:firstLineChars="200"/>
        <w:rPr>
          <w:rFonts w:hAnsi="宋体"/>
          <w:color w:val="auto"/>
          <w:sz w:val="24"/>
          <w:highlight w:val="none"/>
        </w:rPr>
      </w:pPr>
      <w:r>
        <w:rPr>
          <w:rFonts w:hAnsi="宋体"/>
          <w:color w:val="auto"/>
          <w:sz w:val="24"/>
          <w:highlight w:val="none"/>
        </w:rPr>
        <w:t>所有需支撑安装的电控箱，主机制造商应配套提供</w:t>
      </w:r>
      <w:r>
        <w:rPr>
          <w:rFonts w:hint="eastAsia" w:hAnsi="宋体"/>
          <w:color w:val="auto"/>
          <w:sz w:val="24"/>
          <w:highlight w:val="none"/>
        </w:rPr>
        <w:t>不锈钢</w:t>
      </w:r>
      <w:r>
        <w:rPr>
          <w:rFonts w:hAnsi="宋体"/>
          <w:color w:val="auto"/>
          <w:sz w:val="24"/>
          <w:highlight w:val="none"/>
        </w:rPr>
        <w:t>安装支架，支架强度必须满足电控箱要求。凡需落地安装的电控箱，投标人应配套提供用于安装的槽钢基础。所需费用应包含在主机设备的报价内。</w:t>
      </w:r>
    </w:p>
    <w:p w14:paraId="778F33AF">
      <w:pPr>
        <w:spacing w:line="500" w:lineRule="exact"/>
        <w:ind w:firstLine="480" w:firstLineChars="200"/>
        <w:rPr>
          <w:rFonts w:hAnsi="宋体"/>
          <w:color w:val="auto"/>
          <w:sz w:val="24"/>
          <w:highlight w:val="none"/>
        </w:rPr>
      </w:pPr>
      <w:r>
        <w:rPr>
          <w:rFonts w:hAnsi="宋体"/>
          <w:color w:val="auto"/>
          <w:sz w:val="24"/>
          <w:highlight w:val="none"/>
        </w:rPr>
        <w:t>当电控箱集中安装在构筑物配电间内时，必须在机械设备机旁配置按钮箱。所需费用应包含在主机设备的报价内。</w:t>
      </w:r>
    </w:p>
    <w:p w14:paraId="0E339DAB">
      <w:pPr>
        <w:spacing w:line="500" w:lineRule="exact"/>
        <w:ind w:firstLine="480" w:firstLineChars="200"/>
        <w:rPr>
          <w:rFonts w:hAnsi="宋体"/>
          <w:color w:val="auto"/>
          <w:sz w:val="24"/>
          <w:highlight w:val="none"/>
        </w:rPr>
      </w:pPr>
      <w:r>
        <w:rPr>
          <w:rFonts w:hAnsi="宋体"/>
          <w:color w:val="auto"/>
          <w:sz w:val="24"/>
          <w:highlight w:val="none"/>
        </w:rPr>
        <w:t>由机械设备配套电控箱至其所控设备之间的动力以及控制线缆由主机制造商配套供应。各配套电控箱、按钮箱之间的联动控制线缆配套供应。电控箱安装在设备附近或集中安装在构筑物的配电间内，详见各机械设备章节具体描述。配套线缆长度由投标人根据招标图自行确定，必须满足工程要求。配套电缆及相关辅材的报价应包括在机械设备投标报价内。</w:t>
      </w:r>
    </w:p>
    <w:p w14:paraId="0700BB82">
      <w:pPr>
        <w:spacing w:line="500" w:lineRule="exact"/>
        <w:ind w:firstLine="480" w:firstLineChars="200"/>
        <w:rPr>
          <w:rFonts w:hAnsi="宋体"/>
          <w:color w:val="auto"/>
          <w:sz w:val="24"/>
          <w:highlight w:val="none"/>
        </w:rPr>
      </w:pPr>
      <w:r>
        <w:rPr>
          <w:rFonts w:hAnsi="宋体"/>
          <w:color w:val="auto"/>
          <w:sz w:val="24"/>
          <w:highlight w:val="none"/>
        </w:rPr>
        <w:t>部分大功率设备由于变频器体积较大，可能需要单独成柜，本招标文件认为所有的变频器柜都属于电控箱范畴，需要由主机制造商成套，并满足本招标文件要求。</w:t>
      </w:r>
    </w:p>
    <w:p w14:paraId="34D8B4E8">
      <w:pPr>
        <w:pStyle w:val="106"/>
        <w:spacing w:line="500" w:lineRule="exact"/>
        <w:ind w:firstLine="0" w:firstLineChars="0"/>
        <w:outlineLvl w:val="3"/>
        <w:rPr>
          <w:b/>
          <w:color w:val="auto"/>
          <w:szCs w:val="24"/>
          <w:highlight w:val="none"/>
        </w:rPr>
      </w:pPr>
      <w:r>
        <w:rPr>
          <w:rFonts w:hint="eastAsia"/>
          <w:b/>
          <w:color w:val="auto"/>
          <w:szCs w:val="24"/>
          <w:highlight w:val="none"/>
          <w:lang w:val="en-US" w:eastAsia="zh-CN"/>
        </w:rPr>
        <w:t>8.</w:t>
      </w:r>
      <w:r>
        <w:rPr>
          <w:rFonts w:hint="eastAsia"/>
          <w:b/>
          <w:color w:val="auto"/>
          <w:szCs w:val="24"/>
          <w:highlight w:val="none"/>
        </w:rPr>
        <w:t>2</w:t>
      </w:r>
      <w:r>
        <w:rPr>
          <w:b/>
          <w:color w:val="auto"/>
          <w:szCs w:val="24"/>
          <w:highlight w:val="none"/>
        </w:rPr>
        <w:t>供电电源</w:t>
      </w:r>
    </w:p>
    <w:p w14:paraId="320C45C9">
      <w:pPr>
        <w:spacing w:line="500" w:lineRule="exact"/>
        <w:ind w:firstLine="480" w:firstLineChars="200"/>
        <w:rPr>
          <w:rFonts w:hAnsi="宋体"/>
          <w:color w:val="auto"/>
          <w:sz w:val="24"/>
          <w:highlight w:val="none"/>
        </w:rPr>
      </w:pPr>
      <w:r>
        <w:rPr>
          <w:rFonts w:hAnsi="宋体"/>
          <w:color w:val="auto"/>
          <w:sz w:val="24"/>
          <w:highlight w:val="none"/>
        </w:rPr>
        <w:t>所有机械设备电气控制箱电源均引自低压开关柜和动力配电箱，供电电源均为380/220V，从低压开关柜和动力配电箱至电气控制箱的供电电源接入方式均为电缆进线方式。电气控制箱内控制设备所需特殊电源由主机制造商根据设备要求自行解决。</w:t>
      </w:r>
    </w:p>
    <w:p w14:paraId="7CE326E0">
      <w:pPr>
        <w:pStyle w:val="106"/>
        <w:spacing w:line="500" w:lineRule="exact"/>
        <w:ind w:firstLine="0" w:firstLineChars="0"/>
        <w:outlineLvl w:val="3"/>
        <w:rPr>
          <w:b/>
          <w:color w:val="auto"/>
          <w:szCs w:val="24"/>
          <w:highlight w:val="none"/>
        </w:rPr>
      </w:pPr>
      <w:r>
        <w:rPr>
          <w:rFonts w:hint="eastAsia"/>
          <w:b/>
          <w:color w:val="auto"/>
          <w:szCs w:val="24"/>
          <w:highlight w:val="none"/>
          <w:lang w:val="en-US" w:eastAsia="zh-CN"/>
        </w:rPr>
        <w:t>8</w:t>
      </w:r>
      <w:r>
        <w:rPr>
          <w:rFonts w:hint="eastAsia"/>
          <w:b/>
          <w:color w:val="auto"/>
          <w:szCs w:val="24"/>
          <w:highlight w:val="none"/>
        </w:rPr>
        <w:t>.3</w:t>
      </w:r>
      <w:r>
        <w:rPr>
          <w:b/>
          <w:color w:val="auto"/>
          <w:szCs w:val="24"/>
          <w:highlight w:val="none"/>
        </w:rPr>
        <w:t>一般技术要求</w:t>
      </w:r>
    </w:p>
    <w:p w14:paraId="3882DC72">
      <w:pPr>
        <w:spacing w:line="500" w:lineRule="exact"/>
        <w:ind w:firstLine="480" w:firstLineChars="200"/>
        <w:rPr>
          <w:rFonts w:hAnsi="宋体"/>
          <w:color w:val="auto"/>
          <w:sz w:val="24"/>
          <w:highlight w:val="none"/>
        </w:rPr>
      </w:pPr>
      <w:r>
        <w:rPr>
          <w:rFonts w:hAnsi="宋体"/>
          <w:color w:val="auto"/>
          <w:sz w:val="24"/>
          <w:highlight w:val="none"/>
        </w:rPr>
        <w:t>与机械设备配套的电控箱应符合下列要求：</w:t>
      </w:r>
    </w:p>
    <w:p w14:paraId="276D3F2E">
      <w:pPr>
        <w:spacing w:line="500" w:lineRule="exact"/>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电控箱电源端应设具有隔离功能的断路器。电控箱各馈电回路应设短路、过负荷以及接地故障保护。</w:t>
      </w:r>
    </w:p>
    <w:p w14:paraId="1DCDE739">
      <w:pPr>
        <w:spacing w:line="50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各电机主回路应配置短路保护、接地故障保护以及过载保护。并应根据电动机具体保护要求以及使用情况按需装设断相保护、低电压保护以及轴温、泄漏等专用保护。</w:t>
      </w:r>
    </w:p>
    <w:p w14:paraId="1D2EBB43">
      <w:pPr>
        <w:spacing w:line="50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水下电机还应配备潜水电机专用保护继电器，按需进行泄漏、高温及干运行等保护。保护继电器电源应采用AC 220V电源。故障输出为干结点无源继电器信号，触点容量220V 5A。</w:t>
      </w:r>
    </w:p>
    <w:p w14:paraId="6B3272E3">
      <w:pPr>
        <w:spacing w:line="50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电控箱与潜水电机连接用的控制电缆和电力电缆应采用水下电缆，电缆由主机制造商配套供应。当潜水电机至电控箱的实际安装距离超过主机制造商提供的电缆长度时，主机制造商应提供延长电缆所必须的水下电缆转接盒，并应包含在主机设备的报价内。从一台潜水电机引出的电力电缆和控制电缆应共用一个电缆接线盒。</w:t>
      </w:r>
    </w:p>
    <w:p w14:paraId="4DC32D6D">
      <w:pPr>
        <w:spacing w:line="500" w:lineRule="exact"/>
        <w:ind w:firstLine="480" w:firstLineChars="200"/>
        <w:rPr>
          <w:rFonts w:hAnsi="宋体"/>
          <w:color w:val="auto"/>
          <w:sz w:val="24"/>
          <w:highlight w:val="none"/>
        </w:rPr>
      </w:pPr>
      <w:r>
        <w:rPr>
          <w:rFonts w:hint="eastAsia" w:hAnsi="宋体"/>
          <w:color w:val="auto"/>
          <w:sz w:val="24"/>
          <w:highlight w:val="none"/>
        </w:rPr>
        <w:t>5、</w:t>
      </w:r>
      <w:r>
        <w:rPr>
          <w:rFonts w:hAnsi="宋体"/>
          <w:color w:val="auto"/>
          <w:sz w:val="24"/>
          <w:highlight w:val="none"/>
        </w:rPr>
        <w:t>当主机配套电缆与电动机接线端子不匹配时，主机制造商有责任提供电缆接线盒。接线盒的数量由主机制造商根据所供设备的实际情况加以配置，费用应包含在主机设备的报价内。</w:t>
      </w:r>
    </w:p>
    <w:p w14:paraId="21903114">
      <w:pPr>
        <w:spacing w:line="500" w:lineRule="exact"/>
        <w:ind w:firstLine="480" w:firstLineChars="200"/>
        <w:rPr>
          <w:rFonts w:hAnsi="宋体"/>
          <w:color w:val="auto"/>
          <w:sz w:val="24"/>
          <w:highlight w:val="none"/>
        </w:rPr>
      </w:pPr>
      <w:r>
        <w:rPr>
          <w:rFonts w:hint="eastAsia" w:hAnsi="宋体"/>
          <w:color w:val="auto"/>
          <w:sz w:val="24"/>
          <w:highlight w:val="none"/>
        </w:rPr>
        <w:t>6、</w:t>
      </w:r>
      <w:r>
        <w:rPr>
          <w:rFonts w:hAnsi="宋体"/>
          <w:color w:val="auto"/>
          <w:sz w:val="24"/>
          <w:highlight w:val="none"/>
        </w:rPr>
        <w:t>接线盒防护等级应不小于IP65。接线盒内应有供电力电缆和控制电缆可靠连接用的铜接线排(或接线端子)，接线排或接线端子应能满足电机在额定和故障状态下电气强度要求。</w:t>
      </w:r>
    </w:p>
    <w:p w14:paraId="6D1A72EB">
      <w:pPr>
        <w:spacing w:line="500" w:lineRule="exact"/>
        <w:ind w:firstLine="480" w:firstLineChars="200"/>
        <w:rPr>
          <w:rFonts w:hAnsi="宋体"/>
          <w:color w:val="auto"/>
          <w:sz w:val="24"/>
          <w:highlight w:val="none"/>
        </w:rPr>
      </w:pPr>
      <w:r>
        <w:rPr>
          <w:rFonts w:hint="eastAsia" w:hAnsi="宋体"/>
          <w:color w:val="auto"/>
          <w:sz w:val="24"/>
          <w:highlight w:val="none"/>
        </w:rPr>
        <w:t>7、</w:t>
      </w:r>
      <w:r>
        <w:rPr>
          <w:rFonts w:hAnsi="宋体"/>
          <w:color w:val="auto"/>
          <w:sz w:val="24"/>
          <w:highlight w:val="none"/>
        </w:rPr>
        <w:t>根据工艺控制要求对所控设备进行联动操作。</w:t>
      </w:r>
    </w:p>
    <w:p w14:paraId="4AFC1F68">
      <w:pPr>
        <w:spacing w:line="500" w:lineRule="exact"/>
        <w:ind w:firstLine="480"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一般电控箱控制方式分为手动控制和自动控制二种方式。手动控制由配套电控箱上的控制按钮实现。自动控制由配套电控箱接受厂区自动控制系统远程控制信号实现自动控制。手动/自动控制转换由配套电控箱上的转换开关实现。二种控制方式手动优先，自动次之。</w:t>
      </w:r>
    </w:p>
    <w:p w14:paraId="0964F270">
      <w:pPr>
        <w:spacing w:line="500" w:lineRule="exact"/>
        <w:ind w:firstLine="480" w:firstLineChars="200"/>
        <w:rPr>
          <w:rFonts w:hAnsi="宋体"/>
          <w:color w:val="auto"/>
          <w:sz w:val="24"/>
          <w:highlight w:val="none"/>
        </w:rPr>
      </w:pPr>
      <w:r>
        <w:rPr>
          <w:rFonts w:hint="eastAsia" w:hAnsi="宋体"/>
          <w:color w:val="auto"/>
          <w:sz w:val="24"/>
          <w:highlight w:val="none"/>
        </w:rPr>
        <w:t>9、</w:t>
      </w:r>
      <w:r>
        <w:rPr>
          <w:rFonts w:hAnsi="宋体"/>
          <w:color w:val="auto"/>
          <w:sz w:val="24"/>
          <w:highlight w:val="none"/>
        </w:rPr>
        <w:t>当电控箱集中安装在构筑物配电间内时，必须在机械设备机旁配置按钮箱。按钮箱上配置就地/远方装换开关，开、停、急停按钮，运行、停止、故障指示灯，二次小开关。</w:t>
      </w:r>
    </w:p>
    <w:p w14:paraId="468E7959">
      <w:pPr>
        <w:spacing w:line="500" w:lineRule="exact"/>
        <w:ind w:firstLine="480" w:firstLineChars="200"/>
        <w:rPr>
          <w:rFonts w:hAnsi="宋体"/>
          <w:color w:val="auto"/>
          <w:sz w:val="24"/>
          <w:highlight w:val="none"/>
        </w:rPr>
      </w:pPr>
      <w:r>
        <w:rPr>
          <w:rFonts w:hint="eastAsia" w:hAnsi="宋体"/>
          <w:color w:val="auto"/>
          <w:sz w:val="24"/>
          <w:highlight w:val="none"/>
        </w:rPr>
        <w:t>●10、</w:t>
      </w:r>
      <w:r>
        <w:rPr>
          <w:rFonts w:hAnsi="宋体"/>
          <w:color w:val="auto"/>
          <w:sz w:val="24"/>
          <w:highlight w:val="none"/>
        </w:rPr>
        <w:t>自带PLC控制系统的电控箱控制方式分手动控制、就地自控以及远程自控三种方式。手动控制由配套电控箱上的控制按钮实现。就地自控由配套电控箱自带PLC控制系统就地实现自控。远程自控由配套电控箱接受厂区自动控制系统远程控制信号实现自动控制。控制转换由配套电控箱上的转换开关实现。三种控制方式手动优先，就地自控次之、远程自控最次。</w:t>
      </w:r>
    </w:p>
    <w:p w14:paraId="779C52B5">
      <w:pPr>
        <w:spacing w:line="500" w:lineRule="exact"/>
        <w:ind w:firstLine="480" w:firstLineChars="200"/>
        <w:rPr>
          <w:rFonts w:hAnsi="宋体"/>
          <w:color w:val="auto"/>
          <w:sz w:val="24"/>
          <w:highlight w:val="none"/>
        </w:rPr>
      </w:pPr>
      <w:r>
        <w:rPr>
          <w:rFonts w:hint="eastAsia" w:hAnsi="宋体"/>
          <w:color w:val="auto"/>
          <w:sz w:val="24"/>
          <w:highlight w:val="none"/>
        </w:rPr>
        <w:t>●11、</w:t>
      </w:r>
      <w:r>
        <w:rPr>
          <w:rFonts w:hAnsi="宋体"/>
          <w:color w:val="auto"/>
          <w:sz w:val="24"/>
          <w:highlight w:val="none"/>
        </w:rPr>
        <w:t>电控箱面板上应至少为所控每台设备设置开(正反转)/停按钮、自动/手动转换开关、紧急停车按钮、开停及故障指示灯。带有变频控制的电控箱还应在面板上设置手动调速面板。</w:t>
      </w:r>
    </w:p>
    <w:p w14:paraId="558654C2">
      <w:pPr>
        <w:spacing w:line="500" w:lineRule="exact"/>
        <w:ind w:firstLine="480" w:firstLineChars="200"/>
        <w:rPr>
          <w:rFonts w:hAnsi="宋体"/>
          <w:color w:val="auto"/>
          <w:sz w:val="24"/>
          <w:highlight w:val="none"/>
        </w:rPr>
      </w:pPr>
      <w:r>
        <w:rPr>
          <w:rFonts w:hint="eastAsia" w:hAnsi="宋体"/>
          <w:color w:val="auto"/>
          <w:sz w:val="24"/>
          <w:highlight w:val="none"/>
        </w:rPr>
        <w:t>12、</w:t>
      </w:r>
      <w:r>
        <w:rPr>
          <w:rFonts w:hAnsi="宋体"/>
          <w:color w:val="auto"/>
          <w:sz w:val="24"/>
          <w:highlight w:val="none"/>
        </w:rPr>
        <w:t>单机容量≥5kW的电动机，应采用马达保护器。</w:t>
      </w:r>
    </w:p>
    <w:p w14:paraId="52D9D780">
      <w:pPr>
        <w:spacing w:line="500" w:lineRule="exact"/>
        <w:ind w:firstLine="480" w:firstLineChars="200"/>
      </w:pPr>
      <w:r>
        <w:rPr>
          <w:rFonts w:hint="eastAsia" w:hAnsi="宋体"/>
          <w:color w:val="auto"/>
          <w:sz w:val="24"/>
          <w:highlight w:val="none"/>
        </w:rPr>
        <w:t>●13、</w:t>
      </w:r>
      <w:r>
        <w:rPr>
          <w:rFonts w:hAnsi="宋体"/>
          <w:color w:val="auto"/>
          <w:sz w:val="24"/>
          <w:highlight w:val="none"/>
        </w:rPr>
        <w:t>室外及潮湿场所的电控箱内应按需配置加热器和温湿度自动控制器。当湿度达到一定程度或温度发生剧增，有可能产生凝露时，控制器驱动加热器工作，当凝露状况消失后，加热器停止加热，控制器恢复到监测状态。配置变频器的电控箱内必须安装散热风扇，且能根据箱内温度自动控制器设置的温度进行自动开停。</w:t>
      </w:r>
    </w:p>
    <w:p w14:paraId="5F9712FB">
      <w:pPr>
        <w:snapToGrid w:val="0"/>
        <w:spacing w:line="360" w:lineRule="auto"/>
        <w:rPr>
          <w:rFonts w:hint="eastAsia" w:ascii="宋体" w:hAnsi="宋体" w:eastAsia="宋体" w:cs="宋体"/>
          <w:color w:val="auto"/>
          <w:sz w:val="28"/>
          <w:szCs w:val="28"/>
        </w:rPr>
      </w:pPr>
      <w:r>
        <w:rPr>
          <w:rFonts w:hint="eastAsia" w:ascii="宋体" w:hAnsi="宋体" w:cs="宋体"/>
          <w:b/>
          <w:color w:val="auto"/>
          <w:sz w:val="28"/>
          <w:szCs w:val="28"/>
          <w:lang w:val="en-US" w:eastAsia="zh-CN"/>
        </w:rPr>
        <w:t>9</w:t>
      </w:r>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rPr>
        <w:t>自控仪表设备技术要求</w:t>
      </w:r>
    </w:p>
    <w:p w14:paraId="655F4AE7">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本章为招标文件自控仪表部分的技术规范。</w:t>
      </w:r>
    </w:p>
    <w:p w14:paraId="3614B2CF">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凡是本招标合同范围内的自控仪表，包括工艺设备配套提供的自控仪表，都必须符合本技术规范。</w:t>
      </w:r>
      <w:bookmarkStart w:id="19" w:name="_Toc278479825"/>
      <w:bookmarkStart w:id="20" w:name="_Toc418180926"/>
    </w:p>
    <w:p w14:paraId="494DB3EA">
      <w:pPr>
        <w:snapToGrid w:val="0"/>
        <w:spacing w:line="360" w:lineRule="auto"/>
        <w:rPr>
          <w:rFonts w:hint="eastAsia" w:ascii="宋体" w:hAnsi="宋体" w:eastAsia="宋体" w:cs="宋体"/>
          <w:snapToGrid w:val="0"/>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.1一般技术规格</w:t>
      </w:r>
      <w:bookmarkEnd w:id="19"/>
      <w:bookmarkEnd w:id="20"/>
    </w:p>
    <w:p w14:paraId="4711BBAD">
      <w:pPr>
        <w:snapToGrid w:val="0"/>
        <w:spacing w:line="360" w:lineRule="auto"/>
        <w:rPr>
          <w:rFonts w:hint="eastAsia" w:ascii="宋体" w:hAnsi="宋体" w:eastAsia="宋体" w:cs="宋体"/>
          <w:snapToGrid w:val="0"/>
          <w:color w:val="auto"/>
          <w:sz w:val="24"/>
          <w:szCs w:val="24"/>
        </w:rPr>
      </w:pPr>
      <w:bookmarkStart w:id="21" w:name="_Toc418180927"/>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.1.1</w:t>
      </w:r>
      <w:r>
        <w:rPr>
          <w:rFonts w:hint="eastAsia" w:ascii="宋体" w:hAnsi="宋体" w:eastAsia="宋体" w:cs="宋体"/>
          <w:color w:val="auto"/>
          <w:sz w:val="24"/>
          <w:szCs w:val="24"/>
        </w:rPr>
        <w:t xml:space="preserve"> </w:t>
      </w:r>
      <w:bookmarkEnd w:id="21"/>
      <w:r>
        <w:rPr>
          <w:rFonts w:hint="eastAsia" w:ascii="宋体" w:hAnsi="宋体" w:eastAsia="宋体" w:cs="宋体"/>
          <w:color w:val="auto"/>
          <w:sz w:val="24"/>
          <w:szCs w:val="24"/>
        </w:rPr>
        <w:t>提交技术文件和图纸</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270"/>
      </w:tblGrid>
      <w:tr w14:paraId="63CA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5C3C5F58">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序号</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7E3FC064">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内         容</w:t>
            </w:r>
          </w:p>
        </w:tc>
      </w:tr>
      <w:tr w14:paraId="6D32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51F151E">
            <w:pPr>
              <w:snapToGrid w:val="0"/>
              <w:spacing w:line="360" w:lineRule="auto"/>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7BD749C3">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仪表清单（标明其型号、规格、专用电缆、安装组件、附件及数量）</w:t>
            </w:r>
          </w:p>
        </w:tc>
      </w:tr>
      <w:tr w14:paraId="1F79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24EEB776">
            <w:pPr>
              <w:snapToGrid w:val="0"/>
              <w:spacing w:line="360" w:lineRule="auto"/>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41802820">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自控设备清单（包括型号、规格、专用电缆、配件、附件及数量）</w:t>
            </w:r>
          </w:p>
        </w:tc>
      </w:tr>
      <w:tr w14:paraId="720C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0D93DAF9">
            <w:pPr>
              <w:snapToGrid w:val="0"/>
              <w:spacing w:line="360" w:lineRule="auto"/>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3</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64CF0A49">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仪表的安装使用说明书</w:t>
            </w:r>
          </w:p>
        </w:tc>
      </w:tr>
      <w:tr w14:paraId="5BF2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5881A0E1">
            <w:pPr>
              <w:snapToGrid w:val="0"/>
              <w:spacing w:line="360" w:lineRule="auto"/>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4</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2C0475DB">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自动控制设备、软件的使用说明书</w:t>
            </w:r>
          </w:p>
        </w:tc>
      </w:tr>
      <w:tr w14:paraId="77B6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7B231C00">
            <w:pPr>
              <w:snapToGrid w:val="0"/>
              <w:spacing w:line="360" w:lineRule="auto"/>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5</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470E3347">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自动控制系统配置图</w:t>
            </w:r>
          </w:p>
        </w:tc>
      </w:tr>
      <w:tr w14:paraId="267C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0C975292">
            <w:pPr>
              <w:snapToGrid w:val="0"/>
              <w:spacing w:line="360" w:lineRule="auto"/>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6</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02797D91">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供电、防雷、接地系统图</w:t>
            </w:r>
          </w:p>
        </w:tc>
      </w:tr>
      <w:tr w14:paraId="5699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1DC11053">
            <w:pPr>
              <w:snapToGrid w:val="0"/>
              <w:spacing w:line="360" w:lineRule="auto"/>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7</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385DC83B">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系统控制方案说明文件</w:t>
            </w:r>
          </w:p>
        </w:tc>
      </w:tr>
      <w:tr w14:paraId="0ED8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6268988F">
            <w:pPr>
              <w:snapToGrid w:val="0"/>
              <w:spacing w:line="360" w:lineRule="auto"/>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8</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0A958253">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PLC柜外型尺寸及安装图</w:t>
            </w:r>
          </w:p>
        </w:tc>
      </w:tr>
      <w:tr w14:paraId="6686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1EA8DCA8">
            <w:pPr>
              <w:snapToGrid w:val="0"/>
              <w:spacing w:line="360" w:lineRule="auto"/>
              <w:jc w:val="center"/>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9</w:t>
            </w:r>
          </w:p>
        </w:tc>
        <w:tc>
          <w:tcPr>
            <w:tcW w:w="7270" w:type="dxa"/>
            <w:tcBorders>
              <w:top w:val="single" w:color="auto" w:sz="4" w:space="0"/>
              <w:left w:val="single" w:color="auto" w:sz="4" w:space="0"/>
              <w:bottom w:val="single" w:color="auto" w:sz="4" w:space="0"/>
              <w:right w:val="single" w:color="auto" w:sz="4" w:space="0"/>
            </w:tcBorders>
            <w:noWrap w:val="0"/>
            <w:vAlign w:val="center"/>
          </w:tcPr>
          <w:p w14:paraId="2797D79B">
            <w:pPr>
              <w:snapToGrid w:val="0"/>
              <w:spacing w:line="360" w:lineRule="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工艺过程控制应用软件的技术说明、流程图、软件（光盘或软盘）</w:t>
            </w:r>
          </w:p>
        </w:tc>
      </w:tr>
    </w:tbl>
    <w:p w14:paraId="425B3FE4">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（1）仪表及控制图</w:t>
      </w:r>
    </w:p>
    <w:p w14:paraId="14FECD84">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）控制柜设计图</w:t>
      </w:r>
    </w:p>
    <w:p w14:paraId="2DA0363E">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外形尺寸、内部布置、接线原理、端子图等；PLC配置图；柜内设备、配件、材料一览表。</w:t>
      </w:r>
    </w:p>
    <w:p w14:paraId="44D24FB0">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3</w:t>
      </w:r>
      <w:r>
        <w:rPr>
          <w:rFonts w:hint="eastAsia" w:ascii="宋体" w:hAnsi="宋体" w:eastAsia="宋体" w:cs="宋体"/>
          <w:snapToGrid w:val="0"/>
          <w:color w:val="auto"/>
          <w:sz w:val="24"/>
          <w:szCs w:val="24"/>
        </w:rPr>
        <w:t>）预留孔、预埋件的设计及详细要求。</w:t>
      </w:r>
    </w:p>
    <w:p w14:paraId="5BE20055">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）自控系统设计报告</w:t>
      </w:r>
    </w:p>
    <w:p w14:paraId="2EBB60FB">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该报告是综合性的介绍各项设备的技术指标、设计标准、工厂试验及验收标准；详细介绍仪表测量、控制、程序以及软件（包括监控画面、报表格式、数据库内容等）方面的设计方案，和有关的设计说明。</w:t>
      </w:r>
    </w:p>
    <w:p w14:paraId="0F3680A9">
      <w:pPr>
        <w:snapToGrid w:val="0"/>
        <w:spacing w:line="360" w:lineRule="auto"/>
        <w:rPr>
          <w:rFonts w:hint="eastAsia" w:ascii="宋体" w:hAnsi="宋体" w:eastAsia="宋体" w:cs="宋体"/>
          <w:snapToGrid w:val="0"/>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1</w:t>
      </w:r>
      <w:r>
        <w:rPr>
          <w:rFonts w:hint="eastAsia" w:ascii="宋体" w:hAnsi="宋体" w:eastAsia="宋体" w:cs="宋体"/>
          <w:snapToGrid w:val="0"/>
          <w:color w:val="auto"/>
          <w:sz w:val="24"/>
          <w:szCs w:val="24"/>
        </w:rPr>
        <w:t>运行、操作和维护手册</w:t>
      </w:r>
    </w:p>
    <w:p w14:paraId="5102AD6C">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供应商应提供涉及仪表、自控设备和软件的综合性操作和维护手册，这些手册应包括：① 设备手册、② 软件手册、③ 维修手册、④ 操作手册、⑤ 简明数据手册。</w:t>
      </w:r>
    </w:p>
    <w:p w14:paraId="0B692A94">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（1）设备手册</w:t>
      </w:r>
    </w:p>
    <w:p w14:paraId="5102A417">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设备手册应对各个设备项目和系统的说明，包括它的工作目的和工作原理，充分明确各设备间的相互关系，以便对处于任何操作条件下的装置有充分的了解。在必要的情况下，本手册也应包括已在其它手册中描述的有关详细的基本资料。</w:t>
      </w:r>
    </w:p>
    <w:p w14:paraId="2F3ADAA9">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（2）软件手册</w:t>
      </w:r>
    </w:p>
    <w:p w14:paraId="6E7B227A">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——对每个软件本身的说明，包括它的功能、组成、技术指标等。</w:t>
      </w:r>
    </w:p>
    <w:p w14:paraId="605E2E09">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——对每个软件应用的说明，包括各应用软件的功能、组成、设计数据等。</w:t>
      </w:r>
    </w:p>
    <w:p w14:paraId="70F53516">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——对每个软件相互关系的说明。</w:t>
      </w:r>
    </w:p>
    <w:p w14:paraId="37B5C51A">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（3）维修手册</w:t>
      </w:r>
    </w:p>
    <w:p w14:paraId="122CB8B5">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维修手册应包括：</w:t>
      </w:r>
    </w:p>
    <w:p w14:paraId="54184415">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——对设备总体性能要求的描述, 可使维修人员保证设备各部件处于良好的运行状态 ,并及时对设备进行大修；</w:t>
      </w:r>
    </w:p>
    <w:p w14:paraId="4A6E70CC">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——说明所有设备组件的拆卸、重装、校正、更换和调整步骤程序，并包括这种操作步骤的图示；</w:t>
      </w:r>
    </w:p>
    <w:p w14:paraId="76575282">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——说明向发包人推荐的对设备预防维护方法，包括维修次数或在查找排除故障方面进行的检查和指导。</w:t>
      </w:r>
    </w:p>
    <w:p w14:paraId="6C638DC5">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（4）操作手册</w:t>
      </w:r>
    </w:p>
    <w:p w14:paraId="46DB0993">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操作说明手册应对本招标文件中要求提供的每个设备项目作详细的描述，包括投入运行、安装、校正和操作前及操作期间的检查、启动、运转、例行试验操作和关闭的程序，根据实际运行的需要，这些操作程序应能用于安全正常运行和处理意外紧急情况两种条件，包括采用手动和自动操作方式。</w:t>
      </w:r>
    </w:p>
    <w:p w14:paraId="653DE877">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手册中还应包括操作人员为确保设备安全有效操作所需的有关报警和断开装置操作限度（例如有关温度、压力或流量）、温度和压力可允许变动范围的详细资料，包括操作人员的安全操作要求。</w:t>
      </w:r>
    </w:p>
    <w:p w14:paraId="165EF701">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手册应计算机化，也就是将上述内容用多媒体和网络技术作成在线的操作和维护手册。</w:t>
      </w:r>
    </w:p>
    <w:p w14:paraId="533BF2B4">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（5）简明数据手册</w:t>
      </w:r>
    </w:p>
    <w:p w14:paraId="7ABE49CB">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简明数据手册是供管理、运行和维修人员作为工程管理的参考来源使用的。</w:t>
      </w:r>
    </w:p>
    <w:p w14:paraId="243EED7F">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手册应由与设备各个项目有关的表列数据组成，这些数据包括制造厂名称、设备型号、设备类别号、尺寸、操作条件、生产能力、材料、安装的所有细节，以及设备说明手册涉及的所有大小设备项目的相应工程数据。</w:t>
      </w:r>
    </w:p>
    <w:p w14:paraId="5A78945B">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手册书页为规定的ISO216-A4尺寸或折叠成该尺寸，装订在硬封面的活页夹中，并不超过夹子装订容量的70%。扉页应写明发包人、项目、合同和手册名称。目录表应在扉页后，列出带页数的各个项目。手册编页可不必顺次连接，但应有索引附页，以便于迅速查阅。</w:t>
      </w:r>
    </w:p>
    <w:p w14:paraId="733D9EB9">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供应商最迟应在设备开始启用前20天将各种手册副本三份送发包人审查。</w:t>
      </w:r>
    </w:p>
    <w:p w14:paraId="323642EE">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发包人审查批准后，这三份初始副本应作修改，增加要求修改的意见，并再提供五份，使总数达到八份。</w:t>
      </w:r>
    </w:p>
    <w:p w14:paraId="7F6BED1A">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在保修期间，根据运行情况需对操作、维修手册进一步修改时，在确认需作修改后的3天内，供应商应对全部八份副本以调换或增加页次的方式予以提供。</w:t>
      </w:r>
    </w:p>
    <w:p w14:paraId="15F10DC0">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如发包人要求，供应商应向发包人对手册中的有关内容做出解释或说明，直到发包人满意为止。</w:t>
      </w:r>
    </w:p>
    <w:p w14:paraId="598E9FE0">
      <w:pPr>
        <w:snapToGrid w:val="0"/>
        <w:spacing w:line="360" w:lineRule="auto"/>
        <w:rPr>
          <w:rFonts w:hint="eastAsia" w:ascii="宋体" w:hAnsi="宋体" w:eastAsia="宋体" w:cs="宋体"/>
          <w:snapToGrid w:val="0"/>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测试及检验</w:t>
      </w:r>
    </w:p>
    <w:p w14:paraId="3146510E">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供应商采购的自控仪表设备应在项目现场进行单体检验和测试；PLC控制柜等应在生产地进行检测和测试；并提供测试及检验报告。</w:t>
      </w:r>
    </w:p>
    <w:p w14:paraId="53F37178">
      <w:pPr>
        <w:snapToGrid w:val="0"/>
        <w:spacing w:line="360" w:lineRule="auto"/>
        <w:rPr>
          <w:rFonts w:hint="eastAsia" w:ascii="宋体" w:hAnsi="宋体" w:eastAsia="宋体" w:cs="宋体"/>
          <w:snapToGrid w:val="0"/>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指导</w:t>
      </w:r>
      <w:r>
        <w:rPr>
          <w:rFonts w:hint="eastAsia" w:ascii="宋体" w:hAnsi="宋体" w:eastAsia="宋体" w:cs="宋体"/>
          <w:color w:val="auto"/>
          <w:sz w:val="24"/>
          <w:szCs w:val="24"/>
        </w:rPr>
        <w:t>安装</w:t>
      </w:r>
    </w:p>
    <w:p w14:paraId="2883925B">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供应商负责设备的</w:t>
      </w:r>
      <w:r>
        <w:rPr>
          <w:rFonts w:hint="eastAsia" w:ascii="宋体" w:hAnsi="宋体" w:eastAsia="宋体" w:cs="宋体"/>
          <w:snapToGrid w:val="0"/>
          <w:color w:val="auto"/>
          <w:sz w:val="24"/>
          <w:szCs w:val="24"/>
          <w:lang w:eastAsia="zh-CN"/>
        </w:rPr>
        <w:t>指导</w:t>
      </w:r>
      <w:r>
        <w:rPr>
          <w:rFonts w:hint="eastAsia" w:ascii="宋体" w:hAnsi="宋体" w:eastAsia="宋体" w:cs="宋体"/>
          <w:snapToGrid w:val="0"/>
          <w:color w:val="auto"/>
          <w:sz w:val="24"/>
          <w:szCs w:val="24"/>
        </w:rPr>
        <w:t>安装工作，对其他合同包供应商及与本合同有关的工作进行全面指导，对整个安装工作的成果负全责。</w:t>
      </w:r>
    </w:p>
    <w:p w14:paraId="5D0B7E82">
      <w:pPr>
        <w:snapToGrid w:val="0"/>
        <w:spacing w:line="360" w:lineRule="auto"/>
        <w:rPr>
          <w:rFonts w:hint="eastAsia" w:ascii="宋体" w:hAnsi="宋体" w:eastAsia="宋体" w:cs="宋体"/>
          <w:snapToGrid w:val="0"/>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4</w:t>
      </w:r>
      <w:r>
        <w:rPr>
          <w:rFonts w:hint="eastAsia" w:ascii="宋体" w:hAnsi="宋体" w:eastAsia="宋体" w:cs="宋体"/>
          <w:color w:val="auto"/>
          <w:sz w:val="24"/>
          <w:szCs w:val="24"/>
        </w:rPr>
        <w:t xml:space="preserve"> 调试</w:t>
      </w:r>
    </w:p>
    <w:p w14:paraId="3AE14A0E">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调试工作分为单体调试、联动调试、系统调试、软件优化。所有调试都包括在本招标范围内，由供应商负责实施，其他合同包供应商协助，买方负责协调。供应商应提供工程设备联动调试方案，经发包人确认后，负责工艺过程的系统联动调试。</w:t>
      </w:r>
    </w:p>
    <w:p w14:paraId="385D2A88">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本合同的联动调试要在设备全面测试及检验合格后进行。调试的目的是检查各项设备协调工作情况调整各处理单元的工况以及控制系统的各项参数，使系统达到设计的处理效率。</w:t>
      </w:r>
    </w:p>
    <w:p w14:paraId="0BB7F0FF">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供应商在生产地和（或）现场对仪器和设备以及工程各部分进行所有合同中规定的测试和检验，其一切费用由供应商负责。</w:t>
      </w:r>
    </w:p>
    <w:p w14:paraId="6680B212">
      <w:pPr>
        <w:snapToGrid w:val="0"/>
        <w:spacing w:line="360" w:lineRule="auto"/>
        <w:rPr>
          <w:rFonts w:hint="eastAsia" w:ascii="宋体" w:hAnsi="宋体" w:eastAsia="宋体" w:cs="宋体"/>
          <w:snapToGrid w:val="0"/>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5</w:t>
      </w:r>
      <w:r>
        <w:rPr>
          <w:rFonts w:hint="eastAsia" w:ascii="宋体" w:hAnsi="宋体" w:eastAsia="宋体" w:cs="宋体"/>
          <w:color w:val="auto"/>
          <w:sz w:val="24"/>
          <w:szCs w:val="24"/>
        </w:rPr>
        <w:t xml:space="preserve"> 试运行</w:t>
      </w:r>
    </w:p>
    <w:p w14:paraId="0107EB30">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供应商应根据合同规定选派合格的技术人员，对本工程所提供的自控仪表系统和设备的试运行技术指导负责，直至能符合规定的技术性能指标，正常地投入生产试运行，并参与投运。</w:t>
      </w:r>
    </w:p>
    <w:p w14:paraId="7ECA3399">
      <w:pPr>
        <w:snapToGrid w:val="0"/>
        <w:spacing w:line="360" w:lineRule="auto"/>
        <w:rPr>
          <w:rFonts w:hint="eastAsia" w:ascii="宋体" w:hAnsi="宋体" w:eastAsia="宋体" w:cs="宋体"/>
          <w:snapToGrid w:val="0"/>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6</w:t>
      </w:r>
      <w:r>
        <w:rPr>
          <w:rFonts w:hint="eastAsia" w:ascii="宋体" w:hAnsi="宋体" w:eastAsia="宋体" w:cs="宋体"/>
          <w:color w:val="auto"/>
          <w:sz w:val="24"/>
          <w:szCs w:val="24"/>
        </w:rPr>
        <w:t xml:space="preserve"> </w:t>
      </w:r>
      <w:r>
        <w:rPr>
          <w:rFonts w:hint="eastAsia" w:ascii="宋体" w:hAnsi="宋体" w:eastAsia="宋体" w:cs="宋体"/>
          <w:snapToGrid w:val="0"/>
          <w:color w:val="auto"/>
          <w:sz w:val="24"/>
          <w:szCs w:val="24"/>
        </w:rPr>
        <w:t>验收合格条件</w:t>
      </w:r>
    </w:p>
    <w:p w14:paraId="619BC25B">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试运行时性能满足要求；</w:t>
      </w:r>
    </w:p>
    <w:p w14:paraId="60E3E6DE">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性能测试和试运行验收时出现的问题已被解决至发包人满意；</w:t>
      </w:r>
    </w:p>
    <w:p w14:paraId="4C9F7E8A">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已提供了合同的全部货物和资料。</w:t>
      </w:r>
    </w:p>
    <w:p w14:paraId="03048769">
      <w:pPr>
        <w:snapToGrid w:val="0"/>
        <w:spacing w:line="360" w:lineRule="auto"/>
        <w:rPr>
          <w:rFonts w:hint="eastAsia" w:ascii="宋体" w:hAnsi="宋体" w:eastAsia="宋体" w:cs="宋体"/>
          <w:snapToGrid w:val="0"/>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7</w:t>
      </w:r>
      <w:r>
        <w:rPr>
          <w:rFonts w:hint="eastAsia" w:ascii="宋体" w:hAnsi="宋体" w:eastAsia="宋体" w:cs="宋体"/>
          <w:color w:val="auto"/>
          <w:sz w:val="24"/>
          <w:szCs w:val="24"/>
        </w:rPr>
        <w:t>人员培训</w:t>
      </w:r>
    </w:p>
    <w:p w14:paraId="55A00C3F">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为了使给水泵站能在接收后正常地进行操作和测试。供应商应负责对发包人的工作人员进行仪表和自控系统的测试、操作和维修方面的培训。培训包括课堂系统授课的培训，也包括在安装现场进行的操作、维护、保养等方面的培训。以保证工作人员能对整个给水泵站自控仪表的维护、检修及实际运行操作获得全面的知识了解。</w:t>
      </w:r>
    </w:p>
    <w:p w14:paraId="39EC3C86">
      <w:pPr>
        <w:snapToGrid w:val="0"/>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现场培训将在安装、调试和试运行期间，供应商应派专人对操作工人进行培训，务必使这些受训人员在发包人接管给水泵站后能胜任给水泵站的运行和维护工作。</w:t>
      </w:r>
      <w:bookmarkStart w:id="22" w:name="_Toc418180930"/>
    </w:p>
    <w:p w14:paraId="5CD47CF3">
      <w:pPr>
        <w:snapToGrid w:val="0"/>
        <w:spacing w:line="360" w:lineRule="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供货要求</w:t>
      </w:r>
      <w:bookmarkEnd w:id="22"/>
    </w:p>
    <w:p w14:paraId="581D4904">
      <w:pPr>
        <w:snapToGrid w:val="0"/>
        <w:spacing w:line="360" w:lineRule="auto"/>
        <w:rPr>
          <w:rFonts w:hint="eastAsia" w:ascii="宋体" w:hAnsi="宋体" w:eastAsia="宋体" w:cs="宋体"/>
          <w:b/>
          <w:snapToGrid w:val="0"/>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 xml:space="preserve">.1 </w:t>
      </w:r>
      <w:r>
        <w:rPr>
          <w:rFonts w:hint="eastAsia" w:ascii="宋体" w:hAnsi="宋体" w:eastAsia="宋体" w:cs="宋体"/>
          <w:color w:val="auto"/>
          <w:sz w:val="24"/>
          <w:szCs w:val="24"/>
        </w:rPr>
        <w:t>单位和参考标准</w:t>
      </w:r>
    </w:p>
    <w:p w14:paraId="3894872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安装和调试工作应该按照如下标准和规范进行，但不限于此：</w:t>
      </w:r>
    </w:p>
    <w:p w14:paraId="28E7E12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《自动化仪表工程施工及验收规范》</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（GB50093-2002）</w:t>
      </w:r>
    </w:p>
    <w:p w14:paraId="0CAECE1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《自动化仪表安装工程质量检验评定标准》</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（GBJ131-90）</w:t>
      </w:r>
    </w:p>
    <w:p w14:paraId="6EEA830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《工业电视系统工程设计规范》</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（GB 50115-2009）</w:t>
      </w:r>
    </w:p>
    <w:p w14:paraId="48F8AA1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《火灾自动报警系统设计规范》</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（GB 50116-98）</w:t>
      </w:r>
    </w:p>
    <w:p w14:paraId="708664A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《视频安防监控系统工程设计规范》</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（GB 50395-2007） </w:t>
      </w:r>
    </w:p>
    <w:p w14:paraId="18B669D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《出入口控制系统工程设计规范》</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（GB 50396-2007） </w:t>
      </w:r>
    </w:p>
    <w:p w14:paraId="62C910A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《城镇排水系统电气与自动化工程技术规程》</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（CJJ 120-2008）</w:t>
      </w:r>
    </w:p>
    <w:p w14:paraId="6DB97F3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《给排水仪表自动化控制工程施工及验收规范》  </w:t>
      </w:r>
      <w:r>
        <w:rPr>
          <w:rFonts w:hint="eastAsia" w:ascii="宋体" w:hAnsi="宋体" w:eastAsia="宋体" w:cs="宋体"/>
          <w:color w:val="auto"/>
          <w:sz w:val="24"/>
          <w:szCs w:val="24"/>
        </w:rPr>
        <w:tab/>
      </w:r>
      <w:r>
        <w:rPr>
          <w:rFonts w:hint="eastAsia" w:ascii="宋体" w:hAnsi="宋体" w:eastAsia="宋体" w:cs="宋体"/>
          <w:color w:val="auto"/>
          <w:sz w:val="24"/>
          <w:szCs w:val="24"/>
        </w:rPr>
        <w:t>（CECS 162:2004）</w:t>
      </w:r>
    </w:p>
    <w:p w14:paraId="2545E61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《分散型控制系统工程设计规定》</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（HG/T 20573-95）</w:t>
      </w:r>
    </w:p>
    <w:p w14:paraId="3045BFA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《自动化仪表选型规定》</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（HG/T 20507-2000）</w:t>
      </w:r>
    </w:p>
    <w:p w14:paraId="39BFFC2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《控制室设计规定》</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（HG 20508-2000）</w:t>
      </w:r>
    </w:p>
    <w:p w14:paraId="718312E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《自动分析器室设计规定》</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（HG T 20516-2000） </w:t>
      </w:r>
    </w:p>
    <w:p w14:paraId="5575EB7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《仪表系统接地设计规定》</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（HG 20513-2000）</w:t>
      </w:r>
    </w:p>
    <w:p w14:paraId="3B68F34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《石油化工可燃气体和有毒气体检测报警设计规范》  （GB 50493-2009）</w:t>
      </w:r>
    </w:p>
    <w:p w14:paraId="35B537F9">
      <w:pPr>
        <w:snapToGrid w:val="0"/>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自动化仪表及自动控制系统的所有设备、软件、配件和材料都应符合投标截止时最新</w:t>
      </w:r>
      <w:r>
        <w:rPr>
          <w:rFonts w:hint="eastAsia" w:ascii="宋体" w:hAnsi="宋体" w:eastAsia="宋体" w:cs="宋体"/>
          <w:b/>
          <w:bCs/>
          <w:color w:val="auto"/>
          <w:sz w:val="24"/>
          <w:szCs w:val="24"/>
          <w:lang w:eastAsia="zh-CN"/>
        </w:rPr>
        <w:t>标准。</w:t>
      </w:r>
    </w:p>
    <w:p w14:paraId="613512EF">
      <w:pPr>
        <w:snapToGrid w:val="0"/>
        <w:spacing w:line="360" w:lineRule="auto"/>
        <w:rPr>
          <w:rFonts w:hint="eastAsia" w:ascii="宋体" w:hAnsi="宋体" w:eastAsia="宋体" w:cs="宋体"/>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环境条件</w:t>
      </w:r>
    </w:p>
    <w:p w14:paraId="63D595A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所有现场仪表设备应适合于本工程所在地的气候条件和海拔高度，能在下述环境条件下长时间正常使用：</w:t>
      </w:r>
    </w:p>
    <w:p w14:paraId="11C4FBF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1）温度</w:t>
      </w:r>
    </w:p>
    <w:p w14:paraId="4E7215E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所有设备应能在规定的环境温度范围内使用：</w:t>
      </w:r>
    </w:p>
    <w:p w14:paraId="74EEE68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——建筑物内：－5</w:t>
      </w:r>
      <w:r>
        <w:rPr>
          <w:rFonts w:hint="eastAsia" w:ascii="宋体" w:hAnsi="宋体" w:eastAsia="宋体" w:cs="宋体"/>
          <w:color w:val="auto"/>
          <w:sz w:val="24"/>
          <w:szCs w:val="24"/>
        </w:rPr>
        <w:sym w:font="Symbol" w:char="00B0"/>
      </w:r>
      <w:r>
        <w:rPr>
          <w:rFonts w:hint="eastAsia" w:ascii="宋体" w:hAnsi="宋体" w:eastAsia="宋体" w:cs="宋体"/>
          <w:color w:val="auto"/>
          <w:sz w:val="24"/>
          <w:szCs w:val="24"/>
        </w:rPr>
        <w:t>C－+40</w:t>
      </w:r>
      <w:r>
        <w:rPr>
          <w:rFonts w:hint="eastAsia" w:ascii="宋体" w:hAnsi="宋体" w:eastAsia="宋体" w:cs="宋体"/>
          <w:color w:val="auto"/>
          <w:sz w:val="24"/>
          <w:szCs w:val="24"/>
        </w:rPr>
        <w:sym w:font="Symbol" w:char="00B0"/>
      </w:r>
      <w:r>
        <w:rPr>
          <w:rFonts w:hint="eastAsia" w:ascii="宋体" w:hAnsi="宋体" w:eastAsia="宋体" w:cs="宋体"/>
          <w:color w:val="auto"/>
          <w:sz w:val="24"/>
          <w:szCs w:val="24"/>
        </w:rPr>
        <w:t>C</w:t>
      </w:r>
    </w:p>
    <w:p w14:paraId="52F3BC1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——露天场地：－12</w:t>
      </w:r>
      <w:r>
        <w:rPr>
          <w:rFonts w:hint="eastAsia" w:ascii="宋体" w:hAnsi="宋体" w:eastAsia="宋体" w:cs="宋体"/>
          <w:color w:val="auto"/>
          <w:sz w:val="24"/>
          <w:szCs w:val="24"/>
        </w:rPr>
        <w:sym w:font="Symbol" w:char="00B0"/>
      </w:r>
      <w:r>
        <w:rPr>
          <w:rFonts w:hint="eastAsia" w:ascii="宋体" w:hAnsi="宋体" w:eastAsia="宋体" w:cs="宋体"/>
          <w:color w:val="auto"/>
          <w:sz w:val="24"/>
          <w:szCs w:val="24"/>
        </w:rPr>
        <w:t>C－+50</w:t>
      </w:r>
      <w:r>
        <w:rPr>
          <w:rFonts w:hint="eastAsia" w:ascii="宋体" w:hAnsi="宋体" w:eastAsia="宋体" w:cs="宋体"/>
          <w:color w:val="auto"/>
          <w:sz w:val="24"/>
          <w:szCs w:val="24"/>
        </w:rPr>
        <w:sym w:font="Symbol" w:char="00B0"/>
      </w:r>
      <w:r>
        <w:rPr>
          <w:rFonts w:hint="eastAsia" w:ascii="宋体" w:hAnsi="宋体" w:eastAsia="宋体" w:cs="宋体"/>
          <w:color w:val="auto"/>
          <w:sz w:val="24"/>
          <w:szCs w:val="24"/>
        </w:rPr>
        <w:t>C</w:t>
      </w:r>
    </w:p>
    <w:p w14:paraId="678026E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2）湿度</w:t>
      </w:r>
    </w:p>
    <w:p w14:paraId="608D79A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所有设备在相对湿度5%～95%范围内能够长期正常使用。</w:t>
      </w:r>
    </w:p>
    <w:p w14:paraId="3D3D772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3）电磁场和射频</w:t>
      </w:r>
    </w:p>
    <w:p w14:paraId="458E526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所有设备应具有良好的抗电磁场、射频干扰的能力。</w:t>
      </w:r>
    </w:p>
    <w:p w14:paraId="0861521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4）太阳辐射</w:t>
      </w:r>
    </w:p>
    <w:p w14:paraId="3B4113E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仪表及控制装置在现场应用受到太阳光照射时，其强度在直射时，从暗到最大强度时，应满足规定的性能要求。</w:t>
      </w:r>
    </w:p>
    <w:p w14:paraId="5B06978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最大强度假定为1000W/m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63F16EE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5）声波</w:t>
      </w:r>
    </w:p>
    <w:p w14:paraId="1DBC7A7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声波范围在测试极限范围内（符合IEC651），将不影响系统装置的性能。</w:t>
      </w:r>
    </w:p>
    <w:p w14:paraId="7C0EF0D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6）振动</w:t>
      </w:r>
    </w:p>
    <w:p w14:paraId="1395EAA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当设备在测试极限范围内（符合IEC770）受到冲击或振动时，仍能以要求的性能连续运行且不受到危害。</w:t>
      </w:r>
    </w:p>
    <w:p w14:paraId="04FDB74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7）腐蚀</w:t>
      </w:r>
    </w:p>
    <w:p w14:paraId="0768EF8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电路板的设计能防止给水泵站环境腐蚀及湿、粉尘及热对电路的影响。</w:t>
      </w:r>
    </w:p>
    <w:p w14:paraId="3BCB54AD">
      <w:pPr>
        <w:snapToGrid w:val="0"/>
        <w:spacing w:line="360" w:lineRule="auto"/>
        <w:rPr>
          <w:rFonts w:hint="eastAsia" w:ascii="宋体" w:hAnsi="宋体" w:eastAsia="宋体" w:cs="宋体"/>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.3</w:t>
      </w:r>
      <w:r>
        <w:rPr>
          <w:rFonts w:hint="eastAsia" w:ascii="宋体" w:hAnsi="宋体" w:eastAsia="宋体" w:cs="宋体"/>
          <w:color w:val="auto"/>
          <w:sz w:val="24"/>
          <w:szCs w:val="24"/>
        </w:rPr>
        <w:t xml:space="preserve"> 电气规格</w:t>
      </w:r>
    </w:p>
    <w:p w14:paraId="54476A3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1）供电电源</w:t>
      </w:r>
    </w:p>
    <w:p w14:paraId="46C8020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仪表电源取自UPS供电系统，并设独立的断路保护开关。通常由控制站直接向仪表供电，也可由放在现场的仪表电源箱对仪表进行分区供电。仪表电源箱并设总断路开关，并由分断路开关向仪表供电。</w:t>
      </w:r>
    </w:p>
    <w:p w14:paraId="7743D91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（1）电源</w:t>
      </w:r>
    </w:p>
    <w:p w14:paraId="72B991A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仪表及控制系统装置应能在下述的任何一种电源条件下运行：</w:t>
      </w:r>
    </w:p>
    <w:p w14:paraId="69C6378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——主电源：220VAC，50Hz</w:t>
      </w:r>
    </w:p>
    <w:p w14:paraId="3D52A39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——24VDC，带反极性保护</w:t>
      </w:r>
    </w:p>
    <w:p w14:paraId="37502E4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——环路电源24V~48VDC可调，环路电流：4~20mA，带有反极性保护并以二线制方式运行。</w:t>
      </w:r>
    </w:p>
    <w:p w14:paraId="6BDAF06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当供电电源波形失真达1Joule（焦耳），高达1000V峰值的瞬时冲击下应不会损坏设备也不会改变设备的性能。</w:t>
      </w:r>
    </w:p>
    <w:p w14:paraId="42B897B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所有预置参数和用户整定参数在失电情况下应至少维持七天。</w:t>
      </w:r>
    </w:p>
    <w:p w14:paraId="27FA9AA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（2）电源偏差</w:t>
      </w:r>
    </w:p>
    <w:p w14:paraId="4B39EE6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所有设备在下列电源波动范围内，其性能将维持不变：</w:t>
      </w:r>
    </w:p>
    <w:p w14:paraId="08E45E2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——电源变化范围：-10%~+10%</w:t>
      </w:r>
    </w:p>
    <w:p w14:paraId="57068D4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——频率变化范围：50Hz±2Hz</w:t>
      </w:r>
    </w:p>
    <w:p w14:paraId="368AA37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——对于环路电源装置稳压电源变化范围为：1% 。</w:t>
      </w:r>
    </w:p>
    <w:p w14:paraId="64E8556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2）信号电平</w:t>
      </w:r>
    </w:p>
    <w:p w14:paraId="0B77B45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（1）通信总线</w:t>
      </w:r>
    </w:p>
    <w:p w14:paraId="66220DC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采用Control-net、Modbus、Profibus-DP现场总线、工业以太网数字通讯信号。</w:t>
      </w:r>
    </w:p>
    <w:p w14:paraId="4F5BF22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（2）模拟量信号</w:t>
      </w:r>
    </w:p>
    <w:p w14:paraId="51B5EA3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采用4~20mADC电流信号，负载阻抗＞350Ω。</w:t>
      </w:r>
    </w:p>
    <w:p w14:paraId="7EDAE5E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（3）开关量信号</w:t>
      </w:r>
    </w:p>
    <w:p w14:paraId="20912F7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采用无源接点，接点容量≥2A  24VDC或220VAC。</w:t>
      </w:r>
    </w:p>
    <w:p w14:paraId="031274B9">
      <w:pPr>
        <w:snapToGrid w:val="0"/>
        <w:spacing w:line="360" w:lineRule="auto"/>
        <w:rPr>
          <w:rFonts w:hint="eastAsia" w:ascii="宋体" w:hAnsi="宋体" w:eastAsia="宋体" w:cs="宋体"/>
          <w:color w:val="auto"/>
          <w:sz w:val="24"/>
          <w:szCs w:val="24"/>
        </w:rPr>
      </w:pPr>
      <w:r>
        <w:rPr>
          <w:rFonts w:hint="eastAsia" w:ascii="宋体" w:hAnsi="宋体" w:cs="仿宋_GB2312"/>
          <w:b/>
          <w:kern w:val="0"/>
          <w:sz w:val="24"/>
          <w:lang w:val="zh-CN"/>
        </w:rPr>
        <w:t>●</w:t>
      </w: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 xml:space="preserve">.4 </w:t>
      </w:r>
      <w:r>
        <w:rPr>
          <w:rFonts w:hint="eastAsia" w:ascii="宋体" w:hAnsi="宋体" w:eastAsia="宋体" w:cs="宋体"/>
          <w:color w:val="auto"/>
          <w:sz w:val="24"/>
          <w:szCs w:val="24"/>
        </w:rPr>
        <w:t>外壳要求</w:t>
      </w:r>
    </w:p>
    <w:p w14:paraId="0D545A0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现场仪表应有防水、防尘、防爆型的结构，具有防晒、防雨、防变形的措施。依据安装环境，仪表传感器、转换器外壳应具备与之相当防护等级。</w:t>
      </w:r>
    </w:p>
    <w:p w14:paraId="158764E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1）防护等级</w:t>
      </w:r>
    </w:p>
    <w:p w14:paraId="5C62FF2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根据IEC79－10，12，14，机壳的保护等级如下：</w:t>
      </w:r>
    </w:p>
    <w:p w14:paraId="7756CC0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——在室内地面以上的设备为IP54 </w:t>
      </w:r>
    </w:p>
    <w:p w14:paraId="6ED9041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——在户外的设备、控制箱、控制柜为IP65 </w:t>
      </w:r>
    </w:p>
    <w:p w14:paraId="26E4E7F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——安装在水中或在井内的设备为IP68</w:t>
      </w:r>
    </w:p>
    <w:p w14:paraId="4156681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——内部元件的保护等级至少为IP2X</w:t>
      </w:r>
    </w:p>
    <w:p w14:paraId="6158277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在设备标定期间保护等级不应降低，并且只有在必要时，如维护、故障查找或修理时才需打开机壳。</w:t>
      </w:r>
    </w:p>
    <w:p w14:paraId="7E1A162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2）防爆等级</w:t>
      </w:r>
    </w:p>
    <w:p w14:paraId="528BA97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所有安装在防爆区域的仪表和控制设备应采用隔爆型或本安型产品。</w:t>
      </w:r>
    </w:p>
    <w:p w14:paraId="6E8FC81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防爆等级： EExd IICT4/T6或Ex（ia）ⅡC T6   隔爆型 dⅡBT4 </w:t>
      </w:r>
    </w:p>
    <w:p w14:paraId="4AFF82D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3）材料</w:t>
      </w:r>
    </w:p>
    <w:p w14:paraId="0CAD44B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设备外罩和外壳的构成材料应具有稳定、持久的性能，抗腐蚀，且不受所处环境、气候的影响。</w:t>
      </w:r>
    </w:p>
    <w:p w14:paraId="35B4D16A">
      <w:pPr>
        <w:snapToGrid w:val="0"/>
        <w:spacing w:line="360" w:lineRule="auto"/>
        <w:rPr>
          <w:rFonts w:hint="eastAsia" w:ascii="宋体" w:hAnsi="宋体" w:eastAsia="宋体" w:cs="宋体"/>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 xml:space="preserve">.5 </w:t>
      </w:r>
      <w:r>
        <w:rPr>
          <w:rFonts w:hint="eastAsia" w:ascii="宋体" w:hAnsi="宋体" w:eastAsia="宋体" w:cs="宋体"/>
          <w:color w:val="auto"/>
          <w:sz w:val="24"/>
          <w:szCs w:val="24"/>
        </w:rPr>
        <w:t>配置要求</w:t>
      </w:r>
    </w:p>
    <w:p w14:paraId="5FE7CCF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1、仪表</w:t>
      </w:r>
    </w:p>
    <w:p w14:paraId="4CA9D1E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现场仪表一般要求为在线式智能仪表，具有在线式连续检测、自动运算、线性校正、自动温度补偿、现场数字显示、故障诊断、传送标准的模拟、数字信号等智能化功能。</w:t>
      </w:r>
    </w:p>
    <w:p w14:paraId="4CBDCC0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电路应为固态电路，应有故障继电器输出，将仪表的检测值和工作状态接入PLC。</w:t>
      </w:r>
    </w:p>
    <w:p w14:paraId="4E86AC6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所有仪表传感器、转换器的电缆口采用螺纹接头，并满足密封、抗冲击、耐腐蚀和安装维护方便的要求，管件必须齐全。且都应有可靠的接地。</w:t>
      </w:r>
    </w:p>
    <w:p w14:paraId="3680697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需要与工艺管道连接时应具有密封装置，螺纹或法兰联接应符合GB标准或DIN标准，提供连接配件。</w:t>
      </w:r>
    </w:p>
    <w:p w14:paraId="1687C80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所有安装在管道中的仪表都应有连接阀门，便于仪表在线拆修。</w:t>
      </w:r>
    </w:p>
    <w:p w14:paraId="40A1775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场仪表使用的材料、安装形式、量程范围等应适应工程现场，能长期连续在线测量。所有仪表均要求实用、可靠、稳定、易操作、易维护、耐腐蚀、寿命长（至少1～2年保质期）、无公害，并具有在同类工程中长期可靠稳定运行的实绩。</w:t>
      </w:r>
    </w:p>
    <w:p w14:paraId="5F70731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仪表传感器应具有自清洗装置或功能。</w:t>
      </w:r>
    </w:p>
    <w:p w14:paraId="5ACD41B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水质分析仪必须使用化学试剂时，应遵循试剂价格低、低毒性、货源广的原则。</w:t>
      </w:r>
    </w:p>
    <w:p w14:paraId="7729B47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户外安装的变送器应设保护箱，接口设备、电源、防雷器安装在仪表箱内，以利于设备稳定工作。</w:t>
      </w:r>
    </w:p>
    <w:p w14:paraId="18D4B86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现场仪表的一般技术要求如下：</w:t>
      </w:r>
    </w:p>
    <w:p w14:paraId="03B3244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1）工作温度：－10～+50</w:t>
      </w:r>
      <w:r>
        <w:rPr>
          <w:rFonts w:hint="eastAsia" w:ascii="宋体" w:hAnsi="宋体" w:eastAsia="宋体" w:cs="宋体"/>
          <w:color w:val="auto"/>
          <w:sz w:val="24"/>
          <w:szCs w:val="24"/>
        </w:rPr>
        <w:sym w:font="Symbol" w:char="00B0"/>
      </w:r>
      <w:r>
        <w:rPr>
          <w:rFonts w:hint="eastAsia" w:ascii="宋体" w:hAnsi="宋体" w:eastAsia="宋体" w:cs="宋体"/>
          <w:color w:val="auto"/>
          <w:sz w:val="24"/>
          <w:szCs w:val="24"/>
        </w:rPr>
        <w:t>C</w:t>
      </w:r>
    </w:p>
    <w:p w14:paraId="695B2B0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2）工作环境相对湿度：5～95%</w:t>
      </w:r>
    </w:p>
    <w:p w14:paraId="3A38325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3）直流供电电压： 24V DC +10%  -15%</w:t>
      </w:r>
    </w:p>
    <w:p w14:paraId="4F7EAF3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4）交流供电电压： 220V AC +10% -15%，50Hz</w:t>
      </w:r>
    </w:p>
    <w:p w14:paraId="47EDBCB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依据“货物需求一览表”的仪表配置，结合其安装位置，应充分利用数字式智能变送器的资源，采用多传感器合用变送器的方式，尽可能节约投资。对此，供应商应列出明确配置清单，必要时附图说明。</w:t>
      </w:r>
    </w:p>
    <w:p w14:paraId="64DD72D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供应商选用的仪表设备的具体性能指标应填入技术特性表中，对于不同用途和不同规格的仪表，应分别填写技术特性表。</w:t>
      </w:r>
    </w:p>
    <w:p w14:paraId="711C195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2、自控</w:t>
      </w:r>
    </w:p>
    <w:p w14:paraId="1D055ED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用于工程现场的控制设备应具有在同类工程中长期可靠稳定运行的实绩。要求功能实用、稳定可靠、易操作、易维护、耐腐蚀、寿命长，能长期连续运行。使用的材料、安装形式、电源等应适应现场环境，特别应具备硫化氢防护能力。在防爆区域内的设备须采用防爆型产品。</w:t>
      </w:r>
    </w:p>
    <w:p w14:paraId="2CBCB34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完工时，PLC以及远程I/O柜应具有20%的富余输入、输出端口；PLC应具有2个以上的机槽以备扩展。</w:t>
      </w:r>
    </w:p>
    <w:p w14:paraId="26A465F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控制设备的一般技术要求如下：</w:t>
      </w:r>
    </w:p>
    <w:p w14:paraId="7E2EE41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1）工作温度：室内 -5～+50</w:t>
      </w:r>
      <w:r>
        <w:rPr>
          <w:rFonts w:hint="eastAsia" w:ascii="宋体" w:hAnsi="宋体" w:eastAsia="宋体" w:cs="宋体"/>
          <w:color w:val="auto"/>
          <w:sz w:val="24"/>
          <w:szCs w:val="24"/>
        </w:rPr>
        <w:sym w:font="Symbol" w:char="00B0"/>
      </w:r>
      <w:r>
        <w:rPr>
          <w:rFonts w:hint="eastAsia" w:ascii="宋体" w:hAnsi="宋体" w:eastAsia="宋体" w:cs="宋体"/>
          <w:color w:val="auto"/>
          <w:sz w:val="24"/>
          <w:szCs w:val="24"/>
        </w:rPr>
        <w:t>C，室外 -10～+55</w:t>
      </w:r>
      <w:r>
        <w:rPr>
          <w:rFonts w:hint="eastAsia" w:ascii="宋体" w:hAnsi="宋体" w:eastAsia="宋体" w:cs="宋体"/>
          <w:color w:val="auto"/>
          <w:sz w:val="24"/>
          <w:szCs w:val="24"/>
        </w:rPr>
        <w:sym w:font="Symbol" w:char="00B0"/>
      </w:r>
      <w:r>
        <w:rPr>
          <w:rFonts w:hint="eastAsia" w:ascii="宋体" w:hAnsi="宋体" w:eastAsia="宋体" w:cs="宋体"/>
          <w:color w:val="auto"/>
          <w:sz w:val="24"/>
          <w:szCs w:val="24"/>
        </w:rPr>
        <w:t>C</w:t>
      </w:r>
    </w:p>
    <w:p w14:paraId="2EC544B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2）工作环境相对湿度：5～95%</w:t>
      </w:r>
    </w:p>
    <w:p w14:paraId="548F4D7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3）防护等级：室内IP54，室外IP65</w:t>
      </w:r>
    </w:p>
    <w:p w14:paraId="65CAB68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4）供电电压： 220VAC +10% -15%，50Hz</w:t>
      </w:r>
    </w:p>
    <w:p w14:paraId="76DD48D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5）模拟量输入和输出：4-20mA，24VDC</w:t>
      </w:r>
    </w:p>
    <w:p w14:paraId="0AF233A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6）开关量输入和输出： 250VAC，2A，无源接点。</w:t>
      </w:r>
    </w:p>
    <w:p w14:paraId="1FEC838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3、配套控制柜</w:t>
      </w:r>
    </w:p>
    <w:p w14:paraId="74060A5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1）一般功能</w:t>
      </w:r>
    </w:p>
    <w:p w14:paraId="1FB933A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工艺装置配套的控制柜一般在设备现场就近安装，应具有手动/联动/自动控制及连锁保护等基本功能：</w:t>
      </w:r>
    </w:p>
    <w:p w14:paraId="0E82CD6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（1）现场手动控制</w:t>
      </w:r>
    </w:p>
    <w:p w14:paraId="2C6B682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完全由控制柜独立对工艺装置各个设备进行的启动/停止、开启/关闭、手动给定的运行控制。通常用于工艺装置离线状态下的现场试车、检修维护。</w:t>
      </w:r>
    </w:p>
    <w:p w14:paraId="1457EDA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选择“手动”工作模式时，工艺装置的安全连锁一般处于解锁状态。</w:t>
      </w:r>
    </w:p>
    <w:p w14:paraId="0D631E3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（2）就地联动控制</w:t>
      </w:r>
    </w:p>
    <w:p w14:paraId="0F104F3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依据控制柜设定的控制程序，自动控制工艺装置各个设备的启动/停止、开启/关闭、手动给定的调节控制。通常称为就地自动控制，用于工艺装置在线状态下的现场试车、短时间生产运行。</w:t>
      </w:r>
    </w:p>
    <w:p w14:paraId="7EFEBF6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选择“联动”工作模式时，工艺装置的安全连锁处于保护状态。</w:t>
      </w:r>
    </w:p>
    <w:p w14:paraId="79E0808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（3）远程自动控制</w:t>
      </w:r>
    </w:p>
    <w:p w14:paraId="3D56F89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自动”控制模式下，控制柜发送工艺装置各个设备的运行工况状态和数据给给水泵站自控系统，并接受给水泵站自控系统的运行控制指令；按照该运行控制指令自动控制工艺装置各个设备的启动/停止、开启/关闭、给定的自动调节，并负责工艺装置的安全连锁保护。</w:t>
      </w:r>
    </w:p>
    <w:p w14:paraId="483E4BF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常，在该工作模式时，给水泵站自控系统还设计有“自动/遥控”两种运行方式选择。“自动”即为全自动控制；“遥控”相当于就地联动控制，用于“远程自动控制”时工艺装置在线状态下的调试、试车、短时间生产运行。</w:t>
      </w:r>
    </w:p>
    <w:p w14:paraId="7325683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选择“自动”工作模式时，工艺装置的安全连锁由控制柜实现安全连锁保护状态。</w:t>
      </w:r>
    </w:p>
    <w:p w14:paraId="687FCFE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（4）安全连锁保护</w:t>
      </w:r>
    </w:p>
    <w:p w14:paraId="66F1EC2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控制柜必须具有安全连锁保护回路，满足工艺装置连锁运行要求，保障其安全运行；保护各个设备的正常运转，避免非正常工况时人员伤害和设备损坏。</w:t>
      </w:r>
    </w:p>
    <w:p w14:paraId="704E985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2）接口要求</w:t>
      </w:r>
    </w:p>
    <w:p w14:paraId="0C3DFCD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工艺装置配套的控制柜（箱）能与给水泵站的中央控制系统通信，通信内容满足本节“1） 一般功能”的要求，通信接口符合下述要求：</w:t>
      </w:r>
    </w:p>
    <w:p w14:paraId="07708BC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通讯方式——100/1000 Mbps工业以太网协议</w:t>
      </w:r>
    </w:p>
    <w:p w14:paraId="2BF94EE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供应商负责提供上述工业以太网接口模块、软件及相关的服务。</w:t>
      </w:r>
    </w:p>
    <w:p w14:paraId="62421728">
      <w:pPr>
        <w:snapToGrid w:val="0"/>
        <w:spacing w:line="360" w:lineRule="auto"/>
        <w:rPr>
          <w:rFonts w:hint="eastAsia" w:ascii="宋体" w:hAnsi="宋体" w:eastAsia="宋体" w:cs="宋体"/>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.6</w:t>
      </w:r>
      <w:r>
        <w:rPr>
          <w:rFonts w:hint="eastAsia" w:ascii="宋体" w:hAnsi="宋体" w:eastAsia="宋体" w:cs="宋体"/>
          <w:color w:val="auto"/>
          <w:sz w:val="24"/>
          <w:szCs w:val="24"/>
        </w:rPr>
        <w:t xml:space="preserve"> 配套要求</w:t>
      </w:r>
    </w:p>
    <w:p w14:paraId="050427F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1）安装支架</w:t>
      </w:r>
    </w:p>
    <w:p w14:paraId="122F36C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仪表传感器所需的专用安装支架、管件、阀门及附件应由仪表制造商成套提供，这些支架和附件是满足现场安装条件、方式要求的专用品，禁止采用现场加工制作的方式提供。材质为不锈钢，附件可采用PVC或其他适用材质。</w:t>
      </w:r>
    </w:p>
    <w:p w14:paraId="5EA2871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w:t>
      </w:r>
    </w:p>
    <w:p w14:paraId="168AAF1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所有在水下运行的部件，或在水、有毒有害气体界面中的部件，或那些与化学品直接接触的所有部件，应具有抗腐蚀性和抗侵蚀性能。上述部件如在保证期内出现腐蚀的迹象应由供应商将其更换成具有防腐性能的合格的防锈材料，以满足长期使用的要求。 </w:t>
      </w:r>
    </w:p>
    <w:p w14:paraId="77E4D0B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制造和安装设备所使用的材料，从强度、韧性和耐久性方面都应是好的，工艺技术是目前最新的，材料应满足：</w:t>
      </w:r>
    </w:p>
    <w:p w14:paraId="7E9953A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——没有任何损伤和缺陷。</w:t>
      </w:r>
    </w:p>
    <w:p w14:paraId="61C96E0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——适用于该用途的材料，且不会产生机械负荷或电气负荷的过载。</w:t>
      </w:r>
      <w:bookmarkStart w:id="23" w:name="_Toc418180931"/>
      <w:bookmarkStart w:id="24" w:name="_Toc278479826"/>
    </w:p>
    <w:p w14:paraId="56375C1D">
      <w:pPr>
        <w:snapToGrid w:val="0"/>
        <w:spacing w:line="360" w:lineRule="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.2 详细技术规格</w:t>
      </w:r>
      <w:bookmarkEnd w:id="23"/>
      <w:bookmarkEnd w:id="24"/>
      <w:bookmarkStart w:id="25" w:name="_Toc418180932"/>
    </w:p>
    <w:p w14:paraId="3A9807C3">
      <w:pPr>
        <w:snapToGrid w:val="0"/>
        <w:spacing w:line="360" w:lineRule="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.2.1</w:t>
      </w:r>
      <w:r>
        <w:rPr>
          <w:rFonts w:hint="eastAsia" w:ascii="宋体" w:hAnsi="宋体" w:eastAsia="宋体" w:cs="宋体"/>
          <w:color w:val="auto"/>
          <w:sz w:val="24"/>
          <w:szCs w:val="24"/>
        </w:rPr>
        <w:t xml:space="preserve"> 概述</w:t>
      </w:r>
      <w:bookmarkEnd w:id="25"/>
      <w:r>
        <w:rPr>
          <w:rFonts w:hint="eastAsia" w:ascii="宋体" w:hAnsi="宋体" w:eastAsia="宋体" w:cs="宋体"/>
          <w:color w:val="auto"/>
          <w:sz w:val="24"/>
          <w:szCs w:val="24"/>
        </w:rPr>
        <w:t xml:space="preserve"> </w:t>
      </w:r>
    </w:p>
    <w:p w14:paraId="3928C9D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为实现给水泵站达标排放，经济运行，安全生产，现代化管理，工程整体性能应达到如下要求：</w:t>
      </w:r>
    </w:p>
    <w:p w14:paraId="75193EE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可靠性——整个系统采用冗余配置，模块化设计，分层分布式结构，控制、保护、测量之间既互相独立又互相联系。</w:t>
      </w:r>
    </w:p>
    <w:p w14:paraId="4C9EF65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先进性——系统的设计以实现“现场无人职守，分站少人值班”为目的。设备装置的启、停及联动运转均可由中央控制室远程操纵与调度。</w:t>
      </w:r>
    </w:p>
    <w:p w14:paraId="6FC1955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经济性——系统具有较高的性能价格指标。</w:t>
      </w:r>
    </w:p>
    <w:p w14:paraId="2D2EC46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实用性——系统设计多个控制层面，既考虑正常工作时的全自动化运行，又考虑多种非正常运行状态下的配方策略。</w:t>
      </w:r>
      <w:bookmarkStart w:id="26" w:name="_Toc418180933"/>
    </w:p>
    <w:p w14:paraId="4026189C">
      <w:pPr>
        <w:snapToGrid w:val="0"/>
        <w:spacing w:line="360" w:lineRule="auto"/>
        <w:rPr>
          <w:rFonts w:hint="eastAsia" w:ascii="宋体" w:hAnsi="宋体" w:eastAsia="宋体" w:cs="宋体"/>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 xml:space="preserve">.2.2 </w:t>
      </w:r>
      <w:r>
        <w:rPr>
          <w:rFonts w:hint="eastAsia" w:ascii="宋体" w:hAnsi="宋体" w:eastAsia="宋体" w:cs="宋体"/>
          <w:color w:val="auto"/>
          <w:sz w:val="24"/>
          <w:szCs w:val="24"/>
        </w:rPr>
        <w:t>设计方案</w:t>
      </w:r>
      <w:bookmarkEnd w:id="26"/>
    </w:p>
    <w:p w14:paraId="077F3203">
      <w:pPr>
        <w:snapToGrid w:val="0"/>
        <w:spacing w:line="360" w:lineRule="auto"/>
        <w:rPr>
          <w:rFonts w:hint="eastAsia" w:ascii="宋体" w:hAnsi="宋体" w:eastAsia="宋体" w:cs="宋体"/>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 xml:space="preserve">.2.2.1 </w:t>
      </w:r>
      <w:r>
        <w:rPr>
          <w:rFonts w:hint="eastAsia" w:ascii="宋体" w:hAnsi="宋体" w:eastAsia="宋体" w:cs="宋体"/>
          <w:color w:val="auto"/>
          <w:sz w:val="24"/>
          <w:szCs w:val="24"/>
        </w:rPr>
        <w:t>自控方案</w:t>
      </w:r>
    </w:p>
    <w:p w14:paraId="12DD3A1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采用分布式集散型计算机控制系统。</w:t>
      </w:r>
    </w:p>
    <w:p w14:paraId="0CB7951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这种结构可使生产过程中的信息能够集中管理，以实现整体操作、管理和优化；同时，也使得控制危险分散，提高系统可靠性。</w:t>
      </w:r>
    </w:p>
    <w:p w14:paraId="2C0F497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该自动化系统是由现场检测执行级、区域控制级组成的计算机分散控制系统。</w:t>
      </w:r>
    </w:p>
    <w:p w14:paraId="1003169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现场检测执行级由自动化仪表、控制阀（闸）门、设备控制箱等组成。</w:t>
      </w:r>
    </w:p>
    <w:p w14:paraId="79FC098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区域控制级由可编程序控制器（PLC）、操作显示屏、通信系统、UPS电源等组成----现场控制站，对泵站各过程进行分散控制。</w:t>
      </w:r>
    </w:p>
    <w:p w14:paraId="49AAC2D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泵站计算机监控系统由两层组成。采用可编程序控制器（PLC）及必要的自动化检测仪表，构成泵站自动化控制层，对泵站各过程进行分散控制；由PLC与监控计算机连接，构成泵站自动化管理层，对泵站实行集中管理。</w:t>
      </w:r>
    </w:p>
    <w:p w14:paraId="0AB0B2A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泵站的控制方式为：</w:t>
      </w:r>
    </w:p>
    <w:p w14:paraId="085D900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手动方式：通过就地控制箱实现对设备的启停操作。</w:t>
      </w:r>
    </w:p>
    <w:p w14:paraId="214A551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遥控方式：即远程手动控制方式。操作人员通过操作面板的键盘来控制现场设备。</w:t>
      </w:r>
    </w:p>
    <w:p w14:paraId="436467B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自动方式：设备的运行完全由可编程序控制器PLC根据泵站的工况及工艺参数来完成对设备的启停控制，而不需要人工干预。</w:t>
      </w:r>
    </w:p>
    <w:p w14:paraId="0A3A41B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三种方式的控制级别由高到低为：手动控制、遥控控制、自动控制。</w:t>
      </w:r>
    </w:p>
    <w:p w14:paraId="77D89ED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在变电站设控制站</w:t>
      </w:r>
    </w:p>
    <w:p w14:paraId="55A568D9">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测控管理区域为：</w:t>
      </w:r>
      <w:r>
        <w:rPr>
          <w:rFonts w:hint="eastAsia" w:ascii="宋体" w:hAnsi="宋体" w:eastAsia="宋体" w:cs="宋体"/>
          <w:color w:val="auto"/>
          <w:sz w:val="24"/>
          <w:szCs w:val="24"/>
          <w:lang w:eastAsia="zh-CN"/>
        </w:rPr>
        <w:t>本项目所有区域</w:t>
      </w:r>
    </w:p>
    <w:p w14:paraId="020387C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I/O容量：DI-128、DO-</w:t>
      </w: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、AI-</w:t>
      </w:r>
      <w:r>
        <w:rPr>
          <w:rFonts w:hint="eastAsia" w:ascii="宋体" w:hAnsi="宋体" w:eastAsia="宋体" w:cs="宋体"/>
          <w:color w:val="auto"/>
          <w:sz w:val="24"/>
          <w:szCs w:val="24"/>
          <w:lang w:val="en-US" w:eastAsia="zh-CN"/>
        </w:rPr>
        <w:t>48</w:t>
      </w:r>
      <w:r>
        <w:rPr>
          <w:rFonts w:hint="eastAsia" w:ascii="宋体" w:hAnsi="宋体" w:eastAsia="宋体" w:cs="宋体"/>
          <w:color w:val="auto"/>
          <w:sz w:val="24"/>
          <w:szCs w:val="24"/>
        </w:rPr>
        <w:t>、AO-8</w:t>
      </w:r>
    </w:p>
    <w:p w14:paraId="4A5F60DE">
      <w:pPr>
        <w:snapToGrid w:val="0"/>
        <w:spacing w:line="360" w:lineRule="auto"/>
        <w:rPr>
          <w:rFonts w:hint="eastAsia" w:ascii="宋体" w:hAnsi="宋体" w:eastAsia="宋体" w:cs="宋体"/>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.2.2.2</w:t>
      </w:r>
      <w:r>
        <w:rPr>
          <w:rFonts w:hint="eastAsia" w:ascii="宋体" w:hAnsi="宋体" w:eastAsia="宋体" w:cs="宋体"/>
          <w:color w:val="auto"/>
          <w:sz w:val="24"/>
          <w:szCs w:val="24"/>
        </w:rPr>
        <w:t xml:space="preserve"> 仪表方案</w:t>
      </w:r>
    </w:p>
    <w:p w14:paraId="029B4F1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根据处理工艺的需要，在工艺流程的各个环节设置检测点，保证处理工艺的实现和设备的正常运转，为实现给水泵站的全自动控制提供条件。</w:t>
      </w:r>
    </w:p>
    <w:p w14:paraId="4462BE9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采用在线式智能仪表，具有在线式连续检测、自动运算、线性校正、自动温度补偿、现场数字显示、故障诊断、传送标准的模拟、数字信号等智能化功能。</w:t>
      </w:r>
    </w:p>
    <w:p w14:paraId="0EA5D89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现场仪表使用的材料、安装形式、量程范围等应适应处理现场，能长期连续在线测量。所有仪表均要求实用、可靠、稳定、易操作、易维护、耐腐蚀、寿命长、无公害，并在同类工程中稳定运行。</w:t>
      </w:r>
    </w:p>
    <w:p w14:paraId="16CD742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直接与水接触的仪表传感器具有自清洗装置或功能。</w:t>
      </w:r>
    </w:p>
    <w:p w14:paraId="2D97711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变送器设保护箱，保证仪表运行安全，也有利于管理、维护。</w:t>
      </w:r>
    </w:p>
    <w:p w14:paraId="3EC08C4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主要测控内容有：流量、压力、进出水水质、液位、水泵变频控制、电动阀门控制、电气设备运行状态。</w:t>
      </w:r>
      <w:bookmarkStart w:id="27" w:name="_Toc418180935"/>
    </w:p>
    <w:p w14:paraId="64E447AE">
      <w:pPr>
        <w:snapToGrid w:val="0"/>
        <w:spacing w:line="360" w:lineRule="auto"/>
        <w:rPr>
          <w:rFonts w:hint="eastAsia" w:ascii="宋体" w:hAnsi="宋体" w:eastAsia="宋体" w:cs="宋体"/>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.2.3</w:t>
      </w:r>
      <w:r>
        <w:rPr>
          <w:rFonts w:hint="eastAsia" w:ascii="宋体" w:hAnsi="宋体" w:eastAsia="宋体" w:cs="宋体"/>
          <w:color w:val="auto"/>
          <w:sz w:val="24"/>
          <w:szCs w:val="24"/>
        </w:rPr>
        <w:t xml:space="preserve"> 自控仪表系统设备技术规格</w:t>
      </w:r>
      <w:bookmarkEnd w:id="27"/>
    </w:p>
    <w:p w14:paraId="0A958BE8">
      <w:pPr>
        <w:snapToGrid w:val="0"/>
        <w:spacing w:line="360" w:lineRule="auto"/>
        <w:rPr>
          <w:rFonts w:hint="eastAsia" w:ascii="宋体" w:hAnsi="宋体" w:eastAsia="宋体" w:cs="宋体"/>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.2.3.1</w:t>
      </w:r>
      <w:r>
        <w:rPr>
          <w:rFonts w:hint="eastAsia" w:ascii="宋体" w:hAnsi="宋体" w:eastAsia="宋体" w:cs="宋体"/>
          <w:color w:val="auto"/>
          <w:sz w:val="24"/>
          <w:szCs w:val="24"/>
        </w:rPr>
        <w:t xml:space="preserve"> 自控系统设备</w:t>
      </w:r>
    </w:p>
    <w:p w14:paraId="0332350A">
      <w:pPr>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1、可编程序控制器（PLC）</w:t>
      </w:r>
    </w:p>
    <w:p w14:paraId="5845443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PLC的选型应充分考虑其可靠性、先进性、可扩充性，PLC系统应结构简洁、使用方便、特别是程序编制方法应规范、简单、易学。PLC的输入输出控制点应留有</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％以上的余量，并预留30％空槽。应为PLC系统提供过压保护。</w:t>
      </w:r>
    </w:p>
    <w:p w14:paraId="65F37AF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选用模块化的分布式控制系统，且支持符合国际标准的工业以太网、现场总线等协议。各个输入模块全部为隔离型，输出模块均有隔离保护，模拟信号的分辨率不小于14位，模拟输出信号的分辨率不小于14位。各种模块必须可带电插拔，并且具有防腐保护措施。</w:t>
      </w:r>
    </w:p>
    <w:p w14:paraId="04C838C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提供完整配套的联接配件、电缆及安装附件。</w:t>
      </w:r>
    </w:p>
    <w:p w14:paraId="662D1E1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1）PLC要求</w:t>
      </w:r>
    </w:p>
    <w:p w14:paraId="25AFBEB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LC设备作为一套整体设备供货。设备主要包括：控制柜、PLC、远程I/O单元、现场总线适配单元、触摸屏、不间断电源。设备中必须提供满足招标文件要求的电气设备和电气元器件，保证设备安全运行，满足工艺要求。</w:t>
      </w:r>
    </w:p>
    <w:p w14:paraId="1AD522A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每套PLC应由机架、CPU、电源、通讯模块、数字量输入模块、数字量输出模块、模拟量输入模块、模拟量输出模块、输入及输出隔离继电器、防雷及过电压保护器、端子接线板等组成。</w:t>
      </w:r>
    </w:p>
    <w:p w14:paraId="05951B0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每套远程I/O单元应由机箱、机架、电源、通讯模块、现场总线适配单元、数字量输入模块、数字量输出模块、模拟量输入模块（如果需要时）、模拟量输出模块（如果需要时）、输入及输出隔离继电器、防雷及过电压保护器、端子接线板等组成。</w:t>
      </w:r>
    </w:p>
    <w:p w14:paraId="32CF6CF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2）PLC基本参数：</w:t>
      </w:r>
    </w:p>
    <w:p w14:paraId="0D16FAA7">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cs="仿宋_GB2312"/>
          <w:b/>
          <w:kern w:val="0"/>
          <w:sz w:val="24"/>
          <w:lang w:val="zh-CN"/>
        </w:rPr>
        <w:t>●</w:t>
      </w:r>
      <w:r>
        <w:rPr>
          <w:rFonts w:hint="eastAsia" w:ascii="宋体" w:hAnsi="宋体" w:eastAsia="宋体" w:cs="宋体"/>
          <w:color w:val="auto"/>
          <w:sz w:val="24"/>
          <w:szCs w:val="24"/>
        </w:rPr>
        <w:t>PLC处理器、I/O模块必须是经过特殊的涂覆处理，能抗酸性和腐蚀性，能符合工业环境中使用标准；在背板电源和用户端电源不断开的情况下CPU、I/O模块、通讯模块及可拆卸端子排等必须能够支持带电插拨。经过涂覆的产品满足下列标准：</w:t>
      </w:r>
    </w:p>
    <w:p w14:paraId="33A1103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ANSI/ISA-S71.04-1985；Class G1，G2 and G3 Environments</w:t>
      </w:r>
    </w:p>
    <w:p w14:paraId="03548AD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CEI IEC 654-4-1987；Class 1，2 and 3 Environments</w:t>
      </w:r>
    </w:p>
    <w:p w14:paraId="5E48266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UL508</w:t>
      </w:r>
    </w:p>
    <w:p w14:paraId="3830B86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MIL-I-46058C to ASTM-G21 (Tropicalization and fungicide)</w:t>
      </w:r>
    </w:p>
    <w:p w14:paraId="73BA117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各模块带有LED，指示运行和故障时间，各输入/输出模块均无槽位限制。便于系统维护，减少停工时间。</w:t>
      </w:r>
    </w:p>
    <w:p w14:paraId="0D63B16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PLC必须能够提供包括梯形图、功能图块、结构化文本、顺序功能流程图在内的符合IEC1131-3标准的灵活的编程语言支持，数据格式应符合IEC1131标准。</w:t>
      </w:r>
    </w:p>
    <w:p w14:paraId="426ACF2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完整的自诊断功能，可以在运行中自动诊断出系统的任何一个部件的故障，并且在监控软件中及时、准确地反映出故障状态、故障时间、故障地点及相关信息。在系统或工艺设备发生故障后，I/O状态应返回到工艺要求预设置的安全状态上。</w:t>
      </w:r>
    </w:p>
    <w:p w14:paraId="74D9B02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具有可直接插入机架的以太网、控制网、设备网模块，支持以太网、控制总线、设备总线，并支持多网配置。</w:t>
      </w:r>
    </w:p>
    <w:p w14:paraId="6E7AB7A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通讯模块：专用工业控制总线，实际最低通讯速率不得低于5M，网络速度不应随总线距离的延长或节点的增加而衰减。</w:t>
      </w:r>
    </w:p>
    <w:p w14:paraId="39D7456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LC机架应为金属式框架，外部涂敷设计保证良好的机械和防腐性能，机架应为滑轨式设计，并具备模块机械锁定装置，模块的安装、拆卸无需螺丝刀的任何的特殊工具，PLC系统，包括机架、各种插槽式模块都应符合完全的无风扇设计要求。</w:t>
      </w:r>
    </w:p>
    <w:p w14:paraId="6EE307A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所有的PLC应装备相同的CPU模块，应根据整个厂内所有PLC站的最高要求来决定其型号，必须采用同一系列的模块，不得使用2个或以上系列产品配搭使用。</w:t>
      </w:r>
    </w:p>
    <w:p w14:paraId="7BAFA91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输入和输出遵照下列要求：</w:t>
      </w:r>
    </w:p>
    <w:p w14:paraId="11E8461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隔离的数字量输入(DI)，无源接点。</w:t>
      </w:r>
    </w:p>
    <w:p w14:paraId="4B75D45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通过继电器的无源数字量输出(DO)，接点容量为220V，2A。</w:t>
      </w:r>
    </w:p>
    <w:p w14:paraId="492E506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隔离的模拟量输入(AI)，4～20mA，带有信号隔离器。</w:t>
      </w:r>
    </w:p>
    <w:p w14:paraId="09F9B89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隔离的模拟量输出(AO)，4～20mA。</w:t>
      </w:r>
    </w:p>
    <w:p w14:paraId="2879794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每个PLC机架将有20％的剩余插槽，和对应的输入和输出模块，以满足I／O扩展的要求。</w:t>
      </w:r>
    </w:p>
    <w:p w14:paraId="66914F7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输入/输出模块配快速连接端子块。</w:t>
      </w:r>
    </w:p>
    <w:p w14:paraId="2143AC8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通讯总线电缆选用光缆，提高抗干扰能力。</w:t>
      </w:r>
    </w:p>
    <w:p w14:paraId="726AFF6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3）网络通讯模块</w:t>
      </w:r>
    </w:p>
    <w:p w14:paraId="26606D7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通讯协议：工业以太网</w:t>
      </w:r>
    </w:p>
    <w:p w14:paraId="4EACCD0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网络拓扑：冗余环网</w:t>
      </w:r>
    </w:p>
    <w:p w14:paraId="5E3890E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通讯速率：100/1000Mbps</w:t>
      </w:r>
    </w:p>
    <w:p w14:paraId="2445E43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4）数字输入模块――DI</w:t>
      </w:r>
    </w:p>
    <w:p w14:paraId="1441FF5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符合IEC国际电气标准，并支持“带电插拔”特性</w:t>
      </w:r>
    </w:p>
    <w:p w14:paraId="5EC6776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输入点数：隔离型32点</w:t>
      </w:r>
    </w:p>
    <w:p w14:paraId="06D2670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输入电压：24VDC</w:t>
      </w:r>
    </w:p>
    <w:p w14:paraId="34C1668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允许工作电压范围：19.2至30.0VDC</w:t>
      </w:r>
    </w:p>
    <w:p w14:paraId="55A4D35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输入保护：光电隔离，每个输入点都具有状态指示</w:t>
      </w:r>
    </w:p>
    <w:p w14:paraId="19F70B6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响应时间：1ms</w:t>
      </w:r>
    </w:p>
    <w:p w14:paraId="7A79AB3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快速刷新时间：0.004ms</w:t>
      </w:r>
    </w:p>
    <w:p w14:paraId="63B24D6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连接方式：拆卸式端子排</w:t>
      </w:r>
    </w:p>
    <w:p w14:paraId="5E9A6D0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5）数字输出模块――DO</w:t>
      </w:r>
    </w:p>
    <w:p w14:paraId="7862061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符合IEC国际电气标准，并支持“带电插拔”特性</w:t>
      </w:r>
    </w:p>
    <w:p w14:paraId="747F1D4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输出点数：隔离型32点</w:t>
      </w:r>
    </w:p>
    <w:p w14:paraId="292382F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额定工作电压：24VDC</w:t>
      </w:r>
    </w:p>
    <w:p w14:paraId="1F0E93A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输出保护：光电隔离，每个输入点都具有状态指示</w:t>
      </w:r>
    </w:p>
    <w:p w14:paraId="5FC2449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允许工作电压范围：19.2至30.0VDC</w:t>
      </w:r>
    </w:p>
    <w:p w14:paraId="3D90980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单点负载电流：＜0.5 A</w:t>
      </w:r>
    </w:p>
    <w:p w14:paraId="4C2991E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输出开关频率：≤100 Hz（电阻负载），≤0.5 Hz（电容负载）</w:t>
      </w:r>
    </w:p>
    <w:p w14:paraId="032CBAE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快速刷新时间：0.004ms</w:t>
      </w:r>
    </w:p>
    <w:p w14:paraId="3ED0C81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连接方式：拆卸式端子排</w:t>
      </w:r>
    </w:p>
    <w:p w14:paraId="7603DA1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6）模拟输入模块――AI</w:t>
      </w:r>
    </w:p>
    <w:p w14:paraId="41447A7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输入点数：隔离型16点</w:t>
      </w:r>
    </w:p>
    <w:p w14:paraId="0514857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输入范围：1~5V，0~10V，4~20m A，0~20m A</w:t>
      </w:r>
    </w:p>
    <w:p w14:paraId="3CDA6D5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分辨率：≥15位</w:t>
      </w:r>
    </w:p>
    <w:p w14:paraId="56529AD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隔离方式：光电隔离</w:t>
      </w:r>
    </w:p>
    <w:p w14:paraId="4334ABA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转换速度：1ms/点</w:t>
      </w:r>
    </w:p>
    <w:p w14:paraId="496B7DA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精度（25℃）≤0.4%满量程</w:t>
      </w:r>
    </w:p>
    <w:p w14:paraId="7E3FC31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误差极限：≤±0.1%</w:t>
      </w:r>
    </w:p>
    <w:p w14:paraId="7BA60EB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共模抑制：≥72dB </w:t>
      </w:r>
    </w:p>
    <w:p w14:paraId="226F8CE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其他功能：断线检测，峰值保持、平均值功能、定标功能等</w:t>
      </w:r>
    </w:p>
    <w:p w14:paraId="35A0EF1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外部连接：拆卸式端子排。</w:t>
      </w:r>
    </w:p>
    <w:p w14:paraId="6531284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7）模拟输出模块――AO</w:t>
      </w:r>
    </w:p>
    <w:p w14:paraId="1CCAE78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输出点数：隔离型 8路</w:t>
      </w:r>
    </w:p>
    <w:p w14:paraId="4E6FA6F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输出范围：1~5V，0~10V，4~20mA</w:t>
      </w:r>
    </w:p>
    <w:p w14:paraId="2BAAB97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分辨率：≥15位</w:t>
      </w:r>
    </w:p>
    <w:p w14:paraId="574AD30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隔离功能：≥1500VAC，50/60Hz，端子和外壳间</w:t>
      </w:r>
    </w:p>
    <w:p w14:paraId="6CCE3BB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转换速度：≤1MS/点</w:t>
      </w:r>
    </w:p>
    <w:p w14:paraId="6BD2341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精度（25℃）≤0.4%满量程</w:t>
      </w:r>
    </w:p>
    <w:p w14:paraId="4EB6958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其它功能：输出限幅，上/下限报警，脉冲输出</w:t>
      </w:r>
    </w:p>
    <w:p w14:paraId="4746FF0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外部连接：拆卸式端子排。</w:t>
      </w:r>
    </w:p>
    <w:p w14:paraId="263329D4">
      <w:pPr>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2、可编程终端（触摸屏）</w:t>
      </w:r>
    </w:p>
    <w:p w14:paraId="241D922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为了便于现场操作，在被控现场配置可编程图形触摸式终端，技术指标如下：</w:t>
      </w:r>
    </w:p>
    <w:p w14:paraId="5E26C05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采用32位RISC芯片500MHz</w:t>
      </w:r>
    </w:p>
    <w:p w14:paraId="0ABE828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显示器件：有源阵列TFT彩色液晶屏</w:t>
      </w:r>
    </w:p>
    <w:p w14:paraId="4FA58C3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分辨率：800×600</w:t>
      </w:r>
    </w:p>
    <w:p w14:paraId="50F24E0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亮度：400cd/m</w:t>
      </w:r>
      <w:r>
        <w:rPr>
          <w:rFonts w:hint="eastAsia" w:ascii="宋体" w:hAnsi="宋体" w:eastAsia="宋体" w:cs="宋体"/>
          <w:color w:val="auto"/>
          <w:sz w:val="24"/>
          <w:szCs w:val="24"/>
          <w:vertAlign w:val="superscript"/>
        </w:rPr>
        <w:t>2</w:t>
      </w:r>
    </w:p>
    <w:p w14:paraId="1E1EC66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显示文字：中文、英文、数字</w:t>
      </w:r>
    </w:p>
    <w:p w14:paraId="2AF6D5D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图形：直线、矩形、多边形、圆、弧线、扇形</w:t>
      </w:r>
    </w:p>
    <w:p w14:paraId="3C7A1E6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图形符号：内置至少1200个 ISO7000的部件</w:t>
      </w:r>
    </w:p>
    <w:p w14:paraId="496136E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通讯接口：RS-422A/RS-485，RS-232C，10/100Base-T Ethernet          </w:t>
      </w:r>
    </w:p>
    <w:p w14:paraId="35D335F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电源电压范围：24VDC 20%</w:t>
      </w:r>
    </w:p>
    <w:p w14:paraId="65C0521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运行温度：0~50℃</w:t>
      </w:r>
    </w:p>
    <w:p w14:paraId="4E8DA4B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防护等级：IP 65，NEMA 4x，NEMA 12 (前面板)，IP 20 (背面)</w:t>
      </w:r>
    </w:p>
    <w:p w14:paraId="5A40362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平均无故障时间：≥50000小时</w:t>
      </w:r>
    </w:p>
    <w:p w14:paraId="52C12F6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时钟：硬件时钟（带电池）</w:t>
      </w:r>
    </w:p>
    <w:p w14:paraId="08B5E7C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支持工具软件：Windows 7以上环境 </w:t>
      </w:r>
    </w:p>
    <w:p w14:paraId="2D1E26D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具有PLC编程功能。</w:t>
      </w:r>
    </w:p>
    <w:p w14:paraId="3E7C4EA5">
      <w:pPr>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3、交换机</w:t>
      </w:r>
    </w:p>
    <w:p w14:paraId="383C5F7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工厂网络系统采用客户/服务器模式，总线拓扑网络结构，光纤网，TCP/IP通讯协议，客户/服务器(Client/Server)模式的分布式实时关系数据库，自适应</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100/1000Mbps传输速率，平均通信误码率：低于10－9，全双工通信，网络连接设备采用集线器和路由器，网络传输介质有光缆、双绞线，配置网络操作系统及相关应用软件。</w:t>
      </w:r>
    </w:p>
    <w:p w14:paraId="12F3DF0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交换机应满足以下要求： </w:t>
      </w:r>
    </w:p>
    <w:p w14:paraId="5CC14658">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cs="仿宋_GB2312"/>
          <w:b/>
          <w:kern w:val="0"/>
          <w:sz w:val="24"/>
          <w:lang w:val="zh-CN"/>
        </w:rPr>
        <w:t>●</w:t>
      </w:r>
      <w:r>
        <w:rPr>
          <w:rFonts w:hint="eastAsia" w:ascii="宋体" w:hAnsi="宋体" w:eastAsia="宋体" w:cs="宋体"/>
          <w:color w:val="auto"/>
          <w:sz w:val="24"/>
          <w:szCs w:val="24"/>
        </w:rPr>
        <w:t>网络交换机应为完全工业级产品，全金属外壳设计；</w:t>
      </w:r>
    </w:p>
    <w:p w14:paraId="3C41F87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支持端口优先级，对不同实时性的数据进行不同的级别处理；可关闭交换机端口，防止非法上网；</w:t>
      </w:r>
    </w:p>
    <w:p w14:paraId="0B01F2F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拥有流量控制等功能，确保工业数据的实时性和安全性；</w:t>
      </w:r>
    </w:p>
    <w:p w14:paraId="5E4FB92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电磁兼容性指标应满足+/-4KV要求；</w:t>
      </w:r>
    </w:p>
    <w:p w14:paraId="3801FD3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以太网接口可扩展（各口可任意配置为电口和光口，支持多模光纤，单模光纤和单芯双向光纤）；</w:t>
      </w:r>
    </w:p>
    <w:p w14:paraId="23FC0CF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模块化结构；</w:t>
      </w:r>
    </w:p>
    <w:p w14:paraId="08EDFD2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有专用设置存储模块（可用于设置恢复）；</w:t>
      </w:r>
    </w:p>
    <w:p w14:paraId="3B0F60D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自动交叉连接，端口自适应；</w:t>
      </w:r>
    </w:p>
    <w:p w14:paraId="264BA7C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24V冗余供电；</w:t>
      </w:r>
    </w:p>
    <w:p w14:paraId="5E73225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具有在线错误侦测、故障预备、故障定位能力，故障报警输出；</w:t>
      </w:r>
    </w:p>
    <w:p w14:paraId="19BA91C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符合IEEE802.3标准；</w:t>
      </w:r>
    </w:p>
    <w:p w14:paraId="40620EF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符合IEEE802.1 D标准，有两个优先级；</w:t>
      </w:r>
    </w:p>
    <w:p w14:paraId="45F5353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支持TCP/IP协议，BOOTP引导协议，端口镜像；</w:t>
      </w:r>
    </w:p>
    <w:p w14:paraId="75B998F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集成WEB SERVER功能；</w:t>
      </w:r>
    </w:p>
    <w:p w14:paraId="04F88A9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支持SNMP；</w:t>
      </w:r>
    </w:p>
    <w:p w14:paraId="003F3F5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支持VLAN；</w:t>
      </w:r>
    </w:p>
    <w:p w14:paraId="5A4DD6D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支持环形和树形冗余网络；</w:t>
      </w:r>
    </w:p>
    <w:p w14:paraId="3707F0B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传送距离：3km/节点之间</w:t>
      </w:r>
    </w:p>
    <w:p w14:paraId="4C3C0AC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有自诊断功能，带在线信号、状态和诊断显示；</w:t>
      </w:r>
    </w:p>
    <w:p w14:paraId="4E943EF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有故障自愈和通讯自恢复；同步出错跟踪和多点故障管理功能；</w:t>
      </w:r>
    </w:p>
    <w:p w14:paraId="17447D1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级联深度：任意；</w:t>
      </w:r>
    </w:p>
    <w:p w14:paraId="17A5028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防护等级：IP40；</w:t>
      </w:r>
    </w:p>
    <w:p w14:paraId="17DA297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环境温度（工作时）：-40°C~85°C（无风扇散热）；</w:t>
      </w:r>
    </w:p>
    <w:p w14:paraId="7427A14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相对湿度（工作时）：10%~95%（无凝露）；</w:t>
      </w:r>
    </w:p>
    <w:p w14:paraId="3701DF7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SC光纤接头；</w:t>
      </w:r>
    </w:p>
    <w:p w14:paraId="28DF173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具有GL认证；</w:t>
      </w:r>
    </w:p>
    <w:p w14:paraId="3C5CF1D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平均无故障时间MTBF：≥25年。</w:t>
      </w:r>
    </w:p>
    <w:p w14:paraId="6102AFB8">
      <w:pPr>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、供电电源</w:t>
      </w:r>
    </w:p>
    <w:p w14:paraId="7515184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UPS电源应是静态整流器/逆变器型，并有储能电池，电池采用铅酸免维护胶体电池。 对指定的设备提供不间断电源，它应安排成在主电源不附合规定要求时，避免设备的破坏或扰动。</w:t>
      </w:r>
    </w:p>
    <w:p w14:paraId="1AF16B4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工作方式：在线式</w:t>
      </w:r>
    </w:p>
    <w:p w14:paraId="30A0998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逆变器基于PWM脉宽调制技术</w:t>
      </w:r>
    </w:p>
    <w:p w14:paraId="24F95AC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工作频率：20KHz</w:t>
      </w:r>
    </w:p>
    <w:p w14:paraId="5314E35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逆变器及总输入/输出的效率达90～95%</w:t>
      </w:r>
    </w:p>
    <w:p w14:paraId="7E7BB14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在线双转换：AC/DC—DC/AC</w:t>
      </w:r>
    </w:p>
    <w:p w14:paraId="51D33AB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内置EMI/RFI滤波器</w:t>
      </w:r>
    </w:p>
    <w:p w14:paraId="68D9A1D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支持多种通讯协议：MODBUS(RTU传输方式)、SEC等</w:t>
      </w:r>
    </w:p>
    <w:p w14:paraId="0BBB37D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具有液晶显示面板，人机控制界面友好</w:t>
      </w:r>
    </w:p>
    <w:p w14:paraId="391FDBE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输入电压：160~276V/50 Hz</w:t>
      </w:r>
    </w:p>
    <w:p w14:paraId="4ED1DC0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输出电压：220VAC±3%  50 Hz</w:t>
      </w:r>
    </w:p>
    <w:p w14:paraId="4FA089E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切换时间：≤2.5ms</w:t>
      </w:r>
    </w:p>
    <w:p w14:paraId="6BB100B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效率：＞97%</w:t>
      </w:r>
    </w:p>
    <w:p w14:paraId="725E39E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波形失真：≤3%</w:t>
      </w:r>
    </w:p>
    <w:p w14:paraId="54E0379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噪音：＜45dB。</w:t>
      </w:r>
    </w:p>
    <w:p w14:paraId="1FDB4C79">
      <w:pPr>
        <w:numPr>
          <w:ilvl w:val="0"/>
          <w:numId w:val="0"/>
        </w:numPr>
        <w:spacing w:line="500" w:lineRule="exact"/>
        <w:rPr>
          <w:rFonts w:hAnsi="宋体"/>
          <w:b/>
          <w:bCs/>
          <w:color w:val="auto"/>
          <w:sz w:val="24"/>
          <w:highlight w:val="none"/>
        </w:rPr>
      </w:pPr>
      <w:r>
        <w:rPr>
          <w:rFonts w:hint="eastAsia" w:hAnsi="宋体"/>
          <w:b/>
          <w:bCs/>
          <w:color w:val="auto"/>
          <w:sz w:val="24"/>
          <w:highlight w:val="none"/>
          <w:lang w:val="en-US" w:eastAsia="zh-CN"/>
        </w:rPr>
        <w:t xml:space="preserve">9.3 </w:t>
      </w:r>
      <w:r>
        <w:rPr>
          <w:rFonts w:hAnsi="宋体"/>
          <w:b/>
          <w:bCs/>
          <w:color w:val="auto"/>
          <w:sz w:val="24"/>
          <w:highlight w:val="none"/>
        </w:rPr>
        <w:t>PLC机柜</w:t>
      </w:r>
    </w:p>
    <w:p w14:paraId="392EFC37">
      <w:pPr>
        <w:numPr>
          <w:ilvl w:val="0"/>
          <w:numId w:val="0"/>
        </w:numPr>
        <w:spacing w:line="500" w:lineRule="exact"/>
        <w:rPr>
          <w:rFonts w:hAnsi="宋体"/>
          <w:color w:val="auto"/>
          <w:sz w:val="24"/>
          <w:highlight w:val="none"/>
        </w:rPr>
      </w:pPr>
      <w:r>
        <w:rPr>
          <w:rFonts w:hint="eastAsia" w:hAnsi="宋体"/>
          <w:color w:val="auto"/>
          <w:sz w:val="24"/>
          <w:highlight w:val="none"/>
          <w:lang w:val="en-US" w:eastAsia="zh-CN"/>
        </w:rPr>
        <w:t xml:space="preserve">   </w:t>
      </w:r>
      <w:r>
        <w:rPr>
          <w:rFonts w:hint="eastAsia" w:hAnsi="宋体"/>
          <w:color w:val="auto"/>
          <w:sz w:val="24"/>
          <w:highlight w:val="none"/>
        </w:rPr>
        <w:t>（1）</w:t>
      </w:r>
      <w:r>
        <w:rPr>
          <w:rFonts w:hAnsi="宋体"/>
          <w:color w:val="auto"/>
          <w:sz w:val="24"/>
          <w:highlight w:val="none"/>
        </w:rPr>
        <w:t>概述</w:t>
      </w:r>
    </w:p>
    <w:p w14:paraId="7252AF7B">
      <w:pPr>
        <w:spacing w:line="500" w:lineRule="exact"/>
        <w:ind w:firstLine="480" w:firstLineChars="200"/>
        <w:rPr>
          <w:rFonts w:hAnsi="宋体"/>
          <w:color w:val="auto"/>
          <w:sz w:val="24"/>
          <w:highlight w:val="none"/>
        </w:rPr>
      </w:pPr>
      <w:r>
        <w:rPr>
          <w:rFonts w:hAnsi="宋体"/>
          <w:color w:val="auto"/>
          <w:sz w:val="24"/>
          <w:highlight w:val="none"/>
        </w:rPr>
        <w:t>PLC、远程IO、工业以太网交换机等组成现场控制站的设备均安装于该机柜中，机柜为设备提供一个良好的工作环境，固定和保护内部设备，并为设备提供必要的工作条件（直流电源、开关、安装导轨等）。控制柜的制作工艺应严格按照国家相关的行业标准。PLC机柜应采用知名品牌机柜产品。</w:t>
      </w:r>
    </w:p>
    <w:p w14:paraId="7B012971">
      <w:pPr>
        <w:spacing w:line="500" w:lineRule="exact"/>
        <w:ind w:firstLine="482" w:firstLineChars="200"/>
        <w:rPr>
          <w:rFonts w:hAnsi="宋体"/>
          <w:color w:val="auto"/>
          <w:sz w:val="24"/>
          <w:highlight w:val="none"/>
        </w:rPr>
      </w:pPr>
      <w:r>
        <w:rPr>
          <w:rFonts w:hint="eastAsia" w:ascii="宋体" w:hAnsi="宋体" w:cs="仿宋_GB2312"/>
          <w:b/>
          <w:kern w:val="0"/>
          <w:sz w:val="24"/>
          <w:lang w:val="zh-CN"/>
        </w:rPr>
        <w:t>●</w:t>
      </w:r>
      <w:r>
        <w:rPr>
          <w:rFonts w:hAnsi="宋体"/>
          <w:color w:val="auto"/>
          <w:sz w:val="24"/>
          <w:highlight w:val="none"/>
        </w:rPr>
        <w:t>所有的PLC柜都要有20%扩展安装空间，以便远期修改和增加元件。所有PLC柜要完整的装配，在制造厂内要安装好设备并接线。</w:t>
      </w:r>
    </w:p>
    <w:p w14:paraId="3ACA3C8D">
      <w:pPr>
        <w:spacing w:line="50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柜体结构</w:t>
      </w:r>
    </w:p>
    <w:p w14:paraId="4ECEB432">
      <w:pPr>
        <w:spacing w:line="500" w:lineRule="exact"/>
        <w:ind w:firstLine="480" w:firstLineChars="200"/>
        <w:rPr>
          <w:rFonts w:hAnsi="宋体"/>
          <w:color w:val="auto"/>
          <w:sz w:val="24"/>
          <w:highlight w:val="none"/>
        </w:rPr>
      </w:pPr>
      <w:r>
        <w:rPr>
          <w:rFonts w:hAnsi="宋体"/>
          <w:color w:val="auto"/>
          <w:sz w:val="24"/>
          <w:highlight w:val="none"/>
        </w:rPr>
        <w:t>用2mm厚的钢板装配柜体，每一个门要用单独一片钢板制做，当钢板焊接时，要求焊缝接合片应是平实光滑的，柜的开孔要剪切，冲孔或钻孔，孔的周边要求平整。</w:t>
      </w:r>
    </w:p>
    <w:p w14:paraId="12672D63">
      <w:pPr>
        <w:spacing w:line="500" w:lineRule="exact"/>
        <w:ind w:firstLine="480" w:firstLineChars="200"/>
        <w:rPr>
          <w:rFonts w:hAnsi="宋体"/>
          <w:color w:val="auto"/>
          <w:sz w:val="24"/>
          <w:highlight w:val="none"/>
        </w:rPr>
      </w:pPr>
      <w:r>
        <w:rPr>
          <w:rFonts w:hAnsi="宋体"/>
          <w:color w:val="auto"/>
          <w:sz w:val="24"/>
          <w:highlight w:val="none"/>
        </w:rPr>
        <w:t>用型材做柜体的框架，整个框架强度要允许柜体整体提升而不要挤压和变形，除非特殊说明，要提供吊环，为装配和安装期间起吊提供方便当柜一个接一个安装时，它们的前面板要有可靠的螺栓连接，柜体要有垫片保证水平。</w:t>
      </w:r>
    </w:p>
    <w:p w14:paraId="4792DF41">
      <w:pPr>
        <w:spacing w:line="500" w:lineRule="exact"/>
        <w:ind w:firstLine="480" w:firstLineChars="200"/>
        <w:rPr>
          <w:rFonts w:hAnsi="宋体"/>
          <w:color w:val="auto"/>
          <w:sz w:val="24"/>
          <w:highlight w:val="none"/>
        </w:rPr>
      </w:pPr>
      <w:r>
        <w:rPr>
          <w:rFonts w:hAnsi="宋体"/>
          <w:color w:val="auto"/>
          <w:sz w:val="24"/>
          <w:highlight w:val="none"/>
        </w:rPr>
        <w:t>每个柜都要提供足够的尺寸，门要逆时针打开，门缘在顶部和底部要有转轴，以便于平滑开启，门的锁紧程度经保证在门关上时，能将门垫片压入2%，在门的背部要做加固，以免设备对门造成挤压或偏移，门要用1/4"不锈钢插销悬吊在连续的绞链上。</w:t>
      </w:r>
    </w:p>
    <w:p w14:paraId="5A1AFA9F">
      <w:pPr>
        <w:spacing w:line="500" w:lineRule="exact"/>
        <w:ind w:firstLine="480" w:firstLineChars="200"/>
        <w:rPr>
          <w:rFonts w:hAnsi="宋体"/>
          <w:color w:val="auto"/>
          <w:sz w:val="24"/>
          <w:highlight w:val="none"/>
        </w:rPr>
      </w:pPr>
      <w:r>
        <w:rPr>
          <w:rFonts w:hAnsi="宋体"/>
          <w:color w:val="auto"/>
          <w:sz w:val="24"/>
          <w:highlight w:val="none"/>
        </w:rPr>
        <w:t>在内部提供安装板，用于所有设备和端子板安装。</w:t>
      </w:r>
    </w:p>
    <w:p w14:paraId="253FC2EA">
      <w:pPr>
        <w:spacing w:line="500" w:lineRule="exact"/>
        <w:ind w:firstLine="480" w:firstLineChars="200"/>
        <w:rPr>
          <w:rFonts w:hAnsi="宋体"/>
          <w:color w:val="auto"/>
          <w:sz w:val="24"/>
          <w:highlight w:val="none"/>
        </w:rPr>
      </w:pPr>
      <w:r>
        <w:rPr>
          <w:rFonts w:hAnsi="宋体"/>
          <w:color w:val="auto"/>
          <w:sz w:val="24"/>
          <w:highlight w:val="none"/>
        </w:rPr>
        <w:t>柜内要提供2条接地铜排，一条用于信号和屏蔽接地，一条用于设备和柜子安全接地。</w:t>
      </w:r>
    </w:p>
    <w:p w14:paraId="6FA0E61C">
      <w:pPr>
        <w:spacing w:line="50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机柜喷漆</w:t>
      </w:r>
    </w:p>
    <w:p w14:paraId="43383330">
      <w:pPr>
        <w:spacing w:line="500" w:lineRule="exact"/>
        <w:ind w:firstLine="480" w:firstLineChars="200"/>
        <w:rPr>
          <w:rFonts w:hAnsi="宋体"/>
          <w:color w:val="auto"/>
          <w:sz w:val="24"/>
          <w:highlight w:val="none"/>
        </w:rPr>
      </w:pPr>
      <w:r>
        <w:rPr>
          <w:rFonts w:hAnsi="宋体"/>
          <w:color w:val="auto"/>
          <w:sz w:val="24"/>
          <w:highlight w:val="none"/>
        </w:rPr>
        <w:t>最终的外壳要用环氧树脂粉末静电喷塑，固化处理。外部的颜色需经业主确定，柜的内部，外部颜色在设计联络会上确定。</w:t>
      </w:r>
    </w:p>
    <w:p w14:paraId="6D0CE531">
      <w:pPr>
        <w:spacing w:line="50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内部电气线路</w:t>
      </w:r>
    </w:p>
    <w:p w14:paraId="52AFF2CD">
      <w:pPr>
        <w:spacing w:line="500" w:lineRule="exact"/>
        <w:ind w:firstLine="480" w:firstLineChars="200"/>
        <w:rPr>
          <w:rFonts w:hAnsi="宋体"/>
          <w:color w:val="auto"/>
          <w:sz w:val="24"/>
          <w:highlight w:val="none"/>
        </w:rPr>
      </w:pPr>
      <w:r>
        <w:rPr>
          <w:rFonts w:hAnsi="宋体"/>
          <w:color w:val="auto"/>
          <w:sz w:val="24"/>
          <w:highlight w:val="none"/>
        </w:rPr>
        <w:t>用于交直流回路的线应为BVR的铜线，按负载电流选定且线径应符合国家标准。</w:t>
      </w:r>
    </w:p>
    <w:p w14:paraId="5738A67B">
      <w:pPr>
        <w:spacing w:line="500" w:lineRule="exact"/>
        <w:ind w:firstLine="480" w:firstLineChars="200"/>
        <w:rPr>
          <w:rFonts w:hAnsi="宋体"/>
          <w:color w:val="auto"/>
          <w:sz w:val="24"/>
          <w:highlight w:val="none"/>
        </w:rPr>
      </w:pPr>
      <w:r>
        <w:rPr>
          <w:rFonts w:hAnsi="宋体"/>
          <w:color w:val="auto"/>
          <w:sz w:val="24"/>
          <w:highlight w:val="none"/>
        </w:rPr>
        <w:t>柜内走线必须经过线槽，线槽填充度不能超过40%。</w:t>
      </w:r>
    </w:p>
    <w:p w14:paraId="1AC6217F">
      <w:pPr>
        <w:spacing w:line="500" w:lineRule="exact"/>
        <w:ind w:firstLine="480" w:firstLineChars="200"/>
        <w:rPr>
          <w:rFonts w:hAnsi="宋体"/>
          <w:color w:val="auto"/>
          <w:sz w:val="24"/>
          <w:highlight w:val="none"/>
        </w:rPr>
      </w:pPr>
      <w:r>
        <w:rPr>
          <w:rFonts w:hAnsi="宋体"/>
          <w:color w:val="auto"/>
          <w:sz w:val="24"/>
          <w:highlight w:val="none"/>
        </w:rPr>
        <w:t>对每一路输入的交流或直流电源均应设置进线微型断路器，供给仪表的交流电源应有单独的微型断路器以方便进行电源开断操作。</w:t>
      </w:r>
    </w:p>
    <w:p w14:paraId="55FBDB0E">
      <w:pPr>
        <w:spacing w:line="500" w:lineRule="exact"/>
        <w:ind w:firstLine="480" w:firstLineChars="200"/>
        <w:rPr>
          <w:rFonts w:hAnsi="宋体"/>
          <w:color w:val="auto"/>
          <w:sz w:val="24"/>
          <w:highlight w:val="none"/>
        </w:rPr>
      </w:pPr>
      <w:r>
        <w:rPr>
          <w:rFonts w:hAnsi="宋体"/>
          <w:color w:val="auto"/>
          <w:sz w:val="24"/>
          <w:highlight w:val="none"/>
        </w:rPr>
        <w:t>所有线缆应有编号，且在线缆两端头端子处做标志，标记线号，线号和标志应是用PVC打号机打印出的，粘贴或胶条标志不能接受。所有线头应有铜鼻子，接线螺丝压紧，不得松动。所有接线应整齐。</w:t>
      </w:r>
    </w:p>
    <w:p w14:paraId="3E57D96C">
      <w:pPr>
        <w:spacing w:line="500" w:lineRule="exact"/>
        <w:ind w:firstLine="480" w:firstLineChars="200"/>
        <w:rPr>
          <w:rFonts w:hAnsi="宋体"/>
          <w:color w:val="auto"/>
          <w:sz w:val="24"/>
          <w:highlight w:val="none"/>
        </w:rPr>
      </w:pPr>
      <w:r>
        <w:rPr>
          <w:rFonts w:hAnsi="宋体"/>
          <w:color w:val="auto"/>
          <w:sz w:val="24"/>
          <w:highlight w:val="none"/>
        </w:rPr>
        <w:t>特殊信号线，如通讯数字数据和多种信号要用厂家专用的标准电缆。</w:t>
      </w:r>
    </w:p>
    <w:p w14:paraId="52606E9F">
      <w:pPr>
        <w:spacing w:line="500" w:lineRule="exact"/>
        <w:ind w:firstLine="480" w:firstLineChars="200"/>
        <w:rPr>
          <w:rFonts w:hAnsi="宋体"/>
          <w:color w:val="auto"/>
          <w:sz w:val="24"/>
          <w:highlight w:val="none"/>
        </w:rPr>
      </w:pPr>
      <w:r>
        <w:rPr>
          <w:rFonts w:hint="eastAsia" w:hAnsi="宋体"/>
          <w:color w:val="auto"/>
          <w:sz w:val="24"/>
          <w:highlight w:val="none"/>
        </w:rPr>
        <w:t>（5）</w:t>
      </w:r>
      <w:r>
        <w:rPr>
          <w:rFonts w:hAnsi="宋体"/>
          <w:color w:val="auto"/>
          <w:sz w:val="24"/>
          <w:highlight w:val="none"/>
        </w:rPr>
        <w:t>端子板</w:t>
      </w:r>
    </w:p>
    <w:p w14:paraId="2710E14D">
      <w:pPr>
        <w:spacing w:line="500" w:lineRule="exact"/>
        <w:ind w:firstLine="480" w:firstLineChars="200"/>
        <w:rPr>
          <w:rFonts w:hAnsi="宋体"/>
          <w:color w:val="auto"/>
          <w:sz w:val="24"/>
          <w:highlight w:val="none"/>
        </w:rPr>
      </w:pPr>
      <w:r>
        <w:rPr>
          <w:rFonts w:hAnsi="宋体"/>
          <w:color w:val="auto"/>
          <w:sz w:val="24"/>
          <w:highlight w:val="none"/>
        </w:rPr>
        <w:t>满足工程要求并有20%余量，将柜内备件和端子板连好线。端子应选用国际知名品牌产品。</w:t>
      </w:r>
    </w:p>
    <w:p w14:paraId="3189717F">
      <w:pPr>
        <w:spacing w:line="500" w:lineRule="exact"/>
        <w:ind w:firstLine="480" w:firstLineChars="200"/>
        <w:rPr>
          <w:rFonts w:hAnsi="宋体"/>
          <w:color w:val="auto"/>
          <w:sz w:val="24"/>
          <w:highlight w:val="none"/>
        </w:rPr>
      </w:pPr>
      <w:r>
        <w:rPr>
          <w:rFonts w:hint="eastAsia" w:hAnsi="宋体"/>
          <w:color w:val="auto"/>
          <w:sz w:val="24"/>
          <w:highlight w:val="none"/>
        </w:rPr>
        <w:t>（6）</w:t>
      </w:r>
      <w:r>
        <w:rPr>
          <w:rFonts w:hAnsi="宋体"/>
          <w:color w:val="auto"/>
          <w:sz w:val="24"/>
          <w:highlight w:val="none"/>
        </w:rPr>
        <w:t>直流供电源</w:t>
      </w:r>
    </w:p>
    <w:p w14:paraId="43E4F3DC">
      <w:pPr>
        <w:spacing w:line="500" w:lineRule="exact"/>
        <w:ind w:firstLine="480" w:firstLineChars="200"/>
        <w:rPr>
          <w:rFonts w:hAnsi="宋体"/>
          <w:color w:val="auto"/>
          <w:sz w:val="24"/>
          <w:highlight w:val="none"/>
        </w:rPr>
      </w:pPr>
      <w:r>
        <w:rPr>
          <w:rFonts w:hAnsi="宋体"/>
          <w:color w:val="auto"/>
          <w:sz w:val="24"/>
          <w:highlight w:val="none"/>
        </w:rPr>
        <w:t>输出电压：</w:t>
      </w:r>
      <w:r>
        <w:rPr>
          <w:rFonts w:hAnsi="宋体"/>
          <w:color w:val="auto"/>
          <w:sz w:val="24"/>
          <w:highlight w:val="none"/>
        </w:rPr>
        <w:tab/>
      </w:r>
      <w:r>
        <w:rPr>
          <w:rFonts w:hAnsi="宋体"/>
          <w:color w:val="auto"/>
          <w:sz w:val="24"/>
          <w:highlight w:val="none"/>
        </w:rPr>
        <w:t>24±0.5V，DC</w:t>
      </w:r>
    </w:p>
    <w:p w14:paraId="60CD4A03">
      <w:pPr>
        <w:spacing w:line="500" w:lineRule="exact"/>
        <w:ind w:firstLine="480" w:firstLineChars="200"/>
        <w:rPr>
          <w:rFonts w:hAnsi="宋体"/>
          <w:color w:val="auto"/>
          <w:sz w:val="24"/>
          <w:highlight w:val="none"/>
        </w:rPr>
      </w:pPr>
      <w:r>
        <w:rPr>
          <w:rFonts w:hAnsi="宋体"/>
          <w:color w:val="auto"/>
          <w:sz w:val="24"/>
          <w:highlight w:val="none"/>
        </w:rPr>
        <w:t>输出电流容量：</w:t>
      </w:r>
      <w:r>
        <w:rPr>
          <w:rFonts w:hAnsi="宋体"/>
          <w:color w:val="auto"/>
          <w:sz w:val="24"/>
          <w:highlight w:val="none"/>
        </w:rPr>
        <w:tab/>
      </w:r>
      <w:r>
        <w:rPr>
          <w:rFonts w:hAnsi="宋体"/>
          <w:color w:val="auto"/>
          <w:sz w:val="24"/>
          <w:highlight w:val="none"/>
        </w:rPr>
        <w:t>满足工程需要</w:t>
      </w:r>
    </w:p>
    <w:p w14:paraId="4A7ED013">
      <w:pPr>
        <w:spacing w:line="500" w:lineRule="exact"/>
        <w:ind w:firstLine="480" w:firstLineChars="200"/>
        <w:rPr>
          <w:rFonts w:hAnsi="宋体"/>
          <w:color w:val="auto"/>
          <w:sz w:val="24"/>
          <w:highlight w:val="none"/>
        </w:rPr>
      </w:pPr>
      <w:r>
        <w:rPr>
          <w:rFonts w:hAnsi="宋体"/>
          <w:color w:val="auto"/>
          <w:sz w:val="24"/>
          <w:highlight w:val="none"/>
        </w:rPr>
        <w:t>负载和线性调节：</w:t>
      </w:r>
      <w:r>
        <w:rPr>
          <w:rFonts w:hAnsi="宋体"/>
          <w:color w:val="auto"/>
          <w:sz w:val="24"/>
          <w:highlight w:val="none"/>
        </w:rPr>
        <w:tab/>
      </w:r>
      <w:r>
        <w:rPr>
          <w:rFonts w:hAnsi="宋体"/>
          <w:color w:val="auto"/>
          <w:sz w:val="24"/>
          <w:highlight w:val="none"/>
        </w:rPr>
        <w:t>±0.1%</w:t>
      </w:r>
    </w:p>
    <w:p w14:paraId="79F1477C">
      <w:pPr>
        <w:spacing w:line="500" w:lineRule="exact"/>
        <w:ind w:firstLine="480" w:firstLineChars="200"/>
        <w:rPr>
          <w:rFonts w:hAnsi="宋体"/>
          <w:color w:val="auto"/>
          <w:sz w:val="24"/>
          <w:highlight w:val="none"/>
        </w:rPr>
      </w:pPr>
      <w:r>
        <w:rPr>
          <w:rFonts w:hAnsi="宋体"/>
          <w:color w:val="auto"/>
          <w:sz w:val="24"/>
          <w:highlight w:val="none"/>
        </w:rPr>
        <w:t>输出波形：</w:t>
      </w:r>
      <w:r>
        <w:rPr>
          <w:rFonts w:hAnsi="宋体"/>
          <w:color w:val="auto"/>
          <w:sz w:val="24"/>
          <w:highlight w:val="none"/>
        </w:rPr>
        <w:tab/>
      </w:r>
      <w:r>
        <w:rPr>
          <w:rFonts w:hAnsi="宋体"/>
          <w:color w:val="auto"/>
          <w:sz w:val="24"/>
          <w:highlight w:val="none"/>
        </w:rPr>
        <w:t>1.5mV均方根</w:t>
      </w:r>
    </w:p>
    <w:p w14:paraId="076660C9">
      <w:pPr>
        <w:spacing w:line="500" w:lineRule="exact"/>
        <w:ind w:firstLine="480" w:firstLineChars="200"/>
        <w:rPr>
          <w:rFonts w:hAnsi="宋体"/>
          <w:color w:val="auto"/>
          <w:sz w:val="24"/>
          <w:highlight w:val="none"/>
        </w:rPr>
      </w:pPr>
      <w:r>
        <w:rPr>
          <w:rFonts w:hAnsi="宋体"/>
          <w:color w:val="auto"/>
          <w:sz w:val="24"/>
          <w:highlight w:val="none"/>
        </w:rPr>
        <w:t>短路保护：</w:t>
      </w:r>
      <w:r>
        <w:rPr>
          <w:rFonts w:hAnsi="宋体"/>
          <w:color w:val="auto"/>
          <w:sz w:val="24"/>
          <w:highlight w:val="none"/>
        </w:rPr>
        <w:tab/>
      </w:r>
      <w:r>
        <w:rPr>
          <w:rFonts w:hAnsi="宋体"/>
          <w:color w:val="auto"/>
          <w:sz w:val="24"/>
          <w:highlight w:val="none"/>
        </w:rPr>
        <w:t>自动短路保护</w:t>
      </w:r>
    </w:p>
    <w:p w14:paraId="0EF55199">
      <w:pPr>
        <w:spacing w:line="500" w:lineRule="exact"/>
        <w:ind w:firstLine="480" w:firstLineChars="200"/>
        <w:rPr>
          <w:rFonts w:hAnsi="宋体"/>
          <w:color w:val="auto"/>
          <w:sz w:val="24"/>
          <w:highlight w:val="none"/>
        </w:rPr>
      </w:pPr>
      <w:r>
        <w:rPr>
          <w:rFonts w:hAnsi="宋体"/>
          <w:color w:val="auto"/>
          <w:sz w:val="24"/>
          <w:highlight w:val="none"/>
        </w:rPr>
        <w:t>过电压保护：内部安装过电压保护器，强制输出低额定值。</w:t>
      </w:r>
    </w:p>
    <w:p w14:paraId="064EFA52">
      <w:pPr>
        <w:spacing w:line="500" w:lineRule="exact"/>
        <w:ind w:firstLine="480" w:firstLineChars="200"/>
        <w:rPr>
          <w:rFonts w:hAnsi="宋体"/>
          <w:color w:val="auto"/>
          <w:sz w:val="24"/>
          <w:highlight w:val="none"/>
        </w:rPr>
      </w:pPr>
      <w:r>
        <w:rPr>
          <w:rFonts w:hAnsi="宋体"/>
          <w:color w:val="auto"/>
          <w:sz w:val="24"/>
          <w:highlight w:val="none"/>
        </w:rPr>
        <w:t>浮地输出：</w:t>
      </w:r>
      <w:r>
        <w:rPr>
          <w:rFonts w:hAnsi="宋体"/>
          <w:color w:val="auto"/>
          <w:sz w:val="24"/>
          <w:highlight w:val="none"/>
        </w:rPr>
        <w:tab/>
      </w:r>
      <w:r>
        <w:rPr>
          <w:rFonts w:hAnsi="宋体"/>
          <w:color w:val="auto"/>
          <w:sz w:val="24"/>
          <w:highlight w:val="none"/>
        </w:rPr>
        <w:t>允许正负端接地或浮地。</w:t>
      </w:r>
    </w:p>
    <w:p w14:paraId="45746379">
      <w:pPr>
        <w:spacing w:line="500" w:lineRule="exact"/>
        <w:ind w:firstLine="480" w:firstLineChars="200"/>
        <w:rPr>
          <w:rFonts w:hAnsi="宋体"/>
          <w:color w:val="auto"/>
          <w:sz w:val="24"/>
          <w:highlight w:val="none"/>
        </w:rPr>
      </w:pPr>
      <w:r>
        <w:rPr>
          <w:rFonts w:hAnsi="宋体"/>
          <w:color w:val="auto"/>
          <w:sz w:val="24"/>
          <w:highlight w:val="none"/>
        </w:rPr>
        <w:t>输出隔离：</w:t>
      </w:r>
      <w:r>
        <w:rPr>
          <w:rFonts w:hAnsi="宋体"/>
          <w:color w:val="auto"/>
          <w:sz w:val="24"/>
          <w:highlight w:val="none"/>
        </w:rPr>
        <w:tab/>
      </w:r>
      <w:r>
        <w:rPr>
          <w:rFonts w:hAnsi="宋体"/>
          <w:color w:val="auto"/>
          <w:sz w:val="24"/>
          <w:highlight w:val="none"/>
        </w:rPr>
        <w:t>输出与输入，输出与地隔离为300</w:t>
      </w:r>
    </w:p>
    <w:p w14:paraId="464EAE7F">
      <w:pPr>
        <w:spacing w:line="500" w:lineRule="exact"/>
        <w:ind w:firstLine="480" w:firstLineChars="200"/>
        <w:rPr>
          <w:rFonts w:hAnsi="宋体"/>
          <w:color w:val="auto"/>
          <w:sz w:val="24"/>
          <w:highlight w:val="none"/>
        </w:rPr>
      </w:pPr>
      <w:r>
        <w:rPr>
          <w:rFonts w:hAnsi="宋体"/>
          <w:color w:val="auto"/>
          <w:sz w:val="24"/>
          <w:highlight w:val="none"/>
        </w:rPr>
        <w:t>电源：</w:t>
      </w:r>
      <w:r>
        <w:rPr>
          <w:rFonts w:hAnsi="宋体"/>
          <w:color w:val="auto"/>
          <w:sz w:val="24"/>
          <w:highlight w:val="none"/>
        </w:rPr>
        <w:tab/>
      </w:r>
      <w:r>
        <w:rPr>
          <w:rFonts w:hAnsi="宋体"/>
          <w:color w:val="auto"/>
          <w:sz w:val="24"/>
          <w:highlight w:val="none"/>
        </w:rPr>
        <w:t>220V±10%AC，50Hz</w:t>
      </w:r>
    </w:p>
    <w:p w14:paraId="52C7F7D6">
      <w:pPr>
        <w:spacing w:line="500" w:lineRule="exact"/>
        <w:ind w:firstLine="480" w:firstLineChars="200"/>
        <w:rPr>
          <w:rFonts w:hAnsi="宋体"/>
          <w:color w:val="auto"/>
          <w:sz w:val="24"/>
          <w:highlight w:val="none"/>
        </w:rPr>
      </w:pPr>
      <w:r>
        <w:rPr>
          <w:rFonts w:hint="eastAsia" w:hAnsi="宋体"/>
          <w:color w:val="auto"/>
          <w:sz w:val="24"/>
          <w:highlight w:val="none"/>
        </w:rPr>
        <w:t>（7）</w:t>
      </w:r>
      <w:r>
        <w:rPr>
          <w:rFonts w:hAnsi="宋体"/>
          <w:color w:val="auto"/>
          <w:sz w:val="24"/>
          <w:highlight w:val="none"/>
        </w:rPr>
        <w:t>继电器</w:t>
      </w:r>
    </w:p>
    <w:p w14:paraId="63CD65FB">
      <w:pPr>
        <w:spacing w:line="500" w:lineRule="exact"/>
        <w:ind w:firstLine="480" w:firstLineChars="200"/>
        <w:rPr>
          <w:rFonts w:hAnsi="宋体"/>
          <w:color w:val="auto"/>
          <w:sz w:val="24"/>
          <w:highlight w:val="none"/>
        </w:rPr>
      </w:pPr>
      <w:r>
        <w:rPr>
          <w:rFonts w:hAnsi="宋体"/>
          <w:color w:val="auto"/>
          <w:sz w:val="24"/>
          <w:highlight w:val="none"/>
        </w:rPr>
        <w:t>用于控制的触点应是银-钨-氧化物的，额定值在220V AC时，不能低于2.5安培，每个继电器要提供必要数量和形式的触点。</w:t>
      </w:r>
    </w:p>
    <w:p w14:paraId="2870E372">
      <w:pPr>
        <w:spacing w:line="500" w:lineRule="exact"/>
        <w:ind w:firstLine="480" w:firstLineChars="200"/>
        <w:rPr>
          <w:rFonts w:hAnsi="宋体"/>
          <w:color w:val="auto"/>
          <w:sz w:val="24"/>
          <w:highlight w:val="none"/>
        </w:rPr>
      </w:pPr>
      <w:r>
        <w:rPr>
          <w:rFonts w:hAnsi="宋体"/>
          <w:color w:val="auto"/>
          <w:sz w:val="24"/>
          <w:highlight w:val="none"/>
        </w:rPr>
        <w:t>继电器建议为低线圈功率，电流型的继电器，上有氖灯指示，继电器要有塑料防尘盖测试接钮，指示灯有螺旋型端子和压紧弹簧的安装座。</w:t>
      </w:r>
    </w:p>
    <w:p w14:paraId="4E58AF79">
      <w:pPr>
        <w:spacing w:line="500" w:lineRule="exact"/>
        <w:ind w:firstLine="480" w:firstLineChars="200"/>
        <w:rPr>
          <w:rFonts w:hAnsi="宋体"/>
          <w:color w:val="auto"/>
          <w:sz w:val="24"/>
          <w:highlight w:val="none"/>
        </w:rPr>
      </w:pPr>
      <w:r>
        <w:rPr>
          <w:rFonts w:hAnsi="宋体"/>
          <w:color w:val="auto"/>
          <w:sz w:val="24"/>
          <w:highlight w:val="none"/>
        </w:rPr>
        <w:t>所有继电器的连接要用有开合显示的旋进型端子，端子要有一个明显的标记，继电器的安装要保证端子标记容易识别和方便地读取。</w:t>
      </w:r>
    </w:p>
    <w:p w14:paraId="31CEE383">
      <w:pPr>
        <w:spacing w:line="500" w:lineRule="exact"/>
        <w:ind w:firstLine="480" w:firstLineChars="200"/>
        <w:rPr>
          <w:rFonts w:hAnsi="宋体"/>
          <w:color w:val="auto"/>
          <w:sz w:val="24"/>
          <w:highlight w:val="none"/>
        </w:rPr>
      </w:pPr>
      <w:r>
        <w:rPr>
          <w:rFonts w:hAnsi="宋体"/>
          <w:color w:val="auto"/>
          <w:sz w:val="24"/>
          <w:highlight w:val="none"/>
        </w:rPr>
        <w:t>当外部线路可能存在感应电压，继电器本身应采取相应的技术措施，避受继电器误工作。</w:t>
      </w:r>
    </w:p>
    <w:p w14:paraId="643CD663">
      <w:pPr>
        <w:spacing w:line="500" w:lineRule="exact"/>
        <w:ind w:firstLine="480"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柜内照明灯和维护插座：</w:t>
      </w:r>
    </w:p>
    <w:p w14:paraId="26D0AA68">
      <w:pPr>
        <w:spacing w:line="500" w:lineRule="exact"/>
        <w:ind w:firstLine="480" w:firstLineChars="200"/>
        <w:rPr>
          <w:rFonts w:hAnsi="宋体"/>
          <w:color w:val="auto"/>
          <w:sz w:val="24"/>
          <w:highlight w:val="none"/>
        </w:rPr>
      </w:pPr>
      <w:r>
        <w:rPr>
          <w:rFonts w:hAnsi="宋体"/>
          <w:color w:val="auto"/>
          <w:sz w:val="24"/>
          <w:highlight w:val="none"/>
        </w:rPr>
        <w:t>柜内提供可开关的照明灯，灯安装在柜的顶部，要有一个金属保护罩，且与柜门有电气联锁。</w:t>
      </w:r>
    </w:p>
    <w:p w14:paraId="5D3C37F6">
      <w:pPr>
        <w:spacing w:line="500" w:lineRule="exact"/>
        <w:ind w:firstLine="480" w:firstLineChars="200"/>
        <w:rPr>
          <w:rFonts w:hAnsi="宋体"/>
          <w:color w:val="auto"/>
          <w:sz w:val="24"/>
          <w:highlight w:val="none"/>
        </w:rPr>
      </w:pPr>
      <w:r>
        <w:rPr>
          <w:rFonts w:hAnsi="宋体"/>
          <w:color w:val="auto"/>
          <w:sz w:val="24"/>
          <w:highlight w:val="none"/>
        </w:rPr>
        <w:t>柜内提供一个220V 50Hz 15A的维护插座。</w:t>
      </w:r>
    </w:p>
    <w:p w14:paraId="6CA0A1E6">
      <w:pPr>
        <w:spacing w:line="500" w:lineRule="exact"/>
        <w:ind w:firstLine="480" w:firstLineChars="200"/>
        <w:rPr>
          <w:rFonts w:hAnsi="宋体"/>
          <w:color w:val="auto"/>
          <w:sz w:val="24"/>
          <w:highlight w:val="none"/>
        </w:rPr>
      </w:pPr>
      <w:r>
        <w:rPr>
          <w:rFonts w:hint="eastAsia" w:hAnsi="宋体"/>
          <w:color w:val="auto"/>
          <w:sz w:val="24"/>
          <w:highlight w:val="none"/>
        </w:rPr>
        <w:t>（9）</w:t>
      </w:r>
      <w:r>
        <w:rPr>
          <w:rFonts w:hAnsi="宋体"/>
          <w:color w:val="auto"/>
          <w:sz w:val="24"/>
          <w:highlight w:val="none"/>
        </w:rPr>
        <w:t>温度控制</w:t>
      </w:r>
    </w:p>
    <w:p w14:paraId="4BC10449">
      <w:pPr>
        <w:spacing w:line="500" w:lineRule="exact"/>
        <w:ind w:firstLine="480" w:firstLineChars="200"/>
        <w:rPr>
          <w:rFonts w:hAnsi="宋体"/>
          <w:color w:val="auto"/>
          <w:sz w:val="24"/>
          <w:highlight w:val="none"/>
        </w:rPr>
      </w:pPr>
      <w:r>
        <w:rPr>
          <w:rFonts w:hAnsi="宋体"/>
          <w:color w:val="auto"/>
          <w:sz w:val="24"/>
          <w:highlight w:val="none"/>
        </w:rPr>
        <w:t>为了保持柜内温度低于各元件允许的最高温度，要提供强制的通风。</w:t>
      </w:r>
    </w:p>
    <w:p w14:paraId="13558267">
      <w:pPr>
        <w:spacing w:line="500" w:lineRule="exact"/>
        <w:ind w:firstLine="480" w:firstLineChars="200"/>
        <w:rPr>
          <w:rFonts w:hAnsi="宋体"/>
          <w:color w:val="auto"/>
          <w:sz w:val="24"/>
          <w:highlight w:val="none"/>
        </w:rPr>
      </w:pPr>
      <w:r>
        <w:rPr>
          <w:rFonts w:hAnsi="宋体"/>
          <w:color w:val="auto"/>
          <w:sz w:val="24"/>
          <w:highlight w:val="none"/>
        </w:rPr>
        <w:t>风扇为220VAC，50Hz电源来柜内，风扇要有防护手指免受伤害措施。</w:t>
      </w:r>
    </w:p>
    <w:p w14:paraId="7FAD72DB">
      <w:pPr>
        <w:spacing w:line="500" w:lineRule="exact"/>
        <w:ind w:firstLine="480" w:firstLineChars="200"/>
        <w:rPr>
          <w:rFonts w:hAnsi="宋体"/>
          <w:color w:val="auto"/>
          <w:sz w:val="24"/>
          <w:highlight w:val="none"/>
        </w:rPr>
      </w:pPr>
      <w:r>
        <w:rPr>
          <w:rFonts w:hAnsi="宋体"/>
          <w:color w:val="auto"/>
          <w:sz w:val="24"/>
          <w:highlight w:val="none"/>
        </w:rPr>
        <w:t>风扇要有可清洗的滤网，噪声要满足标准要求。</w:t>
      </w:r>
    </w:p>
    <w:p w14:paraId="3E7D5B24">
      <w:pPr>
        <w:spacing w:line="500" w:lineRule="exact"/>
        <w:ind w:firstLine="480" w:firstLineChars="200"/>
        <w:rPr>
          <w:rFonts w:hAnsi="宋体"/>
          <w:color w:val="auto"/>
          <w:sz w:val="24"/>
          <w:highlight w:val="none"/>
        </w:rPr>
      </w:pPr>
      <w:r>
        <w:rPr>
          <w:rFonts w:hAnsi="宋体"/>
          <w:color w:val="auto"/>
          <w:sz w:val="24"/>
          <w:highlight w:val="none"/>
        </w:rPr>
        <w:t>PLC柜要提供通气孔和强制通风，以防止内部安装的设备使得温度过高，除了靠墙安装的柜，一般的柜的通气孔要放在柜的背面，顶部和底部，通气孔被压制成金属片结构，对靠墙安装的设备，通风孔要放在其两侧。</w:t>
      </w:r>
    </w:p>
    <w:p w14:paraId="2CC9847A">
      <w:pPr>
        <w:spacing w:line="500" w:lineRule="exact"/>
        <w:ind w:firstLine="480" w:firstLineChars="200"/>
        <w:rPr>
          <w:rFonts w:hAnsi="宋体"/>
          <w:color w:val="auto"/>
          <w:sz w:val="24"/>
          <w:highlight w:val="none"/>
        </w:rPr>
      </w:pPr>
      <w:r>
        <w:rPr>
          <w:rFonts w:hint="eastAsia" w:hAnsi="宋体"/>
          <w:color w:val="auto"/>
          <w:sz w:val="24"/>
          <w:highlight w:val="none"/>
        </w:rPr>
        <w:t>（10）</w:t>
      </w:r>
      <w:r>
        <w:rPr>
          <w:rFonts w:hAnsi="宋体"/>
          <w:color w:val="auto"/>
          <w:sz w:val="24"/>
          <w:highlight w:val="none"/>
        </w:rPr>
        <w:t>防护等级</w:t>
      </w:r>
    </w:p>
    <w:p w14:paraId="3E980577">
      <w:pPr>
        <w:spacing w:line="500" w:lineRule="exact"/>
        <w:ind w:firstLine="480" w:firstLineChars="200"/>
        <w:rPr>
          <w:rFonts w:hint="eastAsia" w:hAnsi="宋体"/>
          <w:color w:val="auto"/>
          <w:sz w:val="24"/>
          <w:highlight w:val="none"/>
        </w:rPr>
      </w:pPr>
      <w:r>
        <w:rPr>
          <w:rFonts w:hAnsi="宋体"/>
          <w:color w:val="auto"/>
          <w:sz w:val="24"/>
          <w:highlight w:val="none"/>
        </w:rPr>
        <w:t>室内安装IP54；室外安装IP65</w:t>
      </w:r>
    </w:p>
    <w:p w14:paraId="7902CFB8">
      <w:pPr>
        <w:spacing w:line="500" w:lineRule="exact"/>
        <w:rPr>
          <w:rFonts w:hint="eastAsia" w:hAnsi="宋体" w:eastAsia="宋体"/>
          <w:b/>
          <w:bCs/>
          <w:color w:val="auto"/>
          <w:sz w:val="24"/>
          <w:highlight w:val="none"/>
          <w:lang w:val="en-US" w:eastAsia="zh-CN"/>
        </w:rPr>
      </w:pPr>
      <w:r>
        <w:rPr>
          <w:rFonts w:hint="eastAsia" w:hAnsi="宋体"/>
          <w:b/>
          <w:bCs/>
          <w:color w:val="auto"/>
          <w:sz w:val="24"/>
          <w:highlight w:val="none"/>
          <w:lang w:val="en-US" w:eastAsia="zh-CN"/>
        </w:rPr>
        <w:t>9.4 软件</w:t>
      </w:r>
    </w:p>
    <w:p w14:paraId="08839C49">
      <w:pPr>
        <w:spacing w:line="500" w:lineRule="exact"/>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软件综述</w:t>
      </w:r>
    </w:p>
    <w:p w14:paraId="366CE901">
      <w:pPr>
        <w:spacing w:line="500" w:lineRule="exact"/>
        <w:ind w:firstLine="480" w:firstLineChars="200"/>
        <w:rPr>
          <w:rFonts w:hAnsi="宋体"/>
          <w:color w:val="auto"/>
          <w:sz w:val="24"/>
          <w:highlight w:val="none"/>
        </w:rPr>
      </w:pPr>
      <w:r>
        <w:rPr>
          <w:rFonts w:hAnsi="宋体"/>
          <w:color w:val="auto"/>
          <w:sz w:val="24"/>
          <w:highlight w:val="none"/>
        </w:rPr>
        <w:t>全部软件均为中文版，运行于Microsoft Windows环境，软件的可选组件也应适用于本工程。</w:t>
      </w:r>
    </w:p>
    <w:p w14:paraId="694ED15C">
      <w:pPr>
        <w:spacing w:line="500" w:lineRule="exact"/>
        <w:ind w:firstLine="482" w:firstLineChars="200"/>
        <w:rPr>
          <w:rFonts w:hAnsi="宋体"/>
          <w:color w:val="auto"/>
          <w:sz w:val="24"/>
          <w:highlight w:val="none"/>
        </w:rPr>
      </w:pPr>
      <w:r>
        <w:rPr>
          <w:rFonts w:hint="eastAsia" w:ascii="宋体" w:hAnsi="宋体" w:cs="仿宋_GB2312"/>
          <w:b/>
          <w:kern w:val="0"/>
          <w:sz w:val="24"/>
          <w:lang w:val="zh-CN"/>
        </w:rPr>
        <w:t>●</w:t>
      </w:r>
      <w:r>
        <w:rPr>
          <w:rFonts w:hAnsi="宋体"/>
          <w:color w:val="auto"/>
          <w:sz w:val="24"/>
          <w:highlight w:val="none"/>
        </w:rPr>
        <w:t>投标人所提供的所有软件必须是有授权的、正版可升级的软件。</w:t>
      </w:r>
    </w:p>
    <w:p w14:paraId="0DF476E0">
      <w:pPr>
        <w:spacing w:line="500" w:lineRule="exact"/>
        <w:ind w:firstLine="480" w:firstLineChars="200"/>
        <w:rPr>
          <w:rFonts w:hAnsi="宋体"/>
          <w:color w:val="auto"/>
          <w:sz w:val="24"/>
          <w:highlight w:val="none"/>
        </w:rPr>
      </w:pPr>
      <w:r>
        <w:rPr>
          <w:rFonts w:hAnsi="宋体"/>
          <w:color w:val="auto"/>
          <w:sz w:val="24"/>
          <w:highlight w:val="none"/>
        </w:rPr>
        <w:t>管理控制系统的每台主机的软件应至少包括下列单元模块：</w:t>
      </w:r>
    </w:p>
    <w:p w14:paraId="4435DCED">
      <w:pPr>
        <w:spacing w:line="500" w:lineRule="exact"/>
        <w:ind w:firstLine="480" w:firstLineChars="200"/>
        <w:rPr>
          <w:rFonts w:hAnsi="宋体"/>
          <w:color w:val="auto"/>
          <w:sz w:val="24"/>
          <w:highlight w:val="none"/>
        </w:rPr>
      </w:pPr>
      <w:r>
        <w:rPr>
          <w:rFonts w:hAnsi="宋体"/>
          <w:color w:val="auto"/>
          <w:sz w:val="24"/>
          <w:highlight w:val="none"/>
        </w:rPr>
        <w:t>全套计算机运行软件系统（含组态软件、应用软件、数据库等）。</w:t>
      </w:r>
    </w:p>
    <w:p w14:paraId="7CA1FE03">
      <w:pPr>
        <w:spacing w:line="500" w:lineRule="exact"/>
        <w:ind w:firstLine="480" w:firstLineChars="200"/>
        <w:rPr>
          <w:rFonts w:hAnsi="宋体"/>
          <w:color w:val="auto"/>
          <w:sz w:val="24"/>
          <w:highlight w:val="none"/>
        </w:rPr>
      </w:pPr>
      <w:r>
        <w:rPr>
          <w:rFonts w:hAnsi="宋体"/>
          <w:color w:val="auto"/>
          <w:sz w:val="24"/>
          <w:highlight w:val="none"/>
        </w:rPr>
        <w:t>全套的管理接口和管理控制软件系统。</w:t>
      </w:r>
    </w:p>
    <w:p w14:paraId="1C200CE1">
      <w:pPr>
        <w:spacing w:line="500" w:lineRule="exact"/>
        <w:ind w:firstLine="480" w:firstLineChars="200"/>
        <w:rPr>
          <w:rFonts w:hAnsi="宋体"/>
          <w:color w:val="auto"/>
          <w:sz w:val="24"/>
          <w:highlight w:val="none"/>
        </w:rPr>
      </w:pPr>
      <w:r>
        <w:rPr>
          <w:rFonts w:hAnsi="宋体"/>
          <w:color w:val="auto"/>
          <w:sz w:val="24"/>
          <w:highlight w:val="none"/>
        </w:rPr>
        <w:t>全套数据处理和记录软件系统。</w:t>
      </w:r>
    </w:p>
    <w:p w14:paraId="197C2F5E">
      <w:pPr>
        <w:spacing w:line="500" w:lineRule="exact"/>
        <w:ind w:firstLine="480" w:firstLineChars="200"/>
        <w:rPr>
          <w:rFonts w:hAnsi="宋体"/>
          <w:color w:val="auto"/>
          <w:sz w:val="24"/>
          <w:highlight w:val="none"/>
        </w:rPr>
      </w:pPr>
      <w:r>
        <w:rPr>
          <w:rFonts w:hAnsi="宋体"/>
          <w:color w:val="auto"/>
          <w:sz w:val="24"/>
          <w:highlight w:val="none"/>
        </w:rPr>
        <w:t>全套系统再生、修复、数据备份的软件系统。</w:t>
      </w:r>
    </w:p>
    <w:p w14:paraId="3FD65A99">
      <w:pPr>
        <w:spacing w:line="500" w:lineRule="exact"/>
        <w:ind w:firstLine="480" w:firstLineChars="200"/>
        <w:rPr>
          <w:rFonts w:hAnsi="宋体"/>
          <w:color w:val="auto"/>
          <w:sz w:val="24"/>
          <w:highlight w:val="none"/>
        </w:rPr>
      </w:pPr>
      <w:r>
        <w:rPr>
          <w:rFonts w:hAnsi="宋体"/>
          <w:color w:val="auto"/>
          <w:sz w:val="24"/>
          <w:highlight w:val="none"/>
        </w:rPr>
        <w:t>标准计算机数据处理软件、接口软件、数据处理软件如文字处理、数据库、电子制表、图象处理软件等。</w:t>
      </w:r>
    </w:p>
    <w:p w14:paraId="6C5FACA0">
      <w:pPr>
        <w:spacing w:line="50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监控组态软件</w:t>
      </w:r>
    </w:p>
    <w:p w14:paraId="4ECBD3C9">
      <w:pPr>
        <w:spacing w:line="500" w:lineRule="exact"/>
        <w:ind w:firstLine="482" w:firstLineChars="200"/>
        <w:rPr>
          <w:rFonts w:hAnsi="宋体"/>
          <w:color w:val="auto"/>
          <w:sz w:val="24"/>
          <w:highlight w:val="none"/>
        </w:rPr>
      </w:pPr>
      <w:r>
        <w:rPr>
          <w:rFonts w:hint="eastAsia" w:ascii="宋体" w:hAnsi="宋体" w:cs="仿宋_GB2312"/>
          <w:b/>
          <w:kern w:val="0"/>
          <w:sz w:val="24"/>
          <w:lang w:val="zh-CN"/>
        </w:rPr>
        <w:t>●</w:t>
      </w:r>
      <w:r>
        <w:rPr>
          <w:rFonts w:hAnsi="宋体"/>
          <w:color w:val="auto"/>
          <w:sz w:val="24"/>
          <w:highlight w:val="none"/>
        </w:rPr>
        <w:t>系统监控组态软件运行于工程师站及操作员站，必须提供一套符合本规范所有需求的SCADA主系统。应提供软件厂家正版授权标识。</w:t>
      </w:r>
    </w:p>
    <w:p w14:paraId="6ACBF5FD">
      <w:pPr>
        <w:spacing w:line="500" w:lineRule="exact"/>
        <w:ind w:firstLine="480" w:firstLineChars="200"/>
        <w:rPr>
          <w:rFonts w:hAnsi="宋体"/>
          <w:color w:val="auto"/>
          <w:sz w:val="24"/>
          <w:highlight w:val="none"/>
        </w:rPr>
      </w:pPr>
      <w:r>
        <w:rPr>
          <w:rFonts w:hAnsi="宋体"/>
          <w:color w:val="auto"/>
          <w:sz w:val="24"/>
          <w:highlight w:val="none"/>
        </w:rPr>
        <w:t>应该具有全图形化界面、全集成、面向对象的开发方式，使得系统开发人员使用方便、简单易学。功能覆盖广，软件组合灵活，高效性、内在结构和机制的先进性应确保用户可快速开发出实用而有效的自动化监控系统。系统应支持在各种语言版本的操作系统上运行，可在画面中同时使用汉字及其他多国文字和符号，具备全中文的开发和运行环境。工程师／操作员站监控、组态必须的软件均基于Windows系列操作系统，且必须提供Windows下的在线帮助功能。使用该系列软件开发出的工程应具备项目文件备份功能，并且应支持工程文件口令保护。工程师站应可对整个系统设置安全管理。支持使用用户，权限，优先级，安全区的方式为用户提供安全验证。以下内容是对监控组态软件的具体要求：</w:t>
      </w:r>
    </w:p>
    <w:p w14:paraId="0C144D5E">
      <w:pPr>
        <w:spacing w:line="500" w:lineRule="exact"/>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IO采集要求</w:t>
      </w:r>
    </w:p>
    <w:p w14:paraId="3EF1D875">
      <w:pPr>
        <w:spacing w:line="500" w:lineRule="exact"/>
        <w:ind w:firstLine="480" w:firstLineChars="200"/>
        <w:rPr>
          <w:rFonts w:hint="eastAsia" w:hAnsi="宋体"/>
          <w:color w:val="auto"/>
          <w:sz w:val="24"/>
          <w:highlight w:val="none"/>
          <w:lang w:val="zh-CN"/>
        </w:rPr>
      </w:pPr>
      <w:r>
        <w:rPr>
          <w:rFonts w:hint="eastAsia" w:hAnsi="宋体"/>
          <w:color w:val="auto"/>
          <w:sz w:val="24"/>
          <w:highlight w:val="none"/>
          <w:lang w:val="zh-CN"/>
        </w:rPr>
        <w:t>（</w:t>
      </w:r>
      <w:r>
        <w:rPr>
          <w:rFonts w:hint="eastAsia" w:hAnsi="宋体"/>
          <w:color w:val="auto"/>
          <w:sz w:val="24"/>
          <w:highlight w:val="none"/>
        </w:rPr>
        <w:t>1</w:t>
      </w:r>
      <w:r>
        <w:rPr>
          <w:rFonts w:hint="eastAsia" w:hAnsi="宋体"/>
          <w:color w:val="auto"/>
          <w:sz w:val="24"/>
          <w:highlight w:val="none"/>
          <w:lang w:val="zh-CN"/>
        </w:rPr>
        <w:t>）采集全厂各个生产过程的工艺参数、电气设备运行状态和电气参数等信息。（2）生产过程监视功能：通过监控管理计算机动态（有动态的实时参数值）显示全厂平面图、全厂总工艺流程图、局部工艺流程（剖面）图、供电系统图，以及工艺参数、电气参数、电气设备（如机泵）运行状态、事故报警显示的各种数据图表。（3）控制功能：操作员通过操作站可用键盘或鼠标对有关设备进行手动操作。控制系统对工艺过程和控制设备按运行程序要求自动进行控制与调节，各个自动运行程序的工艺参数、控制参数可以设定。4）报警功能：系统对生产状况实时数据进行监控分析以对设备及工艺过程中发生故障时发出警报，显示故障点和故障状态，按照报警等级做出相应反应，记录故障信息。提供的报警日志可以记录事件，信息和报警。并且可以根据要求对相应内容进行归档，触发相应动作等。（5）安全操作功能：提供的用户管理器允许设置用户权限。针对不同的操作者设置相应的加密等级，记录操作员及操作信息。（6）生产数据管理功能：根据采集到的信息，建立各种信息数据库，保存工艺参数、电气参数、电气设备运行数据、控制数据、报警数据、故障数据。自动生成历史数据库，并对各类工艺参数做出趋势曲线（历史数据）。完成数据传送和报表打印。供调度员分析比较，以便找出污水处理厂的最佳运行规律，为生产管理、事故分析、工艺控制寻优、改进管理方法、保证出水水质、提高经济效益等提供可靠的依据。</w:t>
      </w:r>
    </w:p>
    <w:p w14:paraId="6BBCBE7C">
      <w:pPr>
        <w:spacing w:line="500" w:lineRule="exact"/>
        <w:ind w:firstLine="480" w:firstLineChars="200"/>
        <w:rPr>
          <w:rFonts w:hAnsi="宋体"/>
          <w:color w:val="auto"/>
          <w:sz w:val="24"/>
          <w:highlight w:val="none"/>
        </w:rPr>
      </w:pPr>
      <w:r>
        <w:rPr>
          <w:rFonts w:hAnsi="宋体"/>
          <w:color w:val="auto"/>
          <w:sz w:val="24"/>
          <w:highlight w:val="none"/>
        </w:rPr>
        <w:t>数据采集方面，必须同时支持与多个厂家多种型号PLC的通讯，具有很强的兼容性，以方便项目硬件设备选型和以后硬件系统升级改造。</w:t>
      </w:r>
    </w:p>
    <w:p w14:paraId="2C936D92">
      <w:pPr>
        <w:spacing w:line="500" w:lineRule="exact"/>
        <w:ind w:firstLine="480" w:firstLineChars="200"/>
        <w:rPr>
          <w:rFonts w:hAnsi="宋体"/>
          <w:color w:val="auto"/>
          <w:sz w:val="24"/>
          <w:highlight w:val="none"/>
        </w:rPr>
      </w:pPr>
      <w:r>
        <w:rPr>
          <w:rFonts w:hAnsi="宋体"/>
          <w:color w:val="auto"/>
          <w:sz w:val="24"/>
          <w:highlight w:val="none"/>
        </w:rPr>
        <w:t>应支持同时采集各种PLC、仪表、变频器、板卡、RTU等设备的数据；应支持电话拨号、电台、GPRS、VPN等远程多种通讯方式。</w:t>
      </w:r>
    </w:p>
    <w:p w14:paraId="48AA5B3E">
      <w:pPr>
        <w:spacing w:line="500" w:lineRule="exact"/>
        <w:ind w:firstLine="480" w:firstLineChars="200"/>
        <w:rPr>
          <w:rFonts w:hAnsi="宋体"/>
          <w:color w:val="auto"/>
          <w:sz w:val="24"/>
          <w:highlight w:val="none"/>
        </w:rPr>
      </w:pPr>
      <w:r>
        <w:rPr>
          <w:rFonts w:hAnsi="宋体"/>
          <w:color w:val="auto"/>
          <w:sz w:val="24"/>
          <w:highlight w:val="none"/>
        </w:rPr>
        <w:t>在数据的采集技术上，必须支持数据缓冲和块传输。</w:t>
      </w:r>
    </w:p>
    <w:p w14:paraId="4AA2D4DF">
      <w:pPr>
        <w:spacing w:line="500" w:lineRule="exact"/>
        <w:ind w:firstLine="480" w:firstLineChars="200"/>
        <w:rPr>
          <w:rFonts w:hAnsi="宋体"/>
          <w:color w:val="auto"/>
          <w:sz w:val="24"/>
          <w:highlight w:val="none"/>
        </w:rPr>
      </w:pPr>
      <w:r>
        <w:rPr>
          <w:rFonts w:hAnsi="宋体"/>
          <w:color w:val="auto"/>
          <w:sz w:val="24"/>
          <w:highlight w:val="none"/>
        </w:rPr>
        <w:t>数据采集站系统必须具备在通讯故障或者网络缓慢时，能够将数据进行存储缓冲处理，以缓解网络负荷，从而提高整个系统的性能。</w:t>
      </w:r>
    </w:p>
    <w:p w14:paraId="5254F6A2">
      <w:pPr>
        <w:spacing w:line="500" w:lineRule="exact"/>
        <w:ind w:firstLine="480" w:firstLineChars="200"/>
        <w:rPr>
          <w:rFonts w:hAnsi="宋体"/>
          <w:color w:val="auto"/>
          <w:sz w:val="24"/>
          <w:highlight w:val="none"/>
        </w:rPr>
      </w:pPr>
      <w:r>
        <w:rPr>
          <w:rFonts w:hAnsi="宋体"/>
          <w:color w:val="auto"/>
          <w:sz w:val="24"/>
          <w:highlight w:val="none"/>
        </w:rPr>
        <w:t>系统数据的传输应采用高效的块传输机制，数据块作为通讯的最小单元，应可由用户自定义采集频率，合理进行打包处理，以提高采集效率。</w:t>
      </w:r>
    </w:p>
    <w:p w14:paraId="69F60F2E">
      <w:pPr>
        <w:spacing w:line="500" w:lineRule="exact"/>
        <w:ind w:firstLine="480" w:firstLineChars="200"/>
        <w:rPr>
          <w:rFonts w:hAnsi="宋体"/>
          <w:color w:val="auto"/>
          <w:sz w:val="24"/>
          <w:highlight w:val="none"/>
        </w:rPr>
      </w:pPr>
      <w:r>
        <w:rPr>
          <w:rFonts w:hAnsi="宋体"/>
          <w:color w:val="auto"/>
          <w:sz w:val="24"/>
          <w:highlight w:val="none"/>
        </w:rPr>
        <w:t>在数据的采集技术上，应具备相位采集功能。</w:t>
      </w:r>
    </w:p>
    <w:p w14:paraId="1BC7D500">
      <w:pPr>
        <w:spacing w:line="500" w:lineRule="exact"/>
        <w:ind w:firstLine="480" w:firstLineChars="200"/>
        <w:rPr>
          <w:rFonts w:hAnsi="宋体"/>
          <w:color w:val="auto"/>
          <w:sz w:val="24"/>
          <w:highlight w:val="none"/>
        </w:rPr>
      </w:pPr>
      <w:r>
        <w:rPr>
          <w:rFonts w:hAnsi="宋体"/>
          <w:color w:val="auto"/>
          <w:sz w:val="24"/>
          <w:highlight w:val="none"/>
        </w:rPr>
        <w:t>数据采集必须支持在线组态功能，能够在线添加、删除、编辑站点或者数据点。</w:t>
      </w:r>
    </w:p>
    <w:p w14:paraId="0C69AB21">
      <w:pPr>
        <w:spacing w:line="500" w:lineRule="exact"/>
        <w:ind w:firstLine="480" w:firstLineChars="200"/>
        <w:rPr>
          <w:rFonts w:hAnsi="宋体"/>
          <w:color w:val="auto"/>
          <w:sz w:val="24"/>
          <w:highlight w:val="none"/>
        </w:rPr>
      </w:pPr>
      <w:r>
        <w:rPr>
          <w:rFonts w:hAnsi="宋体"/>
          <w:color w:val="auto"/>
          <w:sz w:val="24"/>
          <w:highlight w:val="none"/>
        </w:rPr>
        <w:t>必须支持在线监视和故障诊断。当某个数据点或者站点发生数据传输故障时，能够产生报警，通知相应人员进行处理。</w:t>
      </w:r>
    </w:p>
    <w:p w14:paraId="48CAE9B4">
      <w:pPr>
        <w:spacing w:line="500" w:lineRule="exact"/>
        <w:ind w:firstLine="480" w:firstLineChars="200"/>
        <w:rPr>
          <w:rFonts w:hAnsi="宋体"/>
          <w:color w:val="auto"/>
          <w:sz w:val="24"/>
          <w:highlight w:val="none"/>
        </w:rPr>
      </w:pPr>
      <w:r>
        <w:rPr>
          <w:rFonts w:hAnsi="宋体"/>
          <w:color w:val="auto"/>
          <w:sz w:val="24"/>
          <w:highlight w:val="none"/>
        </w:rPr>
        <w:t>应支持多种冗余方式。必须支持双链路冗余、双设备冗余、双机热备，应具备专用的冗余探测通道，冗余切换时间应小于1秒。</w:t>
      </w:r>
    </w:p>
    <w:p w14:paraId="26545AEB">
      <w:pPr>
        <w:spacing w:line="50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开发环境要求</w:t>
      </w:r>
    </w:p>
    <w:p w14:paraId="043E25AA">
      <w:pPr>
        <w:spacing w:line="500" w:lineRule="exact"/>
        <w:ind w:firstLine="480" w:firstLineChars="200"/>
        <w:rPr>
          <w:rFonts w:hAnsi="宋体"/>
          <w:color w:val="auto"/>
          <w:sz w:val="24"/>
          <w:highlight w:val="none"/>
        </w:rPr>
      </w:pPr>
      <w:r>
        <w:rPr>
          <w:rFonts w:hAnsi="宋体"/>
          <w:color w:val="auto"/>
          <w:sz w:val="24"/>
          <w:highlight w:val="none"/>
        </w:rPr>
        <w:t>大画面和无极缩放</w:t>
      </w:r>
    </w:p>
    <w:p w14:paraId="189AC5B5">
      <w:pPr>
        <w:spacing w:line="500" w:lineRule="exact"/>
        <w:ind w:firstLine="480" w:firstLineChars="200"/>
        <w:rPr>
          <w:rFonts w:hAnsi="宋体"/>
          <w:color w:val="auto"/>
          <w:sz w:val="24"/>
          <w:highlight w:val="none"/>
        </w:rPr>
      </w:pPr>
      <w:r>
        <w:rPr>
          <w:rFonts w:hAnsi="宋体"/>
          <w:color w:val="auto"/>
          <w:sz w:val="24"/>
          <w:highlight w:val="none"/>
        </w:rPr>
        <w:t>开发系统应支持大画面的设计，支持大画面应达到30000*30000分辨率。</w:t>
      </w:r>
    </w:p>
    <w:p w14:paraId="3907F1CC">
      <w:pPr>
        <w:spacing w:line="500" w:lineRule="exact"/>
        <w:ind w:firstLine="480" w:firstLineChars="200"/>
        <w:rPr>
          <w:rFonts w:hAnsi="宋体"/>
          <w:color w:val="auto"/>
          <w:sz w:val="24"/>
          <w:highlight w:val="none"/>
        </w:rPr>
      </w:pPr>
      <w:r>
        <w:rPr>
          <w:rFonts w:hAnsi="宋体"/>
          <w:color w:val="auto"/>
          <w:sz w:val="24"/>
          <w:highlight w:val="none"/>
        </w:rPr>
        <w:t>开发系统应支持在开发环境中进行画面的无极缩放，能够无限的放大或缩小可视空间并且缩放比例不失真，方便工程开发人员的画面开发组态。</w:t>
      </w:r>
    </w:p>
    <w:p w14:paraId="233F4613">
      <w:pPr>
        <w:spacing w:line="500" w:lineRule="exact"/>
        <w:ind w:firstLine="480" w:firstLineChars="200"/>
        <w:rPr>
          <w:rFonts w:hAnsi="宋体"/>
          <w:color w:val="auto"/>
          <w:sz w:val="24"/>
          <w:highlight w:val="none"/>
        </w:rPr>
      </w:pPr>
      <w:r>
        <w:rPr>
          <w:rFonts w:hAnsi="宋体"/>
          <w:color w:val="auto"/>
          <w:sz w:val="24"/>
          <w:highlight w:val="none"/>
        </w:rPr>
        <w:t>画图工具和图库</w:t>
      </w:r>
    </w:p>
    <w:p w14:paraId="6B27C5E2">
      <w:pPr>
        <w:spacing w:line="500" w:lineRule="exact"/>
        <w:ind w:firstLine="480" w:firstLineChars="200"/>
        <w:rPr>
          <w:rFonts w:hAnsi="宋体"/>
          <w:color w:val="auto"/>
          <w:sz w:val="24"/>
          <w:highlight w:val="none"/>
        </w:rPr>
      </w:pPr>
      <w:r>
        <w:rPr>
          <w:rFonts w:hAnsi="宋体"/>
          <w:color w:val="auto"/>
          <w:sz w:val="24"/>
          <w:highlight w:val="none"/>
        </w:rPr>
        <w:t>软件应提供方便的画图工具和丰富的动画连接。</w:t>
      </w:r>
    </w:p>
    <w:p w14:paraId="5654D671">
      <w:pPr>
        <w:spacing w:line="500" w:lineRule="exact"/>
        <w:ind w:firstLine="480" w:firstLineChars="200"/>
        <w:rPr>
          <w:rFonts w:hAnsi="宋体"/>
          <w:color w:val="auto"/>
          <w:sz w:val="24"/>
          <w:highlight w:val="none"/>
        </w:rPr>
      </w:pPr>
      <w:r>
        <w:rPr>
          <w:rFonts w:hAnsi="宋体"/>
          <w:color w:val="auto"/>
          <w:sz w:val="24"/>
          <w:highlight w:val="none"/>
        </w:rPr>
        <w:t>软件应具有专门针对市政行业的图库(如闸门，水泵，管道等)，必须内嵌动画链接和逻辑控制，为工程开发提供强大的资源。</w:t>
      </w:r>
    </w:p>
    <w:p w14:paraId="728541EE">
      <w:pPr>
        <w:spacing w:line="500" w:lineRule="exact"/>
        <w:ind w:firstLine="480" w:firstLineChars="200"/>
        <w:rPr>
          <w:rFonts w:hAnsi="宋体"/>
          <w:color w:val="auto"/>
          <w:sz w:val="24"/>
          <w:highlight w:val="none"/>
        </w:rPr>
      </w:pPr>
      <w:r>
        <w:rPr>
          <w:rFonts w:hAnsi="宋体"/>
          <w:color w:val="auto"/>
          <w:sz w:val="24"/>
          <w:highlight w:val="none"/>
        </w:rPr>
        <w:t>软件应支持用户对现有图库进行编辑、修改、保存，并且应支持用户自己开发图库。</w:t>
      </w:r>
    </w:p>
    <w:p w14:paraId="4183C00C">
      <w:pPr>
        <w:spacing w:line="500" w:lineRule="exact"/>
        <w:ind w:firstLine="480" w:firstLineChars="200"/>
        <w:rPr>
          <w:rFonts w:hAnsi="宋体"/>
          <w:color w:val="auto"/>
          <w:sz w:val="24"/>
          <w:highlight w:val="none"/>
        </w:rPr>
      </w:pPr>
      <w:r>
        <w:rPr>
          <w:rFonts w:hAnsi="宋体"/>
          <w:color w:val="auto"/>
          <w:sz w:val="24"/>
          <w:highlight w:val="none"/>
        </w:rPr>
        <w:t>工程管理</w:t>
      </w:r>
    </w:p>
    <w:p w14:paraId="1F46BE7F">
      <w:pPr>
        <w:spacing w:line="500" w:lineRule="exact"/>
        <w:ind w:firstLine="480" w:firstLineChars="200"/>
        <w:rPr>
          <w:rFonts w:hAnsi="宋体"/>
          <w:color w:val="auto"/>
          <w:sz w:val="24"/>
          <w:highlight w:val="none"/>
        </w:rPr>
      </w:pPr>
      <w:r>
        <w:rPr>
          <w:rFonts w:hAnsi="宋体"/>
          <w:color w:val="auto"/>
          <w:sz w:val="24"/>
          <w:highlight w:val="none"/>
        </w:rPr>
        <w:t>开发环境应该采用项目树，使程序生成灵活，程序组织清晰明了。</w:t>
      </w:r>
    </w:p>
    <w:p w14:paraId="7AFBD3C6">
      <w:pPr>
        <w:spacing w:line="500" w:lineRule="exact"/>
        <w:ind w:firstLine="480" w:firstLineChars="200"/>
        <w:rPr>
          <w:rFonts w:hAnsi="宋体"/>
          <w:color w:val="auto"/>
          <w:sz w:val="24"/>
          <w:highlight w:val="none"/>
        </w:rPr>
      </w:pPr>
      <w:r>
        <w:rPr>
          <w:rFonts w:hAnsi="宋体"/>
          <w:color w:val="auto"/>
          <w:sz w:val="24"/>
          <w:highlight w:val="none"/>
        </w:rPr>
        <w:t>应支持多个工程同时进行开发组态，开发过程中可以在工程之间任意切换，工程应支持导入\导出功能。应支持多工程之间资源共享（如画面拷贝、变量拷贝等）。</w:t>
      </w:r>
    </w:p>
    <w:p w14:paraId="0DA39644">
      <w:pPr>
        <w:spacing w:line="500" w:lineRule="exact"/>
        <w:ind w:firstLine="480" w:firstLineChars="200"/>
        <w:rPr>
          <w:rFonts w:hAnsi="宋体"/>
          <w:color w:val="auto"/>
          <w:sz w:val="24"/>
          <w:highlight w:val="none"/>
        </w:rPr>
      </w:pPr>
      <w:r>
        <w:rPr>
          <w:rFonts w:hAnsi="宋体"/>
          <w:color w:val="auto"/>
          <w:sz w:val="24"/>
          <w:highlight w:val="none"/>
        </w:rPr>
        <w:t>根据应用场景不同，工程应能够直接进行多语言切换。</w:t>
      </w:r>
    </w:p>
    <w:p w14:paraId="5C8CA295">
      <w:pPr>
        <w:spacing w:line="500" w:lineRule="exact"/>
        <w:ind w:firstLine="480" w:firstLineChars="200"/>
        <w:rPr>
          <w:rFonts w:hAnsi="宋体"/>
          <w:color w:val="auto"/>
          <w:sz w:val="24"/>
          <w:highlight w:val="none"/>
        </w:rPr>
      </w:pPr>
      <w:r>
        <w:rPr>
          <w:rFonts w:hAnsi="宋体"/>
          <w:color w:val="auto"/>
          <w:sz w:val="24"/>
          <w:highlight w:val="none"/>
        </w:rPr>
        <w:t>开发环境生成的工程，应该支持口令保护。应具有项目文件备份功能。</w:t>
      </w:r>
    </w:p>
    <w:p w14:paraId="0289EEF1">
      <w:pPr>
        <w:spacing w:line="500" w:lineRule="exact"/>
        <w:ind w:firstLine="480" w:firstLineChars="200"/>
        <w:rPr>
          <w:rFonts w:hAnsi="宋体"/>
          <w:color w:val="auto"/>
          <w:sz w:val="24"/>
          <w:highlight w:val="none"/>
        </w:rPr>
      </w:pPr>
      <w:r>
        <w:rPr>
          <w:rFonts w:hAnsi="宋体"/>
          <w:color w:val="auto"/>
          <w:sz w:val="24"/>
          <w:highlight w:val="none"/>
        </w:rPr>
        <w:t>数据模型和图形模型</w:t>
      </w:r>
    </w:p>
    <w:p w14:paraId="7351A517">
      <w:pPr>
        <w:spacing w:line="500" w:lineRule="exact"/>
        <w:ind w:firstLine="480" w:firstLineChars="200"/>
        <w:rPr>
          <w:rFonts w:hAnsi="宋体"/>
          <w:color w:val="auto"/>
          <w:sz w:val="24"/>
          <w:highlight w:val="none"/>
        </w:rPr>
      </w:pPr>
      <w:r>
        <w:rPr>
          <w:rFonts w:hAnsi="宋体"/>
          <w:color w:val="auto"/>
          <w:sz w:val="24"/>
          <w:highlight w:val="none"/>
        </w:rPr>
        <w:t>开发环境中应使用数据模型和图形模型的概念。</w:t>
      </w:r>
    </w:p>
    <w:p w14:paraId="66359049">
      <w:pPr>
        <w:spacing w:line="500" w:lineRule="exact"/>
        <w:ind w:firstLine="480" w:firstLineChars="200"/>
        <w:rPr>
          <w:rFonts w:hAnsi="宋体"/>
          <w:color w:val="auto"/>
          <w:sz w:val="24"/>
          <w:highlight w:val="none"/>
        </w:rPr>
      </w:pPr>
      <w:r>
        <w:rPr>
          <w:rFonts w:hAnsi="宋体"/>
          <w:color w:val="auto"/>
          <w:sz w:val="24"/>
          <w:highlight w:val="none"/>
        </w:rPr>
        <w:t>通过数据数据模型实现快速创建变量和逻辑计算处理。</w:t>
      </w:r>
    </w:p>
    <w:p w14:paraId="657CAB83">
      <w:pPr>
        <w:spacing w:line="500" w:lineRule="exact"/>
        <w:ind w:firstLine="480" w:firstLineChars="200"/>
        <w:rPr>
          <w:rFonts w:hAnsi="宋体"/>
          <w:color w:val="auto"/>
          <w:sz w:val="24"/>
          <w:highlight w:val="none"/>
        </w:rPr>
      </w:pPr>
      <w:r>
        <w:rPr>
          <w:rFonts w:hAnsi="宋体"/>
          <w:color w:val="auto"/>
          <w:sz w:val="24"/>
          <w:highlight w:val="none"/>
        </w:rPr>
        <w:t>通过图形模型实现快速组态已经制作好的带有动画和逻辑脚本的图形对象。</w:t>
      </w:r>
    </w:p>
    <w:p w14:paraId="51FC8517">
      <w:pPr>
        <w:spacing w:line="500" w:lineRule="exact"/>
        <w:ind w:firstLine="480" w:firstLineChars="200"/>
        <w:rPr>
          <w:rFonts w:hAnsi="宋体"/>
          <w:color w:val="auto"/>
          <w:sz w:val="24"/>
          <w:highlight w:val="none"/>
        </w:rPr>
      </w:pPr>
      <w:r>
        <w:rPr>
          <w:rFonts w:hAnsi="宋体"/>
          <w:color w:val="auto"/>
          <w:sz w:val="24"/>
          <w:highlight w:val="none"/>
        </w:rPr>
        <w:t>修改模型的属性应具备属性传播到实例化对象中的功能。</w:t>
      </w:r>
    </w:p>
    <w:p w14:paraId="7FBD925A">
      <w:pPr>
        <w:spacing w:line="500" w:lineRule="exact"/>
        <w:ind w:firstLine="480" w:firstLineChars="200"/>
        <w:rPr>
          <w:rFonts w:hAnsi="宋体"/>
          <w:color w:val="auto"/>
          <w:sz w:val="24"/>
          <w:highlight w:val="none"/>
        </w:rPr>
      </w:pPr>
      <w:r>
        <w:rPr>
          <w:rFonts w:hAnsi="宋体"/>
          <w:color w:val="auto"/>
          <w:sz w:val="24"/>
          <w:highlight w:val="none"/>
        </w:rPr>
        <w:t>脚本语言和变量</w:t>
      </w:r>
    </w:p>
    <w:p w14:paraId="754E2314">
      <w:pPr>
        <w:spacing w:line="500" w:lineRule="exact"/>
        <w:ind w:firstLine="480" w:firstLineChars="200"/>
        <w:rPr>
          <w:rFonts w:hAnsi="宋体"/>
          <w:color w:val="auto"/>
          <w:sz w:val="24"/>
          <w:highlight w:val="none"/>
        </w:rPr>
      </w:pPr>
      <w:r>
        <w:rPr>
          <w:rFonts w:hAnsi="宋体"/>
          <w:color w:val="auto"/>
          <w:sz w:val="24"/>
          <w:highlight w:val="none"/>
        </w:rPr>
        <w:t>软件应支持全中文的脚本开发语言。</w:t>
      </w:r>
    </w:p>
    <w:p w14:paraId="61065542">
      <w:pPr>
        <w:spacing w:line="500" w:lineRule="exact"/>
        <w:ind w:firstLine="480" w:firstLineChars="200"/>
        <w:rPr>
          <w:rFonts w:hAnsi="宋体"/>
          <w:color w:val="auto"/>
          <w:sz w:val="24"/>
          <w:highlight w:val="none"/>
        </w:rPr>
      </w:pPr>
      <w:r>
        <w:rPr>
          <w:rFonts w:hAnsi="宋体"/>
          <w:color w:val="auto"/>
          <w:sz w:val="24"/>
          <w:highlight w:val="none"/>
        </w:rPr>
        <w:t>开发环境应支持类C语言基础语言作为内置编程语言，支持对象的脚本提示帮助功能，能够将对象的属性和方法列举出来方便选择。脚本环境应能够便利的进行注释、缩进以及提供语法提亮功能。</w:t>
      </w:r>
    </w:p>
    <w:p w14:paraId="5F68692F">
      <w:pPr>
        <w:spacing w:line="500" w:lineRule="exact"/>
        <w:ind w:firstLine="480" w:firstLineChars="200"/>
        <w:rPr>
          <w:rFonts w:hAnsi="宋体"/>
          <w:color w:val="auto"/>
          <w:sz w:val="24"/>
          <w:highlight w:val="none"/>
        </w:rPr>
      </w:pPr>
      <w:r>
        <w:rPr>
          <w:rFonts w:hAnsi="宋体"/>
          <w:color w:val="auto"/>
          <w:sz w:val="24"/>
          <w:highlight w:val="none"/>
        </w:rPr>
        <w:t>系统应具有系统事件和自定义事件，为用户提供方便的开发平台。</w:t>
      </w:r>
    </w:p>
    <w:p w14:paraId="41A25034">
      <w:pPr>
        <w:spacing w:line="500" w:lineRule="exact"/>
        <w:ind w:firstLine="480" w:firstLineChars="200"/>
        <w:rPr>
          <w:rFonts w:hAnsi="宋体"/>
          <w:color w:val="auto"/>
          <w:sz w:val="24"/>
          <w:highlight w:val="none"/>
        </w:rPr>
      </w:pPr>
      <w:r>
        <w:rPr>
          <w:rFonts w:hAnsi="宋体"/>
          <w:color w:val="auto"/>
          <w:sz w:val="24"/>
          <w:highlight w:val="none"/>
        </w:rPr>
        <w:t>开发环境应具有算术运算和逻辑运算函数。</w:t>
      </w:r>
    </w:p>
    <w:p w14:paraId="366384A6">
      <w:pPr>
        <w:spacing w:line="500" w:lineRule="exact"/>
        <w:ind w:firstLine="480" w:firstLineChars="200"/>
        <w:rPr>
          <w:rFonts w:hAnsi="宋体"/>
          <w:color w:val="auto"/>
          <w:sz w:val="24"/>
          <w:highlight w:val="none"/>
        </w:rPr>
      </w:pPr>
      <w:r>
        <w:rPr>
          <w:rFonts w:hAnsi="宋体"/>
          <w:color w:val="auto"/>
          <w:sz w:val="24"/>
          <w:highlight w:val="none"/>
        </w:rPr>
        <w:t>开发环境应支持变量的快速搜索，并且为方便用户二次开发，组态软件必须支持全中文变量名和函数名及结构变量和引用变量。应支持变量的批量生成、修改、合并、导入、导出等功能。</w:t>
      </w:r>
    </w:p>
    <w:p w14:paraId="662EDE77">
      <w:pPr>
        <w:spacing w:line="500" w:lineRule="exact"/>
        <w:ind w:firstLine="480" w:firstLineChars="200"/>
        <w:rPr>
          <w:rFonts w:hAnsi="宋体"/>
          <w:color w:val="auto"/>
          <w:sz w:val="24"/>
          <w:highlight w:val="none"/>
        </w:rPr>
      </w:pPr>
      <w:r>
        <w:rPr>
          <w:rFonts w:hAnsi="宋体"/>
          <w:color w:val="auto"/>
          <w:sz w:val="24"/>
          <w:highlight w:val="none"/>
        </w:rPr>
        <w:t>查找定位</w:t>
      </w:r>
    </w:p>
    <w:p w14:paraId="71832C37">
      <w:pPr>
        <w:spacing w:line="500" w:lineRule="exact"/>
        <w:ind w:firstLine="480" w:firstLineChars="200"/>
        <w:rPr>
          <w:rFonts w:hAnsi="宋体"/>
          <w:color w:val="auto"/>
          <w:sz w:val="24"/>
          <w:highlight w:val="none"/>
        </w:rPr>
      </w:pPr>
      <w:r>
        <w:rPr>
          <w:rFonts w:hAnsi="宋体"/>
          <w:color w:val="auto"/>
          <w:sz w:val="24"/>
          <w:highlight w:val="none"/>
        </w:rPr>
        <w:t>软件应支持对变量、文本、资源等使用情况进行查找并快速定义到其使用位置。</w:t>
      </w:r>
    </w:p>
    <w:p w14:paraId="3DAA6E8E">
      <w:pPr>
        <w:spacing w:line="500" w:lineRule="exact"/>
        <w:ind w:firstLine="480" w:firstLineChars="200"/>
        <w:rPr>
          <w:rFonts w:hAnsi="宋体"/>
          <w:color w:val="auto"/>
          <w:sz w:val="24"/>
          <w:highlight w:val="none"/>
        </w:rPr>
      </w:pPr>
      <w:r>
        <w:rPr>
          <w:rFonts w:hAnsi="宋体"/>
          <w:color w:val="auto"/>
          <w:sz w:val="24"/>
          <w:highlight w:val="none"/>
        </w:rPr>
        <w:t>软件应支持根据工程编译过程中出现的错误信息直接定位到故障所在位置。</w:t>
      </w:r>
    </w:p>
    <w:p w14:paraId="12CDC868">
      <w:pPr>
        <w:spacing w:line="50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运行环境要求</w:t>
      </w:r>
    </w:p>
    <w:p w14:paraId="2A8516FD">
      <w:pPr>
        <w:spacing w:line="500" w:lineRule="exact"/>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大画面和无极缩放</w:t>
      </w:r>
    </w:p>
    <w:p w14:paraId="50718C91">
      <w:pPr>
        <w:spacing w:line="500" w:lineRule="exact"/>
        <w:ind w:firstLine="480" w:firstLineChars="200"/>
        <w:rPr>
          <w:rFonts w:hAnsi="宋体"/>
          <w:color w:val="auto"/>
          <w:sz w:val="24"/>
          <w:highlight w:val="none"/>
        </w:rPr>
      </w:pPr>
      <w:r>
        <w:rPr>
          <w:rFonts w:hAnsi="宋体"/>
          <w:color w:val="auto"/>
          <w:sz w:val="24"/>
          <w:highlight w:val="none"/>
        </w:rPr>
        <w:t>运行系统应支持大画面的设计，支持大画面应达到30000*30000分辨率。</w:t>
      </w:r>
    </w:p>
    <w:p w14:paraId="27934917">
      <w:pPr>
        <w:spacing w:line="500" w:lineRule="exact"/>
        <w:ind w:firstLine="480" w:firstLineChars="200"/>
        <w:rPr>
          <w:rFonts w:hAnsi="宋体"/>
          <w:color w:val="auto"/>
          <w:sz w:val="24"/>
          <w:highlight w:val="none"/>
        </w:rPr>
      </w:pPr>
      <w:r>
        <w:rPr>
          <w:rFonts w:hAnsi="宋体"/>
          <w:color w:val="auto"/>
          <w:sz w:val="24"/>
          <w:highlight w:val="none"/>
        </w:rPr>
        <w:t>运行系统应支持画面无极缩放，能够无限的扩大或缩小可视空间并且缩放比例不失真。</w:t>
      </w:r>
    </w:p>
    <w:p w14:paraId="6C731A90">
      <w:pPr>
        <w:spacing w:line="500" w:lineRule="exact"/>
        <w:ind w:firstLine="480" w:firstLineChars="200"/>
        <w:rPr>
          <w:rFonts w:hAnsi="宋体"/>
          <w:color w:val="auto"/>
          <w:sz w:val="24"/>
          <w:highlight w:val="none"/>
        </w:rPr>
      </w:pPr>
      <w:r>
        <w:rPr>
          <w:rFonts w:hAnsi="宋体"/>
          <w:color w:val="auto"/>
          <w:sz w:val="24"/>
          <w:highlight w:val="none"/>
        </w:rPr>
        <w:t>画面应该支持GDI+，支持真彩色显示各种图形对象，支持过滤色和透明色。</w:t>
      </w:r>
    </w:p>
    <w:p w14:paraId="00CF5EA5">
      <w:pPr>
        <w:spacing w:line="50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画面全集成</w:t>
      </w:r>
    </w:p>
    <w:p w14:paraId="5C63B1E8">
      <w:pPr>
        <w:spacing w:line="500" w:lineRule="exact"/>
        <w:ind w:firstLine="480" w:firstLineChars="200"/>
        <w:rPr>
          <w:rFonts w:hAnsi="宋体"/>
          <w:color w:val="auto"/>
          <w:sz w:val="24"/>
          <w:highlight w:val="none"/>
        </w:rPr>
      </w:pPr>
      <w:r>
        <w:rPr>
          <w:rFonts w:hAnsi="宋体"/>
          <w:color w:val="auto"/>
          <w:sz w:val="24"/>
          <w:highlight w:val="none"/>
        </w:rPr>
        <w:t>系统应支持全集成的画面展示，设备的视频信息、实时数据、历史数据和报警数据可以在同一画面上进行显示。并且通过查找某一信息，即可得到与该信息相关联的其他信息。</w:t>
      </w:r>
    </w:p>
    <w:p w14:paraId="463609F0">
      <w:pPr>
        <w:spacing w:line="50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图形模型</w:t>
      </w:r>
    </w:p>
    <w:p w14:paraId="576D19C0">
      <w:pPr>
        <w:spacing w:line="500" w:lineRule="exact"/>
        <w:ind w:firstLine="480" w:firstLineChars="200"/>
        <w:rPr>
          <w:rFonts w:hAnsi="宋体"/>
          <w:color w:val="auto"/>
          <w:sz w:val="24"/>
          <w:highlight w:val="none"/>
        </w:rPr>
      </w:pPr>
      <w:r>
        <w:rPr>
          <w:rFonts w:hAnsi="宋体"/>
          <w:color w:val="auto"/>
          <w:sz w:val="24"/>
          <w:highlight w:val="none"/>
        </w:rPr>
        <w:t>系统中相同设备的画面可以显示实时信息、历史信息，报警信息，这个画面应可以形成图形模型，当在系统上浏览其他与这个设备相类似的设备时，该图形模型可以自动对应到这个设备，从而方便系统的维护和升级。</w:t>
      </w:r>
    </w:p>
    <w:p w14:paraId="5D05DBF1">
      <w:pPr>
        <w:spacing w:line="50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冗余功能</w:t>
      </w:r>
    </w:p>
    <w:p w14:paraId="65424C28">
      <w:pPr>
        <w:spacing w:line="500" w:lineRule="exact"/>
        <w:ind w:firstLine="480" w:firstLineChars="200"/>
        <w:rPr>
          <w:rFonts w:hAnsi="宋体"/>
          <w:color w:val="auto"/>
          <w:sz w:val="24"/>
          <w:highlight w:val="none"/>
        </w:rPr>
      </w:pPr>
      <w:r>
        <w:rPr>
          <w:rFonts w:hAnsi="宋体"/>
          <w:color w:val="auto"/>
          <w:sz w:val="24"/>
          <w:highlight w:val="none"/>
        </w:rPr>
        <w:t>软件应支持双机冗余功能。当发生故障时应能快速在冗余机之间进行无扰切换，切换时间应小于1秒。</w:t>
      </w:r>
    </w:p>
    <w:p w14:paraId="0A3FEFD6">
      <w:pPr>
        <w:spacing w:line="500" w:lineRule="exact"/>
        <w:ind w:firstLine="480" w:firstLineChars="200"/>
        <w:rPr>
          <w:rFonts w:hAnsi="宋体"/>
          <w:color w:val="auto"/>
          <w:sz w:val="24"/>
          <w:highlight w:val="none"/>
        </w:rPr>
      </w:pPr>
      <w:r>
        <w:rPr>
          <w:rFonts w:hAnsi="宋体"/>
          <w:color w:val="auto"/>
          <w:sz w:val="24"/>
          <w:highlight w:val="none"/>
        </w:rPr>
        <w:t>冗余机之间应具备专用的冗余探测通道（如专用的网卡或者串口等）。</w:t>
      </w:r>
    </w:p>
    <w:p w14:paraId="599D5AB7">
      <w:pPr>
        <w:spacing w:line="500" w:lineRule="exact"/>
        <w:ind w:firstLine="480" w:firstLineChars="200"/>
        <w:rPr>
          <w:rFonts w:hAnsi="宋体"/>
          <w:color w:val="auto"/>
          <w:sz w:val="24"/>
          <w:highlight w:val="none"/>
        </w:rPr>
      </w:pPr>
      <w:r>
        <w:rPr>
          <w:rFonts w:hint="eastAsia" w:hAnsi="宋体"/>
          <w:color w:val="auto"/>
          <w:sz w:val="24"/>
          <w:highlight w:val="none"/>
        </w:rPr>
        <w:t>5）</w:t>
      </w:r>
      <w:r>
        <w:rPr>
          <w:rFonts w:hAnsi="宋体"/>
          <w:color w:val="auto"/>
          <w:sz w:val="24"/>
          <w:highlight w:val="none"/>
        </w:rPr>
        <w:t>趋势曲线</w:t>
      </w:r>
    </w:p>
    <w:p w14:paraId="286AB3CC">
      <w:pPr>
        <w:spacing w:line="500" w:lineRule="exact"/>
        <w:ind w:firstLine="480" w:firstLineChars="200"/>
        <w:rPr>
          <w:rFonts w:hAnsi="宋体"/>
          <w:color w:val="auto"/>
          <w:sz w:val="24"/>
          <w:highlight w:val="none"/>
        </w:rPr>
      </w:pPr>
      <w:r>
        <w:rPr>
          <w:rFonts w:hAnsi="宋体"/>
          <w:color w:val="auto"/>
          <w:sz w:val="24"/>
          <w:highlight w:val="none"/>
        </w:rPr>
        <w:t>趋势曲线应支持实时曲线和历史曲线的在线切换。</w:t>
      </w:r>
    </w:p>
    <w:p w14:paraId="1AF1A987">
      <w:pPr>
        <w:spacing w:line="500" w:lineRule="exact"/>
        <w:ind w:firstLine="480" w:firstLineChars="200"/>
        <w:rPr>
          <w:rFonts w:hAnsi="宋体"/>
          <w:color w:val="auto"/>
          <w:sz w:val="24"/>
          <w:highlight w:val="none"/>
        </w:rPr>
      </w:pPr>
      <w:r>
        <w:rPr>
          <w:rFonts w:hAnsi="宋体"/>
          <w:color w:val="auto"/>
          <w:sz w:val="24"/>
          <w:highlight w:val="none"/>
        </w:rPr>
        <w:t>趋势曲线应可以任意自由放大或缩小时间轴（如跨度可大于一年，也可是1秒）。</w:t>
      </w:r>
    </w:p>
    <w:p w14:paraId="23FE207E">
      <w:pPr>
        <w:spacing w:line="500" w:lineRule="exact"/>
        <w:ind w:firstLine="480" w:firstLineChars="200"/>
        <w:rPr>
          <w:rFonts w:hAnsi="宋体"/>
          <w:color w:val="auto"/>
          <w:sz w:val="24"/>
          <w:highlight w:val="none"/>
        </w:rPr>
      </w:pPr>
      <w:r>
        <w:rPr>
          <w:rFonts w:hAnsi="宋体"/>
          <w:color w:val="auto"/>
          <w:sz w:val="24"/>
          <w:highlight w:val="none"/>
        </w:rPr>
        <w:t>趋势曲线时间单位应支持毫秒精度。</w:t>
      </w:r>
    </w:p>
    <w:p w14:paraId="512F6360">
      <w:pPr>
        <w:spacing w:line="500" w:lineRule="exact"/>
        <w:ind w:firstLine="480" w:firstLineChars="200"/>
        <w:rPr>
          <w:rFonts w:hAnsi="宋体"/>
          <w:color w:val="auto"/>
          <w:sz w:val="24"/>
          <w:highlight w:val="none"/>
        </w:rPr>
      </w:pPr>
      <w:r>
        <w:rPr>
          <w:rFonts w:hAnsi="宋体"/>
          <w:color w:val="auto"/>
          <w:sz w:val="24"/>
          <w:highlight w:val="none"/>
        </w:rPr>
        <w:t>趋势曲线应支持多纵轴多曲线展示，能为不同的曲线设置不同的纵轴，最多应可容纳64条曲线。</w:t>
      </w:r>
    </w:p>
    <w:p w14:paraId="66487AF9">
      <w:pPr>
        <w:spacing w:line="500" w:lineRule="exact"/>
        <w:ind w:firstLine="480" w:firstLineChars="200"/>
        <w:rPr>
          <w:rFonts w:hAnsi="宋体"/>
          <w:color w:val="auto"/>
          <w:sz w:val="24"/>
          <w:highlight w:val="none"/>
        </w:rPr>
      </w:pPr>
      <w:r>
        <w:rPr>
          <w:rFonts w:hAnsi="宋体"/>
          <w:color w:val="auto"/>
          <w:sz w:val="24"/>
          <w:highlight w:val="none"/>
        </w:rPr>
        <w:t>应支持多曲线同一时间的对比分析；支持单条、多条曲线的不同时间段的对比分析。</w:t>
      </w:r>
    </w:p>
    <w:p w14:paraId="0A286AB5">
      <w:pPr>
        <w:spacing w:line="500" w:lineRule="exact"/>
        <w:ind w:firstLine="480" w:firstLineChars="200"/>
        <w:rPr>
          <w:rFonts w:hAnsi="宋体"/>
          <w:color w:val="auto"/>
          <w:sz w:val="24"/>
          <w:highlight w:val="none"/>
        </w:rPr>
      </w:pPr>
      <w:r>
        <w:rPr>
          <w:rFonts w:hAnsi="宋体"/>
          <w:color w:val="auto"/>
          <w:sz w:val="24"/>
          <w:highlight w:val="none"/>
        </w:rPr>
        <w:t>趋势曲线的游标应具有备注功能，能够根据不同的时间区间显示不同的注释内容。</w:t>
      </w:r>
    </w:p>
    <w:p w14:paraId="17FE6C22">
      <w:pPr>
        <w:spacing w:line="500" w:lineRule="exact"/>
        <w:ind w:firstLine="480" w:firstLineChars="200"/>
        <w:rPr>
          <w:rFonts w:hAnsi="宋体"/>
          <w:color w:val="auto"/>
          <w:sz w:val="24"/>
          <w:highlight w:val="none"/>
        </w:rPr>
      </w:pPr>
      <w:r>
        <w:rPr>
          <w:rFonts w:hAnsi="宋体"/>
          <w:color w:val="auto"/>
          <w:sz w:val="24"/>
          <w:highlight w:val="none"/>
        </w:rPr>
        <w:t>趋势曲线应能够具有良好的客制化功能，能够定制不同外观的趋势曲线，应支持曲线显示设置。</w:t>
      </w:r>
    </w:p>
    <w:p w14:paraId="7101D11E">
      <w:pPr>
        <w:spacing w:line="500" w:lineRule="exact"/>
        <w:ind w:firstLine="480" w:firstLineChars="200"/>
        <w:rPr>
          <w:rFonts w:hAnsi="宋体"/>
          <w:color w:val="auto"/>
          <w:sz w:val="24"/>
          <w:highlight w:val="none"/>
        </w:rPr>
      </w:pPr>
      <w:r>
        <w:rPr>
          <w:rFonts w:hint="eastAsia" w:hAnsi="宋体"/>
          <w:color w:val="auto"/>
          <w:sz w:val="24"/>
          <w:highlight w:val="none"/>
        </w:rPr>
        <w:t>6）</w:t>
      </w:r>
      <w:r>
        <w:rPr>
          <w:rFonts w:hAnsi="宋体"/>
          <w:color w:val="auto"/>
          <w:sz w:val="24"/>
          <w:highlight w:val="none"/>
        </w:rPr>
        <w:t>报警功能</w:t>
      </w:r>
    </w:p>
    <w:p w14:paraId="3A5F460E">
      <w:pPr>
        <w:spacing w:line="500" w:lineRule="exact"/>
        <w:ind w:firstLine="480" w:firstLineChars="200"/>
        <w:rPr>
          <w:rFonts w:hAnsi="宋体"/>
          <w:color w:val="auto"/>
          <w:sz w:val="24"/>
          <w:highlight w:val="none"/>
        </w:rPr>
      </w:pPr>
      <w:r>
        <w:rPr>
          <w:rFonts w:hAnsi="宋体"/>
          <w:color w:val="auto"/>
          <w:sz w:val="24"/>
          <w:highlight w:val="none"/>
        </w:rPr>
        <w:t>系统应具有强大的报警系统，能够对实时、历史的报警和事件进行显示、存储、查询等操作，并能够及时通知操作人员，以进行故障监控和决策制定。</w:t>
      </w:r>
    </w:p>
    <w:p w14:paraId="4A060F83">
      <w:pPr>
        <w:spacing w:line="500" w:lineRule="exact"/>
        <w:ind w:firstLine="480" w:firstLineChars="200"/>
        <w:rPr>
          <w:rFonts w:hAnsi="宋体"/>
          <w:color w:val="auto"/>
          <w:sz w:val="24"/>
          <w:highlight w:val="none"/>
        </w:rPr>
      </w:pPr>
      <w:r>
        <w:rPr>
          <w:rFonts w:hAnsi="宋体"/>
          <w:color w:val="auto"/>
          <w:sz w:val="24"/>
          <w:highlight w:val="none"/>
        </w:rPr>
        <w:t>报警显示窗口应支持多种模式，包括实时报警窗口、历史报警窗口和查询窗口。</w:t>
      </w:r>
    </w:p>
    <w:p w14:paraId="299E5791">
      <w:pPr>
        <w:spacing w:line="500" w:lineRule="exact"/>
        <w:ind w:firstLine="480" w:firstLineChars="200"/>
        <w:rPr>
          <w:rFonts w:hAnsi="宋体"/>
          <w:color w:val="auto"/>
          <w:sz w:val="24"/>
          <w:highlight w:val="none"/>
        </w:rPr>
      </w:pPr>
      <w:r>
        <w:rPr>
          <w:rFonts w:hAnsi="宋体"/>
          <w:color w:val="auto"/>
          <w:sz w:val="24"/>
          <w:highlight w:val="none"/>
        </w:rPr>
        <w:t>实时报警窗口显示最新的报警信息，报警信息消失条件应可设置。</w:t>
      </w:r>
    </w:p>
    <w:p w14:paraId="3AE2D5E1">
      <w:pPr>
        <w:spacing w:line="500" w:lineRule="exact"/>
        <w:ind w:firstLine="480" w:firstLineChars="200"/>
        <w:rPr>
          <w:rFonts w:hAnsi="宋体"/>
          <w:color w:val="auto"/>
          <w:sz w:val="24"/>
          <w:highlight w:val="none"/>
        </w:rPr>
      </w:pPr>
      <w:r>
        <w:rPr>
          <w:rFonts w:hAnsi="宋体"/>
          <w:color w:val="auto"/>
          <w:sz w:val="24"/>
          <w:highlight w:val="none"/>
        </w:rPr>
        <w:t>历史报警窗口显示历史报警事件，包括以往的历史报警信息、报警确认信息和恢复信息，报警事件的来源是报警缓存区。</w:t>
      </w:r>
    </w:p>
    <w:p w14:paraId="4B572E06">
      <w:pPr>
        <w:spacing w:line="500" w:lineRule="exact"/>
        <w:ind w:firstLine="480" w:firstLineChars="200"/>
        <w:rPr>
          <w:rFonts w:hAnsi="宋体"/>
          <w:color w:val="auto"/>
          <w:sz w:val="24"/>
          <w:highlight w:val="none"/>
        </w:rPr>
      </w:pPr>
      <w:r>
        <w:rPr>
          <w:rFonts w:hAnsi="宋体"/>
          <w:color w:val="auto"/>
          <w:sz w:val="24"/>
          <w:highlight w:val="none"/>
        </w:rPr>
        <w:t>查询窗口能够查询报警库中的报警事件，报警事件来源是报警库。应支持多种报警查询条件，对报警信息的查询，可以按报警时间查询、报警类型查询、按记录类型查询等。应支持完全基于SQL的标准化查询语句。</w:t>
      </w:r>
    </w:p>
    <w:p w14:paraId="3A0049E7">
      <w:pPr>
        <w:spacing w:line="500" w:lineRule="exact"/>
        <w:ind w:firstLine="480" w:firstLineChars="200"/>
        <w:rPr>
          <w:rFonts w:hAnsi="宋体"/>
          <w:color w:val="auto"/>
          <w:sz w:val="24"/>
          <w:highlight w:val="none"/>
        </w:rPr>
      </w:pPr>
      <w:r>
        <w:rPr>
          <w:rFonts w:hint="eastAsia" w:hAnsi="宋体"/>
          <w:color w:val="auto"/>
          <w:sz w:val="24"/>
          <w:highlight w:val="none"/>
        </w:rPr>
        <w:t>7）</w:t>
      </w:r>
      <w:r>
        <w:rPr>
          <w:rFonts w:hAnsi="宋体"/>
          <w:color w:val="auto"/>
          <w:sz w:val="24"/>
          <w:highlight w:val="none"/>
        </w:rPr>
        <w:t>报表功能</w:t>
      </w:r>
    </w:p>
    <w:p w14:paraId="76BEDDDC">
      <w:pPr>
        <w:spacing w:line="500" w:lineRule="exact"/>
        <w:ind w:firstLine="480" w:firstLineChars="200"/>
        <w:rPr>
          <w:rFonts w:hAnsi="宋体"/>
          <w:color w:val="auto"/>
          <w:sz w:val="24"/>
          <w:highlight w:val="none"/>
        </w:rPr>
      </w:pPr>
      <w:r>
        <w:rPr>
          <w:rFonts w:hAnsi="宋体"/>
          <w:color w:val="auto"/>
          <w:sz w:val="24"/>
          <w:highlight w:val="none"/>
        </w:rPr>
        <w:t>系统应具有独立的报表，能够实现为工程设计复杂的工程报表。</w:t>
      </w:r>
    </w:p>
    <w:p w14:paraId="51946F19">
      <w:pPr>
        <w:spacing w:line="500" w:lineRule="exact"/>
        <w:ind w:firstLine="480" w:firstLineChars="200"/>
        <w:rPr>
          <w:rFonts w:hAnsi="宋体"/>
          <w:color w:val="auto"/>
          <w:sz w:val="24"/>
          <w:highlight w:val="none"/>
        </w:rPr>
      </w:pPr>
      <w:r>
        <w:rPr>
          <w:rFonts w:hAnsi="宋体"/>
          <w:color w:val="auto"/>
          <w:sz w:val="24"/>
          <w:highlight w:val="none"/>
        </w:rPr>
        <w:t>应能自动生成各类日、月、年报表。</w:t>
      </w:r>
    </w:p>
    <w:p w14:paraId="5158553A">
      <w:pPr>
        <w:spacing w:line="500" w:lineRule="exact"/>
        <w:ind w:firstLine="480" w:firstLineChars="200"/>
        <w:rPr>
          <w:rFonts w:hAnsi="宋体"/>
          <w:color w:val="auto"/>
          <w:sz w:val="24"/>
          <w:highlight w:val="none"/>
        </w:rPr>
      </w:pPr>
      <w:r>
        <w:rPr>
          <w:rFonts w:hAnsi="宋体"/>
          <w:color w:val="auto"/>
          <w:sz w:val="24"/>
          <w:highlight w:val="none"/>
        </w:rPr>
        <w:t>操作人员应可以在远程浏览查看全部的报表数据。</w:t>
      </w:r>
    </w:p>
    <w:p w14:paraId="52E70B0B">
      <w:pPr>
        <w:spacing w:line="500" w:lineRule="exact"/>
        <w:ind w:firstLine="480"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历史数据记录</w:t>
      </w:r>
    </w:p>
    <w:p w14:paraId="7F8E21A5">
      <w:pPr>
        <w:spacing w:line="500" w:lineRule="exact"/>
        <w:ind w:firstLine="480" w:firstLineChars="200"/>
        <w:rPr>
          <w:rFonts w:hAnsi="宋体"/>
          <w:color w:val="auto"/>
          <w:sz w:val="24"/>
          <w:highlight w:val="none"/>
        </w:rPr>
      </w:pPr>
      <w:r>
        <w:rPr>
          <w:rFonts w:hAnsi="宋体"/>
          <w:color w:val="auto"/>
          <w:sz w:val="24"/>
          <w:highlight w:val="none"/>
        </w:rPr>
        <w:t>系统应具有的性能稳定的历史数据库，而不是依赖于关系数据库存储历史数据。</w:t>
      </w:r>
    </w:p>
    <w:p w14:paraId="18558478">
      <w:pPr>
        <w:spacing w:line="500" w:lineRule="exact"/>
        <w:ind w:firstLine="480" w:firstLineChars="200"/>
        <w:rPr>
          <w:rFonts w:hAnsi="宋体"/>
          <w:color w:val="auto"/>
          <w:sz w:val="24"/>
          <w:highlight w:val="none"/>
        </w:rPr>
      </w:pPr>
      <w:r>
        <w:rPr>
          <w:rFonts w:hAnsi="宋体"/>
          <w:color w:val="auto"/>
          <w:sz w:val="24"/>
          <w:highlight w:val="none"/>
        </w:rPr>
        <w:t>应能够对数据进行压缩存储以节省磁盘空间，应能够避免因为系统异常而丢失数据的可能。</w:t>
      </w:r>
    </w:p>
    <w:p w14:paraId="43D5E1A5">
      <w:pPr>
        <w:spacing w:line="500" w:lineRule="exact"/>
        <w:ind w:firstLine="480" w:firstLineChars="200"/>
        <w:rPr>
          <w:rFonts w:hAnsi="宋体"/>
          <w:color w:val="auto"/>
          <w:sz w:val="24"/>
          <w:highlight w:val="none"/>
        </w:rPr>
      </w:pPr>
      <w:r>
        <w:rPr>
          <w:rFonts w:hAnsi="宋体"/>
          <w:color w:val="auto"/>
          <w:sz w:val="24"/>
          <w:highlight w:val="none"/>
        </w:rPr>
        <w:t>为保证数据的完整性，网络间历史数据的传输应采用数据流的形式。</w:t>
      </w:r>
    </w:p>
    <w:p w14:paraId="7A90BE27">
      <w:pPr>
        <w:spacing w:line="500" w:lineRule="exact"/>
        <w:ind w:firstLine="480" w:firstLineChars="200"/>
        <w:rPr>
          <w:rFonts w:hAnsi="宋体"/>
          <w:color w:val="auto"/>
          <w:sz w:val="24"/>
          <w:highlight w:val="none"/>
        </w:rPr>
      </w:pPr>
      <w:r>
        <w:rPr>
          <w:rFonts w:hAnsi="宋体"/>
          <w:color w:val="auto"/>
          <w:sz w:val="24"/>
          <w:highlight w:val="none"/>
        </w:rPr>
        <w:t>需导入现状中控室内所有历史数据，供环保部门可查。</w:t>
      </w:r>
    </w:p>
    <w:p w14:paraId="51125EA4">
      <w:pPr>
        <w:spacing w:line="500" w:lineRule="exact"/>
        <w:ind w:firstLine="480" w:firstLineChars="200"/>
        <w:rPr>
          <w:rFonts w:hAnsi="宋体"/>
          <w:color w:val="auto"/>
          <w:sz w:val="24"/>
          <w:highlight w:val="none"/>
        </w:rPr>
      </w:pPr>
      <w:r>
        <w:rPr>
          <w:rFonts w:hint="eastAsia" w:hAnsi="宋体"/>
          <w:color w:val="auto"/>
          <w:sz w:val="24"/>
          <w:highlight w:val="none"/>
        </w:rPr>
        <w:t>9）</w:t>
      </w:r>
      <w:r>
        <w:rPr>
          <w:rFonts w:hAnsi="宋体"/>
          <w:color w:val="auto"/>
          <w:sz w:val="24"/>
          <w:highlight w:val="none"/>
        </w:rPr>
        <w:t>分布式系统架构</w:t>
      </w:r>
    </w:p>
    <w:p w14:paraId="6D97B631">
      <w:pPr>
        <w:spacing w:line="500" w:lineRule="exact"/>
        <w:ind w:firstLine="480" w:firstLineChars="200"/>
        <w:rPr>
          <w:rFonts w:hAnsi="宋体"/>
          <w:color w:val="auto"/>
          <w:sz w:val="24"/>
          <w:highlight w:val="none"/>
        </w:rPr>
      </w:pPr>
      <w:r>
        <w:rPr>
          <w:rFonts w:hAnsi="宋体"/>
          <w:color w:val="auto"/>
          <w:sz w:val="24"/>
          <w:highlight w:val="none"/>
        </w:rPr>
        <w:t>系统应完全基于C\S模式，应支持分布式的历史数据库和分布式报警系统，使各个功能可以分配在网络上不同的节点上。</w:t>
      </w:r>
    </w:p>
    <w:p w14:paraId="6C0E19AB">
      <w:pPr>
        <w:spacing w:line="500" w:lineRule="exact"/>
        <w:ind w:firstLine="480" w:firstLineChars="200"/>
        <w:rPr>
          <w:rFonts w:hAnsi="宋体"/>
          <w:color w:val="auto"/>
          <w:sz w:val="24"/>
          <w:highlight w:val="none"/>
        </w:rPr>
      </w:pPr>
      <w:r>
        <w:rPr>
          <w:rFonts w:hint="eastAsia" w:hAnsi="宋体"/>
          <w:color w:val="auto"/>
          <w:sz w:val="24"/>
          <w:highlight w:val="none"/>
        </w:rPr>
        <w:t>10）</w:t>
      </w:r>
      <w:r>
        <w:rPr>
          <w:rFonts w:hAnsi="宋体"/>
          <w:color w:val="auto"/>
          <w:sz w:val="24"/>
          <w:highlight w:val="none"/>
        </w:rPr>
        <w:t>开放性接口</w:t>
      </w:r>
    </w:p>
    <w:p w14:paraId="2A7B03C0">
      <w:pPr>
        <w:spacing w:line="500" w:lineRule="exact"/>
        <w:ind w:firstLine="480" w:firstLineChars="200"/>
        <w:rPr>
          <w:rFonts w:hAnsi="宋体"/>
          <w:color w:val="auto"/>
          <w:sz w:val="24"/>
          <w:highlight w:val="none"/>
        </w:rPr>
      </w:pPr>
      <w:r>
        <w:rPr>
          <w:rFonts w:hAnsi="宋体"/>
          <w:color w:val="auto"/>
          <w:sz w:val="24"/>
          <w:highlight w:val="none"/>
        </w:rPr>
        <w:t>系统应支持ActiveX控件，支持OPC、DDE，应提供丰富的API接口，支持自动化接口、.NET接口、OLE接口，支持访问历史数据和报警、事件，支持访问权限。</w:t>
      </w:r>
    </w:p>
    <w:p w14:paraId="643EA734">
      <w:pPr>
        <w:spacing w:line="50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WebServer用户功能包</w:t>
      </w:r>
    </w:p>
    <w:p w14:paraId="1980F7A8">
      <w:pPr>
        <w:spacing w:line="500" w:lineRule="exact"/>
        <w:ind w:firstLine="480" w:firstLineChars="200"/>
        <w:rPr>
          <w:rFonts w:hAnsi="宋体"/>
          <w:color w:val="auto"/>
          <w:sz w:val="24"/>
          <w:highlight w:val="none"/>
        </w:rPr>
      </w:pPr>
      <w:r>
        <w:rPr>
          <w:rFonts w:hAnsi="宋体"/>
          <w:color w:val="auto"/>
          <w:sz w:val="24"/>
          <w:highlight w:val="none"/>
        </w:rPr>
        <w:t>组态软件需具备web发布功能，利用web功能将监控组态画面进行发布，从而使管理层的计算机在不需要额外安装软件的情况下，使用IE浏览器即可查看到污水处理厂现场运行的画面，进行数据的监视、报警查看、报表查询等功能，并在相应权限下进行操作。至少应支持10个客户端并发访问。</w:t>
      </w:r>
    </w:p>
    <w:p w14:paraId="53516674">
      <w:pPr>
        <w:spacing w:line="500" w:lineRule="exact"/>
        <w:ind w:firstLine="480" w:firstLineChars="200"/>
        <w:rPr>
          <w:rFonts w:hAnsi="宋体"/>
          <w:color w:val="auto"/>
          <w:sz w:val="24"/>
          <w:highlight w:val="none"/>
        </w:rPr>
      </w:pPr>
      <w:r>
        <w:rPr>
          <w:rFonts w:hAnsi="宋体"/>
          <w:color w:val="auto"/>
          <w:sz w:val="24"/>
          <w:highlight w:val="none"/>
        </w:rPr>
        <w:t>IE客户端需要获得与组态软件运行系统相同的监控画面，IE客户端和WEB发布服务器保持高效的数据同步，通过网络用户能够在任何地方获得与在WEB服务器上一样的画面和数据显示、报警显示、趋势曲线显示等，以及方便快捷的控制功能。WebServer用户功能包应支持以下功能：</w:t>
      </w:r>
    </w:p>
    <w:p w14:paraId="37ECCC3B">
      <w:pPr>
        <w:spacing w:line="500" w:lineRule="exact"/>
        <w:ind w:firstLine="480" w:firstLineChars="200"/>
        <w:rPr>
          <w:rFonts w:hAnsi="宋体"/>
          <w:color w:val="auto"/>
          <w:sz w:val="24"/>
          <w:highlight w:val="none"/>
        </w:rPr>
      </w:pPr>
      <w:r>
        <w:rPr>
          <w:rFonts w:hAnsi="宋体"/>
          <w:color w:val="auto"/>
          <w:sz w:val="24"/>
          <w:highlight w:val="none"/>
        </w:rPr>
        <w:t>应支持组态软件中所有基本图形、点位图、多级菜单和所有通用图库。</w:t>
      </w:r>
    </w:p>
    <w:p w14:paraId="678776ED">
      <w:pPr>
        <w:spacing w:line="500" w:lineRule="exact"/>
        <w:ind w:firstLine="480" w:firstLineChars="200"/>
        <w:rPr>
          <w:rFonts w:hAnsi="宋体"/>
          <w:color w:val="auto"/>
          <w:sz w:val="24"/>
          <w:highlight w:val="none"/>
        </w:rPr>
      </w:pPr>
      <w:r>
        <w:rPr>
          <w:rFonts w:hAnsi="宋体"/>
          <w:color w:val="auto"/>
          <w:sz w:val="24"/>
          <w:highlight w:val="none"/>
        </w:rPr>
        <w:t>应支持控件发布。</w:t>
      </w:r>
    </w:p>
    <w:p w14:paraId="4C6F2A22">
      <w:pPr>
        <w:spacing w:line="500" w:lineRule="exact"/>
        <w:ind w:firstLine="480" w:firstLineChars="200"/>
        <w:rPr>
          <w:rFonts w:hAnsi="宋体"/>
          <w:color w:val="auto"/>
          <w:sz w:val="24"/>
          <w:highlight w:val="none"/>
        </w:rPr>
      </w:pPr>
      <w:r>
        <w:rPr>
          <w:rFonts w:hAnsi="宋体"/>
          <w:color w:val="auto"/>
          <w:sz w:val="24"/>
          <w:highlight w:val="none"/>
        </w:rPr>
        <w:t>应支持无限色、渐变色填充，应支持粗线条、虚线等线条类型。</w:t>
      </w:r>
    </w:p>
    <w:p w14:paraId="3FD22858">
      <w:pPr>
        <w:spacing w:line="500" w:lineRule="exact"/>
        <w:ind w:firstLine="480" w:firstLineChars="200"/>
        <w:rPr>
          <w:rFonts w:hAnsi="宋体"/>
          <w:color w:val="auto"/>
          <w:sz w:val="24"/>
          <w:highlight w:val="none"/>
        </w:rPr>
      </w:pPr>
      <w:r>
        <w:rPr>
          <w:rFonts w:hAnsi="宋体"/>
          <w:color w:val="auto"/>
          <w:sz w:val="24"/>
          <w:highlight w:val="none"/>
        </w:rPr>
        <w:t>应支持网络浏览的多画面集成显示、画面的动态加载和实时显示。</w:t>
      </w:r>
    </w:p>
    <w:p w14:paraId="41D4F947">
      <w:pPr>
        <w:spacing w:line="500" w:lineRule="exact"/>
        <w:ind w:firstLine="480" w:firstLineChars="200"/>
        <w:rPr>
          <w:rFonts w:hAnsi="宋体"/>
          <w:color w:val="auto"/>
          <w:sz w:val="24"/>
          <w:highlight w:val="none"/>
        </w:rPr>
      </w:pPr>
      <w:r>
        <w:rPr>
          <w:rFonts w:hAnsi="宋体"/>
          <w:color w:val="auto"/>
          <w:sz w:val="24"/>
          <w:highlight w:val="none"/>
        </w:rPr>
        <w:t>应支持组态软件报表显示和报表运算。</w:t>
      </w:r>
    </w:p>
    <w:p w14:paraId="02CED035">
      <w:pPr>
        <w:spacing w:line="500" w:lineRule="exact"/>
        <w:ind w:firstLine="480" w:firstLineChars="200"/>
        <w:rPr>
          <w:rFonts w:hAnsi="宋体"/>
          <w:color w:val="auto"/>
          <w:sz w:val="24"/>
          <w:highlight w:val="none"/>
        </w:rPr>
      </w:pPr>
      <w:r>
        <w:rPr>
          <w:rFonts w:hAnsi="宋体"/>
          <w:color w:val="auto"/>
          <w:sz w:val="24"/>
          <w:highlight w:val="none"/>
        </w:rPr>
        <w:t>应支持历史曲线、实时曲线和报警窗口发布。</w:t>
      </w:r>
    </w:p>
    <w:p w14:paraId="4479C63D">
      <w:pPr>
        <w:spacing w:line="500" w:lineRule="exact"/>
        <w:ind w:firstLine="480" w:firstLineChars="200"/>
        <w:rPr>
          <w:rFonts w:hAnsi="宋体"/>
          <w:color w:val="auto"/>
          <w:sz w:val="24"/>
          <w:highlight w:val="none"/>
        </w:rPr>
      </w:pPr>
      <w:r>
        <w:rPr>
          <w:rFonts w:hAnsi="宋体"/>
          <w:color w:val="auto"/>
          <w:sz w:val="24"/>
          <w:highlight w:val="none"/>
        </w:rPr>
        <w:t>应支持在线命令语言，实现远程控制。</w:t>
      </w:r>
    </w:p>
    <w:p w14:paraId="17A0171B">
      <w:pPr>
        <w:spacing w:line="500" w:lineRule="exact"/>
        <w:ind w:firstLine="480" w:firstLineChars="200"/>
        <w:rPr>
          <w:rFonts w:hAnsi="宋体"/>
          <w:color w:val="auto"/>
          <w:sz w:val="24"/>
          <w:highlight w:val="none"/>
        </w:rPr>
      </w:pPr>
      <w:r>
        <w:rPr>
          <w:rFonts w:hAnsi="宋体"/>
          <w:color w:val="auto"/>
          <w:sz w:val="24"/>
          <w:highlight w:val="none"/>
        </w:rPr>
        <w:t>应支持画面在线打印、支持报表打印。</w:t>
      </w:r>
    </w:p>
    <w:p w14:paraId="13373809">
      <w:pPr>
        <w:spacing w:line="500" w:lineRule="exact"/>
        <w:ind w:firstLine="480" w:firstLineChars="200"/>
        <w:rPr>
          <w:rFonts w:hAnsi="宋体"/>
          <w:color w:val="auto"/>
          <w:sz w:val="24"/>
          <w:highlight w:val="none"/>
        </w:rPr>
      </w:pPr>
      <w:r>
        <w:rPr>
          <w:rFonts w:hAnsi="宋体"/>
          <w:color w:val="auto"/>
          <w:sz w:val="24"/>
          <w:highlight w:val="none"/>
        </w:rPr>
        <w:t>应提供网络分组发布和显示定制。</w:t>
      </w:r>
    </w:p>
    <w:p w14:paraId="27EF925D">
      <w:pPr>
        <w:spacing w:line="500" w:lineRule="exact"/>
        <w:ind w:firstLine="480" w:firstLineChars="200"/>
        <w:rPr>
          <w:rFonts w:hAnsi="宋体"/>
          <w:color w:val="auto"/>
          <w:sz w:val="24"/>
          <w:highlight w:val="none"/>
        </w:rPr>
      </w:pPr>
      <w:bookmarkStart w:id="28" w:name="_Toc16894490"/>
      <w:r>
        <w:rPr>
          <w:rFonts w:hint="eastAsia" w:hAnsi="宋体"/>
          <w:color w:val="auto"/>
          <w:sz w:val="24"/>
          <w:highlight w:val="none"/>
        </w:rPr>
        <w:t>9、</w:t>
      </w:r>
      <w:r>
        <w:rPr>
          <w:rFonts w:hAnsi="宋体"/>
          <w:color w:val="auto"/>
          <w:sz w:val="24"/>
          <w:highlight w:val="none"/>
        </w:rPr>
        <w:t>不间断电源(UPS) 技术要求</w:t>
      </w:r>
      <w:bookmarkEnd w:id="28"/>
    </w:p>
    <w:p w14:paraId="344E59AB">
      <w:pPr>
        <w:spacing w:line="500" w:lineRule="exact"/>
        <w:ind w:firstLine="480" w:firstLineChars="200"/>
        <w:rPr>
          <w:rFonts w:hAnsi="宋体"/>
          <w:color w:val="auto"/>
          <w:sz w:val="24"/>
          <w:highlight w:val="none"/>
        </w:rPr>
      </w:pPr>
      <w:r>
        <w:rPr>
          <w:rFonts w:hint="eastAsia" w:hAnsi="宋体"/>
          <w:color w:val="auto"/>
          <w:sz w:val="24"/>
          <w:highlight w:val="none"/>
        </w:rPr>
        <w:t>所有控制柜UPS系统配备市电切换功能。</w:t>
      </w:r>
      <w:r>
        <w:rPr>
          <w:rFonts w:hAnsi="宋体"/>
          <w:color w:val="auto"/>
          <w:sz w:val="24"/>
          <w:highlight w:val="none"/>
        </w:rPr>
        <w:t>在线式不断电系统，当市电正常供电时，市电经滤波回路及突波吸收回路后，分为两个回路同时动作，其一是经由充电回路对电池组充电，另一个则是经整流回路，作为变流器的输入，再经过变流器的转换提供净化过的交流电力给负载使用；此时若市电发生异常，则变流器的输入则改由电池组来供应，变流器持续提供电力，达到完全不断电。对UPS输出的要求如下：</w:t>
      </w:r>
    </w:p>
    <w:p w14:paraId="50616F70">
      <w:pPr>
        <w:spacing w:line="500" w:lineRule="exact"/>
        <w:ind w:firstLine="480" w:firstLineChars="200"/>
        <w:rPr>
          <w:rFonts w:hAnsi="宋体"/>
          <w:color w:val="auto"/>
          <w:sz w:val="24"/>
          <w:highlight w:val="none"/>
        </w:rPr>
      </w:pPr>
      <w:r>
        <w:rPr>
          <w:rFonts w:hAnsi="宋体"/>
          <w:color w:val="auto"/>
          <w:sz w:val="24"/>
          <w:highlight w:val="none"/>
        </w:rPr>
        <w:t>在线式不间断电源</w:t>
      </w:r>
    </w:p>
    <w:p w14:paraId="7AEE6F96">
      <w:pPr>
        <w:spacing w:line="500" w:lineRule="exact"/>
        <w:ind w:firstLine="480" w:firstLineChars="200"/>
        <w:rPr>
          <w:rFonts w:hAnsi="宋体"/>
          <w:color w:val="auto"/>
          <w:sz w:val="24"/>
          <w:highlight w:val="none"/>
        </w:rPr>
      </w:pPr>
      <w:r>
        <w:rPr>
          <w:rFonts w:hAnsi="宋体"/>
          <w:color w:val="auto"/>
          <w:sz w:val="24"/>
          <w:highlight w:val="none"/>
        </w:rPr>
        <w:t>正弦波输出；谐波失真＜3%THD</w:t>
      </w:r>
    </w:p>
    <w:p w14:paraId="17DA57A7">
      <w:pPr>
        <w:spacing w:line="500" w:lineRule="exact"/>
        <w:ind w:firstLine="480" w:firstLineChars="200"/>
        <w:rPr>
          <w:rFonts w:hAnsi="宋体"/>
          <w:color w:val="auto"/>
          <w:sz w:val="24"/>
          <w:highlight w:val="none"/>
        </w:rPr>
      </w:pPr>
      <w:r>
        <w:rPr>
          <w:rFonts w:hAnsi="宋体"/>
          <w:color w:val="auto"/>
          <w:sz w:val="24"/>
          <w:highlight w:val="none"/>
        </w:rPr>
        <w:t>零转换时间</w:t>
      </w:r>
    </w:p>
    <w:p w14:paraId="315CCDE3">
      <w:pPr>
        <w:spacing w:line="500" w:lineRule="exact"/>
        <w:ind w:firstLine="480" w:firstLineChars="200"/>
        <w:rPr>
          <w:rFonts w:hAnsi="宋体"/>
          <w:color w:val="auto"/>
          <w:sz w:val="24"/>
          <w:highlight w:val="none"/>
        </w:rPr>
      </w:pPr>
      <w:r>
        <w:rPr>
          <w:rFonts w:hAnsi="宋体"/>
          <w:color w:val="auto"/>
          <w:sz w:val="24"/>
          <w:highlight w:val="none"/>
        </w:rPr>
        <w:t>输入电压：(118~300)VAC</w:t>
      </w:r>
    </w:p>
    <w:p w14:paraId="5CAC1B16">
      <w:pPr>
        <w:spacing w:line="500" w:lineRule="exact"/>
        <w:ind w:firstLine="480" w:firstLineChars="200"/>
        <w:rPr>
          <w:rFonts w:hAnsi="宋体"/>
          <w:color w:val="auto"/>
          <w:sz w:val="24"/>
          <w:highlight w:val="none"/>
        </w:rPr>
      </w:pPr>
      <w:r>
        <w:rPr>
          <w:rFonts w:hAnsi="宋体"/>
          <w:color w:val="auto"/>
          <w:sz w:val="24"/>
          <w:highlight w:val="none"/>
        </w:rPr>
        <w:t>输出电压：220(1±2%)VAC</w:t>
      </w:r>
    </w:p>
    <w:p w14:paraId="1BCB6B51">
      <w:pPr>
        <w:spacing w:line="500" w:lineRule="exact"/>
        <w:ind w:firstLine="480" w:firstLineChars="200"/>
        <w:rPr>
          <w:rFonts w:hAnsi="宋体"/>
          <w:color w:val="auto"/>
          <w:sz w:val="24"/>
          <w:highlight w:val="none"/>
        </w:rPr>
      </w:pPr>
      <w:r>
        <w:rPr>
          <w:rFonts w:hAnsi="宋体"/>
          <w:color w:val="auto"/>
          <w:sz w:val="24"/>
          <w:highlight w:val="none"/>
        </w:rPr>
        <w:t>输出频率：50(1±0.2%)Hz</w:t>
      </w:r>
    </w:p>
    <w:p w14:paraId="7FD2E85D">
      <w:pPr>
        <w:spacing w:line="500" w:lineRule="exact"/>
        <w:ind w:firstLine="480" w:firstLineChars="200"/>
        <w:rPr>
          <w:rFonts w:hAnsi="宋体"/>
          <w:color w:val="auto"/>
          <w:sz w:val="24"/>
          <w:highlight w:val="none"/>
        </w:rPr>
      </w:pPr>
      <w:r>
        <w:rPr>
          <w:rFonts w:hAnsi="宋体"/>
          <w:color w:val="auto"/>
          <w:sz w:val="24"/>
          <w:highlight w:val="none"/>
        </w:rPr>
        <w:t>密闭式免维护电池，额定负载下放电60分钟</w:t>
      </w:r>
    </w:p>
    <w:p w14:paraId="116F3BE5">
      <w:pPr>
        <w:spacing w:line="500" w:lineRule="exact"/>
        <w:ind w:firstLine="480" w:firstLineChars="200"/>
        <w:rPr>
          <w:rFonts w:hAnsi="宋体"/>
          <w:color w:val="auto"/>
          <w:sz w:val="24"/>
          <w:highlight w:val="none"/>
        </w:rPr>
      </w:pPr>
      <w:r>
        <w:rPr>
          <w:rFonts w:hAnsi="宋体"/>
          <w:color w:val="auto"/>
          <w:sz w:val="24"/>
          <w:highlight w:val="none"/>
        </w:rPr>
        <w:t>带失电、电池电量不足等故障报警和继电器输出</w:t>
      </w:r>
    </w:p>
    <w:p w14:paraId="7FE0705F">
      <w:pPr>
        <w:spacing w:line="500" w:lineRule="exact"/>
        <w:ind w:firstLine="480" w:firstLineChars="200"/>
        <w:rPr>
          <w:rFonts w:hint="eastAsia" w:hAnsi="宋体"/>
          <w:color w:val="auto"/>
          <w:sz w:val="24"/>
          <w:highlight w:val="none"/>
        </w:rPr>
      </w:pPr>
      <w:r>
        <w:rPr>
          <w:rFonts w:hAnsi="宋体"/>
          <w:color w:val="auto"/>
          <w:sz w:val="24"/>
          <w:highlight w:val="none"/>
        </w:rPr>
        <w:t>带雷击及浪涌保护</w:t>
      </w:r>
    </w:p>
    <w:p w14:paraId="5026E894">
      <w:pPr>
        <w:pStyle w:val="97"/>
        <w:rPr>
          <w:rFonts w:hint="eastAsia"/>
        </w:rPr>
      </w:pPr>
    </w:p>
    <w:p w14:paraId="6210C2E7">
      <w:pPr>
        <w:pStyle w:val="106"/>
        <w:spacing w:line="500" w:lineRule="exact"/>
        <w:ind w:firstLine="0" w:firstLineChars="0"/>
        <w:outlineLvl w:val="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10</w:t>
      </w:r>
      <w:r>
        <w:rPr>
          <w:rFonts w:hint="eastAsia" w:ascii="宋体" w:hAnsi="宋体" w:cs="宋体"/>
          <w:b/>
          <w:color w:val="auto"/>
          <w:sz w:val="28"/>
          <w:szCs w:val="28"/>
          <w:highlight w:val="none"/>
          <w:lang w:val="en-US" w:eastAsia="zh-CN"/>
        </w:rPr>
        <w:t>、</w:t>
      </w:r>
      <w:r>
        <w:rPr>
          <w:rFonts w:hint="eastAsia" w:ascii="宋体" w:hAnsi="宋体" w:eastAsia="宋体" w:cs="宋体"/>
          <w:b/>
          <w:color w:val="auto"/>
          <w:sz w:val="28"/>
          <w:szCs w:val="28"/>
          <w:highlight w:val="none"/>
        </w:rPr>
        <w:t>仪表设备</w:t>
      </w:r>
    </w:p>
    <w:p w14:paraId="46F9EABB">
      <w:pPr>
        <w:spacing w:line="500" w:lineRule="exact"/>
        <w:ind w:firstLine="480" w:firstLineChars="200"/>
        <w:rPr>
          <w:rFonts w:hint="eastAsia" w:hAnsi="宋体"/>
          <w:color w:val="auto"/>
          <w:sz w:val="24"/>
          <w:highlight w:val="none"/>
        </w:rPr>
      </w:pPr>
      <w:r>
        <w:rPr>
          <w:rFonts w:hint="eastAsia" w:hAnsi="宋体"/>
          <w:color w:val="auto"/>
          <w:sz w:val="24"/>
          <w:highlight w:val="none"/>
        </w:rPr>
        <w:t>1、总述</w:t>
      </w:r>
    </w:p>
    <w:p w14:paraId="09CCD959">
      <w:pPr>
        <w:spacing w:line="500" w:lineRule="exact"/>
        <w:ind w:firstLine="480" w:firstLineChars="200"/>
        <w:rPr>
          <w:rFonts w:hAnsi="宋体"/>
          <w:color w:val="auto"/>
          <w:sz w:val="24"/>
          <w:highlight w:val="none"/>
        </w:rPr>
      </w:pPr>
      <w:r>
        <w:rPr>
          <w:rFonts w:hint="eastAsia" w:hAnsi="宋体"/>
          <w:color w:val="auto"/>
          <w:sz w:val="24"/>
          <w:highlight w:val="none"/>
        </w:rPr>
        <w:t>（1）投标人所选用的仪表必须是成套配备，包括仪表本身及所有安装所需的各种附件以及连接线。仪表系统是用来连续测量污水处理工艺流程中的主要参数，并将测量数据送入计算机数据采集及监控系统。模拟量输出与测量范围成线性比例。所有变送器应有工程计量单位的刻度和</w:t>
      </w:r>
      <w:r>
        <w:rPr>
          <w:rFonts w:hAnsi="宋体"/>
          <w:color w:val="auto"/>
          <w:sz w:val="24"/>
          <w:highlight w:val="none"/>
        </w:rPr>
        <w:t>LED</w:t>
      </w:r>
      <w:r>
        <w:rPr>
          <w:rFonts w:hint="eastAsia" w:hAnsi="宋体"/>
          <w:color w:val="auto"/>
          <w:sz w:val="24"/>
          <w:highlight w:val="none"/>
        </w:rPr>
        <w:t>数字显示，可与传感器一体式或分体安装。</w:t>
      </w:r>
    </w:p>
    <w:p w14:paraId="53B5D405">
      <w:pPr>
        <w:spacing w:line="500" w:lineRule="exact"/>
        <w:ind w:firstLine="480" w:firstLineChars="200"/>
        <w:rPr>
          <w:rFonts w:hAnsi="宋体"/>
          <w:color w:val="auto"/>
          <w:sz w:val="24"/>
          <w:highlight w:val="none"/>
        </w:rPr>
      </w:pPr>
      <w:r>
        <w:rPr>
          <w:rFonts w:hint="eastAsia" w:hAnsi="宋体"/>
          <w:color w:val="auto"/>
          <w:sz w:val="24"/>
          <w:highlight w:val="none"/>
        </w:rPr>
        <w:t>（2）室外安装设备必须加装防护罩/箱。所有仪表自控设备必须考虑电源及信号配置防雷、防感应电流冲击设施。设备的连接电缆均应穿金属管或沿电缆桥架敷设，若与配电电缆同桥架，应设金属隔板隔离，出桥架端必须穿管，不得有露头在外。</w:t>
      </w:r>
    </w:p>
    <w:p w14:paraId="32617806">
      <w:pPr>
        <w:spacing w:line="500" w:lineRule="exact"/>
        <w:ind w:firstLine="480" w:firstLineChars="200"/>
        <w:rPr>
          <w:rFonts w:hAnsi="宋体"/>
          <w:color w:val="auto"/>
          <w:sz w:val="24"/>
          <w:highlight w:val="none"/>
        </w:rPr>
      </w:pPr>
      <w:r>
        <w:rPr>
          <w:rFonts w:hint="eastAsia" w:hAnsi="宋体"/>
          <w:color w:val="auto"/>
          <w:sz w:val="24"/>
          <w:highlight w:val="none"/>
        </w:rPr>
        <w:t>（3）所有设备的安装调试应符合相关的GB/GT要求，无相关GB/GT时符合厂家安装调试要求。</w:t>
      </w:r>
    </w:p>
    <w:p w14:paraId="621BA716">
      <w:pPr>
        <w:spacing w:line="500" w:lineRule="exact"/>
        <w:ind w:firstLine="480" w:firstLineChars="200"/>
        <w:rPr>
          <w:rFonts w:hAnsi="宋体"/>
          <w:color w:val="auto"/>
          <w:sz w:val="24"/>
          <w:highlight w:val="none"/>
        </w:rPr>
      </w:pPr>
      <w:r>
        <w:rPr>
          <w:rFonts w:hint="eastAsia" w:hAnsi="宋体"/>
          <w:color w:val="auto"/>
          <w:sz w:val="24"/>
          <w:highlight w:val="none"/>
        </w:rPr>
        <w:t>（4）传感器和变送器要符合防护等级的要求</w:t>
      </w:r>
      <w:r>
        <w:rPr>
          <w:rFonts w:hAnsi="宋体"/>
          <w:color w:val="auto"/>
          <w:sz w:val="24"/>
          <w:highlight w:val="none"/>
        </w:rPr>
        <w:t>IP</w:t>
      </w:r>
      <w:r>
        <w:rPr>
          <w:rFonts w:hint="eastAsia" w:hAnsi="宋体"/>
          <w:color w:val="auto"/>
          <w:sz w:val="24"/>
          <w:highlight w:val="none"/>
        </w:rPr>
        <w:t>65至</w:t>
      </w:r>
      <w:r>
        <w:rPr>
          <w:rFonts w:hAnsi="宋体"/>
          <w:color w:val="auto"/>
          <w:sz w:val="24"/>
          <w:highlight w:val="none"/>
        </w:rPr>
        <w:t>IP68</w:t>
      </w:r>
      <w:r>
        <w:rPr>
          <w:rFonts w:hint="eastAsia" w:hAnsi="宋体"/>
          <w:color w:val="auto"/>
          <w:sz w:val="24"/>
          <w:highlight w:val="none"/>
        </w:rPr>
        <w:t>，变送器要安装在现场保护箱内，保护箱要带有显示窗口，应具有遮阳、防雨等功能。</w:t>
      </w:r>
      <w:r>
        <w:rPr>
          <w:rFonts w:hAnsi="宋体"/>
          <w:color w:val="auto"/>
          <w:sz w:val="24"/>
          <w:highlight w:val="none"/>
        </w:rPr>
        <w:t>(</w:t>
      </w:r>
      <w:r>
        <w:rPr>
          <w:rFonts w:hint="eastAsia" w:hAnsi="宋体"/>
          <w:color w:val="auto"/>
          <w:sz w:val="24"/>
          <w:highlight w:val="none"/>
        </w:rPr>
        <w:t>保护箱应包括在供货范围内</w:t>
      </w:r>
      <w:r>
        <w:rPr>
          <w:rFonts w:hAnsi="宋体"/>
          <w:color w:val="auto"/>
          <w:sz w:val="24"/>
          <w:highlight w:val="none"/>
        </w:rPr>
        <w:t>)</w:t>
      </w:r>
      <w:r>
        <w:rPr>
          <w:rFonts w:hint="eastAsia" w:hAnsi="宋体"/>
          <w:color w:val="auto"/>
          <w:sz w:val="24"/>
          <w:highlight w:val="none"/>
        </w:rPr>
        <w:t>。</w:t>
      </w:r>
    </w:p>
    <w:p w14:paraId="050665E1">
      <w:pPr>
        <w:spacing w:line="500" w:lineRule="exact"/>
        <w:ind w:firstLine="480" w:firstLineChars="200"/>
        <w:rPr>
          <w:rFonts w:hAnsi="宋体"/>
          <w:color w:val="auto"/>
          <w:sz w:val="24"/>
          <w:highlight w:val="none"/>
        </w:rPr>
      </w:pPr>
      <w:r>
        <w:rPr>
          <w:rFonts w:hint="eastAsia" w:hAnsi="宋体"/>
          <w:color w:val="auto"/>
          <w:sz w:val="24"/>
          <w:highlight w:val="none"/>
        </w:rPr>
        <w:t>（5）仪表的外壳设计要符合污水厂的环境要求，选用一定的材质加以涂料，使其耐用和防腐。</w:t>
      </w:r>
    </w:p>
    <w:p w14:paraId="3E61729E">
      <w:pPr>
        <w:spacing w:line="500" w:lineRule="exact"/>
        <w:ind w:firstLine="480" w:firstLineChars="200"/>
        <w:rPr>
          <w:rFonts w:hAnsi="宋体"/>
          <w:color w:val="auto"/>
          <w:sz w:val="24"/>
          <w:highlight w:val="none"/>
        </w:rPr>
      </w:pPr>
      <w:r>
        <w:rPr>
          <w:rFonts w:hint="eastAsia" w:hAnsi="宋体"/>
          <w:color w:val="auto"/>
          <w:sz w:val="24"/>
          <w:highlight w:val="none"/>
        </w:rPr>
        <w:t>（6）所选用的仪表必须是成套配备，包括仪表本身及所有安装所需的各种附件以及连接线。仪表系统是用来连续测量污水处理工艺流程中的主要参数，并将测量数据送入自动化系统。所有设备的安装调试应符合相关的GB/GT要求，无相关GB/GT时符合厂家安装调试要求。</w:t>
      </w:r>
    </w:p>
    <w:p w14:paraId="0CA7F125">
      <w:pPr>
        <w:spacing w:line="500" w:lineRule="exact"/>
        <w:ind w:firstLine="480" w:firstLineChars="200"/>
        <w:rPr>
          <w:rFonts w:hAnsi="宋体"/>
          <w:color w:val="auto"/>
          <w:sz w:val="24"/>
          <w:highlight w:val="none"/>
        </w:rPr>
      </w:pPr>
      <w:r>
        <w:rPr>
          <w:rFonts w:hint="eastAsia" w:hAnsi="宋体"/>
          <w:color w:val="auto"/>
          <w:sz w:val="24"/>
          <w:highlight w:val="none"/>
        </w:rPr>
        <w:t>（7）仪表的安装管件必须与连接管道相协调，统一标准，投标商应充分考虑仪表安装现场环境、结构情况，仪表设计应提供维修和校验的方便，使仪表支架便于拆卸、方便维护管理。</w:t>
      </w:r>
    </w:p>
    <w:p w14:paraId="5B540C07">
      <w:pPr>
        <w:spacing w:line="500" w:lineRule="exact"/>
        <w:ind w:firstLine="480" w:firstLineChars="200"/>
        <w:rPr>
          <w:rFonts w:hAnsi="宋体"/>
          <w:color w:val="auto"/>
          <w:sz w:val="24"/>
          <w:highlight w:val="none"/>
        </w:rPr>
      </w:pPr>
      <w:r>
        <w:rPr>
          <w:rFonts w:hint="eastAsia" w:hAnsi="宋体"/>
          <w:color w:val="auto"/>
          <w:sz w:val="24"/>
          <w:highlight w:val="none"/>
        </w:rPr>
        <w:t>（8）所有部件应有通用性和互换性。</w:t>
      </w:r>
    </w:p>
    <w:p w14:paraId="09CDAFC0">
      <w:pPr>
        <w:spacing w:line="500" w:lineRule="exact"/>
        <w:ind w:firstLine="480" w:firstLineChars="200"/>
        <w:rPr>
          <w:rFonts w:hAnsi="宋体"/>
          <w:color w:val="auto"/>
          <w:sz w:val="24"/>
          <w:highlight w:val="none"/>
        </w:rPr>
      </w:pPr>
      <w:r>
        <w:rPr>
          <w:rFonts w:hint="eastAsia" w:hAnsi="宋体"/>
          <w:color w:val="auto"/>
          <w:sz w:val="24"/>
          <w:highlight w:val="none"/>
        </w:rPr>
        <w:t>（9）室外仪表箱内应加装防雷模块。</w:t>
      </w:r>
    </w:p>
    <w:p w14:paraId="28BAD717">
      <w:pPr>
        <w:spacing w:line="500" w:lineRule="exact"/>
        <w:ind w:firstLine="480" w:firstLineChars="200"/>
        <w:rPr>
          <w:rFonts w:hAnsi="宋体"/>
          <w:color w:val="auto"/>
          <w:sz w:val="24"/>
          <w:highlight w:val="none"/>
        </w:rPr>
      </w:pPr>
      <w:r>
        <w:rPr>
          <w:rFonts w:hint="eastAsia" w:hAnsi="宋体"/>
          <w:color w:val="auto"/>
          <w:sz w:val="24"/>
          <w:highlight w:val="none"/>
        </w:rPr>
        <w:t>（10）仪表除内部专用电线外其它或与控制器间的信号等应采用屏蔽电缆。</w:t>
      </w:r>
    </w:p>
    <w:p w14:paraId="6A855EEE">
      <w:pPr>
        <w:spacing w:line="500" w:lineRule="exact"/>
        <w:ind w:firstLine="480" w:firstLineChars="200"/>
        <w:rPr>
          <w:rFonts w:hint="eastAsia" w:hAnsi="宋体"/>
          <w:color w:val="auto"/>
          <w:sz w:val="24"/>
          <w:highlight w:val="none"/>
        </w:rPr>
      </w:pPr>
      <w:r>
        <w:rPr>
          <w:rFonts w:hint="eastAsia" w:hAnsi="宋体"/>
          <w:color w:val="auto"/>
          <w:sz w:val="24"/>
          <w:highlight w:val="none"/>
        </w:rPr>
        <w:t>（11）仪表自控安装时需要的安装附件、连接件及开关电源等应包括在报价内。</w:t>
      </w:r>
    </w:p>
    <w:p w14:paraId="649DA939">
      <w:pPr>
        <w:spacing w:line="500" w:lineRule="exact"/>
        <w:ind w:firstLine="480" w:firstLineChars="200"/>
        <w:rPr>
          <w:rFonts w:hint="eastAsia" w:hAnsi="宋体"/>
          <w:color w:val="auto"/>
          <w:sz w:val="24"/>
          <w:highlight w:val="none"/>
        </w:rPr>
      </w:pPr>
      <w:r>
        <w:rPr>
          <w:rFonts w:hint="eastAsia" w:hAnsi="宋体"/>
          <w:color w:val="auto"/>
          <w:sz w:val="24"/>
          <w:highlight w:val="none"/>
        </w:rPr>
        <w:t>2、环境</w:t>
      </w:r>
    </w:p>
    <w:p w14:paraId="1AC9D08D">
      <w:pPr>
        <w:spacing w:line="500" w:lineRule="exact"/>
        <w:ind w:firstLine="480" w:firstLineChars="200"/>
        <w:rPr>
          <w:rFonts w:hAnsi="宋体"/>
          <w:color w:val="auto"/>
          <w:sz w:val="24"/>
          <w:highlight w:val="none"/>
        </w:rPr>
      </w:pPr>
      <w:r>
        <w:rPr>
          <w:rFonts w:hint="eastAsia" w:hAnsi="宋体"/>
          <w:color w:val="auto"/>
          <w:sz w:val="24"/>
          <w:highlight w:val="none"/>
        </w:rPr>
        <w:t>正常环境温度：-10℃～+50℃</w:t>
      </w:r>
    </w:p>
    <w:p w14:paraId="170F0A74">
      <w:pPr>
        <w:spacing w:line="500" w:lineRule="exact"/>
        <w:ind w:firstLine="480" w:firstLineChars="200"/>
        <w:rPr>
          <w:rFonts w:hAnsi="宋体"/>
          <w:color w:val="auto"/>
          <w:sz w:val="24"/>
          <w:highlight w:val="none"/>
        </w:rPr>
      </w:pPr>
      <w:r>
        <w:rPr>
          <w:rFonts w:hint="eastAsia" w:hAnsi="宋体"/>
          <w:color w:val="auto"/>
          <w:sz w:val="24"/>
          <w:highlight w:val="none"/>
        </w:rPr>
        <w:t>相对湿度：0～95% （无冷凝）</w:t>
      </w:r>
    </w:p>
    <w:p w14:paraId="096B338C">
      <w:pPr>
        <w:spacing w:line="500" w:lineRule="exact"/>
        <w:ind w:firstLine="480" w:firstLineChars="200"/>
        <w:rPr>
          <w:rFonts w:hAnsi="宋体"/>
          <w:color w:val="auto"/>
          <w:sz w:val="24"/>
          <w:highlight w:val="none"/>
        </w:rPr>
      </w:pPr>
      <w:r>
        <w:rPr>
          <w:rFonts w:hint="eastAsia" w:hAnsi="宋体"/>
          <w:color w:val="auto"/>
          <w:sz w:val="24"/>
          <w:highlight w:val="none"/>
        </w:rPr>
        <w:t>海拔高度：&lt;500m</w:t>
      </w:r>
    </w:p>
    <w:p w14:paraId="529ECD57">
      <w:pPr>
        <w:spacing w:line="500" w:lineRule="exact"/>
        <w:ind w:firstLine="480" w:firstLineChars="200"/>
        <w:rPr>
          <w:rFonts w:hAnsi="宋体"/>
          <w:color w:val="auto"/>
          <w:sz w:val="24"/>
          <w:highlight w:val="none"/>
        </w:rPr>
      </w:pPr>
      <w:r>
        <w:rPr>
          <w:rFonts w:hint="eastAsia" w:hAnsi="宋体"/>
          <w:color w:val="auto"/>
          <w:sz w:val="24"/>
          <w:highlight w:val="none"/>
        </w:rPr>
        <w:t>所有检测元件，变送器，安装支架及保护罩等材料应满足污水环境防腐蚀要求。</w:t>
      </w:r>
    </w:p>
    <w:p w14:paraId="2E072D6B">
      <w:pPr>
        <w:spacing w:line="500" w:lineRule="exact"/>
        <w:ind w:firstLine="480" w:firstLineChars="200"/>
        <w:rPr>
          <w:rFonts w:hint="eastAsia" w:hAnsi="宋体"/>
          <w:color w:val="auto"/>
          <w:sz w:val="24"/>
          <w:highlight w:val="none"/>
        </w:rPr>
      </w:pPr>
      <w:r>
        <w:rPr>
          <w:rFonts w:hint="eastAsia" w:hAnsi="宋体"/>
          <w:color w:val="auto"/>
          <w:sz w:val="24"/>
          <w:highlight w:val="none"/>
        </w:rPr>
        <w:t>在该环境下，所有设备必须能够正常工作，并达到文件所规定的可靠性和精度。</w:t>
      </w:r>
    </w:p>
    <w:p w14:paraId="17C58B7D">
      <w:pPr>
        <w:spacing w:line="500" w:lineRule="exact"/>
        <w:ind w:firstLine="480" w:firstLineChars="200"/>
        <w:rPr>
          <w:rFonts w:hAnsi="宋体"/>
          <w:color w:val="auto"/>
          <w:sz w:val="24"/>
          <w:highlight w:val="none"/>
        </w:rPr>
      </w:pPr>
      <w:r>
        <w:rPr>
          <w:rFonts w:hint="eastAsia" w:hAnsi="宋体"/>
          <w:color w:val="auto"/>
          <w:sz w:val="24"/>
          <w:highlight w:val="none"/>
        </w:rPr>
        <w:t>3、工作电源</w:t>
      </w:r>
    </w:p>
    <w:p w14:paraId="7A95C786">
      <w:pPr>
        <w:spacing w:line="500" w:lineRule="exact"/>
        <w:ind w:firstLine="480" w:firstLineChars="200"/>
        <w:rPr>
          <w:rFonts w:hAnsi="宋体"/>
          <w:color w:val="auto"/>
          <w:sz w:val="24"/>
          <w:highlight w:val="none"/>
        </w:rPr>
      </w:pPr>
      <w:r>
        <w:rPr>
          <w:rFonts w:hint="eastAsia" w:hAnsi="宋体"/>
          <w:color w:val="auto"/>
          <w:sz w:val="24"/>
          <w:highlight w:val="none"/>
        </w:rPr>
        <w:t>所有设备应由以下一种电源供给，详见设计要求：</w:t>
      </w:r>
    </w:p>
    <w:p w14:paraId="5ED11620">
      <w:pPr>
        <w:spacing w:line="500" w:lineRule="exact"/>
        <w:ind w:firstLine="480" w:firstLineChars="200"/>
        <w:rPr>
          <w:rFonts w:hAnsi="宋体"/>
          <w:color w:val="auto"/>
          <w:sz w:val="24"/>
          <w:highlight w:val="none"/>
        </w:rPr>
      </w:pPr>
      <w:r>
        <w:rPr>
          <w:rFonts w:hint="eastAsia" w:hAnsi="宋体"/>
          <w:color w:val="auto"/>
          <w:sz w:val="24"/>
          <w:highlight w:val="none"/>
        </w:rPr>
        <w:t>220VAC±10%，50HZ±1HZ；</w:t>
      </w:r>
    </w:p>
    <w:p w14:paraId="6C0171AE">
      <w:pPr>
        <w:spacing w:line="500" w:lineRule="exact"/>
        <w:ind w:firstLine="480" w:firstLineChars="200"/>
        <w:rPr>
          <w:rFonts w:hint="eastAsia" w:hAnsi="宋体"/>
          <w:color w:val="auto"/>
          <w:sz w:val="24"/>
          <w:highlight w:val="none"/>
        </w:rPr>
      </w:pPr>
      <w:r>
        <w:rPr>
          <w:rFonts w:hint="eastAsia" w:hAnsi="宋体"/>
          <w:color w:val="auto"/>
          <w:sz w:val="24"/>
          <w:highlight w:val="none"/>
        </w:rPr>
        <w:t>24VDC±</w:t>
      </w:r>
      <w:r>
        <w:rPr>
          <w:rFonts w:hAnsi="宋体"/>
          <w:color w:val="auto"/>
          <w:sz w:val="24"/>
          <w:highlight w:val="none"/>
        </w:rPr>
        <w:t>1</w:t>
      </w:r>
      <w:r>
        <w:rPr>
          <w:rFonts w:hint="eastAsia" w:hAnsi="宋体"/>
          <w:color w:val="auto"/>
          <w:sz w:val="24"/>
          <w:highlight w:val="none"/>
        </w:rPr>
        <w:t>%。</w:t>
      </w:r>
    </w:p>
    <w:p w14:paraId="79FA8206">
      <w:pPr>
        <w:spacing w:line="500" w:lineRule="exact"/>
        <w:ind w:firstLine="480" w:firstLineChars="200"/>
        <w:rPr>
          <w:rFonts w:hAnsi="宋体"/>
          <w:color w:val="auto"/>
          <w:sz w:val="24"/>
          <w:highlight w:val="none"/>
        </w:rPr>
      </w:pPr>
      <w:r>
        <w:rPr>
          <w:rFonts w:hint="eastAsia" w:hAnsi="宋体"/>
          <w:color w:val="auto"/>
          <w:sz w:val="24"/>
          <w:highlight w:val="none"/>
        </w:rPr>
        <w:t>4、防护等级</w:t>
      </w:r>
    </w:p>
    <w:p w14:paraId="2CB64568">
      <w:pPr>
        <w:spacing w:line="500" w:lineRule="exact"/>
        <w:ind w:firstLine="480" w:firstLineChars="200"/>
        <w:rPr>
          <w:rFonts w:hAnsi="宋体"/>
          <w:color w:val="auto"/>
          <w:sz w:val="24"/>
          <w:highlight w:val="none"/>
        </w:rPr>
      </w:pPr>
      <w:r>
        <w:rPr>
          <w:rFonts w:hint="eastAsia" w:hAnsi="宋体"/>
          <w:color w:val="auto"/>
          <w:sz w:val="24"/>
          <w:highlight w:val="none"/>
        </w:rPr>
        <w:t>机箱设备外壳等级严格按照IEC529标准执行。</w:t>
      </w:r>
    </w:p>
    <w:p w14:paraId="69B4860A">
      <w:pPr>
        <w:spacing w:line="500" w:lineRule="exact"/>
        <w:ind w:firstLine="480" w:firstLineChars="200"/>
        <w:rPr>
          <w:rFonts w:hAnsi="宋体"/>
          <w:color w:val="auto"/>
          <w:sz w:val="24"/>
          <w:highlight w:val="none"/>
        </w:rPr>
      </w:pPr>
      <w:r>
        <w:rPr>
          <w:rFonts w:hint="eastAsia" w:hAnsi="宋体"/>
          <w:color w:val="auto"/>
          <w:sz w:val="24"/>
          <w:highlight w:val="none"/>
        </w:rPr>
        <w:t>室内地面上设备等级≥IP54。</w:t>
      </w:r>
    </w:p>
    <w:p w14:paraId="1D6E1621">
      <w:pPr>
        <w:spacing w:line="500" w:lineRule="exact"/>
        <w:ind w:firstLine="480" w:firstLineChars="200"/>
        <w:rPr>
          <w:rFonts w:hAnsi="宋体"/>
          <w:color w:val="auto"/>
          <w:sz w:val="24"/>
          <w:highlight w:val="none"/>
        </w:rPr>
      </w:pPr>
      <w:r>
        <w:rPr>
          <w:rFonts w:hint="eastAsia" w:hAnsi="宋体"/>
          <w:color w:val="auto"/>
          <w:sz w:val="24"/>
          <w:highlight w:val="none"/>
        </w:rPr>
        <w:t>室外地面上设备等级≥IP65。</w:t>
      </w:r>
    </w:p>
    <w:p w14:paraId="3B21DA02">
      <w:pPr>
        <w:spacing w:line="500" w:lineRule="exact"/>
        <w:ind w:firstLine="480" w:firstLineChars="200"/>
        <w:rPr>
          <w:rFonts w:hint="eastAsia" w:hAnsi="宋体"/>
          <w:color w:val="auto"/>
          <w:sz w:val="24"/>
          <w:highlight w:val="none"/>
        </w:rPr>
      </w:pPr>
      <w:r>
        <w:rPr>
          <w:rFonts w:hint="eastAsia" w:hAnsi="宋体"/>
          <w:color w:val="auto"/>
          <w:sz w:val="24"/>
          <w:highlight w:val="none"/>
        </w:rPr>
        <w:t>安装在水下或其它类似地区的设备等级IP68。</w:t>
      </w:r>
    </w:p>
    <w:p w14:paraId="347A0E04">
      <w:pPr>
        <w:spacing w:line="500" w:lineRule="exact"/>
        <w:ind w:firstLine="480" w:firstLineChars="200"/>
        <w:rPr>
          <w:rFonts w:hAnsi="宋体"/>
          <w:color w:val="auto"/>
          <w:sz w:val="24"/>
          <w:highlight w:val="none"/>
        </w:rPr>
      </w:pPr>
      <w:r>
        <w:rPr>
          <w:rFonts w:hint="eastAsia" w:hAnsi="宋体"/>
          <w:color w:val="auto"/>
          <w:sz w:val="24"/>
          <w:highlight w:val="none"/>
        </w:rPr>
        <w:t>5、其他</w:t>
      </w:r>
    </w:p>
    <w:p w14:paraId="30DF948D">
      <w:pPr>
        <w:spacing w:line="500" w:lineRule="exact"/>
        <w:ind w:firstLine="480" w:firstLineChars="200"/>
        <w:rPr>
          <w:rFonts w:hAnsi="宋体"/>
          <w:color w:val="auto"/>
          <w:sz w:val="24"/>
          <w:highlight w:val="none"/>
        </w:rPr>
      </w:pPr>
      <w:r>
        <w:rPr>
          <w:rFonts w:hint="eastAsia" w:hAnsi="宋体"/>
          <w:color w:val="auto"/>
          <w:sz w:val="24"/>
          <w:highlight w:val="none"/>
        </w:rPr>
        <w:t>（1）应提供所需的辅助和附加装置。例：检测元件至变送器电，变送器安装支架，保护罩等。</w:t>
      </w:r>
    </w:p>
    <w:p w14:paraId="4F2F8BC8">
      <w:pPr>
        <w:spacing w:line="500" w:lineRule="exact"/>
        <w:ind w:firstLine="480" w:firstLineChars="200"/>
        <w:rPr>
          <w:rFonts w:hAnsi="宋体"/>
          <w:color w:val="auto"/>
          <w:sz w:val="24"/>
          <w:highlight w:val="none"/>
        </w:rPr>
      </w:pPr>
      <w:r>
        <w:rPr>
          <w:rFonts w:hint="eastAsia" w:hAnsi="宋体"/>
          <w:color w:val="auto"/>
          <w:sz w:val="24"/>
          <w:highlight w:val="none"/>
        </w:rPr>
        <w:t>（2）应提供厂家可靠的设计产品。</w:t>
      </w:r>
    </w:p>
    <w:p w14:paraId="2C51CDF8">
      <w:pPr>
        <w:spacing w:line="500" w:lineRule="exact"/>
        <w:ind w:firstLine="480" w:firstLineChars="200"/>
        <w:rPr>
          <w:rFonts w:hAnsi="宋体"/>
          <w:color w:val="auto"/>
          <w:sz w:val="24"/>
          <w:highlight w:val="none"/>
        </w:rPr>
      </w:pPr>
      <w:r>
        <w:rPr>
          <w:rFonts w:hint="eastAsia" w:hAnsi="宋体"/>
          <w:color w:val="auto"/>
          <w:sz w:val="24"/>
          <w:highlight w:val="none"/>
        </w:rPr>
        <w:t>（3）产品应易于维护和检查，并提供易损害的备用部件。</w:t>
      </w:r>
    </w:p>
    <w:p w14:paraId="41A4D4EB">
      <w:pPr>
        <w:spacing w:line="500" w:lineRule="exact"/>
        <w:ind w:firstLine="480" w:firstLineChars="200"/>
        <w:rPr>
          <w:rFonts w:hAnsi="宋体"/>
          <w:color w:val="auto"/>
          <w:sz w:val="24"/>
          <w:highlight w:val="none"/>
        </w:rPr>
      </w:pPr>
      <w:r>
        <w:rPr>
          <w:rFonts w:hint="eastAsia" w:hAnsi="宋体"/>
          <w:color w:val="auto"/>
          <w:sz w:val="24"/>
          <w:highlight w:val="none"/>
        </w:rPr>
        <w:t>（4）应符合国际通用标准和规范。</w:t>
      </w:r>
    </w:p>
    <w:p w14:paraId="538B1AF7">
      <w:pPr>
        <w:spacing w:line="500" w:lineRule="exact"/>
        <w:ind w:firstLine="480" w:firstLineChars="200"/>
        <w:rPr>
          <w:rFonts w:hAnsi="宋体"/>
          <w:color w:val="auto"/>
          <w:sz w:val="24"/>
          <w:highlight w:val="none"/>
        </w:rPr>
      </w:pPr>
      <w:r>
        <w:rPr>
          <w:rFonts w:hint="eastAsia" w:hAnsi="宋体"/>
          <w:color w:val="auto"/>
          <w:sz w:val="24"/>
          <w:highlight w:val="none"/>
        </w:rPr>
        <w:t>（5）应有零度和满度调整电路，并能方便地进行调整。</w:t>
      </w:r>
    </w:p>
    <w:p w14:paraId="19472F57">
      <w:pPr>
        <w:spacing w:line="500" w:lineRule="exact"/>
        <w:ind w:firstLine="480" w:firstLineChars="200"/>
        <w:rPr>
          <w:rFonts w:hAnsi="宋体"/>
          <w:color w:val="auto"/>
          <w:sz w:val="24"/>
          <w:highlight w:val="none"/>
        </w:rPr>
      </w:pPr>
      <w:r>
        <w:rPr>
          <w:rFonts w:hint="eastAsia" w:hAnsi="宋体"/>
          <w:color w:val="auto"/>
          <w:sz w:val="24"/>
          <w:highlight w:val="none"/>
        </w:rPr>
        <w:t>（6）应设计有温度补偿电路和抗干扰电路。</w:t>
      </w:r>
    </w:p>
    <w:p w14:paraId="4444B1F7">
      <w:pPr>
        <w:spacing w:line="500" w:lineRule="exact"/>
        <w:ind w:firstLine="480" w:firstLineChars="200"/>
        <w:rPr>
          <w:rFonts w:hAnsi="宋体"/>
          <w:color w:val="auto"/>
          <w:sz w:val="24"/>
          <w:highlight w:val="none"/>
        </w:rPr>
      </w:pPr>
      <w:r>
        <w:rPr>
          <w:rFonts w:hint="eastAsia" w:hAnsi="宋体"/>
          <w:color w:val="auto"/>
          <w:sz w:val="24"/>
          <w:highlight w:val="none"/>
        </w:rPr>
        <w:t>（7）检测精确度和响应时间应满足污水厂工艺和自控要求。</w:t>
      </w:r>
    </w:p>
    <w:p w14:paraId="7FE4ADE0">
      <w:pPr>
        <w:spacing w:line="500" w:lineRule="exact"/>
        <w:ind w:firstLine="480" w:firstLineChars="200"/>
        <w:rPr>
          <w:rFonts w:hAnsi="宋体"/>
          <w:color w:val="auto"/>
          <w:sz w:val="24"/>
          <w:highlight w:val="none"/>
        </w:rPr>
      </w:pPr>
      <w:r>
        <w:rPr>
          <w:rFonts w:hint="eastAsia" w:hAnsi="宋体"/>
          <w:color w:val="auto"/>
          <w:sz w:val="24"/>
          <w:highlight w:val="none"/>
        </w:rPr>
        <w:t>（8）应提供仪表维修保养用专用工具二套。</w:t>
      </w:r>
    </w:p>
    <w:p w14:paraId="58CFB736">
      <w:pPr>
        <w:spacing w:line="500" w:lineRule="exact"/>
        <w:ind w:firstLine="480" w:firstLineChars="200"/>
        <w:rPr>
          <w:rFonts w:hAnsi="宋体"/>
          <w:color w:val="auto"/>
          <w:sz w:val="24"/>
          <w:highlight w:val="none"/>
        </w:rPr>
      </w:pPr>
      <w:r>
        <w:rPr>
          <w:rFonts w:hint="eastAsia" w:hAnsi="宋体"/>
          <w:color w:val="auto"/>
          <w:sz w:val="24"/>
          <w:highlight w:val="none"/>
        </w:rPr>
        <w:t>（9）应提供仪表专用的试剂及电解液（2年使用）。</w:t>
      </w:r>
    </w:p>
    <w:p w14:paraId="1A27C56F">
      <w:pPr>
        <w:spacing w:line="500" w:lineRule="exact"/>
        <w:ind w:firstLine="480" w:firstLineChars="200"/>
        <w:rPr>
          <w:rFonts w:hAnsi="宋体"/>
          <w:color w:val="auto"/>
          <w:sz w:val="24"/>
          <w:highlight w:val="none"/>
        </w:rPr>
      </w:pPr>
      <w:r>
        <w:rPr>
          <w:rFonts w:hint="eastAsia" w:hAnsi="宋体"/>
          <w:color w:val="auto"/>
          <w:sz w:val="24"/>
          <w:highlight w:val="none"/>
        </w:rPr>
        <w:t>（10）投标人所供设备的测量范围必须与标书要求一致或函盖标书要求的范围。</w:t>
      </w:r>
    </w:p>
    <w:p w14:paraId="756AA24C">
      <w:pPr>
        <w:spacing w:line="500" w:lineRule="exact"/>
        <w:ind w:firstLine="480" w:firstLineChars="200"/>
        <w:rPr>
          <w:rFonts w:hAnsi="宋体"/>
          <w:color w:val="auto"/>
          <w:sz w:val="24"/>
          <w:highlight w:val="none"/>
        </w:rPr>
      </w:pPr>
      <w:r>
        <w:rPr>
          <w:rFonts w:hint="eastAsia" w:hAnsi="宋体"/>
          <w:color w:val="auto"/>
          <w:sz w:val="24"/>
          <w:highlight w:val="none"/>
        </w:rPr>
        <w:t>（11）必须提供专用试剂及电解液的配方（中标后提供配方）。</w:t>
      </w:r>
    </w:p>
    <w:p w14:paraId="4066E13A">
      <w:pPr>
        <w:spacing w:line="500" w:lineRule="exact"/>
        <w:ind w:firstLine="480" w:firstLineChars="200"/>
        <w:rPr>
          <w:rFonts w:hint="eastAsia" w:hAnsi="宋体"/>
          <w:color w:val="auto"/>
          <w:sz w:val="24"/>
          <w:highlight w:val="none"/>
        </w:rPr>
      </w:pPr>
      <w:r>
        <w:rPr>
          <w:rFonts w:hint="eastAsia" w:hAnsi="宋体"/>
          <w:color w:val="auto"/>
          <w:sz w:val="24"/>
          <w:highlight w:val="none"/>
        </w:rPr>
        <w:t>（12）仪表信号通过屏蔽电缆和PLC采集模块连接。</w:t>
      </w:r>
    </w:p>
    <w:p w14:paraId="61EB11D5">
      <w:pPr>
        <w:spacing w:line="500" w:lineRule="exact"/>
        <w:ind w:firstLine="480" w:firstLineChars="200"/>
        <w:rPr>
          <w:rFonts w:hAnsi="宋体"/>
          <w:color w:val="auto"/>
          <w:sz w:val="24"/>
          <w:highlight w:val="none"/>
        </w:rPr>
      </w:pPr>
      <w:r>
        <w:rPr>
          <w:rFonts w:hint="eastAsia" w:hAnsi="宋体"/>
          <w:color w:val="auto"/>
          <w:sz w:val="24"/>
          <w:highlight w:val="none"/>
        </w:rPr>
        <w:t>6、供货范围</w:t>
      </w:r>
    </w:p>
    <w:p w14:paraId="1709FC3B">
      <w:pPr>
        <w:spacing w:line="500" w:lineRule="exact"/>
        <w:ind w:firstLine="480" w:firstLineChars="200"/>
        <w:rPr>
          <w:rFonts w:hAnsi="宋体"/>
          <w:color w:val="auto"/>
          <w:sz w:val="24"/>
          <w:highlight w:val="none"/>
        </w:rPr>
      </w:pPr>
      <w:r>
        <w:rPr>
          <w:rFonts w:hint="eastAsia" w:hAnsi="宋体"/>
          <w:color w:val="auto"/>
          <w:sz w:val="24"/>
          <w:highlight w:val="none"/>
        </w:rPr>
        <w:t>总则：标准化的外观、运行、维修、备品备件以及制造商服务，所提供的设备必须是一个制造商的最终产品。</w:t>
      </w:r>
    </w:p>
    <w:p w14:paraId="2036FE8B">
      <w:pPr>
        <w:spacing w:line="500" w:lineRule="exact"/>
        <w:ind w:firstLine="480" w:firstLineChars="200"/>
        <w:rPr>
          <w:rFonts w:hAnsi="宋体"/>
          <w:color w:val="auto"/>
          <w:sz w:val="24"/>
          <w:highlight w:val="none"/>
        </w:rPr>
      </w:pPr>
      <w:r>
        <w:rPr>
          <w:rFonts w:hint="eastAsia" w:hAnsi="宋体"/>
          <w:color w:val="auto"/>
          <w:sz w:val="24"/>
          <w:highlight w:val="none"/>
        </w:rPr>
        <w:t>应提供所需的辅助和附加装置。例：检测元件至变送器电缆，变送器安装支架，保护罩等,应提供厂家可靠的设计产品,产品应易于维护和检查，并提供易损害的备用部件，应提供仪表维修保养用专用工具二套。</w:t>
      </w:r>
    </w:p>
    <w:p w14:paraId="156E2DCB">
      <w:pPr>
        <w:spacing w:line="500" w:lineRule="exact"/>
        <w:ind w:firstLine="480" w:firstLineChars="200"/>
        <w:rPr>
          <w:rFonts w:hAnsi="宋体"/>
          <w:color w:val="auto"/>
          <w:sz w:val="24"/>
          <w:highlight w:val="none"/>
        </w:rPr>
      </w:pPr>
      <w:r>
        <w:rPr>
          <w:rFonts w:hint="eastAsia" w:hAnsi="宋体"/>
          <w:color w:val="auto"/>
          <w:sz w:val="24"/>
          <w:highlight w:val="none"/>
        </w:rPr>
        <w:t>每台仪表应成套地配备安全、有效及可靠运行所需的附件。供货范围包括该设备所有部件的供应及概述及总则规定的各项服务，不论本标书是否指明，设备必须的部件也由投标人负责，由投标人商根据不同规格的设备数量决定备品规格，并在投标中给出所需2年的备品备件价格单列后计入总投标价中。</w:t>
      </w:r>
    </w:p>
    <w:p w14:paraId="65AC38A7">
      <w:pPr>
        <w:spacing w:line="500" w:lineRule="exact"/>
        <w:ind w:firstLine="480" w:firstLineChars="200"/>
        <w:rPr>
          <w:rFonts w:hint="eastAsia" w:hAnsi="宋体"/>
          <w:color w:val="auto"/>
          <w:sz w:val="24"/>
          <w:highlight w:val="none"/>
        </w:rPr>
      </w:pPr>
      <w:r>
        <w:rPr>
          <w:rFonts w:hint="eastAsia" w:hAnsi="宋体"/>
          <w:color w:val="auto"/>
          <w:sz w:val="24"/>
          <w:highlight w:val="none"/>
        </w:rPr>
        <w:t>投标人到工作现场进行工作，安装、检查，提交安装完毕的证明。进行调试运行，进行启动前的培训和工作现场培训。仪表设备检验、验收及业主员工的培训将按照费用计入投标总价中，并应在投标书中单独列出。</w:t>
      </w:r>
    </w:p>
    <w:p w14:paraId="18F4DA19">
      <w:pPr>
        <w:spacing w:line="500" w:lineRule="exact"/>
        <w:ind w:firstLine="480" w:firstLineChars="200"/>
        <w:rPr>
          <w:rFonts w:hAnsi="宋体"/>
          <w:color w:val="auto"/>
          <w:sz w:val="24"/>
          <w:highlight w:val="none"/>
        </w:rPr>
      </w:pPr>
      <w:r>
        <w:rPr>
          <w:rFonts w:hint="eastAsia" w:hAnsi="宋体"/>
          <w:color w:val="auto"/>
          <w:sz w:val="24"/>
          <w:highlight w:val="none"/>
        </w:rPr>
        <w:t>7、材质</w:t>
      </w:r>
    </w:p>
    <w:p w14:paraId="3FB17588">
      <w:pPr>
        <w:spacing w:line="500" w:lineRule="exact"/>
        <w:ind w:firstLine="480" w:firstLineChars="200"/>
        <w:rPr>
          <w:rFonts w:hAnsi="宋体"/>
          <w:color w:val="auto"/>
          <w:sz w:val="24"/>
          <w:highlight w:val="none"/>
        </w:rPr>
      </w:pPr>
      <w:r>
        <w:rPr>
          <w:rFonts w:hint="eastAsia" w:hAnsi="宋体"/>
          <w:color w:val="auto"/>
          <w:sz w:val="24"/>
          <w:highlight w:val="none"/>
        </w:rPr>
        <w:t>除技术文件中明文规定外，投标人应根据设备的使用环境，合理确定设备各部分的材质，以保证系统正常使用，并在投标书中标明各部件材质。</w:t>
      </w:r>
    </w:p>
    <w:p w14:paraId="183A5B56">
      <w:pPr>
        <w:spacing w:line="500" w:lineRule="exact"/>
        <w:ind w:firstLine="480" w:firstLineChars="200"/>
        <w:rPr>
          <w:rFonts w:hint="eastAsia" w:hAnsi="宋体"/>
          <w:color w:val="auto"/>
          <w:sz w:val="24"/>
          <w:highlight w:val="none"/>
        </w:rPr>
      </w:pPr>
      <w:r>
        <w:rPr>
          <w:rFonts w:hint="eastAsia" w:hAnsi="宋体"/>
          <w:color w:val="auto"/>
          <w:sz w:val="24"/>
          <w:highlight w:val="none"/>
        </w:rPr>
        <w:t>本包所有招标设备的全部材料应适用于污水腐蚀环境，保用10年。设备中的各部件应进行合理的防腐处理。具体作法由投标人确定，投标书中应予说明。</w:t>
      </w:r>
    </w:p>
    <w:p w14:paraId="6DFEB83A">
      <w:pPr>
        <w:spacing w:line="500" w:lineRule="exact"/>
        <w:ind w:firstLine="480" w:firstLineChars="200"/>
        <w:rPr>
          <w:rFonts w:hint="eastAsia" w:hAnsi="宋体"/>
          <w:color w:val="auto"/>
          <w:sz w:val="24"/>
          <w:highlight w:val="none"/>
        </w:rPr>
      </w:pPr>
      <w:r>
        <w:rPr>
          <w:rFonts w:hint="eastAsia" w:hAnsi="宋体"/>
          <w:color w:val="auto"/>
          <w:sz w:val="24"/>
          <w:highlight w:val="none"/>
        </w:rPr>
        <w:t>8、仪表性能要求</w:t>
      </w:r>
    </w:p>
    <w:p w14:paraId="543B6632">
      <w:pPr>
        <w:spacing w:line="500" w:lineRule="exact"/>
        <w:ind w:firstLine="482" w:firstLineChars="200"/>
        <w:rPr>
          <w:rFonts w:hAnsi="宋体"/>
          <w:b/>
          <w:color w:val="auto"/>
          <w:sz w:val="24"/>
          <w:highlight w:val="none"/>
        </w:rPr>
      </w:pPr>
      <w:r>
        <w:rPr>
          <w:rFonts w:hint="eastAsia" w:hAnsi="宋体"/>
          <w:b/>
          <w:color w:val="auto"/>
          <w:sz w:val="24"/>
          <w:highlight w:val="none"/>
        </w:rPr>
        <w:t>分体式超声波液位（差）计</w:t>
      </w:r>
    </w:p>
    <w:p w14:paraId="57DF257A">
      <w:pPr>
        <w:spacing w:line="500" w:lineRule="exact"/>
        <w:ind w:firstLine="480" w:firstLineChars="200"/>
        <w:rPr>
          <w:rFonts w:hAnsi="宋体"/>
          <w:color w:val="auto"/>
          <w:sz w:val="24"/>
          <w:highlight w:val="none"/>
        </w:rPr>
      </w:pPr>
      <w:r>
        <w:rPr>
          <w:rFonts w:hint="eastAsia" w:hAnsi="宋体"/>
          <w:color w:val="auto"/>
          <w:sz w:val="24"/>
          <w:highlight w:val="none"/>
        </w:rPr>
        <w:t>（1）用途：用于测量、指示和传送液位或液位差信号；</w:t>
      </w:r>
    </w:p>
    <w:p w14:paraId="34B9DD00">
      <w:pPr>
        <w:spacing w:line="500" w:lineRule="exact"/>
        <w:ind w:firstLine="480" w:firstLineChars="200"/>
        <w:rPr>
          <w:rFonts w:hAnsi="宋体"/>
          <w:color w:val="auto"/>
          <w:sz w:val="24"/>
          <w:highlight w:val="none"/>
        </w:rPr>
      </w:pPr>
      <w:r>
        <w:rPr>
          <w:rFonts w:hint="eastAsia" w:hAnsi="宋体"/>
          <w:color w:val="auto"/>
          <w:sz w:val="24"/>
          <w:highlight w:val="none"/>
        </w:rPr>
        <w:t>（2）组成：水位传感器、变送器及全部安装附件和电缆；</w:t>
      </w:r>
    </w:p>
    <w:p w14:paraId="35CA1848">
      <w:pPr>
        <w:spacing w:line="500" w:lineRule="exact"/>
        <w:ind w:firstLine="480" w:firstLineChars="200"/>
        <w:rPr>
          <w:rFonts w:hAnsi="宋体"/>
          <w:color w:val="auto"/>
          <w:sz w:val="24"/>
          <w:highlight w:val="none"/>
        </w:rPr>
      </w:pPr>
      <w:r>
        <w:rPr>
          <w:rFonts w:hint="eastAsia" w:hAnsi="宋体"/>
          <w:color w:val="auto"/>
          <w:sz w:val="24"/>
          <w:highlight w:val="none"/>
        </w:rPr>
        <w:t>（3）测量原理：超声波原理；</w:t>
      </w:r>
    </w:p>
    <w:p w14:paraId="121F1440">
      <w:pPr>
        <w:spacing w:line="500" w:lineRule="exact"/>
        <w:ind w:firstLine="480" w:firstLineChars="200"/>
        <w:rPr>
          <w:rFonts w:hAnsi="宋体"/>
          <w:color w:val="auto"/>
          <w:sz w:val="24"/>
          <w:highlight w:val="none"/>
        </w:rPr>
      </w:pPr>
      <w:r>
        <w:rPr>
          <w:rFonts w:hint="eastAsia" w:hAnsi="宋体"/>
          <w:color w:val="auto"/>
          <w:sz w:val="24"/>
          <w:highlight w:val="none"/>
        </w:rPr>
        <w:t>（4）测量范围：见清单</w:t>
      </w:r>
    </w:p>
    <w:p w14:paraId="30DB57CD">
      <w:pPr>
        <w:spacing w:line="500" w:lineRule="exact"/>
        <w:ind w:firstLine="480" w:firstLineChars="200"/>
        <w:rPr>
          <w:rFonts w:hAnsi="宋体"/>
          <w:color w:val="auto"/>
          <w:sz w:val="24"/>
          <w:highlight w:val="none"/>
        </w:rPr>
      </w:pPr>
      <w:r>
        <w:rPr>
          <w:rFonts w:hint="eastAsia" w:hAnsi="宋体"/>
          <w:color w:val="auto"/>
          <w:sz w:val="24"/>
          <w:highlight w:val="none"/>
        </w:rPr>
        <w:t>（5）传感器：</w:t>
      </w:r>
    </w:p>
    <w:p w14:paraId="4E0650BD">
      <w:pPr>
        <w:spacing w:line="500" w:lineRule="exact"/>
        <w:ind w:firstLine="720" w:firstLineChars="300"/>
        <w:rPr>
          <w:rFonts w:hAnsi="宋体"/>
          <w:color w:val="auto"/>
          <w:sz w:val="24"/>
          <w:highlight w:val="none"/>
        </w:rPr>
      </w:pPr>
      <w:r>
        <w:rPr>
          <w:rFonts w:hint="eastAsia" w:hAnsi="宋体"/>
          <w:color w:val="auto"/>
          <w:sz w:val="24"/>
          <w:highlight w:val="none"/>
        </w:rPr>
        <w:t>1）盲区：</w:t>
      </w:r>
      <w:r>
        <w:rPr>
          <w:rFonts w:hAnsi="宋体"/>
          <w:color w:val="auto"/>
          <w:sz w:val="24"/>
          <w:highlight w:val="none"/>
        </w:rPr>
        <w:t>≤0.</w:t>
      </w:r>
      <w:r>
        <w:rPr>
          <w:rFonts w:hint="eastAsia" w:hAnsi="宋体"/>
          <w:color w:val="auto"/>
          <w:sz w:val="24"/>
          <w:highlight w:val="none"/>
        </w:rPr>
        <w:t>3米；</w:t>
      </w:r>
    </w:p>
    <w:p w14:paraId="6338B27A">
      <w:pPr>
        <w:spacing w:line="500" w:lineRule="exact"/>
        <w:ind w:firstLine="720" w:firstLineChars="300"/>
        <w:rPr>
          <w:rFonts w:hAnsi="宋体"/>
          <w:color w:val="auto"/>
          <w:sz w:val="24"/>
          <w:highlight w:val="none"/>
        </w:rPr>
      </w:pPr>
      <w:r>
        <w:rPr>
          <w:rFonts w:hint="eastAsia" w:hAnsi="宋体"/>
          <w:color w:val="auto"/>
          <w:sz w:val="24"/>
          <w:highlight w:val="none"/>
        </w:rPr>
        <w:t>2）波束角：</w:t>
      </w:r>
      <w:r>
        <w:rPr>
          <w:rFonts w:hAnsi="宋体"/>
          <w:color w:val="auto"/>
          <w:sz w:val="24"/>
          <w:highlight w:val="none"/>
        </w:rPr>
        <w:t>≤</w:t>
      </w:r>
      <w:r>
        <w:rPr>
          <w:rFonts w:hint="eastAsia" w:hAnsi="宋体"/>
          <w:color w:val="auto"/>
          <w:sz w:val="24"/>
          <w:highlight w:val="none"/>
        </w:rPr>
        <w:t>11</w:t>
      </w:r>
      <w:r>
        <w:rPr>
          <w:rFonts w:hAnsi="宋体"/>
          <w:color w:val="auto"/>
          <w:sz w:val="24"/>
          <w:highlight w:val="none"/>
        </w:rPr>
        <w:t>°</w:t>
      </w:r>
      <w:r>
        <w:rPr>
          <w:rFonts w:hint="eastAsia" w:hAnsi="宋体"/>
          <w:color w:val="auto"/>
          <w:sz w:val="24"/>
          <w:highlight w:val="none"/>
        </w:rPr>
        <w:t>；</w:t>
      </w:r>
    </w:p>
    <w:p w14:paraId="19F534AB">
      <w:pPr>
        <w:spacing w:line="500" w:lineRule="exact"/>
        <w:ind w:firstLine="720" w:firstLineChars="300"/>
        <w:rPr>
          <w:rFonts w:hAnsi="宋体"/>
          <w:color w:val="auto"/>
          <w:sz w:val="24"/>
          <w:highlight w:val="none"/>
        </w:rPr>
      </w:pPr>
      <w:r>
        <w:rPr>
          <w:rFonts w:hint="eastAsia" w:hAnsi="宋体"/>
          <w:color w:val="auto"/>
          <w:sz w:val="24"/>
          <w:highlight w:val="none"/>
        </w:rPr>
        <w:t>3）测量精度：±</w:t>
      </w:r>
      <w:r>
        <w:rPr>
          <w:rFonts w:hAnsi="宋体"/>
          <w:color w:val="auto"/>
          <w:sz w:val="24"/>
          <w:highlight w:val="none"/>
        </w:rPr>
        <w:t xml:space="preserve">2mm + </w:t>
      </w:r>
      <w:r>
        <w:rPr>
          <w:rFonts w:hint="eastAsia" w:hAnsi="宋体"/>
          <w:color w:val="auto"/>
          <w:sz w:val="24"/>
          <w:highlight w:val="none"/>
        </w:rPr>
        <w:t>测量距离的</w:t>
      </w:r>
      <w:r>
        <w:rPr>
          <w:rFonts w:hAnsi="宋体"/>
          <w:color w:val="auto"/>
          <w:sz w:val="24"/>
          <w:highlight w:val="none"/>
        </w:rPr>
        <w:t>+0.17%</w:t>
      </w:r>
      <w:r>
        <w:rPr>
          <w:rFonts w:hint="eastAsia" w:hAnsi="宋体"/>
          <w:color w:val="auto"/>
          <w:sz w:val="24"/>
          <w:highlight w:val="none"/>
        </w:rPr>
        <w:t>；</w:t>
      </w:r>
    </w:p>
    <w:p w14:paraId="3637270A">
      <w:pPr>
        <w:spacing w:line="500" w:lineRule="exact"/>
        <w:ind w:firstLine="720" w:firstLineChars="300"/>
        <w:rPr>
          <w:rFonts w:hAnsi="宋体"/>
          <w:color w:val="auto"/>
          <w:sz w:val="24"/>
          <w:highlight w:val="none"/>
        </w:rPr>
      </w:pPr>
      <w:r>
        <w:rPr>
          <w:rFonts w:hint="eastAsia" w:hAnsi="宋体"/>
          <w:color w:val="auto"/>
          <w:sz w:val="24"/>
          <w:highlight w:val="none"/>
        </w:rPr>
        <w:t>4）频率：43</w:t>
      </w:r>
      <w:r>
        <w:rPr>
          <w:rFonts w:hAnsi="宋体"/>
          <w:color w:val="auto"/>
          <w:sz w:val="24"/>
          <w:highlight w:val="none"/>
        </w:rPr>
        <w:t>KHZ</w:t>
      </w:r>
      <w:r>
        <w:rPr>
          <w:rFonts w:hint="eastAsia" w:hAnsi="宋体"/>
          <w:color w:val="auto"/>
          <w:sz w:val="24"/>
          <w:highlight w:val="none"/>
        </w:rPr>
        <w:t>；</w:t>
      </w:r>
    </w:p>
    <w:p w14:paraId="421607B4">
      <w:pPr>
        <w:spacing w:line="500" w:lineRule="exact"/>
        <w:ind w:firstLine="720" w:firstLineChars="300"/>
        <w:rPr>
          <w:rFonts w:hAnsi="宋体"/>
          <w:color w:val="auto"/>
          <w:sz w:val="24"/>
          <w:highlight w:val="none"/>
        </w:rPr>
      </w:pPr>
      <w:r>
        <w:rPr>
          <w:rFonts w:hint="eastAsia" w:hAnsi="宋体"/>
          <w:color w:val="auto"/>
          <w:sz w:val="24"/>
          <w:highlight w:val="none"/>
        </w:rPr>
        <w:t>5）过程温度：-40℃~80℃；</w:t>
      </w:r>
    </w:p>
    <w:p w14:paraId="284180DB">
      <w:pPr>
        <w:spacing w:line="500" w:lineRule="exact"/>
        <w:ind w:firstLine="720" w:firstLineChars="300"/>
        <w:rPr>
          <w:rFonts w:hAnsi="宋体"/>
          <w:color w:val="auto"/>
          <w:sz w:val="24"/>
          <w:highlight w:val="none"/>
        </w:rPr>
      </w:pPr>
      <w:r>
        <w:rPr>
          <w:rFonts w:hint="eastAsia" w:hAnsi="宋体"/>
          <w:color w:val="auto"/>
          <w:sz w:val="24"/>
          <w:highlight w:val="none"/>
        </w:rPr>
        <w:t>6）传感器防腐性能：PVDF密封焊接，有高的抗化学腐蚀力；</w:t>
      </w:r>
    </w:p>
    <w:p w14:paraId="2F79922E">
      <w:pPr>
        <w:spacing w:line="500" w:lineRule="exact"/>
        <w:ind w:firstLine="720" w:firstLineChars="300"/>
        <w:rPr>
          <w:rFonts w:hAnsi="宋体"/>
          <w:color w:val="auto"/>
          <w:sz w:val="24"/>
          <w:highlight w:val="none"/>
        </w:rPr>
      </w:pPr>
      <w:r>
        <w:rPr>
          <w:rFonts w:hint="eastAsia" w:hAnsi="宋体"/>
          <w:color w:val="auto"/>
          <w:sz w:val="24"/>
          <w:highlight w:val="none"/>
        </w:rPr>
        <w:t>7）防护等级：传感器IP68/NEMA6；</w:t>
      </w:r>
    </w:p>
    <w:p w14:paraId="207D4F8F">
      <w:pPr>
        <w:spacing w:line="500" w:lineRule="exact"/>
        <w:ind w:firstLine="720" w:firstLineChars="300"/>
        <w:rPr>
          <w:rFonts w:hAnsi="宋体"/>
          <w:color w:val="auto"/>
          <w:sz w:val="24"/>
          <w:highlight w:val="none"/>
        </w:rPr>
      </w:pPr>
      <w:r>
        <w:rPr>
          <w:rFonts w:hint="eastAsia" w:hAnsi="宋体"/>
          <w:color w:val="auto"/>
          <w:sz w:val="24"/>
          <w:highlight w:val="none"/>
        </w:rPr>
        <w:t>8）自清洗：带探头自清洗功能；</w:t>
      </w:r>
    </w:p>
    <w:p w14:paraId="4748B41F">
      <w:pPr>
        <w:spacing w:line="500" w:lineRule="exact"/>
        <w:ind w:firstLine="720" w:firstLineChars="300"/>
        <w:rPr>
          <w:rFonts w:hAnsi="宋体"/>
          <w:color w:val="auto"/>
          <w:sz w:val="24"/>
          <w:highlight w:val="none"/>
        </w:rPr>
      </w:pPr>
      <w:r>
        <w:rPr>
          <w:rFonts w:hint="eastAsia" w:hAnsi="宋体"/>
          <w:color w:val="auto"/>
          <w:sz w:val="24"/>
          <w:highlight w:val="none"/>
        </w:rPr>
        <w:t>9）电缆长度：10米，可选，最长可达300米；</w:t>
      </w:r>
    </w:p>
    <w:p w14:paraId="601A350C">
      <w:pPr>
        <w:spacing w:line="500" w:lineRule="exact"/>
        <w:ind w:firstLine="720" w:firstLineChars="300"/>
        <w:rPr>
          <w:rFonts w:hAnsi="宋体"/>
          <w:color w:val="auto"/>
          <w:sz w:val="24"/>
          <w:highlight w:val="none"/>
        </w:rPr>
      </w:pPr>
      <w:r>
        <w:rPr>
          <w:rFonts w:hint="eastAsia" w:hAnsi="宋体"/>
          <w:color w:val="auto"/>
          <w:sz w:val="24"/>
          <w:highlight w:val="none"/>
        </w:rPr>
        <w:t>10）安装方式：传感器支架安装。</w:t>
      </w:r>
    </w:p>
    <w:p w14:paraId="4DB42518">
      <w:pPr>
        <w:spacing w:line="500" w:lineRule="exact"/>
        <w:ind w:firstLine="480" w:firstLineChars="200"/>
        <w:rPr>
          <w:rFonts w:hAnsi="宋体"/>
          <w:color w:val="auto"/>
          <w:sz w:val="24"/>
          <w:highlight w:val="none"/>
        </w:rPr>
      </w:pPr>
      <w:r>
        <w:rPr>
          <w:rFonts w:hint="eastAsia" w:hAnsi="宋体"/>
          <w:color w:val="auto"/>
          <w:sz w:val="24"/>
          <w:highlight w:val="none"/>
        </w:rPr>
        <w:t>（6）变送器：</w:t>
      </w:r>
    </w:p>
    <w:p w14:paraId="7BD99FD6">
      <w:pPr>
        <w:spacing w:line="500" w:lineRule="exact"/>
        <w:ind w:firstLine="720" w:firstLineChars="300"/>
        <w:rPr>
          <w:rFonts w:hAnsi="宋体"/>
          <w:color w:val="auto"/>
          <w:sz w:val="24"/>
          <w:highlight w:val="none"/>
        </w:rPr>
      </w:pPr>
      <w:r>
        <w:rPr>
          <w:rFonts w:hint="eastAsia" w:hAnsi="宋体"/>
          <w:color w:val="auto"/>
          <w:sz w:val="24"/>
          <w:highlight w:val="none"/>
        </w:rPr>
        <w:t>1）环境温度：-40℃~60℃；</w:t>
      </w:r>
    </w:p>
    <w:p w14:paraId="6FF58B40">
      <w:pPr>
        <w:spacing w:line="500" w:lineRule="exact"/>
        <w:ind w:firstLine="720" w:firstLineChars="300"/>
        <w:rPr>
          <w:rFonts w:hAnsi="宋体"/>
          <w:color w:val="auto"/>
          <w:sz w:val="24"/>
          <w:highlight w:val="none"/>
        </w:rPr>
      </w:pPr>
      <w:r>
        <w:rPr>
          <w:rFonts w:hint="eastAsia" w:hAnsi="宋体"/>
          <w:color w:val="auto"/>
          <w:sz w:val="24"/>
          <w:highlight w:val="none"/>
        </w:rPr>
        <w:t>2）</w:t>
      </w:r>
      <w:r>
        <w:rPr>
          <w:rFonts w:hAnsi="宋体"/>
          <w:color w:val="auto"/>
          <w:sz w:val="24"/>
          <w:highlight w:val="none"/>
        </w:rPr>
        <w:t>防护等级</w:t>
      </w:r>
      <w:r>
        <w:rPr>
          <w:rFonts w:hint="eastAsia" w:hAnsi="宋体"/>
          <w:color w:val="auto"/>
          <w:sz w:val="24"/>
          <w:highlight w:val="none"/>
        </w:rPr>
        <w:t>：IP65；</w:t>
      </w:r>
    </w:p>
    <w:p w14:paraId="7C96B8B3">
      <w:pPr>
        <w:spacing w:line="500" w:lineRule="exact"/>
        <w:ind w:firstLine="720" w:firstLineChars="300"/>
        <w:rPr>
          <w:rFonts w:hAnsi="宋体"/>
          <w:color w:val="auto"/>
          <w:sz w:val="24"/>
          <w:highlight w:val="none"/>
        </w:rPr>
      </w:pPr>
      <w:r>
        <w:rPr>
          <w:rFonts w:hint="eastAsia" w:hAnsi="宋体"/>
          <w:color w:val="auto"/>
          <w:sz w:val="24"/>
          <w:highlight w:val="none"/>
        </w:rPr>
        <w:t>3）显示：LCD带背光图形显示，带按键操作，有操作帮助菜单，可提供波形包络线显示，抑制水面强烈干扰；</w:t>
      </w:r>
    </w:p>
    <w:p w14:paraId="593C7B94">
      <w:pPr>
        <w:spacing w:line="500" w:lineRule="exact"/>
        <w:ind w:firstLine="720" w:firstLineChars="300"/>
        <w:rPr>
          <w:rFonts w:hAnsi="宋体"/>
          <w:color w:val="auto"/>
          <w:sz w:val="24"/>
          <w:highlight w:val="none"/>
        </w:rPr>
      </w:pPr>
      <w:r>
        <w:rPr>
          <w:rFonts w:hint="eastAsia" w:hAnsi="宋体"/>
          <w:color w:val="auto"/>
          <w:sz w:val="24"/>
          <w:highlight w:val="none"/>
        </w:rPr>
        <w:t xml:space="preserve">4）输出信号：4～20mA+hart； </w:t>
      </w:r>
    </w:p>
    <w:p w14:paraId="7744F608">
      <w:pPr>
        <w:spacing w:line="500" w:lineRule="exact"/>
        <w:ind w:firstLine="720" w:firstLineChars="300"/>
        <w:rPr>
          <w:rFonts w:hAnsi="宋体"/>
          <w:color w:val="auto"/>
          <w:sz w:val="24"/>
          <w:highlight w:val="none"/>
        </w:rPr>
      </w:pPr>
      <w:r>
        <w:rPr>
          <w:rFonts w:hint="eastAsia" w:hAnsi="宋体"/>
          <w:color w:val="auto"/>
          <w:sz w:val="24"/>
          <w:highlight w:val="none"/>
        </w:rPr>
        <w:t>5）电源：90~</w:t>
      </w:r>
      <w:r>
        <w:rPr>
          <w:rFonts w:hAnsi="宋体"/>
          <w:color w:val="auto"/>
          <w:sz w:val="24"/>
          <w:highlight w:val="none"/>
        </w:rPr>
        <w:t>2</w:t>
      </w:r>
      <w:r>
        <w:rPr>
          <w:rFonts w:hint="eastAsia" w:hAnsi="宋体"/>
          <w:color w:val="auto"/>
          <w:sz w:val="24"/>
          <w:highlight w:val="none"/>
        </w:rPr>
        <w:t>53</w:t>
      </w:r>
      <w:r>
        <w:rPr>
          <w:rFonts w:hAnsi="宋体"/>
          <w:color w:val="auto"/>
          <w:sz w:val="24"/>
          <w:highlight w:val="none"/>
        </w:rPr>
        <w:t>V</w:t>
      </w:r>
      <w:r>
        <w:rPr>
          <w:rFonts w:hint="eastAsia" w:hAnsi="宋体"/>
          <w:color w:val="auto"/>
          <w:sz w:val="24"/>
          <w:highlight w:val="none"/>
        </w:rPr>
        <w:t>AC 50HZ，断电自动储存系统数据；</w:t>
      </w:r>
    </w:p>
    <w:p w14:paraId="21287082">
      <w:pPr>
        <w:spacing w:line="500" w:lineRule="exact"/>
        <w:ind w:firstLine="720" w:firstLineChars="300"/>
        <w:rPr>
          <w:rFonts w:hAnsi="宋体"/>
          <w:color w:val="auto"/>
          <w:sz w:val="24"/>
          <w:highlight w:val="none"/>
        </w:rPr>
      </w:pPr>
      <w:r>
        <w:rPr>
          <w:rFonts w:hint="eastAsia" w:hAnsi="宋体"/>
          <w:color w:val="auto"/>
          <w:sz w:val="24"/>
          <w:highlight w:val="none"/>
        </w:rPr>
        <w:t>6）限位检测：最多可带6个继电器；</w:t>
      </w:r>
    </w:p>
    <w:p w14:paraId="5E724955">
      <w:pPr>
        <w:spacing w:line="500" w:lineRule="exact"/>
        <w:ind w:firstLine="720" w:firstLineChars="300"/>
        <w:rPr>
          <w:rFonts w:hint="eastAsia" w:hAnsi="宋体"/>
          <w:color w:val="auto"/>
          <w:sz w:val="24"/>
          <w:highlight w:val="none"/>
        </w:rPr>
      </w:pPr>
      <w:r>
        <w:rPr>
          <w:rFonts w:hint="eastAsia" w:hAnsi="宋体"/>
          <w:color w:val="auto"/>
          <w:sz w:val="24"/>
          <w:highlight w:val="none"/>
        </w:rPr>
        <w:t>7）安装方式：变送器挂墙安装。</w:t>
      </w:r>
    </w:p>
    <w:p w14:paraId="01398C6C">
      <w:pPr>
        <w:spacing w:line="500" w:lineRule="exact"/>
        <w:ind w:firstLine="482" w:firstLineChars="200"/>
        <w:rPr>
          <w:rFonts w:hint="eastAsia" w:hAnsi="宋体"/>
          <w:b/>
          <w:color w:val="auto"/>
          <w:sz w:val="24"/>
          <w:highlight w:val="none"/>
        </w:rPr>
      </w:pPr>
      <w:r>
        <w:rPr>
          <w:rFonts w:hint="eastAsia" w:hAnsi="宋体"/>
          <w:b/>
          <w:color w:val="auto"/>
          <w:sz w:val="24"/>
          <w:highlight w:val="none"/>
        </w:rPr>
        <w:t>电磁流量计</w:t>
      </w:r>
    </w:p>
    <w:p w14:paraId="5ABE8227">
      <w:pPr>
        <w:spacing w:line="500" w:lineRule="exact"/>
        <w:ind w:firstLine="480" w:firstLineChars="200"/>
        <w:rPr>
          <w:rFonts w:hAnsi="宋体"/>
          <w:color w:val="auto"/>
          <w:sz w:val="24"/>
          <w:highlight w:val="none"/>
        </w:rPr>
      </w:pPr>
      <w:r>
        <w:rPr>
          <w:rFonts w:hint="eastAsia" w:hAnsi="宋体"/>
          <w:color w:val="auto"/>
          <w:sz w:val="24"/>
          <w:highlight w:val="none"/>
        </w:rPr>
        <w:t>（1）用途：用于测量流量信号，并显示、传送输出信号到PLC。</w:t>
      </w:r>
    </w:p>
    <w:p w14:paraId="0B589352">
      <w:pPr>
        <w:spacing w:line="500" w:lineRule="exact"/>
        <w:ind w:firstLine="480" w:firstLineChars="200"/>
        <w:rPr>
          <w:rFonts w:hAnsi="宋体"/>
          <w:color w:val="auto"/>
          <w:sz w:val="24"/>
          <w:highlight w:val="none"/>
        </w:rPr>
      </w:pPr>
      <w:r>
        <w:rPr>
          <w:rFonts w:hint="eastAsia" w:hAnsi="宋体"/>
          <w:color w:val="auto"/>
          <w:sz w:val="24"/>
          <w:highlight w:val="none"/>
        </w:rPr>
        <w:t>（2）类型：传感器与变送器分体式安装，现场显示瞬时流量和累计流量。</w:t>
      </w:r>
    </w:p>
    <w:p w14:paraId="30F13FE1">
      <w:pPr>
        <w:spacing w:line="50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技术参数</w:t>
      </w:r>
    </w:p>
    <w:p w14:paraId="77A3DCFF">
      <w:pPr>
        <w:spacing w:line="500" w:lineRule="exact"/>
        <w:ind w:firstLine="480" w:firstLineChars="200"/>
        <w:rPr>
          <w:rFonts w:hAnsi="宋体"/>
          <w:color w:val="auto"/>
          <w:sz w:val="24"/>
          <w:highlight w:val="none"/>
        </w:rPr>
      </w:pPr>
      <w:r>
        <w:rPr>
          <w:rFonts w:hint="eastAsia" w:hAnsi="宋体"/>
          <w:color w:val="auto"/>
          <w:sz w:val="24"/>
          <w:highlight w:val="none"/>
        </w:rPr>
        <w:t>1）工作压力（公称压力）：1.0MPa；</w:t>
      </w:r>
    </w:p>
    <w:p w14:paraId="3C656B73">
      <w:pPr>
        <w:spacing w:line="50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电极材料：316L</w:t>
      </w:r>
      <w:r>
        <w:rPr>
          <w:rFonts w:hint="eastAsia" w:hAnsi="宋体"/>
          <w:color w:val="auto"/>
          <w:sz w:val="24"/>
          <w:highlight w:val="none"/>
        </w:rPr>
        <w:t>；</w:t>
      </w:r>
    </w:p>
    <w:p w14:paraId="7FF1821E">
      <w:pPr>
        <w:spacing w:line="50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衬里材料：</w:t>
      </w:r>
      <w:r>
        <w:rPr>
          <w:rFonts w:hint="eastAsia" w:hAnsi="宋体"/>
          <w:color w:val="auto"/>
          <w:sz w:val="24"/>
          <w:highlight w:val="none"/>
        </w:rPr>
        <w:t>采用</w:t>
      </w:r>
      <w:r>
        <w:rPr>
          <w:rFonts w:hAnsi="宋体"/>
          <w:color w:val="auto"/>
          <w:sz w:val="24"/>
          <w:highlight w:val="none"/>
        </w:rPr>
        <w:t>硬橡胶</w:t>
      </w:r>
      <w:r>
        <w:rPr>
          <w:rFonts w:hint="eastAsia" w:hAnsi="宋体"/>
          <w:color w:val="auto"/>
          <w:sz w:val="24"/>
          <w:highlight w:val="none"/>
        </w:rPr>
        <w:t>或氯丁橡胶；</w:t>
      </w:r>
    </w:p>
    <w:p w14:paraId="58A3900A">
      <w:pPr>
        <w:spacing w:line="500" w:lineRule="exact"/>
        <w:ind w:firstLine="480" w:firstLineChars="200"/>
        <w:rPr>
          <w:rFonts w:hint="eastAsia" w:hAnsi="宋体"/>
          <w:color w:val="auto"/>
          <w:sz w:val="24"/>
          <w:highlight w:val="none"/>
        </w:rPr>
      </w:pPr>
      <w:r>
        <w:rPr>
          <w:rFonts w:hint="eastAsia" w:hAnsi="宋体"/>
          <w:color w:val="auto"/>
          <w:sz w:val="24"/>
          <w:highlight w:val="none"/>
        </w:rPr>
        <w:t>4）测量误差：≤0.5%；</w:t>
      </w:r>
    </w:p>
    <w:p w14:paraId="1636B426">
      <w:pPr>
        <w:spacing w:line="500" w:lineRule="exact"/>
        <w:ind w:firstLine="480" w:firstLineChars="200"/>
        <w:rPr>
          <w:rFonts w:hint="eastAsia" w:hAnsi="宋体"/>
          <w:color w:val="auto"/>
          <w:sz w:val="24"/>
          <w:highlight w:val="none"/>
        </w:rPr>
      </w:pPr>
      <w:r>
        <w:rPr>
          <w:rFonts w:hint="eastAsia" w:hAnsi="宋体"/>
          <w:color w:val="auto"/>
          <w:sz w:val="24"/>
          <w:highlight w:val="none"/>
        </w:rPr>
        <w:t>5）稳定性：0.1%；</w:t>
      </w:r>
    </w:p>
    <w:p w14:paraId="225F1FD8">
      <w:pPr>
        <w:spacing w:line="500" w:lineRule="exact"/>
        <w:ind w:firstLine="480" w:firstLineChars="200"/>
        <w:rPr>
          <w:rFonts w:hint="eastAsia" w:hAnsi="宋体"/>
          <w:color w:val="auto"/>
          <w:sz w:val="24"/>
          <w:highlight w:val="none"/>
        </w:rPr>
      </w:pPr>
      <w:r>
        <w:rPr>
          <w:rFonts w:hint="eastAsia" w:hAnsi="宋体"/>
          <w:color w:val="auto"/>
          <w:sz w:val="24"/>
          <w:highlight w:val="none"/>
        </w:rPr>
        <w:t xml:space="preserve">6）重复性：≤0.1%fs； </w:t>
      </w:r>
    </w:p>
    <w:p w14:paraId="6B2B4A7E">
      <w:pPr>
        <w:spacing w:line="500" w:lineRule="exact"/>
        <w:ind w:firstLine="480" w:firstLineChars="200"/>
        <w:rPr>
          <w:rFonts w:hint="eastAsia" w:hAnsi="宋体"/>
          <w:color w:val="auto"/>
          <w:sz w:val="24"/>
          <w:highlight w:val="none"/>
        </w:rPr>
      </w:pPr>
      <w:r>
        <w:rPr>
          <w:rFonts w:hint="eastAsia" w:hAnsi="宋体"/>
          <w:color w:val="auto"/>
          <w:sz w:val="24"/>
          <w:highlight w:val="none"/>
        </w:rPr>
        <w:t>7）附件：接地环；</w:t>
      </w:r>
    </w:p>
    <w:p w14:paraId="748961D4">
      <w:pPr>
        <w:spacing w:line="500" w:lineRule="exact"/>
        <w:ind w:firstLine="480"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输    出：4~20mA+</w:t>
      </w:r>
      <w:r>
        <w:rPr>
          <w:rFonts w:hint="eastAsia" w:hAnsi="宋体"/>
          <w:color w:val="auto"/>
          <w:sz w:val="24"/>
          <w:highlight w:val="none"/>
        </w:rPr>
        <w:t>（</w:t>
      </w:r>
      <w:r>
        <w:rPr>
          <w:rFonts w:hAnsi="宋体"/>
          <w:color w:val="auto"/>
          <w:sz w:val="24"/>
          <w:highlight w:val="none"/>
        </w:rPr>
        <w:t>hart</w:t>
      </w:r>
      <w:r>
        <w:rPr>
          <w:rFonts w:hint="eastAsia" w:hAnsi="宋体"/>
          <w:color w:val="auto"/>
          <w:sz w:val="24"/>
          <w:highlight w:val="none"/>
        </w:rPr>
        <w:t>或RS485）</w:t>
      </w:r>
      <w:r>
        <w:rPr>
          <w:rFonts w:hAnsi="宋体"/>
          <w:color w:val="auto"/>
          <w:sz w:val="24"/>
          <w:highlight w:val="none"/>
        </w:rPr>
        <w:t>+频率+状态</w:t>
      </w:r>
      <w:r>
        <w:rPr>
          <w:rFonts w:hint="eastAsia" w:hAnsi="宋体"/>
          <w:color w:val="auto"/>
          <w:sz w:val="24"/>
          <w:highlight w:val="none"/>
        </w:rPr>
        <w:t>；</w:t>
      </w:r>
    </w:p>
    <w:p w14:paraId="7504A8AA">
      <w:pPr>
        <w:spacing w:line="500" w:lineRule="exact"/>
        <w:ind w:firstLine="480" w:firstLineChars="200"/>
        <w:rPr>
          <w:rFonts w:hAnsi="宋体"/>
          <w:color w:val="auto"/>
          <w:sz w:val="24"/>
          <w:highlight w:val="none"/>
        </w:rPr>
      </w:pPr>
      <w:r>
        <w:rPr>
          <w:rFonts w:hint="eastAsia" w:hAnsi="宋体"/>
          <w:color w:val="auto"/>
          <w:sz w:val="24"/>
          <w:highlight w:val="none"/>
        </w:rPr>
        <w:t>9）</w:t>
      </w:r>
      <w:r>
        <w:rPr>
          <w:rFonts w:hAnsi="宋体"/>
          <w:color w:val="auto"/>
          <w:sz w:val="24"/>
          <w:highlight w:val="none"/>
        </w:rPr>
        <w:t>外壳材料：铝，防水耐腐蚀</w:t>
      </w:r>
      <w:r>
        <w:rPr>
          <w:rFonts w:hint="eastAsia" w:hAnsi="宋体"/>
          <w:color w:val="auto"/>
          <w:sz w:val="24"/>
          <w:highlight w:val="none"/>
        </w:rPr>
        <w:t>；</w:t>
      </w:r>
    </w:p>
    <w:p w14:paraId="43FFD174">
      <w:pPr>
        <w:spacing w:line="500" w:lineRule="exact"/>
        <w:ind w:firstLine="480" w:firstLineChars="200"/>
        <w:rPr>
          <w:rFonts w:hAnsi="宋体"/>
          <w:color w:val="auto"/>
          <w:sz w:val="24"/>
          <w:highlight w:val="none"/>
        </w:rPr>
      </w:pPr>
      <w:r>
        <w:rPr>
          <w:rFonts w:hint="eastAsia" w:hAnsi="宋体"/>
          <w:color w:val="auto"/>
          <w:sz w:val="24"/>
          <w:highlight w:val="none"/>
        </w:rPr>
        <w:t>10）</w:t>
      </w:r>
      <w:r>
        <w:rPr>
          <w:rFonts w:hAnsi="宋体"/>
          <w:color w:val="auto"/>
          <w:sz w:val="24"/>
          <w:highlight w:val="none"/>
        </w:rPr>
        <w:t>供电电源：100~240VAC</w:t>
      </w:r>
      <w:r>
        <w:rPr>
          <w:rFonts w:hint="eastAsia" w:hAnsi="宋体"/>
          <w:color w:val="auto"/>
          <w:sz w:val="24"/>
          <w:highlight w:val="none"/>
        </w:rPr>
        <w:t>或</w:t>
      </w:r>
      <w:r>
        <w:rPr>
          <w:rFonts w:hAnsi="宋体"/>
          <w:color w:val="auto"/>
          <w:sz w:val="24"/>
          <w:highlight w:val="none"/>
        </w:rPr>
        <w:t>24DC/AC</w:t>
      </w:r>
      <w:r>
        <w:rPr>
          <w:rFonts w:hint="eastAsia" w:hAnsi="宋体"/>
          <w:color w:val="auto"/>
          <w:sz w:val="24"/>
          <w:highlight w:val="none"/>
        </w:rPr>
        <w:t>；</w:t>
      </w:r>
    </w:p>
    <w:p w14:paraId="68E4EEA2">
      <w:pPr>
        <w:spacing w:line="500" w:lineRule="exact"/>
        <w:ind w:firstLine="480" w:firstLineChars="200"/>
        <w:rPr>
          <w:rFonts w:hAnsi="宋体"/>
          <w:color w:val="auto"/>
          <w:sz w:val="24"/>
          <w:highlight w:val="none"/>
        </w:rPr>
      </w:pPr>
      <w:r>
        <w:rPr>
          <w:rFonts w:hint="eastAsia" w:hAnsi="宋体"/>
          <w:color w:val="auto"/>
          <w:sz w:val="24"/>
          <w:highlight w:val="none"/>
        </w:rPr>
        <w:t>11）现场显示：数字式LCD或LED显示，具有现场操作功能，断电自动储存系统数据，开关点可选；</w:t>
      </w:r>
    </w:p>
    <w:p w14:paraId="15E49B95">
      <w:pPr>
        <w:spacing w:line="500" w:lineRule="exact"/>
        <w:ind w:firstLine="480" w:firstLineChars="200"/>
        <w:rPr>
          <w:rFonts w:hAnsi="宋体"/>
          <w:color w:val="auto"/>
          <w:sz w:val="24"/>
          <w:highlight w:val="none"/>
        </w:rPr>
      </w:pPr>
      <w:r>
        <w:rPr>
          <w:rFonts w:hint="eastAsia" w:hAnsi="宋体"/>
          <w:color w:val="auto"/>
          <w:sz w:val="24"/>
          <w:highlight w:val="none"/>
        </w:rPr>
        <w:t>12）</w:t>
      </w:r>
      <w:r>
        <w:rPr>
          <w:rFonts w:hAnsi="宋体"/>
          <w:color w:val="auto"/>
          <w:sz w:val="24"/>
          <w:highlight w:val="none"/>
        </w:rPr>
        <w:t>其他功能：</w:t>
      </w:r>
      <w:r>
        <w:rPr>
          <w:rFonts w:hint="eastAsia" w:hAnsi="宋体"/>
          <w:color w:val="auto"/>
          <w:sz w:val="24"/>
          <w:highlight w:val="none"/>
        </w:rPr>
        <w:t>具有独立的调零点稳定或“自动稳零”功能，空管置零功能，需有小流量切除、正反向计量现场操作功能、断电自动储存系统数据、带溢出自动复位功能；</w:t>
      </w:r>
    </w:p>
    <w:p w14:paraId="0851751C">
      <w:pPr>
        <w:spacing w:line="500" w:lineRule="exact"/>
        <w:ind w:firstLine="480" w:firstLineChars="200"/>
        <w:rPr>
          <w:rFonts w:hAnsi="宋体"/>
          <w:color w:val="auto"/>
          <w:sz w:val="24"/>
          <w:highlight w:val="none"/>
        </w:rPr>
      </w:pPr>
      <w:r>
        <w:rPr>
          <w:rFonts w:hint="eastAsia" w:hAnsi="宋体"/>
          <w:color w:val="auto"/>
          <w:sz w:val="24"/>
          <w:highlight w:val="none"/>
        </w:rPr>
        <w:t>13）</w:t>
      </w:r>
      <w:r>
        <w:rPr>
          <w:rFonts w:hAnsi="宋体"/>
          <w:color w:val="auto"/>
          <w:sz w:val="24"/>
          <w:highlight w:val="none"/>
        </w:rPr>
        <w:t>电极清洗：电极清洗回路</w:t>
      </w:r>
      <w:r>
        <w:rPr>
          <w:rFonts w:hint="eastAsia" w:hAnsi="宋体"/>
          <w:color w:val="auto"/>
          <w:sz w:val="24"/>
          <w:highlight w:val="none"/>
        </w:rPr>
        <w:t>；</w:t>
      </w:r>
    </w:p>
    <w:p w14:paraId="29820EBA">
      <w:pPr>
        <w:spacing w:line="500" w:lineRule="exact"/>
        <w:ind w:firstLine="480" w:firstLineChars="200"/>
        <w:rPr>
          <w:rFonts w:hAnsi="宋体"/>
          <w:color w:val="auto"/>
          <w:sz w:val="24"/>
          <w:highlight w:val="none"/>
        </w:rPr>
      </w:pPr>
      <w:r>
        <w:rPr>
          <w:rFonts w:hint="eastAsia" w:hAnsi="宋体"/>
          <w:color w:val="auto"/>
          <w:sz w:val="24"/>
          <w:highlight w:val="none"/>
        </w:rPr>
        <w:t>14）</w:t>
      </w:r>
      <w:r>
        <w:rPr>
          <w:rFonts w:hAnsi="宋体"/>
          <w:color w:val="auto"/>
          <w:sz w:val="24"/>
          <w:highlight w:val="none"/>
        </w:rPr>
        <w:t>防护等级：传感器IP68，变送器IP65</w:t>
      </w:r>
      <w:r>
        <w:rPr>
          <w:rFonts w:hint="eastAsia" w:hAnsi="宋体"/>
          <w:color w:val="auto"/>
          <w:sz w:val="24"/>
          <w:highlight w:val="none"/>
        </w:rPr>
        <w:t>；</w:t>
      </w:r>
    </w:p>
    <w:p w14:paraId="3B6C5AE1">
      <w:pPr>
        <w:spacing w:line="500" w:lineRule="exact"/>
        <w:ind w:firstLine="480" w:firstLineChars="200"/>
        <w:rPr>
          <w:rFonts w:hint="eastAsia" w:hAnsi="宋体"/>
          <w:color w:val="auto"/>
          <w:sz w:val="24"/>
          <w:highlight w:val="none"/>
        </w:rPr>
      </w:pPr>
      <w:r>
        <w:rPr>
          <w:rFonts w:hint="eastAsia" w:hAnsi="宋体"/>
          <w:color w:val="auto"/>
          <w:sz w:val="24"/>
          <w:highlight w:val="none"/>
        </w:rPr>
        <w:t>15）专用电缆：含励磁电缆及信号电缆，具体长度按现场实际；</w:t>
      </w:r>
    </w:p>
    <w:p w14:paraId="56A97F9B">
      <w:pPr>
        <w:spacing w:line="500" w:lineRule="exact"/>
        <w:ind w:firstLine="480" w:firstLineChars="200"/>
        <w:rPr>
          <w:rFonts w:hint="eastAsia" w:hAnsi="宋体"/>
          <w:color w:val="auto"/>
          <w:sz w:val="24"/>
          <w:highlight w:val="none"/>
        </w:rPr>
      </w:pPr>
      <w:r>
        <w:rPr>
          <w:rFonts w:hint="eastAsia" w:hAnsi="宋体"/>
          <w:color w:val="auto"/>
          <w:sz w:val="24"/>
          <w:highlight w:val="none"/>
        </w:rPr>
        <w:t>16）</w:t>
      </w:r>
      <w:r>
        <w:rPr>
          <w:rFonts w:hAnsi="宋体"/>
          <w:color w:val="auto"/>
          <w:sz w:val="24"/>
          <w:highlight w:val="none"/>
        </w:rPr>
        <w:t>安装方式：</w:t>
      </w:r>
      <w:r>
        <w:rPr>
          <w:rFonts w:hint="eastAsia" w:hAnsi="宋体"/>
          <w:color w:val="auto"/>
          <w:sz w:val="24"/>
          <w:highlight w:val="none"/>
        </w:rPr>
        <w:t>GB法兰连接（含法兰片安装，包括与传力接头连接段安装）</w:t>
      </w:r>
    </w:p>
    <w:p w14:paraId="387EB86C">
      <w:pPr>
        <w:pStyle w:val="106"/>
        <w:spacing w:line="500" w:lineRule="exact"/>
        <w:ind w:firstLine="0" w:firstLineChars="0"/>
        <w:outlineLvl w:val="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11、</w:t>
      </w:r>
      <w:r>
        <w:rPr>
          <w:rFonts w:hint="eastAsia" w:ascii="宋体" w:hAnsi="宋体" w:eastAsia="宋体" w:cs="宋体"/>
          <w:b/>
          <w:color w:val="auto"/>
          <w:sz w:val="28"/>
          <w:szCs w:val="28"/>
          <w:highlight w:val="none"/>
        </w:rPr>
        <w:t>视频监控系统</w:t>
      </w:r>
    </w:p>
    <w:p w14:paraId="49598A89">
      <w:pPr>
        <w:spacing w:line="500" w:lineRule="exact"/>
        <w:ind w:firstLine="480" w:firstLineChars="200"/>
        <w:rPr>
          <w:rFonts w:hAnsi="宋体"/>
          <w:color w:val="auto"/>
          <w:sz w:val="24"/>
          <w:highlight w:val="none"/>
        </w:rPr>
      </w:pPr>
      <w:bookmarkStart w:id="29" w:name="_Toc16894501"/>
      <w:r>
        <w:rPr>
          <w:rFonts w:hint="eastAsia" w:hAnsi="宋体"/>
          <w:color w:val="auto"/>
          <w:sz w:val="24"/>
          <w:highlight w:val="none"/>
        </w:rPr>
        <w:t>1、</w:t>
      </w:r>
      <w:r>
        <w:rPr>
          <w:rFonts w:hAnsi="宋体"/>
          <w:color w:val="auto"/>
          <w:sz w:val="24"/>
          <w:highlight w:val="none"/>
        </w:rPr>
        <w:t>概述</w:t>
      </w:r>
      <w:bookmarkEnd w:id="29"/>
    </w:p>
    <w:p w14:paraId="63650C6F">
      <w:pPr>
        <w:spacing w:line="500" w:lineRule="exact"/>
        <w:ind w:firstLine="480" w:firstLineChars="200"/>
        <w:rPr>
          <w:rFonts w:hAnsi="宋体"/>
          <w:color w:val="auto"/>
          <w:sz w:val="24"/>
          <w:highlight w:val="none"/>
        </w:rPr>
      </w:pPr>
      <w:r>
        <w:rPr>
          <w:rFonts w:hAnsi="宋体"/>
          <w:color w:val="auto"/>
          <w:sz w:val="24"/>
          <w:highlight w:val="none"/>
        </w:rPr>
        <w:t>为了直观地观察</w:t>
      </w:r>
      <w:r>
        <w:rPr>
          <w:rFonts w:hint="eastAsia" w:hAnsi="宋体"/>
          <w:color w:val="auto"/>
          <w:sz w:val="24"/>
          <w:highlight w:val="none"/>
          <w:lang w:val="en-US" w:eastAsia="zh-CN"/>
        </w:rPr>
        <w:t>厂区</w:t>
      </w:r>
      <w:r>
        <w:rPr>
          <w:rFonts w:hAnsi="宋体"/>
          <w:color w:val="auto"/>
          <w:sz w:val="24"/>
          <w:highlight w:val="none"/>
        </w:rPr>
        <w:t>范围内设备运行情况以及对厂区安防进行监控，进一步丰富监控中心监控调度的功能，为调度管理提供直观的图像信息，污水厂拟新建立一套数字式视频监视系统，对厂区设备及安防进行监控。</w:t>
      </w:r>
      <w:r>
        <w:rPr>
          <w:rFonts w:hint="eastAsia" w:hAnsi="宋体"/>
          <w:color w:val="auto"/>
          <w:sz w:val="24"/>
          <w:highlight w:val="none"/>
        </w:rPr>
        <w:t>生产及安保视频信号接至中控，安保视频信号接至</w:t>
      </w:r>
      <w:r>
        <w:rPr>
          <w:rFonts w:hint="eastAsia" w:hAnsi="宋体"/>
          <w:color w:val="auto"/>
          <w:sz w:val="24"/>
          <w:highlight w:val="none"/>
          <w:lang w:val="en-US" w:eastAsia="zh-CN"/>
        </w:rPr>
        <w:t>值班室</w:t>
      </w:r>
      <w:r>
        <w:rPr>
          <w:rFonts w:hint="eastAsia" w:hAnsi="宋体"/>
          <w:color w:val="auto"/>
          <w:sz w:val="24"/>
          <w:highlight w:val="none"/>
        </w:rPr>
        <w:t>，以满足对厂区现状设备及安防的监控要求。</w:t>
      </w:r>
      <w:r>
        <w:rPr>
          <w:rFonts w:hAnsi="宋体"/>
          <w:color w:val="auto"/>
          <w:sz w:val="24"/>
          <w:highlight w:val="none"/>
        </w:rPr>
        <w:t>系统主要由如下三部分组成：前端视频采集设备、数据传输设备、监控中心终端显示管理设备。</w:t>
      </w:r>
    </w:p>
    <w:p w14:paraId="6FEF118A">
      <w:pPr>
        <w:spacing w:line="500" w:lineRule="exact"/>
        <w:ind w:firstLine="480" w:firstLineChars="200"/>
        <w:rPr>
          <w:rFonts w:hAnsi="宋体"/>
          <w:color w:val="auto"/>
          <w:sz w:val="24"/>
          <w:highlight w:val="none"/>
        </w:rPr>
      </w:pPr>
      <w:bookmarkStart w:id="30" w:name="_Toc16894502"/>
      <w:r>
        <w:rPr>
          <w:rFonts w:hint="eastAsia" w:hAnsi="宋体"/>
          <w:color w:val="auto"/>
          <w:sz w:val="24"/>
          <w:highlight w:val="none"/>
        </w:rPr>
        <w:t>2、</w:t>
      </w:r>
      <w:r>
        <w:rPr>
          <w:rFonts w:hAnsi="宋体"/>
          <w:color w:val="auto"/>
          <w:sz w:val="24"/>
          <w:highlight w:val="none"/>
        </w:rPr>
        <w:t>前端设备</w:t>
      </w:r>
      <w:bookmarkEnd w:id="30"/>
    </w:p>
    <w:p w14:paraId="50AE88AD">
      <w:pPr>
        <w:spacing w:line="500" w:lineRule="exact"/>
        <w:ind w:firstLine="480" w:firstLineChars="200"/>
        <w:rPr>
          <w:rFonts w:hAnsi="宋体"/>
          <w:color w:val="auto"/>
          <w:sz w:val="24"/>
          <w:highlight w:val="none"/>
        </w:rPr>
      </w:pPr>
      <w:r>
        <w:rPr>
          <w:rFonts w:hAnsi="宋体"/>
          <w:color w:val="auto"/>
          <w:sz w:val="24"/>
          <w:highlight w:val="none"/>
        </w:rPr>
        <w:t>由网络摄像机以及相关辅助配套设备组成，主要完成图像的采集及编码工作。结合厂区的特点，考虑对厂区的重要场所设置若干摄像监视点。</w:t>
      </w:r>
    </w:p>
    <w:p w14:paraId="38556F2E">
      <w:pPr>
        <w:spacing w:line="500" w:lineRule="exact"/>
        <w:ind w:firstLine="480" w:firstLineChars="200"/>
        <w:rPr>
          <w:rFonts w:hAnsi="宋体"/>
          <w:color w:val="auto"/>
          <w:sz w:val="24"/>
          <w:highlight w:val="none"/>
        </w:rPr>
      </w:pPr>
      <w:bookmarkStart w:id="31" w:name="_Toc16894503"/>
      <w:r>
        <w:rPr>
          <w:rFonts w:hint="eastAsia" w:hAnsi="宋体"/>
          <w:color w:val="auto"/>
          <w:sz w:val="24"/>
          <w:highlight w:val="none"/>
        </w:rPr>
        <w:t>3、</w:t>
      </w:r>
      <w:r>
        <w:rPr>
          <w:rFonts w:hAnsi="宋体"/>
          <w:color w:val="auto"/>
          <w:sz w:val="24"/>
          <w:highlight w:val="none"/>
        </w:rPr>
        <w:t>传输设备</w:t>
      </w:r>
      <w:bookmarkEnd w:id="31"/>
    </w:p>
    <w:p w14:paraId="54E9909B">
      <w:pPr>
        <w:spacing w:line="500" w:lineRule="exact"/>
        <w:ind w:firstLine="480" w:firstLineChars="200"/>
        <w:rPr>
          <w:rFonts w:hAnsi="宋体"/>
          <w:color w:val="auto"/>
          <w:sz w:val="24"/>
          <w:highlight w:val="none"/>
        </w:rPr>
      </w:pPr>
      <w:r>
        <w:rPr>
          <w:rFonts w:hAnsi="宋体"/>
          <w:color w:val="auto"/>
          <w:sz w:val="24"/>
          <w:highlight w:val="none"/>
        </w:rPr>
        <w:t>采用数字式传输方式，各摄像机视频图像信号经视频监视系统专用工业以太网交换机接入视频监视专用1000M光纤以太网。视频监视专用光纤以太网与自控系统光纤工业以太网分别使用</w:t>
      </w:r>
      <w:r>
        <w:rPr>
          <w:rFonts w:hint="eastAsia" w:hAnsi="宋体"/>
          <w:color w:val="auto"/>
          <w:sz w:val="24"/>
          <w:highlight w:val="none"/>
        </w:rPr>
        <w:t>不同的</w:t>
      </w:r>
      <w:r>
        <w:rPr>
          <w:rFonts w:hAnsi="宋体"/>
          <w:color w:val="auto"/>
          <w:sz w:val="24"/>
          <w:highlight w:val="none"/>
        </w:rPr>
        <w:t>光缆，完全独立于厂区自控系统工业以太网。</w:t>
      </w:r>
    </w:p>
    <w:p w14:paraId="18E8246A">
      <w:pPr>
        <w:spacing w:line="500" w:lineRule="exact"/>
        <w:ind w:firstLine="480" w:firstLineChars="200"/>
        <w:rPr>
          <w:rFonts w:hAnsi="宋体"/>
          <w:color w:val="auto"/>
          <w:sz w:val="24"/>
          <w:highlight w:val="none"/>
        </w:rPr>
      </w:pPr>
      <w:bookmarkStart w:id="32" w:name="_Toc16894504"/>
      <w:r>
        <w:rPr>
          <w:rFonts w:hint="eastAsia" w:hAnsi="宋体"/>
          <w:color w:val="auto"/>
          <w:sz w:val="24"/>
          <w:highlight w:val="none"/>
        </w:rPr>
        <w:t>4、</w:t>
      </w:r>
      <w:r>
        <w:rPr>
          <w:rFonts w:hAnsi="宋体"/>
          <w:color w:val="auto"/>
          <w:sz w:val="24"/>
          <w:highlight w:val="none"/>
        </w:rPr>
        <w:t>终端设备</w:t>
      </w:r>
      <w:bookmarkEnd w:id="32"/>
    </w:p>
    <w:p w14:paraId="53C7D4A3">
      <w:pPr>
        <w:spacing w:line="500" w:lineRule="exact"/>
        <w:ind w:firstLine="480" w:firstLineChars="200"/>
        <w:rPr>
          <w:rFonts w:hAnsi="宋体"/>
          <w:color w:val="auto"/>
          <w:sz w:val="24"/>
          <w:highlight w:val="none"/>
        </w:rPr>
      </w:pPr>
      <w:r>
        <w:rPr>
          <w:rFonts w:hint="eastAsia" w:hAnsi="宋体"/>
          <w:color w:val="auto"/>
          <w:sz w:val="24"/>
          <w:highlight w:val="none"/>
        </w:rPr>
        <w:t>运行监控终端设备设置于中央控制室、安防监控终端设备设置于传达室。</w:t>
      </w:r>
      <w:r>
        <w:rPr>
          <w:rFonts w:hAnsi="宋体"/>
          <w:color w:val="auto"/>
          <w:sz w:val="24"/>
          <w:highlight w:val="none"/>
        </w:rPr>
        <w:t>主要完成对视频图像的接收、显示、切换、存储、检索、回放以及对监控摄像机的控制等功能，由</w:t>
      </w:r>
      <w:r>
        <w:rPr>
          <w:rFonts w:hint="eastAsia" w:hAnsi="宋体"/>
          <w:color w:val="auto"/>
          <w:sz w:val="24"/>
          <w:highlight w:val="none"/>
        </w:rPr>
        <w:t>2</w:t>
      </w:r>
      <w:r>
        <w:rPr>
          <w:rFonts w:hAnsi="宋体"/>
          <w:color w:val="auto"/>
          <w:sz w:val="24"/>
          <w:highlight w:val="none"/>
        </w:rPr>
        <w:t>台NVR网络数字硬盘录像机、1台主控键盘及1台监视器组成。来自前端设备的视频信号均接入NVR网络数字硬盘录像机，由NVR负责视频信号的监视、存储、检索、回访等，其需配置可至少保存</w:t>
      </w:r>
      <w:r>
        <w:rPr>
          <w:rFonts w:hint="eastAsia" w:hAnsi="宋体"/>
          <w:color w:val="auto"/>
          <w:sz w:val="24"/>
          <w:highlight w:val="none"/>
        </w:rPr>
        <w:t>两</w:t>
      </w:r>
      <w:r>
        <w:rPr>
          <w:rFonts w:hAnsi="宋体"/>
          <w:color w:val="auto"/>
          <w:sz w:val="24"/>
          <w:highlight w:val="none"/>
        </w:rPr>
        <w:t>个月录像信息的硬盘空间。操作人员可以通过主控键盘控制前端摄像机动作，控制NVR显示、录像以及回放等。</w:t>
      </w:r>
    </w:p>
    <w:p w14:paraId="13D0001B">
      <w:pPr>
        <w:spacing w:line="500" w:lineRule="exact"/>
        <w:ind w:firstLine="480" w:firstLineChars="200"/>
        <w:rPr>
          <w:rFonts w:hAnsi="宋体"/>
          <w:color w:val="auto"/>
          <w:sz w:val="24"/>
          <w:highlight w:val="none"/>
        </w:rPr>
      </w:pPr>
      <w:r>
        <w:rPr>
          <w:rFonts w:hAnsi="宋体"/>
          <w:color w:val="auto"/>
          <w:sz w:val="24"/>
          <w:highlight w:val="none"/>
        </w:rPr>
        <w:t>视频监视系统中所有摄像机应能同时录像，存储设备的容量应按照录像保存时间不少于</w:t>
      </w:r>
      <w:r>
        <w:rPr>
          <w:rFonts w:hint="eastAsia" w:hAnsi="宋体"/>
          <w:color w:val="auto"/>
          <w:sz w:val="24"/>
          <w:highlight w:val="none"/>
        </w:rPr>
        <w:t>6</w:t>
      </w:r>
      <w:r>
        <w:rPr>
          <w:rFonts w:hAnsi="宋体"/>
          <w:color w:val="auto"/>
          <w:sz w:val="24"/>
          <w:highlight w:val="none"/>
        </w:rPr>
        <w:t>0天配置，并可随时提供调阅及快速检索。视频图像存储系统记录的图像信息需包含图像编号／地址、记录时的时间和日期。在供电中断或关机后，所有编程信息和时间信息均能保持。</w:t>
      </w:r>
    </w:p>
    <w:p w14:paraId="0C7F53D6">
      <w:pPr>
        <w:spacing w:line="500" w:lineRule="exact"/>
        <w:ind w:firstLine="480" w:firstLineChars="200"/>
        <w:rPr>
          <w:rFonts w:hAnsi="宋体"/>
          <w:color w:val="auto"/>
          <w:sz w:val="24"/>
          <w:highlight w:val="none"/>
        </w:rPr>
      </w:pPr>
      <w:r>
        <w:rPr>
          <w:rFonts w:hAnsi="宋体"/>
          <w:color w:val="auto"/>
          <w:sz w:val="24"/>
          <w:highlight w:val="none"/>
        </w:rPr>
        <w:t>视频监视系统图像质量的主观评价，采用五级损伤制评定，图像等级应符合表一规定；系统正常工作条件下，监视图像质量不应低于4级，回放图像质量不应低于3级，在允许的最恶劣工作条件或应急照明下，监视图像质量不应低于3级。</w:t>
      </w:r>
    </w:p>
    <w:p w14:paraId="3D5D02B6">
      <w:pPr>
        <w:spacing w:line="500" w:lineRule="exact"/>
        <w:ind w:firstLine="480" w:firstLineChars="200"/>
        <w:rPr>
          <w:rFonts w:hAnsi="宋体"/>
          <w:color w:val="auto"/>
          <w:sz w:val="24"/>
          <w:highlight w:val="none"/>
        </w:rPr>
      </w:pPr>
      <w:r>
        <w:rPr>
          <w:rFonts w:hAnsi="宋体"/>
          <w:color w:val="auto"/>
          <w:sz w:val="24"/>
          <w:highlight w:val="none"/>
        </w:rPr>
        <w:t>视频监视系统在与上级系统平台对接时应向统一视频监控平台提供SDK协议包。</w:t>
      </w:r>
    </w:p>
    <w:p w14:paraId="697A1031">
      <w:pPr>
        <w:spacing w:line="500" w:lineRule="exact"/>
        <w:ind w:firstLine="480" w:firstLineChars="200"/>
        <w:rPr>
          <w:rFonts w:hAnsi="宋体"/>
          <w:color w:val="auto"/>
          <w:sz w:val="24"/>
          <w:highlight w:val="none"/>
        </w:rPr>
      </w:pPr>
      <w:bookmarkStart w:id="33" w:name="_Toc16894505"/>
      <w:r>
        <w:rPr>
          <w:rFonts w:hint="eastAsia" w:hAnsi="宋体"/>
          <w:color w:val="auto"/>
          <w:sz w:val="24"/>
          <w:highlight w:val="none"/>
        </w:rPr>
        <w:t>5、</w:t>
      </w:r>
      <w:r>
        <w:rPr>
          <w:rFonts w:hAnsi="宋体"/>
          <w:color w:val="auto"/>
          <w:sz w:val="24"/>
          <w:highlight w:val="none"/>
        </w:rPr>
        <w:t>主要设备清单</w:t>
      </w:r>
      <w:bookmarkEnd w:id="33"/>
    </w:p>
    <w:p w14:paraId="52544B3A">
      <w:pPr>
        <w:spacing w:line="500" w:lineRule="exact"/>
        <w:ind w:firstLine="480" w:firstLineChars="200"/>
        <w:rPr>
          <w:rFonts w:hAnsi="宋体"/>
          <w:color w:val="auto"/>
          <w:sz w:val="24"/>
          <w:highlight w:val="none"/>
        </w:rPr>
      </w:pPr>
      <w:r>
        <w:rPr>
          <w:rFonts w:hAnsi="宋体"/>
          <w:color w:val="auto"/>
          <w:sz w:val="24"/>
          <w:highlight w:val="none"/>
        </w:rPr>
        <w:t>详见</w:t>
      </w:r>
      <w:r>
        <w:rPr>
          <w:rFonts w:hint="eastAsia" w:hAnsi="宋体"/>
          <w:color w:val="auto"/>
          <w:sz w:val="24"/>
          <w:highlight w:val="none"/>
        </w:rPr>
        <w:t>“主要</w:t>
      </w:r>
      <w:r>
        <w:rPr>
          <w:rFonts w:hAnsi="宋体"/>
          <w:color w:val="auto"/>
          <w:sz w:val="24"/>
          <w:highlight w:val="none"/>
        </w:rPr>
        <w:t>设备</w:t>
      </w:r>
      <w:r>
        <w:rPr>
          <w:rFonts w:hint="eastAsia" w:hAnsi="宋体"/>
          <w:color w:val="auto"/>
          <w:sz w:val="24"/>
          <w:highlight w:val="none"/>
        </w:rPr>
        <w:t>、材料</w:t>
      </w:r>
      <w:r>
        <w:rPr>
          <w:rFonts w:hAnsi="宋体"/>
          <w:color w:val="auto"/>
          <w:sz w:val="24"/>
          <w:highlight w:val="none"/>
        </w:rPr>
        <w:t>清单</w:t>
      </w:r>
      <w:r>
        <w:rPr>
          <w:rFonts w:hint="eastAsia" w:hAnsi="宋体"/>
          <w:color w:val="auto"/>
          <w:sz w:val="24"/>
          <w:highlight w:val="none"/>
        </w:rPr>
        <w:t>”</w:t>
      </w:r>
      <w:r>
        <w:rPr>
          <w:rFonts w:hAnsi="宋体"/>
          <w:color w:val="auto"/>
          <w:sz w:val="24"/>
          <w:highlight w:val="none"/>
        </w:rPr>
        <w:t>相关章节。</w:t>
      </w:r>
    </w:p>
    <w:p w14:paraId="769668B7">
      <w:pPr>
        <w:spacing w:line="500" w:lineRule="exact"/>
        <w:ind w:firstLine="480" w:firstLineChars="200"/>
        <w:rPr>
          <w:rFonts w:hint="eastAsia" w:hAnsi="宋体"/>
          <w:color w:val="auto"/>
          <w:sz w:val="24"/>
          <w:highlight w:val="none"/>
        </w:rPr>
      </w:pPr>
      <w:r>
        <w:rPr>
          <w:rFonts w:hAnsi="宋体"/>
          <w:color w:val="auto"/>
          <w:sz w:val="24"/>
          <w:highlight w:val="none"/>
        </w:rPr>
        <w:t>为使整套系统能够按本招标文件要求长期正常有效运行，投标人应根据招标文件和系统整体要求，将所需的货物和附件（包括但不限于：硬件、软件、支架、附件、线缆、专用检测设备和工具、材料等）包含在投标总价中。</w:t>
      </w:r>
    </w:p>
    <w:p w14:paraId="0065C31D">
      <w:pPr>
        <w:pStyle w:val="106"/>
        <w:spacing w:line="500" w:lineRule="exact"/>
        <w:ind w:firstLine="0" w:firstLineChars="0"/>
        <w:outlineLvl w:val="3"/>
        <w:rPr>
          <w:rFonts w:hint="eastAsia" w:ascii="宋体" w:hAnsi="宋体" w:eastAsia="宋体" w:cs="宋体"/>
          <w:b/>
          <w:color w:val="auto"/>
          <w:sz w:val="28"/>
          <w:szCs w:val="28"/>
          <w:highlight w:val="none"/>
        </w:rPr>
      </w:pPr>
      <w:bookmarkStart w:id="34" w:name="_Toc16894511"/>
      <w:r>
        <w:rPr>
          <w:rFonts w:hint="eastAsia" w:ascii="宋体" w:hAnsi="宋体" w:eastAsia="宋体" w:cs="宋体"/>
          <w:b/>
          <w:color w:val="auto"/>
          <w:sz w:val="28"/>
          <w:szCs w:val="28"/>
          <w:highlight w:val="none"/>
          <w:lang w:val="en-US" w:eastAsia="zh-CN"/>
        </w:rPr>
        <w:t>12、</w:t>
      </w:r>
      <w:r>
        <w:rPr>
          <w:rFonts w:hint="eastAsia" w:ascii="宋体" w:hAnsi="宋体" w:eastAsia="宋体" w:cs="宋体"/>
          <w:b/>
          <w:color w:val="auto"/>
          <w:sz w:val="28"/>
          <w:szCs w:val="28"/>
          <w:highlight w:val="none"/>
        </w:rPr>
        <w:t>电子围栏系统</w:t>
      </w:r>
      <w:bookmarkEnd w:id="34"/>
    </w:p>
    <w:p w14:paraId="2FCF954B">
      <w:pPr>
        <w:spacing w:line="500" w:lineRule="exact"/>
        <w:ind w:firstLine="480" w:firstLineChars="200"/>
        <w:rPr>
          <w:rFonts w:hAnsi="宋体"/>
          <w:color w:val="auto"/>
          <w:sz w:val="24"/>
          <w:highlight w:val="none"/>
        </w:rPr>
      </w:pPr>
      <w:bookmarkStart w:id="35" w:name="_Toc16894512"/>
      <w:r>
        <w:rPr>
          <w:rFonts w:hint="eastAsia" w:hAnsi="宋体"/>
          <w:color w:val="auto"/>
          <w:sz w:val="24"/>
          <w:highlight w:val="none"/>
        </w:rPr>
        <w:t>1、</w:t>
      </w:r>
      <w:r>
        <w:rPr>
          <w:rFonts w:hAnsi="宋体"/>
          <w:color w:val="auto"/>
          <w:sz w:val="24"/>
          <w:highlight w:val="none"/>
        </w:rPr>
        <w:t>概述</w:t>
      </w:r>
      <w:bookmarkEnd w:id="35"/>
    </w:p>
    <w:p w14:paraId="509E8CC6">
      <w:pPr>
        <w:spacing w:line="500" w:lineRule="exact"/>
        <w:ind w:firstLine="480" w:firstLineChars="200"/>
        <w:rPr>
          <w:rFonts w:hAnsi="宋体"/>
          <w:color w:val="auto"/>
          <w:sz w:val="24"/>
          <w:highlight w:val="none"/>
        </w:rPr>
      </w:pPr>
      <w:r>
        <w:rPr>
          <w:rFonts w:hint="eastAsia" w:hAnsi="宋体"/>
          <w:color w:val="auto"/>
          <w:sz w:val="24"/>
          <w:highlight w:val="none"/>
        </w:rPr>
        <w:t>周界报警系统可以通过对安装在围墙上的电子围栏24小时监控围墙状态，对非正常进入人员立即给予报警。在污水厂的门卫内设置一套报警控制主机及计算机，厂区围墙上设置电子围栏。厂区门卫值班室的报警主机可实时获取厂区周界各防区的报警情况。</w:t>
      </w:r>
    </w:p>
    <w:p w14:paraId="696678C9">
      <w:pPr>
        <w:spacing w:line="500" w:lineRule="exact"/>
        <w:ind w:firstLine="480" w:firstLineChars="200"/>
        <w:rPr>
          <w:rFonts w:hAnsi="宋体"/>
          <w:color w:val="auto"/>
          <w:sz w:val="24"/>
          <w:highlight w:val="none"/>
        </w:rPr>
      </w:pPr>
      <w:r>
        <w:rPr>
          <w:rFonts w:hint="eastAsia" w:hAnsi="宋体"/>
          <w:color w:val="auto"/>
          <w:sz w:val="24"/>
          <w:highlight w:val="none"/>
        </w:rPr>
        <w:t>现场共设</w:t>
      </w:r>
      <w:r>
        <w:rPr>
          <w:rFonts w:hint="eastAsia" w:hAnsi="宋体"/>
          <w:color w:val="auto"/>
          <w:sz w:val="24"/>
          <w:highlight w:val="none"/>
          <w:lang w:val="en-US" w:eastAsia="zh-CN"/>
        </w:rPr>
        <w:t>4</w:t>
      </w:r>
      <w:r>
        <w:rPr>
          <w:rFonts w:hint="eastAsia" w:hAnsi="宋体"/>
          <w:color w:val="auto"/>
          <w:sz w:val="24"/>
          <w:highlight w:val="none"/>
        </w:rPr>
        <w:t>个防区，电子围栏采用六根高强度、低阻抗、耐腐蚀合金线，根据现场情况，每间隔10米~20米设置“高压危险，禁止攀爬”反光警示牌。</w:t>
      </w:r>
    </w:p>
    <w:p w14:paraId="4B15A7AA">
      <w:pPr>
        <w:spacing w:line="500" w:lineRule="exact"/>
        <w:ind w:firstLine="480" w:firstLineChars="200"/>
        <w:rPr>
          <w:rFonts w:hAnsi="宋体"/>
          <w:color w:val="auto"/>
          <w:sz w:val="24"/>
          <w:highlight w:val="none"/>
        </w:rPr>
      </w:pPr>
      <w:bookmarkStart w:id="36" w:name="_Toc16894513"/>
      <w:bookmarkStart w:id="37" w:name="_Toc387829719"/>
      <w:r>
        <w:rPr>
          <w:rFonts w:hint="eastAsia" w:hAnsi="宋体"/>
          <w:color w:val="auto"/>
          <w:sz w:val="24"/>
          <w:highlight w:val="none"/>
        </w:rPr>
        <w:t>2、</w:t>
      </w:r>
      <w:r>
        <w:rPr>
          <w:rFonts w:hAnsi="宋体"/>
          <w:color w:val="auto"/>
          <w:sz w:val="24"/>
          <w:highlight w:val="none"/>
        </w:rPr>
        <w:t>智能单/双防区电子围栏主机</w:t>
      </w:r>
      <w:bookmarkEnd w:id="36"/>
      <w:bookmarkEnd w:id="37"/>
    </w:p>
    <w:p w14:paraId="71559B47">
      <w:pPr>
        <w:spacing w:line="500" w:lineRule="exact"/>
        <w:ind w:firstLine="480" w:firstLineChars="200"/>
        <w:rPr>
          <w:rFonts w:hAnsi="宋体"/>
          <w:color w:val="auto"/>
          <w:sz w:val="24"/>
          <w:highlight w:val="none"/>
        </w:rPr>
      </w:pPr>
      <w:r>
        <w:rPr>
          <w:rFonts w:hAnsi="宋体"/>
          <w:color w:val="auto"/>
          <w:sz w:val="24"/>
          <w:highlight w:val="none"/>
        </w:rPr>
        <w:t>LCD液晶显示每根网线运行电压；</w:t>
      </w:r>
    </w:p>
    <w:p w14:paraId="4AD176C0">
      <w:pPr>
        <w:spacing w:line="500" w:lineRule="exact"/>
        <w:ind w:firstLine="480" w:firstLineChars="200"/>
        <w:rPr>
          <w:rFonts w:hAnsi="宋体"/>
          <w:color w:val="auto"/>
          <w:sz w:val="24"/>
          <w:highlight w:val="none"/>
        </w:rPr>
      </w:pPr>
      <w:r>
        <w:rPr>
          <w:rFonts w:hAnsi="宋体"/>
          <w:color w:val="auto"/>
          <w:sz w:val="24"/>
          <w:highlight w:val="none"/>
        </w:rPr>
        <w:t>防区数量：1个/2个；</w:t>
      </w:r>
    </w:p>
    <w:p w14:paraId="3E2F91E4">
      <w:pPr>
        <w:spacing w:line="500" w:lineRule="exact"/>
        <w:ind w:firstLine="480" w:firstLineChars="200"/>
        <w:rPr>
          <w:rFonts w:hAnsi="宋体"/>
          <w:color w:val="auto"/>
          <w:sz w:val="24"/>
          <w:highlight w:val="none"/>
        </w:rPr>
      </w:pPr>
      <w:r>
        <w:rPr>
          <w:rFonts w:hAnsi="宋体"/>
          <w:color w:val="auto"/>
          <w:sz w:val="24"/>
          <w:highlight w:val="none"/>
        </w:rPr>
        <w:t>差电压技术，每线有电击，相邻两线有压差；</w:t>
      </w:r>
    </w:p>
    <w:p w14:paraId="673DDC9C">
      <w:pPr>
        <w:spacing w:line="500" w:lineRule="exact"/>
        <w:ind w:firstLine="480" w:firstLineChars="200"/>
        <w:rPr>
          <w:rFonts w:hAnsi="宋体"/>
          <w:color w:val="auto"/>
          <w:sz w:val="24"/>
          <w:highlight w:val="none"/>
        </w:rPr>
      </w:pPr>
      <w:r>
        <w:rPr>
          <w:rFonts w:hAnsi="宋体"/>
          <w:color w:val="auto"/>
          <w:sz w:val="24"/>
          <w:highlight w:val="none"/>
        </w:rPr>
        <w:t>输出电压：5~10KV；</w:t>
      </w:r>
    </w:p>
    <w:p w14:paraId="029ADB49">
      <w:pPr>
        <w:spacing w:line="500" w:lineRule="exact"/>
        <w:ind w:firstLine="480" w:firstLineChars="200"/>
        <w:rPr>
          <w:rFonts w:hAnsi="宋体"/>
          <w:color w:val="auto"/>
          <w:sz w:val="24"/>
          <w:highlight w:val="none"/>
        </w:rPr>
      </w:pPr>
      <w:r>
        <w:rPr>
          <w:rFonts w:hAnsi="宋体"/>
          <w:color w:val="auto"/>
          <w:sz w:val="24"/>
          <w:highlight w:val="none"/>
        </w:rPr>
        <w:t>低压输出：700~1000V；</w:t>
      </w:r>
    </w:p>
    <w:p w14:paraId="6BF3C1CA">
      <w:pPr>
        <w:spacing w:line="500" w:lineRule="exact"/>
        <w:ind w:firstLine="480" w:firstLineChars="200"/>
        <w:rPr>
          <w:rFonts w:hAnsi="宋体"/>
          <w:color w:val="auto"/>
          <w:sz w:val="24"/>
          <w:highlight w:val="none"/>
        </w:rPr>
      </w:pPr>
      <w:r>
        <w:rPr>
          <w:rFonts w:hAnsi="宋体"/>
          <w:color w:val="auto"/>
          <w:sz w:val="24"/>
          <w:highlight w:val="none"/>
        </w:rPr>
        <w:t>输出电流峰值：＜10A；</w:t>
      </w:r>
    </w:p>
    <w:p w14:paraId="4F221A0F">
      <w:pPr>
        <w:spacing w:line="500" w:lineRule="exact"/>
        <w:ind w:firstLine="480" w:firstLineChars="200"/>
        <w:rPr>
          <w:rFonts w:hAnsi="宋体"/>
          <w:color w:val="auto"/>
          <w:sz w:val="24"/>
          <w:highlight w:val="none"/>
        </w:rPr>
      </w:pPr>
      <w:r>
        <w:rPr>
          <w:rFonts w:hAnsi="宋体"/>
          <w:color w:val="auto"/>
          <w:sz w:val="24"/>
          <w:highlight w:val="none"/>
        </w:rPr>
        <w:t>脉冲持续时间:≤0.1s；</w:t>
      </w:r>
    </w:p>
    <w:p w14:paraId="25A50F21">
      <w:pPr>
        <w:spacing w:line="500" w:lineRule="exact"/>
        <w:ind w:firstLine="480" w:firstLineChars="200"/>
        <w:rPr>
          <w:rFonts w:hAnsi="宋体"/>
          <w:color w:val="auto"/>
          <w:sz w:val="24"/>
          <w:highlight w:val="none"/>
        </w:rPr>
      </w:pPr>
      <w:r>
        <w:rPr>
          <w:rFonts w:hAnsi="宋体"/>
          <w:color w:val="auto"/>
          <w:sz w:val="24"/>
          <w:highlight w:val="none"/>
        </w:rPr>
        <w:t>脉冲间隔时间:1s；</w:t>
      </w:r>
    </w:p>
    <w:p w14:paraId="4B8306DF">
      <w:pPr>
        <w:spacing w:line="500" w:lineRule="exact"/>
        <w:ind w:firstLine="480" w:firstLineChars="200"/>
        <w:rPr>
          <w:rFonts w:hAnsi="宋体"/>
          <w:color w:val="auto"/>
          <w:sz w:val="24"/>
          <w:highlight w:val="none"/>
        </w:rPr>
      </w:pPr>
      <w:r>
        <w:rPr>
          <w:rFonts w:hAnsi="宋体"/>
          <w:color w:val="auto"/>
          <w:sz w:val="24"/>
          <w:highlight w:val="none"/>
        </w:rPr>
        <w:t>脉冲输出电量:≤2.5mC；</w:t>
      </w:r>
    </w:p>
    <w:p w14:paraId="39A91E7F">
      <w:pPr>
        <w:spacing w:line="500" w:lineRule="exact"/>
        <w:ind w:firstLine="480" w:firstLineChars="200"/>
        <w:rPr>
          <w:rFonts w:hAnsi="宋体"/>
          <w:color w:val="auto"/>
          <w:sz w:val="24"/>
          <w:highlight w:val="none"/>
        </w:rPr>
      </w:pPr>
      <w:r>
        <w:rPr>
          <w:rFonts w:hAnsi="宋体"/>
          <w:color w:val="auto"/>
          <w:sz w:val="24"/>
          <w:highlight w:val="none"/>
        </w:rPr>
        <w:t>脉冲输出能量:≤5J；</w:t>
      </w:r>
    </w:p>
    <w:p w14:paraId="1987D074">
      <w:pPr>
        <w:spacing w:line="500" w:lineRule="exact"/>
        <w:ind w:firstLine="480" w:firstLineChars="200"/>
        <w:rPr>
          <w:rFonts w:hAnsi="宋体"/>
          <w:color w:val="auto"/>
          <w:sz w:val="24"/>
          <w:highlight w:val="none"/>
        </w:rPr>
      </w:pPr>
      <w:r>
        <w:rPr>
          <w:rFonts w:hAnsi="宋体"/>
          <w:color w:val="auto"/>
          <w:sz w:val="24"/>
          <w:highlight w:val="none"/>
        </w:rPr>
        <w:t>系统功耗：≤5W；</w:t>
      </w:r>
    </w:p>
    <w:p w14:paraId="23018768">
      <w:pPr>
        <w:spacing w:line="500" w:lineRule="exact"/>
        <w:ind w:firstLine="480" w:firstLineChars="200"/>
        <w:rPr>
          <w:rFonts w:hint="eastAsia" w:hAnsi="宋体"/>
          <w:color w:val="auto"/>
          <w:sz w:val="24"/>
          <w:highlight w:val="none"/>
        </w:rPr>
      </w:pPr>
      <w:r>
        <w:rPr>
          <w:rFonts w:hAnsi="宋体"/>
          <w:color w:val="auto"/>
          <w:sz w:val="24"/>
          <w:highlight w:val="none"/>
        </w:rPr>
        <w:t>具有防水箱功能</w:t>
      </w:r>
    </w:p>
    <w:p w14:paraId="2402475D">
      <w:pPr>
        <w:spacing w:line="500" w:lineRule="exact"/>
        <w:jc w:val="left"/>
        <w:outlineLvl w:val="2"/>
        <w:rPr>
          <w:rFonts w:hint="eastAsia"/>
          <w:b/>
          <w:color w:val="auto"/>
          <w:sz w:val="28"/>
          <w:szCs w:val="28"/>
          <w:highlight w:val="none"/>
          <w:lang w:val="en-US" w:eastAsia="zh-CN"/>
        </w:rPr>
      </w:pPr>
      <w:r>
        <w:rPr>
          <w:rFonts w:hint="eastAsia"/>
          <w:b/>
          <w:color w:val="auto"/>
          <w:sz w:val="28"/>
          <w:szCs w:val="28"/>
          <w:highlight w:val="none"/>
          <w:lang w:val="en-US" w:eastAsia="zh-CN"/>
        </w:rPr>
        <w:t>13、技术资料、备品备件</w:t>
      </w:r>
    </w:p>
    <w:p w14:paraId="298745E9">
      <w:pPr>
        <w:spacing w:line="600" w:lineRule="exact"/>
        <w:ind w:firstLine="470" w:firstLineChars="19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1、中标人提供1套完整的纸质版设备随机资料和1套电子版。要求随机资料包括：主要设备合格证、设备操作手册、出厂检验报告（如有）、设备备件手册、专用工具明细等。</w:t>
      </w:r>
    </w:p>
    <w:p w14:paraId="51F541F8">
      <w:pPr>
        <w:spacing w:line="600" w:lineRule="exact"/>
        <w:ind w:firstLine="470" w:firstLineChars="19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2、合同签订后提供详尽的设备验收标准、安装技术规范等，并向土建单位提供预留孔、预埋件位置等二次条件资料。</w:t>
      </w:r>
    </w:p>
    <w:p w14:paraId="7C054B92">
      <w:pPr>
        <w:numPr>
          <w:ilvl w:val="0"/>
          <w:numId w:val="0"/>
        </w:numPr>
        <w:adjustRightInd w:val="0"/>
        <w:spacing w:line="360" w:lineRule="auto"/>
        <w:textAlignment w:val="baseline"/>
        <w:rPr>
          <w:rFonts w:hint="eastAsia"/>
          <w:b/>
          <w:color w:val="000000"/>
          <w:sz w:val="28"/>
          <w:szCs w:val="28"/>
          <w:highlight w:val="none"/>
          <w:lang w:val="en-US" w:eastAsia="zh-CN"/>
        </w:rPr>
      </w:pPr>
      <w:r>
        <w:rPr>
          <w:rFonts w:hint="eastAsia"/>
          <w:b/>
          <w:color w:val="000000"/>
          <w:sz w:val="28"/>
          <w:szCs w:val="28"/>
          <w:highlight w:val="none"/>
          <w:lang w:val="zh-CN" w:eastAsia="zh-CN"/>
        </w:rPr>
        <w:t>●</w:t>
      </w:r>
      <w:r>
        <w:rPr>
          <w:rFonts w:hint="eastAsia"/>
          <w:b/>
          <w:color w:val="000000"/>
          <w:sz w:val="28"/>
          <w:szCs w:val="28"/>
          <w:highlight w:val="none"/>
          <w:lang w:val="en-US" w:eastAsia="zh-CN"/>
        </w:rPr>
        <w:t>四、质保期及售后服务</w:t>
      </w:r>
    </w:p>
    <w:p w14:paraId="1FFE8854">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8" w:firstLineChars="200"/>
        <w:jc w:val="both"/>
        <w:textAlignment w:val="bottom"/>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质保期：不短于验收合格签署验收文件后</w:t>
      </w:r>
      <w:r>
        <w:rPr>
          <w:rFonts w:hint="eastAsia" w:ascii="宋体" w:hAnsi="宋体" w:cs="宋体"/>
          <w:color w:val="auto"/>
          <w:spacing w:val="2"/>
          <w:sz w:val="24"/>
          <w:szCs w:val="24"/>
          <w:lang w:val="en-US" w:eastAsia="zh-CN"/>
        </w:rPr>
        <w:t>2</w:t>
      </w:r>
      <w:r>
        <w:rPr>
          <w:rFonts w:hint="eastAsia" w:ascii="宋体" w:hAnsi="宋体" w:eastAsia="宋体" w:cs="宋体"/>
          <w:color w:val="auto"/>
          <w:spacing w:val="2"/>
          <w:sz w:val="24"/>
          <w:szCs w:val="24"/>
          <w:lang w:val="en-US" w:eastAsia="zh-CN"/>
        </w:rPr>
        <w:t xml:space="preserve"> 年</w:t>
      </w:r>
      <w:r>
        <w:rPr>
          <w:rFonts w:hint="eastAsia" w:ascii="宋体" w:hAnsi="宋体" w:cs="宋体"/>
          <w:color w:val="auto"/>
          <w:spacing w:val="2"/>
          <w:sz w:val="24"/>
          <w:szCs w:val="24"/>
          <w:lang w:val="en-US" w:eastAsia="zh-CN"/>
        </w:rPr>
        <w:t>（以实际签订的合同为准）</w:t>
      </w:r>
    </w:p>
    <w:p w14:paraId="0F4154E2">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0" w:firstLineChars="200"/>
        <w:jc w:val="both"/>
        <w:textAlignment w:val="bottom"/>
        <w:outlineLvl w:val="9"/>
        <w:rPr>
          <w:rFonts w:hint="eastAsia" w:ascii="宋体" w:hAnsi="宋体" w:eastAsia="宋体" w:cs="宋体"/>
          <w:sz w:val="24"/>
          <w:szCs w:val="24"/>
        </w:rPr>
      </w:pPr>
      <w:r>
        <w:rPr>
          <w:rFonts w:hint="eastAsia" w:ascii="宋体" w:hAnsi="宋体" w:eastAsia="宋体" w:cs="宋体"/>
          <w:sz w:val="24"/>
          <w:szCs w:val="24"/>
        </w:rPr>
        <w:t>质保期内因</w:t>
      </w:r>
      <w:r>
        <w:rPr>
          <w:rFonts w:hint="eastAsia" w:ascii="宋体" w:hAnsi="宋体" w:eastAsia="宋体" w:cs="宋体"/>
          <w:kern w:val="0"/>
          <w:sz w:val="24"/>
          <w:szCs w:val="24"/>
          <w:lang w:val="en-US" w:eastAsia="zh-CN" w:bidi="ar-SA"/>
        </w:rPr>
        <w:t>设备本身缺陷造成各种故</w:t>
      </w:r>
      <w:r>
        <w:rPr>
          <w:rFonts w:hint="eastAsia" w:ascii="宋体" w:hAnsi="宋体" w:eastAsia="宋体" w:cs="宋体"/>
          <w:sz w:val="24"/>
          <w:szCs w:val="24"/>
        </w:rPr>
        <w:t>障应由</w:t>
      </w:r>
      <w:r>
        <w:rPr>
          <w:rFonts w:hint="eastAsia" w:ascii="宋体" w:hAnsi="宋体" w:cs="宋体"/>
          <w:sz w:val="24"/>
          <w:szCs w:val="24"/>
          <w:lang w:eastAsia="zh-CN"/>
        </w:rPr>
        <w:t>乙方</w:t>
      </w:r>
      <w:r>
        <w:rPr>
          <w:rFonts w:hint="eastAsia" w:ascii="宋体" w:hAnsi="宋体" w:eastAsia="宋体" w:cs="宋体"/>
          <w:sz w:val="24"/>
          <w:szCs w:val="24"/>
          <w:lang w:val="en-US" w:eastAsia="zh-CN"/>
        </w:rPr>
        <w:t>提供</w:t>
      </w:r>
      <w:r>
        <w:rPr>
          <w:rFonts w:hint="eastAsia" w:ascii="宋体" w:hAnsi="宋体" w:eastAsia="宋体" w:cs="宋体"/>
          <w:sz w:val="24"/>
          <w:szCs w:val="24"/>
        </w:rPr>
        <w:t>技术服务和维修。</w:t>
      </w:r>
      <w:r>
        <w:rPr>
          <w:rFonts w:hint="eastAsia" w:ascii="宋体" w:hAnsi="宋体" w:cs="宋体"/>
          <w:sz w:val="24"/>
          <w:szCs w:val="24"/>
          <w:lang w:eastAsia="zh-CN"/>
        </w:rPr>
        <w:t>乙方</w:t>
      </w:r>
      <w:r>
        <w:rPr>
          <w:rFonts w:hint="eastAsia" w:ascii="宋体" w:hAnsi="宋体" w:eastAsia="宋体" w:cs="宋体"/>
          <w:sz w:val="24"/>
          <w:szCs w:val="24"/>
        </w:rPr>
        <w:t>在质量保证期的最后1个月对设备进行一次常规的维护保养，</w:t>
      </w:r>
      <w:r>
        <w:rPr>
          <w:rFonts w:hint="eastAsia" w:ascii="宋体" w:hAnsi="宋体" w:cs="宋体"/>
          <w:sz w:val="24"/>
          <w:szCs w:val="24"/>
          <w:lang w:eastAsia="zh-CN"/>
        </w:rPr>
        <w:t>乙方</w:t>
      </w:r>
      <w:r>
        <w:rPr>
          <w:rFonts w:hint="eastAsia" w:ascii="宋体" w:hAnsi="宋体" w:eastAsia="宋体" w:cs="宋体"/>
          <w:sz w:val="24"/>
          <w:szCs w:val="24"/>
        </w:rPr>
        <w:t>对该期间所发生的设备维修、保养、更换费用负责。</w:t>
      </w:r>
    </w:p>
    <w:p w14:paraId="5BF6CABA">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0" w:firstLineChars="200"/>
        <w:jc w:val="both"/>
        <w:textAlignment w:val="bottom"/>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质保期内重复发生故障的设备，该设备质保期重新计算。质保期满后一年重复出现质保期内出现过的故障，仍属质保范围，按照要求质保期重新计算</w:t>
      </w:r>
      <w:r>
        <w:rPr>
          <w:rFonts w:hint="eastAsia" w:ascii="宋体" w:hAnsi="宋体" w:cs="宋体"/>
          <w:sz w:val="24"/>
          <w:szCs w:val="24"/>
          <w:lang w:val="en-US" w:eastAsia="zh-CN"/>
        </w:rPr>
        <w:t>。</w:t>
      </w:r>
    </w:p>
    <w:p w14:paraId="3ECBE3AC">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0" w:firstLineChars="200"/>
        <w:jc w:val="both"/>
        <w:textAlignment w:val="bottom"/>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当设备质保期满之后，</w:t>
      </w:r>
      <w:r>
        <w:rPr>
          <w:rFonts w:hint="eastAsia" w:ascii="宋体" w:hAnsi="宋体" w:cs="宋体"/>
          <w:kern w:val="0"/>
          <w:sz w:val="24"/>
          <w:szCs w:val="24"/>
          <w:lang w:val="en-US" w:eastAsia="zh-CN" w:bidi="ar-SA"/>
        </w:rPr>
        <w:t>乙方</w:t>
      </w:r>
      <w:r>
        <w:rPr>
          <w:rFonts w:hint="eastAsia" w:ascii="宋体" w:hAnsi="宋体" w:eastAsia="宋体" w:cs="宋体"/>
          <w:kern w:val="0"/>
          <w:sz w:val="24"/>
          <w:szCs w:val="24"/>
          <w:lang w:val="en-US" w:eastAsia="zh-CN" w:bidi="ar-SA"/>
        </w:rPr>
        <w:t>依然能提供全面的技术支持及备件供应。</w:t>
      </w:r>
    </w:p>
    <w:p w14:paraId="6791F8DC">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0" w:firstLineChars="200"/>
        <w:jc w:val="both"/>
        <w:textAlignment w:val="bottom"/>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2、售后服务：在设备整个使用期内，</w:t>
      </w:r>
      <w:r>
        <w:rPr>
          <w:rFonts w:hint="eastAsia" w:ascii="宋体" w:hAnsi="宋体" w:cs="宋体"/>
          <w:kern w:val="0"/>
          <w:sz w:val="24"/>
          <w:szCs w:val="24"/>
          <w:lang w:val="en-US" w:eastAsia="zh-CN" w:bidi="ar-SA"/>
        </w:rPr>
        <w:t>乙方</w:t>
      </w:r>
      <w:r>
        <w:rPr>
          <w:rFonts w:hint="eastAsia" w:ascii="宋体" w:hAnsi="宋体" w:eastAsia="宋体" w:cs="宋体"/>
          <w:kern w:val="0"/>
          <w:sz w:val="24"/>
          <w:szCs w:val="24"/>
          <w:lang w:val="en-US" w:eastAsia="zh-CN" w:bidi="ar-SA"/>
        </w:rPr>
        <w:t>应提供确保设备的正常使用所需的售后服务（含配件）。如设备发生故障，</w:t>
      </w:r>
      <w:r>
        <w:rPr>
          <w:rFonts w:hint="eastAsia" w:ascii="宋体" w:hAnsi="宋体" w:cs="宋体"/>
          <w:kern w:val="0"/>
          <w:sz w:val="24"/>
          <w:szCs w:val="24"/>
          <w:lang w:val="en-US" w:eastAsia="zh-CN" w:bidi="ar-SA"/>
        </w:rPr>
        <w:t>乙方</w:t>
      </w:r>
      <w:r>
        <w:rPr>
          <w:rFonts w:hint="eastAsia" w:ascii="宋体" w:hAnsi="宋体" w:eastAsia="宋体" w:cs="宋体"/>
          <w:kern w:val="0"/>
          <w:sz w:val="24"/>
          <w:szCs w:val="24"/>
          <w:lang w:val="en-US" w:eastAsia="zh-CN" w:bidi="ar-SA"/>
        </w:rPr>
        <w:t xml:space="preserve">应在收到买方通知后 </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 xml:space="preserve"> 小时内给予有效响应，并在</w:t>
      </w:r>
      <w:r>
        <w:rPr>
          <w:rFonts w:hint="eastAsia" w:ascii="宋体" w:hAnsi="宋体" w:cs="宋体"/>
          <w:kern w:val="0"/>
          <w:sz w:val="24"/>
          <w:szCs w:val="24"/>
          <w:lang w:val="en-US" w:eastAsia="zh-CN" w:bidi="ar-SA"/>
        </w:rPr>
        <w:t>24</w:t>
      </w:r>
      <w:r>
        <w:rPr>
          <w:rFonts w:hint="eastAsia" w:ascii="宋体" w:hAnsi="宋体" w:eastAsia="宋体" w:cs="宋体"/>
          <w:kern w:val="0"/>
          <w:sz w:val="24"/>
          <w:szCs w:val="24"/>
          <w:lang w:val="en-US" w:eastAsia="zh-CN" w:bidi="ar-SA"/>
        </w:rPr>
        <w:t xml:space="preserve">小时内服务人员到达买方现场，在 </w:t>
      </w:r>
      <w:r>
        <w:rPr>
          <w:rFonts w:hint="eastAsia" w:ascii="宋体" w:hAnsi="宋体" w:cs="宋体"/>
          <w:kern w:val="0"/>
          <w:sz w:val="24"/>
          <w:szCs w:val="24"/>
          <w:lang w:val="en-US" w:eastAsia="zh-CN" w:bidi="ar-SA"/>
        </w:rPr>
        <w:t>48</w:t>
      </w:r>
      <w:r>
        <w:rPr>
          <w:rFonts w:hint="eastAsia" w:ascii="宋体" w:hAnsi="宋体" w:eastAsia="宋体" w:cs="宋体"/>
          <w:kern w:val="0"/>
          <w:sz w:val="24"/>
          <w:szCs w:val="24"/>
          <w:lang w:val="en-US" w:eastAsia="zh-CN" w:bidi="ar-SA"/>
        </w:rPr>
        <w:t>小时内内排除故障并交付使用，否则需提供备用产品。</w:t>
      </w:r>
    </w:p>
    <w:p w14:paraId="72C72B00">
      <w:pPr>
        <w:numPr>
          <w:ilvl w:val="0"/>
          <w:numId w:val="0"/>
        </w:numPr>
        <w:adjustRightInd w:val="0"/>
        <w:spacing w:line="360" w:lineRule="auto"/>
        <w:textAlignment w:val="baseline"/>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●五、供货要求</w:t>
      </w:r>
    </w:p>
    <w:p w14:paraId="5C0750B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1、供货时间：</w:t>
      </w:r>
      <w:r>
        <w:rPr>
          <w:rFonts w:hint="eastAsia" w:ascii="宋体" w:hAnsi="宋体" w:cs="宋体"/>
          <w:b w:val="0"/>
          <w:bCs/>
          <w:color w:val="auto"/>
          <w:sz w:val="24"/>
          <w:szCs w:val="24"/>
          <w:highlight w:val="none"/>
          <w:lang w:val="en-US" w:eastAsia="zh-CN"/>
        </w:rPr>
        <w:t>合同签订后</w:t>
      </w:r>
      <w:r>
        <w:rPr>
          <w:rFonts w:hint="eastAsia" w:ascii="宋体" w:hAnsi="宋体" w:cs="宋体"/>
          <w:b w:val="0"/>
          <w:bCs/>
          <w:color w:val="auto"/>
          <w:sz w:val="24"/>
          <w:szCs w:val="24"/>
          <w:highlight w:val="none"/>
          <w:u w:val="single" w:color="auto"/>
          <w:lang w:val="en-US" w:eastAsia="zh-CN"/>
        </w:rPr>
        <w:t>60</w:t>
      </w:r>
      <w:r>
        <w:rPr>
          <w:rFonts w:hint="eastAsia" w:ascii="宋体" w:hAnsi="宋体" w:cs="宋体"/>
          <w:b w:val="0"/>
          <w:bCs/>
          <w:color w:val="auto"/>
          <w:sz w:val="24"/>
          <w:szCs w:val="24"/>
          <w:highlight w:val="none"/>
          <w:u w:val="single" w:color="auto"/>
        </w:rPr>
        <w:t>天</w:t>
      </w:r>
      <w:r>
        <w:rPr>
          <w:rFonts w:hint="eastAsia" w:ascii="宋体" w:hAnsi="宋体" w:cs="宋体"/>
          <w:b w:val="0"/>
          <w:bCs/>
          <w:color w:val="auto"/>
          <w:sz w:val="24"/>
          <w:szCs w:val="24"/>
          <w:highlight w:val="none"/>
          <w:u w:val="none" w:color="auto"/>
        </w:rPr>
        <w:t>内</w:t>
      </w:r>
      <w:r>
        <w:rPr>
          <w:rFonts w:hint="eastAsia" w:ascii="宋体" w:hAnsi="宋体" w:cs="宋体"/>
          <w:b w:val="0"/>
          <w:bCs/>
          <w:color w:val="auto"/>
          <w:sz w:val="24"/>
          <w:szCs w:val="24"/>
          <w:highlight w:val="none"/>
          <w:u w:val="none" w:color="auto"/>
          <w:lang w:val="en-US" w:eastAsia="zh-CN"/>
        </w:rPr>
        <w:t>完成采购清单中所有设备及材料的供货，并在接到招标人通知后15天内完成调试。</w:t>
      </w:r>
    </w:p>
    <w:p w14:paraId="70CEA06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cs="宋体"/>
          <w:b w:val="0"/>
          <w:bCs/>
          <w:sz w:val="24"/>
        </w:rPr>
      </w:pPr>
      <w:r>
        <w:rPr>
          <w:rFonts w:hint="eastAsia" w:ascii="宋体" w:hAnsi="宋体" w:eastAsia="宋体" w:cs="宋体"/>
          <w:b w:val="0"/>
          <w:bCs/>
          <w:color w:val="auto"/>
          <w:sz w:val="24"/>
          <w:highlight w:val="none"/>
          <w:lang w:val="en-US" w:eastAsia="zh-CN"/>
        </w:rPr>
        <w:t xml:space="preserve"> </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供</w:t>
      </w:r>
      <w:r>
        <w:rPr>
          <w:rFonts w:hint="eastAsia" w:ascii="宋体" w:hAnsi="宋体" w:eastAsia="宋体" w:cs="宋体"/>
          <w:b w:val="0"/>
          <w:bCs/>
          <w:color w:val="auto"/>
          <w:sz w:val="24"/>
          <w:szCs w:val="24"/>
          <w:highlight w:val="none"/>
          <w:lang w:val="en-US" w:eastAsia="zh-CN"/>
        </w:rPr>
        <w:t>货</w:t>
      </w:r>
      <w:r>
        <w:rPr>
          <w:rFonts w:hint="eastAsia" w:ascii="宋体" w:hAnsi="宋体" w:eastAsia="宋体" w:cs="宋体"/>
          <w:b w:val="0"/>
          <w:bCs/>
          <w:color w:val="auto"/>
          <w:sz w:val="24"/>
          <w:szCs w:val="24"/>
          <w:highlight w:val="none"/>
        </w:rPr>
        <w:t>地点：</w:t>
      </w:r>
      <w:r>
        <w:rPr>
          <w:rFonts w:hint="eastAsia" w:ascii="宋体" w:hAnsi="宋体" w:eastAsia="宋体" w:cs="宋体"/>
          <w:b w:val="0"/>
          <w:bCs/>
          <w:color w:val="auto"/>
          <w:sz w:val="24"/>
          <w:szCs w:val="24"/>
          <w:highlight w:val="none"/>
          <w:lang w:val="en-US" w:eastAsia="zh-CN"/>
        </w:rPr>
        <w:t>临平区</w:t>
      </w:r>
      <w:r>
        <w:rPr>
          <w:rFonts w:hint="eastAsia" w:ascii="宋体" w:hAnsi="宋体" w:eastAsia="宋体" w:cs="宋体"/>
          <w:b w:val="0"/>
          <w:bCs/>
          <w:color w:val="auto"/>
          <w:sz w:val="24"/>
          <w:szCs w:val="24"/>
          <w:highlight w:val="none"/>
          <w:lang w:eastAsia="zh-CN"/>
        </w:rPr>
        <w:t>招标人</w:t>
      </w:r>
      <w:r>
        <w:rPr>
          <w:rFonts w:hint="eastAsia" w:ascii="宋体" w:hAnsi="宋体" w:eastAsia="宋体" w:cs="宋体"/>
          <w:b w:val="0"/>
          <w:bCs/>
          <w:color w:val="auto"/>
          <w:sz w:val="24"/>
          <w:szCs w:val="24"/>
          <w:highlight w:val="none"/>
        </w:rPr>
        <w:t>指定的</w:t>
      </w:r>
      <w:r>
        <w:rPr>
          <w:rFonts w:hint="eastAsia" w:ascii="宋体" w:hAnsi="宋体" w:eastAsia="宋体" w:cs="宋体"/>
          <w:b w:val="0"/>
          <w:bCs/>
          <w:color w:val="auto"/>
          <w:sz w:val="24"/>
          <w:szCs w:val="24"/>
          <w:highlight w:val="none"/>
          <w:lang w:eastAsia="zh-CN"/>
        </w:rPr>
        <w:t>地点</w:t>
      </w:r>
    </w:p>
    <w:p w14:paraId="1167AB6D">
      <w:pPr>
        <w:numPr>
          <w:ilvl w:val="0"/>
          <w:numId w:val="0"/>
        </w:numPr>
        <w:adjustRightInd w:val="0"/>
        <w:spacing w:line="360" w:lineRule="auto"/>
        <w:textAlignment w:val="baseline"/>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●六、项目付款及结算方式</w:t>
      </w:r>
    </w:p>
    <w:p w14:paraId="77AA0DAD">
      <w:pPr>
        <w:keepNext w:val="0"/>
        <w:keepLines w:val="0"/>
        <w:pageBreakBefore w:val="0"/>
        <w:widowControl w:val="0"/>
        <w:kinsoku/>
        <w:wordWrap/>
        <w:overflowPunct/>
        <w:topLinePunct w:val="0"/>
        <w:autoSpaceDE/>
        <w:autoSpaceDN/>
        <w:bidi w:val="0"/>
        <w:spacing w:beforeLines="0" w:afterLines="0" w:line="360" w:lineRule="auto"/>
        <w:ind w:left="0" w:leftChars="0" w:right="0" w:rightChars="0" w:firstLine="480" w:firstLineChars="200"/>
        <w:jc w:val="both"/>
        <w:textAlignment w:val="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1、合同签订前 10 天，中标人向招标人提交合同总价10%的履约保证金。</w:t>
      </w:r>
    </w:p>
    <w:p w14:paraId="35DDEFC6">
      <w:pPr>
        <w:keepNext w:val="0"/>
        <w:keepLines w:val="0"/>
        <w:pageBreakBefore w:val="0"/>
        <w:widowControl w:val="0"/>
        <w:kinsoku/>
        <w:wordWrap/>
        <w:overflowPunct/>
        <w:topLinePunct w:val="0"/>
        <w:autoSpaceDE/>
        <w:autoSpaceDN/>
        <w:bidi w:val="0"/>
        <w:spacing w:beforeLines="0" w:afterLines="0" w:line="360" w:lineRule="auto"/>
        <w:ind w:left="0" w:leftChars="0" w:right="0" w:rightChars="0" w:firstLine="480" w:firstLineChars="200"/>
        <w:jc w:val="both"/>
        <w:textAlignment w:val="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2、预付款：</w:t>
      </w:r>
      <w:r>
        <w:rPr>
          <w:rFonts w:hint="default" w:ascii="宋体" w:hAnsi="宋体" w:cs="宋体"/>
          <w:bCs/>
          <w:sz w:val="24"/>
          <w:szCs w:val="24"/>
        </w:rPr>
        <w:t>合同签订后</w:t>
      </w:r>
      <w:r>
        <w:rPr>
          <w:rFonts w:hint="eastAsia" w:ascii="宋体" w:hAnsi="宋体" w:cs="宋体"/>
          <w:bCs/>
          <w:sz w:val="24"/>
          <w:szCs w:val="24"/>
          <w:lang w:val="en-US" w:eastAsia="zh-CN"/>
        </w:rPr>
        <w:t>15</w:t>
      </w:r>
      <w:r>
        <w:rPr>
          <w:rFonts w:hint="default" w:ascii="宋体" w:hAnsi="宋体" w:cs="宋体"/>
          <w:bCs/>
          <w:sz w:val="24"/>
          <w:szCs w:val="24"/>
        </w:rPr>
        <w:t>日内</w:t>
      </w:r>
      <w:r>
        <w:rPr>
          <w:rFonts w:hint="eastAsia" w:ascii="宋体" w:hAnsi="宋体" w:cs="宋体"/>
          <w:bCs/>
          <w:sz w:val="24"/>
          <w:szCs w:val="24"/>
        </w:rPr>
        <w:t>支付合同总价的</w:t>
      </w:r>
      <w:r>
        <w:rPr>
          <w:rFonts w:hint="eastAsia" w:ascii="宋体" w:hAnsi="宋体" w:cs="宋体"/>
          <w:bCs/>
          <w:sz w:val="24"/>
          <w:szCs w:val="24"/>
          <w:lang w:val="en-US" w:eastAsia="zh-CN"/>
        </w:rPr>
        <w:t>10</w:t>
      </w:r>
      <w:r>
        <w:rPr>
          <w:rFonts w:hint="eastAsia" w:ascii="宋体" w:hAnsi="宋体" w:cs="宋体"/>
          <w:bCs/>
          <w:sz w:val="24"/>
          <w:szCs w:val="24"/>
        </w:rPr>
        <w:t>%</w:t>
      </w:r>
      <w:r>
        <w:rPr>
          <w:rFonts w:hint="eastAsia" w:ascii="宋体" w:hAnsi="宋体" w:cs="宋体"/>
          <w:bCs/>
          <w:sz w:val="24"/>
          <w:szCs w:val="24"/>
          <w:lang w:val="en-US" w:eastAsia="zh-CN"/>
        </w:rPr>
        <w:t>的</w:t>
      </w:r>
      <w:r>
        <w:rPr>
          <w:rFonts w:hint="default" w:ascii="宋体" w:hAnsi="宋体" w:cs="宋体"/>
          <w:bCs/>
          <w:sz w:val="24"/>
          <w:szCs w:val="24"/>
        </w:rPr>
        <w:t>预付款</w:t>
      </w:r>
      <w:r>
        <w:rPr>
          <w:rFonts w:hint="eastAsia" w:ascii="宋体" w:hAnsi="宋体" w:cs="宋体"/>
          <w:bCs/>
          <w:sz w:val="24"/>
          <w:szCs w:val="24"/>
          <w:lang w:eastAsia="zh-CN"/>
        </w:rPr>
        <w:t>。</w:t>
      </w:r>
    </w:p>
    <w:p w14:paraId="37E6896A">
      <w:pPr>
        <w:keepNext w:val="0"/>
        <w:keepLines w:val="0"/>
        <w:pageBreakBefore w:val="0"/>
        <w:widowControl w:val="0"/>
        <w:kinsoku/>
        <w:wordWrap/>
        <w:overflowPunct/>
        <w:topLinePunct w:val="0"/>
        <w:autoSpaceDE/>
        <w:autoSpaceDN/>
        <w:bidi w:val="0"/>
        <w:spacing w:beforeLines="0" w:afterLines="0" w:line="360" w:lineRule="auto"/>
        <w:ind w:left="0" w:leftChars="0" w:right="0" w:rightChars="0" w:firstLine="480" w:firstLineChars="200"/>
        <w:jc w:val="both"/>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到货款：全部</w:t>
      </w:r>
      <w:r>
        <w:rPr>
          <w:rFonts w:hint="eastAsia" w:ascii="宋体" w:hAnsi="宋体" w:cs="宋体"/>
          <w:sz w:val="24"/>
          <w:szCs w:val="24"/>
          <w:highlight w:val="none"/>
        </w:rPr>
        <w:t>设备货到现场经</w:t>
      </w:r>
      <w:r>
        <w:rPr>
          <w:rFonts w:hint="eastAsia" w:ascii="宋体" w:hAnsi="宋体" w:cs="宋体"/>
          <w:sz w:val="24"/>
          <w:szCs w:val="24"/>
          <w:highlight w:val="none"/>
          <w:lang w:eastAsia="zh-CN"/>
        </w:rPr>
        <w:t>招标人</w:t>
      </w:r>
      <w:r>
        <w:rPr>
          <w:rFonts w:hint="eastAsia" w:ascii="宋体" w:hAnsi="宋体" w:cs="宋体"/>
          <w:sz w:val="24"/>
          <w:szCs w:val="24"/>
          <w:highlight w:val="none"/>
        </w:rPr>
        <w:t>签收确认</w:t>
      </w:r>
      <w:r>
        <w:rPr>
          <w:rFonts w:hint="eastAsia" w:ascii="宋体" w:hAnsi="宋体" w:cs="宋体"/>
          <w:sz w:val="24"/>
          <w:szCs w:val="24"/>
          <w:highlight w:val="none"/>
          <w:lang w:val="en-US" w:eastAsia="zh-CN"/>
        </w:rPr>
        <w:t>后的</w:t>
      </w:r>
      <w:r>
        <w:rPr>
          <w:rFonts w:hint="eastAsia" w:ascii="宋体" w:hAnsi="宋体" w:cs="宋体"/>
          <w:sz w:val="24"/>
          <w:szCs w:val="24"/>
          <w:highlight w:val="none"/>
        </w:rPr>
        <w:t>30天内向中标人支付至合同总价的</w:t>
      </w:r>
      <w:r>
        <w:rPr>
          <w:rFonts w:hint="eastAsia" w:ascii="宋体" w:hAnsi="宋体" w:cs="宋体"/>
          <w:sz w:val="24"/>
          <w:szCs w:val="24"/>
          <w:highlight w:val="none"/>
          <w:lang w:val="en-US" w:eastAsia="zh-CN"/>
        </w:rPr>
        <w:t>60</w:t>
      </w:r>
      <w:r>
        <w:rPr>
          <w:rFonts w:hint="eastAsia" w:ascii="宋体" w:hAnsi="宋体" w:cs="宋体"/>
          <w:sz w:val="24"/>
          <w:szCs w:val="24"/>
          <w:highlight w:val="none"/>
        </w:rPr>
        <w:t>%。</w:t>
      </w:r>
    </w:p>
    <w:p w14:paraId="491E437C">
      <w:pPr>
        <w:keepNext w:val="0"/>
        <w:keepLines w:val="0"/>
        <w:pageBreakBefore w:val="0"/>
        <w:widowControl w:val="0"/>
        <w:kinsoku/>
        <w:wordWrap/>
        <w:overflowPunct/>
        <w:topLinePunct w:val="0"/>
        <w:autoSpaceDE/>
        <w:autoSpaceDN/>
        <w:bidi w:val="0"/>
        <w:spacing w:beforeLines="0" w:afterLines="0" w:line="360" w:lineRule="auto"/>
        <w:ind w:left="0" w:leftChars="0" w:right="0" w:rightChars="0" w:firstLine="480" w:firstLineChars="200"/>
        <w:jc w:val="both"/>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、验收后付款：在所供设备及其附属系统全部</w:t>
      </w:r>
      <w:r>
        <w:rPr>
          <w:rFonts w:hint="eastAsia" w:ascii="宋体" w:hAnsi="宋体" w:cs="宋体"/>
          <w:sz w:val="24"/>
          <w:szCs w:val="24"/>
          <w:highlight w:val="none"/>
          <w:lang w:val="en-US" w:eastAsia="zh-CN"/>
        </w:rPr>
        <w:t>调试完成</w:t>
      </w:r>
      <w:r>
        <w:rPr>
          <w:rFonts w:hint="eastAsia" w:ascii="宋体" w:hAnsi="宋体" w:cs="宋体"/>
          <w:sz w:val="24"/>
          <w:szCs w:val="24"/>
          <w:highlight w:val="none"/>
        </w:rPr>
        <w:t>通过</w:t>
      </w:r>
      <w:r>
        <w:rPr>
          <w:rFonts w:hint="eastAsia" w:ascii="宋体" w:hAnsi="宋体" w:cs="宋体"/>
          <w:sz w:val="24"/>
          <w:szCs w:val="24"/>
          <w:highlight w:val="none"/>
          <w:lang w:eastAsia="zh-CN"/>
        </w:rPr>
        <w:t>采购方</w:t>
      </w:r>
      <w:r>
        <w:rPr>
          <w:rFonts w:hint="eastAsia" w:ascii="宋体" w:hAnsi="宋体" w:cs="宋体"/>
          <w:sz w:val="24"/>
          <w:szCs w:val="24"/>
          <w:highlight w:val="none"/>
        </w:rPr>
        <w:t>验收签署验收文件后的30天内支付至合同总价的95%。（发票应包括剩余金额即包括质量保证金在内的金额）。</w:t>
      </w:r>
    </w:p>
    <w:p w14:paraId="3DF24003">
      <w:pPr>
        <w:keepNext w:val="0"/>
        <w:keepLines w:val="0"/>
        <w:pageBreakBefore w:val="0"/>
        <w:widowControl w:val="0"/>
        <w:kinsoku/>
        <w:wordWrap/>
        <w:overflowPunct/>
        <w:topLinePunct w:val="0"/>
        <w:autoSpaceDE/>
        <w:autoSpaceDN/>
        <w:bidi w:val="0"/>
        <w:spacing w:beforeLines="0" w:afterLines="0" w:line="360" w:lineRule="auto"/>
        <w:ind w:left="0" w:leftChars="0" w:right="0" w:rightChars="0" w:firstLine="480" w:firstLineChars="200"/>
        <w:jc w:val="both"/>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、质量保证金付款：合同价格的5%，在质量保证期满后 30天内支付（无息）。</w:t>
      </w:r>
    </w:p>
    <w:p w14:paraId="56AE681F">
      <w:pPr>
        <w:keepNext w:val="0"/>
        <w:keepLines w:val="0"/>
        <w:pageBreakBefore w:val="0"/>
        <w:widowControl w:val="0"/>
        <w:kinsoku/>
        <w:wordWrap/>
        <w:overflowPunct/>
        <w:topLinePunct w:val="0"/>
        <w:autoSpaceDE/>
        <w:autoSpaceDN/>
        <w:bidi w:val="0"/>
        <w:spacing w:beforeLines="0" w:afterLines="0" w:line="360" w:lineRule="auto"/>
        <w:ind w:left="0" w:leftChars="0" w:right="0" w:rightChars="0" w:firstLine="480" w:firstLineChars="200"/>
        <w:jc w:val="left"/>
        <w:textAlignment w:val="auto"/>
        <w:outlineLvl w:val="9"/>
        <w:rPr>
          <w:rFonts w:hint="eastAsia" w:ascii="宋体" w:hAnsi="宋体" w:cs="宋体"/>
          <w:sz w:val="24"/>
          <w:szCs w:val="24"/>
          <w:highlight w:val="none"/>
        </w:rPr>
      </w:pPr>
      <w:r>
        <w:rPr>
          <w:rFonts w:hint="eastAsia" w:ascii="宋体" w:hAnsi="宋体" w:cs="宋体"/>
          <w:sz w:val="24"/>
          <w:szCs w:val="24"/>
          <w:highlight w:val="none"/>
        </w:rPr>
        <w:t>注：在合同期内，</w:t>
      </w:r>
      <w:r>
        <w:rPr>
          <w:rFonts w:hint="eastAsia" w:ascii="宋体" w:hAnsi="宋体" w:cs="宋体"/>
          <w:sz w:val="24"/>
          <w:szCs w:val="24"/>
          <w:highlight w:val="none"/>
          <w:lang w:eastAsia="zh-CN"/>
        </w:rPr>
        <w:t>采购方</w:t>
      </w:r>
      <w:r>
        <w:rPr>
          <w:rFonts w:hint="eastAsia" w:ascii="宋体" w:hAnsi="宋体" w:cs="宋体"/>
          <w:sz w:val="24"/>
          <w:szCs w:val="24"/>
          <w:highlight w:val="none"/>
        </w:rPr>
        <w:t>每支付一笔合同款项前，</w:t>
      </w:r>
      <w:r>
        <w:rPr>
          <w:rFonts w:hint="eastAsia" w:ascii="宋体" w:hAnsi="宋体" w:cs="宋体"/>
          <w:sz w:val="24"/>
          <w:szCs w:val="24"/>
          <w:highlight w:val="none"/>
          <w:lang w:eastAsia="zh-CN"/>
        </w:rPr>
        <w:t>中标方</w:t>
      </w:r>
      <w:r>
        <w:rPr>
          <w:rFonts w:hint="eastAsia" w:ascii="宋体" w:hAnsi="宋体" w:cs="宋体"/>
          <w:sz w:val="24"/>
          <w:szCs w:val="24"/>
          <w:highlight w:val="none"/>
        </w:rPr>
        <w:t>须提供相应金额的税务发票。</w:t>
      </w:r>
    </w:p>
    <w:p w14:paraId="39EEE638">
      <w:pPr>
        <w:keepNext w:val="0"/>
        <w:keepLines w:val="0"/>
        <w:pageBreakBefore w:val="0"/>
        <w:widowControl w:val="0"/>
        <w:kinsoku/>
        <w:wordWrap/>
        <w:overflowPunct/>
        <w:topLinePunct w:val="0"/>
        <w:autoSpaceDE/>
        <w:autoSpaceDN/>
        <w:bidi w:val="0"/>
        <w:spacing w:beforeLines="0" w:afterLines="0" w:line="360" w:lineRule="auto"/>
        <w:ind w:left="0" w:leftChars="0" w:right="0" w:rightChars="0" w:firstLine="480" w:firstLineChars="200"/>
        <w:jc w:val="left"/>
        <w:textAlignment w:val="auto"/>
        <w:outlineLvl w:val="9"/>
        <w:rPr>
          <w:rFonts w:hint="eastAsia" w:ascii="宋体" w:hAnsi="宋体" w:cs="宋体"/>
          <w:sz w:val="24"/>
          <w:szCs w:val="24"/>
          <w:highlight w:val="none"/>
        </w:rPr>
      </w:pPr>
      <w:r>
        <w:rPr>
          <w:rFonts w:hint="eastAsia" w:ascii="宋体" w:hAnsi="宋体" w:cs="宋体"/>
          <w:sz w:val="24"/>
          <w:szCs w:val="24"/>
          <w:highlight w:val="none"/>
        </w:rPr>
        <w:t>履约保证金退还：在双方签署验收合格文件（或签署最后一份验收合格文件）后一个月内无息退还履约保证金。</w:t>
      </w:r>
    </w:p>
    <w:p w14:paraId="5377359E">
      <w:pPr>
        <w:adjustRightInd w:val="0"/>
        <w:spacing w:line="360" w:lineRule="auto"/>
        <w:ind w:firstLine="0" w:firstLineChars="0"/>
        <w:textAlignment w:val="baseline"/>
        <w:rPr>
          <w:rFonts w:hint="eastAsia" w:ascii="宋体" w:hAnsi="宋体" w:cs="宋体"/>
          <w:b/>
          <w:color w:val="000000"/>
          <w:sz w:val="24"/>
          <w:szCs w:val="24"/>
        </w:rPr>
      </w:pPr>
      <w:r>
        <w:rPr>
          <w:rFonts w:hint="eastAsia" w:ascii="宋体" w:hAnsi="宋体" w:cs="宋体"/>
          <w:b/>
          <w:color w:val="000000"/>
          <w:sz w:val="24"/>
          <w:szCs w:val="24"/>
          <w:lang w:val="en-US" w:eastAsia="zh-CN"/>
        </w:rPr>
        <w:t>七</w:t>
      </w:r>
      <w:r>
        <w:rPr>
          <w:rFonts w:hint="eastAsia" w:ascii="宋体" w:hAnsi="宋体" w:cs="宋体"/>
          <w:b/>
          <w:color w:val="000000"/>
          <w:sz w:val="24"/>
          <w:szCs w:val="24"/>
        </w:rPr>
        <w:t>、验收</w:t>
      </w:r>
    </w:p>
    <w:p w14:paraId="2E34442B">
      <w:pPr>
        <w:spacing w:line="360" w:lineRule="auto"/>
        <w:ind w:firstLine="480" w:firstLineChars="200"/>
        <w:rPr>
          <w:rFonts w:hint="eastAsia"/>
          <w:b w:val="0"/>
          <w:bCs w:val="0"/>
          <w:sz w:val="24"/>
        </w:rPr>
      </w:pPr>
      <w:r>
        <w:rPr>
          <w:rFonts w:hint="eastAsia"/>
          <w:b w:val="0"/>
          <w:bCs w:val="0"/>
          <w:sz w:val="24"/>
        </w:rPr>
        <w:t>1、在</w:t>
      </w:r>
      <w:r>
        <w:rPr>
          <w:rFonts w:hint="eastAsia"/>
          <w:b w:val="0"/>
          <w:bCs w:val="0"/>
          <w:sz w:val="24"/>
          <w:lang w:val="en-US" w:eastAsia="zh-CN"/>
        </w:rPr>
        <w:t>所供设备及附属设施</w:t>
      </w:r>
      <w:r>
        <w:rPr>
          <w:rFonts w:hint="eastAsia"/>
          <w:b w:val="0"/>
          <w:bCs w:val="0"/>
          <w:sz w:val="24"/>
        </w:rPr>
        <w:t>调试工作完成并经</w:t>
      </w:r>
      <w:r>
        <w:rPr>
          <w:rFonts w:hint="eastAsia"/>
          <w:b w:val="0"/>
          <w:bCs w:val="0"/>
          <w:sz w:val="24"/>
          <w:lang w:val="en-US" w:eastAsia="zh-CN"/>
        </w:rPr>
        <w:t>中标人</w:t>
      </w:r>
      <w:r>
        <w:rPr>
          <w:rFonts w:hint="eastAsia"/>
          <w:b w:val="0"/>
          <w:bCs w:val="0"/>
          <w:sz w:val="24"/>
        </w:rPr>
        <w:t>方自检达到验收标准</w:t>
      </w:r>
      <w:r>
        <w:rPr>
          <w:rFonts w:hint="eastAsia"/>
          <w:b w:val="0"/>
          <w:bCs w:val="0"/>
          <w:sz w:val="24"/>
          <w:lang w:val="en-US" w:eastAsia="zh-CN"/>
        </w:rPr>
        <w:t>后</w:t>
      </w:r>
      <w:r>
        <w:rPr>
          <w:rFonts w:hint="eastAsia"/>
          <w:b w:val="0"/>
          <w:bCs w:val="0"/>
          <w:sz w:val="24"/>
        </w:rPr>
        <w:t>，</w:t>
      </w:r>
      <w:r>
        <w:rPr>
          <w:rFonts w:hint="eastAsia"/>
          <w:b w:val="0"/>
          <w:bCs w:val="0"/>
          <w:sz w:val="24"/>
          <w:lang w:val="en-US" w:eastAsia="zh-CN"/>
        </w:rPr>
        <w:t>中标人</w:t>
      </w:r>
      <w:r>
        <w:rPr>
          <w:rFonts w:hint="eastAsia"/>
          <w:b w:val="0"/>
          <w:bCs w:val="0"/>
          <w:sz w:val="24"/>
        </w:rPr>
        <w:t>应通知</w:t>
      </w:r>
      <w:r>
        <w:rPr>
          <w:rFonts w:hint="eastAsia"/>
          <w:b w:val="0"/>
          <w:bCs w:val="0"/>
          <w:sz w:val="24"/>
          <w:lang w:val="en-US" w:eastAsia="zh-CN"/>
        </w:rPr>
        <w:t>招标人</w:t>
      </w:r>
      <w:r>
        <w:rPr>
          <w:rFonts w:hint="eastAsia"/>
          <w:b w:val="0"/>
          <w:bCs w:val="0"/>
          <w:sz w:val="24"/>
        </w:rPr>
        <w:t>和有关部门进行</w:t>
      </w:r>
      <w:r>
        <w:rPr>
          <w:rFonts w:hint="eastAsia"/>
          <w:b w:val="0"/>
          <w:bCs w:val="0"/>
          <w:sz w:val="24"/>
          <w:lang w:val="en-US" w:eastAsia="zh-CN"/>
        </w:rPr>
        <w:t>验收</w:t>
      </w:r>
      <w:r>
        <w:rPr>
          <w:rFonts w:hint="eastAsia"/>
          <w:b w:val="0"/>
          <w:bCs w:val="0"/>
          <w:sz w:val="24"/>
        </w:rPr>
        <w:t>。</w:t>
      </w:r>
    </w:p>
    <w:p w14:paraId="0200D265">
      <w:pPr>
        <w:spacing w:line="360" w:lineRule="auto"/>
        <w:ind w:firstLine="480" w:firstLineChars="200"/>
        <w:rPr>
          <w:rFonts w:hint="eastAsia"/>
          <w:sz w:val="24"/>
          <w:highlight w:val="none"/>
        </w:rPr>
      </w:pPr>
      <w:r>
        <w:rPr>
          <w:rFonts w:hint="eastAsia"/>
          <w:sz w:val="24"/>
        </w:rPr>
        <w:t xml:space="preserve">2、从验收合格之日起 </w:t>
      </w:r>
      <w:r>
        <w:rPr>
          <w:rFonts w:hint="eastAsia"/>
          <w:sz w:val="24"/>
          <w:u w:val="single" w:color="auto"/>
        </w:rPr>
        <w:t xml:space="preserve"> </w:t>
      </w:r>
      <w:r>
        <w:rPr>
          <w:rFonts w:hint="eastAsia"/>
          <w:sz w:val="24"/>
          <w:u w:val="single" w:color="auto"/>
          <w:lang w:val="en-US" w:eastAsia="zh-CN"/>
        </w:rPr>
        <w:t>15</w:t>
      </w:r>
      <w:r>
        <w:rPr>
          <w:rFonts w:hint="eastAsia"/>
          <w:sz w:val="24"/>
          <w:u w:val="single" w:color="auto"/>
        </w:rPr>
        <w:t xml:space="preserve"> </w:t>
      </w:r>
      <w:r>
        <w:rPr>
          <w:rFonts w:hint="eastAsia"/>
          <w:sz w:val="24"/>
        </w:rPr>
        <w:t>工作日内，</w:t>
      </w:r>
      <w:r>
        <w:rPr>
          <w:rFonts w:hint="eastAsia"/>
          <w:b w:val="0"/>
          <w:bCs w:val="0"/>
          <w:sz w:val="24"/>
          <w:lang w:val="en-US" w:eastAsia="zh-CN"/>
        </w:rPr>
        <w:t>中标人</w:t>
      </w:r>
      <w:r>
        <w:rPr>
          <w:rFonts w:hint="eastAsia"/>
          <w:sz w:val="24"/>
        </w:rPr>
        <w:t>向</w:t>
      </w:r>
      <w:r>
        <w:rPr>
          <w:rFonts w:hint="eastAsia"/>
          <w:b w:val="0"/>
          <w:bCs w:val="0"/>
          <w:sz w:val="24"/>
          <w:lang w:val="en-US" w:eastAsia="zh-CN"/>
        </w:rPr>
        <w:t>招标人</w:t>
      </w:r>
      <w:r>
        <w:rPr>
          <w:rFonts w:hint="eastAsia"/>
          <w:sz w:val="24"/>
        </w:rPr>
        <w:t>移交本工程项目及其附属</w:t>
      </w:r>
      <w:r>
        <w:rPr>
          <w:rFonts w:hint="eastAsia"/>
          <w:sz w:val="24"/>
          <w:highlight w:val="none"/>
        </w:rPr>
        <w:t>的、相关的详细的随机技术文件以及其他资料</w:t>
      </w:r>
      <w:r>
        <w:rPr>
          <w:rFonts w:hint="eastAsia"/>
          <w:sz w:val="24"/>
          <w:highlight w:val="none"/>
          <w:lang w:eastAsia="zh-CN"/>
        </w:rPr>
        <w:t>。</w:t>
      </w:r>
    </w:p>
    <w:p w14:paraId="771F2FBC">
      <w:pPr>
        <w:spacing w:line="360" w:lineRule="auto"/>
        <w:ind w:firstLine="480" w:firstLineChars="200"/>
        <w:rPr>
          <w:rFonts w:hint="eastAsia"/>
          <w:sz w:val="24"/>
          <w:highlight w:val="none"/>
        </w:rPr>
      </w:pPr>
      <w:r>
        <w:rPr>
          <w:rFonts w:hint="eastAsia"/>
          <w:sz w:val="24"/>
          <w:highlight w:val="none"/>
        </w:rPr>
        <w:t>3、在进行验收中，如发现工程质量不符合规定，</w:t>
      </w:r>
      <w:r>
        <w:rPr>
          <w:rFonts w:hint="eastAsia"/>
          <w:b w:val="0"/>
          <w:bCs w:val="0"/>
          <w:sz w:val="24"/>
          <w:highlight w:val="none"/>
          <w:lang w:val="en-US" w:eastAsia="zh-CN"/>
        </w:rPr>
        <w:t>中标人</w:t>
      </w:r>
      <w:r>
        <w:rPr>
          <w:rFonts w:hint="eastAsia"/>
          <w:sz w:val="24"/>
          <w:highlight w:val="none"/>
        </w:rPr>
        <w:t>应负责无偿修理或返工，并在双方议定的措施和期限内完成。</w:t>
      </w:r>
    </w:p>
    <w:p w14:paraId="6B884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color w:val="000000"/>
          <w:kern w:val="0"/>
          <w:sz w:val="24"/>
          <w:highlight w:val="none"/>
          <w:lang w:eastAsia="zh-CN"/>
        </w:rPr>
        <w:t>附件</w:t>
      </w:r>
      <w:r>
        <w:rPr>
          <w:rFonts w:hint="eastAsia" w:ascii="宋体" w:hAnsi="宋体" w:cs="宋体"/>
          <w:b/>
          <w:bCs/>
          <w:color w:val="000000"/>
          <w:kern w:val="0"/>
          <w:sz w:val="24"/>
          <w:highlight w:val="none"/>
          <w:lang w:val="en-US" w:eastAsia="zh-CN"/>
        </w:rPr>
        <w:t>：采购设备图纸</w:t>
      </w:r>
    </w:p>
    <w:p w14:paraId="615DA9D4">
      <w:pPr>
        <w:spacing w:line="360" w:lineRule="auto"/>
        <w:ind w:firstLine="420" w:firstLineChars="200"/>
        <w:rPr>
          <w:rFonts w:hint="eastAsia" w:ascii="宋体" w:hAnsi="宋体" w:cs="宋体"/>
          <w:highlight w:val="none"/>
        </w:rPr>
      </w:pPr>
      <w:bookmarkStart w:id="38" w:name="_Toc32011"/>
    </w:p>
    <w:p w14:paraId="24D2D700">
      <w:pPr>
        <w:spacing w:line="360" w:lineRule="auto"/>
        <w:rPr>
          <w:rFonts w:hint="eastAsia" w:ascii="宋体" w:hAnsi="宋体" w:cs="宋体"/>
          <w:b/>
          <w:bCs/>
          <w:sz w:val="24"/>
          <w:highlight w:val="none"/>
        </w:rPr>
      </w:pPr>
    </w:p>
    <w:p w14:paraId="24E691D4">
      <w:pPr>
        <w:spacing w:line="360" w:lineRule="auto"/>
        <w:rPr>
          <w:rFonts w:hint="eastAsia" w:ascii="宋体" w:hAnsi="宋体" w:cs="宋体"/>
          <w:b/>
          <w:bCs/>
          <w:sz w:val="24"/>
          <w:highlight w:val="none"/>
        </w:rPr>
      </w:pPr>
    </w:p>
    <w:p w14:paraId="10CA8C0A">
      <w:pPr>
        <w:spacing w:line="360" w:lineRule="auto"/>
        <w:rPr>
          <w:rFonts w:hint="eastAsia" w:ascii="宋体" w:hAnsi="宋体" w:cs="宋体"/>
          <w:b/>
          <w:bCs/>
          <w:sz w:val="24"/>
          <w:highlight w:val="none"/>
        </w:rPr>
      </w:pPr>
    </w:p>
    <w:p w14:paraId="23C6330A">
      <w:pPr>
        <w:spacing w:line="360" w:lineRule="auto"/>
        <w:rPr>
          <w:rFonts w:hint="eastAsia" w:ascii="宋体" w:hAnsi="宋体" w:cs="宋体"/>
          <w:b/>
          <w:bCs/>
          <w:sz w:val="24"/>
          <w:highlight w:val="none"/>
        </w:rPr>
      </w:pPr>
    </w:p>
    <w:bookmarkEnd w:id="11"/>
    <w:bookmarkEnd w:id="12"/>
    <w:bookmarkEnd w:id="38"/>
    <w:p w14:paraId="20134FF2">
      <w:pPr>
        <w:jc w:val="left"/>
        <w:rPr>
          <w:rFonts w:hint="eastAsia" w:ascii="宋体" w:hAnsi="宋体" w:cs="宋体"/>
          <w:b/>
          <w:sz w:val="36"/>
          <w:szCs w:val="36"/>
          <w:highlight w:val="none"/>
        </w:rPr>
      </w:pPr>
      <w:bookmarkStart w:id="39" w:name="第四部分"/>
      <w:r>
        <w:rPr>
          <w:rFonts w:hint="eastAsia" w:ascii="宋体" w:hAnsi="宋体" w:cs="宋体"/>
          <w:b/>
          <w:sz w:val="36"/>
          <w:szCs w:val="36"/>
          <w:highlight w:val="none"/>
        </w:rPr>
        <w:br w:type="page"/>
      </w:r>
    </w:p>
    <w:p w14:paraId="439D39D8">
      <w:pPr>
        <w:pStyle w:val="2"/>
        <w:spacing w:before="0" w:after="0" w:line="579" w:lineRule="auto"/>
        <w:ind w:left="431" w:hanging="431"/>
        <w:jc w:val="center"/>
      </w:pPr>
      <w:r>
        <w:rPr>
          <w:rFonts w:hint="eastAsia"/>
        </w:rPr>
        <w:t xml:space="preserve">第四部分   </w:t>
      </w:r>
      <w:bookmarkStart w:id="40" w:name="_Toc184314428"/>
      <w:bookmarkEnd w:id="40"/>
      <w:bookmarkStart w:id="41" w:name="_Toc184310313"/>
      <w:bookmarkEnd w:id="41"/>
      <w:bookmarkStart w:id="42" w:name="_Toc184314446"/>
      <w:bookmarkEnd w:id="42"/>
      <w:bookmarkStart w:id="43" w:name="_Toc184314415"/>
      <w:bookmarkEnd w:id="43"/>
      <w:bookmarkStart w:id="44" w:name="_Toc184314480"/>
      <w:bookmarkEnd w:id="44"/>
      <w:bookmarkStart w:id="45" w:name="_Toc184310278"/>
      <w:bookmarkEnd w:id="45"/>
      <w:bookmarkStart w:id="46" w:name="_Toc184310283"/>
      <w:bookmarkEnd w:id="46"/>
      <w:bookmarkStart w:id="47" w:name="_Toc184314435"/>
      <w:bookmarkEnd w:id="47"/>
      <w:bookmarkStart w:id="48" w:name="_Toc184310331"/>
      <w:bookmarkEnd w:id="48"/>
      <w:bookmarkStart w:id="49" w:name="_Toc184313299"/>
      <w:bookmarkEnd w:id="49"/>
      <w:bookmarkStart w:id="50" w:name="_Toc184312103"/>
      <w:bookmarkEnd w:id="50"/>
      <w:bookmarkStart w:id="51" w:name="_Toc184308097"/>
      <w:bookmarkEnd w:id="51"/>
      <w:bookmarkStart w:id="52" w:name="_Toc184310298"/>
      <w:bookmarkEnd w:id="52"/>
      <w:bookmarkStart w:id="53" w:name="_Toc184313289"/>
      <w:bookmarkEnd w:id="53"/>
      <w:bookmarkStart w:id="54" w:name="_Toc184312083"/>
      <w:bookmarkEnd w:id="54"/>
      <w:bookmarkStart w:id="55" w:name="_Toc184312118"/>
      <w:bookmarkEnd w:id="55"/>
      <w:bookmarkStart w:id="56" w:name="_Toc184312134"/>
      <w:bookmarkEnd w:id="56"/>
      <w:bookmarkStart w:id="57" w:name="_Toc184308067"/>
      <w:bookmarkEnd w:id="57"/>
      <w:bookmarkStart w:id="58" w:name="_Toc184310332"/>
      <w:bookmarkEnd w:id="58"/>
      <w:bookmarkStart w:id="59" w:name="_Toc184310280"/>
      <w:bookmarkEnd w:id="59"/>
      <w:bookmarkStart w:id="60" w:name="_Toc184310276"/>
      <w:bookmarkEnd w:id="60"/>
      <w:bookmarkStart w:id="61" w:name="_Toc184313250"/>
      <w:bookmarkEnd w:id="61"/>
      <w:bookmarkStart w:id="62" w:name="_Toc184314422"/>
      <w:bookmarkEnd w:id="62"/>
      <w:bookmarkStart w:id="63" w:name="_Toc184312135"/>
      <w:bookmarkEnd w:id="63"/>
      <w:bookmarkStart w:id="64" w:name="_Toc184312068"/>
      <w:bookmarkEnd w:id="64"/>
      <w:bookmarkStart w:id="65" w:name="_Toc184312122"/>
      <w:bookmarkEnd w:id="65"/>
      <w:bookmarkStart w:id="66" w:name="_Toc184308049"/>
      <w:bookmarkEnd w:id="66"/>
      <w:bookmarkStart w:id="67" w:name="_Toc184313273"/>
      <w:bookmarkEnd w:id="67"/>
      <w:bookmarkStart w:id="68" w:name="_Toc184310318"/>
      <w:bookmarkEnd w:id="68"/>
      <w:bookmarkStart w:id="69" w:name="_Toc184312080"/>
      <w:bookmarkEnd w:id="69"/>
      <w:bookmarkStart w:id="70" w:name="_Toc184310323"/>
      <w:bookmarkEnd w:id="70"/>
      <w:bookmarkStart w:id="71" w:name="_Toc184312109"/>
      <w:bookmarkEnd w:id="71"/>
      <w:bookmarkStart w:id="72" w:name="_Toc184310294"/>
      <w:bookmarkEnd w:id="72"/>
      <w:bookmarkStart w:id="73" w:name="_Toc184314447"/>
      <w:bookmarkEnd w:id="73"/>
      <w:bookmarkStart w:id="74" w:name="_Toc184308060"/>
      <w:bookmarkEnd w:id="74"/>
      <w:bookmarkStart w:id="75" w:name="_Toc184308050"/>
      <w:bookmarkEnd w:id="75"/>
      <w:bookmarkStart w:id="76" w:name="_Toc184310314"/>
      <w:bookmarkEnd w:id="76"/>
      <w:bookmarkStart w:id="77" w:name="_Toc184310275"/>
      <w:bookmarkEnd w:id="77"/>
      <w:bookmarkStart w:id="78" w:name="_Toc184313286"/>
      <w:bookmarkEnd w:id="78"/>
      <w:bookmarkStart w:id="79" w:name="_Toc184308038"/>
      <w:bookmarkEnd w:id="79"/>
      <w:bookmarkStart w:id="80" w:name="_Toc184313248"/>
      <w:bookmarkEnd w:id="80"/>
      <w:bookmarkStart w:id="81" w:name="_Toc184310279"/>
      <w:bookmarkEnd w:id="81"/>
      <w:bookmarkStart w:id="82" w:name="_Toc184312078"/>
      <w:bookmarkEnd w:id="82"/>
      <w:bookmarkStart w:id="83" w:name="_Toc184313271"/>
      <w:bookmarkEnd w:id="83"/>
      <w:bookmarkStart w:id="84" w:name="_Toc184314439"/>
      <w:bookmarkEnd w:id="84"/>
      <w:bookmarkStart w:id="85" w:name="_Toc184310284"/>
      <w:bookmarkEnd w:id="85"/>
      <w:bookmarkStart w:id="86" w:name="_Toc184308072"/>
      <w:bookmarkEnd w:id="86"/>
      <w:bookmarkStart w:id="87" w:name="_Toc184313293"/>
      <w:bookmarkEnd w:id="87"/>
      <w:bookmarkStart w:id="88" w:name="_Toc184308044"/>
      <w:bookmarkEnd w:id="88"/>
      <w:bookmarkStart w:id="89" w:name="_Toc184308081"/>
      <w:bookmarkEnd w:id="89"/>
      <w:bookmarkStart w:id="90" w:name="_Toc184308099"/>
      <w:bookmarkEnd w:id="90"/>
      <w:bookmarkStart w:id="91" w:name="_Toc184312085"/>
      <w:bookmarkEnd w:id="91"/>
      <w:bookmarkStart w:id="92" w:name="_Toc184314463"/>
      <w:bookmarkEnd w:id="92"/>
      <w:bookmarkStart w:id="93" w:name="_Toc184313240"/>
      <w:bookmarkEnd w:id="93"/>
      <w:bookmarkStart w:id="94" w:name="_Toc184312136"/>
      <w:bookmarkEnd w:id="94"/>
      <w:bookmarkStart w:id="95" w:name="_Toc184308053"/>
      <w:bookmarkEnd w:id="95"/>
      <w:bookmarkStart w:id="96" w:name="_Toc184312105"/>
      <w:bookmarkEnd w:id="96"/>
      <w:bookmarkStart w:id="97" w:name="_Toc184313254"/>
      <w:bookmarkEnd w:id="97"/>
      <w:bookmarkStart w:id="98" w:name="_Toc184310319"/>
      <w:bookmarkEnd w:id="98"/>
      <w:bookmarkStart w:id="99" w:name="_Toc184313298"/>
      <w:bookmarkEnd w:id="99"/>
      <w:bookmarkStart w:id="100" w:name="_Toc184308048"/>
      <w:bookmarkEnd w:id="100"/>
      <w:bookmarkStart w:id="101" w:name="_Toc184313264"/>
      <w:bookmarkEnd w:id="101"/>
      <w:bookmarkStart w:id="102" w:name="_Toc184314471"/>
      <w:bookmarkEnd w:id="102"/>
      <w:bookmarkStart w:id="103" w:name="_Toc184308093"/>
      <w:bookmarkEnd w:id="103"/>
      <w:bookmarkStart w:id="104" w:name="_Toc184314478"/>
      <w:bookmarkEnd w:id="104"/>
      <w:bookmarkStart w:id="105" w:name="_Toc184312133"/>
      <w:bookmarkEnd w:id="105"/>
      <w:bookmarkStart w:id="106" w:name="_Toc184314451"/>
      <w:bookmarkEnd w:id="106"/>
      <w:bookmarkStart w:id="107" w:name="_Toc184314430"/>
      <w:bookmarkEnd w:id="107"/>
      <w:bookmarkStart w:id="108" w:name="_Toc184312130"/>
      <w:bookmarkEnd w:id="108"/>
      <w:bookmarkStart w:id="109" w:name="_Toc184310295"/>
      <w:bookmarkEnd w:id="109"/>
      <w:bookmarkStart w:id="110" w:name="_Toc184313255"/>
      <w:bookmarkEnd w:id="110"/>
      <w:bookmarkStart w:id="111" w:name="_Toc184314432"/>
      <w:bookmarkEnd w:id="111"/>
      <w:bookmarkStart w:id="112" w:name="_Toc184310336"/>
      <w:bookmarkEnd w:id="112"/>
      <w:bookmarkStart w:id="113" w:name="_Toc184312116"/>
      <w:bookmarkEnd w:id="113"/>
      <w:bookmarkStart w:id="114" w:name="_Toc184308043"/>
      <w:bookmarkEnd w:id="114"/>
      <w:bookmarkStart w:id="115" w:name="_Toc184313267"/>
      <w:bookmarkEnd w:id="115"/>
      <w:bookmarkStart w:id="116" w:name="_Toc184314414"/>
      <w:bookmarkEnd w:id="116"/>
      <w:bookmarkStart w:id="117" w:name="_Toc184313277"/>
      <w:bookmarkEnd w:id="117"/>
      <w:bookmarkStart w:id="118" w:name="_Toc184312131"/>
      <w:bookmarkEnd w:id="118"/>
      <w:bookmarkStart w:id="119" w:name="_Toc184312115"/>
      <w:bookmarkEnd w:id="119"/>
      <w:bookmarkStart w:id="120" w:name="_Toc184313290"/>
      <w:bookmarkEnd w:id="120"/>
      <w:bookmarkStart w:id="121" w:name="_Toc184312138"/>
      <w:bookmarkEnd w:id="121"/>
      <w:bookmarkStart w:id="122" w:name="_Toc184308078"/>
      <w:bookmarkEnd w:id="122"/>
      <w:bookmarkStart w:id="123" w:name="_Toc184310317"/>
      <w:bookmarkEnd w:id="123"/>
      <w:bookmarkStart w:id="124" w:name="_Toc184314470"/>
      <w:bookmarkEnd w:id="124"/>
      <w:bookmarkStart w:id="125" w:name="_Toc184308087"/>
      <w:bookmarkEnd w:id="125"/>
      <w:bookmarkStart w:id="126" w:name="_Toc184308084"/>
      <w:bookmarkEnd w:id="126"/>
      <w:bookmarkStart w:id="127" w:name="_Toc184313285"/>
      <w:bookmarkEnd w:id="127"/>
      <w:bookmarkStart w:id="128" w:name="_Toc184314411"/>
      <w:bookmarkEnd w:id="128"/>
      <w:bookmarkStart w:id="129" w:name="_Toc184312084"/>
      <w:bookmarkEnd w:id="129"/>
      <w:bookmarkStart w:id="130" w:name="_Toc184310328"/>
      <w:bookmarkEnd w:id="130"/>
      <w:bookmarkStart w:id="131" w:name="_Toc184310282"/>
      <w:bookmarkEnd w:id="131"/>
      <w:bookmarkStart w:id="132" w:name="_Toc184308071"/>
      <w:bookmarkEnd w:id="132"/>
      <w:bookmarkStart w:id="133" w:name="_Toc184313305"/>
      <w:bookmarkEnd w:id="133"/>
      <w:bookmarkStart w:id="134" w:name="_Toc184313272"/>
      <w:bookmarkEnd w:id="134"/>
      <w:bookmarkStart w:id="135" w:name="_Toc184313280"/>
      <w:bookmarkEnd w:id="135"/>
      <w:bookmarkStart w:id="136" w:name="_Toc184312108"/>
      <w:bookmarkEnd w:id="136"/>
      <w:bookmarkStart w:id="137" w:name="_Toc184313251"/>
      <w:bookmarkEnd w:id="137"/>
      <w:bookmarkStart w:id="138" w:name="_Toc184310338"/>
      <w:bookmarkEnd w:id="138"/>
      <w:bookmarkStart w:id="139" w:name="_Toc184314433"/>
      <w:bookmarkEnd w:id="139"/>
      <w:bookmarkStart w:id="140" w:name="_Toc184312102"/>
      <w:bookmarkEnd w:id="140"/>
      <w:bookmarkStart w:id="141" w:name="_Toc184314420"/>
      <w:bookmarkEnd w:id="141"/>
      <w:bookmarkStart w:id="142" w:name="_Toc184308092"/>
      <w:bookmarkEnd w:id="142"/>
      <w:bookmarkStart w:id="143" w:name="_Toc184310342"/>
      <w:bookmarkEnd w:id="143"/>
      <w:bookmarkStart w:id="144" w:name="_Toc184308091"/>
      <w:bookmarkEnd w:id="144"/>
      <w:bookmarkStart w:id="145" w:name="_Toc184314423"/>
      <w:bookmarkEnd w:id="145"/>
      <w:bookmarkStart w:id="146" w:name="_Toc184313301"/>
      <w:bookmarkEnd w:id="146"/>
      <w:bookmarkStart w:id="147" w:name="_Toc184312074"/>
      <w:bookmarkEnd w:id="147"/>
      <w:bookmarkStart w:id="148" w:name="_Toc184314436"/>
      <w:bookmarkEnd w:id="148"/>
      <w:bookmarkStart w:id="149" w:name="_Toc184314448"/>
      <w:bookmarkEnd w:id="149"/>
      <w:bookmarkStart w:id="150" w:name="_Toc184313253"/>
      <w:bookmarkEnd w:id="150"/>
      <w:bookmarkStart w:id="151" w:name="_Toc184312129"/>
      <w:bookmarkEnd w:id="151"/>
      <w:bookmarkStart w:id="152" w:name="_Toc184310299"/>
      <w:bookmarkEnd w:id="152"/>
      <w:bookmarkStart w:id="153" w:name="_Toc184313242"/>
      <w:bookmarkEnd w:id="153"/>
      <w:bookmarkStart w:id="154" w:name="_Toc184313283"/>
      <w:bookmarkEnd w:id="154"/>
      <w:bookmarkStart w:id="155" w:name="_Toc184310341"/>
      <w:bookmarkEnd w:id="155"/>
      <w:bookmarkStart w:id="156" w:name="_Toc184313302"/>
      <w:bookmarkEnd w:id="156"/>
      <w:bookmarkStart w:id="157" w:name="_Toc184314468"/>
      <w:bookmarkEnd w:id="157"/>
      <w:bookmarkStart w:id="158" w:name="_Toc184312110"/>
      <w:bookmarkEnd w:id="158"/>
      <w:bookmarkStart w:id="159" w:name="_Toc184312127"/>
      <w:bookmarkEnd w:id="159"/>
      <w:bookmarkStart w:id="160" w:name="_Toc184312121"/>
      <w:bookmarkEnd w:id="160"/>
      <w:bookmarkStart w:id="161" w:name="_Toc184314444"/>
      <w:bookmarkEnd w:id="161"/>
      <w:bookmarkStart w:id="162" w:name="_Toc184314458"/>
      <w:bookmarkEnd w:id="162"/>
      <w:bookmarkStart w:id="163" w:name="_Toc184313308"/>
      <w:bookmarkEnd w:id="163"/>
      <w:bookmarkStart w:id="164" w:name="_Toc184313306"/>
      <w:bookmarkEnd w:id="164"/>
      <w:bookmarkStart w:id="165" w:name="_Toc184314412"/>
      <w:bookmarkEnd w:id="165"/>
      <w:bookmarkStart w:id="166" w:name="_Toc184308094"/>
      <w:bookmarkEnd w:id="166"/>
      <w:bookmarkStart w:id="167" w:name="_Toc184313260"/>
      <w:bookmarkEnd w:id="167"/>
      <w:bookmarkStart w:id="168" w:name="_Toc184314434"/>
      <w:bookmarkEnd w:id="168"/>
      <w:bookmarkStart w:id="169" w:name="_Toc184312089"/>
      <w:bookmarkEnd w:id="169"/>
      <w:bookmarkStart w:id="170" w:name="_Toc184308085"/>
      <w:bookmarkEnd w:id="170"/>
      <w:bookmarkStart w:id="171" w:name="_Toc184310344"/>
      <w:bookmarkEnd w:id="171"/>
      <w:bookmarkStart w:id="172" w:name="_Toc184310335"/>
      <w:bookmarkEnd w:id="172"/>
      <w:bookmarkStart w:id="173" w:name="_Toc184310316"/>
      <w:bookmarkEnd w:id="173"/>
      <w:bookmarkStart w:id="174" w:name="_Toc184313238"/>
      <w:bookmarkEnd w:id="174"/>
      <w:bookmarkStart w:id="175" w:name="_Toc184310334"/>
      <w:bookmarkEnd w:id="175"/>
      <w:bookmarkStart w:id="176" w:name="_Toc184314427"/>
      <w:bookmarkEnd w:id="176"/>
      <w:bookmarkStart w:id="177" w:name="_Toc184308047"/>
      <w:bookmarkEnd w:id="177"/>
      <w:bookmarkStart w:id="178" w:name="_Toc184312075"/>
      <w:bookmarkEnd w:id="178"/>
      <w:bookmarkStart w:id="179" w:name="_Toc184310286"/>
      <w:bookmarkEnd w:id="179"/>
      <w:bookmarkStart w:id="180" w:name="_Toc184308090"/>
      <w:bookmarkEnd w:id="180"/>
      <w:bookmarkStart w:id="181" w:name="_Toc184310339"/>
      <w:bookmarkEnd w:id="181"/>
      <w:bookmarkStart w:id="182" w:name="_Toc184308073"/>
      <w:bookmarkEnd w:id="182"/>
      <w:bookmarkStart w:id="183" w:name="_Toc184314454"/>
      <w:bookmarkEnd w:id="183"/>
      <w:bookmarkStart w:id="184" w:name="_Toc184308052"/>
      <w:bookmarkEnd w:id="184"/>
      <w:bookmarkStart w:id="185" w:name="_Toc184310296"/>
      <w:bookmarkEnd w:id="185"/>
      <w:bookmarkStart w:id="186" w:name="_Toc184308080"/>
      <w:bookmarkEnd w:id="186"/>
      <w:bookmarkStart w:id="187" w:name="_Toc184314429"/>
      <w:bookmarkEnd w:id="187"/>
      <w:bookmarkStart w:id="188" w:name="_Toc184314426"/>
      <w:bookmarkEnd w:id="188"/>
      <w:bookmarkStart w:id="189" w:name="_Toc184312095"/>
      <w:bookmarkEnd w:id="189"/>
      <w:bookmarkStart w:id="190" w:name="_Toc184312094"/>
      <w:bookmarkEnd w:id="190"/>
      <w:bookmarkStart w:id="191" w:name="_Toc184312093"/>
      <w:bookmarkEnd w:id="191"/>
      <w:bookmarkStart w:id="192" w:name="_Toc184308059"/>
      <w:bookmarkEnd w:id="192"/>
      <w:bookmarkStart w:id="193" w:name="_Toc184314425"/>
      <w:bookmarkEnd w:id="193"/>
      <w:bookmarkStart w:id="194" w:name="_Toc184310289"/>
      <w:bookmarkEnd w:id="194"/>
      <w:bookmarkStart w:id="195" w:name="_Toc184314475"/>
      <w:bookmarkEnd w:id="195"/>
      <w:bookmarkStart w:id="196" w:name="_Toc184308039"/>
      <w:bookmarkEnd w:id="196"/>
      <w:bookmarkStart w:id="197" w:name="_Toc184308082"/>
      <w:bookmarkEnd w:id="197"/>
      <w:bookmarkStart w:id="198" w:name="_Toc184308046"/>
      <w:bookmarkEnd w:id="198"/>
      <w:bookmarkStart w:id="199" w:name="_Toc184314445"/>
      <w:bookmarkEnd w:id="199"/>
      <w:bookmarkStart w:id="200" w:name="_Toc184313288"/>
      <w:bookmarkEnd w:id="200"/>
      <w:bookmarkStart w:id="201" w:name="_Toc184310305"/>
      <w:bookmarkEnd w:id="201"/>
      <w:bookmarkStart w:id="202" w:name="_Toc184314473"/>
      <w:bookmarkEnd w:id="202"/>
      <w:bookmarkStart w:id="203" w:name="_Toc184310326"/>
      <w:bookmarkEnd w:id="203"/>
      <w:bookmarkStart w:id="204" w:name="_Toc184308106"/>
      <w:bookmarkEnd w:id="204"/>
      <w:bookmarkStart w:id="205" w:name="_Toc184314410"/>
      <w:bookmarkEnd w:id="205"/>
      <w:bookmarkStart w:id="206" w:name="_Toc184313239"/>
      <w:bookmarkEnd w:id="206"/>
      <w:bookmarkStart w:id="207" w:name="_Toc184308055"/>
      <w:bookmarkEnd w:id="207"/>
      <w:bookmarkStart w:id="208" w:name="_Toc184312088"/>
      <w:bookmarkEnd w:id="208"/>
      <w:bookmarkStart w:id="209" w:name="_Toc184308069"/>
      <w:bookmarkEnd w:id="209"/>
      <w:bookmarkStart w:id="210" w:name="_Toc184312126"/>
      <w:bookmarkEnd w:id="210"/>
      <w:bookmarkStart w:id="211" w:name="_Toc184313241"/>
      <w:bookmarkEnd w:id="211"/>
      <w:bookmarkStart w:id="212" w:name="_Toc184313258"/>
      <w:bookmarkEnd w:id="212"/>
      <w:bookmarkStart w:id="213" w:name="_Toc184312082"/>
      <w:bookmarkEnd w:id="213"/>
      <w:bookmarkStart w:id="214" w:name="_Toc184312073"/>
      <w:bookmarkEnd w:id="214"/>
      <w:bookmarkStart w:id="215" w:name="_Toc184312114"/>
      <w:bookmarkEnd w:id="215"/>
      <w:bookmarkStart w:id="216" w:name="_Toc184314443"/>
      <w:bookmarkEnd w:id="216"/>
      <w:bookmarkStart w:id="217" w:name="_Toc184313262"/>
      <w:bookmarkEnd w:id="217"/>
      <w:bookmarkStart w:id="218" w:name="_Toc184314481"/>
      <w:bookmarkEnd w:id="218"/>
      <w:bookmarkStart w:id="219" w:name="_Toc184313256"/>
      <w:bookmarkEnd w:id="219"/>
      <w:bookmarkStart w:id="220" w:name="_Toc184310291"/>
      <w:bookmarkEnd w:id="220"/>
      <w:bookmarkStart w:id="221" w:name="_Toc184312132"/>
      <w:bookmarkEnd w:id="221"/>
      <w:bookmarkStart w:id="222" w:name="_Toc184312076"/>
      <w:bookmarkEnd w:id="222"/>
      <w:bookmarkStart w:id="223" w:name="_Toc184308056"/>
      <w:bookmarkEnd w:id="223"/>
      <w:bookmarkStart w:id="224" w:name="_Toc184312091"/>
      <w:bookmarkEnd w:id="224"/>
      <w:bookmarkStart w:id="225" w:name="_Toc184314469"/>
      <w:bookmarkEnd w:id="225"/>
      <w:bookmarkStart w:id="226" w:name="_Toc184313266"/>
      <w:bookmarkEnd w:id="226"/>
      <w:bookmarkStart w:id="227" w:name="_Toc184313269"/>
      <w:bookmarkEnd w:id="227"/>
      <w:bookmarkStart w:id="228" w:name="_Toc184308036"/>
      <w:bookmarkEnd w:id="228"/>
      <w:bookmarkStart w:id="229" w:name="_Toc184313259"/>
      <w:bookmarkEnd w:id="229"/>
      <w:bookmarkStart w:id="230" w:name="_Toc184310277"/>
      <w:bookmarkEnd w:id="230"/>
      <w:bookmarkStart w:id="231" w:name="_Toc184310333"/>
      <w:bookmarkEnd w:id="231"/>
      <w:bookmarkStart w:id="232" w:name="_Toc184313261"/>
      <w:bookmarkEnd w:id="232"/>
      <w:bookmarkStart w:id="233" w:name="_Toc184308101"/>
      <w:bookmarkEnd w:id="233"/>
      <w:bookmarkStart w:id="234" w:name="_Toc184308063"/>
      <w:bookmarkEnd w:id="234"/>
      <w:bookmarkStart w:id="235" w:name="_Toc184308105"/>
      <w:bookmarkEnd w:id="235"/>
      <w:bookmarkStart w:id="236" w:name="_Toc184312067"/>
      <w:bookmarkEnd w:id="236"/>
      <w:bookmarkStart w:id="237" w:name="_Toc184308107"/>
      <w:bookmarkEnd w:id="237"/>
      <w:bookmarkStart w:id="238" w:name="_Toc184312099"/>
      <w:bookmarkEnd w:id="238"/>
      <w:bookmarkStart w:id="239" w:name="_Toc184312070"/>
      <w:bookmarkEnd w:id="239"/>
      <w:bookmarkStart w:id="240" w:name="_Toc184314462"/>
      <w:bookmarkEnd w:id="240"/>
      <w:bookmarkStart w:id="241" w:name="_Toc184310290"/>
      <w:bookmarkEnd w:id="241"/>
      <w:bookmarkStart w:id="242" w:name="_Toc184310288"/>
      <w:bookmarkEnd w:id="242"/>
      <w:bookmarkStart w:id="243" w:name="_Toc184312087"/>
      <w:bookmarkEnd w:id="243"/>
      <w:bookmarkStart w:id="244" w:name="_Toc184313296"/>
      <w:bookmarkEnd w:id="244"/>
      <w:bookmarkStart w:id="245" w:name="_Toc184312107"/>
      <w:bookmarkEnd w:id="245"/>
      <w:bookmarkStart w:id="246" w:name="_Toc184312086"/>
      <w:bookmarkEnd w:id="246"/>
      <w:bookmarkStart w:id="247" w:name="_Toc184308065"/>
      <w:bookmarkEnd w:id="247"/>
      <w:bookmarkStart w:id="248" w:name="_Toc184313279"/>
      <w:bookmarkEnd w:id="248"/>
      <w:bookmarkStart w:id="249" w:name="_Toc184313294"/>
      <w:bookmarkEnd w:id="249"/>
      <w:bookmarkStart w:id="250" w:name="_Toc184308103"/>
      <w:bookmarkEnd w:id="250"/>
      <w:bookmarkStart w:id="251" w:name="_Toc184313278"/>
      <w:bookmarkEnd w:id="251"/>
      <w:bookmarkStart w:id="252" w:name="_Toc184313309"/>
      <w:bookmarkEnd w:id="252"/>
      <w:bookmarkStart w:id="253" w:name="_Toc184313275"/>
      <w:bookmarkEnd w:id="253"/>
      <w:bookmarkStart w:id="254" w:name="_Toc184313310"/>
      <w:bookmarkEnd w:id="254"/>
      <w:bookmarkStart w:id="255" w:name="_Toc184313295"/>
      <w:bookmarkEnd w:id="255"/>
      <w:bookmarkStart w:id="256" w:name="_Toc184310325"/>
      <w:bookmarkEnd w:id="256"/>
      <w:bookmarkStart w:id="257" w:name="_Toc184312069"/>
      <w:bookmarkEnd w:id="257"/>
      <w:bookmarkStart w:id="258" w:name="_Toc184308042"/>
      <w:bookmarkEnd w:id="258"/>
      <w:bookmarkStart w:id="259" w:name="_Toc184308098"/>
      <w:bookmarkEnd w:id="259"/>
      <w:bookmarkStart w:id="260" w:name="_Toc184314456"/>
      <w:bookmarkEnd w:id="260"/>
      <w:bookmarkStart w:id="261" w:name="_Toc184310274"/>
      <w:bookmarkEnd w:id="261"/>
      <w:bookmarkStart w:id="262" w:name="_Toc184312120"/>
      <w:bookmarkEnd w:id="262"/>
      <w:bookmarkStart w:id="263" w:name="_Toc184310340"/>
      <w:bookmarkEnd w:id="263"/>
      <w:bookmarkStart w:id="264" w:name="_Toc184313246"/>
      <w:bookmarkEnd w:id="264"/>
      <w:bookmarkStart w:id="265" w:name="_Toc184314482"/>
      <w:bookmarkEnd w:id="265"/>
      <w:bookmarkStart w:id="266" w:name="_Toc184313307"/>
      <w:bookmarkEnd w:id="266"/>
      <w:bookmarkStart w:id="267" w:name="_Toc184312139"/>
      <w:bookmarkEnd w:id="267"/>
      <w:bookmarkStart w:id="268" w:name="_Toc184310310"/>
      <w:bookmarkEnd w:id="268"/>
      <w:bookmarkStart w:id="269" w:name="_Toc184310285"/>
      <w:bookmarkEnd w:id="269"/>
      <w:bookmarkStart w:id="270" w:name="_Toc184314417"/>
      <w:bookmarkEnd w:id="270"/>
      <w:bookmarkStart w:id="271" w:name="_Toc184313268"/>
      <w:bookmarkEnd w:id="271"/>
      <w:bookmarkStart w:id="272" w:name="_Toc184314459"/>
      <w:bookmarkEnd w:id="272"/>
      <w:bookmarkStart w:id="273" w:name="_Toc184310321"/>
      <w:bookmarkEnd w:id="273"/>
      <w:bookmarkStart w:id="274" w:name="_Toc184313276"/>
      <w:bookmarkEnd w:id="274"/>
      <w:bookmarkStart w:id="275" w:name="_Toc184313287"/>
      <w:bookmarkEnd w:id="275"/>
      <w:bookmarkStart w:id="276" w:name="_Toc184310297"/>
      <w:bookmarkEnd w:id="276"/>
      <w:bookmarkStart w:id="277" w:name="_Toc184312117"/>
      <w:bookmarkEnd w:id="277"/>
      <w:bookmarkStart w:id="278" w:name="_Toc184308102"/>
      <w:bookmarkEnd w:id="278"/>
      <w:bookmarkStart w:id="279" w:name="_Toc184314416"/>
      <w:bookmarkEnd w:id="279"/>
      <w:bookmarkStart w:id="280" w:name="_Toc184308077"/>
      <w:bookmarkEnd w:id="280"/>
      <w:bookmarkStart w:id="281" w:name="_Toc184313270"/>
      <w:bookmarkEnd w:id="281"/>
      <w:bookmarkStart w:id="282" w:name="_Toc184313247"/>
      <w:bookmarkEnd w:id="282"/>
      <w:bookmarkStart w:id="283" w:name="_Toc184310281"/>
      <w:bookmarkEnd w:id="283"/>
      <w:bookmarkStart w:id="284" w:name="_Toc184312092"/>
      <w:bookmarkEnd w:id="284"/>
      <w:bookmarkStart w:id="285" w:name="_Toc184314413"/>
      <w:bookmarkEnd w:id="285"/>
      <w:bookmarkStart w:id="286" w:name="_Toc184310303"/>
      <w:bookmarkEnd w:id="286"/>
      <w:bookmarkStart w:id="287" w:name="_Toc184313249"/>
      <w:bookmarkEnd w:id="287"/>
      <w:bookmarkStart w:id="288" w:name="_Toc184314466"/>
      <w:bookmarkEnd w:id="288"/>
      <w:bookmarkStart w:id="289" w:name="_Toc184310312"/>
      <w:bookmarkEnd w:id="289"/>
      <w:bookmarkStart w:id="290" w:name="_Toc184314467"/>
      <w:bookmarkEnd w:id="290"/>
      <w:bookmarkStart w:id="291" w:name="_Toc184312100"/>
      <w:bookmarkEnd w:id="291"/>
      <w:bookmarkStart w:id="292" w:name="_Toc184313265"/>
      <w:bookmarkEnd w:id="292"/>
      <w:bookmarkStart w:id="293" w:name="_Toc184313263"/>
      <w:bookmarkEnd w:id="293"/>
      <w:bookmarkStart w:id="294" w:name="_Toc184312137"/>
      <w:bookmarkEnd w:id="294"/>
      <w:bookmarkStart w:id="295" w:name="_Toc184310308"/>
      <w:bookmarkEnd w:id="295"/>
      <w:bookmarkStart w:id="296" w:name="_Toc184312111"/>
      <w:bookmarkEnd w:id="296"/>
      <w:bookmarkStart w:id="297" w:name="_Toc184314452"/>
      <w:bookmarkEnd w:id="297"/>
      <w:bookmarkStart w:id="298" w:name="_Toc184313297"/>
      <w:bookmarkEnd w:id="298"/>
      <w:bookmarkStart w:id="299" w:name="_Toc184308045"/>
      <w:bookmarkEnd w:id="299"/>
      <w:bookmarkStart w:id="300" w:name="_Toc184314449"/>
      <w:bookmarkEnd w:id="300"/>
      <w:bookmarkStart w:id="301" w:name="_Toc184310330"/>
      <w:bookmarkEnd w:id="301"/>
      <w:bookmarkStart w:id="302" w:name="_Toc184314418"/>
      <w:bookmarkEnd w:id="302"/>
      <w:bookmarkStart w:id="303" w:name="_Toc184308076"/>
      <w:bookmarkEnd w:id="303"/>
      <w:bookmarkStart w:id="304" w:name="_Toc184310302"/>
      <w:bookmarkEnd w:id="304"/>
      <w:bookmarkStart w:id="305" w:name="_Toc184310322"/>
      <w:bookmarkEnd w:id="305"/>
      <w:bookmarkStart w:id="306" w:name="_Toc184312079"/>
      <w:bookmarkEnd w:id="306"/>
      <w:bookmarkStart w:id="307" w:name="_Toc184313257"/>
      <w:bookmarkEnd w:id="307"/>
      <w:bookmarkStart w:id="308" w:name="_Toc184314464"/>
      <w:bookmarkEnd w:id="308"/>
      <w:bookmarkStart w:id="309" w:name="_Toc184314472"/>
      <w:bookmarkEnd w:id="309"/>
      <w:bookmarkStart w:id="310" w:name="_Toc184313291"/>
      <w:bookmarkEnd w:id="310"/>
      <w:bookmarkStart w:id="311" w:name="_Toc184314460"/>
      <w:bookmarkEnd w:id="311"/>
      <w:bookmarkStart w:id="312" w:name="_Toc184313281"/>
      <w:bookmarkEnd w:id="312"/>
      <w:bookmarkStart w:id="313" w:name="_Toc184312125"/>
      <w:bookmarkEnd w:id="313"/>
      <w:bookmarkStart w:id="314" w:name="_Toc184314419"/>
      <w:bookmarkEnd w:id="314"/>
      <w:bookmarkStart w:id="315" w:name="_Toc184310315"/>
      <w:bookmarkEnd w:id="315"/>
      <w:bookmarkStart w:id="316" w:name="_Toc184313252"/>
      <w:bookmarkEnd w:id="316"/>
      <w:bookmarkStart w:id="317" w:name="_Toc184308057"/>
      <w:bookmarkEnd w:id="317"/>
      <w:bookmarkStart w:id="318" w:name="_Toc184308068"/>
      <w:bookmarkEnd w:id="318"/>
      <w:bookmarkStart w:id="319" w:name="_Toc184308051"/>
      <w:bookmarkEnd w:id="319"/>
      <w:bookmarkStart w:id="320" w:name="_Toc184314431"/>
      <w:bookmarkEnd w:id="320"/>
      <w:bookmarkStart w:id="321" w:name="_Toc184310337"/>
      <w:bookmarkEnd w:id="321"/>
      <w:bookmarkStart w:id="322" w:name="_Toc184308096"/>
      <w:bookmarkEnd w:id="322"/>
      <w:bookmarkStart w:id="323" w:name="_Toc184314455"/>
      <w:bookmarkEnd w:id="323"/>
      <w:bookmarkStart w:id="324" w:name="_Toc184312081"/>
      <w:bookmarkEnd w:id="324"/>
      <w:bookmarkStart w:id="325" w:name="_Toc184313304"/>
      <w:bookmarkEnd w:id="325"/>
      <w:bookmarkStart w:id="326" w:name="_Toc184308108"/>
      <w:bookmarkEnd w:id="326"/>
      <w:bookmarkStart w:id="327" w:name="_Toc184312128"/>
      <w:bookmarkEnd w:id="327"/>
      <w:bookmarkStart w:id="328" w:name="_Toc184308088"/>
      <w:bookmarkEnd w:id="328"/>
      <w:bookmarkStart w:id="329" w:name="_Toc184314440"/>
      <w:bookmarkEnd w:id="329"/>
      <w:bookmarkStart w:id="330" w:name="_Toc184312106"/>
      <w:bookmarkEnd w:id="330"/>
      <w:bookmarkStart w:id="331" w:name="_Toc184312097"/>
      <w:bookmarkEnd w:id="331"/>
      <w:bookmarkStart w:id="332" w:name="_Toc184313282"/>
      <w:bookmarkEnd w:id="332"/>
      <w:bookmarkStart w:id="333" w:name="_Toc184312119"/>
      <w:bookmarkEnd w:id="333"/>
      <w:bookmarkStart w:id="334" w:name="_Toc184313303"/>
      <w:bookmarkEnd w:id="334"/>
      <w:bookmarkStart w:id="335" w:name="_Toc184308054"/>
      <w:bookmarkEnd w:id="335"/>
      <w:bookmarkStart w:id="336" w:name="_Toc184313243"/>
      <w:bookmarkEnd w:id="336"/>
      <w:bookmarkStart w:id="337" w:name="_Toc184314424"/>
      <w:bookmarkEnd w:id="337"/>
      <w:bookmarkStart w:id="338" w:name="_Toc184312072"/>
      <w:bookmarkEnd w:id="338"/>
      <w:bookmarkStart w:id="339" w:name="_Toc184314437"/>
      <w:bookmarkEnd w:id="339"/>
      <w:bookmarkStart w:id="340" w:name="_Toc184310293"/>
      <w:bookmarkEnd w:id="340"/>
      <w:bookmarkStart w:id="341" w:name="_Toc184314476"/>
      <w:bookmarkEnd w:id="341"/>
      <w:bookmarkStart w:id="342" w:name="_Toc184313244"/>
      <w:bookmarkEnd w:id="342"/>
      <w:bookmarkStart w:id="343" w:name="_Toc184313284"/>
      <w:bookmarkEnd w:id="343"/>
      <w:bookmarkStart w:id="344" w:name="_Toc184308100"/>
      <w:bookmarkEnd w:id="344"/>
      <w:bookmarkStart w:id="345" w:name="_Toc184310287"/>
      <w:bookmarkEnd w:id="345"/>
      <w:bookmarkStart w:id="346" w:name="_Toc184312123"/>
      <w:bookmarkEnd w:id="346"/>
      <w:bookmarkStart w:id="347" w:name="_Toc184308058"/>
      <w:bookmarkEnd w:id="347"/>
      <w:bookmarkStart w:id="348" w:name="_Toc184310300"/>
      <w:bookmarkEnd w:id="348"/>
      <w:bookmarkStart w:id="349" w:name="_Toc184308061"/>
      <w:bookmarkEnd w:id="349"/>
      <w:bookmarkStart w:id="350" w:name="_Toc184312090"/>
      <w:bookmarkEnd w:id="350"/>
      <w:bookmarkStart w:id="351" w:name="_Toc184308079"/>
      <w:bookmarkEnd w:id="351"/>
      <w:bookmarkStart w:id="352" w:name="_Toc184312112"/>
      <w:bookmarkEnd w:id="352"/>
      <w:bookmarkStart w:id="353" w:name="_Toc184314457"/>
      <w:bookmarkEnd w:id="353"/>
      <w:bookmarkStart w:id="354" w:name="_Toc184310320"/>
      <w:bookmarkEnd w:id="354"/>
      <w:bookmarkStart w:id="355" w:name="_Toc184312071"/>
      <w:bookmarkEnd w:id="355"/>
      <w:bookmarkStart w:id="356" w:name="_Toc184312124"/>
      <w:bookmarkEnd w:id="356"/>
      <w:bookmarkStart w:id="357" w:name="_Toc184312077"/>
      <w:bookmarkEnd w:id="357"/>
      <w:bookmarkStart w:id="358" w:name="_Toc184310304"/>
      <w:bookmarkEnd w:id="358"/>
      <w:bookmarkStart w:id="359" w:name="_Toc184310301"/>
      <w:bookmarkEnd w:id="359"/>
      <w:bookmarkStart w:id="360" w:name="_Toc184313292"/>
      <w:bookmarkEnd w:id="360"/>
      <w:bookmarkStart w:id="361" w:name="_Toc184313274"/>
      <w:bookmarkEnd w:id="361"/>
      <w:bookmarkStart w:id="362" w:name="_Toc184312104"/>
      <w:bookmarkEnd w:id="362"/>
      <w:bookmarkStart w:id="363" w:name="_Toc184310311"/>
      <w:bookmarkEnd w:id="363"/>
      <w:bookmarkStart w:id="364" w:name="_Toc184312113"/>
      <w:bookmarkEnd w:id="364"/>
      <w:bookmarkStart w:id="365" w:name="_Toc184308086"/>
      <w:bookmarkEnd w:id="365"/>
      <w:bookmarkStart w:id="366" w:name="_Toc184314461"/>
      <w:bookmarkEnd w:id="366"/>
      <w:bookmarkStart w:id="367" w:name="_Toc184310307"/>
      <w:bookmarkEnd w:id="367"/>
      <w:bookmarkStart w:id="368" w:name="_Toc184310272"/>
      <w:bookmarkEnd w:id="368"/>
      <w:bookmarkStart w:id="369" w:name="_Toc184308040"/>
      <w:bookmarkEnd w:id="369"/>
      <w:bookmarkStart w:id="370" w:name="_Toc184310329"/>
      <w:bookmarkEnd w:id="370"/>
      <w:bookmarkStart w:id="371" w:name="_Toc184314477"/>
      <w:bookmarkEnd w:id="371"/>
      <w:bookmarkStart w:id="372" w:name="_Toc184308083"/>
      <w:bookmarkEnd w:id="372"/>
      <w:bookmarkStart w:id="373" w:name="_Toc184310273"/>
      <w:bookmarkEnd w:id="373"/>
      <w:bookmarkStart w:id="374" w:name="_Toc184312096"/>
      <w:bookmarkEnd w:id="374"/>
      <w:bookmarkStart w:id="375" w:name="_Toc184310292"/>
      <w:bookmarkEnd w:id="375"/>
      <w:bookmarkStart w:id="376" w:name="_Toc184310343"/>
      <w:bookmarkEnd w:id="376"/>
      <w:bookmarkStart w:id="377" w:name="_Toc184310306"/>
      <w:bookmarkEnd w:id="377"/>
      <w:bookmarkStart w:id="378" w:name="_Toc184314421"/>
      <w:bookmarkEnd w:id="378"/>
      <w:bookmarkStart w:id="379" w:name="_Toc184312098"/>
      <w:bookmarkEnd w:id="379"/>
      <w:bookmarkStart w:id="380" w:name="_Toc184314450"/>
      <w:bookmarkEnd w:id="380"/>
      <w:bookmarkStart w:id="381" w:name="_Toc184308041"/>
      <w:bookmarkEnd w:id="381"/>
      <w:bookmarkStart w:id="382" w:name="_Toc184308062"/>
      <w:bookmarkEnd w:id="382"/>
      <w:bookmarkStart w:id="383" w:name="_Toc184313300"/>
      <w:bookmarkEnd w:id="383"/>
      <w:bookmarkStart w:id="384" w:name="_Toc184310327"/>
      <w:bookmarkEnd w:id="384"/>
      <w:bookmarkStart w:id="385" w:name="_Toc184314465"/>
      <w:bookmarkEnd w:id="385"/>
      <w:bookmarkStart w:id="386" w:name="_Toc184314438"/>
      <w:bookmarkEnd w:id="386"/>
      <w:bookmarkStart w:id="387" w:name="_Toc184308089"/>
      <w:bookmarkEnd w:id="387"/>
      <w:bookmarkStart w:id="388" w:name="_Toc184310324"/>
      <w:bookmarkEnd w:id="388"/>
      <w:bookmarkStart w:id="389" w:name="_Toc184308066"/>
      <w:bookmarkEnd w:id="389"/>
      <w:bookmarkStart w:id="390" w:name="_Toc184308074"/>
      <w:bookmarkEnd w:id="390"/>
      <w:bookmarkStart w:id="391" w:name="_Toc184308075"/>
      <w:bookmarkEnd w:id="391"/>
      <w:bookmarkStart w:id="392" w:name="_Toc184308095"/>
      <w:bookmarkEnd w:id="392"/>
      <w:bookmarkStart w:id="393" w:name="_Toc184312101"/>
      <w:bookmarkEnd w:id="393"/>
      <w:bookmarkStart w:id="394" w:name="_Toc184314479"/>
      <w:bookmarkEnd w:id="394"/>
      <w:bookmarkStart w:id="395" w:name="_Toc184308037"/>
      <w:bookmarkEnd w:id="395"/>
      <w:bookmarkStart w:id="396" w:name="_Toc184314442"/>
      <w:bookmarkEnd w:id="396"/>
      <w:bookmarkStart w:id="397" w:name="_Toc184314453"/>
      <w:bookmarkEnd w:id="397"/>
      <w:bookmarkStart w:id="398" w:name="_Toc184308064"/>
      <w:bookmarkEnd w:id="398"/>
      <w:bookmarkStart w:id="399" w:name="_Toc184310309"/>
      <w:bookmarkEnd w:id="399"/>
      <w:bookmarkStart w:id="400" w:name="_Toc184308070"/>
      <w:bookmarkEnd w:id="400"/>
      <w:bookmarkStart w:id="401" w:name="_Toc184314474"/>
      <w:bookmarkEnd w:id="401"/>
      <w:bookmarkStart w:id="402" w:name="_Toc184308104"/>
      <w:bookmarkEnd w:id="402"/>
      <w:bookmarkStart w:id="403" w:name="_Toc184314441"/>
      <w:bookmarkEnd w:id="403"/>
      <w:bookmarkStart w:id="404" w:name="_Toc184313245"/>
      <w:bookmarkEnd w:id="404"/>
      <w:r>
        <w:rPr>
          <w:rFonts w:hint="eastAsia"/>
        </w:rPr>
        <w:t>评标办法</w:t>
      </w:r>
    </w:p>
    <w:p w14:paraId="3AC7BAA0">
      <w:pPr>
        <w:rPr>
          <w:rFonts w:ascii="宋体" w:hAnsi="宋体" w:cs="宋体"/>
          <w:highlight w:val="none"/>
        </w:rPr>
      </w:pPr>
    </w:p>
    <w:p w14:paraId="0379109B">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14:paraId="7B771A2D">
      <w:pPr>
        <w:pStyle w:val="107"/>
        <w:ind w:firstLine="482"/>
        <w:rPr>
          <w:highlight w:val="none"/>
        </w:rPr>
      </w:pPr>
      <w:r>
        <w:rPr>
          <w:rFonts w:hint="eastAsia"/>
          <w:b/>
          <w:highlight w:val="none"/>
        </w:rPr>
        <w:t>本次评标采用综合评分法，总分为100分。</w:t>
      </w:r>
      <w:r>
        <w:rPr>
          <w:rFonts w:hint="eastAsia"/>
          <w:highlight w:val="none"/>
        </w:rPr>
        <w:t>合格投标人的评标得分为各项目汇总得分，中标候选资格按评标得分高低顺序排列，得分相同的，按投标报价得分高低顺序排列；得分且投标报价相同的，按技术指标优劣顺序排列。当上述情况都相同，中标候选人出现并列时，由招标人抽签确定中标候选人排序，先抽顺序号，再抽中签号。经评审的有效投标人≥3家，则选定最终确定排名第一的中标候选人为中标单位，经评审的有效投标人＜3家，则本项目废标。评分过程中采用四舍五入法，并保留小数2位。</w:t>
      </w:r>
    </w:p>
    <w:p w14:paraId="1F4B8641">
      <w:pPr>
        <w:pStyle w:val="107"/>
        <w:spacing w:before="0"/>
        <w:ind w:left="0" w:leftChars="0" w:firstLine="482" w:firstLineChars="200"/>
        <w:rPr>
          <w:rFonts w:hint="eastAsia" w:ascii="宋体" w:hAnsi="宋体" w:cs="宋体"/>
          <w:b/>
          <w:color w:val="000000"/>
          <w:szCs w:val="24"/>
          <w:highlight w:val="none"/>
        </w:rPr>
      </w:pPr>
      <w:r>
        <w:rPr>
          <w:rFonts w:hint="eastAsia" w:ascii="宋体" w:hAnsi="宋体" w:cs="宋体"/>
          <w:b/>
          <w:color w:val="000000"/>
          <w:szCs w:val="24"/>
          <w:highlight w:val="none"/>
        </w:rPr>
        <w:t>各投标人的综合得分为：商务技术得分+投标价格得分之和，总分为100分，其中：商务技术得分</w:t>
      </w:r>
      <w:r>
        <w:rPr>
          <w:rFonts w:hint="eastAsia" w:ascii="宋体" w:hAnsi="宋体" w:cs="宋体"/>
          <w:b/>
          <w:color w:val="000000"/>
          <w:szCs w:val="24"/>
          <w:highlight w:val="none"/>
          <w:lang w:val="en-US" w:eastAsia="zh-CN"/>
        </w:rPr>
        <w:t>50</w:t>
      </w:r>
      <w:r>
        <w:rPr>
          <w:rFonts w:hint="eastAsia" w:ascii="宋体" w:hAnsi="宋体" w:cs="宋体"/>
          <w:b/>
          <w:color w:val="000000"/>
          <w:szCs w:val="24"/>
          <w:highlight w:val="none"/>
        </w:rPr>
        <w:t>分</w:t>
      </w:r>
      <w:r>
        <w:rPr>
          <w:rFonts w:hint="eastAsia" w:ascii="宋体" w:hAnsi="宋体" w:cs="宋体"/>
          <w:b/>
          <w:color w:val="000000"/>
          <w:szCs w:val="24"/>
          <w:highlight w:val="none"/>
          <w:lang w:eastAsia="zh-CN"/>
        </w:rPr>
        <w:t>（</w:t>
      </w:r>
      <w:r>
        <w:rPr>
          <w:rFonts w:hint="eastAsia" w:ascii="宋体" w:hAnsi="宋体" w:cs="宋体"/>
          <w:b/>
          <w:color w:val="000000"/>
          <w:szCs w:val="24"/>
          <w:highlight w:val="none"/>
          <w:lang w:val="en-US" w:eastAsia="zh-CN"/>
        </w:rPr>
        <w:t>权重50%）</w:t>
      </w:r>
      <w:r>
        <w:rPr>
          <w:rFonts w:hint="eastAsia" w:ascii="宋体" w:hAnsi="宋体" w:cs="宋体"/>
          <w:b/>
          <w:color w:val="000000"/>
          <w:szCs w:val="24"/>
          <w:highlight w:val="none"/>
        </w:rPr>
        <w:t>，投标价格得分</w:t>
      </w:r>
      <w:r>
        <w:rPr>
          <w:rFonts w:hint="eastAsia" w:ascii="宋体" w:hAnsi="宋体" w:cs="宋体"/>
          <w:b/>
          <w:color w:val="000000"/>
          <w:szCs w:val="24"/>
          <w:highlight w:val="none"/>
          <w:lang w:val="en-US" w:eastAsia="zh-CN"/>
        </w:rPr>
        <w:t>50</w:t>
      </w:r>
      <w:r>
        <w:rPr>
          <w:rFonts w:hint="eastAsia" w:ascii="宋体" w:hAnsi="宋体" w:cs="宋体"/>
          <w:b/>
          <w:color w:val="000000"/>
          <w:szCs w:val="24"/>
          <w:highlight w:val="none"/>
        </w:rPr>
        <w:t>分</w:t>
      </w:r>
      <w:r>
        <w:rPr>
          <w:rFonts w:hint="eastAsia" w:ascii="宋体" w:hAnsi="宋体" w:cs="宋体"/>
          <w:b/>
          <w:color w:val="000000"/>
          <w:szCs w:val="24"/>
          <w:highlight w:val="none"/>
          <w:lang w:eastAsia="zh-CN"/>
        </w:rPr>
        <w:t>（</w:t>
      </w:r>
      <w:r>
        <w:rPr>
          <w:rFonts w:hint="eastAsia" w:ascii="宋体" w:hAnsi="宋体" w:cs="宋体"/>
          <w:b/>
          <w:color w:val="000000"/>
          <w:szCs w:val="24"/>
          <w:highlight w:val="none"/>
          <w:lang w:val="en-US" w:eastAsia="zh-CN"/>
        </w:rPr>
        <w:t>权重50%）</w:t>
      </w:r>
      <w:r>
        <w:rPr>
          <w:rFonts w:hint="eastAsia" w:ascii="宋体" w:hAnsi="宋体" w:cs="宋体"/>
          <w:b/>
          <w:color w:val="000000"/>
          <w:szCs w:val="24"/>
          <w:highlight w:val="none"/>
        </w:rPr>
        <w:t>。</w:t>
      </w:r>
    </w:p>
    <w:p w14:paraId="1DEB8A38">
      <w:pPr>
        <w:numPr>
          <w:ilvl w:val="0"/>
          <w:numId w:val="12"/>
        </w:num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评标标准见下表：</w:t>
      </w:r>
    </w:p>
    <w:p w14:paraId="52FB6F3F">
      <w:pPr>
        <w:pStyle w:val="107"/>
        <w:numPr>
          <w:ilvl w:val="0"/>
          <w:numId w:val="0"/>
        </w:numPr>
        <w:snapToGrid w:val="0"/>
        <w:spacing w:before="0" w:line="500" w:lineRule="exact"/>
        <w:ind w:left="602" w:firstLine="0" w:firstLineChars="0"/>
        <w:rPr>
          <w:rFonts w:hint="eastAsia" w:ascii="宋体" w:hAnsi="宋体"/>
          <w:b/>
        </w:rPr>
      </w:pPr>
      <w:r>
        <w:rPr>
          <w:rFonts w:hint="eastAsia" w:ascii="宋体" w:hAnsi="宋体"/>
          <w:b/>
        </w:rPr>
        <w:t>技术部分（</w:t>
      </w:r>
      <w:r>
        <w:rPr>
          <w:rFonts w:hint="eastAsia" w:ascii="宋体" w:hAnsi="宋体"/>
          <w:b/>
          <w:lang w:val="en-US" w:eastAsia="zh-CN"/>
        </w:rPr>
        <w:t>18</w:t>
      </w:r>
      <w:r>
        <w:rPr>
          <w:rFonts w:hint="eastAsia" w:ascii="宋体" w:hAnsi="宋体"/>
          <w:b/>
        </w:rPr>
        <w:t>分）</w:t>
      </w:r>
    </w:p>
    <w:tbl>
      <w:tblPr>
        <w:tblStyle w:val="6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7196"/>
        <w:gridCol w:w="2"/>
        <w:gridCol w:w="1465"/>
        <w:gridCol w:w="2"/>
      </w:tblGrid>
      <w:tr w14:paraId="7A967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trPr>
        <w:tc>
          <w:tcPr>
            <w:tcW w:w="850" w:type="dxa"/>
            <w:noWrap w:val="0"/>
            <w:vAlign w:val="center"/>
          </w:tcPr>
          <w:p w14:paraId="76934F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序号</w:t>
            </w:r>
          </w:p>
        </w:tc>
        <w:tc>
          <w:tcPr>
            <w:tcW w:w="7198" w:type="dxa"/>
            <w:gridSpan w:val="2"/>
            <w:noWrap w:val="0"/>
            <w:vAlign w:val="center"/>
          </w:tcPr>
          <w:p w14:paraId="3CEBB9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评分内容</w:t>
            </w:r>
          </w:p>
        </w:tc>
        <w:tc>
          <w:tcPr>
            <w:tcW w:w="1467" w:type="dxa"/>
            <w:gridSpan w:val="2"/>
            <w:noWrap w:val="0"/>
            <w:vAlign w:val="center"/>
          </w:tcPr>
          <w:p w14:paraId="11CA0C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分值范围</w:t>
            </w:r>
          </w:p>
        </w:tc>
      </w:tr>
      <w:tr w14:paraId="118F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0" w:type="dxa"/>
            <w:noWrap w:val="0"/>
            <w:vAlign w:val="center"/>
          </w:tcPr>
          <w:p w14:paraId="019451E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7198" w:type="dxa"/>
            <w:gridSpan w:val="2"/>
            <w:noWrap w:val="0"/>
            <w:vAlign w:val="center"/>
          </w:tcPr>
          <w:p w14:paraId="6E77E5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投标</w:t>
            </w:r>
            <w:r>
              <w:rPr>
                <w:rFonts w:hint="eastAsia" w:ascii="宋体" w:hAnsi="宋体"/>
                <w:sz w:val="24"/>
                <w:szCs w:val="24"/>
              </w:rPr>
              <w:t>产品参数均满足招标文件要求</w:t>
            </w:r>
            <w:r>
              <w:rPr>
                <w:rFonts w:hint="eastAsia" w:ascii="宋体" w:hAnsi="宋体"/>
                <w:sz w:val="24"/>
                <w:szCs w:val="24"/>
                <w:lang w:val="en-US" w:eastAsia="zh-CN"/>
              </w:rPr>
              <w:t>的</w:t>
            </w:r>
            <w:r>
              <w:rPr>
                <w:rFonts w:hint="eastAsia" w:ascii="宋体" w:hAnsi="宋体"/>
                <w:sz w:val="24"/>
                <w:szCs w:val="24"/>
                <w:lang w:eastAsia="zh-CN"/>
              </w:rPr>
              <w:t>，</w:t>
            </w:r>
            <w:r>
              <w:rPr>
                <w:rFonts w:hint="eastAsia" w:ascii="宋体" w:hAnsi="宋体"/>
                <w:sz w:val="24"/>
                <w:szCs w:val="24"/>
                <w:lang w:val="en-US" w:eastAsia="zh-CN"/>
              </w:rPr>
              <w:t>得基本分2分，</w:t>
            </w:r>
            <w:r>
              <w:rPr>
                <w:rFonts w:hint="eastAsia" w:ascii="宋体" w:hAnsi="宋体" w:cs="宋体"/>
                <w:sz w:val="24"/>
                <w:szCs w:val="24"/>
              </w:rPr>
              <w:t>有实质性正偏离的</w:t>
            </w:r>
            <w:r>
              <w:rPr>
                <w:rFonts w:hint="eastAsia" w:ascii="宋体" w:hAnsi="宋体" w:cs="宋体"/>
                <w:sz w:val="24"/>
                <w:szCs w:val="24"/>
                <w:lang w:eastAsia="zh-CN"/>
              </w:rPr>
              <w:t>，</w:t>
            </w:r>
            <w:r>
              <w:rPr>
                <w:rFonts w:hint="eastAsia" w:ascii="宋体" w:hAnsi="宋体" w:cs="宋体"/>
                <w:sz w:val="24"/>
                <w:szCs w:val="24"/>
                <w:lang w:val="en-US" w:eastAsia="zh-CN"/>
              </w:rPr>
              <w:t>提供证明材料</w:t>
            </w:r>
            <w:r>
              <w:rPr>
                <w:rFonts w:hint="eastAsia" w:ascii="宋体" w:hAnsi="宋体" w:cs="宋体"/>
                <w:sz w:val="24"/>
                <w:szCs w:val="24"/>
              </w:rPr>
              <w:t>在专家认可的情况下每项加</w:t>
            </w:r>
            <w:r>
              <w:rPr>
                <w:rFonts w:hint="eastAsia" w:ascii="宋体" w:hAnsi="宋体" w:cs="宋体"/>
                <w:sz w:val="24"/>
                <w:szCs w:val="24"/>
                <w:lang w:val="en-US" w:eastAsia="zh-CN"/>
              </w:rPr>
              <w:t>0.5</w:t>
            </w:r>
            <w:r>
              <w:rPr>
                <w:rFonts w:hint="eastAsia" w:ascii="宋体" w:hAnsi="宋体" w:cs="宋体"/>
                <w:sz w:val="24"/>
                <w:szCs w:val="24"/>
              </w:rPr>
              <w:t>分，最多加</w:t>
            </w:r>
            <w:r>
              <w:rPr>
                <w:rFonts w:hint="eastAsia" w:ascii="宋体" w:hAnsi="宋体" w:cs="宋体"/>
                <w:sz w:val="24"/>
                <w:szCs w:val="24"/>
                <w:lang w:val="en-US" w:eastAsia="zh-CN"/>
              </w:rPr>
              <w:t>2</w:t>
            </w:r>
            <w:r>
              <w:rPr>
                <w:rFonts w:hint="eastAsia" w:ascii="宋体" w:hAnsi="宋体" w:cs="宋体"/>
                <w:sz w:val="24"/>
                <w:szCs w:val="24"/>
              </w:rPr>
              <w:t>分</w:t>
            </w:r>
            <w:r>
              <w:rPr>
                <w:rFonts w:hint="eastAsia" w:ascii="宋体" w:hAnsi="宋体" w:cs="宋体"/>
                <w:sz w:val="24"/>
                <w:szCs w:val="24"/>
                <w:lang w:eastAsia="zh-CN"/>
              </w:rPr>
              <w:t>。</w:t>
            </w:r>
          </w:p>
        </w:tc>
        <w:tc>
          <w:tcPr>
            <w:tcW w:w="1467" w:type="dxa"/>
            <w:gridSpan w:val="2"/>
            <w:noWrap w:val="0"/>
            <w:vAlign w:val="center"/>
          </w:tcPr>
          <w:p w14:paraId="7B1D14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sz w:val="24"/>
                <w:szCs w:val="24"/>
                <w:lang w:val="en-US" w:eastAsia="zh-CN"/>
              </w:rPr>
            </w:pPr>
            <w:r>
              <w:rPr>
                <w:rFonts w:hint="eastAsia" w:ascii="宋体" w:hAnsi="宋体"/>
                <w:sz w:val="24"/>
                <w:szCs w:val="24"/>
                <w:lang w:val="en-US" w:eastAsia="zh-CN"/>
              </w:rPr>
              <w:t>0-4分</w:t>
            </w:r>
          </w:p>
        </w:tc>
      </w:tr>
      <w:tr w14:paraId="5C8E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0" w:type="dxa"/>
            <w:noWrap w:val="0"/>
            <w:vAlign w:val="center"/>
          </w:tcPr>
          <w:p w14:paraId="69E3C2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val="en-US" w:eastAsia="zh-CN"/>
              </w:rPr>
              <w:t>2</w:t>
            </w:r>
          </w:p>
        </w:tc>
        <w:tc>
          <w:tcPr>
            <w:tcW w:w="7198" w:type="dxa"/>
            <w:gridSpan w:val="2"/>
            <w:noWrap w:val="0"/>
            <w:vAlign w:val="center"/>
          </w:tcPr>
          <w:p w14:paraId="181859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组织实施方案</w:t>
            </w:r>
            <w:r>
              <w:rPr>
                <w:rFonts w:hint="eastAsia" w:ascii="宋体" w:hAnsi="宋体" w:cs="仿宋_GB2312"/>
                <w:sz w:val="24"/>
                <w:szCs w:val="24"/>
                <w:lang w:val="en-US" w:eastAsia="zh-CN"/>
              </w:rPr>
              <w:t>：</w:t>
            </w:r>
          </w:p>
          <w:p w14:paraId="319C8A3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仿宋_GB2312"/>
                <w:sz w:val="24"/>
                <w:szCs w:val="24"/>
              </w:rPr>
            </w:pPr>
            <w:r>
              <w:rPr>
                <w:rFonts w:hint="eastAsia" w:ascii="宋体" w:hAnsi="宋体" w:eastAsia="宋体" w:cs="仿宋_GB2312"/>
                <w:sz w:val="24"/>
                <w:szCs w:val="24"/>
                <w:lang w:val="en-US" w:eastAsia="zh-CN"/>
              </w:rPr>
              <w:t>1、</w:t>
            </w:r>
            <w:r>
              <w:rPr>
                <w:rFonts w:hint="eastAsia" w:ascii="宋体" w:hAnsi="宋体" w:eastAsia="宋体" w:cs="仿宋_GB2312"/>
                <w:sz w:val="24"/>
                <w:szCs w:val="24"/>
              </w:rPr>
              <w:t>对</w:t>
            </w:r>
            <w:r>
              <w:rPr>
                <w:rFonts w:hint="eastAsia" w:ascii="宋体" w:hAnsi="宋体" w:eastAsia="宋体" w:cs="仿宋_GB2312"/>
                <w:sz w:val="24"/>
                <w:szCs w:val="24"/>
                <w:lang w:val="en-US" w:eastAsia="zh-CN"/>
              </w:rPr>
              <w:t>投标人对项目</w:t>
            </w:r>
            <w:r>
              <w:rPr>
                <w:rFonts w:hint="eastAsia" w:ascii="宋体" w:hAnsi="宋体" w:eastAsia="宋体" w:cs="仿宋_GB2312"/>
                <w:sz w:val="24"/>
                <w:szCs w:val="24"/>
              </w:rPr>
              <w:t>认识</w:t>
            </w:r>
            <w:r>
              <w:rPr>
                <w:rFonts w:hint="eastAsia" w:ascii="宋体" w:hAnsi="宋体" w:eastAsia="宋体" w:cs="仿宋_GB2312"/>
                <w:sz w:val="24"/>
                <w:szCs w:val="24"/>
                <w:lang w:val="en-US" w:eastAsia="zh-CN"/>
              </w:rPr>
              <w:t>程度</w:t>
            </w:r>
            <w:r>
              <w:rPr>
                <w:rFonts w:hint="eastAsia" w:ascii="宋体" w:hAnsi="宋体" w:cs="仿宋_GB2312"/>
                <w:sz w:val="24"/>
                <w:szCs w:val="24"/>
                <w:lang w:val="en-US" w:eastAsia="zh-CN"/>
              </w:rPr>
              <w:t>：</w:t>
            </w:r>
            <w:r>
              <w:rPr>
                <w:rFonts w:hint="eastAsia" w:ascii="宋体" w:hAnsi="宋体" w:eastAsia="宋体" w:cs="仿宋_GB2312"/>
                <w:sz w:val="24"/>
                <w:szCs w:val="24"/>
                <w:lang w:val="en-US" w:eastAsia="zh-CN"/>
              </w:rPr>
              <w:t>投标人</w:t>
            </w:r>
            <w:r>
              <w:rPr>
                <w:rFonts w:hint="eastAsia" w:ascii="宋体" w:hAnsi="宋体" w:eastAsia="宋体" w:cs="仿宋_GB2312"/>
                <w:sz w:val="24"/>
                <w:szCs w:val="24"/>
              </w:rPr>
              <w:t>对本项目业务需求熟悉、</w:t>
            </w:r>
            <w:r>
              <w:rPr>
                <w:rFonts w:hint="eastAsia" w:ascii="宋体" w:hAnsi="宋体" w:cs="仿宋_GB2312"/>
                <w:sz w:val="24"/>
                <w:szCs w:val="24"/>
                <w:lang w:val="en-US" w:eastAsia="zh-CN"/>
              </w:rPr>
              <w:t>设备选型合理，能很好满足招标人要求的</w:t>
            </w:r>
            <w:r>
              <w:rPr>
                <w:rFonts w:hint="eastAsia" w:ascii="宋体" w:hAnsi="宋体" w:eastAsia="宋体" w:cs="仿宋_GB2312"/>
                <w:sz w:val="24"/>
                <w:szCs w:val="24"/>
              </w:rPr>
              <w:t>得</w:t>
            </w:r>
            <w:r>
              <w:rPr>
                <w:rFonts w:hint="eastAsia" w:ascii="宋体" w:hAnsi="宋体" w:cs="仿宋_GB2312"/>
                <w:sz w:val="24"/>
                <w:szCs w:val="24"/>
                <w:lang w:val="en-US" w:eastAsia="zh-CN"/>
              </w:rPr>
              <w:t>2</w:t>
            </w:r>
            <w:r>
              <w:rPr>
                <w:rFonts w:hint="eastAsia" w:ascii="宋体" w:hAnsi="宋体" w:eastAsia="宋体" w:cs="仿宋_GB2312"/>
                <w:sz w:val="24"/>
                <w:szCs w:val="24"/>
              </w:rPr>
              <w:t>分</w:t>
            </w:r>
            <w:r>
              <w:rPr>
                <w:rFonts w:hint="eastAsia" w:ascii="宋体" w:hAnsi="宋体" w:cs="仿宋_GB2312"/>
                <w:sz w:val="24"/>
                <w:szCs w:val="24"/>
                <w:lang w:eastAsia="zh-CN"/>
              </w:rPr>
              <w:t>，</w:t>
            </w:r>
            <w:r>
              <w:rPr>
                <w:rFonts w:hint="eastAsia" w:ascii="宋体" w:hAnsi="宋体" w:eastAsia="宋体" w:cs="仿宋_GB2312"/>
                <w:sz w:val="24"/>
                <w:szCs w:val="24"/>
              </w:rPr>
              <w:t>一般得</w:t>
            </w:r>
            <w:r>
              <w:rPr>
                <w:rFonts w:hint="eastAsia" w:ascii="宋体" w:hAnsi="宋体" w:cs="仿宋_GB2312"/>
                <w:sz w:val="24"/>
                <w:szCs w:val="24"/>
                <w:lang w:val="en-US" w:eastAsia="zh-CN"/>
              </w:rPr>
              <w:t>1</w:t>
            </w:r>
            <w:r>
              <w:rPr>
                <w:rFonts w:hint="eastAsia" w:ascii="宋体" w:hAnsi="宋体" w:eastAsia="宋体" w:cs="仿宋_GB2312"/>
                <w:sz w:val="24"/>
                <w:szCs w:val="24"/>
              </w:rPr>
              <w:t>分</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较差</w:t>
            </w:r>
            <w:r>
              <w:rPr>
                <w:rFonts w:hint="eastAsia" w:ascii="宋体" w:hAnsi="宋体" w:cs="仿宋_GB2312"/>
                <w:sz w:val="24"/>
                <w:szCs w:val="24"/>
                <w:lang w:val="en-US" w:eastAsia="zh-CN"/>
              </w:rPr>
              <w:t>得</w:t>
            </w:r>
            <w:r>
              <w:rPr>
                <w:rFonts w:hint="eastAsia" w:ascii="宋体" w:hAnsi="宋体" w:eastAsia="宋体" w:cs="仿宋_GB2312"/>
                <w:sz w:val="24"/>
                <w:szCs w:val="24"/>
                <w:lang w:val="en-US" w:eastAsia="zh-CN"/>
              </w:rPr>
              <w:t>0.5分，未提供的不得分</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0-</w:t>
            </w:r>
            <w:r>
              <w:rPr>
                <w:rFonts w:hint="eastAsia" w:ascii="宋体" w:hAnsi="宋体" w:cs="仿宋_GB2312"/>
                <w:sz w:val="24"/>
                <w:szCs w:val="24"/>
                <w:lang w:val="en-US" w:eastAsia="zh-CN"/>
              </w:rPr>
              <w:t>2</w:t>
            </w:r>
            <w:r>
              <w:rPr>
                <w:rFonts w:hint="eastAsia" w:ascii="宋体" w:hAnsi="宋体" w:eastAsia="宋体" w:cs="仿宋_GB2312"/>
                <w:sz w:val="24"/>
                <w:szCs w:val="24"/>
                <w:lang w:val="en-US" w:eastAsia="zh-CN"/>
              </w:rPr>
              <w:t>分</w:t>
            </w:r>
            <w:r>
              <w:rPr>
                <w:rFonts w:hint="eastAsia" w:ascii="宋体" w:hAnsi="宋体" w:eastAsia="宋体" w:cs="仿宋_GB2312"/>
                <w:sz w:val="24"/>
                <w:szCs w:val="24"/>
                <w:lang w:eastAsia="zh-CN"/>
              </w:rPr>
              <w:t>）</w:t>
            </w:r>
          </w:p>
          <w:p w14:paraId="08150B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val="en-US" w:eastAsia="zh-CN"/>
              </w:rPr>
              <w:t>2、</w:t>
            </w:r>
            <w:r>
              <w:rPr>
                <w:rFonts w:hint="eastAsia" w:ascii="宋体" w:hAnsi="宋体" w:cs="仿宋_GB2312"/>
                <w:color w:val="auto"/>
                <w:sz w:val="24"/>
                <w:szCs w:val="24"/>
                <w:lang w:val="en-US" w:eastAsia="zh-CN"/>
              </w:rPr>
              <w:t>指导安装与调试</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val="en-US" w:eastAsia="zh-CN"/>
              </w:rPr>
              <w:t>根据</w:t>
            </w:r>
            <w:r>
              <w:rPr>
                <w:rFonts w:hint="eastAsia" w:ascii="宋体" w:hAnsi="宋体" w:eastAsia="宋体"/>
                <w:color w:val="auto"/>
                <w:sz w:val="24"/>
                <w:szCs w:val="24"/>
              </w:rPr>
              <w:t>本项目</w:t>
            </w:r>
            <w:r>
              <w:rPr>
                <w:rFonts w:hint="eastAsia" w:ascii="宋体" w:hAnsi="宋体" w:eastAsia="宋体"/>
                <w:color w:val="auto"/>
                <w:sz w:val="24"/>
                <w:szCs w:val="24"/>
                <w:lang w:val="en-US" w:eastAsia="zh-CN"/>
              </w:rPr>
              <w:t>特征提供</w:t>
            </w:r>
            <w:r>
              <w:rPr>
                <w:rFonts w:hint="eastAsia" w:ascii="宋体" w:hAnsi="宋体" w:eastAsia="宋体"/>
                <w:color w:val="auto"/>
                <w:sz w:val="24"/>
                <w:szCs w:val="24"/>
              </w:rPr>
              <w:t>内容针对性强</w:t>
            </w:r>
            <w:r>
              <w:rPr>
                <w:rFonts w:hint="eastAsia" w:ascii="宋体" w:hAnsi="宋体" w:eastAsia="宋体"/>
                <w:color w:val="auto"/>
                <w:sz w:val="24"/>
                <w:szCs w:val="24"/>
                <w:lang w:eastAsia="zh-CN"/>
              </w:rPr>
              <w:t>，</w:t>
            </w:r>
            <w:r>
              <w:rPr>
                <w:rFonts w:hint="eastAsia" w:ascii="宋体" w:hAnsi="宋体" w:eastAsia="宋体" w:cs="仿宋_GB2312"/>
                <w:color w:val="auto"/>
                <w:sz w:val="24"/>
                <w:szCs w:val="24"/>
              </w:rPr>
              <w:t>完整、切实可行</w:t>
            </w:r>
            <w:r>
              <w:rPr>
                <w:rFonts w:hint="eastAsia" w:ascii="宋体" w:hAnsi="宋体" w:cs="仿宋_GB2312"/>
                <w:color w:val="auto"/>
                <w:sz w:val="24"/>
                <w:szCs w:val="24"/>
                <w:lang w:val="en-US" w:eastAsia="zh-CN"/>
              </w:rPr>
              <w:t>的方案</w:t>
            </w:r>
            <w:r>
              <w:rPr>
                <w:rFonts w:hint="eastAsia" w:ascii="宋体" w:hAnsi="宋体" w:eastAsia="宋体" w:cs="仿宋_GB2312"/>
                <w:color w:val="auto"/>
                <w:sz w:val="24"/>
                <w:szCs w:val="24"/>
              </w:rPr>
              <w:t>得</w:t>
            </w:r>
            <w:r>
              <w:rPr>
                <w:rFonts w:hint="eastAsia" w:ascii="宋体" w:hAnsi="宋体" w:cs="仿宋_GB2312"/>
                <w:color w:val="auto"/>
                <w:sz w:val="24"/>
                <w:szCs w:val="24"/>
                <w:lang w:val="en-US" w:eastAsia="zh-CN"/>
              </w:rPr>
              <w:t>2</w:t>
            </w:r>
            <w:r>
              <w:rPr>
                <w:rFonts w:hint="eastAsia" w:ascii="宋体" w:hAnsi="宋体" w:eastAsia="宋体" w:cs="仿宋_GB2312"/>
                <w:color w:val="auto"/>
                <w:sz w:val="24"/>
                <w:szCs w:val="24"/>
              </w:rPr>
              <w:t>分，一般得</w:t>
            </w:r>
            <w:r>
              <w:rPr>
                <w:rFonts w:hint="eastAsia" w:ascii="宋体" w:hAnsi="宋体" w:cs="仿宋_GB2312"/>
                <w:color w:val="auto"/>
                <w:sz w:val="24"/>
                <w:szCs w:val="24"/>
                <w:lang w:val="en-US" w:eastAsia="zh-CN"/>
              </w:rPr>
              <w:t>1</w:t>
            </w:r>
            <w:r>
              <w:rPr>
                <w:rFonts w:hint="eastAsia" w:ascii="宋体" w:hAnsi="宋体" w:eastAsia="宋体" w:cs="仿宋_GB2312"/>
                <w:color w:val="auto"/>
                <w:sz w:val="24"/>
                <w:szCs w:val="24"/>
              </w:rPr>
              <w:t>分</w:t>
            </w: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lang w:val="en-US" w:eastAsia="zh-CN"/>
              </w:rPr>
              <w:t>较差</w:t>
            </w:r>
            <w:r>
              <w:rPr>
                <w:rFonts w:hint="eastAsia" w:ascii="宋体" w:hAnsi="宋体" w:cs="仿宋_GB2312"/>
                <w:color w:val="auto"/>
                <w:sz w:val="24"/>
                <w:szCs w:val="24"/>
                <w:lang w:val="en-US" w:eastAsia="zh-CN"/>
              </w:rPr>
              <w:t>得</w:t>
            </w:r>
            <w:r>
              <w:rPr>
                <w:rFonts w:hint="eastAsia" w:ascii="宋体" w:hAnsi="宋体" w:eastAsia="宋体" w:cs="仿宋_GB2312"/>
                <w:color w:val="auto"/>
                <w:sz w:val="24"/>
                <w:szCs w:val="24"/>
                <w:lang w:val="en-US" w:eastAsia="zh-CN"/>
              </w:rPr>
              <w:t>0.5分</w:t>
            </w:r>
            <w:r>
              <w:rPr>
                <w:rFonts w:hint="eastAsia" w:ascii="宋体" w:hAnsi="宋体" w:eastAsia="宋体" w:cs="仿宋_GB2312"/>
                <w:sz w:val="24"/>
                <w:szCs w:val="24"/>
                <w:lang w:val="en-US" w:eastAsia="zh-CN"/>
              </w:rPr>
              <w:t>，未提供的不得分</w:t>
            </w: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lang w:val="en-US" w:eastAsia="zh-CN"/>
              </w:rPr>
              <w:t>0-</w:t>
            </w:r>
            <w:r>
              <w:rPr>
                <w:rFonts w:hint="eastAsia" w:ascii="宋体" w:hAnsi="宋体" w:cs="仿宋_GB2312"/>
                <w:color w:val="auto"/>
                <w:sz w:val="24"/>
                <w:szCs w:val="24"/>
                <w:lang w:val="en-US" w:eastAsia="zh-CN"/>
              </w:rPr>
              <w:t>2</w:t>
            </w:r>
            <w:r>
              <w:rPr>
                <w:rFonts w:hint="eastAsia" w:ascii="宋体" w:hAnsi="宋体" w:eastAsia="宋体" w:cs="仿宋_GB2312"/>
                <w:color w:val="auto"/>
                <w:sz w:val="24"/>
                <w:szCs w:val="24"/>
                <w:lang w:val="en-US" w:eastAsia="zh-CN"/>
              </w:rPr>
              <w:t>分</w:t>
            </w:r>
            <w:r>
              <w:rPr>
                <w:rFonts w:hint="eastAsia" w:ascii="宋体" w:hAnsi="宋体" w:eastAsia="宋体" w:cs="仿宋_GB2312"/>
                <w:color w:val="auto"/>
                <w:sz w:val="24"/>
                <w:szCs w:val="24"/>
                <w:lang w:eastAsia="zh-CN"/>
              </w:rPr>
              <w:t>）</w:t>
            </w:r>
          </w:p>
          <w:p w14:paraId="2F20D36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仿宋_GB2312"/>
                <w:sz w:val="24"/>
                <w:szCs w:val="24"/>
                <w:lang w:val="en-US" w:eastAsia="zh-CN"/>
              </w:rPr>
            </w:pPr>
            <w:r>
              <w:rPr>
                <w:rFonts w:hint="eastAsia" w:ascii="宋体" w:hAnsi="宋体" w:eastAsia="宋体" w:cs="仿宋_GB2312"/>
                <w:color w:val="auto"/>
                <w:sz w:val="24"/>
                <w:szCs w:val="24"/>
                <w:lang w:val="en-US" w:eastAsia="zh-CN"/>
              </w:rPr>
              <w:t>3、</w:t>
            </w:r>
            <w:r>
              <w:rPr>
                <w:rFonts w:hint="eastAsia" w:ascii="宋体" w:hAnsi="宋体" w:eastAsia="宋体" w:cs="仿宋_GB2312"/>
                <w:color w:val="auto"/>
                <w:sz w:val="24"/>
                <w:szCs w:val="24"/>
              </w:rPr>
              <w:t>质量保证措施：</w:t>
            </w:r>
            <w:r>
              <w:rPr>
                <w:rFonts w:hint="eastAsia" w:ascii="宋体" w:hAnsi="宋体" w:eastAsia="宋体" w:cs="仿宋_GB2312"/>
                <w:color w:val="auto"/>
                <w:sz w:val="24"/>
                <w:szCs w:val="24"/>
                <w:lang w:val="en-US" w:eastAsia="zh-CN"/>
              </w:rPr>
              <w:t>根据</w:t>
            </w:r>
            <w:r>
              <w:rPr>
                <w:rFonts w:hint="eastAsia" w:ascii="宋体" w:hAnsi="宋体" w:eastAsia="宋体" w:cs="仿宋_GB2312"/>
                <w:color w:val="auto"/>
                <w:sz w:val="24"/>
                <w:szCs w:val="24"/>
              </w:rPr>
              <w:t>项目实际情况，有先进、可行、具体的质量保证措施</w:t>
            </w:r>
            <w:r>
              <w:rPr>
                <w:rFonts w:hint="eastAsia" w:ascii="宋体" w:hAnsi="宋体" w:eastAsia="宋体" w:cs="仿宋_GB2312"/>
                <w:color w:val="auto"/>
                <w:sz w:val="24"/>
                <w:szCs w:val="24"/>
                <w:lang w:val="en-US" w:eastAsia="zh-CN"/>
              </w:rPr>
              <w:t>的</w:t>
            </w:r>
            <w:r>
              <w:rPr>
                <w:rFonts w:hint="eastAsia" w:ascii="宋体" w:hAnsi="宋体" w:eastAsia="宋体" w:cs="仿宋_GB2312"/>
                <w:color w:val="auto"/>
                <w:sz w:val="24"/>
                <w:szCs w:val="24"/>
              </w:rPr>
              <w:t>得</w:t>
            </w:r>
            <w:r>
              <w:rPr>
                <w:rFonts w:hint="eastAsia" w:ascii="宋体" w:hAnsi="宋体" w:cs="仿宋_GB2312"/>
                <w:color w:val="auto"/>
                <w:sz w:val="24"/>
                <w:szCs w:val="24"/>
                <w:lang w:val="en-US" w:eastAsia="zh-CN"/>
              </w:rPr>
              <w:t>2</w:t>
            </w:r>
            <w:r>
              <w:rPr>
                <w:rFonts w:hint="eastAsia" w:ascii="宋体" w:hAnsi="宋体" w:eastAsia="宋体" w:cs="仿宋_GB2312"/>
                <w:color w:val="auto"/>
                <w:sz w:val="24"/>
                <w:szCs w:val="24"/>
              </w:rPr>
              <w:t>分，一般得</w:t>
            </w:r>
            <w:r>
              <w:rPr>
                <w:rFonts w:hint="eastAsia" w:ascii="宋体" w:hAnsi="宋体" w:cs="仿宋_GB2312"/>
                <w:color w:val="auto"/>
                <w:sz w:val="24"/>
                <w:szCs w:val="24"/>
                <w:lang w:val="en-US" w:eastAsia="zh-CN"/>
              </w:rPr>
              <w:t>1</w:t>
            </w:r>
            <w:r>
              <w:rPr>
                <w:rFonts w:hint="eastAsia" w:ascii="宋体" w:hAnsi="宋体" w:eastAsia="宋体" w:cs="仿宋_GB2312"/>
                <w:color w:val="auto"/>
                <w:sz w:val="24"/>
                <w:szCs w:val="24"/>
              </w:rPr>
              <w:t>分</w:t>
            </w: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lang w:val="en-US" w:eastAsia="zh-CN"/>
              </w:rPr>
              <w:t>较差</w:t>
            </w:r>
            <w:r>
              <w:rPr>
                <w:rFonts w:hint="eastAsia" w:ascii="宋体" w:hAnsi="宋体" w:cs="仿宋_GB2312"/>
                <w:color w:val="auto"/>
                <w:sz w:val="24"/>
                <w:szCs w:val="24"/>
                <w:lang w:val="en-US" w:eastAsia="zh-CN"/>
              </w:rPr>
              <w:t>得</w:t>
            </w:r>
            <w:r>
              <w:rPr>
                <w:rFonts w:hint="eastAsia" w:ascii="宋体" w:hAnsi="宋体" w:eastAsia="宋体" w:cs="仿宋_GB2312"/>
                <w:color w:val="auto"/>
                <w:sz w:val="24"/>
                <w:szCs w:val="24"/>
                <w:lang w:val="en-US" w:eastAsia="zh-CN"/>
              </w:rPr>
              <w:t>0.5分</w:t>
            </w:r>
            <w:r>
              <w:rPr>
                <w:rFonts w:hint="eastAsia" w:ascii="宋体" w:hAnsi="宋体" w:eastAsia="宋体" w:cs="仿宋_GB2312"/>
                <w:sz w:val="24"/>
                <w:szCs w:val="24"/>
                <w:lang w:val="en-US" w:eastAsia="zh-CN"/>
              </w:rPr>
              <w:t>，未提供的不得分</w:t>
            </w:r>
            <w:r>
              <w:rPr>
                <w:rFonts w:hint="eastAsia" w:ascii="宋体" w:hAnsi="宋体" w:eastAsia="宋体" w:cs="仿宋_GB2312"/>
                <w:color w:val="auto"/>
                <w:sz w:val="24"/>
                <w:szCs w:val="24"/>
                <w:lang w:val="en-US" w:eastAsia="zh-CN"/>
              </w:rPr>
              <w:t>；</w:t>
            </w: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lang w:val="en-US" w:eastAsia="zh-CN"/>
              </w:rPr>
              <w:t>0-2分</w:t>
            </w:r>
            <w:r>
              <w:rPr>
                <w:rFonts w:hint="eastAsia" w:ascii="宋体" w:hAnsi="宋体" w:eastAsia="宋体" w:cs="仿宋_GB2312"/>
                <w:color w:val="auto"/>
                <w:sz w:val="24"/>
                <w:szCs w:val="24"/>
                <w:lang w:eastAsia="zh-CN"/>
              </w:rPr>
              <w:t>）</w:t>
            </w:r>
          </w:p>
        </w:tc>
        <w:tc>
          <w:tcPr>
            <w:tcW w:w="1467" w:type="dxa"/>
            <w:gridSpan w:val="2"/>
            <w:noWrap w:val="0"/>
            <w:vAlign w:val="center"/>
          </w:tcPr>
          <w:p w14:paraId="47FC7525">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ascii="宋体" w:hAnsi="宋体"/>
                <w:sz w:val="24"/>
                <w:szCs w:val="24"/>
              </w:rPr>
            </w:pPr>
            <w:r>
              <w:rPr>
                <w:rFonts w:hint="eastAsia" w:ascii="宋体" w:hAnsi="宋体"/>
                <w:color w:val="000000"/>
                <w:sz w:val="24"/>
                <w:szCs w:val="20"/>
              </w:rPr>
              <w:t>0-</w:t>
            </w:r>
            <w:r>
              <w:rPr>
                <w:rFonts w:hint="eastAsia" w:ascii="宋体" w:hAnsi="宋体"/>
                <w:color w:val="000000"/>
                <w:sz w:val="24"/>
                <w:szCs w:val="20"/>
                <w:lang w:val="en-US" w:eastAsia="zh-CN"/>
              </w:rPr>
              <w:t>6</w:t>
            </w:r>
            <w:r>
              <w:rPr>
                <w:rFonts w:hint="eastAsia" w:ascii="宋体" w:hAnsi="宋体"/>
                <w:color w:val="000000"/>
                <w:sz w:val="24"/>
                <w:szCs w:val="20"/>
              </w:rPr>
              <w:t>分</w:t>
            </w:r>
          </w:p>
        </w:tc>
      </w:tr>
      <w:tr w14:paraId="6D50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2" w:hRule="atLeast"/>
        </w:trPr>
        <w:tc>
          <w:tcPr>
            <w:tcW w:w="850" w:type="dxa"/>
            <w:noWrap w:val="0"/>
            <w:vAlign w:val="center"/>
          </w:tcPr>
          <w:p w14:paraId="261DCA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3</w:t>
            </w:r>
          </w:p>
        </w:tc>
        <w:tc>
          <w:tcPr>
            <w:tcW w:w="7198" w:type="dxa"/>
            <w:gridSpan w:val="2"/>
            <w:noWrap w:val="0"/>
            <w:vAlign w:val="center"/>
          </w:tcPr>
          <w:p w14:paraId="35C1B4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仿宋_GB2312"/>
                <w:sz w:val="24"/>
                <w:szCs w:val="24"/>
                <w:lang w:val="en-US" w:eastAsia="zh-CN"/>
              </w:rPr>
            </w:pPr>
            <w:r>
              <w:rPr>
                <w:rFonts w:hint="eastAsia" w:ascii="宋体" w:hAnsi="宋体" w:eastAsia="宋体" w:cs="宋体"/>
                <w:color w:val="auto"/>
                <w:sz w:val="24"/>
                <w:szCs w:val="24"/>
                <w:lang w:val="en-US" w:eastAsia="zh-CN"/>
              </w:rPr>
              <w:t>根据投标人提供的</w:t>
            </w:r>
            <w:r>
              <w:rPr>
                <w:rFonts w:hAnsi="宋体"/>
                <w:color w:val="auto"/>
                <w:sz w:val="24"/>
                <w:highlight w:val="none"/>
              </w:rPr>
              <w:t>监控组态软件</w:t>
            </w:r>
            <w:r>
              <w:rPr>
                <w:rFonts w:hint="eastAsia" w:ascii="宋体" w:hAnsi="宋体" w:eastAsia="宋体" w:cs="宋体"/>
                <w:color w:val="auto"/>
                <w:sz w:val="24"/>
                <w:szCs w:val="24"/>
                <w:lang w:val="en-US" w:eastAsia="zh-CN"/>
              </w:rPr>
              <w:t>软件系统进行评价，支持自主3D 建模功能，支持自主3D可视化界面制作功能，</w:t>
            </w:r>
            <w:r>
              <w:rPr>
                <w:rFonts w:hint="eastAsia" w:ascii="宋体" w:hAnsi="宋体" w:eastAsia="宋体"/>
                <w:color w:val="auto"/>
                <w:sz w:val="24"/>
                <w:szCs w:val="24"/>
              </w:rPr>
              <w:t>针对性强</w:t>
            </w:r>
            <w:r>
              <w:rPr>
                <w:rFonts w:hint="eastAsia" w:ascii="宋体" w:hAnsi="宋体" w:eastAsia="宋体"/>
                <w:color w:val="auto"/>
                <w:sz w:val="24"/>
                <w:szCs w:val="24"/>
                <w:lang w:eastAsia="zh-CN"/>
              </w:rPr>
              <w:t>，</w:t>
            </w:r>
            <w:r>
              <w:rPr>
                <w:rFonts w:hint="eastAsia" w:ascii="宋体" w:hAnsi="宋体" w:eastAsia="宋体" w:cs="仿宋_GB2312"/>
                <w:color w:val="auto"/>
                <w:sz w:val="24"/>
                <w:szCs w:val="24"/>
              </w:rPr>
              <w:t>完整、切实可行</w:t>
            </w:r>
            <w:r>
              <w:rPr>
                <w:rFonts w:hint="eastAsia" w:ascii="宋体" w:hAnsi="宋体" w:eastAsia="宋体" w:cs="宋体"/>
                <w:color w:val="auto"/>
                <w:sz w:val="24"/>
                <w:szCs w:val="24"/>
                <w:lang w:val="en-US" w:eastAsia="zh-CN"/>
              </w:rPr>
              <w:t>的得2分，一般的得1分，较差的得0.5分，未提供的</w:t>
            </w:r>
            <w:r>
              <w:rPr>
                <w:rFonts w:hint="eastAsia" w:ascii="宋体" w:hAnsi="宋体" w:eastAsia="宋体" w:cs="仿宋_GB2312"/>
                <w:sz w:val="24"/>
                <w:szCs w:val="24"/>
                <w:lang w:val="en-US" w:eastAsia="zh-CN"/>
              </w:rPr>
              <w:t>不得分</w:t>
            </w:r>
            <w:r>
              <w:rPr>
                <w:rFonts w:hint="eastAsia" w:ascii="宋体" w:hAnsi="宋体" w:eastAsia="宋体" w:cs="宋体"/>
                <w:color w:val="auto"/>
                <w:sz w:val="24"/>
                <w:szCs w:val="24"/>
                <w:lang w:val="en-US" w:eastAsia="zh-CN"/>
              </w:rPr>
              <w:t>。</w:t>
            </w: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lang w:val="en-US" w:eastAsia="zh-CN"/>
              </w:rPr>
              <w:t>0-</w:t>
            </w:r>
            <w:r>
              <w:rPr>
                <w:rFonts w:hint="eastAsia" w:ascii="宋体" w:hAnsi="宋体" w:cs="仿宋_GB2312"/>
                <w:color w:val="auto"/>
                <w:sz w:val="24"/>
                <w:szCs w:val="24"/>
                <w:lang w:val="en-US" w:eastAsia="zh-CN"/>
              </w:rPr>
              <w:t>2</w:t>
            </w:r>
            <w:r>
              <w:rPr>
                <w:rFonts w:hint="eastAsia" w:ascii="宋体" w:hAnsi="宋体" w:eastAsia="宋体" w:cs="仿宋_GB2312"/>
                <w:color w:val="auto"/>
                <w:sz w:val="24"/>
                <w:szCs w:val="24"/>
                <w:lang w:val="en-US" w:eastAsia="zh-CN"/>
              </w:rPr>
              <w:t>分</w:t>
            </w:r>
            <w:r>
              <w:rPr>
                <w:rFonts w:hint="eastAsia" w:ascii="宋体" w:hAnsi="宋体" w:eastAsia="宋体" w:cs="仿宋_GB2312"/>
                <w:color w:val="auto"/>
                <w:sz w:val="24"/>
                <w:szCs w:val="24"/>
                <w:lang w:eastAsia="zh-CN"/>
              </w:rPr>
              <w:t>）</w:t>
            </w:r>
          </w:p>
        </w:tc>
        <w:tc>
          <w:tcPr>
            <w:tcW w:w="1467" w:type="dxa"/>
            <w:gridSpan w:val="2"/>
            <w:noWrap w:val="0"/>
            <w:vAlign w:val="center"/>
          </w:tcPr>
          <w:p w14:paraId="0788586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000000"/>
                <w:sz w:val="24"/>
                <w:szCs w:val="20"/>
              </w:rPr>
            </w:pPr>
            <w:r>
              <w:rPr>
                <w:rFonts w:hint="eastAsia" w:ascii="宋体" w:hAnsi="宋体"/>
                <w:sz w:val="24"/>
                <w:szCs w:val="24"/>
                <w:lang w:val="en-US" w:eastAsia="zh-CN"/>
              </w:rPr>
              <w:t>0-2分</w:t>
            </w:r>
          </w:p>
        </w:tc>
      </w:tr>
      <w:tr w14:paraId="4F4D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rPr>
        <w:tc>
          <w:tcPr>
            <w:tcW w:w="850" w:type="dxa"/>
            <w:noWrap w:val="0"/>
            <w:vAlign w:val="center"/>
          </w:tcPr>
          <w:p w14:paraId="1466F92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4</w:t>
            </w:r>
          </w:p>
        </w:tc>
        <w:tc>
          <w:tcPr>
            <w:tcW w:w="7198" w:type="dxa"/>
            <w:gridSpan w:val="2"/>
            <w:noWrap w:val="0"/>
            <w:vAlign w:val="center"/>
          </w:tcPr>
          <w:p w14:paraId="22D6E9FD">
            <w:pPr>
              <w:spacing w:line="400" w:lineRule="exact"/>
              <w:jc w:val="left"/>
              <w:rPr>
                <w:rFonts w:hint="eastAsia" w:ascii="宋体" w:hAnsi="宋体" w:cs="宋体"/>
                <w:sz w:val="24"/>
                <w:szCs w:val="24"/>
                <w:lang w:eastAsia="zh-CN"/>
              </w:rPr>
            </w:pPr>
            <w:r>
              <w:rPr>
                <w:rFonts w:hint="eastAsia" w:ascii="宋体" w:hAnsi="宋体" w:cs="宋体"/>
                <w:sz w:val="24"/>
                <w:szCs w:val="24"/>
              </w:rPr>
              <w:t>售后服务方案和保证措施</w:t>
            </w:r>
            <w:r>
              <w:rPr>
                <w:rFonts w:hint="eastAsia" w:ascii="宋体" w:hAnsi="宋体" w:cs="宋体"/>
                <w:sz w:val="24"/>
                <w:szCs w:val="24"/>
                <w:lang w:eastAsia="zh-CN"/>
              </w:rPr>
              <w:t>，</w:t>
            </w:r>
            <w:r>
              <w:rPr>
                <w:rFonts w:hint="eastAsia" w:ascii="宋体" w:hAnsi="宋体" w:cs="宋体"/>
                <w:sz w:val="24"/>
                <w:szCs w:val="24"/>
              </w:rPr>
              <w:t>评标委员会根据各投标人所提供的下列所列</w:t>
            </w:r>
            <w:r>
              <w:rPr>
                <w:rFonts w:hint="eastAsia" w:ascii="宋体" w:hAnsi="宋体" w:cs="宋体"/>
                <w:sz w:val="24"/>
                <w:szCs w:val="24"/>
                <w:lang w:val="en-US" w:eastAsia="zh-CN"/>
              </w:rPr>
              <w:t>四</w:t>
            </w:r>
            <w:r>
              <w:rPr>
                <w:rFonts w:hint="eastAsia" w:ascii="宋体" w:hAnsi="宋体" w:cs="宋体"/>
                <w:sz w:val="24"/>
                <w:szCs w:val="24"/>
              </w:rPr>
              <w:t>项内容的响应情况</w:t>
            </w:r>
            <w:r>
              <w:rPr>
                <w:rFonts w:hint="eastAsia" w:ascii="宋体" w:hAnsi="宋体" w:cs="宋体"/>
                <w:sz w:val="24"/>
                <w:szCs w:val="24"/>
                <w:lang w:val="en-US" w:eastAsia="zh-CN"/>
              </w:rPr>
              <w:t>进行打分：</w:t>
            </w:r>
          </w:p>
          <w:p w14:paraId="03238355">
            <w:pPr>
              <w:numPr>
                <w:ilvl w:val="0"/>
                <w:numId w:val="13"/>
              </w:numPr>
              <w:spacing w:line="400" w:lineRule="exact"/>
              <w:jc w:val="left"/>
              <w:rPr>
                <w:rFonts w:hint="eastAsia" w:ascii="宋体" w:hAnsi="宋体" w:cs="宋体"/>
                <w:sz w:val="24"/>
                <w:szCs w:val="24"/>
                <w:lang w:val="en-US" w:eastAsia="zh-CN"/>
              </w:rPr>
            </w:pPr>
            <w:r>
              <w:rPr>
                <w:rFonts w:hint="eastAsia" w:ascii="宋体" w:hAnsi="宋体" w:cs="宋体"/>
                <w:sz w:val="24"/>
                <w:szCs w:val="24"/>
              </w:rPr>
              <w:t>在</w:t>
            </w:r>
            <w:r>
              <w:rPr>
                <w:rFonts w:hint="eastAsia" w:ascii="宋体" w:hAnsi="宋体" w:cs="宋体"/>
                <w:sz w:val="24"/>
                <w:szCs w:val="24"/>
                <w:lang w:val="en-US" w:eastAsia="zh-CN"/>
              </w:rPr>
              <w:t>招标人周边地区</w:t>
            </w:r>
            <w:r>
              <w:rPr>
                <w:rFonts w:hint="eastAsia" w:ascii="宋体" w:hAnsi="宋体" w:cs="宋体"/>
                <w:sz w:val="24"/>
                <w:szCs w:val="24"/>
              </w:rPr>
              <w:t>设有的常驻专业售后服务设施情况</w:t>
            </w:r>
            <w:r>
              <w:rPr>
                <w:rFonts w:hint="eastAsia" w:ascii="宋体" w:hAnsi="宋体" w:cs="宋体"/>
                <w:sz w:val="24"/>
                <w:szCs w:val="24"/>
                <w:lang w:eastAsia="zh-CN"/>
              </w:rPr>
              <w:t>；</w:t>
            </w:r>
            <w:r>
              <w:rPr>
                <w:rFonts w:hint="eastAsia" w:ascii="宋体" w:hAnsi="宋体" w:cs="宋体"/>
                <w:sz w:val="24"/>
                <w:szCs w:val="24"/>
                <w:lang w:val="en-US" w:eastAsia="zh-CN"/>
              </w:rPr>
              <w:t>（0-0.5分）；</w:t>
            </w:r>
          </w:p>
          <w:p w14:paraId="30BBBEDC">
            <w:pPr>
              <w:numPr>
                <w:ilvl w:val="0"/>
                <w:numId w:val="13"/>
              </w:numPr>
              <w:spacing w:line="400" w:lineRule="exact"/>
              <w:jc w:val="left"/>
              <w:rPr>
                <w:rFonts w:hint="eastAsia" w:ascii="宋体" w:hAnsi="宋体" w:cs="宋体"/>
                <w:sz w:val="24"/>
                <w:szCs w:val="24"/>
              </w:rPr>
            </w:pPr>
            <w:r>
              <w:rPr>
                <w:rFonts w:hint="eastAsia" w:ascii="宋体" w:hAnsi="宋体" w:cs="宋体"/>
                <w:sz w:val="24"/>
                <w:szCs w:val="24"/>
              </w:rPr>
              <w:t>售后服务响应时间、故障修复时间</w:t>
            </w:r>
            <w:r>
              <w:rPr>
                <w:rFonts w:hint="eastAsia" w:ascii="宋体" w:hAnsi="宋体" w:cs="宋体"/>
                <w:sz w:val="24"/>
                <w:szCs w:val="24"/>
                <w:lang w:eastAsia="zh-CN"/>
              </w:rPr>
              <w:t>；</w:t>
            </w:r>
            <w:r>
              <w:rPr>
                <w:rFonts w:hint="eastAsia" w:ascii="宋体" w:hAnsi="宋体" w:cs="宋体"/>
                <w:sz w:val="24"/>
                <w:szCs w:val="24"/>
                <w:lang w:val="en-US" w:eastAsia="zh-CN"/>
              </w:rPr>
              <w:t>（0-0.5分）</w:t>
            </w:r>
          </w:p>
          <w:p w14:paraId="7E43F0B0">
            <w:pPr>
              <w:numPr>
                <w:ilvl w:val="0"/>
                <w:numId w:val="13"/>
              </w:numPr>
              <w:spacing w:line="400" w:lineRule="exact"/>
              <w:jc w:val="left"/>
              <w:rPr>
                <w:rFonts w:hint="eastAsia" w:ascii="宋体" w:hAnsi="宋体" w:cs="宋体"/>
                <w:sz w:val="24"/>
                <w:szCs w:val="24"/>
              </w:rPr>
            </w:pPr>
            <w:r>
              <w:rPr>
                <w:rFonts w:hint="eastAsia" w:ascii="宋体" w:hAnsi="宋体" w:cs="宋体"/>
                <w:sz w:val="24"/>
                <w:szCs w:val="24"/>
              </w:rPr>
              <w:t>售后服务机构的技术力量配备情况</w:t>
            </w:r>
            <w:r>
              <w:rPr>
                <w:rFonts w:hint="eastAsia" w:ascii="宋体" w:hAnsi="宋体" w:cs="宋体"/>
                <w:sz w:val="24"/>
                <w:szCs w:val="24"/>
                <w:lang w:eastAsia="zh-CN"/>
              </w:rPr>
              <w:t>；</w:t>
            </w:r>
            <w:r>
              <w:rPr>
                <w:rFonts w:hint="eastAsia" w:ascii="宋体" w:hAnsi="宋体" w:cs="宋体"/>
                <w:sz w:val="24"/>
                <w:szCs w:val="24"/>
                <w:lang w:val="en-US" w:eastAsia="zh-CN"/>
              </w:rPr>
              <w:t>（0-0.5分）</w:t>
            </w:r>
          </w:p>
          <w:p w14:paraId="085E3CD5">
            <w:pPr>
              <w:numPr>
                <w:ilvl w:val="0"/>
                <w:numId w:val="13"/>
              </w:numPr>
              <w:spacing w:line="400" w:lineRule="exact"/>
              <w:jc w:val="left"/>
              <w:rPr>
                <w:rFonts w:hint="eastAsia" w:ascii="宋体" w:hAnsi="宋体"/>
                <w:sz w:val="24"/>
                <w:szCs w:val="24"/>
                <w:lang w:val="en-US" w:eastAsia="zh-CN"/>
              </w:rPr>
            </w:pPr>
            <w:r>
              <w:rPr>
                <w:rFonts w:hint="eastAsia" w:ascii="宋体" w:hAnsi="宋体" w:cs="宋体"/>
                <w:sz w:val="24"/>
              </w:rPr>
              <w:t>售后服务承诺和履约</w:t>
            </w:r>
            <w:r>
              <w:rPr>
                <w:rFonts w:hint="eastAsia" w:ascii="宋体" w:hAnsi="宋体" w:cs="宋体"/>
                <w:sz w:val="24"/>
                <w:lang w:val="en-US" w:eastAsia="zh-CN"/>
              </w:rPr>
              <w:t>情况</w:t>
            </w:r>
            <w:r>
              <w:rPr>
                <w:rFonts w:hint="eastAsia" w:ascii="宋体" w:hAnsi="宋体" w:cs="宋体"/>
                <w:sz w:val="24"/>
                <w:lang w:eastAsia="zh-CN"/>
              </w:rPr>
              <w:t>。</w:t>
            </w:r>
            <w:r>
              <w:rPr>
                <w:rFonts w:hint="eastAsia" w:ascii="宋体" w:hAnsi="宋体" w:cs="宋体"/>
                <w:sz w:val="24"/>
                <w:szCs w:val="24"/>
                <w:lang w:val="en-US" w:eastAsia="zh-CN"/>
              </w:rPr>
              <w:t>（0-0.5分）</w:t>
            </w:r>
          </w:p>
        </w:tc>
        <w:tc>
          <w:tcPr>
            <w:tcW w:w="1467" w:type="dxa"/>
            <w:gridSpan w:val="2"/>
            <w:noWrap w:val="0"/>
            <w:vAlign w:val="center"/>
          </w:tcPr>
          <w:p w14:paraId="63A5EA22">
            <w:pPr>
              <w:spacing w:line="400" w:lineRule="exact"/>
              <w:jc w:val="center"/>
              <w:rPr>
                <w:rFonts w:hint="eastAsia" w:ascii="宋体" w:hAnsi="宋体" w:eastAsia="宋体"/>
                <w:color w:val="000000"/>
                <w:sz w:val="24"/>
                <w:szCs w:val="20"/>
                <w:lang w:val="en-US" w:eastAsia="zh-CN"/>
              </w:rPr>
            </w:pPr>
            <w:r>
              <w:rPr>
                <w:rFonts w:hint="eastAsia" w:ascii="宋体" w:hAnsi="宋体" w:cs="宋体"/>
                <w:color w:val="000000"/>
                <w:sz w:val="24"/>
                <w:szCs w:val="24"/>
                <w:lang w:val="en-US" w:eastAsia="zh-CN"/>
              </w:rPr>
              <w:t>0-2分</w:t>
            </w:r>
          </w:p>
        </w:tc>
      </w:tr>
      <w:tr w14:paraId="626D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1351" w:hRule="exact"/>
        </w:trPr>
        <w:tc>
          <w:tcPr>
            <w:tcW w:w="850" w:type="dxa"/>
            <w:noWrap w:val="0"/>
            <w:vAlign w:val="center"/>
          </w:tcPr>
          <w:p w14:paraId="3B20E2B8">
            <w:pPr>
              <w:spacing w:line="400" w:lineRule="exact"/>
              <w:jc w:val="center"/>
              <w:rPr>
                <w:rFonts w:hint="eastAsia" w:ascii="宋体" w:hAnsi="宋体"/>
                <w:color w:val="000000"/>
                <w:sz w:val="24"/>
                <w:szCs w:val="24"/>
                <w:highlight w:val="none"/>
                <w:lang w:val="en-US" w:eastAsia="zh-CN"/>
              </w:rPr>
            </w:pPr>
            <w:r>
              <w:rPr>
                <w:rFonts w:hint="eastAsia" w:ascii="宋体" w:hAnsi="宋体" w:cs="宋体"/>
                <w:sz w:val="24"/>
                <w:szCs w:val="24"/>
                <w:lang w:val="en-US" w:eastAsia="zh-CN"/>
              </w:rPr>
              <w:t>5</w:t>
            </w:r>
          </w:p>
        </w:tc>
        <w:tc>
          <w:tcPr>
            <w:tcW w:w="7196" w:type="dxa"/>
            <w:noWrap w:val="0"/>
            <w:vAlign w:val="center"/>
          </w:tcPr>
          <w:p w14:paraId="66C9FD20">
            <w:pPr>
              <w:numPr>
                <w:ilvl w:val="0"/>
                <w:numId w:val="0"/>
              </w:numPr>
              <w:spacing w:line="400" w:lineRule="exact"/>
              <w:ind w:left="0" w:leftChars="0" w:firstLine="0" w:firstLineChars="0"/>
              <w:jc w:val="left"/>
              <w:rPr>
                <w:rFonts w:hint="eastAsia" w:ascii="宋体" w:hAnsi="宋体"/>
                <w:sz w:val="24"/>
                <w:szCs w:val="24"/>
                <w:lang w:val="en-US" w:eastAsia="zh-CN"/>
              </w:rPr>
            </w:pPr>
            <w:r>
              <w:rPr>
                <w:rFonts w:hint="eastAsia" w:ascii="宋体" w:hAnsi="宋体" w:cs="宋体"/>
                <w:sz w:val="24"/>
                <w:szCs w:val="24"/>
              </w:rPr>
              <w:t>备品备件</w:t>
            </w:r>
            <w:r>
              <w:rPr>
                <w:rFonts w:hint="eastAsia" w:ascii="宋体" w:hAnsi="宋体" w:cs="宋体"/>
                <w:sz w:val="24"/>
                <w:szCs w:val="24"/>
                <w:lang w:val="en-US" w:eastAsia="zh-CN"/>
              </w:rPr>
              <w:t>：</w:t>
            </w:r>
            <w:r>
              <w:rPr>
                <w:rFonts w:hint="eastAsia" w:ascii="宋体" w:hAnsi="宋体" w:cs="宋体"/>
                <w:sz w:val="24"/>
                <w:szCs w:val="24"/>
              </w:rPr>
              <w:t>评标委员会根据各投标人所提供的备品备件清单</w:t>
            </w:r>
            <w:r>
              <w:rPr>
                <w:rFonts w:hint="eastAsia" w:ascii="宋体" w:hAnsi="宋体" w:cs="宋体"/>
                <w:sz w:val="24"/>
                <w:szCs w:val="24"/>
                <w:lang w:eastAsia="zh-CN"/>
              </w:rPr>
              <w:t>（</w:t>
            </w:r>
            <w:r>
              <w:rPr>
                <w:rFonts w:hint="eastAsia" w:ascii="宋体" w:hAnsi="宋体" w:cs="宋体"/>
                <w:sz w:val="24"/>
                <w:szCs w:val="24"/>
                <w:lang w:val="en-US" w:eastAsia="zh-CN"/>
              </w:rPr>
              <w:t>清单内容自拟</w:t>
            </w:r>
            <w:r>
              <w:rPr>
                <w:rFonts w:hint="eastAsia" w:ascii="宋体" w:hAnsi="宋体" w:cs="宋体"/>
                <w:sz w:val="24"/>
                <w:szCs w:val="24"/>
                <w:lang w:eastAsia="zh-CN"/>
              </w:rPr>
              <w:t>）</w:t>
            </w:r>
            <w:r>
              <w:rPr>
                <w:rFonts w:hint="eastAsia" w:ascii="宋体" w:hAnsi="宋体" w:cs="宋体"/>
                <w:sz w:val="24"/>
                <w:szCs w:val="24"/>
              </w:rPr>
              <w:t>的</w:t>
            </w:r>
            <w:r>
              <w:rPr>
                <w:rFonts w:hint="eastAsia" w:ascii="宋体" w:hAnsi="宋体" w:cs="宋体"/>
                <w:sz w:val="24"/>
                <w:szCs w:val="24"/>
                <w:lang w:val="en-US" w:eastAsia="zh-CN"/>
              </w:rPr>
              <w:t>齐全程度</w:t>
            </w:r>
            <w:r>
              <w:rPr>
                <w:rFonts w:hint="eastAsia" w:ascii="宋体" w:hAnsi="宋体" w:cs="宋体"/>
                <w:sz w:val="24"/>
                <w:lang w:val="en-US" w:eastAsia="zh-CN"/>
              </w:rPr>
              <w:t>横向对比</w:t>
            </w:r>
            <w:r>
              <w:rPr>
                <w:rFonts w:hint="eastAsia"/>
                <w:color w:val="auto"/>
                <w:sz w:val="24"/>
                <w:szCs w:val="24"/>
                <w:highlight w:val="none"/>
                <w:lang w:val="en-US" w:eastAsia="zh-CN"/>
              </w:rPr>
              <w:t>进行打分</w:t>
            </w:r>
            <w:r>
              <w:rPr>
                <w:rFonts w:hint="eastAsia" w:ascii="宋体" w:hAnsi="宋体" w:cs="宋体"/>
                <w:sz w:val="24"/>
                <w:szCs w:val="24"/>
                <w:lang w:val="en-US" w:eastAsia="zh-CN"/>
              </w:rPr>
              <w:t>（0-2分），第一名得2分，后一名扣0.5分，以此类推扣分至不得分。</w:t>
            </w:r>
          </w:p>
        </w:tc>
        <w:tc>
          <w:tcPr>
            <w:tcW w:w="1467" w:type="dxa"/>
            <w:gridSpan w:val="2"/>
            <w:noWrap w:val="0"/>
            <w:vAlign w:val="center"/>
          </w:tcPr>
          <w:p w14:paraId="5B0C0B64">
            <w:pPr>
              <w:spacing w:line="400" w:lineRule="exact"/>
              <w:jc w:val="center"/>
              <w:rPr>
                <w:rFonts w:hint="eastAsia" w:ascii="宋体" w:hAnsi="宋体"/>
                <w:sz w:val="24"/>
                <w:szCs w:val="24"/>
                <w:lang w:val="en-US" w:eastAsia="zh-CN"/>
              </w:rPr>
            </w:pPr>
            <w:r>
              <w:rPr>
                <w:rFonts w:hint="eastAsia" w:ascii="宋体" w:hAnsi="宋体" w:cs="宋体"/>
                <w:color w:val="000000"/>
                <w:sz w:val="24"/>
                <w:szCs w:val="24"/>
                <w:lang w:val="en-US" w:eastAsia="zh-CN"/>
              </w:rPr>
              <w:t>0-2分</w:t>
            </w:r>
          </w:p>
        </w:tc>
      </w:tr>
      <w:tr w14:paraId="1812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1584" w:hRule="exact"/>
        </w:trPr>
        <w:tc>
          <w:tcPr>
            <w:tcW w:w="850" w:type="dxa"/>
            <w:noWrap w:val="0"/>
            <w:vAlign w:val="center"/>
          </w:tcPr>
          <w:p w14:paraId="56460B01">
            <w:pPr>
              <w:spacing w:line="4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7196" w:type="dxa"/>
            <w:noWrap w:val="0"/>
            <w:vAlign w:val="center"/>
          </w:tcPr>
          <w:p w14:paraId="592D7B2D">
            <w:pPr>
              <w:numPr>
                <w:ilvl w:val="0"/>
                <w:numId w:val="0"/>
              </w:numPr>
              <w:spacing w:line="400" w:lineRule="exact"/>
              <w:ind w:left="0" w:leftChars="0"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eastAsia="zh-CN"/>
              </w:rPr>
              <w:t>实质性优惠或增值服务承诺：</w:t>
            </w:r>
            <w:r>
              <w:rPr>
                <w:rFonts w:hint="eastAsia" w:ascii="宋体" w:hAnsi="宋体" w:cs="宋体"/>
                <w:sz w:val="24"/>
                <w:szCs w:val="24"/>
              </w:rPr>
              <w:t>评标委员会根据各投标人所提供的</w:t>
            </w:r>
            <w:r>
              <w:rPr>
                <w:rFonts w:hint="eastAsia" w:ascii="宋体" w:hAnsi="宋体" w:cs="宋体"/>
                <w:sz w:val="24"/>
                <w:szCs w:val="24"/>
                <w:lang w:eastAsia="zh-CN"/>
              </w:rPr>
              <w:t>实质性优惠或增值服务</w:t>
            </w:r>
            <w:r>
              <w:rPr>
                <w:rFonts w:hint="eastAsia" w:ascii="宋体" w:hAnsi="宋体" w:cs="宋体"/>
                <w:sz w:val="24"/>
                <w:szCs w:val="24"/>
              </w:rPr>
              <w:t>的</w:t>
            </w:r>
            <w:r>
              <w:rPr>
                <w:rFonts w:hint="eastAsia" w:ascii="宋体" w:hAnsi="宋体" w:cs="宋体"/>
                <w:sz w:val="24"/>
                <w:szCs w:val="24"/>
                <w:lang w:val="en-US" w:eastAsia="zh-CN"/>
              </w:rPr>
              <w:t>内容进行</w:t>
            </w:r>
            <w:r>
              <w:rPr>
                <w:rFonts w:hint="eastAsia" w:ascii="宋体" w:hAnsi="宋体" w:cs="宋体"/>
                <w:sz w:val="24"/>
                <w:lang w:val="en-US" w:eastAsia="zh-CN"/>
              </w:rPr>
              <w:t>横向对比</w:t>
            </w:r>
            <w:r>
              <w:rPr>
                <w:rFonts w:hint="eastAsia"/>
                <w:color w:val="auto"/>
                <w:sz w:val="24"/>
                <w:szCs w:val="24"/>
                <w:highlight w:val="none"/>
                <w:lang w:val="en-US" w:eastAsia="zh-CN"/>
              </w:rPr>
              <w:t>打分</w:t>
            </w:r>
            <w:r>
              <w:rPr>
                <w:rFonts w:hint="eastAsia" w:ascii="宋体" w:hAnsi="宋体" w:cs="宋体"/>
                <w:sz w:val="24"/>
                <w:szCs w:val="24"/>
                <w:lang w:val="en-US" w:eastAsia="zh-CN"/>
              </w:rPr>
              <w:t>（0-2分），第一名得2分，后一名扣0.5分，以此类推扣分至不得分。</w:t>
            </w:r>
          </w:p>
        </w:tc>
        <w:tc>
          <w:tcPr>
            <w:tcW w:w="1467" w:type="dxa"/>
            <w:gridSpan w:val="2"/>
            <w:noWrap w:val="0"/>
            <w:vAlign w:val="center"/>
          </w:tcPr>
          <w:p w14:paraId="29C47E11">
            <w:pPr>
              <w:spacing w:line="400" w:lineRule="exact"/>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0-2分</w:t>
            </w:r>
          </w:p>
        </w:tc>
      </w:tr>
    </w:tbl>
    <w:p w14:paraId="20A643DA">
      <w:pPr>
        <w:pStyle w:val="107"/>
        <w:keepNext w:val="0"/>
        <w:keepLines w:val="0"/>
        <w:pageBreakBefore w:val="0"/>
        <w:widowControl w:val="0"/>
        <w:numPr>
          <w:ilvl w:val="0"/>
          <w:numId w:val="0"/>
        </w:numPr>
        <w:kinsoku/>
        <w:wordWrap/>
        <w:overflowPunct/>
        <w:topLinePunct w:val="0"/>
        <w:autoSpaceDE/>
        <w:autoSpaceDN/>
        <w:bidi w:val="0"/>
        <w:adjustRightInd/>
        <w:spacing w:before="0" w:line="400" w:lineRule="exact"/>
        <w:ind w:left="0" w:right="0" w:rightChars="0" w:firstLine="0" w:firstLineChars="0"/>
        <w:textAlignment w:val="auto"/>
        <w:outlineLvl w:val="9"/>
        <w:rPr>
          <w:rFonts w:hint="eastAsia" w:ascii="宋体" w:hAnsi="宋体"/>
          <w:b/>
        </w:rPr>
      </w:pPr>
    </w:p>
    <w:p w14:paraId="3AA29FA5">
      <w:pPr>
        <w:pStyle w:val="107"/>
        <w:keepNext w:val="0"/>
        <w:keepLines w:val="0"/>
        <w:pageBreakBefore w:val="0"/>
        <w:widowControl w:val="0"/>
        <w:numPr>
          <w:ilvl w:val="0"/>
          <w:numId w:val="0"/>
        </w:numPr>
        <w:kinsoku/>
        <w:wordWrap/>
        <w:overflowPunct/>
        <w:topLinePunct w:val="0"/>
        <w:autoSpaceDE/>
        <w:autoSpaceDN/>
        <w:bidi w:val="0"/>
        <w:adjustRightInd/>
        <w:spacing w:before="0" w:line="400" w:lineRule="exact"/>
        <w:ind w:left="0" w:right="0" w:rightChars="0" w:firstLine="0" w:firstLineChars="0"/>
        <w:textAlignment w:val="auto"/>
        <w:outlineLvl w:val="9"/>
        <w:rPr>
          <w:rFonts w:ascii="宋体" w:hAnsi="宋体"/>
          <w:b/>
        </w:rPr>
      </w:pPr>
      <w:r>
        <w:rPr>
          <w:rFonts w:hint="eastAsia" w:ascii="宋体" w:hAnsi="宋体"/>
          <w:b/>
        </w:rPr>
        <w:t>商务分（</w:t>
      </w:r>
      <w:r>
        <w:rPr>
          <w:rFonts w:hint="eastAsia" w:ascii="宋体" w:hAnsi="宋体"/>
          <w:b/>
          <w:lang w:val="en-US" w:eastAsia="zh-CN"/>
        </w:rPr>
        <w:t>32</w:t>
      </w:r>
      <w:r>
        <w:rPr>
          <w:rFonts w:hint="eastAsia" w:ascii="宋体" w:hAnsi="宋体"/>
          <w:b/>
        </w:rPr>
        <w:t>分</w:t>
      </w:r>
      <w:r>
        <w:rPr>
          <w:rFonts w:hint="eastAsia" w:ascii="宋体" w:hAnsi="宋体"/>
          <w:b/>
          <w:lang w:eastAsia="zh-CN"/>
        </w:rPr>
        <w:t>，</w:t>
      </w:r>
      <w:r>
        <w:rPr>
          <w:rFonts w:hint="eastAsia" w:ascii="宋体" w:hAnsi="宋体" w:eastAsia="宋体" w:cs="宋体"/>
          <w:b/>
          <w:color w:val="auto"/>
          <w:sz w:val="24"/>
          <w:szCs w:val="20"/>
          <w:highlight w:val="none"/>
        </w:rPr>
        <w:t>打分</w:t>
      </w:r>
      <w:r>
        <w:rPr>
          <w:rFonts w:hint="eastAsia" w:ascii="宋体" w:hAnsi="宋体" w:eastAsia="宋体" w:cs="宋体"/>
          <w:b/>
          <w:color w:val="auto"/>
          <w:sz w:val="24"/>
          <w:szCs w:val="20"/>
          <w:highlight w:val="none"/>
          <w:lang w:val="en-US" w:eastAsia="zh-CN"/>
        </w:rPr>
        <w:t>保留1位小数，</w:t>
      </w:r>
      <w:r>
        <w:rPr>
          <w:rFonts w:hint="eastAsia" w:ascii="宋体" w:hAnsi="宋体" w:eastAsia="宋体" w:cs="宋体"/>
          <w:b/>
          <w:color w:val="auto"/>
          <w:sz w:val="24"/>
          <w:szCs w:val="20"/>
          <w:highlight w:val="none"/>
        </w:rPr>
        <w:t>得分</w:t>
      </w:r>
      <w:r>
        <w:rPr>
          <w:rFonts w:hint="eastAsia" w:ascii="宋体" w:hAnsi="宋体" w:eastAsia="宋体" w:cs="宋体"/>
          <w:b/>
          <w:color w:val="auto"/>
          <w:sz w:val="24"/>
          <w:szCs w:val="20"/>
          <w:highlight w:val="none"/>
          <w:lang w:val="en-US" w:eastAsia="zh-CN"/>
        </w:rPr>
        <w:t>保留2位</w:t>
      </w:r>
      <w:r>
        <w:rPr>
          <w:rFonts w:hint="eastAsia" w:ascii="宋体" w:hAnsi="宋体" w:eastAsia="宋体" w:cs="宋体"/>
          <w:b/>
          <w:color w:val="auto"/>
          <w:sz w:val="24"/>
          <w:szCs w:val="20"/>
          <w:highlight w:val="none"/>
        </w:rPr>
        <w:t>小数</w:t>
      </w:r>
      <w:r>
        <w:rPr>
          <w:rFonts w:hint="eastAsia" w:ascii="宋体" w:hAnsi="宋体"/>
          <w:b/>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25"/>
        <w:gridCol w:w="1470"/>
      </w:tblGrid>
      <w:tr w14:paraId="35AF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noWrap w:val="0"/>
            <w:vAlign w:val="center"/>
          </w:tcPr>
          <w:p w14:paraId="4C1AC0BA">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1</w:t>
            </w:r>
          </w:p>
        </w:tc>
        <w:tc>
          <w:tcPr>
            <w:tcW w:w="7225" w:type="dxa"/>
            <w:noWrap w:val="0"/>
            <w:vAlign w:val="center"/>
          </w:tcPr>
          <w:p w14:paraId="64252BE0">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质保期为</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年，在采购需求的基础上每增加1年质保期得1分，最高得3分。</w:t>
            </w:r>
          </w:p>
          <w:p w14:paraId="0CEFF2C1">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sz w:val="24"/>
                <w:szCs w:val="24"/>
              </w:rPr>
            </w:pPr>
            <w:r>
              <w:rPr>
                <w:rFonts w:hint="eastAsia" w:ascii="宋体" w:hAnsi="宋体" w:eastAsia="宋体" w:cs="宋体"/>
                <w:b/>
                <w:bCs/>
                <w:color w:val="auto"/>
                <w:sz w:val="24"/>
                <w:szCs w:val="24"/>
                <w:lang w:val="en-US" w:eastAsia="zh-CN"/>
              </w:rPr>
              <w:t>【证明材料：需提供质保期承诺函</w:t>
            </w:r>
            <w:r>
              <w:rPr>
                <w:rFonts w:hint="eastAsia" w:ascii="宋体" w:hAnsi="宋体" w:cs="宋体"/>
                <w:b/>
                <w:bCs/>
                <w:color w:val="auto"/>
                <w:sz w:val="24"/>
                <w:szCs w:val="24"/>
                <w:lang w:val="en-US" w:eastAsia="zh-CN"/>
              </w:rPr>
              <w:t>加盖投标人公章，格式自拟</w:t>
            </w:r>
            <w:r>
              <w:rPr>
                <w:rFonts w:hint="eastAsia" w:ascii="宋体" w:hAnsi="宋体" w:eastAsia="宋体" w:cs="宋体"/>
                <w:b/>
                <w:bCs/>
                <w:color w:val="auto"/>
                <w:sz w:val="24"/>
                <w:szCs w:val="24"/>
                <w:lang w:val="en-US" w:eastAsia="zh-CN"/>
              </w:rPr>
              <w:t>。】</w:t>
            </w:r>
          </w:p>
        </w:tc>
        <w:tc>
          <w:tcPr>
            <w:tcW w:w="1470" w:type="dxa"/>
            <w:noWrap w:val="0"/>
            <w:vAlign w:val="center"/>
          </w:tcPr>
          <w:p w14:paraId="40852E62">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sz w:val="24"/>
                <w:szCs w:val="24"/>
              </w:rPr>
            </w:pPr>
            <w:r>
              <w:rPr>
                <w:rFonts w:hint="eastAsia" w:ascii="宋体" w:hAnsi="宋体"/>
                <w:sz w:val="24"/>
                <w:szCs w:val="24"/>
              </w:rPr>
              <w:t xml:space="preserve"> 0-</w:t>
            </w:r>
            <w:r>
              <w:rPr>
                <w:rFonts w:hint="eastAsia" w:ascii="宋体" w:hAnsi="宋体"/>
                <w:sz w:val="24"/>
                <w:szCs w:val="24"/>
                <w:lang w:val="en-US" w:eastAsia="zh-CN"/>
              </w:rPr>
              <w:t>3</w:t>
            </w:r>
            <w:r>
              <w:rPr>
                <w:rFonts w:hint="eastAsia" w:ascii="宋体" w:hAnsi="宋体"/>
                <w:sz w:val="24"/>
                <w:szCs w:val="24"/>
              </w:rPr>
              <w:t>分</w:t>
            </w:r>
          </w:p>
        </w:tc>
      </w:tr>
      <w:tr w14:paraId="0CF9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noWrap w:val="0"/>
            <w:vAlign w:val="center"/>
          </w:tcPr>
          <w:p w14:paraId="4BC0863A">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sz w:val="24"/>
                <w:szCs w:val="24"/>
                <w:lang w:val="en-US" w:eastAsia="zh-CN"/>
              </w:rPr>
              <w:t>2</w:t>
            </w:r>
          </w:p>
        </w:tc>
        <w:tc>
          <w:tcPr>
            <w:tcW w:w="7225" w:type="dxa"/>
            <w:noWrap w:val="0"/>
            <w:vAlign w:val="center"/>
          </w:tcPr>
          <w:p w14:paraId="161A84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4"/>
                <w:szCs w:val="24"/>
                <w:highlight w:val="none"/>
                <w:lang w:eastAsia="zh-CN"/>
              </w:rPr>
            </w:pPr>
            <w:r>
              <w:rPr>
                <w:rFonts w:hint="eastAsia" w:ascii="宋体" w:hAnsi="宋体" w:eastAsia="宋体" w:cs="宋体"/>
                <w:b/>
                <w:bCs/>
                <w:sz w:val="24"/>
                <w:szCs w:val="24"/>
                <w:highlight w:val="none"/>
                <w:lang w:val="en-US" w:eastAsia="zh-CN"/>
              </w:rPr>
              <w:t>投标</w:t>
            </w:r>
            <w:r>
              <w:rPr>
                <w:rFonts w:hint="eastAsia" w:ascii="宋体" w:hAnsi="宋体" w:cs="宋体"/>
                <w:b/>
                <w:bCs/>
                <w:sz w:val="24"/>
                <w:szCs w:val="24"/>
                <w:highlight w:val="none"/>
                <w:lang w:val="en-US" w:eastAsia="zh-CN"/>
              </w:rPr>
              <w:t>人</w:t>
            </w:r>
            <w:r>
              <w:rPr>
                <w:rFonts w:hint="eastAsia" w:ascii="宋体" w:hAnsi="宋体" w:eastAsia="宋体" w:cs="宋体"/>
                <w:sz w:val="24"/>
                <w:szCs w:val="24"/>
                <w:highlight w:val="none"/>
                <w:lang w:val="en-US" w:eastAsia="zh-CN"/>
              </w:rPr>
              <w:t>具有</w:t>
            </w:r>
            <w:r>
              <w:rPr>
                <w:rFonts w:hint="eastAsia" w:ascii="宋体" w:hAnsi="宋体"/>
                <w:sz w:val="24"/>
                <w:szCs w:val="24"/>
                <w:highlight w:val="none"/>
              </w:rPr>
              <w:t>有效期内质量管理体系认证证书的得1分；有效期内环境管理体系认证证书的得1分；有效期内职业健康安全管理体系认证证书的得1分</w:t>
            </w:r>
            <w:r>
              <w:rPr>
                <w:rFonts w:hint="eastAsia" w:ascii="宋体" w:hAnsi="宋体"/>
                <w:sz w:val="24"/>
                <w:szCs w:val="24"/>
                <w:highlight w:val="none"/>
                <w:lang w:eastAsia="zh-CN"/>
              </w:rPr>
              <w:t>。未提供不得分。</w:t>
            </w:r>
          </w:p>
          <w:p w14:paraId="63817E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4"/>
                <w:szCs w:val="24"/>
              </w:rPr>
            </w:pPr>
            <w:r>
              <w:rPr>
                <w:rFonts w:hint="eastAsia" w:ascii="宋体" w:hAnsi="宋体" w:eastAsia="宋体" w:cs="宋体"/>
                <w:b/>
                <w:bCs/>
                <w:color w:val="auto"/>
                <w:sz w:val="24"/>
                <w:szCs w:val="24"/>
                <w:lang w:val="en-US" w:eastAsia="zh-CN"/>
              </w:rPr>
              <w:t>【证明材料：</w:t>
            </w:r>
            <w:r>
              <w:rPr>
                <w:rFonts w:hint="eastAsia" w:ascii="宋体" w:hAnsi="宋体"/>
                <w:b/>
                <w:bCs/>
                <w:sz w:val="24"/>
                <w:szCs w:val="24"/>
                <w:highlight w:val="none"/>
                <w:lang w:val="en-US" w:eastAsia="zh-CN"/>
              </w:rPr>
              <w:t>需提供证书复印件及“全国认证认可信息服务平台官网”（http://cx.cnca.cn/CertECloud/index/index/page）的查询结果截图加盖公章，否则不得分。</w:t>
            </w:r>
            <w:r>
              <w:rPr>
                <w:rFonts w:hint="eastAsia" w:ascii="宋体" w:hAnsi="宋体"/>
                <w:sz w:val="24"/>
                <w:szCs w:val="24"/>
                <w:highlight w:val="none"/>
                <w:lang w:val="en-US" w:eastAsia="zh-CN"/>
              </w:rPr>
              <w:t>】</w:t>
            </w:r>
          </w:p>
        </w:tc>
        <w:tc>
          <w:tcPr>
            <w:tcW w:w="1470" w:type="dxa"/>
            <w:noWrap w:val="0"/>
            <w:vAlign w:val="center"/>
          </w:tcPr>
          <w:p w14:paraId="17A739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分</w:t>
            </w:r>
          </w:p>
        </w:tc>
      </w:tr>
      <w:tr w14:paraId="0FF9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noWrap w:val="0"/>
            <w:vAlign w:val="center"/>
          </w:tcPr>
          <w:p w14:paraId="00ADA9F1">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default" w:ascii="宋体" w:hAnsi="宋体"/>
                <w:sz w:val="24"/>
                <w:szCs w:val="24"/>
                <w:lang w:val="en-US" w:eastAsia="zh-CN"/>
              </w:rPr>
            </w:pPr>
            <w:r>
              <w:rPr>
                <w:rFonts w:hint="eastAsia" w:ascii="宋体" w:hAnsi="宋体"/>
                <w:sz w:val="24"/>
                <w:szCs w:val="24"/>
                <w:lang w:val="en-US" w:eastAsia="zh-CN"/>
              </w:rPr>
              <w:t>3</w:t>
            </w:r>
          </w:p>
        </w:tc>
        <w:tc>
          <w:tcPr>
            <w:tcW w:w="7225" w:type="dxa"/>
            <w:noWrap w:val="0"/>
            <w:vAlign w:val="center"/>
          </w:tcPr>
          <w:p w14:paraId="7ED4DE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sz w:val="24"/>
                <w:szCs w:val="24"/>
                <w:highlight w:val="none"/>
                <w:lang w:eastAsia="zh-CN"/>
              </w:rPr>
            </w:pPr>
            <w:r>
              <w:rPr>
                <w:rFonts w:hint="eastAsia" w:ascii="宋体" w:hAnsi="宋体" w:cs="宋体"/>
                <w:sz w:val="24"/>
                <w:szCs w:val="24"/>
                <w:highlight w:val="none"/>
              </w:rPr>
              <w:t>投标人</w:t>
            </w:r>
            <w:r>
              <w:rPr>
                <w:rFonts w:hint="eastAsia" w:ascii="宋体" w:hAnsi="宋体" w:cs="宋体"/>
                <w:sz w:val="24"/>
                <w:szCs w:val="24"/>
                <w:highlight w:val="none"/>
                <w:lang w:val="en-US" w:eastAsia="zh-CN"/>
              </w:rPr>
              <w:t>具有</w:t>
            </w:r>
            <w:r>
              <w:rPr>
                <w:rFonts w:hint="eastAsia" w:ascii="宋体" w:hAnsi="宋体" w:cs="宋体"/>
                <w:sz w:val="24"/>
                <w:szCs w:val="24"/>
                <w:highlight w:val="none"/>
              </w:rPr>
              <w:t>机电工程施工总承包</w:t>
            </w:r>
            <w:r>
              <w:rPr>
                <w:rFonts w:hint="eastAsia" w:ascii="宋体" w:hAnsi="宋体" w:cs="宋体"/>
                <w:sz w:val="24"/>
                <w:szCs w:val="24"/>
                <w:highlight w:val="none"/>
                <w:lang w:val="en-US" w:eastAsia="zh-CN"/>
              </w:rPr>
              <w:t>三</w:t>
            </w:r>
            <w:r>
              <w:rPr>
                <w:rFonts w:hint="eastAsia" w:ascii="宋体" w:hAnsi="宋体" w:cs="宋体"/>
                <w:sz w:val="24"/>
                <w:szCs w:val="24"/>
                <w:highlight w:val="none"/>
              </w:rPr>
              <w:t>级</w:t>
            </w:r>
            <w:r>
              <w:rPr>
                <w:rFonts w:hint="eastAsia" w:ascii="宋体" w:hAnsi="宋体" w:cs="宋体"/>
                <w:sz w:val="24"/>
                <w:szCs w:val="24"/>
                <w:highlight w:val="none"/>
                <w:lang w:val="en-US" w:eastAsia="zh-CN"/>
              </w:rPr>
              <w:t>及以上资质</w:t>
            </w:r>
            <w:r>
              <w:rPr>
                <w:rFonts w:hint="eastAsia" w:ascii="宋体" w:hAnsi="宋体" w:cs="宋体"/>
                <w:sz w:val="24"/>
                <w:szCs w:val="24"/>
                <w:highlight w:val="none"/>
              </w:rPr>
              <w:t>或建筑机电安装工程专业承包</w:t>
            </w:r>
            <w:r>
              <w:rPr>
                <w:rFonts w:hint="eastAsia" w:ascii="宋体" w:hAnsi="宋体" w:cs="宋体"/>
                <w:sz w:val="24"/>
                <w:szCs w:val="24"/>
                <w:highlight w:val="none"/>
                <w:lang w:val="en-US" w:eastAsia="zh-CN"/>
              </w:rPr>
              <w:t>三</w:t>
            </w:r>
            <w:r>
              <w:rPr>
                <w:rFonts w:hint="eastAsia" w:ascii="宋体" w:hAnsi="宋体" w:cs="宋体"/>
                <w:sz w:val="24"/>
                <w:szCs w:val="24"/>
                <w:highlight w:val="none"/>
              </w:rPr>
              <w:t>级及以上资质</w:t>
            </w:r>
            <w:r>
              <w:rPr>
                <w:rFonts w:hint="eastAsia" w:ascii="宋体" w:hAnsi="宋体" w:cs="宋体"/>
                <w:sz w:val="24"/>
                <w:szCs w:val="24"/>
                <w:highlight w:val="none"/>
                <w:lang w:val="en-US" w:eastAsia="zh-CN"/>
              </w:rPr>
              <w:t>或</w:t>
            </w:r>
            <w:r>
              <w:rPr>
                <w:rFonts w:hint="eastAsia" w:ascii="宋体" w:hAnsi="宋体" w:cs="宋体"/>
                <w:sz w:val="24"/>
                <w:szCs w:val="24"/>
                <w:highlight w:val="none"/>
              </w:rPr>
              <w:t>具有电子与智能化工程专业承包贰级及以上资质的得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r>
              <w:rPr>
                <w:rFonts w:hint="eastAsia" w:ascii="宋体" w:hAnsi="宋体" w:cs="宋体"/>
                <w:sz w:val="24"/>
                <w:szCs w:val="24"/>
                <w:highlight w:val="none"/>
                <w:lang w:eastAsia="zh-CN"/>
              </w:rPr>
              <w:t>。</w:t>
            </w:r>
          </w:p>
          <w:p w14:paraId="040146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sz w:val="24"/>
                <w:szCs w:val="24"/>
                <w:highlight w:val="none"/>
                <w:lang w:val="en-US" w:eastAsia="zh-CN"/>
              </w:rPr>
            </w:pPr>
            <w:r>
              <w:rPr>
                <w:rFonts w:hint="eastAsia" w:ascii="宋体" w:hAnsi="宋体" w:eastAsia="宋体" w:cs="宋体"/>
                <w:bCs/>
                <w:sz w:val="24"/>
                <w:szCs w:val="24"/>
                <w:lang w:eastAsia="zh-CN"/>
              </w:rPr>
              <w:t>【</w:t>
            </w:r>
            <w:r>
              <w:rPr>
                <w:rFonts w:hint="eastAsia" w:ascii="宋体" w:hAnsi="宋体" w:eastAsia="宋体" w:cs="宋体"/>
                <w:b/>
                <w:bCs w:val="0"/>
                <w:sz w:val="24"/>
                <w:szCs w:val="24"/>
                <w:lang w:eastAsia="zh-CN"/>
              </w:rPr>
              <w:t>证明材料：</w:t>
            </w:r>
            <w:r>
              <w:rPr>
                <w:rFonts w:hint="eastAsia" w:ascii="宋体" w:hAnsi="宋体" w:cs="宋体"/>
                <w:b/>
                <w:bCs/>
                <w:sz w:val="24"/>
                <w:szCs w:val="24"/>
                <w:highlight w:val="none"/>
              </w:rPr>
              <w:t>投标文件中提供对应</w:t>
            </w:r>
            <w:r>
              <w:rPr>
                <w:rFonts w:hint="eastAsia" w:ascii="宋体" w:hAnsi="宋体" w:cs="宋体"/>
                <w:b/>
                <w:bCs/>
                <w:sz w:val="24"/>
                <w:szCs w:val="24"/>
                <w:highlight w:val="none"/>
                <w:lang w:eastAsia="zh-CN"/>
              </w:rPr>
              <w:t>资质</w:t>
            </w:r>
            <w:r>
              <w:rPr>
                <w:rFonts w:hint="eastAsia" w:ascii="宋体" w:hAnsi="宋体" w:cs="宋体"/>
                <w:b/>
                <w:bCs/>
                <w:sz w:val="24"/>
                <w:szCs w:val="24"/>
                <w:highlight w:val="none"/>
              </w:rPr>
              <w:t>证书复制件并加盖公章</w:t>
            </w:r>
            <w:r>
              <w:rPr>
                <w:rFonts w:hint="eastAsia" w:ascii="宋体" w:hAnsi="宋体" w:cs="宋体"/>
                <w:b/>
                <w:bCs/>
                <w:sz w:val="24"/>
                <w:szCs w:val="24"/>
                <w:highlight w:val="none"/>
                <w:lang w:eastAsia="zh-CN"/>
              </w:rPr>
              <w:t>。】</w:t>
            </w:r>
          </w:p>
        </w:tc>
        <w:tc>
          <w:tcPr>
            <w:tcW w:w="1470" w:type="dxa"/>
            <w:noWrap w:val="0"/>
            <w:vAlign w:val="center"/>
          </w:tcPr>
          <w:p w14:paraId="6D2602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sz w:val="24"/>
                <w:szCs w:val="24"/>
                <w:lang w:val="en-US" w:eastAsia="zh-CN"/>
              </w:rPr>
            </w:pPr>
            <w:r>
              <w:rPr>
                <w:rFonts w:hint="eastAsia" w:ascii="宋体" w:hAnsi="宋体"/>
                <w:sz w:val="24"/>
                <w:szCs w:val="24"/>
                <w:lang w:val="en-US" w:eastAsia="zh-CN"/>
              </w:rPr>
              <w:t>0-2分</w:t>
            </w:r>
          </w:p>
        </w:tc>
      </w:tr>
      <w:tr w14:paraId="6CC4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noWrap w:val="0"/>
            <w:vAlign w:val="center"/>
          </w:tcPr>
          <w:p w14:paraId="05CA49BD">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225" w:type="dxa"/>
            <w:noWrap w:val="0"/>
            <w:vAlign w:val="center"/>
          </w:tcPr>
          <w:p w14:paraId="2BEFF0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cs="宋体"/>
                <w:bCs/>
                <w:sz w:val="24"/>
                <w:szCs w:val="24"/>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投标人拟派项目</w:t>
            </w:r>
            <w:r>
              <w:rPr>
                <w:rFonts w:hint="eastAsia" w:ascii="宋体" w:hAnsi="宋体" w:cs="宋体"/>
                <w:bCs/>
                <w:sz w:val="24"/>
                <w:szCs w:val="24"/>
                <w:lang w:val="en-US" w:eastAsia="zh-CN"/>
              </w:rPr>
              <w:t>负责人</w:t>
            </w:r>
            <w:r>
              <w:rPr>
                <w:rFonts w:hint="eastAsia" w:ascii="宋体" w:hAnsi="宋体" w:eastAsia="宋体" w:cs="宋体"/>
                <w:bCs/>
                <w:sz w:val="24"/>
                <w:szCs w:val="24"/>
              </w:rPr>
              <w:t>具有机电工程专业</w:t>
            </w:r>
            <w:r>
              <w:rPr>
                <w:rFonts w:hint="eastAsia" w:ascii="宋体" w:hAnsi="宋体" w:eastAsia="宋体" w:cs="宋体"/>
                <w:bCs/>
                <w:sz w:val="24"/>
                <w:szCs w:val="24"/>
                <w:lang w:val="en-US" w:eastAsia="zh-CN"/>
              </w:rPr>
              <w:t>或市政工程专业</w:t>
            </w:r>
            <w:r>
              <w:rPr>
                <w:rFonts w:hint="eastAsia" w:ascii="宋体" w:hAnsi="宋体" w:eastAsia="宋体" w:cs="宋体"/>
                <w:bCs/>
                <w:sz w:val="24"/>
                <w:szCs w:val="24"/>
              </w:rPr>
              <w:t>二级及以上建造师证书</w:t>
            </w:r>
            <w:r>
              <w:rPr>
                <w:rFonts w:hint="eastAsia" w:ascii="宋体" w:hAnsi="宋体" w:eastAsia="宋体" w:cs="宋体"/>
                <w:bCs/>
                <w:sz w:val="24"/>
                <w:szCs w:val="24"/>
                <w:lang w:eastAsia="zh-CN"/>
              </w:rPr>
              <w:t>，同时具备有效的安全生产考核合格证书（B 证）</w:t>
            </w:r>
            <w:r>
              <w:rPr>
                <w:rFonts w:hint="eastAsia" w:ascii="宋体" w:hAnsi="宋体" w:eastAsia="宋体" w:cs="宋体"/>
                <w:bCs/>
                <w:sz w:val="24"/>
                <w:szCs w:val="24"/>
                <w:lang w:val="en-US" w:eastAsia="zh-CN"/>
              </w:rPr>
              <w:t>的，</w:t>
            </w:r>
            <w:r>
              <w:rPr>
                <w:rFonts w:hint="eastAsia" w:ascii="宋体" w:hAnsi="宋体" w:eastAsia="宋体" w:cs="宋体"/>
                <w:bCs/>
                <w:sz w:val="24"/>
                <w:szCs w:val="24"/>
              </w:rPr>
              <w:t>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r>
              <w:rPr>
                <w:rFonts w:hint="eastAsia" w:ascii="宋体" w:hAnsi="宋体" w:cs="宋体"/>
                <w:bCs/>
                <w:sz w:val="24"/>
                <w:szCs w:val="24"/>
                <w:lang w:eastAsia="zh-CN"/>
              </w:rPr>
              <w:t>。</w:t>
            </w:r>
          </w:p>
          <w:p w14:paraId="0E391D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cs="宋体"/>
                <w:bCs/>
                <w:sz w:val="24"/>
                <w:szCs w:val="24"/>
                <w:lang w:eastAsia="zh-CN"/>
              </w:rPr>
            </w:pPr>
            <w:r>
              <w:rPr>
                <w:rFonts w:hint="eastAsia" w:ascii="宋体" w:hAnsi="宋体" w:cs="宋体"/>
                <w:bCs/>
                <w:sz w:val="24"/>
                <w:szCs w:val="24"/>
                <w:lang w:val="en-US" w:eastAsia="zh-CN"/>
              </w:rPr>
              <w:t>2、</w:t>
            </w:r>
            <w:r>
              <w:rPr>
                <w:rFonts w:hint="eastAsia" w:ascii="宋体" w:hAnsi="宋体" w:cs="宋体"/>
                <w:bCs/>
                <w:sz w:val="24"/>
                <w:szCs w:val="24"/>
                <w:lang w:eastAsia="zh-CN"/>
              </w:rPr>
              <w:t>投标人拟派项目</w:t>
            </w:r>
            <w:r>
              <w:rPr>
                <w:rFonts w:hint="eastAsia" w:ascii="宋体" w:hAnsi="宋体" w:cs="宋体"/>
                <w:bCs/>
                <w:sz w:val="24"/>
                <w:szCs w:val="24"/>
                <w:lang w:val="en-US" w:eastAsia="zh-CN"/>
              </w:rPr>
              <w:t>其他</w:t>
            </w:r>
            <w:r>
              <w:rPr>
                <w:rFonts w:hint="eastAsia" w:ascii="宋体" w:hAnsi="宋体" w:cs="宋体"/>
                <w:bCs/>
                <w:sz w:val="24"/>
                <w:szCs w:val="24"/>
                <w:lang w:eastAsia="zh-CN"/>
              </w:rPr>
              <w:t>团队成员具有</w:t>
            </w:r>
            <w:r>
              <w:rPr>
                <w:rFonts w:hint="eastAsia" w:ascii="宋体" w:hAnsi="宋体" w:cs="宋体"/>
                <w:bCs/>
                <w:sz w:val="24"/>
                <w:szCs w:val="24"/>
                <w:lang w:val="en-US" w:eastAsia="zh-CN"/>
              </w:rPr>
              <w:t>机电类专业、自动化类</w:t>
            </w:r>
            <w:r>
              <w:rPr>
                <w:rFonts w:hint="eastAsia" w:ascii="宋体" w:hAnsi="宋体" w:cs="宋体"/>
                <w:bCs/>
                <w:sz w:val="24"/>
                <w:szCs w:val="24"/>
                <w:lang w:eastAsia="zh-CN"/>
              </w:rPr>
              <w:t>专业、电子信息</w:t>
            </w:r>
            <w:r>
              <w:rPr>
                <w:rFonts w:hint="eastAsia" w:ascii="宋体" w:hAnsi="宋体" w:cs="宋体"/>
                <w:bCs/>
                <w:sz w:val="24"/>
                <w:szCs w:val="24"/>
                <w:lang w:val="en-US" w:eastAsia="zh-CN"/>
              </w:rPr>
              <w:t>类</w:t>
            </w:r>
            <w:r>
              <w:rPr>
                <w:rFonts w:hint="eastAsia" w:ascii="宋体" w:hAnsi="宋体" w:cs="宋体"/>
                <w:bCs/>
                <w:sz w:val="24"/>
                <w:szCs w:val="24"/>
                <w:lang w:eastAsia="zh-CN"/>
              </w:rPr>
              <w:t>专业</w:t>
            </w:r>
            <w:r>
              <w:rPr>
                <w:rFonts w:hint="eastAsia" w:ascii="宋体" w:hAnsi="宋体" w:cs="宋体"/>
                <w:bCs/>
                <w:sz w:val="24"/>
                <w:szCs w:val="24"/>
                <w:lang w:val="en-US" w:eastAsia="zh-CN"/>
              </w:rPr>
              <w:t>工程师证书的</w:t>
            </w:r>
            <w:r>
              <w:rPr>
                <w:rFonts w:hint="eastAsia" w:ascii="宋体" w:hAnsi="宋体" w:cs="宋体"/>
                <w:bCs/>
                <w:sz w:val="24"/>
                <w:szCs w:val="24"/>
                <w:lang w:eastAsia="zh-CN"/>
              </w:rPr>
              <w:t>，</w:t>
            </w:r>
            <w:r>
              <w:rPr>
                <w:rFonts w:hint="eastAsia" w:ascii="宋体" w:hAnsi="宋体" w:cs="宋体"/>
                <w:bCs/>
                <w:sz w:val="24"/>
                <w:szCs w:val="24"/>
                <w:lang w:val="en-US" w:eastAsia="zh-CN"/>
              </w:rPr>
              <w:t>每提供一个得1分，最高得2分，一人多证不重复计分。</w:t>
            </w:r>
          </w:p>
          <w:p w14:paraId="1554EB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bCs/>
                <w:sz w:val="24"/>
                <w:szCs w:val="24"/>
                <w:lang w:eastAsia="zh-CN"/>
              </w:rPr>
              <w:t>【</w:t>
            </w:r>
            <w:r>
              <w:rPr>
                <w:rFonts w:hint="eastAsia" w:ascii="宋体" w:hAnsi="宋体" w:eastAsia="宋体" w:cs="宋体"/>
                <w:b/>
                <w:bCs w:val="0"/>
                <w:sz w:val="24"/>
                <w:szCs w:val="24"/>
                <w:lang w:eastAsia="zh-CN"/>
              </w:rPr>
              <w:t>证明材料：提供人员证书，另</w:t>
            </w:r>
            <w:r>
              <w:rPr>
                <w:rFonts w:hint="eastAsia" w:ascii="宋体" w:hAnsi="宋体" w:eastAsia="宋体" w:cs="宋体"/>
                <w:b/>
                <w:bCs w:val="0"/>
                <w:sz w:val="24"/>
                <w:szCs w:val="24"/>
              </w:rPr>
              <w:t>为了确保后续服务的延续性和及时性，上述人员均须是投标人正式员工，提供成员缴纳的近三个月的社保，须在投标文件中附复印件并加盖投标人公章</w:t>
            </w:r>
            <w:r>
              <w:rPr>
                <w:rFonts w:hint="eastAsia" w:ascii="宋体" w:hAnsi="宋体" w:eastAsia="宋体" w:cs="宋体"/>
                <w:b/>
                <w:bCs w:val="0"/>
                <w:sz w:val="24"/>
                <w:szCs w:val="24"/>
                <w:lang w:eastAsia="zh-CN"/>
              </w:rPr>
              <w:t>。以上资料缺一不可，资料不全的不得分。</w:t>
            </w:r>
            <w:r>
              <w:rPr>
                <w:rFonts w:hint="eastAsia" w:ascii="宋体" w:hAnsi="宋体" w:eastAsia="宋体" w:cs="宋体"/>
                <w:bCs/>
                <w:sz w:val="24"/>
                <w:szCs w:val="24"/>
                <w:lang w:eastAsia="zh-CN"/>
              </w:rPr>
              <w:t>】</w:t>
            </w:r>
          </w:p>
        </w:tc>
        <w:tc>
          <w:tcPr>
            <w:tcW w:w="1470" w:type="dxa"/>
            <w:noWrap w:val="0"/>
            <w:vAlign w:val="center"/>
          </w:tcPr>
          <w:p w14:paraId="33F96C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highlight w:val="none"/>
              </w:rPr>
              <w:t>0-</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tc>
      </w:tr>
      <w:tr w14:paraId="5802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noWrap w:val="0"/>
            <w:vAlign w:val="center"/>
          </w:tcPr>
          <w:p w14:paraId="43E732ED">
            <w:pPr>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7225" w:type="dxa"/>
            <w:noWrap w:val="0"/>
            <w:vAlign w:val="center"/>
          </w:tcPr>
          <w:p w14:paraId="1ADEBE54">
            <w:pPr>
              <w:widowControl w:val="0"/>
              <w:wordWrap/>
              <w:adjustRightInd/>
              <w:snapToGrid/>
              <w:spacing w:line="360" w:lineRule="auto"/>
              <w:ind w:left="0" w:leftChars="0" w:firstLine="0" w:firstLineChars="0"/>
              <w:textAlignment w:val="auto"/>
              <w:outlineLvl w:val="9"/>
              <w:rPr>
                <w:rFonts w:hint="eastAsia" w:ascii="宋体" w:hAnsi="宋体"/>
                <w:sz w:val="24"/>
                <w:szCs w:val="24"/>
                <w:lang w:val="en-US" w:eastAsia="zh-CN"/>
              </w:rPr>
            </w:pPr>
            <w:r>
              <w:rPr>
                <w:rFonts w:hint="eastAsia" w:ascii="宋体" w:hAnsi="宋体"/>
                <w:b w:val="0"/>
                <w:bCs/>
                <w:color w:val="auto"/>
                <w:sz w:val="24"/>
                <w:szCs w:val="24"/>
                <w:highlight w:val="none"/>
                <w:lang w:val="en-US" w:eastAsia="zh-CN"/>
              </w:rPr>
              <w:t>投标人提供第三方信用服务机构出具的</w:t>
            </w:r>
            <w:r>
              <w:rPr>
                <w:rFonts w:hint="eastAsia" w:ascii="宋体" w:hAnsi="宋体"/>
                <w:sz w:val="24"/>
                <w:szCs w:val="24"/>
                <w:lang w:eastAsia="zh-CN"/>
              </w:rPr>
              <w:t>有效期内</w:t>
            </w:r>
            <w:r>
              <w:rPr>
                <w:rFonts w:hint="eastAsia" w:ascii="宋体" w:hAnsi="宋体"/>
                <w:sz w:val="24"/>
                <w:szCs w:val="24"/>
                <w:lang w:val="en-US" w:eastAsia="zh-CN"/>
              </w:rPr>
              <w:t>的</w:t>
            </w:r>
            <w:r>
              <w:rPr>
                <w:rFonts w:hint="eastAsia" w:ascii="宋体" w:hAnsi="宋体"/>
                <w:b w:val="0"/>
                <w:bCs/>
                <w:color w:val="auto"/>
                <w:sz w:val="24"/>
                <w:szCs w:val="24"/>
                <w:highlight w:val="none"/>
                <w:lang w:val="en-US" w:eastAsia="zh-CN"/>
              </w:rPr>
              <w:t>《企业信用等级证书》，根据证书信用等级评分，AA级及以上得3分，A级得2分。</w:t>
            </w:r>
            <w:r>
              <w:rPr>
                <w:rFonts w:hint="eastAsia" w:ascii="宋体" w:hAnsi="宋体" w:eastAsia="宋体" w:cs="宋体"/>
                <w:bCs/>
                <w:sz w:val="24"/>
                <w:szCs w:val="24"/>
                <w:lang w:eastAsia="zh-CN"/>
              </w:rPr>
              <w:t>【</w:t>
            </w:r>
            <w:r>
              <w:rPr>
                <w:rFonts w:hint="eastAsia" w:ascii="宋体" w:hAnsi="宋体" w:eastAsia="宋体" w:cs="宋体"/>
                <w:b/>
                <w:bCs w:val="0"/>
                <w:sz w:val="24"/>
                <w:szCs w:val="24"/>
                <w:lang w:eastAsia="zh-CN"/>
              </w:rPr>
              <w:t>证明材料：</w:t>
            </w:r>
            <w:r>
              <w:rPr>
                <w:rFonts w:hint="eastAsia" w:ascii="宋体" w:hAnsi="宋体"/>
                <w:b/>
                <w:bCs/>
                <w:sz w:val="24"/>
                <w:szCs w:val="24"/>
                <w:lang w:val="en-US" w:eastAsia="zh-CN"/>
              </w:rPr>
              <w:t>提供有效证书的</w:t>
            </w:r>
            <w:r>
              <w:rPr>
                <w:rFonts w:hint="eastAsia" w:ascii="宋体" w:hAnsi="宋体"/>
                <w:b/>
                <w:bCs/>
                <w:sz w:val="24"/>
                <w:szCs w:val="24"/>
              </w:rPr>
              <w:t>复印件加盖公章</w:t>
            </w:r>
            <w:r>
              <w:rPr>
                <w:rFonts w:hint="eastAsia" w:ascii="宋体" w:hAnsi="宋体"/>
                <w:b/>
                <w:bCs/>
                <w:sz w:val="24"/>
                <w:szCs w:val="24"/>
                <w:lang w:eastAsia="zh-CN"/>
              </w:rPr>
              <w:t>。】</w:t>
            </w:r>
          </w:p>
        </w:tc>
        <w:tc>
          <w:tcPr>
            <w:tcW w:w="1470" w:type="dxa"/>
            <w:noWrap w:val="0"/>
            <w:vAlign w:val="center"/>
          </w:tcPr>
          <w:p w14:paraId="700E6C21">
            <w:pPr>
              <w:widowControl w:val="0"/>
              <w:wordWrap/>
              <w:adjustRightInd/>
              <w:snapToGrid/>
              <w:spacing w:line="360" w:lineRule="auto"/>
              <w:ind w:left="0" w:leftChars="0" w:firstLine="0" w:firstLineChars="0"/>
              <w:jc w:val="center"/>
              <w:textAlignment w:val="auto"/>
              <w:outlineLvl w:val="9"/>
              <w:rPr>
                <w:rFonts w:hint="eastAsia" w:ascii="宋体" w:hAnsi="宋体"/>
                <w:sz w:val="24"/>
                <w:szCs w:val="24"/>
                <w:lang w:val="en-US" w:eastAsia="zh-CN"/>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p>
        </w:tc>
      </w:tr>
      <w:tr w14:paraId="6F1B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shd w:val="clear" w:color="auto" w:fill="auto"/>
            <w:noWrap w:val="0"/>
            <w:vAlign w:val="center"/>
          </w:tcPr>
          <w:p w14:paraId="6D6328BA">
            <w:pPr>
              <w:jc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7225" w:type="dxa"/>
            <w:shd w:val="clear" w:color="auto" w:fill="FFFFFF"/>
            <w:noWrap w:val="0"/>
            <w:vAlign w:val="center"/>
          </w:tcPr>
          <w:p w14:paraId="222D136A">
            <w:pPr>
              <w:spacing w:before="0" w:beforeLines="0" w:line="360" w:lineRule="auto"/>
              <w:ind w:firstLine="0" w:firstLineChars="0"/>
              <w:outlineLvl w:val="9"/>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投标人获得省级及以上政府部门颁发的“专精特新”小巨人</w:t>
            </w:r>
            <w:r>
              <w:rPr>
                <w:rFonts w:hint="eastAsia" w:ascii="宋体" w:hAnsi="宋体" w:eastAsia="宋体" w:cs="Times New Roman"/>
                <w:bCs/>
                <w:color w:val="auto"/>
                <w:kern w:val="2"/>
                <w:sz w:val="24"/>
                <w:szCs w:val="24"/>
                <w:highlight w:val="none"/>
                <w:lang w:eastAsia="zh-CN"/>
              </w:rPr>
              <w:t>或</w:t>
            </w:r>
            <w:r>
              <w:rPr>
                <w:rFonts w:hint="eastAsia" w:ascii="宋体" w:hAnsi="宋体" w:eastAsia="宋体" w:cs="宋体"/>
                <w:sz w:val="24"/>
                <w:szCs w:val="24"/>
                <w:highlight w:val="none"/>
              </w:rPr>
              <w:t>省级及以上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含直辖市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高新技术企业证书</w:t>
            </w:r>
            <w:r>
              <w:rPr>
                <w:rFonts w:hint="eastAsia" w:ascii="宋体" w:hAnsi="宋体" w:eastAsia="宋体" w:cs="宋体"/>
                <w:sz w:val="24"/>
                <w:szCs w:val="24"/>
                <w:highlight w:val="none"/>
                <w:lang w:eastAsia="zh-CN"/>
              </w:rPr>
              <w:t>的</w:t>
            </w:r>
            <w:r>
              <w:rPr>
                <w:rFonts w:hint="eastAsia" w:ascii="宋体" w:hAnsi="宋体" w:eastAsia="宋体" w:cs="Times New Roman"/>
                <w:bCs/>
                <w:color w:val="auto"/>
                <w:kern w:val="2"/>
                <w:sz w:val="24"/>
                <w:szCs w:val="24"/>
                <w:highlight w:val="none"/>
              </w:rPr>
              <w:t>得3分；获得市级政府部门颁发的“专精特新”小巨人</w:t>
            </w:r>
            <w:r>
              <w:rPr>
                <w:rFonts w:hint="eastAsia" w:ascii="宋体" w:hAnsi="宋体" w:eastAsia="宋体" w:cs="Times New Roman"/>
                <w:bCs/>
                <w:color w:val="auto"/>
                <w:kern w:val="2"/>
                <w:sz w:val="24"/>
                <w:szCs w:val="24"/>
                <w:highlight w:val="none"/>
                <w:lang w:eastAsia="zh-CN"/>
              </w:rPr>
              <w:t>或</w:t>
            </w:r>
            <w:r>
              <w:rPr>
                <w:rFonts w:hint="eastAsia" w:ascii="宋体" w:hAnsi="宋体" w:eastAsia="宋体" w:cs="宋体"/>
                <w:sz w:val="24"/>
                <w:szCs w:val="24"/>
                <w:highlight w:val="none"/>
                <w:lang w:val="en-US" w:eastAsia="zh-CN"/>
              </w:rPr>
              <w:t>市</w:t>
            </w:r>
            <w:r>
              <w:rPr>
                <w:rFonts w:hint="eastAsia" w:ascii="宋体" w:hAnsi="宋体" w:eastAsia="宋体" w:cs="宋体"/>
                <w:sz w:val="24"/>
                <w:szCs w:val="24"/>
                <w:highlight w:val="none"/>
              </w:rPr>
              <w:t>级及以上高新技术企业证书</w:t>
            </w:r>
            <w:r>
              <w:rPr>
                <w:rFonts w:hint="eastAsia" w:ascii="宋体" w:hAnsi="宋体" w:eastAsia="宋体" w:cs="Times New Roman"/>
                <w:bCs/>
                <w:color w:val="auto"/>
                <w:kern w:val="2"/>
                <w:sz w:val="24"/>
                <w:szCs w:val="24"/>
                <w:highlight w:val="none"/>
              </w:rPr>
              <w:t>得2分。</w:t>
            </w:r>
          </w:p>
          <w:p w14:paraId="00AE2DB5">
            <w:pPr>
              <w:spacing w:before="0" w:beforeLines="0" w:line="360" w:lineRule="auto"/>
              <w:ind w:firstLine="0" w:firstLineChars="0"/>
              <w:outlineLvl w:val="9"/>
              <w:rPr>
                <w:rFonts w:hint="eastAsia" w:ascii="宋体" w:hAnsi="宋体" w:cs="宋体"/>
                <w:b/>
                <w:bCs/>
                <w:kern w:val="2"/>
                <w:sz w:val="24"/>
                <w:szCs w:val="24"/>
                <w:lang w:val="en-US" w:eastAsia="zh-CN" w:bidi="ar-SA"/>
              </w:rPr>
            </w:pPr>
            <w:r>
              <w:rPr>
                <w:rFonts w:hint="eastAsia" w:ascii="宋体" w:hAnsi="宋体" w:eastAsia="宋体" w:cs="Times New Roman"/>
                <w:b/>
                <w:bCs w:val="0"/>
                <w:color w:val="auto"/>
                <w:kern w:val="2"/>
                <w:sz w:val="24"/>
                <w:szCs w:val="24"/>
                <w:highlight w:val="none"/>
                <w:lang w:eastAsia="zh-CN"/>
              </w:rPr>
              <w:t>【证明材料：</w:t>
            </w:r>
            <w:r>
              <w:rPr>
                <w:rFonts w:hint="eastAsia" w:ascii="宋体" w:hAnsi="宋体" w:eastAsia="宋体" w:cs="Times New Roman"/>
                <w:b/>
                <w:bCs w:val="0"/>
                <w:color w:val="auto"/>
                <w:kern w:val="2"/>
                <w:sz w:val="24"/>
                <w:szCs w:val="24"/>
                <w:highlight w:val="none"/>
              </w:rPr>
              <w:t>须提供上述证书、批复、颁奖单位颁奖文件、颁奖单位官网文件截图（具有其中之一即可）证明材料扫描件，须能体现投标人名称</w:t>
            </w:r>
            <w:r>
              <w:rPr>
                <w:rFonts w:hint="eastAsia" w:ascii="宋体" w:hAnsi="宋体" w:eastAsia="宋体" w:cs="Times New Roman"/>
                <w:b/>
                <w:bCs w:val="0"/>
                <w:color w:val="auto"/>
                <w:kern w:val="2"/>
                <w:sz w:val="24"/>
                <w:szCs w:val="24"/>
                <w:highlight w:val="none"/>
                <w:lang w:eastAsia="zh-CN"/>
              </w:rPr>
              <w:t>，</w:t>
            </w:r>
            <w:r>
              <w:rPr>
                <w:rFonts w:hint="eastAsia" w:ascii="宋体" w:hAnsi="宋体" w:eastAsia="宋体" w:cs="Times New Roman"/>
                <w:b/>
                <w:bCs w:val="0"/>
                <w:color w:val="auto"/>
                <w:kern w:val="2"/>
                <w:sz w:val="24"/>
                <w:szCs w:val="24"/>
                <w:highlight w:val="none"/>
              </w:rPr>
              <w:t>未提供不得分。</w:t>
            </w:r>
            <w:r>
              <w:rPr>
                <w:rFonts w:hint="eastAsia" w:ascii="宋体" w:hAnsi="宋体" w:eastAsia="宋体" w:cs="Times New Roman"/>
                <w:b/>
                <w:bCs w:val="0"/>
                <w:color w:val="auto"/>
                <w:kern w:val="2"/>
                <w:sz w:val="24"/>
                <w:szCs w:val="24"/>
                <w:highlight w:val="none"/>
                <w:lang w:eastAsia="zh-CN"/>
              </w:rPr>
              <w:t>】</w:t>
            </w:r>
          </w:p>
        </w:tc>
        <w:tc>
          <w:tcPr>
            <w:tcW w:w="1470" w:type="dxa"/>
            <w:shd w:val="clear" w:color="auto" w:fill="FFFFFF"/>
            <w:noWrap w:val="0"/>
            <w:vAlign w:val="center"/>
          </w:tcPr>
          <w:p w14:paraId="3F32F093">
            <w:pPr>
              <w:spacing w:line="440" w:lineRule="exact"/>
              <w:jc w:val="center"/>
              <w:outlineLvl w:val="0"/>
              <w:rPr>
                <w:rFonts w:hint="eastAsia" w:ascii="宋体" w:hAnsi="宋体" w:cs="宋体"/>
                <w:bCs/>
                <w:kern w:val="2"/>
                <w:sz w:val="24"/>
                <w:szCs w:val="24"/>
                <w:lang w:val="en-US" w:eastAsia="zh-CN" w:bidi="ar-SA"/>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p>
        </w:tc>
      </w:tr>
      <w:tr w14:paraId="16E8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noWrap w:val="0"/>
            <w:vAlign w:val="center"/>
          </w:tcPr>
          <w:p w14:paraId="761A223A">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225" w:type="dxa"/>
            <w:noWrap w:val="0"/>
            <w:vAlign w:val="center"/>
          </w:tcPr>
          <w:p w14:paraId="77EF5378">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类似项目实施业绩：</w:t>
            </w:r>
          </w:p>
          <w:p w14:paraId="49A64D23">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1、投标人提供自2020年1月1日以来（以合同签订时间为准）污水处理类似项目供货业绩的（合同供货范围至少同时包含潜污泵及配套的变频控制柜，且合同金额在120万元及以上的），每个得2分，本项最高得8分。</w:t>
            </w:r>
          </w:p>
          <w:p w14:paraId="09B540FF">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投标人</w:t>
            </w:r>
            <w:r>
              <w:rPr>
                <w:rFonts w:hint="eastAsia" w:ascii="宋体" w:hAnsi="宋体" w:eastAsia="宋体" w:cs="宋体"/>
                <w:b w:val="0"/>
                <w:bCs w:val="0"/>
                <w:sz w:val="24"/>
                <w:szCs w:val="24"/>
                <w:lang w:val="en-US" w:eastAsia="zh-CN"/>
              </w:rPr>
              <w:t>提供自2020年1月1日以来（以合同签订时间为准）污水处理类似项目供货业绩的</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供货范围</w:t>
            </w:r>
            <w:r>
              <w:rPr>
                <w:rFonts w:hint="eastAsia" w:ascii="宋体" w:hAnsi="宋体" w:eastAsia="宋体" w:cs="宋体"/>
                <w:b w:val="0"/>
                <w:bCs w:val="0"/>
                <w:sz w:val="24"/>
                <w:szCs w:val="24"/>
              </w:rPr>
              <w:t>须至少包含信息化集成项目或自控设备或仪器仪表设备其</w:t>
            </w:r>
            <w:r>
              <w:rPr>
                <w:rFonts w:hint="eastAsia" w:ascii="宋体" w:hAnsi="宋体" w:eastAsia="宋体" w:cs="宋体"/>
                <w:b w:val="0"/>
                <w:bCs w:val="0"/>
                <w:sz w:val="24"/>
                <w:szCs w:val="24"/>
                <w:highlight w:val="none"/>
              </w:rPr>
              <w:t>中一项</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且</w:t>
            </w:r>
            <w:r>
              <w:rPr>
                <w:rFonts w:hint="eastAsia" w:ascii="宋体" w:hAnsi="宋体" w:eastAsia="宋体" w:cs="宋体"/>
                <w:b w:val="0"/>
                <w:bCs w:val="0"/>
                <w:sz w:val="24"/>
                <w:szCs w:val="24"/>
                <w:highlight w:val="none"/>
              </w:rPr>
              <w:t>合同金额在</w:t>
            </w:r>
            <w:r>
              <w:rPr>
                <w:rFonts w:hint="eastAsia" w:ascii="宋体" w:hAnsi="宋体" w:eastAsia="宋体" w:cs="宋体"/>
                <w:b w:val="0"/>
                <w:bCs w:val="0"/>
                <w:sz w:val="24"/>
                <w:szCs w:val="24"/>
                <w:highlight w:val="none"/>
                <w:lang w:val="en-US" w:eastAsia="zh-CN"/>
              </w:rPr>
              <w:t>80</w:t>
            </w:r>
            <w:r>
              <w:rPr>
                <w:rFonts w:hint="eastAsia" w:ascii="宋体" w:hAnsi="宋体" w:eastAsia="宋体" w:cs="宋体"/>
                <w:b w:val="0"/>
                <w:bCs w:val="0"/>
                <w:sz w:val="24"/>
                <w:szCs w:val="24"/>
                <w:highlight w:val="none"/>
              </w:rPr>
              <w:t>万</w:t>
            </w:r>
            <w:r>
              <w:rPr>
                <w:rFonts w:hint="eastAsia" w:ascii="宋体" w:hAnsi="宋体" w:eastAsia="宋体" w:cs="宋体"/>
                <w:b w:val="0"/>
                <w:bCs w:val="0"/>
                <w:sz w:val="24"/>
                <w:szCs w:val="24"/>
                <w:highlight w:val="none"/>
                <w:lang w:val="en-US" w:eastAsia="zh-CN"/>
              </w:rPr>
              <w:t>及以上</w:t>
            </w:r>
            <w:r>
              <w:rPr>
                <w:rFonts w:hint="eastAsia" w:ascii="宋体" w:hAnsi="宋体" w:eastAsia="宋体" w:cs="宋体"/>
                <w:b w:val="0"/>
                <w:bCs w:val="0"/>
                <w:sz w:val="24"/>
                <w:szCs w:val="24"/>
                <w:highlight w:val="none"/>
              </w:rPr>
              <w:t>），一个得</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分，最高得</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val="en-US" w:eastAsia="zh-CN"/>
              </w:rPr>
              <w:t>。</w:t>
            </w:r>
          </w:p>
          <w:p w14:paraId="1BECDF31">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val="0"/>
                <w:color w:val="auto"/>
                <w:kern w:val="2"/>
                <w:sz w:val="24"/>
                <w:szCs w:val="24"/>
                <w:highlight w:val="none"/>
                <w:lang w:eastAsia="zh-CN"/>
              </w:rPr>
              <w:t>【证明材料：</w:t>
            </w:r>
            <w:r>
              <w:rPr>
                <w:rFonts w:hint="eastAsia" w:ascii="宋体" w:hAnsi="宋体" w:eastAsia="宋体" w:cs="宋体"/>
                <w:b/>
                <w:bCs/>
                <w:sz w:val="24"/>
                <w:szCs w:val="24"/>
                <w:lang w:val="en-US" w:eastAsia="zh-CN"/>
              </w:rPr>
              <w:t>投标人应在投标文件中同时提供</w:t>
            </w:r>
            <w:r>
              <w:rPr>
                <w:rFonts w:hint="eastAsia" w:ascii="宋体" w:hAnsi="宋体" w:eastAsia="宋体" w:cs="宋体"/>
                <w:b/>
                <w:bCs/>
                <w:sz w:val="24"/>
                <w:szCs w:val="24"/>
                <w:lang w:val="en-US" w:eastAsia="zh-Hans"/>
              </w:rPr>
              <w:t>合</w:t>
            </w:r>
            <w:r>
              <w:rPr>
                <w:rFonts w:hint="eastAsia" w:ascii="宋体" w:hAnsi="宋体" w:eastAsia="宋体" w:cs="宋体"/>
                <w:b/>
                <w:bCs/>
                <w:sz w:val="24"/>
                <w:szCs w:val="24"/>
                <w:lang w:val="en-US" w:eastAsia="zh-CN"/>
              </w:rPr>
              <w:t>同复印件和</w:t>
            </w:r>
            <w:r>
              <w:rPr>
                <w:rFonts w:hint="eastAsia" w:ascii="宋体" w:hAnsi="宋体" w:eastAsia="宋体" w:cs="宋体"/>
                <w:b/>
                <w:bCs/>
                <w:sz w:val="24"/>
                <w:szCs w:val="24"/>
              </w:rPr>
              <w:t>销售发票</w:t>
            </w:r>
            <w:r>
              <w:rPr>
                <w:rFonts w:hint="eastAsia" w:ascii="宋体" w:hAnsi="宋体" w:eastAsia="宋体" w:cs="宋体"/>
                <w:b/>
                <w:bCs/>
                <w:sz w:val="24"/>
                <w:szCs w:val="24"/>
                <w:lang w:val="en-US" w:eastAsia="zh-CN"/>
              </w:rPr>
              <w:t>复印件</w:t>
            </w:r>
            <w:r>
              <w:rPr>
                <w:rFonts w:hint="eastAsia" w:ascii="宋体" w:hAnsi="宋体" w:eastAsia="宋体" w:cs="宋体"/>
                <w:b/>
                <w:bCs/>
                <w:sz w:val="24"/>
                <w:szCs w:val="24"/>
                <w:lang w:val="en-US" w:eastAsia="zh-Hans"/>
              </w:rPr>
              <w:t>作为证明文件</w:t>
            </w:r>
            <w:r>
              <w:rPr>
                <w:rFonts w:hint="eastAsia" w:ascii="宋体" w:hAnsi="宋体" w:eastAsia="宋体" w:cs="宋体"/>
                <w:b/>
                <w:bCs/>
                <w:sz w:val="24"/>
                <w:szCs w:val="24"/>
                <w:lang w:val="en-US" w:eastAsia="zh-CN"/>
              </w:rPr>
              <w:t>，无法体现项目特征的须提供用户证明材料，</w:t>
            </w:r>
            <w:r>
              <w:rPr>
                <w:rFonts w:hint="eastAsia" w:ascii="宋体" w:hAnsi="宋体" w:eastAsia="宋体" w:cs="宋体"/>
                <w:b/>
                <w:bCs/>
                <w:sz w:val="24"/>
                <w:szCs w:val="24"/>
                <w:lang w:val="en-US" w:eastAsia="zh-Hans"/>
              </w:rPr>
              <w:t>缺项</w:t>
            </w:r>
            <w:r>
              <w:rPr>
                <w:rFonts w:hint="eastAsia" w:ascii="宋体" w:hAnsi="宋体" w:eastAsia="宋体" w:cs="宋体"/>
                <w:b/>
                <w:bCs/>
                <w:sz w:val="24"/>
                <w:szCs w:val="24"/>
                <w:lang w:val="en-US" w:eastAsia="zh-CN"/>
              </w:rPr>
              <w:t>视为</w:t>
            </w:r>
            <w:r>
              <w:rPr>
                <w:rFonts w:hint="eastAsia" w:ascii="宋体" w:hAnsi="宋体" w:eastAsia="宋体" w:cs="宋体"/>
                <w:b/>
                <w:bCs/>
                <w:sz w:val="24"/>
                <w:szCs w:val="24"/>
                <w:lang w:val="en-US" w:eastAsia="zh-Hans"/>
              </w:rPr>
              <w:t>无效业绩</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w:t>
            </w:r>
          </w:p>
        </w:tc>
        <w:tc>
          <w:tcPr>
            <w:tcW w:w="1470" w:type="dxa"/>
            <w:noWrap w:val="0"/>
            <w:vAlign w:val="center"/>
          </w:tcPr>
          <w:p w14:paraId="132C66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0-14分</w:t>
            </w:r>
          </w:p>
        </w:tc>
      </w:tr>
    </w:tbl>
    <w:p w14:paraId="5CF61908">
      <w:pPr>
        <w:snapToGrid/>
        <w:spacing w:line="360" w:lineRule="auto"/>
        <w:ind w:right="-160" w:rightChars="-76" w:firstLine="0" w:firstLineChars="0"/>
        <w:rPr>
          <w:rFonts w:ascii="宋体" w:hAnsi="宋体" w:cs="宋体"/>
          <w:b/>
          <w:bCs/>
          <w:color w:val="000000" w:themeColor="text1"/>
          <w:kern w:val="0"/>
          <w:szCs w:val="24"/>
          <w:highlight w:val="none"/>
          <w14:textFill>
            <w14:solidFill>
              <w14:schemeClr w14:val="tx1"/>
            </w14:solidFill>
          </w14:textFill>
        </w:rPr>
      </w:pPr>
      <w:r>
        <w:rPr>
          <w:rFonts w:hint="eastAsia" w:ascii="宋体" w:hAnsi="宋体" w:cs="宋体"/>
          <w:b/>
          <w:sz w:val="24"/>
          <w:highlight w:val="none"/>
        </w:rPr>
        <w:t>注</w:t>
      </w:r>
      <w:r>
        <w:rPr>
          <w:rFonts w:hint="eastAsia" w:ascii="宋体" w:hAnsi="宋体" w:cs="宋体"/>
          <w:b/>
          <w:sz w:val="24"/>
          <w:szCs w:val="24"/>
          <w:highlight w:val="none"/>
        </w:rPr>
        <w:t>：</w:t>
      </w:r>
      <w:r>
        <w:rPr>
          <w:rFonts w:hint="eastAsia" w:ascii="宋体" w:hAnsi="宋体" w:cs="宋体"/>
          <w:b/>
          <w:color w:val="000000"/>
          <w:sz w:val="24"/>
          <w:szCs w:val="24"/>
          <w:highlight w:val="none"/>
        </w:rPr>
        <w:t>供应商应提供以上相关材料的复印件，并加盖公章。</w:t>
      </w:r>
      <w:r>
        <w:rPr>
          <w:rFonts w:hint="eastAsia" w:ascii="宋体" w:hAnsi="宋体" w:cs="宋体"/>
          <w:b/>
          <w:color w:val="000000"/>
          <w:kern w:val="0"/>
          <w:sz w:val="24"/>
          <w:szCs w:val="24"/>
          <w:highlight w:val="none"/>
        </w:rPr>
        <w:t>如发现提供虚假材料的，将取消中标资格</w:t>
      </w:r>
      <w:r>
        <w:rPr>
          <w:rFonts w:hint="eastAsia" w:ascii="宋体" w:hAnsi="宋体" w:cs="宋体"/>
          <w:b/>
          <w:color w:val="000000"/>
          <w:kern w:val="0"/>
          <w:sz w:val="24"/>
          <w:szCs w:val="24"/>
          <w:highlight w:val="none"/>
          <w:lang w:eastAsia="zh-CN"/>
        </w:rPr>
        <w:t>，</w:t>
      </w:r>
      <w:r>
        <w:rPr>
          <w:rFonts w:hint="eastAsia" w:ascii="宋体" w:hAnsi="宋体" w:cs="宋体"/>
          <w:b/>
          <w:color w:val="000000"/>
          <w:kern w:val="0"/>
          <w:sz w:val="24"/>
          <w:szCs w:val="24"/>
          <w:highlight w:val="none"/>
        </w:rPr>
        <w:t>同时承担给招标人带来的损失。</w:t>
      </w:r>
    </w:p>
    <w:p w14:paraId="2E0178F8">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2、技术分+商务分=评标委员会所有成员评分合计数/评标委员会组成人员数（精确到小数点后二位）；</w:t>
      </w:r>
    </w:p>
    <w:p w14:paraId="2AF10923">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3、价格分（</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0分）</w:t>
      </w:r>
    </w:p>
    <w:p w14:paraId="41E84E1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价格的合理性：分析投标价格是否合理，投标价格范围是否完整，有否重大错漏项。投标价格不能为零，否则按废标处理，评标委员会认为投标人的报价明显低于其他通过符合性审查的投标人的报价，有可能影响服务质量或者不能诚信履约的，应当要求其在评标现场合理的时间内提供书面说明，必要时提交相关证明材料；投标人不能证明其报价合理性的，评标委员会应当将其作为无效投标处理。投标价格分计算方法：满足招标文件要求且投标价格最低的投标报价为评标基准价，其价格分为满分，其他投标人的价格分统一按照下列公式计算：</w:t>
      </w:r>
    </w:p>
    <w:p w14:paraId="3BE892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投标报价得分=（评标基准价／投标报价）×价格权值×100（精确到小数点后二位）。；</w:t>
      </w:r>
    </w:p>
    <w:p w14:paraId="7D223A5F">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4、投标人评标综合得分=技术分+商务分+价格分（精确到小数点后二位）；</w:t>
      </w:r>
    </w:p>
    <w:p w14:paraId="6E0ECF1C">
      <w:pPr>
        <w:spacing w:line="360" w:lineRule="auto"/>
        <w:ind w:firstLine="472" w:firstLineChars="196"/>
        <w:rPr>
          <w:rFonts w:ascii="宋体" w:hAnsi="宋体" w:cs="宋体"/>
          <w:highlight w:val="none"/>
        </w:rPr>
      </w:pPr>
      <w:r>
        <w:rPr>
          <w:rFonts w:hint="eastAsia" w:ascii="宋体" w:hAnsi="宋体" w:cs="宋体"/>
          <w:b/>
          <w:color w:val="000000" w:themeColor="text1"/>
          <w:sz w:val="24"/>
          <w:highlight w:val="none"/>
          <w14:textFill>
            <w14:solidFill>
              <w14:schemeClr w14:val="tx1"/>
            </w14:solidFill>
          </w14:textFill>
        </w:rPr>
        <w:t>报价是中标的一个重要因素，但最低报价不是中标的唯一依据。</w:t>
      </w:r>
    </w:p>
    <w:bookmarkEnd w:id="39"/>
    <w:p w14:paraId="21D94CEA">
      <w:pPr>
        <w:snapToGrid w:val="0"/>
        <w:spacing w:line="360" w:lineRule="auto"/>
        <w:rPr>
          <w:rFonts w:ascii="宋体" w:hAnsi="宋体" w:cs="宋体"/>
          <w:b/>
          <w:sz w:val="28"/>
          <w:szCs w:val="28"/>
          <w:highlight w:val="none"/>
        </w:rPr>
      </w:pPr>
      <w:bookmarkStart w:id="405" w:name="第五部分"/>
      <w:bookmarkStart w:id="406" w:name="_Toc86217003"/>
      <w:r>
        <w:rPr>
          <w:rFonts w:hint="eastAsia" w:ascii="宋体" w:hAnsi="宋体" w:cs="宋体"/>
          <w:b/>
          <w:sz w:val="32"/>
          <w:highlight w:val="none"/>
        </w:rPr>
        <w:t>一、评标方法</w:t>
      </w:r>
    </w:p>
    <w:p w14:paraId="2669FA17">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71B2EFC9">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5A09D680">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04C32ADE">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14:paraId="1C5AF96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57E20C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225DCE80">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141F4999">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5C038E6F">
      <w:pPr>
        <w:pStyle w:val="107"/>
        <w:spacing w:before="0" w:after="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2ABD5E37">
      <w:pPr>
        <w:pStyle w:val="107"/>
        <w:spacing w:before="0" w:after="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19CD23E4">
      <w:pPr>
        <w:pStyle w:val="107"/>
        <w:spacing w:before="0" w:after="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3C2C5A1">
      <w:pPr>
        <w:pStyle w:val="107"/>
        <w:spacing w:before="0" w:after="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BD0678D">
      <w:pPr>
        <w:pStyle w:val="107"/>
        <w:spacing w:before="0" w:after="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5A066FC">
      <w:pPr>
        <w:pStyle w:val="107"/>
        <w:spacing w:before="0" w:after="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w:t>
      </w:r>
    </w:p>
    <w:p w14:paraId="667466D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3203211">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3ACAFA3">
      <w:pPr>
        <w:pStyle w:val="107"/>
        <w:spacing w:before="0" w:after="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4DFD13">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0238C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667CF1">
      <w:pPr>
        <w:adjustRightInd/>
        <w:spacing w:line="360" w:lineRule="auto"/>
        <w:rPr>
          <w:rFonts w:ascii="宋体" w:hAnsi="宋体" w:cs="宋体"/>
          <w:b/>
          <w:sz w:val="32"/>
          <w:highlight w:val="none"/>
        </w:rPr>
      </w:pPr>
      <w:r>
        <w:rPr>
          <w:rFonts w:hint="eastAsia" w:ascii="宋体" w:hAnsi="宋体" w:cs="宋体"/>
          <w:b/>
          <w:sz w:val="32"/>
          <w:highlight w:val="none"/>
        </w:rPr>
        <w:t>四、评标中的其他事项</w:t>
      </w:r>
    </w:p>
    <w:p w14:paraId="05E42A83">
      <w:pPr>
        <w:pStyle w:val="107"/>
        <w:spacing w:before="0" w:after="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AB299">
      <w:pPr>
        <w:pStyle w:val="26"/>
        <w:spacing w:line="360" w:lineRule="auto"/>
        <w:ind w:left="0" w:leftChars="0"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6288FED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13A532C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007B1F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3</w:t>
      </w:r>
      <w:r>
        <w:rPr>
          <w:rFonts w:hint="eastAsia" w:ascii="宋体" w:hAnsi="宋体" w:cs="宋体"/>
          <w:kern w:val="0"/>
          <w:sz w:val="24"/>
          <w:highlight w:val="none"/>
        </w:rPr>
        <w:t>投标文件含有</w:t>
      </w:r>
      <w:r>
        <w:rPr>
          <w:rFonts w:hint="eastAsia" w:ascii="宋体" w:hAnsi="宋体" w:cs="宋体"/>
          <w:kern w:val="0"/>
          <w:sz w:val="24"/>
          <w:highlight w:val="none"/>
          <w:lang w:eastAsia="zh-CN"/>
        </w:rPr>
        <w:t>招标人</w:t>
      </w:r>
      <w:r>
        <w:rPr>
          <w:rFonts w:hint="eastAsia" w:ascii="宋体" w:hAnsi="宋体" w:cs="宋体"/>
          <w:kern w:val="0"/>
          <w:sz w:val="24"/>
          <w:highlight w:val="none"/>
        </w:rPr>
        <w:t>不能接受的附加条件的；</w:t>
      </w:r>
    </w:p>
    <w:p w14:paraId="27E0CA6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4</w:t>
      </w:r>
      <w:r>
        <w:rPr>
          <w:rFonts w:hint="eastAsia" w:ascii="宋体" w:hAnsi="宋体" w:cs="宋体"/>
          <w:kern w:val="0"/>
          <w:sz w:val="24"/>
          <w:highlight w:val="none"/>
        </w:rPr>
        <w:t>投标文件中承诺的投标有效期少于招标文件中载明的投标有效期的；</w:t>
      </w:r>
    </w:p>
    <w:p w14:paraId="46468FEC">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ascii="宋体" w:hAnsi="宋体" w:cs="宋体"/>
          <w:kern w:val="0"/>
          <w:sz w:val="24"/>
          <w:highlight w:val="none"/>
          <w:lang w:val="en-US" w:eastAsia="zh-CN"/>
        </w:rPr>
        <w:t>5</w:t>
      </w:r>
      <w:r>
        <w:rPr>
          <w:rFonts w:hint="eastAsia" w:ascii="宋体" w:hAnsi="宋体" w:cs="宋体"/>
          <w:kern w:val="0"/>
          <w:sz w:val="24"/>
          <w:highlight w:val="none"/>
        </w:rPr>
        <w:t>投标文件出现不是唯一的、有选择性投标报价的;</w:t>
      </w:r>
    </w:p>
    <w:p w14:paraId="3A2EC58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6</w:t>
      </w:r>
      <w:r>
        <w:rPr>
          <w:rFonts w:hint="eastAsia" w:ascii="宋体" w:hAnsi="宋体" w:cs="宋体"/>
          <w:kern w:val="0"/>
          <w:sz w:val="24"/>
          <w:highlight w:val="none"/>
        </w:rPr>
        <w:t>投标报价超过招标文件中规定的预算金额或者最高限价的;</w:t>
      </w:r>
    </w:p>
    <w:p w14:paraId="6418207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7</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087DCD8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8</w:t>
      </w:r>
      <w:r>
        <w:rPr>
          <w:rFonts w:hint="eastAsia" w:ascii="宋体" w:hAnsi="宋体" w:cs="宋体"/>
          <w:kern w:val="0"/>
          <w:sz w:val="24"/>
          <w:highlight w:val="none"/>
        </w:rPr>
        <w:t>投标人对根据修正原则修正后的报价不确认的；</w:t>
      </w:r>
    </w:p>
    <w:p w14:paraId="31068C7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9</w:t>
      </w:r>
      <w:r>
        <w:rPr>
          <w:rFonts w:hint="eastAsia" w:ascii="宋体" w:hAnsi="宋体" w:cs="宋体"/>
          <w:kern w:val="0"/>
          <w:sz w:val="24"/>
          <w:highlight w:val="none"/>
        </w:rPr>
        <w:t>投标人提供虚假材料投标的；</w:t>
      </w:r>
    </w:p>
    <w:p w14:paraId="70907EB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w:t>
      </w:r>
      <w:r>
        <w:rPr>
          <w:rFonts w:hint="eastAsia" w:ascii="宋体" w:hAnsi="宋体" w:cs="宋体"/>
          <w:kern w:val="0"/>
          <w:sz w:val="24"/>
          <w:highlight w:val="none"/>
          <w:lang w:val="en-US" w:eastAsia="zh-CN"/>
        </w:rPr>
        <w:t>10</w:t>
      </w:r>
      <w:r>
        <w:rPr>
          <w:rFonts w:hint="eastAsia" w:ascii="宋体" w:hAnsi="宋体" w:cs="宋体"/>
          <w:kern w:val="0"/>
          <w:sz w:val="24"/>
          <w:highlight w:val="none"/>
        </w:rPr>
        <w:t>投标人有恶意串通、妨碍其他投标人的竞争行为、损害</w:t>
      </w:r>
      <w:r>
        <w:rPr>
          <w:rFonts w:hint="eastAsia" w:ascii="宋体" w:hAnsi="宋体" w:cs="宋体"/>
          <w:kern w:val="0"/>
          <w:sz w:val="24"/>
          <w:highlight w:val="none"/>
          <w:lang w:eastAsia="zh-CN"/>
        </w:rPr>
        <w:t>招标人</w:t>
      </w:r>
      <w:r>
        <w:rPr>
          <w:rFonts w:hint="eastAsia" w:ascii="宋体" w:hAnsi="宋体" w:cs="宋体"/>
          <w:kern w:val="0"/>
          <w:sz w:val="24"/>
          <w:highlight w:val="none"/>
        </w:rPr>
        <w:t>或者其他投标人的合法权益情形的；</w:t>
      </w:r>
    </w:p>
    <w:p w14:paraId="60499EE6">
      <w:pPr>
        <w:ind w:firstLine="480" w:firstLineChars="200"/>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0ECCAEA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2</w:t>
      </w:r>
      <w:r>
        <w:rPr>
          <w:rFonts w:hint="eastAsia" w:ascii="宋体" w:hAnsi="宋体" w:cs="宋体"/>
          <w:kern w:val="0"/>
          <w:sz w:val="24"/>
          <w:highlight w:val="none"/>
        </w:rPr>
        <w:t>法律、法规、规章（适用本市的）及省级以上规范性文件（适用本市的）规定的其他无效情形。</w:t>
      </w:r>
    </w:p>
    <w:p w14:paraId="56B9E732">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在采购中，出现下列情形之一的，应予废标：</w:t>
      </w:r>
    </w:p>
    <w:p w14:paraId="627DD364">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272DC986">
      <w:pPr>
        <w:pStyle w:val="26"/>
        <w:snapToGrid w:val="0"/>
        <w:spacing w:line="360" w:lineRule="auto"/>
        <w:rPr>
          <w:rFonts w:cs="宋体"/>
          <w:highlight w:val="none"/>
        </w:rPr>
      </w:pPr>
      <w:r>
        <w:rPr>
          <w:rFonts w:hint="eastAsia" w:cs="宋体"/>
          <w:highlight w:val="none"/>
        </w:rPr>
        <w:t>5.2出现影响采购公正的违法、违规行为的；</w:t>
      </w:r>
    </w:p>
    <w:p w14:paraId="76A67E27">
      <w:pPr>
        <w:pStyle w:val="26"/>
        <w:snapToGrid w:val="0"/>
        <w:spacing w:line="360" w:lineRule="auto"/>
        <w:rPr>
          <w:rFonts w:cs="宋体"/>
          <w:highlight w:val="none"/>
        </w:rPr>
      </w:pPr>
      <w:r>
        <w:rPr>
          <w:rFonts w:hint="eastAsia" w:cs="宋体"/>
          <w:highlight w:val="none"/>
        </w:rPr>
        <w:t>5.3投标人的报价均超过了采购预算，</w:t>
      </w:r>
      <w:r>
        <w:rPr>
          <w:rFonts w:hint="eastAsia" w:cs="宋体"/>
          <w:highlight w:val="none"/>
          <w:lang w:eastAsia="zh-CN"/>
        </w:rPr>
        <w:t>招标人</w:t>
      </w:r>
      <w:r>
        <w:rPr>
          <w:rFonts w:hint="eastAsia" w:cs="宋体"/>
          <w:highlight w:val="none"/>
        </w:rPr>
        <w:t>不能支付的；</w:t>
      </w:r>
    </w:p>
    <w:p w14:paraId="4BD5BF26">
      <w:pPr>
        <w:pStyle w:val="26"/>
        <w:snapToGrid w:val="0"/>
        <w:spacing w:line="360" w:lineRule="auto"/>
        <w:rPr>
          <w:rFonts w:cs="宋体"/>
          <w:highlight w:val="none"/>
        </w:rPr>
      </w:pPr>
      <w:r>
        <w:rPr>
          <w:rFonts w:hint="eastAsia" w:cs="宋体"/>
          <w:highlight w:val="none"/>
        </w:rPr>
        <w:t>5.4因重大变故，采购任务取消的。</w:t>
      </w:r>
    </w:p>
    <w:p w14:paraId="274ADECE">
      <w:pPr>
        <w:pStyle w:val="26"/>
        <w:snapToGrid w:val="0"/>
        <w:spacing w:line="360" w:lineRule="auto"/>
        <w:rPr>
          <w:rFonts w:cs="宋体"/>
          <w:highlight w:val="none"/>
        </w:rPr>
      </w:pPr>
      <w:r>
        <w:rPr>
          <w:rFonts w:hint="eastAsia" w:cs="宋体"/>
          <w:highlight w:val="none"/>
        </w:rPr>
        <w:t>废标后，</w:t>
      </w:r>
      <w:r>
        <w:rPr>
          <w:rFonts w:hint="eastAsia" w:cs="宋体"/>
          <w:highlight w:val="none"/>
          <w:lang w:eastAsia="zh-CN"/>
        </w:rPr>
        <w:t>招标</w:t>
      </w:r>
      <w:r>
        <w:rPr>
          <w:rFonts w:hint="eastAsia" w:cs="宋体"/>
          <w:highlight w:val="none"/>
        </w:rPr>
        <w:t>机构应当将废标理由通知所有投标人。</w:t>
      </w:r>
    </w:p>
    <w:p w14:paraId="78340825">
      <w:pPr>
        <w:pStyle w:val="2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w:t>
      </w:r>
      <w:r>
        <w:rPr>
          <w:rFonts w:hint="eastAsia" w:cs="宋体"/>
          <w:highlight w:val="none"/>
          <w:lang w:eastAsia="zh-CN"/>
        </w:rPr>
        <w:t>招标人</w:t>
      </w:r>
      <w:r>
        <w:rPr>
          <w:rFonts w:hint="eastAsia" w:cs="宋体"/>
          <w:highlight w:val="none"/>
        </w:rPr>
        <w:t>、</w:t>
      </w:r>
      <w:r>
        <w:rPr>
          <w:rFonts w:hint="eastAsia" w:cs="宋体"/>
          <w:highlight w:val="none"/>
          <w:lang w:val="en-US" w:eastAsia="zh-CN"/>
        </w:rPr>
        <w:t>招标代理</w:t>
      </w:r>
      <w:r>
        <w:rPr>
          <w:rFonts w:hint="eastAsia" w:cs="宋体"/>
          <w:highlight w:val="none"/>
        </w:rPr>
        <w:t>机构沟通并作书面记录。</w:t>
      </w:r>
      <w:r>
        <w:rPr>
          <w:rFonts w:hint="eastAsia" w:cs="宋体"/>
          <w:highlight w:val="none"/>
          <w:lang w:eastAsia="zh-CN"/>
        </w:rPr>
        <w:t>招标人</w:t>
      </w:r>
      <w:r>
        <w:rPr>
          <w:rFonts w:hint="eastAsia" w:cs="宋体"/>
          <w:highlight w:val="none"/>
        </w:rPr>
        <w:t>、</w:t>
      </w:r>
      <w:r>
        <w:rPr>
          <w:rFonts w:hint="eastAsia" w:cs="宋体"/>
          <w:highlight w:val="none"/>
          <w:lang w:val="en-US" w:eastAsia="zh-CN"/>
        </w:rPr>
        <w:t>招标代理</w:t>
      </w:r>
      <w:r>
        <w:rPr>
          <w:rFonts w:hint="eastAsia" w:cs="宋体"/>
          <w:highlight w:val="none"/>
        </w:rPr>
        <w:t>确认后，将修改招标文件，重新组织采购活动。</w:t>
      </w:r>
    </w:p>
    <w:p w14:paraId="55E5841E">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有违法行为之一，影响或者可能影响中标结果的，依照下列规定处理：</w:t>
      </w:r>
    </w:p>
    <w:p w14:paraId="2D71BF1A">
      <w:pPr>
        <w:pStyle w:val="26"/>
        <w:snapToGrid w:val="0"/>
        <w:spacing w:line="360" w:lineRule="auto"/>
        <w:rPr>
          <w:rFonts w:cs="宋体"/>
          <w:highlight w:val="none"/>
        </w:rPr>
      </w:pPr>
      <w:r>
        <w:rPr>
          <w:rFonts w:hint="eastAsia" w:cs="宋体"/>
          <w:highlight w:val="none"/>
        </w:rPr>
        <w:t>7.1未确定中标供应商的，终止本次采购活动，重新开展采购活动。</w:t>
      </w:r>
    </w:p>
    <w:p w14:paraId="268AFD42">
      <w:pPr>
        <w:pStyle w:val="26"/>
        <w:snapToGrid w:val="0"/>
        <w:spacing w:line="360" w:lineRule="auto"/>
        <w:rPr>
          <w:rFonts w:cs="宋体"/>
          <w:highlight w:val="none"/>
        </w:rPr>
      </w:pPr>
      <w:r>
        <w:rPr>
          <w:rFonts w:hint="eastAsia" w:cs="宋体"/>
          <w:highlight w:val="none"/>
        </w:rPr>
        <w:t>7.2已确定中标供应商但尚未签订采购合同的，中标结果无效，从合格的中标候选人中另行确定中标供应商；没有合格的中标候选人的，重新开展采购活动。</w:t>
      </w:r>
    </w:p>
    <w:p w14:paraId="5D96BE03">
      <w:pPr>
        <w:pStyle w:val="26"/>
        <w:snapToGrid w:val="0"/>
        <w:spacing w:line="360" w:lineRule="auto"/>
        <w:rPr>
          <w:rFonts w:cs="宋体"/>
          <w:highlight w:val="none"/>
        </w:rPr>
      </w:pPr>
      <w:r>
        <w:rPr>
          <w:rFonts w:hint="eastAsia" w:cs="宋体"/>
          <w:highlight w:val="none"/>
        </w:rPr>
        <w:t>7.3采购合同已签订但尚未履行的，撤销合同，从合格的中标候选人中另行确定中标供应商；没有合格的中标候选人的，重新开展采购活动。</w:t>
      </w:r>
    </w:p>
    <w:p w14:paraId="21D061C4">
      <w:pPr>
        <w:pStyle w:val="26"/>
        <w:snapToGrid w:val="0"/>
        <w:spacing w:line="360" w:lineRule="auto"/>
        <w:rPr>
          <w:rFonts w:cs="宋体"/>
          <w:highlight w:val="none"/>
        </w:rPr>
      </w:pPr>
      <w:r>
        <w:rPr>
          <w:rFonts w:hint="eastAsia" w:cs="宋体"/>
          <w:highlight w:val="none"/>
        </w:rPr>
        <w:t>7.4采购合同已经履行，给</w:t>
      </w:r>
      <w:r>
        <w:rPr>
          <w:rFonts w:hint="eastAsia" w:cs="宋体"/>
          <w:highlight w:val="none"/>
          <w:lang w:eastAsia="zh-CN"/>
        </w:rPr>
        <w:t>招标人</w:t>
      </w:r>
      <w:r>
        <w:rPr>
          <w:rFonts w:hint="eastAsia" w:cs="宋体"/>
          <w:highlight w:val="none"/>
        </w:rPr>
        <w:t>、供应商造成损失的，由责任人承担赔偿责任。</w:t>
      </w:r>
    </w:p>
    <w:p w14:paraId="6F5B4E96">
      <w:pPr>
        <w:pStyle w:val="26"/>
        <w:snapToGrid w:val="0"/>
        <w:spacing w:line="360" w:lineRule="auto"/>
        <w:rPr>
          <w:rFonts w:cs="宋体"/>
          <w:highlight w:val="none"/>
        </w:rPr>
      </w:pPr>
      <w:r>
        <w:rPr>
          <w:rFonts w:hint="eastAsia" w:cs="宋体"/>
          <w:highlight w:val="none"/>
        </w:rPr>
        <w:t>7.5采购当事人有其他违反采购法或者法实施条例等法律法规规定的行为，经改正后仍然影响或者可能影响中标结果或者依法被认定为中标无效的，依照7.1-7.4规定处理。</w:t>
      </w:r>
    </w:p>
    <w:p w14:paraId="1C08BE35">
      <w:pPr>
        <w:spacing w:line="360" w:lineRule="auto"/>
        <w:rPr>
          <w:rFonts w:ascii="宋体" w:hAnsi="宋体" w:cs="宋体"/>
          <w:b/>
          <w:sz w:val="36"/>
          <w:szCs w:val="36"/>
          <w:highlight w:val="none"/>
        </w:rPr>
      </w:pPr>
    </w:p>
    <w:p w14:paraId="5EF41108">
      <w:pPr>
        <w:pStyle w:val="26"/>
        <w:rPr>
          <w:rFonts w:ascii="宋体" w:hAnsi="宋体" w:cs="宋体"/>
          <w:b/>
          <w:sz w:val="36"/>
          <w:szCs w:val="36"/>
          <w:highlight w:val="none"/>
        </w:rPr>
      </w:pPr>
    </w:p>
    <w:p w14:paraId="20F28E93">
      <w:pPr>
        <w:pStyle w:val="26"/>
        <w:rPr>
          <w:rFonts w:ascii="宋体" w:hAnsi="宋体" w:cs="宋体"/>
          <w:b/>
          <w:sz w:val="36"/>
          <w:szCs w:val="36"/>
          <w:highlight w:val="none"/>
        </w:rPr>
      </w:pPr>
    </w:p>
    <w:p w14:paraId="632908CC">
      <w:pPr>
        <w:pStyle w:val="26"/>
        <w:rPr>
          <w:rFonts w:ascii="宋体" w:hAnsi="宋体" w:cs="宋体"/>
          <w:b/>
          <w:sz w:val="36"/>
          <w:szCs w:val="36"/>
          <w:highlight w:val="none"/>
        </w:rPr>
      </w:pPr>
    </w:p>
    <w:p w14:paraId="37AB4417">
      <w:pPr>
        <w:pStyle w:val="26"/>
        <w:rPr>
          <w:rFonts w:ascii="宋体" w:hAnsi="宋体" w:cs="宋体"/>
          <w:b/>
          <w:sz w:val="36"/>
          <w:szCs w:val="36"/>
          <w:highlight w:val="none"/>
        </w:rPr>
      </w:pPr>
    </w:p>
    <w:p w14:paraId="776836C6">
      <w:pPr>
        <w:pStyle w:val="26"/>
        <w:rPr>
          <w:rFonts w:ascii="宋体" w:hAnsi="宋体" w:cs="宋体"/>
          <w:b/>
          <w:sz w:val="36"/>
          <w:szCs w:val="36"/>
          <w:highlight w:val="none"/>
        </w:rPr>
      </w:pPr>
    </w:p>
    <w:p w14:paraId="16162A24">
      <w:pPr>
        <w:pStyle w:val="26"/>
        <w:rPr>
          <w:rFonts w:ascii="宋体" w:hAnsi="宋体" w:cs="宋体"/>
          <w:b/>
          <w:sz w:val="36"/>
          <w:szCs w:val="36"/>
          <w:highlight w:val="none"/>
        </w:rPr>
      </w:pPr>
    </w:p>
    <w:p w14:paraId="5AA9E17D">
      <w:pPr>
        <w:pStyle w:val="26"/>
        <w:rPr>
          <w:rFonts w:ascii="宋体" w:hAnsi="宋体" w:cs="宋体"/>
          <w:b/>
          <w:sz w:val="36"/>
          <w:szCs w:val="36"/>
          <w:highlight w:val="none"/>
        </w:rPr>
      </w:pPr>
    </w:p>
    <w:p w14:paraId="7A38F738">
      <w:pPr>
        <w:pStyle w:val="26"/>
        <w:rPr>
          <w:rFonts w:ascii="宋体" w:hAnsi="宋体" w:cs="宋体"/>
          <w:b/>
          <w:sz w:val="36"/>
          <w:szCs w:val="36"/>
          <w:highlight w:val="none"/>
        </w:rPr>
      </w:pPr>
    </w:p>
    <w:p w14:paraId="49FE8524">
      <w:pPr>
        <w:pStyle w:val="26"/>
        <w:rPr>
          <w:rFonts w:ascii="宋体" w:hAnsi="宋体" w:cs="宋体"/>
          <w:b/>
          <w:sz w:val="36"/>
          <w:szCs w:val="36"/>
          <w:highlight w:val="none"/>
        </w:rPr>
      </w:pPr>
    </w:p>
    <w:p w14:paraId="4F0DAB25">
      <w:pPr>
        <w:pStyle w:val="26"/>
        <w:rPr>
          <w:rFonts w:ascii="宋体" w:hAnsi="宋体" w:cs="宋体"/>
          <w:b/>
          <w:sz w:val="36"/>
          <w:szCs w:val="36"/>
          <w:highlight w:val="none"/>
        </w:rPr>
      </w:pPr>
    </w:p>
    <w:p w14:paraId="4E3E9484">
      <w:pPr>
        <w:pStyle w:val="26"/>
        <w:rPr>
          <w:rFonts w:ascii="宋体" w:hAnsi="宋体" w:cs="宋体"/>
          <w:b/>
          <w:sz w:val="36"/>
          <w:szCs w:val="36"/>
          <w:highlight w:val="none"/>
        </w:rPr>
      </w:pPr>
    </w:p>
    <w:p w14:paraId="660D797F">
      <w:pPr>
        <w:pStyle w:val="26"/>
        <w:rPr>
          <w:rFonts w:ascii="宋体" w:hAnsi="宋体" w:cs="宋体"/>
          <w:b/>
          <w:sz w:val="36"/>
          <w:szCs w:val="36"/>
          <w:highlight w:val="none"/>
        </w:rPr>
      </w:pPr>
    </w:p>
    <w:p w14:paraId="73D58A1A">
      <w:pPr>
        <w:pStyle w:val="26"/>
        <w:rPr>
          <w:rFonts w:ascii="宋体" w:hAnsi="宋体" w:cs="宋体"/>
          <w:b/>
          <w:sz w:val="36"/>
          <w:szCs w:val="36"/>
          <w:highlight w:val="none"/>
        </w:rPr>
      </w:pPr>
    </w:p>
    <w:p w14:paraId="7B7259DD">
      <w:pPr>
        <w:pStyle w:val="26"/>
        <w:rPr>
          <w:rFonts w:ascii="宋体" w:hAnsi="宋体" w:cs="宋体"/>
          <w:b/>
          <w:sz w:val="36"/>
          <w:szCs w:val="36"/>
          <w:highlight w:val="none"/>
        </w:rPr>
      </w:pPr>
    </w:p>
    <w:p w14:paraId="0FE5A861">
      <w:pPr>
        <w:pStyle w:val="26"/>
        <w:rPr>
          <w:rFonts w:ascii="宋体" w:hAnsi="宋体" w:cs="宋体"/>
          <w:b/>
          <w:sz w:val="36"/>
          <w:szCs w:val="36"/>
          <w:highlight w:val="none"/>
        </w:rPr>
      </w:pPr>
    </w:p>
    <w:p w14:paraId="2639C93E">
      <w:pPr>
        <w:pStyle w:val="26"/>
        <w:rPr>
          <w:rFonts w:ascii="宋体" w:hAnsi="宋体" w:cs="宋体"/>
          <w:b/>
          <w:sz w:val="36"/>
          <w:szCs w:val="36"/>
          <w:highlight w:val="none"/>
        </w:rPr>
      </w:pPr>
    </w:p>
    <w:p w14:paraId="4B5E7890">
      <w:pPr>
        <w:spacing w:line="240" w:lineRule="auto"/>
        <w:jc w:val="left"/>
        <w:rPr>
          <w:rFonts w:hint="eastAsia" w:ascii="宋体" w:hAnsi="宋体" w:cs="宋体"/>
          <w:b/>
          <w:sz w:val="36"/>
          <w:szCs w:val="36"/>
          <w:highlight w:val="none"/>
        </w:rPr>
      </w:pPr>
      <w:r>
        <w:rPr>
          <w:rFonts w:hint="eastAsia" w:ascii="宋体" w:hAnsi="宋体" w:cs="宋体"/>
          <w:b/>
          <w:sz w:val="36"/>
          <w:szCs w:val="36"/>
          <w:highlight w:val="none"/>
        </w:rPr>
        <w:br w:type="page"/>
      </w:r>
    </w:p>
    <w:p w14:paraId="0462B51E">
      <w:pPr>
        <w:pStyle w:val="2"/>
        <w:jc w:val="center"/>
        <w:rPr>
          <w:rFonts w:hint="eastAsia"/>
        </w:rPr>
      </w:pPr>
      <w:r>
        <w:rPr>
          <w:rFonts w:hint="eastAsia"/>
        </w:rPr>
        <w:t>第五部分   拟签订的合同文本</w:t>
      </w:r>
    </w:p>
    <w:p w14:paraId="00DFF5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甲方</w:t>
      </w:r>
      <w:r>
        <w:rPr>
          <w:rFonts w:hint="eastAsia" w:ascii="宋体" w:hAnsi="宋体" w:eastAsia="宋体" w:cs="宋体"/>
          <w:color w:val="auto"/>
          <w:sz w:val="24"/>
          <w:szCs w:val="21"/>
          <w:highlight w:val="none"/>
        </w:rPr>
        <w:t>（全称）：</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（以下简称买方或甲方）</w:t>
      </w:r>
    </w:p>
    <w:p w14:paraId="1A4F3E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乙</w:t>
      </w:r>
      <w:r>
        <w:rPr>
          <w:rFonts w:hint="eastAsia" w:ascii="宋体" w:hAnsi="宋体" w:eastAsia="宋体" w:cs="宋体"/>
          <w:color w:val="auto"/>
          <w:sz w:val="24"/>
          <w:szCs w:val="21"/>
          <w:highlight w:val="none"/>
        </w:rPr>
        <w:t>方（全称）：</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u w:val="single" w:color="auto"/>
          <w:lang w:val="en-US" w:eastAsia="zh-CN"/>
        </w:rPr>
        <w:t xml:space="preserve">                             </w:t>
      </w:r>
      <w:r>
        <w:rPr>
          <w:rFonts w:hint="eastAsia" w:ascii="宋体" w:hAnsi="宋体" w:eastAsia="宋体" w:cs="宋体"/>
          <w:color w:val="auto"/>
          <w:sz w:val="24"/>
          <w:szCs w:val="21"/>
          <w:highlight w:val="none"/>
        </w:rPr>
        <w:t>（以下简称卖方或乙方）</w:t>
      </w:r>
    </w:p>
    <w:p w14:paraId="2A62FD3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lang w:val="en-US" w:eastAsia="zh-CN"/>
        </w:rPr>
        <w:t>经甲方委托</w:t>
      </w:r>
      <w:r>
        <w:rPr>
          <w:rFonts w:hint="eastAsia" w:ascii="宋体" w:hAnsi="宋体" w:cs="宋体"/>
          <w:sz w:val="24"/>
          <w:szCs w:val="21"/>
          <w:lang w:eastAsia="zh-CN"/>
        </w:rPr>
        <w:t>东湖街道3号泵站改造工程设备和自控采购项目</w:t>
      </w:r>
      <w:r>
        <w:rPr>
          <w:rFonts w:hint="eastAsia" w:ascii="宋体" w:hAnsi="宋体" w:eastAsia="宋体" w:cs="宋体"/>
          <w:color w:val="auto"/>
          <w:sz w:val="24"/>
          <w:szCs w:val="21"/>
          <w:highlight w:val="none"/>
          <w:lang w:val="en-US" w:eastAsia="zh-CN"/>
        </w:rPr>
        <w:t>代为进行招投标，确定乙方为中标方，现</w:t>
      </w:r>
      <w:r>
        <w:rPr>
          <w:rFonts w:hint="eastAsia" w:ascii="宋体" w:hAnsi="宋体" w:eastAsia="宋体" w:cs="宋体"/>
          <w:color w:val="auto"/>
          <w:sz w:val="24"/>
          <w:szCs w:val="21"/>
          <w:highlight w:val="none"/>
          <w:lang w:eastAsia="zh-CN"/>
        </w:rPr>
        <w:t>甲乙</w:t>
      </w:r>
      <w:r>
        <w:rPr>
          <w:rFonts w:hint="eastAsia" w:ascii="宋体" w:hAnsi="宋体" w:eastAsia="宋体" w:cs="宋体"/>
          <w:color w:val="auto"/>
          <w:sz w:val="24"/>
          <w:szCs w:val="21"/>
          <w:highlight w:val="none"/>
        </w:rPr>
        <w:t>双方遵循平等、自愿、公平和诚实信用的原则，经双方友好协商，签订本合同。</w:t>
      </w:r>
    </w:p>
    <w:p w14:paraId="5C26429B">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一、合同标的、数量及价款</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474"/>
        <w:gridCol w:w="1306"/>
        <w:gridCol w:w="811"/>
        <w:gridCol w:w="1174"/>
        <w:gridCol w:w="1592"/>
        <w:gridCol w:w="1386"/>
      </w:tblGrid>
      <w:tr w14:paraId="7125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28" w:type="dxa"/>
            <w:noWrap w:val="0"/>
            <w:vAlign w:val="center"/>
          </w:tcPr>
          <w:p w14:paraId="77C5EA60">
            <w:pPr>
              <w:pStyle w:val="99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474" w:type="dxa"/>
            <w:noWrap w:val="0"/>
            <w:vAlign w:val="center"/>
          </w:tcPr>
          <w:p w14:paraId="6A61B064">
            <w:pPr>
              <w:pStyle w:val="99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型号</w:t>
            </w:r>
          </w:p>
        </w:tc>
        <w:tc>
          <w:tcPr>
            <w:tcW w:w="1306" w:type="dxa"/>
            <w:noWrap w:val="0"/>
            <w:vAlign w:val="center"/>
          </w:tcPr>
          <w:p w14:paraId="47D57DF8">
            <w:pPr>
              <w:pStyle w:val="99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品牌</w:t>
            </w:r>
          </w:p>
        </w:tc>
        <w:tc>
          <w:tcPr>
            <w:tcW w:w="811" w:type="dxa"/>
            <w:noWrap w:val="0"/>
            <w:vAlign w:val="center"/>
          </w:tcPr>
          <w:p w14:paraId="5F24DBA1">
            <w:pPr>
              <w:pStyle w:val="99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74" w:type="dxa"/>
            <w:noWrap w:val="0"/>
            <w:vAlign w:val="center"/>
          </w:tcPr>
          <w:p w14:paraId="22AD8EA4">
            <w:pPr>
              <w:pStyle w:val="99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数量  </w:t>
            </w:r>
          </w:p>
        </w:tc>
        <w:tc>
          <w:tcPr>
            <w:tcW w:w="1592" w:type="dxa"/>
            <w:noWrap w:val="0"/>
            <w:vAlign w:val="center"/>
          </w:tcPr>
          <w:p w14:paraId="6241AE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单价（元）</w:t>
            </w:r>
          </w:p>
        </w:tc>
        <w:tc>
          <w:tcPr>
            <w:tcW w:w="1386" w:type="dxa"/>
            <w:noWrap w:val="0"/>
            <w:vAlign w:val="center"/>
          </w:tcPr>
          <w:p w14:paraId="2ECE1D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备注</w:t>
            </w:r>
          </w:p>
        </w:tc>
      </w:tr>
      <w:tr w14:paraId="638A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28" w:type="dxa"/>
            <w:shd w:val="clear" w:color="auto" w:fill="auto"/>
            <w:noWrap w:val="0"/>
            <w:vAlign w:val="center"/>
          </w:tcPr>
          <w:p w14:paraId="12682379">
            <w:pPr>
              <w:pStyle w:val="99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p>
        </w:tc>
        <w:tc>
          <w:tcPr>
            <w:tcW w:w="1474" w:type="dxa"/>
            <w:shd w:val="clear" w:color="auto" w:fill="auto"/>
            <w:noWrap w:val="0"/>
            <w:vAlign w:val="center"/>
          </w:tcPr>
          <w:p w14:paraId="68FFAB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306" w:type="dxa"/>
            <w:shd w:val="clear" w:color="auto" w:fill="auto"/>
            <w:noWrap w:val="0"/>
            <w:vAlign w:val="center"/>
          </w:tcPr>
          <w:p w14:paraId="7DC94A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rPr>
            </w:pPr>
          </w:p>
        </w:tc>
        <w:tc>
          <w:tcPr>
            <w:tcW w:w="811" w:type="dxa"/>
            <w:shd w:val="clear" w:color="auto" w:fill="FFFFFF"/>
            <w:noWrap w:val="0"/>
            <w:vAlign w:val="center"/>
          </w:tcPr>
          <w:p w14:paraId="421F4E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eastAsia="zh-CN"/>
              </w:rPr>
            </w:pPr>
          </w:p>
        </w:tc>
        <w:tc>
          <w:tcPr>
            <w:tcW w:w="1174" w:type="dxa"/>
            <w:shd w:val="clear" w:color="auto" w:fill="FFFFFF"/>
            <w:noWrap w:val="0"/>
            <w:vAlign w:val="center"/>
          </w:tcPr>
          <w:p w14:paraId="764F0C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592" w:type="dxa"/>
            <w:noWrap w:val="0"/>
            <w:vAlign w:val="center"/>
          </w:tcPr>
          <w:p w14:paraId="298F00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386" w:type="dxa"/>
            <w:noWrap w:val="0"/>
            <w:vAlign w:val="center"/>
          </w:tcPr>
          <w:p w14:paraId="2102FE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p>
        </w:tc>
      </w:tr>
      <w:tr w14:paraId="033E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28" w:type="dxa"/>
            <w:shd w:val="clear" w:color="auto" w:fill="auto"/>
            <w:noWrap w:val="0"/>
            <w:vAlign w:val="center"/>
          </w:tcPr>
          <w:p w14:paraId="4D259730">
            <w:pPr>
              <w:pStyle w:val="99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p>
        </w:tc>
        <w:tc>
          <w:tcPr>
            <w:tcW w:w="1474" w:type="dxa"/>
            <w:shd w:val="clear" w:color="auto" w:fill="auto"/>
            <w:noWrap w:val="0"/>
            <w:vAlign w:val="center"/>
          </w:tcPr>
          <w:p w14:paraId="53ED46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306" w:type="dxa"/>
            <w:shd w:val="clear" w:color="auto" w:fill="auto"/>
            <w:noWrap w:val="0"/>
            <w:vAlign w:val="center"/>
          </w:tcPr>
          <w:p w14:paraId="3FA454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rPr>
            </w:pPr>
          </w:p>
        </w:tc>
        <w:tc>
          <w:tcPr>
            <w:tcW w:w="811" w:type="dxa"/>
            <w:shd w:val="clear" w:color="auto" w:fill="FFFFFF"/>
            <w:noWrap w:val="0"/>
            <w:vAlign w:val="center"/>
          </w:tcPr>
          <w:p w14:paraId="019387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174" w:type="dxa"/>
            <w:shd w:val="clear" w:color="auto" w:fill="FFFFFF"/>
            <w:noWrap w:val="0"/>
            <w:vAlign w:val="center"/>
          </w:tcPr>
          <w:p w14:paraId="466A23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592" w:type="dxa"/>
            <w:noWrap w:val="0"/>
            <w:vAlign w:val="center"/>
          </w:tcPr>
          <w:p w14:paraId="342A4F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386" w:type="dxa"/>
            <w:noWrap w:val="0"/>
            <w:vAlign w:val="center"/>
          </w:tcPr>
          <w:p w14:paraId="0E4A6A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p>
        </w:tc>
      </w:tr>
      <w:tr w14:paraId="4529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28" w:type="dxa"/>
            <w:shd w:val="clear" w:color="auto" w:fill="auto"/>
            <w:noWrap w:val="0"/>
            <w:vAlign w:val="center"/>
          </w:tcPr>
          <w:p w14:paraId="4464F261">
            <w:pPr>
              <w:pStyle w:val="99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p>
        </w:tc>
        <w:tc>
          <w:tcPr>
            <w:tcW w:w="1474" w:type="dxa"/>
            <w:shd w:val="clear" w:color="auto" w:fill="auto"/>
            <w:noWrap w:val="0"/>
            <w:vAlign w:val="center"/>
          </w:tcPr>
          <w:p w14:paraId="6A0DC2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306" w:type="dxa"/>
            <w:shd w:val="clear" w:color="auto" w:fill="auto"/>
            <w:noWrap w:val="0"/>
            <w:vAlign w:val="center"/>
          </w:tcPr>
          <w:p w14:paraId="5E32FD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rPr>
            </w:pPr>
          </w:p>
        </w:tc>
        <w:tc>
          <w:tcPr>
            <w:tcW w:w="811" w:type="dxa"/>
            <w:shd w:val="clear" w:color="auto" w:fill="FFFFFF"/>
            <w:noWrap w:val="0"/>
            <w:vAlign w:val="center"/>
          </w:tcPr>
          <w:p w14:paraId="1FB1BC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174" w:type="dxa"/>
            <w:shd w:val="clear" w:color="auto" w:fill="FFFFFF"/>
            <w:noWrap w:val="0"/>
            <w:vAlign w:val="center"/>
          </w:tcPr>
          <w:p w14:paraId="078774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592" w:type="dxa"/>
            <w:noWrap w:val="0"/>
            <w:vAlign w:val="center"/>
          </w:tcPr>
          <w:p w14:paraId="01AE7F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val="0"/>
                <w:color w:val="auto"/>
                <w:sz w:val="21"/>
                <w:szCs w:val="21"/>
                <w:highlight w:val="none"/>
                <w:lang w:val="en-US" w:eastAsia="zh-CN"/>
              </w:rPr>
            </w:pPr>
          </w:p>
        </w:tc>
        <w:tc>
          <w:tcPr>
            <w:tcW w:w="1386" w:type="dxa"/>
            <w:noWrap w:val="0"/>
            <w:vAlign w:val="center"/>
          </w:tcPr>
          <w:p w14:paraId="32FF0C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p>
        </w:tc>
      </w:tr>
      <w:tr w14:paraId="4DEC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71" w:type="dxa"/>
            <w:gridSpan w:val="7"/>
            <w:noWrap w:val="0"/>
            <w:vAlign w:val="center"/>
          </w:tcPr>
          <w:p w14:paraId="0C52A955">
            <w:pPr>
              <w:pStyle w:val="999"/>
              <w:keepNext w:val="0"/>
              <w:keepLines w:val="0"/>
              <w:pageBreakBefore w:val="0"/>
              <w:widowControl w:val="0"/>
              <w:tabs>
                <w:tab w:val="left" w:pos="2081"/>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b/>
                <w:color w:val="auto"/>
                <w:kern w:val="0"/>
                <w:sz w:val="21"/>
                <w:szCs w:val="21"/>
                <w:highlight w:val="none"/>
              </w:rPr>
              <w:t>小写：</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元</w:t>
            </w:r>
          </w:p>
        </w:tc>
      </w:tr>
    </w:tbl>
    <w:p w14:paraId="4105D7ED">
      <w:pPr>
        <w:shd w:val="clear" w:color="auto" w:fill="FFFFFF"/>
        <w:autoSpaceDE w:val="0"/>
        <w:autoSpaceDN w:val="0"/>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1"/>
          <w:highlight w:val="none"/>
        </w:rPr>
        <w:t>合同</w:t>
      </w:r>
      <w:r>
        <w:rPr>
          <w:rFonts w:hint="eastAsia" w:ascii="宋体" w:hAnsi="宋体" w:eastAsia="宋体" w:cs="宋体"/>
          <w:color w:val="auto"/>
          <w:sz w:val="24"/>
          <w:szCs w:val="21"/>
          <w:highlight w:val="none"/>
          <w:lang w:val="en-US" w:eastAsia="zh-CN"/>
        </w:rPr>
        <w:t>总</w:t>
      </w:r>
      <w:r>
        <w:rPr>
          <w:rFonts w:hint="eastAsia" w:ascii="宋体" w:hAnsi="宋体" w:eastAsia="宋体" w:cs="宋体"/>
          <w:color w:val="auto"/>
          <w:sz w:val="24"/>
          <w:szCs w:val="21"/>
          <w:highlight w:val="none"/>
        </w:rPr>
        <w:t>价为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b/>
          <w:bCs/>
          <w:color w:val="auto"/>
          <w:sz w:val="24"/>
          <w:szCs w:val="21"/>
          <w:highlight w:val="none"/>
          <w:u w:val="single"/>
        </w:rPr>
        <w:t xml:space="preserve">元 </w:t>
      </w:r>
      <w:r>
        <w:rPr>
          <w:rFonts w:hint="eastAsia" w:ascii="宋体" w:hAnsi="宋体" w:eastAsia="宋体" w:cs="宋体"/>
          <w:b/>
          <w:bCs/>
          <w:color w:val="auto"/>
          <w:sz w:val="24"/>
          <w:szCs w:val="21"/>
          <w:highlight w:val="none"/>
          <w:u w:val="single"/>
          <w:lang w:eastAsia="zh-CN"/>
        </w:rPr>
        <w:t>（</w:t>
      </w:r>
      <w:r>
        <w:rPr>
          <w:rFonts w:hint="eastAsia" w:ascii="宋体" w:hAnsi="宋体" w:eastAsia="宋体" w:cs="宋体"/>
          <w:b/>
          <w:bCs/>
          <w:color w:val="auto"/>
          <w:sz w:val="24"/>
          <w:szCs w:val="21"/>
          <w:highlight w:val="none"/>
          <w:u w:val="single"/>
          <w:lang w:val="en-US" w:eastAsia="zh-CN"/>
        </w:rPr>
        <w:t xml:space="preserve">大写：         </w:t>
      </w:r>
      <w:r>
        <w:rPr>
          <w:rFonts w:hint="eastAsia" w:ascii="宋体" w:hAnsi="宋体" w:eastAsia="宋体" w:cs="宋体"/>
          <w:b/>
          <w:bCs/>
          <w:color w:val="auto"/>
          <w:sz w:val="24"/>
          <w:szCs w:val="21"/>
          <w:highlight w:val="none"/>
          <w:u w:val="single"/>
          <w:lang w:eastAsia="zh-CN"/>
        </w:rPr>
        <w:t>）</w:t>
      </w:r>
      <w:r>
        <w:rPr>
          <w:rFonts w:hint="eastAsia" w:ascii="宋体" w:hAnsi="宋体" w:eastAsia="宋体" w:cs="宋体"/>
          <w:color w:val="auto"/>
          <w:sz w:val="24"/>
          <w:szCs w:val="21"/>
          <w:highlight w:val="none"/>
          <w:u w:val="none" w:color="auto"/>
        </w:rPr>
        <w:t xml:space="preserve"> </w:t>
      </w:r>
      <w:r>
        <w:rPr>
          <w:rFonts w:hint="eastAsia" w:ascii="宋体" w:hAnsi="宋体" w:eastAsia="宋体" w:cs="宋体"/>
          <w:color w:val="auto"/>
          <w:sz w:val="24"/>
          <w:szCs w:val="21"/>
          <w:highlight w:val="none"/>
          <w:u w:val="none" w:color="auto"/>
          <w:lang w:eastAsia="zh-CN"/>
        </w:rPr>
        <w:t>，</w:t>
      </w:r>
      <w:r>
        <w:rPr>
          <w:rFonts w:hint="eastAsia" w:ascii="宋体" w:hAnsi="宋体" w:eastAsia="宋体" w:cs="宋体"/>
          <w:color w:val="auto"/>
          <w:sz w:val="24"/>
          <w:szCs w:val="21"/>
          <w:highlight w:val="none"/>
          <w:u w:val="none" w:color="auto"/>
          <w:lang w:val="en-US" w:eastAsia="zh-CN"/>
        </w:rPr>
        <w:t>包含</w:t>
      </w:r>
      <w:r>
        <w:rPr>
          <w:rFonts w:hint="eastAsia" w:ascii="宋体" w:hAnsi="宋体" w:eastAsia="宋体" w:cs="宋体"/>
          <w:color w:val="auto"/>
          <w:sz w:val="24"/>
          <w:szCs w:val="24"/>
          <w:highlight w:val="none"/>
          <w:lang w:eastAsia="zh-CN"/>
        </w:rPr>
        <w:t>不限于设备供货、装卸、指导安装、软件编制(包括知识产权)系统组态、调试及所有附属设施材料（包括列入清单备注的材料及配件）、人员培训、售后服务。中标人需无条件配合其它施工单位，保证系统按设计要求正常运行</w:t>
      </w:r>
      <w:r>
        <w:rPr>
          <w:rFonts w:hint="eastAsia" w:ascii="宋体" w:hAnsi="宋体" w:eastAsia="宋体" w:cs="宋体"/>
          <w:color w:val="auto"/>
          <w:sz w:val="24"/>
          <w:szCs w:val="24"/>
          <w:highlight w:val="none"/>
        </w:rPr>
        <w:t>。</w:t>
      </w:r>
    </w:p>
    <w:p w14:paraId="241518A3">
      <w:pPr>
        <w:keepNext w:val="0"/>
        <w:keepLines w:val="0"/>
        <w:pageBreakBefore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质量要求</w:t>
      </w:r>
    </w:p>
    <w:p w14:paraId="23842F4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本合同的质量要求和技术标准：按</w:t>
      </w:r>
      <w:r>
        <w:rPr>
          <w:rFonts w:hint="eastAsia" w:ascii="宋体" w:hAnsi="宋体" w:eastAsia="宋体" w:cs="宋体"/>
          <w:color w:val="auto"/>
          <w:sz w:val="24"/>
          <w:highlight w:val="none"/>
          <w:lang w:val="en-US" w:eastAsia="zh-CN"/>
        </w:rPr>
        <w:t>招投标相应技术要求、</w:t>
      </w:r>
      <w:r>
        <w:rPr>
          <w:rFonts w:hint="eastAsia" w:ascii="宋体" w:hAnsi="宋体" w:eastAsia="宋体" w:cs="宋体"/>
          <w:color w:val="auto"/>
          <w:sz w:val="24"/>
          <w:highlight w:val="none"/>
        </w:rPr>
        <w:t>后附的技术协议执行（详见附件），其余不详部分执行国家、行业标准（以标准高者为准）。</w:t>
      </w:r>
    </w:p>
    <w:p w14:paraId="0F1F9B4F">
      <w:pPr>
        <w:keepNext w:val="0"/>
        <w:keepLines w:val="0"/>
        <w:widowControl/>
        <w:spacing w:line="600" w:lineRule="exact"/>
        <w:ind w:firstLine="480" w:firstLineChars="200"/>
        <w:outlineLvl w:val="9"/>
        <w:rPr>
          <w:rFonts w:hint="eastAsia" w:ascii="宋体" w:hAnsi="宋体" w:cs="宋体"/>
          <w:sz w:val="24"/>
        </w:rPr>
      </w:pPr>
      <w:r>
        <w:rPr>
          <w:rFonts w:hint="eastAsia" w:ascii="宋体" w:hAnsi="宋体" w:cs="宋体"/>
          <w:sz w:val="24"/>
          <w:lang w:val="en-US" w:eastAsia="zh-CN"/>
        </w:rPr>
        <w:t>2.2</w:t>
      </w:r>
      <w:r>
        <w:rPr>
          <w:rFonts w:hint="eastAsia" w:ascii="宋体" w:hAnsi="宋体" w:cs="宋体"/>
          <w:sz w:val="24"/>
        </w:rPr>
        <w:t xml:space="preserve"> 乙方交付的货物（产品）不符合质量要求，无法实现合同目的，视为违约，按民法典及本</w:t>
      </w:r>
      <w:r>
        <w:rPr>
          <w:rFonts w:hint="eastAsia" w:ascii="宋体" w:hAnsi="宋体" w:cs="宋体"/>
          <w:sz w:val="24"/>
          <w:lang w:eastAsia="zh-CN"/>
        </w:rPr>
        <w:t>合同</w:t>
      </w:r>
      <w:r>
        <w:rPr>
          <w:rFonts w:hint="eastAsia" w:ascii="宋体" w:hAnsi="宋体" w:cs="宋体"/>
          <w:sz w:val="24"/>
        </w:rPr>
        <w:t>违约条款承担违约责任。</w:t>
      </w:r>
    </w:p>
    <w:p w14:paraId="55CE7AF0">
      <w:pPr>
        <w:keepNext w:val="0"/>
        <w:keepLines w:val="0"/>
        <w:pageBreakBefore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、交货与运输：</w:t>
      </w:r>
    </w:p>
    <w:p w14:paraId="19B5ACD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1、供货时间：合同签订后</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天内完成采购清单中所有设备及材料的供货，并在接到</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lang w:val="en-US" w:eastAsia="zh-CN"/>
        </w:rPr>
        <w:t>通知后</w:t>
      </w:r>
      <w:r>
        <w:rPr>
          <w:rFonts w:hint="eastAsia" w:ascii="宋体" w:hAnsi="宋体" w:cs="宋体"/>
          <w:b w:val="0"/>
          <w:bCs/>
          <w:color w:val="auto"/>
          <w:sz w:val="24"/>
          <w:szCs w:val="24"/>
          <w:highlight w:val="none"/>
          <w:u w:val="none" w:color="auto"/>
          <w:lang w:val="en-US" w:eastAsia="zh-CN"/>
        </w:rPr>
        <w:t>指导完成</w:t>
      </w:r>
      <w:r>
        <w:rPr>
          <w:rFonts w:hint="eastAsia" w:ascii="宋体" w:hAnsi="宋体" w:eastAsia="宋体" w:cs="宋体"/>
          <w:b w:val="0"/>
          <w:bCs/>
          <w:color w:val="auto"/>
          <w:sz w:val="24"/>
          <w:szCs w:val="24"/>
          <w:highlight w:val="none"/>
          <w:lang w:val="en-US" w:eastAsia="zh-CN"/>
        </w:rPr>
        <w:t>安装及调试。</w:t>
      </w:r>
    </w:p>
    <w:p w14:paraId="5E3F6CAE">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hint="eastAsia" w:ascii="宋体" w:hAnsi="宋体" w:eastAsia="宋体" w:cs="宋体"/>
          <w:b w:val="0"/>
          <w:bCs/>
          <w:color w:val="auto"/>
          <w:sz w:val="24"/>
          <w:szCs w:val="21"/>
          <w:highlight w:val="none"/>
          <w:u w:val="single"/>
        </w:rPr>
      </w:pP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供</w:t>
      </w:r>
      <w:r>
        <w:rPr>
          <w:rFonts w:hint="eastAsia" w:ascii="宋体" w:hAnsi="宋体" w:eastAsia="宋体" w:cs="宋体"/>
          <w:b w:val="0"/>
          <w:bCs/>
          <w:color w:val="auto"/>
          <w:sz w:val="24"/>
          <w:szCs w:val="24"/>
          <w:highlight w:val="none"/>
          <w:lang w:val="en-US" w:eastAsia="zh-CN"/>
        </w:rPr>
        <w:t>货</w:t>
      </w:r>
      <w:r>
        <w:rPr>
          <w:rFonts w:hint="eastAsia" w:ascii="宋体" w:hAnsi="宋体" w:eastAsia="宋体" w:cs="宋体"/>
          <w:b w:val="0"/>
          <w:bCs/>
          <w:color w:val="auto"/>
          <w:sz w:val="24"/>
          <w:szCs w:val="24"/>
          <w:highlight w:val="none"/>
        </w:rPr>
        <w:t>地点：</w:t>
      </w: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指定的</w:t>
      </w:r>
      <w:r>
        <w:rPr>
          <w:rFonts w:hint="eastAsia" w:ascii="宋体" w:hAnsi="宋体" w:eastAsia="宋体" w:cs="宋体"/>
          <w:b w:val="0"/>
          <w:bCs/>
          <w:color w:val="auto"/>
          <w:sz w:val="24"/>
          <w:szCs w:val="24"/>
          <w:highlight w:val="none"/>
          <w:lang w:eastAsia="zh-CN"/>
        </w:rPr>
        <w:t>地点，</w:t>
      </w:r>
      <w:r>
        <w:rPr>
          <w:rFonts w:hint="eastAsia" w:ascii="宋体" w:hAnsi="宋体" w:eastAsia="宋体" w:cs="宋体"/>
          <w:b w:val="0"/>
          <w:bCs/>
          <w:color w:val="auto"/>
          <w:sz w:val="24"/>
          <w:szCs w:val="21"/>
          <w:highlight w:val="none"/>
          <w:lang w:val="en-US" w:eastAsia="zh-CN"/>
        </w:rPr>
        <w:t>联系人：</w:t>
      </w:r>
      <w:r>
        <w:rPr>
          <w:rFonts w:hint="eastAsia" w:ascii="宋体" w:hAnsi="宋体" w:eastAsia="宋体" w:cs="宋体"/>
          <w:b w:val="0"/>
          <w:bCs/>
          <w:color w:val="auto"/>
          <w:sz w:val="24"/>
          <w:szCs w:val="21"/>
          <w:highlight w:val="none"/>
          <w:u w:val="single" w:color="auto"/>
          <w:lang w:val="en-US" w:eastAsia="zh-CN"/>
        </w:rPr>
        <w:t xml:space="preserve">                  </w:t>
      </w:r>
    </w:p>
    <w:p w14:paraId="6E2E4B75">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3、</w:t>
      </w:r>
      <w:r>
        <w:rPr>
          <w:rFonts w:hint="eastAsia" w:ascii="宋体" w:hAnsi="宋体" w:eastAsia="宋体" w:cs="宋体"/>
          <w:bCs/>
          <w:color w:val="auto"/>
          <w:sz w:val="24"/>
          <w:szCs w:val="21"/>
          <w:highlight w:val="none"/>
          <w:lang w:val="en-US" w:eastAsia="zh-CN"/>
        </w:rPr>
        <w:t>产品</w:t>
      </w:r>
      <w:r>
        <w:rPr>
          <w:rFonts w:hint="eastAsia" w:ascii="宋体" w:hAnsi="宋体" w:eastAsia="宋体" w:cs="宋体"/>
          <w:bCs/>
          <w:color w:val="auto"/>
          <w:sz w:val="24"/>
          <w:szCs w:val="21"/>
          <w:highlight w:val="none"/>
        </w:rPr>
        <w:t>在货到项目现场的接收、验货、直至</w:t>
      </w:r>
      <w:r>
        <w:rPr>
          <w:rFonts w:hint="eastAsia" w:ascii="宋体" w:hAnsi="宋体" w:eastAsia="宋体" w:cs="宋体"/>
          <w:bCs/>
          <w:color w:val="auto"/>
          <w:sz w:val="24"/>
          <w:szCs w:val="21"/>
          <w:highlight w:val="none"/>
          <w:lang w:eastAsia="zh-CN"/>
        </w:rPr>
        <w:t>甲方</w:t>
      </w:r>
      <w:r>
        <w:rPr>
          <w:rFonts w:hint="eastAsia" w:ascii="宋体" w:hAnsi="宋体" w:eastAsia="宋体" w:cs="宋体"/>
          <w:bCs/>
          <w:color w:val="auto"/>
          <w:sz w:val="24"/>
          <w:szCs w:val="21"/>
          <w:highlight w:val="none"/>
        </w:rPr>
        <w:t>验收合格并移交之前的保管和保护由</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负责，包括货物配件、资料、安全等。</w:t>
      </w:r>
    </w:p>
    <w:p w14:paraId="0D25565E">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4、</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须向</w:t>
      </w:r>
      <w:r>
        <w:rPr>
          <w:rFonts w:hint="eastAsia" w:ascii="宋体" w:hAnsi="宋体" w:eastAsia="宋体" w:cs="宋体"/>
          <w:bCs/>
          <w:color w:val="auto"/>
          <w:sz w:val="24"/>
          <w:szCs w:val="21"/>
          <w:highlight w:val="none"/>
          <w:lang w:eastAsia="zh-CN"/>
        </w:rPr>
        <w:t>甲方</w:t>
      </w:r>
      <w:r>
        <w:rPr>
          <w:rFonts w:hint="eastAsia" w:ascii="宋体" w:hAnsi="宋体" w:eastAsia="宋体" w:cs="宋体"/>
          <w:bCs/>
          <w:color w:val="auto"/>
          <w:sz w:val="24"/>
          <w:szCs w:val="21"/>
          <w:highlight w:val="none"/>
        </w:rPr>
        <w:t>指定的人员交货，并提供加盖</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公章的送货单，由</w:t>
      </w:r>
      <w:r>
        <w:rPr>
          <w:rFonts w:hint="eastAsia" w:ascii="宋体" w:hAnsi="宋体" w:eastAsia="宋体" w:cs="宋体"/>
          <w:bCs/>
          <w:color w:val="auto"/>
          <w:sz w:val="24"/>
          <w:szCs w:val="21"/>
          <w:highlight w:val="none"/>
          <w:lang w:eastAsia="zh-CN"/>
        </w:rPr>
        <w:t>甲方</w:t>
      </w:r>
      <w:r>
        <w:rPr>
          <w:rFonts w:hint="eastAsia" w:ascii="宋体" w:hAnsi="宋体" w:eastAsia="宋体" w:cs="宋体"/>
          <w:bCs/>
          <w:color w:val="auto"/>
          <w:sz w:val="24"/>
          <w:szCs w:val="21"/>
          <w:highlight w:val="none"/>
        </w:rPr>
        <w:t>指定的人员验货、签收。</w:t>
      </w:r>
    </w:p>
    <w:p w14:paraId="78C80B97">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运输方式：</w:t>
      </w:r>
      <w:r>
        <w:rPr>
          <w:rFonts w:hint="eastAsia" w:ascii="宋体" w:hAnsi="宋体" w:eastAsia="宋体" w:cs="宋体"/>
          <w:bCs/>
          <w:color w:val="auto"/>
          <w:sz w:val="24"/>
          <w:szCs w:val="21"/>
          <w:highlight w:val="none"/>
          <w:lang w:val="en-US" w:eastAsia="zh-CN"/>
        </w:rPr>
        <w:t>海运、</w:t>
      </w:r>
      <w:r>
        <w:rPr>
          <w:rFonts w:hint="eastAsia" w:ascii="宋体" w:hAnsi="宋体" w:eastAsia="宋体" w:cs="宋体"/>
          <w:bCs/>
          <w:color w:val="auto"/>
          <w:sz w:val="24"/>
          <w:szCs w:val="21"/>
          <w:highlight w:val="none"/>
        </w:rPr>
        <w:t>普通运输（汽运），</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送货至</w:t>
      </w:r>
      <w:r>
        <w:rPr>
          <w:rFonts w:hint="eastAsia" w:ascii="宋体" w:hAnsi="宋体" w:eastAsia="宋体" w:cs="宋体"/>
          <w:bCs/>
          <w:color w:val="auto"/>
          <w:sz w:val="24"/>
          <w:szCs w:val="21"/>
          <w:highlight w:val="none"/>
          <w:lang w:eastAsia="zh-CN"/>
        </w:rPr>
        <w:t>甲方</w:t>
      </w:r>
      <w:r>
        <w:rPr>
          <w:rFonts w:hint="eastAsia" w:ascii="宋体" w:hAnsi="宋体" w:eastAsia="宋体" w:cs="宋体"/>
          <w:bCs/>
          <w:color w:val="auto"/>
          <w:sz w:val="24"/>
          <w:szCs w:val="21"/>
          <w:highlight w:val="none"/>
        </w:rPr>
        <w:t>指定交货地点之前一切风险由</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承担</w:t>
      </w:r>
      <w:r>
        <w:rPr>
          <w:rFonts w:hint="eastAsia" w:ascii="宋体" w:hAnsi="宋体" w:eastAsia="宋体" w:cs="宋体"/>
          <w:bCs/>
          <w:color w:val="auto"/>
          <w:sz w:val="24"/>
          <w:szCs w:val="21"/>
          <w:highlight w:val="none"/>
          <w:lang w:eastAsia="zh-CN"/>
        </w:rPr>
        <w:t>。</w:t>
      </w:r>
    </w:p>
    <w:p w14:paraId="2D2F0DEF">
      <w:pPr>
        <w:keepNext w:val="0"/>
        <w:keepLines w:val="0"/>
        <w:pageBreakBefore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、付款方式</w:t>
      </w:r>
      <w:bookmarkStart w:id="407" w:name="_Toc216767674"/>
      <w:bookmarkStart w:id="408" w:name="_Toc224123204"/>
    </w:p>
    <w:p w14:paraId="7066B0F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cs="宋体"/>
          <w:bCs/>
          <w:color w:val="auto"/>
          <w:sz w:val="24"/>
          <w:szCs w:val="21"/>
          <w:highlight w:val="none"/>
          <w:lang w:val="en-US" w:eastAsia="zh-CN"/>
        </w:rPr>
      </w:pPr>
      <w:r>
        <w:rPr>
          <w:rFonts w:hint="eastAsia" w:ascii="宋体" w:hAnsi="宋体" w:cs="宋体"/>
          <w:bCs/>
          <w:color w:val="auto"/>
          <w:sz w:val="24"/>
          <w:szCs w:val="21"/>
          <w:highlight w:val="none"/>
          <w:lang w:val="en-US" w:eastAsia="zh-CN"/>
        </w:rPr>
        <w:t>1、合同签订后10个工作日内，由甲方向合同签订</w:t>
      </w:r>
      <w:r>
        <w:rPr>
          <w:rFonts w:hint="eastAsia" w:ascii="宋体" w:hAnsi="宋体" w:cs="宋体"/>
          <w:b w:val="0"/>
          <w:color w:val="auto"/>
          <w:sz w:val="24"/>
          <w:szCs w:val="24"/>
          <w:highlight w:val="none"/>
          <w:lang w:val="en-US" w:eastAsia="zh-CN"/>
        </w:rPr>
        <w:t>乙方</w:t>
      </w:r>
      <w:r>
        <w:rPr>
          <w:rFonts w:hint="eastAsia" w:ascii="宋体" w:hAnsi="宋体" w:cs="宋体"/>
          <w:bCs/>
          <w:color w:val="auto"/>
          <w:sz w:val="24"/>
          <w:szCs w:val="21"/>
          <w:highlight w:val="none"/>
          <w:lang w:val="en-US" w:eastAsia="zh-CN"/>
        </w:rPr>
        <w:t>支付中标项目总金额10%预付款。</w:t>
      </w:r>
    </w:p>
    <w:p w14:paraId="36579F9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cs="宋体"/>
          <w:bCs/>
          <w:color w:val="auto"/>
          <w:sz w:val="24"/>
          <w:szCs w:val="21"/>
          <w:highlight w:val="none"/>
          <w:lang w:val="en-US" w:eastAsia="zh-CN"/>
        </w:rPr>
      </w:pPr>
      <w:r>
        <w:rPr>
          <w:rFonts w:hint="eastAsia" w:ascii="宋体" w:hAnsi="宋体" w:cs="宋体"/>
          <w:bCs/>
          <w:color w:val="auto"/>
          <w:sz w:val="24"/>
          <w:szCs w:val="21"/>
          <w:highlight w:val="none"/>
          <w:lang w:val="en-US" w:eastAsia="zh-CN"/>
        </w:rPr>
        <w:t>2、所有设备货到现场并经甲方签收确认，30天内向</w:t>
      </w:r>
      <w:r>
        <w:rPr>
          <w:rFonts w:hint="eastAsia" w:ascii="宋体" w:hAnsi="宋体" w:cs="宋体"/>
          <w:b w:val="0"/>
          <w:color w:val="auto"/>
          <w:sz w:val="24"/>
          <w:szCs w:val="24"/>
          <w:highlight w:val="none"/>
          <w:lang w:val="en-US" w:eastAsia="zh-CN"/>
        </w:rPr>
        <w:t>乙方</w:t>
      </w:r>
      <w:r>
        <w:rPr>
          <w:rFonts w:hint="eastAsia" w:ascii="宋体" w:hAnsi="宋体" w:cs="宋体"/>
          <w:bCs/>
          <w:color w:val="auto"/>
          <w:sz w:val="24"/>
          <w:szCs w:val="21"/>
          <w:highlight w:val="none"/>
          <w:lang w:val="en-US" w:eastAsia="zh-CN"/>
        </w:rPr>
        <w:t>支付至合同总价的50%。</w:t>
      </w:r>
    </w:p>
    <w:p w14:paraId="69A449C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cs="宋体"/>
          <w:bCs/>
          <w:color w:val="auto"/>
          <w:sz w:val="24"/>
          <w:szCs w:val="21"/>
          <w:highlight w:val="none"/>
          <w:lang w:val="en-US" w:eastAsia="zh-CN"/>
        </w:rPr>
      </w:pPr>
      <w:r>
        <w:rPr>
          <w:rFonts w:hint="eastAsia" w:ascii="宋体" w:hAnsi="宋体" w:cs="宋体"/>
          <w:bCs/>
          <w:color w:val="auto"/>
          <w:sz w:val="24"/>
          <w:szCs w:val="21"/>
          <w:highlight w:val="none"/>
          <w:lang w:val="en-US" w:eastAsia="zh-CN"/>
        </w:rPr>
        <w:t>3、竣工验收后付款：在所供设备及其附属系统全部安装调试完成通过甲方验收签署验收文件后的30天内支付至合同总价的95%。（发票应包括剩余金额即包括质量保证金在内的金额）。</w:t>
      </w:r>
    </w:p>
    <w:p w14:paraId="0B6D5A7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cs="宋体"/>
          <w:bCs/>
          <w:color w:val="auto"/>
          <w:sz w:val="24"/>
          <w:szCs w:val="21"/>
          <w:highlight w:val="none"/>
          <w:lang w:val="en-US" w:eastAsia="zh-CN"/>
        </w:rPr>
      </w:pPr>
      <w:r>
        <w:rPr>
          <w:rFonts w:hint="eastAsia" w:ascii="宋体" w:hAnsi="宋体" w:cs="宋体"/>
          <w:bCs/>
          <w:color w:val="auto"/>
          <w:sz w:val="24"/>
          <w:szCs w:val="21"/>
          <w:highlight w:val="none"/>
          <w:lang w:val="en-US" w:eastAsia="zh-CN"/>
        </w:rPr>
        <w:t>4、质量保证金付款：合同价格的5%，在质量保证期满后 30天内支付（无息）。</w:t>
      </w:r>
    </w:p>
    <w:p w14:paraId="1488056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bCs/>
          <w:color w:val="auto"/>
          <w:sz w:val="24"/>
          <w:szCs w:val="21"/>
          <w:highlight w:val="none"/>
          <w:lang w:val="en-US" w:eastAsia="zh-CN"/>
        </w:rPr>
      </w:pPr>
      <w:r>
        <w:rPr>
          <w:rFonts w:hint="eastAsia" w:ascii="宋体" w:hAnsi="宋体" w:cs="宋体"/>
          <w:bCs/>
          <w:color w:val="auto"/>
          <w:sz w:val="24"/>
          <w:szCs w:val="21"/>
          <w:highlight w:val="none"/>
          <w:lang w:val="en-US" w:eastAsia="zh-CN"/>
        </w:rPr>
        <w:t>注：在合同期内，甲方每支付一笔合同款项前，</w:t>
      </w:r>
      <w:r>
        <w:rPr>
          <w:rFonts w:hint="eastAsia" w:ascii="宋体" w:hAnsi="宋体" w:cs="宋体"/>
          <w:b w:val="0"/>
          <w:color w:val="auto"/>
          <w:sz w:val="24"/>
          <w:szCs w:val="24"/>
          <w:highlight w:val="none"/>
          <w:lang w:val="en-US" w:eastAsia="zh-CN"/>
        </w:rPr>
        <w:t>乙方</w:t>
      </w:r>
      <w:r>
        <w:rPr>
          <w:rFonts w:hint="eastAsia" w:ascii="宋体" w:hAnsi="宋体" w:cs="宋体"/>
          <w:bCs/>
          <w:color w:val="auto"/>
          <w:sz w:val="24"/>
          <w:szCs w:val="21"/>
          <w:highlight w:val="none"/>
          <w:lang w:val="en-US" w:eastAsia="zh-CN"/>
        </w:rPr>
        <w:t>须提供相应金额的税务发票。</w:t>
      </w:r>
    </w:p>
    <w:bookmarkEnd w:id="407"/>
    <w:bookmarkEnd w:id="408"/>
    <w:p w14:paraId="2EF5E8E2">
      <w:pPr>
        <w:keepNext w:val="0"/>
        <w:keepLines w:val="0"/>
        <w:pageBreakBefore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bookmarkStart w:id="409" w:name="_Toc224123205"/>
      <w:bookmarkStart w:id="410" w:name="_Toc164829159"/>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w:t>
      </w:r>
      <w:r>
        <w:rPr>
          <w:rFonts w:hint="eastAsia" w:ascii="宋体" w:hAnsi="宋体" w:eastAsia="宋体" w:cs="宋体"/>
          <w:b/>
          <w:sz w:val="24"/>
        </w:rPr>
        <w:t>随机备品备件、专用工具和相关单证</w:t>
      </w:r>
      <w:r>
        <w:rPr>
          <w:rFonts w:hint="eastAsia" w:ascii="宋体" w:hAnsi="宋体" w:eastAsia="宋体" w:cs="宋体"/>
          <w:b/>
          <w:sz w:val="24"/>
          <w:lang w:val="en-US" w:eastAsia="zh-CN"/>
        </w:rPr>
        <w:t>及</w:t>
      </w:r>
      <w:r>
        <w:rPr>
          <w:rFonts w:hint="eastAsia" w:ascii="宋体" w:hAnsi="宋体" w:eastAsia="宋体" w:cs="宋体"/>
          <w:b/>
          <w:color w:val="auto"/>
          <w:sz w:val="24"/>
          <w:szCs w:val="24"/>
          <w:highlight w:val="none"/>
          <w:lang w:val="en-US" w:eastAsia="zh-CN"/>
        </w:rPr>
        <w:t>技术资料</w:t>
      </w:r>
    </w:p>
    <w:p w14:paraId="077FE6B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1、 乙方应提交标配随机备品备件及专用工具外清单，与设备一并交付验收。除标配备件及专用工具外，乙方须于交付本合同货物时，免费增加提供备品备件及专业工具。</w:t>
      </w:r>
    </w:p>
    <w:p w14:paraId="5268563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2 、乙方应当同时提交下列单证及技术资料2 套（附电子版1 套），包括但不限于：</w:t>
      </w:r>
    </w:p>
    <w:p w14:paraId="677A641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（1）提供产品的合格证、说明书、装箱单及试验报告等相关资料；</w:t>
      </w:r>
    </w:p>
    <w:p w14:paraId="48BD7F6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（2）产品说明书及操作手册；</w:t>
      </w:r>
    </w:p>
    <w:p w14:paraId="6676416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（3）订货通知（装箱单）；</w:t>
      </w:r>
    </w:p>
    <w:p w14:paraId="57C9478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（4）设备基础孔位等二次条件图纸。</w:t>
      </w:r>
    </w:p>
    <w:p w14:paraId="765D51A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3、 在交货前，乙方应对货物的质量、规格、性能、数量和重量等进行详细而全面的检验，并出具一份证明货物符合合同规定的检验证书（报告）。</w:t>
      </w:r>
    </w:p>
    <w:p w14:paraId="2DAC30C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4、对国外进口的货物，乙方应出具进口货物报关单等相关资料。</w:t>
      </w:r>
    </w:p>
    <w:p w14:paraId="74016474">
      <w:pPr>
        <w:keepNext w:val="0"/>
        <w:keepLines w:val="0"/>
        <w:pageBreakBefore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lang w:val="en-US" w:eastAsia="zh-CN"/>
        </w:rPr>
        <w:t>、</w:t>
      </w:r>
      <w:bookmarkEnd w:id="409"/>
      <w:bookmarkEnd w:id="410"/>
      <w:r>
        <w:rPr>
          <w:rFonts w:hint="eastAsia" w:ascii="宋体" w:hAnsi="宋体" w:eastAsia="宋体" w:cs="宋体"/>
          <w:b/>
          <w:color w:val="auto"/>
          <w:sz w:val="24"/>
          <w:szCs w:val="24"/>
          <w:highlight w:val="none"/>
          <w:lang w:val="en-US" w:eastAsia="zh-CN"/>
        </w:rPr>
        <w:t>质保期及售后服务</w:t>
      </w:r>
    </w:p>
    <w:p w14:paraId="3A551F91">
      <w:pPr>
        <w:spacing w:line="360" w:lineRule="auto"/>
        <w:ind w:firstLine="480" w:firstLineChars="200"/>
        <w:rPr>
          <w:rFonts w:hint="eastAsia" w:ascii="宋体" w:hAnsi="宋体" w:eastAsia="宋体" w:cs="宋体"/>
          <w:color w:val="auto"/>
          <w:sz w:val="24"/>
          <w:szCs w:val="24"/>
          <w:highlight w:val="none"/>
        </w:rPr>
      </w:pPr>
      <w:bookmarkStart w:id="411" w:name="_Toc224123207"/>
      <w:bookmarkStart w:id="412" w:name="_Toc164829161"/>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质保期：</w:t>
      </w:r>
    </w:p>
    <w:p w14:paraId="42F67B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质保期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年（以实际合同为准）；质保期从设备安装调试合格，验收合格签字之日算起。在质保期内，中标方严格执行“三包”服务。</w:t>
      </w:r>
    </w:p>
    <w:p w14:paraId="56016A21">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质保期内因设备本身缺陷造成各种故障应由</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提供技术服务和维修。</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在质量保证期的最后1个月对设备进行一次常规的维护保养，</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对该期间所发生的设备维修、保养、更换费用负责。</w:t>
      </w:r>
    </w:p>
    <w:p w14:paraId="41C9E597">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质保期后 1 年内重复出现保修期内出现过的故障，仍属保修范围。</w:t>
      </w:r>
    </w:p>
    <w:p w14:paraId="73B86EBE">
      <w:pPr>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480" w:firstLineChars="200"/>
        <w:jc w:val="both"/>
        <w:textAlignment w:val="bottom"/>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在质保期内故障时间累计超过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个月，</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有向</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rPr>
        <w:t>索赔的权力。</w:t>
      </w:r>
    </w:p>
    <w:p w14:paraId="6E35F516">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当设备质保期满之后，</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依然能提供全面的技术支持及备件供应。</w:t>
      </w:r>
    </w:p>
    <w:p w14:paraId="0BFF24E4">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2、售后服务：</w:t>
      </w:r>
    </w:p>
    <w:p w14:paraId="25B3EA98">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在设备质保期内，</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应提供确保设备的正常使用所需的售后服务（含配件）。如设备发生故障，</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应在收到甲方通知后</w:t>
      </w:r>
      <w:r>
        <w:rPr>
          <w:rFonts w:hint="eastAsia" w:ascii="宋体" w:hAnsi="宋体" w:eastAsia="宋体" w:cs="宋体"/>
          <w:color w:val="auto"/>
          <w:sz w:val="24"/>
          <w:szCs w:val="24"/>
          <w:u w:val="single" w:color="auto"/>
          <w:lang w:val="en-US" w:eastAsia="zh-CN"/>
        </w:rPr>
        <w:t xml:space="preserve"> </w:t>
      </w:r>
      <w:r>
        <w:rPr>
          <w:rFonts w:hint="eastAsia" w:ascii="宋体" w:hAnsi="宋体" w:cs="宋体"/>
          <w:color w:val="auto"/>
          <w:sz w:val="24"/>
          <w:szCs w:val="24"/>
          <w:u w:val="single" w:color="auto"/>
          <w:lang w:val="en-US" w:eastAsia="zh-CN"/>
        </w:rPr>
        <w:t xml:space="preserve">  </w:t>
      </w:r>
      <w:r>
        <w:rPr>
          <w:rFonts w:hint="eastAsia" w:ascii="宋体" w:hAnsi="宋体" w:eastAsia="宋体" w:cs="宋体"/>
          <w:color w:val="auto"/>
          <w:sz w:val="24"/>
          <w:szCs w:val="24"/>
          <w:lang w:val="en-US" w:eastAsia="zh-CN"/>
        </w:rPr>
        <w:t>小时内给予有效响应，并在</w:t>
      </w:r>
      <w:r>
        <w:rPr>
          <w:rFonts w:hint="eastAsia" w:ascii="宋体" w:hAnsi="宋体" w:cs="宋体"/>
          <w:color w:val="auto"/>
          <w:sz w:val="24"/>
          <w:szCs w:val="24"/>
          <w:u w:val="single" w:color="auto"/>
          <w:lang w:val="en-US" w:eastAsia="zh-CN"/>
        </w:rPr>
        <w:t xml:space="preserve">   </w:t>
      </w:r>
      <w:r>
        <w:rPr>
          <w:rFonts w:hint="eastAsia" w:ascii="宋体" w:hAnsi="宋体" w:eastAsia="宋体" w:cs="宋体"/>
          <w:color w:val="auto"/>
          <w:sz w:val="24"/>
          <w:szCs w:val="24"/>
          <w:lang w:val="en-US" w:eastAsia="zh-CN"/>
        </w:rPr>
        <w:t>小时内服务人员到达招标人现场，在</w:t>
      </w:r>
      <w:r>
        <w:rPr>
          <w:rFonts w:hint="eastAsia" w:ascii="宋体" w:hAnsi="宋体" w:cs="宋体"/>
          <w:color w:val="auto"/>
          <w:sz w:val="24"/>
          <w:szCs w:val="24"/>
          <w:u w:val="single" w:color="auto"/>
          <w:lang w:val="en-US" w:eastAsia="zh-CN"/>
        </w:rPr>
        <w:t xml:space="preserve">    </w:t>
      </w:r>
      <w:r>
        <w:rPr>
          <w:rFonts w:hint="eastAsia" w:ascii="宋体" w:hAnsi="宋体" w:eastAsia="宋体" w:cs="宋体"/>
          <w:color w:val="auto"/>
          <w:sz w:val="24"/>
          <w:szCs w:val="24"/>
          <w:lang w:val="en-US" w:eastAsia="zh-CN"/>
        </w:rPr>
        <w:t>小时内内排除故障并交付使用，否则需提供备用产品。</w:t>
      </w:r>
    </w:p>
    <w:p w14:paraId="0A7CC851">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质保期外，若系统运行出现问题，在接到</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通知后，协助</w:t>
      </w:r>
      <w:r>
        <w:rPr>
          <w:rFonts w:hint="eastAsia" w:ascii="宋体" w:hAnsi="宋体" w:cs="宋体"/>
          <w:color w:val="auto"/>
          <w:sz w:val="24"/>
          <w:szCs w:val="24"/>
          <w:lang w:val="en-US" w:eastAsia="zh-CN"/>
        </w:rPr>
        <w:t>甲</w:t>
      </w:r>
      <w:r>
        <w:rPr>
          <w:rFonts w:hint="eastAsia" w:ascii="宋体" w:hAnsi="宋体" w:eastAsia="宋体" w:cs="宋体"/>
          <w:color w:val="auto"/>
          <w:sz w:val="24"/>
          <w:szCs w:val="24"/>
          <w:lang w:val="en-US" w:eastAsia="zh-CN"/>
        </w:rPr>
        <w:t>方解决相关技术问题，仅收取成本费。</w:t>
      </w:r>
    </w:p>
    <w:p w14:paraId="6B76D4BD">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如乙方未按招标文件、合同约定等提供相应质保服务，则甲方有权另寻第三方提供相应服务，相应费用可从质保金中扣除。</w:t>
      </w:r>
    </w:p>
    <w:p w14:paraId="5208C7CF">
      <w:pPr>
        <w:keepNext w:val="0"/>
        <w:keepLines w:val="0"/>
        <w:pageBreakBefore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 指导安装、调试</w:t>
      </w:r>
    </w:p>
    <w:p w14:paraId="034477F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指导</w:t>
      </w:r>
      <w:r>
        <w:rPr>
          <w:rFonts w:hint="eastAsia" w:ascii="宋体" w:hAnsi="宋体" w:eastAsia="宋体" w:cs="宋体"/>
          <w:sz w:val="24"/>
          <w:szCs w:val="24"/>
          <w:highlight w:val="none"/>
        </w:rPr>
        <w:t>安装调试人员对本次采购所定品牌、型号设备安装，必须是经过专门培训、考核，取得合格证书和上岗证经验丰富的人员，并有相应的质量保证体系，</w:t>
      </w:r>
      <w:r>
        <w:rPr>
          <w:rFonts w:hint="eastAsia" w:ascii="宋体" w:hAnsi="宋体" w:cs="宋体"/>
          <w:sz w:val="24"/>
          <w:szCs w:val="24"/>
          <w:highlight w:val="none"/>
          <w:lang w:val="en-US" w:eastAsia="zh-CN"/>
        </w:rPr>
        <w:t>乙</w:t>
      </w:r>
      <w:r>
        <w:rPr>
          <w:rFonts w:hint="eastAsia" w:ascii="宋体" w:hAnsi="宋体" w:eastAsia="宋体" w:cs="宋体"/>
          <w:sz w:val="24"/>
          <w:szCs w:val="24"/>
          <w:highlight w:val="none"/>
        </w:rPr>
        <w:t>方务必保证安装调试合格后</w:t>
      </w:r>
      <w:r>
        <w:rPr>
          <w:rFonts w:hint="eastAsia" w:ascii="宋体" w:hAnsi="宋体" w:eastAsia="宋体" w:cs="宋体"/>
          <w:sz w:val="24"/>
          <w:szCs w:val="24"/>
          <w:highlight w:val="none"/>
          <w:lang w:val="en-US" w:eastAsia="zh-CN"/>
        </w:rPr>
        <w:t>设备能</w:t>
      </w:r>
      <w:r>
        <w:rPr>
          <w:rFonts w:hint="eastAsia" w:ascii="宋体" w:hAnsi="宋体" w:eastAsia="宋体" w:cs="宋体"/>
          <w:sz w:val="24"/>
          <w:szCs w:val="24"/>
          <w:highlight w:val="none"/>
        </w:rPr>
        <w:t>正常使用，如不能正常使用，</w:t>
      </w:r>
      <w:r>
        <w:rPr>
          <w:rFonts w:hint="eastAsia" w:ascii="宋体" w:hAnsi="宋体" w:cs="宋体"/>
          <w:sz w:val="24"/>
          <w:szCs w:val="24"/>
          <w:highlight w:val="none"/>
          <w:lang w:val="en-US" w:eastAsia="zh-CN"/>
        </w:rPr>
        <w:t>乙</w:t>
      </w:r>
      <w:r>
        <w:rPr>
          <w:rFonts w:hint="eastAsia" w:ascii="宋体" w:hAnsi="宋体" w:eastAsia="宋体" w:cs="宋体"/>
          <w:sz w:val="24"/>
          <w:szCs w:val="24"/>
          <w:highlight w:val="none"/>
        </w:rPr>
        <w:t>方应无条件予以调试。</w:t>
      </w:r>
    </w:p>
    <w:p w14:paraId="5CC7D017">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调试</w:t>
      </w:r>
      <w:r>
        <w:rPr>
          <w:rFonts w:hint="eastAsia" w:ascii="宋体" w:hAnsi="宋体" w:eastAsia="宋体" w:cs="宋体"/>
          <w:sz w:val="24"/>
          <w:szCs w:val="24"/>
          <w:highlight w:val="none"/>
        </w:rPr>
        <w:t>所需工具、机具、</w:t>
      </w:r>
      <w:r>
        <w:rPr>
          <w:rFonts w:hint="eastAsia" w:ascii="宋体" w:hAnsi="宋体" w:eastAsia="宋体" w:cs="宋体"/>
          <w:sz w:val="24"/>
          <w:szCs w:val="24"/>
          <w:highlight w:val="none"/>
          <w:lang w:val="en-US" w:eastAsia="zh-CN"/>
        </w:rPr>
        <w:t>油脂、耗材等</w:t>
      </w:r>
      <w:r>
        <w:rPr>
          <w:rFonts w:hint="eastAsia" w:ascii="宋体" w:hAnsi="宋体" w:eastAsia="宋体" w:cs="宋体"/>
          <w:color w:val="auto"/>
          <w:sz w:val="24"/>
          <w:szCs w:val="24"/>
          <w:highlight w:val="none"/>
          <w:lang w:val="en-US" w:eastAsia="zh-CN"/>
        </w:rPr>
        <w:t>由乙方自行负责。除本合同商定的条款外，任何安装问题、相关责任及费用均由乙方承担。</w:t>
      </w:r>
    </w:p>
    <w:p w14:paraId="50B66B2F">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4、其余条款见招标文件采购需求</w:t>
      </w:r>
      <w:r>
        <w:rPr>
          <w:rFonts w:hint="eastAsia" w:ascii="宋体" w:hAnsi="宋体" w:cs="宋体"/>
          <w:color w:val="auto"/>
          <w:sz w:val="24"/>
          <w:szCs w:val="24"/>
          <w:highlight w:val="none"/>
          <w:lang w:val="en-US" w:eastAsia="zh-CN"/>
        </w:rPr>
        <w:t>。</w:t>
      </w:r>
    </w:p>
    <w:p w14:paraId="7F4D4390">
      <w:pPr>
        <w:keepNext w:val="0"/>
        <w:keepLines w:val="0"/>
        <w:pageBreakBefore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八、</w:t>
      </w:r>
      <w:bookmarkStart w:id="413" w:name="_Toc224123202"/>
      <w:r>
        <w:rPr>
          <w:rFonts w:hint="eastAsia" w:ascii="宋体" w:hAnsi="宋体" w:cs="宋体"/>
          <w:b/>
          <w:color w:val="auto"/>
          <w:sz w:val="24"/>
          <w:szCs w:val="24"/>
          <w:highlight w:val="none"/>
          <w:lang w:val="en-US" w:eastAsia="zh-CN"/>
        </w:rPr>
        <w:t>验收和交付使用</w:t>
      </w:r>
    </w:p>
    <w:bookmarkEnd w:id="413"/>
    <w:p w14:paraId="12036172">
      <w:pPr>
        <w:spacing w:line="360" w:lineRule="auto"/>
        <w:ind w:firstLine="480" w:firstLineChars="200"/>
        <w:rPr>
          <w:rFonts w:hint="eastAsia" w:ascii="宋体" w:hAnsi="宋体" w:eastAsia="宋体" w:cs="宋体"/>
          <w:sz w:val="24"/>
        </w:rPr>
      </w:pPr>
      <w:bookmarkStart w:id="414" w:name="_Toc2076609"/>
      <w:r>
        <w:rPr>
          <w:rFonts w:hint="eastAsia" w:ascii="宋体" w:hAnsi="宋体" w:eastAsia="宋体" w:cs="宋体"/>
          <w:sz w:val="24"/>
        </w:rPr>
        <w:t>1、在所供设备及附属设施安装调试工作完成并经</w:t>
      </w:r>
      <w:r>
        <w:rPr>
          <w:rFonts w:hint="eastAsia" w:ascii="宋体" w:hAnsi="宋体" w:eastAsia="宋体" w:cs="宋体"/>
          <w:sz w:val="24"/>
          <w:lang w:eastAsia="zh-CN"/>
        </w:rPr>
        <w:t>乙</w:t>
      </w:r>
      <w:r>
        <w:rPr>
          <w:rFonts w:hint="eastAsia" w:ascii="宋体" w:hAnsi="宋体" w:eastAsia="宋体" w:cs="宋体"/>
          <w:sz w:val="24"/>
        </w:rPr>
        <w:t>方自检达到验收标准后，</w:t>
      </w:r>
      <w:r>
        <w:rPr>
          <w:rFonts w:hint="eastAsia" w:ascii="宋体" w:hAnsi="宋体" w:eastAsia="宋体" w:cs="宋体"/>
          <w:sz w:val="24"/>
          <w:lang w:eastAsia="zh-CN"/>
        </w:rPr>
        <w:t>乙</w:t>
      </w:r>
      <w:r>
        <w:rPr>
          <w:rFonts w:hint="eastAsia" w:ascii="宋体" w:hAnsi="宋体" w:eastAsia="宋体" w:cs="宋体"/>
          <w:sz w:val="24"/>
        </w:rPr>
        <w:t>方应通知</w:t>
      </w:r>
      <w:r>
        <w:rPr>
          <w:rFonts w:hint="eastAsia" w:ascii="宋体" w:hAnsi="宋体" w:eastAsia="宋体" w:cs="宋体"/>
          <w:color w:val="auto"/>
          <w:sz w:val="24"/>
          <w:highlight w:val="none"/>
          <w:lang w:val="en-US" w:eastAsia="zh-CN"/>
        </w:rPr>
        <w:t>甲方</w:t>
      </w:r>
      <w:r>
        <w:rPr>
          <w:rFonts w:hint="eastAsia" w:ascii="宋体" w:hAnsi="宋体" w:eastAsia="宋体" w:cs="宋体"/>
          <w:sz w:val="24"/>
        </w:rPr>
        <w:t>和有关部门进行验收。</w:t>
      </w:r>
    </w:p>
    <w:p w14:paraId="4DE3FD56">
      <w:pPr>
        <w:spacing w:line="360" w:lineRule="auto"/>
        <w:ind w:firstLine="480" w:firstLineChars="200"/>
        <w:rPr>
          <w:rFonts w:hint="eastAsia" w:ascii="宋体" w:hAnsi="宋体" w:eastAsia="宋体" w:cs="宋体"/>
          <w:sz w:val="24"/>
        </w:rPr>
      </w:pPr>
      <w:r>
        <w:rPr>
          <w:rFonts w:hint="eastAsia" w:ascii="宋体" w:hAnsi="宋体" w:eastAsia="宋体" w:cs="宋体"/>
          <w:sz w:val="24"/>
        </w:rPr>
        <w:t>2、从验收合格之日起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工作日内，</w:t>
      </w:r>
      <w:r>
        <w:rPr>
          <w:rFonts w:hint="eastAsia" w:ascii="宋体" w:hAnsi="宋体" w:eastAsia="宋体" w:cs="宋体"/>
          <w:sz w:val="24"/>
          <w:lang w:eastAsia="zh-CN"/>
        </w:rPr>
        <w:t>乙</w:t>
      </w:r>
      <w:r>
        <w:rPr>
          <w:rFonts w:hint="eastAsia" w:ascii="宋体" w:hAnsi="宋体" w:eastAsia="宋体" w:cs="宋体"/>
          <w:sz w:val="24"/>
        </w:rPr>
        <w:t>方向</w:t>
      </w:r>
      <w:r>
        <w:rPr>
          <w:rFonts w:hint="eastAsia" w:ascii="宋体" w:hAnsi="宋体" w:eastAsia="宋体" w:cs="宋体"/>
          <w:color w:val="auto"/>
          <w:sz w:val="24"/>
          <w:highlight w:val="none"/>
          <w:lang w:val="en-US" w:eastAsia="zh-CN"/>
        </w:rPr>
        <w:t>甲方</w:t>
      </w:r>
      <w:r>
        <w:rPr>
          <w:rFonts w:hint="eastAsia" w:ascii="宋体" w:hAnsi="宋体" w:eastAsia="宋体" w:cs="宋体"/>
          <w:sz w:val="24"/>
        </w:rPr>
        <w:t>移交本工程项目及其附属的、相关的详细的随机技术文件、调试报告、试运行资料、安装记录、以及其他资料，采购双方及其他相关各方在安装工程竣工交接书上最终签字的日期为安装工程交付日。安装工程在交付</w:t>
      </w:r>
      <w:r>
        <w:rPr>
          <w:rFonts w:hint="eastAsia" w:ascii="宋体" w:hAnsi="宋体" w:eastAsia="宋体" w:cs="宋体"/>
          <w:sz w:val="24"/>
          <w:lang w:eastAsia="zh-CN"/>
        </w:rPr>
        <w:t>招标人</w:t>
      </w:r>
      <w:r>
        <w:rPr>
          <w:rFonts w:hint="eastAsia" w:ascii="宋体" w:hAnsi="宋体" w:eastAsia="宋体" w:cs="宋体"/>
          <w:sz w:val="24"/>
        </w:rPr>
        <w:t>前的完整性、安全性由</w:t>
      </w:r>
      <w:r>
        <w:rPr>
          <w:rFonts w:hint="eastAsia" w:ascii="宋体" w:hAnsi="宋体" w:eastAsia="宋体" w:cs="宋体"/>
          <w:sz w:val="24"/>
          <w:lang w:eastAsia="zh-CN"/>
        </w:rPr>
        <w:t>乙</w:t>
      </w:r>
      <w:r>
        <w:rPr>
          <w:rFonts w:hint="eastAsia" w:ascii="宋体" w:hAnsi="宋体" w:eastAsia="宋体" w:cs="宋体"/>
          <w:sz w:val="24"/>
        </w:rPr>
        <w:t>方承担，交付后由</w:t>
      </w:r>
      <w:r>
        <w:rPr>
          <w:rFonts w:hint="eastAsia" w:ascii="宋体" w:hAnsi="宋体" w:eastAsia="宋体" w:cs="宋体"/>
          <w:color w:val="auto"/>
          <w:sz w:val="24"/>
          <w:highlight w:val="none"/>
          <w:lang w:val="en-US" w:eastAsia="zh-CN"/>
        </w:rPr>
        <w:t>甲方</w:t>
      </w:r>
      <w:r>
        <w:rPr>
          <w:rFonts w:hint="eastAsia" w:ascii="宋体" w:hAnsi="宋体" w:eastAsia="宋体" w:cs="宋体"/>
          <w:sz w:val="24"/>
        </w:rPr>
        <w:t>承担。</w:t>
      </w:r>
    </w:p>
    <w:p w14:paraId="01D827EC">
      <w:pPr>
        <w:spacing w:line="360" w:lineRule="auto"/>
        <w:ind w:firstLine="480" w:firstLineChars="200"/>
        <w:rPr>
          <w:rFonts w:hint="eastAsia" w:ascii="宋体" w:hAnsi="宋体" w:eastAsia="宋体" w:cs="宋体"/>
          <w:sz w:val="24"/>
        </w:rPr>
      </w:pPr>
      <w:r>
        <w:rPr>
          <w:rFonts w:hint="eastAsia" w:ascii="宋体" w:hAnsi="宋体" w:eastAsia="宋体" w:cs="宋体"/>
          <w:sz w:val="24"/>
        </w:rPr>
        <w:t>3、在进行验收中，如发现工程质量不符合规定，</w:t>
      </w:r>
      <w:r>
        <w:rPr>
          <w:rFonts w:hint="eastAsia" w:ascii="宋体" w:hAnsi="宋体" w:eastAsia="宋体" w:cs="宋体"/>
          <w:sz w:val="24"/>
          <w:lang w:eastAsia="zh-CN"/>
        </w:rPr>
        <w:t>乙</w:t>
      </w:r>
      <w:r>
        <w:rPr>
          <w:rFonts w:hint="eastAsia" w:ascii="宋体" w:hAnsi="宋体" w:eastAsia="宋体" w:cs="宋体"/>
          <w:sz w:val="24"/>
        </w:rPr>
        <w:t>方应负责无偿修理或返工，并在双方议定的措施和期限内完成。经验收合格后，再行移交。</w:t>
      </w:r>
    </w:p>
    <w:bookmarkEnd w:id="414"/>
    <w:p w14:paraId="4D113FCA">
      <w:pPr>
        <w:keepNext w:val="0"/>
        <w:keepLines w:val="0"/>
        <w:pageBreakBefore w:val="0"/>
        <w:kinsoku/>
        <w:wordWrap/>
        <w:overflowPunct/>
        <w:topLinePunct w:val="0"/>
        <w:autoSpaceDE/>
        <w:autoSpaceDN/>
        <w:bidi w:val="0"/>
        <w:adjustRightInd/>
        <w:snapToGrid/>
        <w:spacing w:line="600" w:lineRule="exact"/>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lang w:val="en-US" w:eastAsia="zh-CN"/>
        </w:rPr>
        <w:t>、违约责任</w:t>
      </w:r>
    </w:p>
    <w:p w14:paraId="7D29FD29">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1、甲方违约责任</w:t>
      </w:r>
    </w:p>
    <w:p w14:paraId="464AED85">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(1)在合同生效后，甲方要求退货的，应向乙方偿付合同总价款的5%，作为违约金，违约金不足以补偿损失的，乙方有权要求乙方补足。</w:t>
      </w:r>
    </w:p>
    <w:p w14:paraId="102CA585">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(2)甲方违反合同规定，拒绝接收乙方交付的符合交易文件要求的合格标的物，应当承担乙方由此造成的损失。</w:t>
      </w:r>
    </w:p>
    <w:p w14:paraId="051BA7A7">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2、乙方违约责任</w:t>
      </w:r>
    </w:p>
    <w:p w14:paraId="5C2E1E2E">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逾期交货，按逾期交货部分总价计算向</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赔偿违约金，每逾期</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天，按迟交</w:t>
      </w:r>
      <w:r>
        <w:rPr>
          <w:rFonts w:hint="eastAsia" w:ascii="宋体" w:hAnsi="宋体" w:eastAsia="宋体" w:cs="宋体"/>
          <w:color w:val="auto"/>
          <w:sz w:val="24"/>
          <w:szCs w:val="21"/>
          <w:highlight w:val="none"/>
          <w:lang w:val="en-US" w:eastAsia="zh-CN"/>
        </w:rPr>
        <w:t>标的物</w:t>
      </w:r>
      <w:r>
        <w:rPr>
          <w:rFonts w:hint="eastAsia" w:ascii="宋体" w:hAnsi="宋体" w:eastAsia="宋体" w:cs="宋体"/>
          <w:color w:val="auto"/>
          <w:sz w:val="24"/>
          <w:szCs w:val="21"/>
          <w:highlight w:val="none"/>
        </w:rPr>
        <w:t>金额的</w:t>
      </w:r>
      <w:r>
        <w:rPr>
          <w:rFonts w:hint="eastAsia" w:ascii="宋体" w:hAnsi="宋体" w:eastAsia="宋体" w:cs="宋体"/>
          <w:color w:val="auto"/>
          <w:sz w:val="24"/>
          <w:szCs w:val="21"/>
          <w:highlight w:val="none"/>
          <w:lang w:val="en-US" w:eastAsia="zh-CN"/>
        </w:rPr>
        <w:t>0.5</w:t>
      </w:r>
      <w:r>
        <w:rPr>
          <w:rFonts w:hint="eastAsia" w:ascii="宋体" w:hAnsi="宋体" w:eastAsia="宋体" w:cs="宋体"/>
          <w:color w:val="auto"/>
          <w:sz w:val="24"/>
          <w:szCs w:val="21"/>
          <w:highlight w:val="none"/>
        </w:rPr>
        <w:t>%，最高罚款不超过迟交</w:t>
      </w:r>
      <w:r>
        <w:rPr>
          <w:rFonts w:hint="eastAsia" w:ascii="宋体" w:hAnsi="宋体" w:eastAsia="宋体" w:cs="宋体"/>
          <w:color w:val="auto"/>
          <w:sz w:val="24"/>
          <w:szCs w:val="21"/>
          <w:highlight w:val="none"/>
          <w:lang w:val="en-US" w:eastAsia="zh-CN"/>
        </w:rPr>
        <w:t>货物</w:t>
      </w:r>
      <w:r>
        <w:rPr>
          <w:rFonts w:hint="eastAsia" w:ascii="宋体" w:hAnsi="宋体" w:eastAsia="宋体" w:cs="宋体"/>
          <w:color w:val="auto"/>
          <w:sz w:val="24"/>
          <w:szCs w:val="21"/>
          <w:highlight w:val="none"/>
        </w:rPr>
        <w:t>合同金额的</w:t>
      </w: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%。如违约金达到最高限额时</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仍不能交货，</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有权因</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违约终止全部或部分合同，而</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仍有义务支付上述</w:t>
      </w:r>
      <w:r>
        <w:rPr>
          <w:rFonts w:hint="eastAsia" w:ascii="宋体" w:hAnsi="宋体" w:eastAsia="宋体" w:cs="宋体"/>
          <w:color w:val="auto"/>
          <w:sz w:val="24"/>
          <w:szCs w:val="21"/>
          <w:highlight w:val="none"/>
          <w:lang w:val="en-US" w:eastAsia="zh-CN"/>
        </w:rPr>
        <w:t>违约金</w:t>
      </w:r>
      <w:r>
        <w:rPr>
          <w:rFonts w:hint="eastAsia" w:ascii="宋体" w:hAnsi="宋体" w:eastAsia="宋体" w:cs="宋体"/>
          <w:color w:val="auto"/>
          <w:sz w:val="24"/>
          <w:szCs w:val="21"/>
          <w:highlight w:val="none"/>
        </w:rPr>
        <w:t>。</w:t>
      </w:r>
    </w:p>
    <w:p w14:paraId="2810671C">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乙方逾期完成安装并通过验收，则</w:t>
      </w:r>
      <w:r>
        <w:rPr>
          <w:rFonts w:hint="eastAsia" w:ascii="宋体" w:hAnsi="宋体" w:eastAsia="宋体" w:cs="宋体"/>
          <w:color w:val="auto"/>
          <w:sz w:val="24"/>
          <w:szCs w:val="21"/>
          <w:highlight w:val="none"/>
        </w:rPr>
        <w:t>按</w:t>
      </w:r>
      <w:r>
        <w:rPr>
          <w:rFonts w:hint="eastAsia" w:ascii="宋体" w:hAnsi="宋体" w:eastAsia="宋体" w:cs="宋体"/>
          <w:color w:val="auto"/>
          <w:sz w:val="24"/>
          <w:szCs w:val="21"/>
          <w:highlight w:val="none"/>
          <w:lang w:val="en-US" w:eastAsia="zh-CN"/>
        </w:rPr>
        <w:t>合同</w:t>
      </w:r>
      <w:r>
        <w:rPr>
          <w:rFonts w:hint="eastAsia" w:ascii="宋体" w:hAnsi="宋体" w:eastAsia="宋体" w:cs="宋体"/>
          <w:color w:val="auto"/>
          <w:sz w:val="24"/>
          <w:szCs w:val="21"/>
          <w:highlight w:val="none"/>
        </w:rPr>
        <w:t>总价计算向</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赔偿违约金，每逾期</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天，按</w:t>
      </w:r>
      <w:r>
        <w:rPr>
          <w:rFonts w:hint="eastAsia" w:ascii="宋体" w:hAnsi="宋体" w:eastAsia="宋体" w:cs="宋体"/>
          <w:color w:val="auto"/>
          <w:sz w:val="24"/>
          <w:szCs w:val="21"/>
          <w:highlight w:val="none"/>
          <w:lang w:val="en-US" w:eastAsia="zh-CN"/>
        </w:rPr>
        <w:t>合同</w:t>
      </w:r>
      <w:r>
        <w:rPr>
          <w:rFonts w:hint="eastAsia" w:ascii="宋体" w:hAnsi="宋体" w:eastAsia="宋体" w:cs="宋体"/>
          <w:color w:val="auto"/>
          <w:sz w:val="24"/>
          <w:szCs w:val="21"/>
          <w:highlight w:val="none"/>
        </w:rPr>
        <w:t>金额的</w:t>
      </w:r>
      <w:r>
        <w:rPr>
          <w:rFonts w:hint="eastAsia" w:ascii="宋体" w:hAnsi="宋体" w:eastAsia="宋体" w:cs="宋体"/>
          <w:color w:val="auto"/>
          <w:sz w:val="24"/>
          <w:szCs w:val="21"/>
          <w:highlight w:val="none"/>
          <w:lang w:val="en-US" w:eastAsia="zh-CN"/>
        </w:rPr>
        <w:t>0.5</w:t>
      </w:r>
      <w:r>
        <w:rPr>
          <w:rFonts w:hint="eastAsia" w:ascii="宋体" w:hAnsi="宋体" w:eastAsia="宋体" w:cs="宋体"/>
          <w:color w:val="auto"/>
          <w:sz w:val="24"/>
          <w:szCs w:val="21"/>
          <w:highlight w:val="none"/>
        </w:rPr>
        <w:t>%，最高罚款不超过合同金额的</w:t>
      </w: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%。如违约金达到最高限额时</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仍不能</w:t>
      </w:r>
      <w:r>
        <w:rPr>
          <w:rFonts w:hint="eastAsia" w:ascii="宋体" w:hAnsi="宋体" w:eastAsia="宋体" w:cs="宋体"/>
          <w:color w:val="auto"/>
          <w:sz w:val="24"/>
          <w:szCs w:val="21"/>
          <w:highlight w:val="none"/>
          <w:lang w:val="en-US" w:eastAsia="zh-CN"/>
        </w:rPr>
        <w:t>通过验收</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有权因</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违约终止全部或部分合同，而</w:t>
      </w: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仍有义务支付上述</w:t>
      </w:r>
      <w:r>
        <w:rPr>
          <w:rFonts w:hint="eastAsia" w:ascii="宋体" w:hAnsi="宋体" w:eastAsia="宋体" w:cs="宋体"/>
          <w:color w:val="auto"/>
          <w:sz w:val="24"/>
          <w:szCs w:val="21"/>
          <w:highlight w:val="none"/>
          <w:lang w:val="en-US" w:eastAsia="zh-CN"/>
        </w:rPr>
        <w:t>违约金</w:t>
      </w:r>
      <w:r>
        <w:rPr>
          <w:rFonts w:hint="eastAsia" w:ascii="宋体" w:hAnsi="宋体" w:eastAsia="宋体" w:cs="宋体"/>
          <w:color w:val="auto"/>
          <w:sz w:val="24"/>
          <w:szCs w:val="21"/>
          <w:highlight w:val="none"/>
        </w:rPr>
        <w:t>。</w:t>
      </w:r>
    </w:p>
    <w:p w14:paraId="5857BDB7">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如乙方未按</w:t>
      </w:r>
      <w:r>
        <w:rPr>
          <w:rFonts w:hint="eastAsia" w:ascii="宋体" w:hAnsi="宋体" w:eastAsia="宋体" w:cs="宋体"/>
          <w:color w:val="auto"/>
          <w:sz w:val="24"/>
          <w:szCs w:val="24"/>
          <w:lang w:val="en-US" w:eastAsia="zh-CN"/>
        </w:rPr>
        <w:t>未按招标文件、合同约定等提供相应货物，则需无条件退换货并承担合同金额5%的违约金，如因此造成逾期交货或逾期通过验收，则同时承担相应违约金。</w:t>
      </w:r>
    </w:p>
    <w:p w14:paraId="5E7E74C2">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经</w:t>
      </w:r>
      <w:r>
        <w:rPr>
          <w:rFonts w:hint="eastAsia" w:ascii="宋体" w:hAnsi="宋体" w:eastAsia="宋体" w:cs="宋体"/>
          <w:color w:val="auto"/>
          <w:sz w:val="24"/>
          <w:szCs w:val="21"/>
          <w:highlight w:val="none"/>
          <w:lang w:eastAsia="zh-CN"/>
        </w:rPr>
        <w:t>甲乙</w:t>
      </w:r>
      <w:r>
        <w:rPr>
          <w:rFonts w:hint="eastAsia" w:ascii="宋体" w:hAnsi="宋体" w:eastAsia="宋体" w:cs="宋体"/>
          <w:color w:val="auto"/>
          <w:sz w:val="24"/>
          <w:szCs w:val="21"/>
          <w:highlight w:val="none"/>
        </w:rPr>
        <w:t>双方协商同意延期交货和经双方友好协商同意退货且无需违约金者不在此例。</w:t>
      </w:r>
    </w:p>
    <w:p w14:paraId="02318068">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双方需全面履行本合同，如本合同无其他约定，则违约方需全额赔偿守约方相应全额直接经济损失。</w:t>
      </w:r>
    </w:p>
    <w:p w14:paraId="7416AE82">
      <w:pPr>
        <w:pageBreakBefore w:val="0"/>
        <w:kinsoku/>
        <w:wordWrap/>
        <w:overflowPunct/>
        <w:topLinePunct w:val="0"/>
        <w:bidi w:val="0"/>
        <w:spacing w:line="600" w:lineRule="exact"/>
        <w:ind w:firstLine="480" w:firstLineChars="200"/>
        <w:textAlignment w:val="auto"/>
        <w:rPr>
          <w:rFonts w:hint="eastAsia" w:ascii="宋体" w:hAnsi="宋体" w:eastAsia="宋体" w:cs="宋体"/>
          <w:b/>
          <w:bCs/>
          <w:color w:val="auto"/>
          <w:sz w:val="24"/>
          <w:szCs w:val="21"/>
          <w:highlight w:val="none"/>
        </w:rPr>
      </w:pPr>
      <w:r>
        <w:rPr>
          <w:rFonts w:hint="eastAsia" w:ascii="宋体" w:hAnsi="宋体" w:eastAsia="宋体" w:cs="宋体"/>
          <w:color w:val="auto"/>
          <w:sz w:val="24"/>
          <w:szCs w:val="21"/>
          <w:highlight w:val="none"/>
          <w:lang w:eastAsia="zh-CN"/>
        </w:rPr>
        <w:t xml:space="preserve">   </w:t>
      </w:r>
      <w:r>
        <w:rPr>
          <w:rFonts w:hint="eastAsia" w:ascii="宋体" w:hAnsi="宋体" w:eastAsia="宋体" w:cs="宋体"/>
          <w:b/>
          <w:bCs/>
          <w:color w:val="auto"/>
          <w:sz w:val="24"/>
          <w:szCs w:val="21"/>
          <w:highlight w:val="none"/>
        </w:rPr>
        <w:t>以上需要支付的违约</w:t>
      </w:r>
      <w:r>
        <w:rPr>
          <w:rFonts w:hint="eastAsia" w:ascii="宋体" w:hAnsi="宋体" w:eastAsia="宋体" w:cs="宋体"/>
          <w:b/>
          <w:bCs/>
          <w:color w:val="auto"/>
          <w:sz w:val="24"/>
          <w:szCs w:val="21"/>
          <w:highlight w:val="none"/>
          <w:lang w:val="en-US" w:eastAsia="zh-CN"/>
        </w:rPr>
        <w:t>金额</w:t>
      </w:r>
      <w:r>
        <w:rPr>
          <w:rFonts w:hint="eastAsia" w:ascii="宋体" w:hAnsi="宋体" w:eastAsia="宋体" w:cs="宋体"/>
          <w:b/>
          <w:bCs/>
          <w:color w:val="auto"/>
          <w:sz w:val="24"/>
          <w:szCs w:val="21"/>
          <w:highlight w:val="none"/>
        </w:rPr>
        <w:t>应在事项发生</w:t>
      </w:r>
      <w:r>
        <w:rPr>
          <w:rFonts w:hint="eastAsia" w:ascii="宋体" w:hAnsi="宋体" w:eastAsia="宋体" w:cs="宋体"/>
          <w:color w:val="auto"/>
          <w:sz w:val="24"/>
          <w:szCs w:val="21"/>
          <w:highlight w:val="none"/>
          <w:lang w:eastAsia="zh-CN"/>
        </w:rPr>
        <w:t>30</w:t>
      </w:r>
      <w:r>
        <w:rPr>
          <w:rFonts w:hint="eastAsia" w:ascii="宋体" w:hAnsi="宋体" w:eastAsia="宋体" w:cs="宋体"/>
          <w:b/>
          <w:bCs/>
          <w:color w:val="auto"/>
          <w:sz w:val="24"/>
          <w:szCs w:val="21"/>
          <w:highlight w:val="none"/>
        </w:rPr>
        <w:t>天内支付给与</w:t>
      </w:r>
      <w:r>
        <w:rPr>
          <w:rFonts w:hint="eastAsia" w:ascii="宋体" w:hAnsi="宋体" w:eastAsia="宋体" w:cs="宋体"/>
          <w:b/>
          <w:bCs/>
          <w:color w:val="auto"/>
          <w:sz w:val="24"/>
          <w:szCs w:val="21"/>
          <w:highlight w:val="none"/>
          <w:lang w:eastAsia="zh-CN"/>
        </w:rPr>
        <w:t>甲方</w:t>
      </w:r>
      <w:r>
        <w:rPr>
          <w:rFonts w:hint="eastAsia" w:ascii="宋体" w:hAnsi="宋体" w:eastAsia="宋体" w:cs="宋体"/>
          <w:b/>
          <w:bCs/>
          <w:color w:val="auto"/>
          <w:sz w:val="24"/>
          <w:szCs w:val="21"/>
          <w:highlight w:val="none"/>
        </w:rPr>
        <w:t>。</w:t>
      </w:r>
    </w:p>
    <w:p w14:paraId="6CC769D4">
      <w:pPr>
        <w:pageBreakBefore w:val="0"/>
        <w:kinsoku/>
        <w:wordWrap/>
        <w:overflowPunct/>
        <w:topLinePunct w:val="0"/>
        <w:bidi w:val="0"/>
        <w:spacing w:line="6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w:t>
      </w:r>
      <w:r>
        <w:rPr>
          <w:rFonts w:hint="eastAsia" w:ascii="宋体" w:hAnsi="宋体" w:eastAsia="宋体" w:cs="宋体"/>
          <w:b/>
          <w:color w:val="auto"/>
          <w:sz w:val="24"/>
          <w:szCs w:val="24"/>
          <w:highlight w:val="none"/>
          <w:lang w:val="en-US" w:eastAsia="zh-CN"/>
        </w:rPr>
        <w:t>、 索赔</w:t>
      </w:r>
    </w:p>
    <w:p w14:paraId="34D3E58D">
      <w:pPr>
        <w:pageBreakBefore w:val="0"/>
        <w:kinsoku/>
        <w:wordWrap/>
        <w:overflowPunct/>
        <w:topLinePunct w:val="0"/>
        <w:bidi w:val="0"/>
        <w:spacing w:line="6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1、甲方有权根据当地产品质量检验机构或其它有权威部门出具的检验证书向乙方提出索赔。</w:t>
      </w:r>
    </w:p>
    <w:p w14:paraId="6E4CCEF2">
      <w:pPr>
        <w:pageBreakBefore w:val="0"/>
        <w:kinsoku/>
        <w:wordWrap/>
        <w:overflowPunct/>
        <w:topLinePunct w:val="0"/>
        <w:bidi w:val="0"/>
        <w:spacing w:line="6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2、在本合同规定的检验期和质量保证期内，如果乙方对甲方提出的索赔或差异有责任，则乙方应按甲方同意的下列一种或多种方式解决索赔事宜：</w:t>
      </w:r>
    </w:p>
    <w:p w14:paraId="2D7E36BB">
      <w:pPr>
        <w:pageBreakBefore w:val="0"/>
        <w:kinsoku/>
        <w:wordWrap/>
        <w:overflowPunct/>
        <w:topLinePunct w:val="0"/>
        <w:bidi w:val="0"/>
        <w:spacing w:line="6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（1）乙方同意退货，并按合同规定的货币将货款退还给甲方，并承担由此发生的一切损失和费用，包括利息、银行手续费、运费、保险费、检验费、仓储费、装卸费以及为保护退回标的物所需的其它必要费用；</w:t>
      </w:r>
    </w:p>
    <w:p w14:paraId="1326B2EB">
      <w:pPr>
        <w:pageBreakBefore w:val="0"/>
        <w:kinsoku/>
        <w:wordWrap/>
        <w:overflowPunct/>
        <w:topLinePunct w:val="0"/>
        <w:bidi w:val="0"/>
        <w:spacing w:line="6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（2）根据标的物的低劣程度、损坏程度以及甲方遭受损失的数额，经双方协商确定降低标的物的价格；</w:t>
      </w:r>
    </w:p>
    <w:p w14:paraId="4C82AFA4">
      <w:pPr>
        <w:pageBreakBefore w:val="0"/>
        <w:kinsoku/>
        <w:wordWrap/>
        <w:overflowPunct/>
        <w:topLinePunct w:val="0"/>
        <w:bidi w:val="0"/>
        <w:spacing w:line="6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履约保证金中扣回索赔金额，如果这些金额不足以补偿索赔金额，甲方有权向乙方提出对不足部分的补偿。</w:t>
      </w:r>
    </w:p>
    <w:p w14:paraId="07692289">
      <w:pPr>
        <w:pageBreakBefore w:val="0"/>
        <w:kinsoku/>
        <w:wordWrap/>
        <w:overflowPunct/>
        <w:topLinePunct w:val="0"/>
        <w:bidi w:val="0"/>
        <w:spacing w:line="6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lang w:val="en-US" w:eastAsia="zh-CN"/>
        </w:rPr>
        <w:t>、不可抗力</w:t>
      </w:r>
    </w:p>
    <w:p w14:paraId="5B881E92">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不可抗力系指：由于地震、台风、水灾、火灾、战争等其他不可预见且对其发生和后果不能防止和避免，直接影响本合同履行的外部力量。不可抗力事件发生后，受影响的一方应立即通知对方，并在力所能及的条件下迅速采取措施，尽力减少损失，双方应相互协助采取措施。不可抗力发生后双方应继续履行合同；或由受影响一方提出无法继续执行原合同的书面请求并附详细证明材料，双方互不承担违约责任。</w:t>
      </w:r>
    </w:p>
    <w:p w14:paraId="0EEEF5C8">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2、如发生不可抗力事件，甲乙双方各自承担自己的损失。</w:t>
      </w:r>
    </w:p>
    <w:p w14:paraId="06FCCE60">
      <w:pPr>
        <w:pageBreakBefore w:val="0"/>
        <w:kinsoku/>
        <w:wordWrap/>
        <w:overflowPunct/>
        <w:topLinePunct w:val="0"/>
        <w:bidi w:val="0"/>
        <w:spacing w:line="6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、合同的解除和变更</w:t>
      </w:r>
    </w:p>
    <w:p w14:paraId="695D8331">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1、合同生效后，除不可抗力外，不得解除和无效变更。若因国家计划改变，或设计变更确需解除或变更合同时，要求变更的一方应及时通知对方，对方在接到 5 日内给予答复，逾期未答复则视为已同意。</w:t>
      </w:r>
    </w:p>
    <w:p w14:paraId="1A192E00">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2、变更或解除合同，所造成的损失除不可抗力原因之外由提出方负责。</w:t>
      </w:r>
    </w:p>
    <w:p w14:paraId="35876402">
      <w:pPr>
        <w:pageBreakBefore w:val="0"/>
        <w:kinsoku/>
        <w:wordWrap/>
        <w:overflowPunct/>
        <w:topLinePunct w:val="0"/>
        <w:bidi w:val="0"/>
        <w:spacing w:line="6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lang w:val="en-US" w:eastAsia="zh-CN"/>
        </w:rPr>
        <w:t>、争议的解决</w:t>
      </w:r>
    </w:p>
    <w:p w14:paraId="2CF15C50">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本合同执行过程中如果发生争议，双方应及时协商解决；协商不成的，依法向甲方所在地人民法院起诉。</w:t>
      </w:r>
      <w:r>
        <w:rPr>
          <w:rFonts w:hint="eastAsia" w:ascii="宋体" w:hAnsi="宋体" w:eastAsia="宋体" w:cs="宋体"/>
          <w:color w:val="auto"/>
          <w:sz w:val="24"/>
          <w:szCs w:val="21"/>
          <w:highlight w:val="none"/>
          <w:lang w:val="en-US" w:eastAsia="zh-CN"/>
        </w:rPr>
        <w:t>败诉方承担胜诉方诉讼过程产生的律师费、诉讼费等合理费用。</w:t>
      </w:r>
    </w:p>
    <w:bookmarkEnd w:id="411"/>
    <w:bookmarkEnd w:id="412"/>
    <w:p w14:paraId="6F32A57B">
      <w:pPr>
        <w:pageBreakBefore w:val="0"/>
        <w:kinsoku/>
        <w:wordWrap/>
        <w:overflowPunct/>
        <w:topLinePunct w:val="0"/>
        <w:bidi w:val="0"/>
        <w:spacing w:line="600" w:lineRule="exact"/>
        <w:ind w:firstLine="482" w:firstLineChars="200"/>
        <w:textAlignment w:val="auto"/>
        <w:rPr>
          <w:rFonts w:hint="eastAsia" w:ascii="宋体" w:hAnsi="宋体" w:eastAsia="宋体" w:cs="宋体"/>
          <w:b/>
          <w:color w:val="auto"/>
          <w:sz w:val="24"/>
          <w:szCs w:val="24"/>
          <w:highlight w:val="none"/>
          <w:lang w:val="en-US" w:eastAsia="zh-CN"/>
        </w:rPr>
      </w:pPr>
      <w:bookmarkStart w:id="415" w:name="_Toc164829162"/>
      <w:bookmarkStart w:id="416" w:name="_Toc224123208"/>
      <w:r>
        <w:rPr>
          <w:rFonts w:hint="eastAsia" w:ascii="宋体" w:hAnsi="宋体" w:eastAsia="宋体" w:cs="宋体"/>
          <w:b/>
          <w:color w:val="auto"/>
          <w:sz w:val="24"/>
          <w:szCs w:val="24"/>
          <w:highlight w:val="none"/>
          <w:lang w:val="en-US" w:eastAsia="zh-CN"/>
        </w:rPr>
        <w:t>十</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lang w:val="en-US" w:eastAsia="zh-CN"/>
        </w:rPr>
        <w:t>、其它约定事项</w:t>
      </w:r>
      <w:bookmarkEnd w:id="415"/>
      <w:bookmarkEnd w:id="416"/>
    </w:p>
    <w:p w14:paraId="40778E05">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pacing w:val="-6"/>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pacing w:val="-6"/>
          <w:sz w:val="24"/>
          <w:szCs w:val="21"/>
          <w:highlight w:val="none"/>
        </w:rPr>
        <w:t>未尽事宜，</w:t>
      </w:r>
      <w:r>
        <w:rPr>
          <w:rFonts w:hint="eastAsia" w:ascii="宋体" w:hAnsi="宋体" w:eastAsia="宋体" w:cs="宋体"/>
          <w:color w:val="auto"/>
          <w:sz w:val="24"/>
          <w:szCs w:val="21"/>
          <w:highlight w:val="none"/>
        </w:rPr>
        <w:t>甲乙</w:t>
      </w:r>
      <w:r>
        <w:rPr>
          <w:rFonts w:hint="eastAsia" w:ascii="宋体" w:hAnsi="宋体" w:eastAsia="宋体" w:cs="宋体"/>
          <w:color w:val="auto"/>
          <w:spacing w:val="-6"/>
          <w:sz w:val="24"/>
          <w:szCs w:val="21"/>
          <w:highlight w:val="none"/>
        </w:rPr>
        <w:t>双方协商解决。</w:t>
      </w:r>
    </w:p>
    <w:p w14:paraId="38284B09">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以下文件是本合同</w:t>
      </w:r>
      <w:r>
        <w:rPr>
          <w:rFonts w:hint="eastAsia" w:ascii="宋体" w:hAnsi="宋体" w:eastAsia="宋体" w:cs="宋体"/>
          <w:color w:val="auto"/>
          <w:sz w:val="24"/>
          <w:szCs w:val="21"/>
          <w:highlight w:val="none"/>
        </w:rPr>
        <w:t>不可分割的组成部分，与本</w:t>
      </w:r>
      <w:r>
        <w:rPr>
          <w:rFonts w:hint="eastAsia" w:ascii="宋体" w:hAnsi="宋体" w:eastAsia="宋体" w:cs="宋体"/>
          <w:color w:val="auto"/>
          <w:sz w:val="24"/>
          <w:szCs w:val="21"/>
          <w:highlight w:val="none"/>
          <w:lang w:val="en-US" w:eastAsia="zh-CN"/>
        </w:rPr>
        <w:t>合同</w:t>
      </w:r>
      <w:r>
        <w:rPr>
          <w:rFonts w:hint="eastAsia" w:ascii="宋体" w:hAnsi="宋体" w:eastAsia="宋体" w:cs="宋体"/>
          <w:color w:val="auto"/>
          <w:sz w:val="24"/>
          <w:szCs w:val="21"/>
          <w:highlight w:val="none"/>
        </w:rPr>
        <w:t>具有同等法律效力，这些文件包括但不限于：1.招标文件2.乙方提供的投标文件。3.乙方提供的服务承诺4.甲乙双方商定的其他文件。以上附件顺序在前的具有优先解释权。</w:t>
      </w:r>
      <w:r>
        <w:rPr>
          <w:rFonts w:hint="eastAsia" w:ascii="宋体" w:hAnsi="宋体" w:eastAsia="宋体" w:cs="宋体"/>
          <w:color w:val="auto"/>
          <w:sz w:val="24"/>
          <w:szCs w:val="21"/>
          <w:highlight w:val="none"/>
          <w:lang w:val="en-US" w:eastAsia="zh-CN"/>
        </w:rPr>
        <w:t>本合同相应约定也不得违反相应招标文件实质性要求，否则以招标文件为准。</w:t>
      </w:r>
    </w:p>
    <w:p w14:paraId="153B7868">
      <w:pPr>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w:t>
      </w:r>
      <w:r>
        <w:rPr>
          <w:rFonts w:hint="eastAsia" w:ascii="宋体" w:hAnsi="宋体" w:eastAsia="宋体" w:cs="宋体"/>
          <w:color w:val="auto"/>
          <w:spacing w:val="-6"/>
          <w:sz w:val="24"/>
          <w:szCs w:val="21"/>
          <w:highlight w:val="none"/>
        </w:rPr>
        <w:t>合同应在双方签字盖章后开始生效。</w:t>
      </w:r>
    </w:p>
    <w:p w14:paraId="2D61115B">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、本合同一式陆份，双方各执叁份，具有同等法律效力。</w:t>
      </w:r>
    </w:p>
    <w:p w14:paraId="6C854D44">
      <w:pPr>
        <w:spacing w:line="360" w:lineRule="exact"/>
        <w:jc w:val="both"/>
        <w:rPr>
          <w:rFonts w:hint="eastAsia" w:ascii="宋体" w:hAnsi="宋体" w:eastAsia="宋体" w:cs="宋体"/>
          <w:b/>
          <w:color w:val="auto"/>
          <w:sz w:val="24"/>
          <w:highlight w:val="none"/>
        </w:rPr>
      </w:pPr>
    </w:p>
    <w:p w14:paraId="70555184">
      <w:pPr>
        <w:spacing w:line="36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此仅为合同书样本，中标单位需根据实际情况和</w:t>
      </w:r>
      <w:r>
        <w:rPr>
          <w:rFonts w:hint="eastAsia" w:ascii="宋体" w:hAnsi="宋体" w:eastAsia="宋体" w:cs="宋体"/>
          <w:b/>
          <w:color w:val="auto"/>
          <w:sz w:val="24"/>
          <w:highlight w:val="none"/>
          <w:lang w:eastAsia="zh-CN"/>
        </w:rPr>
        <w:t>招标人</w:t>
      </w:r>
      <w:r>
        <w:rPr>
          <w:rFonts w:hint="eastAsia" w:ascii="宋体" w:hAnsi="宋体" w:eastAsia="宋体" w:cs="宋体"/>
          <w:b/>
          <w:color w:val="auto"/>
          <w:sz w:val="24"/>
          <w:highlight w:val="none"/>
        </w:rPr>
        <w:t>签订相应的合同！</w:t>
      </w:r>
    </w:p>
    <w:p w14:paraId="44473E3B">
      <w:pPr>
        <w:keepNext w:val="0"/>
        <w:keepLines w:val="0"/>
        <w:pageBreakBefore w:val="0"/>
        <w:kinsoku/>
        <w:wordWrap/>
        <w:overflowPunct/>
        <w:topLinePunct w:val="0"/>
        <w:autoSpaceDE/>
        <w:autoSpaceDN/>
        <w:bidi w:val="0"/>
        <w:spacing w:line="384" w:lineRule="auto"/>
        <w:textAlignment w:val="auto"/>
        <w:rPr>
          <w:rFonts w:hint="eastAsia" w:ascii="宋体" w:hAnsi="宋体" w:eastAsia="宋体" w:cs="宋体"/>
          <w:b/>
          <w:bCs/>
          <w:color w:val="000000"/>
          <w:sz w:val="24"/>
          <w:highlight w:val="none"/>
        </w:rPr>
      </w:pPr>
    </w:p>
    <w:p w14:paraId="5345E320">
      <w:pPr>
        <w:snapToGrid/>
        <w:spacing w:before="0" w:beforeLines="0" w:after="0" w:line="360" w:lineRule="auto"/>
        <w:rPr>
          <w:rFonts w:hint="eastAsia" w:ascii="宋体" w:hAnsi="宋体" w:eastAsia="宋体" w:cs="宋体"/>
          <w:b/>
          <w:bCs/>
          <w:color w:val="000000"/>
          <w:sz w:val="24"/>
          <w:highlight w:val="none"/>
        </w:rPr>
        <w:sectPr>
          <w:headerReference r:id="rId3" w:type="default"/>
          <w:footerReference r:id="rId4" w:type="default"/>
          <w:pgSz w:w="11906" w:h="16838"/>
          <w:pgMar w:top="1558" w:right="1531" w:bottom="468" w:left="1531" w:header="851" w:footer="851" w:gutter="0"/>
          <w:pgNumType w:fmt="decimal"/>
          <w:cols w:space="720" w:num="1"/>
          <w:titlePg/>
          <w:docGrid w:type="lines" w:linePitch="312" w:charSpace="0"/>
        </w:sectPr>
      </w:pPr>
      <w:bookmarkStart w:id="417" w:name="_Toc194217895"/>
    </w:p>
    <w:bookmarkEnd w:id="417"/>
    <w:p w14:paraId="7165B9E5">
      <w:pPr>
        <w:pStyle w:val="61"/>
        <w:rPr>
          <w:highlight w:val="none"/>
        </w:rPr>
      </w:pPr>
    </w:p>
    <w:p w14:paraId="65F07B2A">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5"/>
      <w:r>
        <w:rPr>
          <w:rFonts w:hint="eastAsia" w:ascii="宋体" w:hAnsi="宋体" w:cs="宋体"/>
          <w:b/>
          <w:sz w:val="36"/>
          <w:szCs w:val="20"/>
          <w:highlight w:val="none"/>
        </w:rPr>
        <w:t xml:space="preserve"> </w:t>
      </w:r>
      <w:bookmarkEnd w:id="406"/>
      <w:r>
        <w:rPr>
          <w:rFonts w:hint="eastAsia" w:ascii="宋体" w:hAnsi="宋体" w:cs="宋体"/>
          <w:b/>
          <w:sz w:val="36"/>
          <w:szCs w:val="20"/>
          <w:highlight w:val="none"/>
        </w:rPr>
        <w:t>应提交的有关格式范例</w:t>
      </w:r>
    </w:p>
    <w:p w14:paraId="0C812DB0">
      <w:pPr>
        <w:spacing w:line="360" w:lineRule="auto"/>
        <w:jc w:val="center"/>
        <w:outlineLvl w:val="0"/>
        <w:rPr>
          <w:rFonts w:ascii="宋体" w:hAnsi="宋体" w:cs="宋体"/>
          <w:b/>
          <w:kern w:val="0"/>
          <w:sz w:val="36"/>
          <w:szCs w:val="36"/>
          <w:highlight w:val="none"/>
        </w:rPr>
      </w:pPr>
    </w:p>
    <w:p w14:paraId="30A5D79C">
      <w:pPr>
        <w:pStyle w:val="3"/>
        <w:rPr>
          <w:rFonts w:ascii="宋体" w:hAnsi="宋体" w:eastAsia="宋体" w:cs="宋体"/>
          <w:kern w:val="0"/>
          <w:sz w:val="36"/>
          <w:szCs w:val="36"/>
          <w:highlight w:val="none"/>
        </w:rPr>
      </w:pPr>
    </w:p>
    <w:p w14:paraId="0CEC249B">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一、投标人提交投标文件须知：</w:t>
      </w:r>
    </w:p>
    <w:p w14:paraId="3EBB15D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3652A6C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2、所附表格中要求回答的全部问题和/或信息都必须正面回答。</w:t>
      </w:r>
    </w:p>
    <w:p w14:paraId="1E5BA4C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3、本声明书的签字人应保证全部声明和问题的回答是真实的和准确的。</w:t>
      </w:r>
    </w:p>
    <w:p w14:paraId="293743A5">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4、评标委员会将应用投标人提交的资料作出自己的判断。</w:t>
      </w:r>
    </w:p>
    <w:p w14:paraId="7EC3344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5、投标人提交的材料将在一定期限内被保密保存，但不退还。</w:t>
      </w:r>
    </w:p>
    <w:p w14:paraId="584C6FF5">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highlight w:val="none"/>
        </w:rPr>
        <w:t>将有可能被评标委员会认定为投标无效。</w:t>
      </w:r>
    </w:p>
    <w:p w14:paraId="60538B08">
      <w:pPr>
        <w:spacing w:line="360" w:lineRule="auto"/>
        <w:jc w:val="center"/>
        <w:outlineLvl w:val="0"/>
        <w:rPr>
          <w:rFonts w:ascii="宋体" w:hAnsi="宋体" w:cs="宋体"/>
          <w:b/>
          <w:kern w:val="0"/>
          <w:sz w:val="36"/>
          <w:szCs w:val="36"/>
          <w:highlight w:val="none"/>
        </w:rPr>
      </w:pPr>
    </w:p>
    <w:p w14:paraId="1B6881EB">
      <w:pPr>
        <w:rPr>
          <w:rFonts w:ascii="宋体" w:hAnsi="宋体" w:cs="宋体"/>
          <w:highlight w:val="none"/>
        </w:rPr>
      </w:pPr>
    </w:p>
    <w:p w14:paraId="465422AD">
      <w:pPr>
        <w:pStyle w:val="3"/>
        <w:rPr>
          <w:rFonts w:ascii="宋体" w:hAnsi="宋体" w:eastAsia="宋体" w:cs="宋体"/>
          <w:highlight w:val="none"/>
        </w:rPr>
      </w:pPr>
    </w:p>
    <w:p w14:paraId="20AD7505">
      <w:pPr>
        <w:rPr>
          <w:rFonts w:ascii="宋体" w:hAnsi="宋体" w:cs="宋体"/>
          <w:highlight w:val="none"/>
        </w:rPr>
      </w:pPr>
    </w:p>
    <w:p w14:paraId="173DDB03">
      <w:pPr>
        <w:pStyle w:val="3"/>
        <w:rPr>
          <w:rFonts w:ascii="宋体" w:hAnsi="宋体" w:eastAsia="宋体" w:cs="宋体"/>
          <w:highlight w:val="none"/>
        </w:rPr>
      </w:pPr>
    </w:p>
    <w:p w14:paraId="0DFFE378">
      <w:pPr>
        <w:rPr>
          <w:rFonts w:ascii="宋体" w:hAnsi="宋体" w:cs="宋体"/>
          <w:highlight w:val="none"/>
        </w:rPr>
      </w:pPr>
    </w:p>
    <w:p w14:paraId="47A714AD">
      <w:pPr>
        <w:jc w:val="left"/>
        <w:rPr>
          <w:rFonts w:ascii="宋体" w:hAnsi="宋体" w:cs="宋体"/>
          <w:highlight w:val="none"/>
        </w:rPr>
      </w:pPr>
    </w:p>
    <w:p w14:paraId="4602E079">
      <w:pPr>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0CCD061C">
      <w:pPr>
        <w:shd w:val="clear" w:color="auto" w:fill="FFFFFF"/>
        <w:snapToGrid w:val="0"/>
        <w:spacing w:line="360" w:lineRule="auto"/>
        <w:jc w:val="center"/>
        <w:outlineLvl w:val="0"/>
        <w:rPr>
          <w:rFonts w:ascii="宋体" w:hAnsi="宋体" w:cs="宋体"/>
          <w:b/>
          <w:bCs/>
          <w:color w:val="000000"/>
          <w:sz w:val="52"/>
          <w:szCs w:val="52"/>
          <w:highlight w:val="none"/>
        </w:rPr>
      </w:pPr>
    </w:p>
    <w:p w14:paraId="7383B7D5">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资格文件部分(封面）</w:t>
      </w:r>
    </w:p>
    <w:p w14:paraId="70F04860">
      <w:pPr>
        <w:spacing w:line="360" w:lineRule="auto"/>
        <w:jc w:val="center"/>
        <w:outlineLvl w:val="0"/>
        <w:rPr>
          <w:rFonts w:ascii="宋体" w:hAnsi="宋体" w:cs="宋体"/>
          <w:b/>
          <w:kern w:val="0"/>
          <w:sz w:val="36"/>
          <w:szCs w:val="36"/>
          <w:highlight w:val="none"/>
        </w:rPr>
      </w:pPr>
    </w:p>
    <w:p w14:paraId="71AE96C7">
      <w:pPr>
        <w:shd w:val="clear" w:color="auto" w:fill="FFFFFF"/>
        <w:snapToGrid w:val="0"/>
        <w:spacing w:line="360" w:lineRule="auto"/>
        <w:jc w:val="center"/>
        <w:outlineLvl w:val="0"/>
        <w:rPr>
          <w:rFonts w:ascii="宋体" w:hAnsi="宋体" w:cs="宋体"/>
          <w:b/>
          <w:bCs/>
          <w:color w:val="000000"/>
          <w:sz w:val="44"/>
          <w:szCs w:val="44"/>
          <w:highlight w:val="none"/>
        </w:rPr>
      </w:pPr>
      <w:r>
        <w:rPr>
          <w:rFonts w:hint="eastAsia" w:ascii="宋体" w:hAnsi="宋体" w:cs="宋体"/>
          <w:b/>
          <w:bCs/>
          <w:color w:val="000000"/>
          <w:sz w:val="44"/>
          <w:szCs w:val="44"/>
          <w:highlight w:val="none"/>
        </w:rPr>
        <w:t>（项目名称）</w:t>
      </w:r>
    </w:p>
    <w:p w14:paraId="1486C135">
      <w:pPr>
        <w:shd w:val="clear" w:color="auto" w:fill="FFFFFF"/>
        <w:snapToGrid w:val="0"/>
        <w:spacing w:line="360" w:lineRule="auto"/>
        <w:jc w:val="center"/>
        <w:outlineLvl w:val="0"/>
        <w:rPr>
          <w:rFonts w:ascii="宋体" w:hAnsi="宋体" w:cs="宋体"/>
          <w:b/>
          <w:bCs/>
          <w:color w:val="000000"/>
          <w:sz w:val="52"/>
          <w:szCs w:val="52"/>
          <w:highlight w:val="none"/>
        </w:rPr>
      </w:pPr>
    </w:p>
    <w:p w14:paraId="4A195ACF">
      <w:pPr>
        <w:shd w:val="clear" w:color="auto" w:fill="FFFFFF"/>
        <w:snapToGrid w:val="0"/>
        <w:spacing w:line="360" w:lineRule="auto"/>
        <w:jc w:val="center"/>
        <w:outlineLvl w:val="0"/>
        <w:rPr>
          <w:rFonts w:ascii="宋体" w:hAnsi="宋体" w:cs="宋体"/>
          <w:b/>
          <w:bCs/>
          <w:color w:val="000000"/>
          <w:sz w:val="52"/>
          <w:szCs w:val="52"/>
          <w:highlight w:val="none"/>
        </w:rPr>
      </w:pPr>
      <w:r>
        <w:rPr>
          <w:rFonts w:hint="eastAsia" w:ascii="宋体" w:hAnsi="宋体" w:cs="宋体"/>
          <w:b/>
          <w:bCs/>
          <w:color w:val="000000"/>
          <w:sz w:val="52"/>
          <w:szCs w:val="52"/>
          <w:highlight w:val="none"/>
        </w:rPr>
        <w:t>资  格  文  件</w:t>
      </w:r>
    </w:p>
    <w:p w14:paraId="336986A9">
      <w:pPr>
        <w:widowControl/>
        <w:spacing w:line="360" w:lineRule="auto"/>
        <w:ind w:right="-2"/>
        <w:jc w:val="center"/>
        <w:outlineLvl w:val="1"/>
        <w:rPr>
          <w:rFonts w:ascii="宋体" w:hAnsi="宋体" w:cs="宋体"/>
          <w:b/>
          <w:color w:val="000000"/>
          <w:sz w:val="32"/>
          <w:szCs w:val="32"/>
          <w:highlight w:val="none"/>
        </w:rPr>
      </w:pPr>
      <w:r>
        <w:rPr>
          <w:rFonts w:hint="eastAsia" w:ascii="宋体" w:hAnsi="宋体" w:cs="宋体"/>
          <w:b/>
          <w:color w:val="000000"/>
          <w:sz w:val="32"/>
          <w:szCs w:val="32"/>
          <w:highlight w:val="none"/>
        </w:rPr>
        <w:t>（</w:t>
      </w:r>
      <w:r>
        <w:rPr>
          <w:rFonts w:hint="eastAsia" w:ascii="宋体" w:hAnsi="宋体" w:cs="宋体"/>
          <w:b/>
          <w:color w:val="000000"/>
          <w:sz w:val="32"/>
          <w:szCs w:val="32"/>
          <w:highlight w:val="none"/>
          <w:lang w:eastAsia="zh-CN"/>
        </w:rPr>
        <w:t>临采云电子招投标</w:t>
      </w:r>
      <w:r>
        <w:rPr>
          <w:rFonts w:hint="eastAsia" w:ascii="宋体" w:hAnsi="宋体" w:cs="宋体"/>
          <w:b/>
          <w:color w:val="000000"/>
          <w:sz w:val="32"/>
          <w:szCs w:val="32"/>
          <w:highlight w:val="none"/>
        </w:rPr>
        <w:t>）</w:t>
      </w:r>
    </w:p>
    <w:p w14:paraId="4A2E439B">
      <w:pPr>
        <w:pStyle w:val="97"/>
        <w:spacing w:line="360" w:lineRule="auto"/>
        <w:rPr>
          <w:rFonts w:cs="宋体"/>
          <w:sz w:val="32"/>
          <w:szCs w:val="32"/>
          <w:highlight w:val="none"/>
        </w:rPr>
      </w:pPr>
    </w:p>
    <w:p w14:paraId="0F367AE4">
      <w:pPr>
        <w:shd w:val="clear" w:color="auto" w:fill="FFFFFF"/>
        <w:snapToGrid w:val="0"/>
        <w:spacing w:line="360" w:lineRule="auto"/>
        <w:jc w:val="center"/>
        <w:outlineLvl w:val="1"/>
        <w:rPr>
          <w:rFonts w:ascii="宋体" w:hAnsi="宋体" w:cs="宋体"/>
          <w:b/>
          <w:bCs/>
          <w:color w:val="000000"/>
          <w:sz w:val="32"/>
          <w:szCs w:val="32"/>
          <w:highlight w:val="none"/>
        </w:rPr>
      </w:pPr>
      <w:r>
        <w:rPr>
          <w:rFonts w:hint="eastAsia" w:ascii="宋体" w:hAnsi="宋体" w:cs="宋体"/>
          <w:b/>
          <w:bCs/>
          <w:color w:val="000000"/>
          <w:sz w:val="32"/>
          <w:szCs w:val="32"/>
          <w:highlight w:val="none"/>
        </w:rPr>
        <w:t xml:space="preserve">招标编号： </w:t>
      </w:r>
    </w:p>
    <w:p w14:paraId="22043FC9">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0DB61DAC">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0C829F06">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741F94A1">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01DA3AB2">
      <w:pPr>
        <w:snapToGrid w:val="0"/>
        <w:spacing w:line="360" w:lineRule="auto"/>
        <w:ind w:firstLine="0" w:firstLineChars="0"/>
        <w:rPr>
          <w:rFonts w:ascii="宋体" w:hAnsi="宋体" w:cs="宋体"/>
          <w:color w:val="000000"/>
          <w:sz w:val="32"/>
          <w:szCs w:val="32"/>
          <w:highlight w:val="none"/>
        </w:rPr>
      </w:pPr>
    </w:p>
    <w:p w14:paraId="7ECE2D30">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5C64D8B6">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04DD071F">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69468E13">
      <w:pPr>
        <w:pStyle w:val="2"/>
        <w:snapToGrid w:val="0"/>
        <w:rPr>
          <w:rFonts w:ascii="宋体" w:hAnsi="宋体" w:cs="宋体"/>
          <w:color w:val="000000"/>
          <w:sz w:val="32"/>
          <w:szCs w:val="32"/>
          <w:highlight w:val="none"/>
        </w:rPr>
        <w:sectPr>
          <w:headerReference r:id="rId5" w:type="default"/>
          <w:footerReference r:id="rId6"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71BB55D4">
      <w:pPr>
        <w:spacing w:line="360" w:lineRule="auto"/>
        <w:jc w:val="center"/>
        <w:outlineLvl w:val="0"/>
        <w:rPr>
          <w:rFonts w:ascii="宋体" w:hAnsi="宋体" w:cs="宋体"/>
          <w:b/>
          <w:kern w:val="0"/>
          <w:sz w:val="36"/>
          <w:szCs w:val="36"/>
          <w:highlight w:val="none"/>
        </w:rPr>
      </w:pPr>
    </w:p>
    <w:p w14:paraId="3A06848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74F8E45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1176EC1">
      <w:pPr>
        <w:spacing w:line="360" w:lineRule="auto"/>
        <w:jc w:val="center"/>
        <w:outlineLvl w:val="0"/>
        <w:rPr>
          <w:rFonts w:ascii="宋体" w:hAnsi="宋体" w:cs="宋体"/>
          <w:b/>
          <w:kern w:val="0"/>
          <w:sz w:val="36"/>
          <w:szCs w:val="36"/>
          <w:highlight w:val="none"/>
        </w:rPr>
      </w:pPr>
    </w:p>
    <w:p w14:paraId="17704F8D">
      <w:pPr>
        <w:numPr>
          <w:ilvl w:val="0"/>
          <w:numId w:val="14"/>
        </w:numPr>
        <w:snapToGrid w:val="0"/>
        <w:spacing w:line="360" w:lineRule="auto"/>
        <w:rPr>
          <w:rFonts w:hint="eastAsia" w:ascii="宋体" w:hAnsi="宋体" w:cs="宋体"/>
          <w:sz w:val="24"/>
          <w:highlight w:val="none"/>
        </w:rPr>
      </w:pPr>
      <w:r>
        <w:rPr>
          <w:rFonts w:hint="eastAsia" w:ascii="宋体" w:hAnsi="宋体" w:cs="宋体"/>
          <w:sz w:val="24"/>
          <w:highlight w:val="none"/>
        </w:rPr>
        <w:t>符合参加招标活动应当具备的一般条件的承诺函……………（页码）</w:t>
      </w:r>
    </w:p>
    <w:p w14:paraId="74BF1438">
      <w:pPr>
        <w:snapToGrid w:val="0"/>
        <w:spacing w:line="360" w:lineRule="auto"/>
        <w:rPr>
          <w:rFonts w:ascii="宋体" w:hAnsi="宋体" w:cs="宋体"/>
          <w:sz w:val="24"/>
          <w:highlight w:val="none"/>
        </w:rPr>
      </w:pPr>
      <w:r>
        <w:rPr>
          <w:rFonts w:hint="eastAsia" w:ascii="宋体" w:hAnsi="宋体" w:cs="宋体"/>
          <w:snapToGrid w:val="0"/>
          <w:kern w:val="28"/>
          <w:sz w:val="24"/>
          <w:szCs w:val="24"/>
          <w:highlight w:val="none"/>
        </w:rPr>
        <w:t>（2）法人或者其他组织机构的营业执照</w:t>
      </w:r>
      <w:r>
        <w:rPr>
          <w:rFonts w:hint="eastAsia" w:ascii="宋体" w:hAnsi="宋体" w:cs="宋体"/>
          <w:sz w:val="24"/>
          <w:highlight w:val="none"/>
        </w:rPr>
        <w:t>…………………………………（页码）</w:t>
      </w:r>
    </w:p>
    <w:p w14:paraId="11951DC4">
      <w:pPr>
        <w:snapToGrid w:val="0"/>
        <w:spacing w:line="360" w:lineRule="auto"/>
        <w:rPr>
          <w:rFonts w:ascii="宋体" w:hAnsi="宋体" w:cs="宋体"/>
          <w:sz w:val="24"/>
          <w:highlight w:val="none"/>
        </w:rPr>
      </w:pPr>
      <w:r>
        <w:rPr>
          <w:rFonts w:hint="eastAsia" w:ascii="宋体" w:hAnsi="宋体" w:cs="宋体"/>
          <w:snapToGrid w:val="0"/>
          <w:kern w:val="28"/>
          <w:sz w:val="24"/>
          <w:szCs w:val="24"/>
          <w:highlight w:val="none"/>
        </w:rPr>
        <w:t>（3）</w:t>
      </w:r>
      <w:r>
        <w:rPr>
          <w:rFonts w:hint="eastAsia" w:ascii="宋体" w:hAnsi="宋体" w:cs="宋体"/>
          <w:sz w:val="24"/>
          <w:highlight w:val="none"/>
        </w:rPr>
        <w:t>本项目的特定资格要求………………………………………………（页码）</w:t>
      </w:r>
    </w:p>
    <w:p w14:paraId="4A7BC83A">
      <w:pPr>
        <w:spacing w:line="360" w:lineRule="auto"/>
        <w:ind w:firstLine="480" w:firstLineChars="200"/>
        <w:rPr>
          <w:rFonts w:ascii="宋体" w:hAnsi="宋体" w:cs="宋体"/>
          <w:sz w:val="24"/>
          <w:highlight w:val="none"/>
        </w:rPr>
      </w:pPr>
    </w:p>
    <w:p w14:paraId="47852720">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p>
    <w:p w14:paraId="34F05186">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符合参加招标活动应当具备的一般条件的承诺函</w:t>
      </w:r>
    </w:p>
    <w:p w14:paraId="483E26A6">
      <w:pPr>
        <w:snapToGrid w:val="0"/>
        <w:spacing w:line="360" w:lineRule="auto"/>
        <w:rPr>
          <w:rFonts w:hint="eastAsia" w:ascii="宋体" w:hAnsi="宋体" w:cs="宋体"/>
          <w:color w:val="000000"/>
          <w:sz w:val="24"/>
          <w:highlight w:val="none"/>
        </w:rPr>
      </w:pPr>
    </w:p>
    <w:p w14:paraId="122CA60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eastAsia="zh-CN"/>
        </w:rPr>
        <w:t>招标人</w:t>
      </w:r>
      <w:r>
        <w:rPr>
          <w:rFonts w:hint="eastAsia" w:ascii="宋体" w:hAnsi="宋体" w:cs="宋体"/>
          <w:color w:val="000000"/>
          <w:sz w:val="24"/>
          <w:highlight w:val="none"/>
        </w:rPr>
        <w:t>）、（</w:t>
      </w:r>
      <w:r>
        <w:rPr>
          <w:rFonts w:hint="eastAsia" w:ascii="宋体" w:hAnsi="宋体" w:cs="宋体"/>
          <w:color w:val="000000"/>
          <w:sz w:val="24"/>
          <w:highlight w:val="none"/>
          <w:lang w:eastAsia="zh-CN"/>
        </w:rPr>
        <w:t>招标代理机构</w:t>
      </w:r>
      <w:r>
        <w:rPr>
          <w:rFonts w:hint="eastAsia" w:ascii="宋体" w:hAnsi="宋体" w:cs="宋体"/>
          <w:color w:val="000000"/>
          <w:sz w:val="24"/>
          <w:highlight w:val="none"/>
        </w:rPr>
        <w:t>）：</w:t>
      </w:r>
    </w:p>
    <w:p w14:paraId="55223351">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u w:val="single"/>
        </w:rPr>
        <w:t xml:space="preserve">  </w:t>
      </w:r>
      <w:r>
        <w:rPr>
          <w:rFonts w:hint="eastAsia" w:ascii="宋体" w:hAnsi="宋体" w:cs="宋体"/>
          <w:b/>
          <w:bCs/>
          <w:color w:val="000000"/>
          <w:sz w:val="24"/>
          <w:highlight w:val="none"/>
          <w:u w:val="single"/>
        </w:rPr>
        <w:t>（项目名称）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【招标编号：</w:t>
      </w:r>
      <w:r>
        <w:rPr>
          <w:rFonts w:hint="eastAsia" w:ascii="宋体" w:hAnsi="宋体" w:cs="宋体"/>
          <w:b/>
          <w:bCs/>
          <w:color w:val="000000"/>
          <w:sz w:val="24"/>
          <w:highlight w:val="none"/>
        </w:rPr>
        <w:t>（采购编号）</w:t>
      </w:r>
      <w:r>
        <w:rPr>
          <w:rFonts w:hint="eastAsia" w:ascii="宋体" w:hAnsi="宋体" w:cs="宋体"/>
          <w:color w:val="000000"/>
          <w:sz w:val="24"/>
          <w:highlight w:val="none"/>
        </w:rPr>
        <w:t>】</w:t>
      </w:r>
      <w:r>
        <w:rPr>
          <w:rFonts w:hint="eastAsia" w:ascii="宋体" w:hAnsi="宋体" w:cs="宋体"/>
          <w:color w:val="000000"/>
          <w:sz w:val="24"/>
          <w:highlight w:val="none"/>
          <w:lang w:eastAsia="zh-CN"/>
        </w:rPr>
        <w:t>临采云</w:t>
      </w:r>
      <w:r>
        <w:rPr>
          <w:rFonts w:hint="eastAsia" w:ascii="宋体" w:hAnsi="宋体" w:cs="宋体"/>
          <w:color w:val="000000"/>
          <w:sz w:val="24"/>
          <w:highlight w:val="none"/>
        </w:rPr>
        <w:t>采购活动，郑重承诺：</w:t>
      </w:r>
    </w:p>
    <w:p w14:paraId="035D21D9">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w:t>
      </w:r>
      <w:r>
        <w:rPr>
          <w:rFonts w:hint="eastAsia" w:ascii="宋体" w:hAnsi="宋体" w:cs="宋体"/>
          <w:color w:val="000000"/>
          <w:sz w:val="24"/>
          <w:highlight w:val="none"/>
          <w:lang w:eastAsia="zh-CN"/>
        </w:rPr>
        <w:t>以下规定内容</w:t>
      </w:r>
      <w:r>
        <w:rPr>
          <w:rFonts w:hint="eastAsia" w:ascii="宋体" w:hAnsi="宋体" w:cs="宋体"/>
          <w:color w:val="000000"/>
          <w:sz w:val="24"/>
          <w:highlight w:val="none"/>
        </w:rPr>
        <w:t>：</w:t>
      </w:r>
    </w:p>
    <w:p w14:paraId="3476DB27">
      <w:pPr>
        <w:snapToGrid w:val="0"/>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、具备独立承担民事责任能力、良好商业信誉；</w:t>
      </w:r>
    </w:p>
    <w:p w14:paraId="2D69708C">
      <w:pPr>
        <w:snapToGrid w:val="0"/>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具有履行合同所必需的设备和专业技术、售后保障等能力；</w:t>
      </w:r>
    </w:p>
    <w:p w14:paraId="05F7980A">
      <w:pPr>
        <w:snapToGrid w:val="0"/>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、近三年内在政府采购、招投标等活动中没有违法违规行为的；</w:t>
      </w:r>
    </w:p>
    <w:p w14:paraId="0D84FF28">
      <w:pPr>
        <w:snapToGrid w:val="0"/>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lang w:eastAsia="zh-CN"/>
        </w:rPr>
        <w:t>、法律法规规定的其他条件</w:t>
      </w:r>
      <w:r>
        <w:rPr>
          <w:rFonts w:hint="eastAsia" w:ascii="宋体" w:hAnsi="宋体" w:cs="宋体"/>
          <w:color w:val="000000"/>
          <w:sz w:val="24"/>
          <w:highlight w:val="none"/>
        </w:rPr>
        <w:t>。</w:t>
      </w:r>
    </w:p>
    <w:p w14:paraId="4BECCD5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41D8A0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2038D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1、单位负责人为同一人或者存在直接控股、管理关系的不同供应商参加同一合同项下的招标活动的；</w:t>
      </w:r>
    </w:p>
    <w:p w14:paraId="1555B7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2、为采购项目提供整体设计、规范编制或者项目管理、监理、检测等服务后再参加该招标项目的其他采购活动的。</w:t>
      </w:r>
    </w:p>
    <w:p w14:paraId="54941FAD">
      <w:pPr>
        <w:snapToGrid w:val="0"/>
        <w:spacing w:line="360" w:lineRule="auto"/>
        <w:ind w:firstLine="5520" w:firstLineChars="2300"/>
        <w:rPr>
          <w:rFonts w:hint="eastAsia" w:ascii="宋体" w:hAnsi="宋体" w:cs="宋体"/>
          <w:kern w:val="0"/>
          <w:sz w:val="24"/>
          <w:highlight w:val="none"/>
          <w:lang w:val="zh-CN"/>
        </w:rPr>
      </w:pPr>
    </w:p>
    <w:p w14:paraId="293EF50C">
      <w:pPr>
        <w:snapToGrid w:val="0"/>
        <w:spacing w:line="360" w:lineRule="auto"/>
        <w:ind w:firstLine="0" w:firstLineChars="0"/>
        <w:jc w:val="right"/>
        <w:rPr>
          <w:rFonts w:ascii="宋体" w:hAnsi="宋体" w:cs="宋体"/>
          <w:kern w:val="0"/>
          <w:sz w:val="24"/>
          <w:highlight w:val="none"/>
        </w:rPr>
      </w:pPr>
      <w:r>
        <w:rPr>
          <w:rFonts w:hint="eastAsia" w:ascii="宋体" w:hAnsi="宋体" w:cs="宋体"/>
          <w:kern w:val="0"/>
          <w:sz w:val="24"/>
          <w:highlight w:val="none"/>
          <w:lang w:val="zh-CN"/>
        </w:rPr>
        <w:t>投标人名称(单位公章或电子公章)：</w:t>
      </w:r>
    </w:p>
    <w:p w14:paraId="4E89A49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6649129">
      <w:pPr>
        <w:snapToGrid w:val="0"/>
        <w:spacing w:line="360" w:lineRule="auto"/>
        <w:ind w:right="480"/>
        <w:jc w:val="center"/>
        <w:rPr>
          <w:rFonts w:ascii="宋体" w:hAnsi="宋体" w:cs="宋体"/>
          <w:b/>
          <w:kern w:val="0"/>
          <w:sz w:val="32"/>
          <w:szCs w:val="32"/>
          <w:highlight w:val="none"/>
        </w:rPr>
      </w:pPr>
    </w:p>
    <w:p w14:paraId="66FBD10C">
      <w:pPr>
        <w:snapToGrid w:val="0"/>
        <w:spacing w:line="360" w:lineRule="auto"/>
        <w:ind w:right="480"/>
        <w:jc w:val="center"/>
        <w:rPr>
          <w:rFonts w:ascii="宋体" w:hAnsi="宋体" w:cs="宋体"/>
          <w:b/>
          <w:kern w:val="0"/>
          <w:sz w:val="32"/>
          <w:szCs w:val="32"/>
          <w:highlight w:val="none"/>
        </w:rPr>
      </w:pPr>
    </w:p>
    <w:p w14:paraId="4F0B7183">
      <w:pPr>
        <w:snapToGrid w:val="0"/>
        <w:spacing w:line="360" w:lineRule="auto"/>
        <w:ind w:right="480"/>
        <w:jc w:val="center"/>
        <w:rPr>
          <w:rFonts w:ascii="宋体" w:hAnsi="宋体" w:cs="宋体"/>
          <w:b/>
          <w:kern w:val="0"/>
          <w:sz w:val="32"/>
          <w:szCs w:val="32"/>
          <w:highlight w:val="none"/>
        </w:rPr>
      </w:pPr>
    </w:p>
    <w:p w14:paraId="26AD982F">
      <w:pPr>
        <w:rPr>
          <w:rFonts w:ascii="宋体" w:hAnsi="宋体" w:cs="宋体"/>
          <w:highlight w:val="none"/>
        </w:rPr>
      </w:pPr>
    </w:p>
    <w:p w14:paraId="4FCAB480">
      <w:pPr>
        <w:snapToGrid w:val="0"/>
        <w:spacing w:line="360" w:lineRule="auto"/>
        <w:ind w:right="480"/>
        <w:jc w:val="center"/>
        <w:rPr>
          <w:rFonts w:ascii="宋体" w:hAnsi="宋体" w:cs="宋体"/>
          <w:b/>
          <w:kern w:val="0"/>
          <w:sz w:val="32"/>
          <w:szCs w:val="32"/>
          <w:highlight w:val="none"/>
        </w:rPr>
      </w:pPr>
    </w:p>
    <w:p w14:paraId="4CA72FA0">
      <w:pPr>
        <w:snapToGrid w:val="0"/>
        <w:spacing w:before="50" w:after="50" w:line="360" w:lineRule="auto"/>
        <w:rPr>
          <w:rFonts w:ascii="宋体" w:hAnsi="宋体" w:cs="宋体"/>
          <w:b/>
          <w:bCs w:val="0"/>
          <w:sz w:val="24"/>
          <w:highlight w:val="none"/>
        </w:rPr>
      </w:pPr>
    </w:p>
    <w:p w14:paraId="469583F7">
      <w:pPr>
        <w:rPr>
          <w:rFonts w:hint="eastAsia"/>
          <w:b/>
          <w:bCs w:val="0"/>
          <w:sz w:val="28"/>
          <w:szCs w:val="28"/>
          <w:highlight w:val="none"/>
          <w:lang w:val="en-US" w:eastAsia="zh-CN"/>
        </w:rPr>
      </w:pPr>
      <w:r>
        <w:rPr>
          <w:rFonts w:hint="eastAsia"/>
          <w:b/>
          <w:bCs w:val="0"/>
          <w:sz w:val="28"/>
          <w:szCs w:val="28"/>
          <w:highlight w:val="none"/>
          <w:lang w:val="en-US" w:eastAsia="zh-CN"/>
        </w:rPr>
        <w:br w:type="page"/>
      </w:r>
    </w:p>
    <w:p w14:paraId="0DAA752F">
      <w:pPr>
        <w:pStyle w:val="61"/>
        <w:numPr>
          <w:ilvl w:val="0"/>
          <w:numId w:val="0"/>
        </w:numPr>
        <w:rPr>
          <w:rFonts w:hint="eastAsia"/>
          <w:b/>
          <w:bCs w:val="0"/>
          <w:sz w:val="32"/>
          <w:szCs w:val="32"/>
          <w:highlight w:val="none"/>
          <w:lang w:val="zh-CN"/>
        </w:rPr>
      </w:pPr>
      <w:r>
        <w:rPr>
          <w:rFonts w:hint="eastAsia"/>
          <w:b/>
          <w:bCs w:val="0"/>
          <w:sz w:val="32"/>
          <w:szCs w:val="32"/>
          <w:highlight w:val="none"/>
          <w:lang w:val="en-US" w:eastAsia="zh-CN"/>
        </w:rPr>
        <w:t>二、</w:t>
      </w:r>
      <w:r>
        <w:rPr>
          <w:rFonts w:hint="eastAsia"/>
          <w:b/>
          <w:sz w:val="32"/>
          <w:szCs w:val="32"/>
          <w:highlight w:val="none"/>
          <w:lang w:val="zh-CN"/>
        </w:rPr>
        <w:t>营业执照（或事业单位法人登记证书或其他工商等登记证明材料）复印件</w:t>
      </w:r>
      <w:r>
        <w:rPr>
          <w:rFonts w:hint="eastAsia"/>
          <w:b/>
          <w:bCs w:val="0"/>
          <w:sz w:val="32"/>
          <w:szCs w:val="32"/>
          <w:highlight w:val="none"/>
          <w:lang w:val="zh-CN"/>
        </w:rPr>
        <w:t>；</w:t>
      </w:r>
    </w:p>
    <w:p w14:paraId="59A05501">
      <w:pPr>
        <w:spacing w:line="360" w:lineRule="auto"/>
        <w:ind w:firstLine="560" w:firstLineChars="200"/>
        <w:rPr>
          <w:rFonts w:ascii="宋体" w:hAnsi="宋体" w:cs="宋体"/>
          <w:sz w:val="28"/>
          <w:szCs w:val="28"/>
          <w:highlight w:val="none"/>
        </w:rPr>
      </w:pPr>
    </w:p>
    <w:p w14:paraId="260786AF">
      <w:pPr>
        <w:snapToGrid w:val="0"/>
        <w:spacing w:line="360" w:lineRule="auto"/>
        <w:ind w:firstLine="883" w:firstLineChars="200"/>
        <w:rPr>
          <w:rFonts w:hint="eastAsia" w:ascii="宋体" w:hAnsi="宋体" w:cs="宋体"/>
          <w:b/>
          <w:kern w:val="0"/>
          <w:sz w:val="44"/>
          <w:szCs w:val="44"/>
          <w:highlight w:val="none"/>
        </w:rPr>
      </w:pPr>
    </w:p>
    <w:p w14:paraId="1031524E">
      <w:pPr>
        <w:snapToGrid w:val="0"/>
        <w:spacing w:line="360" w:lineRule="auto"/>
        <w:ind w:firstLine="643" w:firstLineChars="200"/>
        <w:jc w:val="center"/>
        <w:rPr>
          <w:rFonts w:hint="eastAsia" w:ascii="宋体" w:hAnsi="宋体" w:cs="宋体"/>
          <w:b w:val="0"/>
          <w:bCs w:val="0"/>
          <w:sz w:val="24"/>
          <w:highlight w:val="none"/>
        </w:rPr>
      </w:pPr>
      <w:r>
        <w:rPr>
          <w:rFonts w:hint="eastAsia" w:ascii="宋体" w:hAnsi="宋体" w:cs="宋体"/>
          <w:b/>
          <w:bCs/>
          <w:kern w:val="2"/>
          <w:sz w:val="32"/>
          <w:szCs w:val="32"/>
          <w:highlight w:val="none"/>
          <w:lang w:eastAsia="zh-CN"/>
        </w:rPr>
        <w:t>提供</w:t>
      </w:r>
      <w:r>
        <w:rPr>
          <w:rFonts w:hint="eastAsia" w:ascii="宋体" w:hAnsi="宋体" w:cs="宋体"/>
          <w:b/>
          <w:bCs/>
          <w:kern w:val="2"/>
          <w:sz w:val="32"/>
          <w:szCs w:val="32"/>
          <w:highlight w:val="none"/>
        </w:rPr>
        <w:t>营业执照（复印件加盖单位公章或电子公章）</w:t>
      </w:r>
      <w:r>
        <w:rPr>
          <w:rFonts w:hint="eastAsia" w:ascii="宋体" w:hAnsi="宋体" w:cs="宋体"/>
          <w:b/>
          <w:kern w:val="0"/>
          <w:sz w:val="44"/>
          <w:szCs w:val="44"/>
          <w:highlight w:val="none"/>
        </w:rPr>
        <w:br w:type="page"/>
      </w:r>
    </w:p>
    <w:p w14:paraId="33043D19">
      <w:pPr>
        <w:pStyle w:val="3"/>
        <w:jc w:val="center"/>
        <w:rPr>
          <w:rFonts w:hint="eastAsia" w:ascii="宋体" w:hAnsi="宋体" w:eastAsia="宋体" w:cs="宋体"/>
          <w:sz w:val="32"/>
          <w:szCs w:val="32"/>
          <w:highlight w:val="none"/>
          <w:lang w:val="en-US"/>
        </w:rPr>
      </w:pPr>
      <w:r>
        <w:rPr>
          <w:rFonts w:hint="eastAsia" w:ascii="宋体" w:hAnsi="宋体" w:eastAsia="宋体" w:cs="宋体"/>
          <w:sz w:val="32"/>
          <w:szCs w:val="32"/>
          <w:highlight w:val="none"/>
          <w:lang w:val="en-US" w:eastAsia="zh-CN"/>
        </w:rPr>
        <w:t>三</w:t>
      </w:r>
      <w:r>
        <w:rPr>
          <w:rFonts w:hint="eastAsia" w:ascii="宋体" w:hAnsi="宋体" w:eastAsia="宋体" w:cs="宋体"/>
          <w:sz w:val="32"/>
          <w:szCs w:val="32"/>
          <w:highlight w:val="none"/>
          <w:lang w:val="en-US"/>
        </w:rPr>
        <w:t>、本项目的特定资格要求</w:t>
      </w:r>
    </w:p>
    <w:p w14:paraId="67BB8682">
      <w:pPr>
        <w:spacing w:line="360" w:lineRule="auto"/>
        <w:jc w:val="center"/>
        <w:rPr>
          <w:rFonts w:hint="eastAsia" w:ascii="宋体" w:hAnsi="宋体" w:eastAsia="宋体" w:cs="宋体"/>
          <w:sz w:val="28"/>
          <w:szCs w:val="28"/>
          <w:highlight w:val="none"/>
        </w:rPr>
      </w:pPr>
    </w:p>
    <w:p w14:paraId="3B95F2C8">
      <w:pPr>
        <w:keepNext w:val="0"/>
        <w:keepLines w:val="0"/>
        <w:pageBreakBefore w:val="0"/>
        <w:widowControl w:val="0"/>
        <w:numPr>
          <w:ilvl w:val="0"/>
          <w:numId w:val="0"/>
        </w:numPr>
        <w:kinsoku/>
        <w:wordWrap/>
        <w:overflowPunct/>
        <w:topLinePunct w:val="0"/>
        <w:bidi w:val="0"/>
        <w:adjustRightInd w:val="0"/>
        <w:snapToGrid w:val="0"/>
        <w:spacing w:beforeLines="0" w:afterLines="0" w:line="480" w:lineRule="auto"/>
        <w:ind w:firstLine="0" w:firstLine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诚信制裁企业不得参与）</w:t>
      </w:r>
      <w:r>
        <w:rPr>
          <w:rFonts w:hint="eastAsia" w:ascii="宋体" w:hAnsi="宋体" w:eastAsia="宋体" w:cs="宋体"/>
          <w:color w:val="auto"/>
          <w:sz w:val="28"/>
          <w:szCs w:val="28"/>
          <w:highlight w:val="none"/>
          <w:lang w:val="en-US" w:eastAsia="zh-CN"/>
        </w:rPr>
        <w:t>；</w:t>
      </w:r>
    </w:p>
    <w:p w14:paraId="5E568B6D">
      <w:pPr>
        <w:keepNext w:val="0"/>
        <w:keepLines w:val="0"/>
        <w:pageBreakBefore w:val="0"/>
        <w:widowControl w:val="0"/>
        <w:numPr>
          <w:ilvl w:val="0"/>
          <w:numId w:val="0"/>
        </w:numPr>
        <w:kinsoku/>
        <w:wordWrap/>
        <w:overflowPunct/>
        <w:topLinePunct w:val="0"/>
        <w:bidi w:val="0"/>
        <w:adjustRightInd w:val="0"/>
        <w:snapToGrid w:val="0"/>
        <w:spacing w:beforeLines="0" w:afterLines="0" w:line="48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8"/>
          <w:szCs w:val="32"/>
          <w:highlight w:val="none"/>
          <w:lang w:val="en-US" w:eastAsia="zh-CN"/>
        </w:rPr>
        <w:t>提供承诺书</w:t>
      </w:r>
      <w:r>
        <w:rPr>
          <w:rFonts w:hint="eastAsia" w:ascii="Times New Roman" w:hAnsi="Times New Roman" w:eastAsia="宋体" w:cs="Times New Roman"/>
          <w:b/>
          <w:bCs/>
          <w:color w:val="auto"/>
          <w:sz w:val="28"/>
          <w:szCs w:val="32"/>
        </w:rPr>
        <w:t>加</w:t>
      </w:r>
      <w:r>
        <w:rPr>
          <w:rFonts w:hint="eastAsia"/>
          <w:b/>
          <w:bCs/>
          <w:color w:val="auto"/>
          <w:sz w:val="28"/>
          <w:szCs w:val="32"/>
        </w:rPr>
        <w:t>盖单位公章或电子公章</w:t>
      </w:r>
    </w:p>
    <w:p w14:paraId="68F0E4AA">
      <w:pPr>
        <w:keepNext w:val="0"/>
        <w:keepLines w:val="0"/>
        <w:pageBreakBefore w:val="0"/>
        <w:widowControl w:val="0"/>
        <w:numPr>
          <w:ilvl w:val="0"/>
          <w:numId w:val="0"/>
        </w:numPr>
        <w:kinsoku/>
        <w:wordWrap/>
        <w:overflowPunct/>
        <w:topLinePunct w:val="0"/>
        <w:bidi w:val="0"/>
        <w:adjustRightInd w:val="0"/>
        <w:snapToGrid w:val="0"/>
        <w:spacing w:beforeLines="0" w:afterLines="0" w:line="480" w:lineRule="auto"/>
        <w:ind w:firstLine="0" w:firstLineChars="0"/>
        <w:jc w:val="left"/>
        <w:textAlignment w:val="auto"/>
        <w:rPr>
          <w:rFonts w:hint="eastAsia" w:ascii="宋体" w:hAnsi="宋体" w:eastAsia="宋体" w:cs="宋体"/>
          <w:color w:val="auto"/>
          <w:sz w:val="28"/>
          <w:szCs w:val="28"/>
          <w:highlight w:val="none"/>
          <w:lang w:val="en-US" w:eastAsia="zh-CN"/>
        </w:rPr>
      </w:pPr>
    </w:p>
    <w:p w14:paraId="3CD545E3">
      <w:pPr>
        <w:keepNext w:val="0"/>
        <w:keepLines w:val="0"/>
        <w:pageBreakBefore w:val="0"/>
        <w:widowControl w:val="0"/>
        <w:numPr>
          <w:ilvl w:val="0"/>
          <w:numId w:val="0"/>
        </w:numPr>
        <w:kinsoku/>
        <w:wordWrap/>
        <w:overflowPunct/>
        <w:topLinePunct w:val="0"/>
        <w:bidi w:val="0"/>
        <w:adjustRightInd w:val="0"/>
        <w:snapToGrid w:val="0"/>
        <w:spacing w:beforeLines="0" w:afterLines="0" w:line="480" w:lineRule="auto"/>
        <w:ind w:firstLine="0" w:firstLine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自2020年1月1日以来，投标人至少具有1个类似项目供货业绩，提供合同复印件加盖公章</w:t>
      </w:r>
      <w:r>
        <w:rPr>
          <w:rFonts w:hint="eastAsia" w:ascii="宋体" w:hAnsi="宋体" w:eastAsia="宋体" w:cs="宋体"/>
          <w:color w:val="auto"/>
          <w:sz w:val="28"/>
          <w:szCs w:val="28"/>
          <w:highlight w:val="none"/>
          <w:lang w:val="en-US" w:eastAsia="zh-CN"/>
        </w:rPr>
        <w:t>；</w:t>
      </w:r>
    </w:p>
    <w:p w14:paraId="3485F6C8">
      <w:pPr>
        <w:jc w:val="center"/>
        <w:rPr>
          <w:rFonts w:hint="eastAsia"/>
          <w:b/>
          <w:bCs/>
          <w:color w:val="auto"/>
          <w:sz w:val="28"/>
          <w:szCs w:val="28"/>
          <w:lang w:val="en-US" w:eastAsia="zh-CN"/>
        </w:rPr>
      </w:pPr>
      <w:r>
        <w:rPr>
          <w:rFonts w:hint="eastAsia"/>
          <w:b/>
          <w:bCs/>
          <w:color w:val="auto"/>
          <w:sz w:val="28"/>
          <w:szCs w:val="28"/>
        </w:rPr>
        <w:t>提供合同复印件加盖单位公章或电子公章</w:t>
      </w:r>
    </w:p>
    <w:p w14:paraId="3614CAD4">
      <w:pPr>
        <w:widowControl/>
        <w:numPr>
          <w:ilvl w:val="0"/>
          <w:numId w:val="0"/>
        </w:numPr>
        <w:adjustRightInd/>
        <w:ind w:firstLine="562" w:firstLineChars="200"/>
        <w:jc w:val="left"/>
        <w:rPr>
          <w:rFonts w:hint="eastAsia" w:ascii="宋体" w:hAnsi="宋体" w:cs="宋体"/>
          <w:b/>
          <w:kern w:val="0"/>
          <w:sz w:val="28"/>
          <w:szCs w:val="28"/>
          <w:highlight w:val="none"/>
          <w:lang w:val="en-US" w:eastAsia="zh-CN"/>
        </w:rPr>
      </w:pPr>
    </w:p>
    <w:p w14:paraId="4138124C">
      <w:pPr>
        <w:widowControl/>
        <w:numPr>
          <w:ilvl w:val="0"/>
          <w:numId w:val="0"/>
        </w:numPr>
        <w:adjustRightInd/>
        <w:ind w:firstLine="0" w:firstLineChars="0"/>
        <w:jc w:val="left"/>
        <w:rPr>
          <w:rFonts w:hint="eastAsia" w:ascii="宋体" w:hAnsi="宋体" w:cs="宋体"/>
          <w:color w:val="000000"/>
          <w:sz w:val="32"/>
          <w:szCs w:val="32"/>
          <w:highlight w:val="none"/>
          <w:lang w:val="en-US" w:eastAsia="zh-CN"/>
        </w:rPr>
      </w:pPr>
    </w:p>
    <w:p w14:paraId="783317CF">
      <w:pPr>
        <w:pStyle w:val="61"/>
        <w:rPr>
          <w:rFonts w:hint="eastAsia" w:ascii="宋体" w:hAnsi="宋体" w:cs="宋体"/>
          <w:b/>
          <w:kern w:val="0"/>
          <w:sz w:val="28"/>
          <w:szCs w:val="28"/>
          <w:highlight w:val="none"/>
          <w:lang w:val="en-US" w:eastAsia="zh-CN"/>
        </w:rPr>
      </w:pPr>
    </w:p>
    <w:p w14:paraId="43567F58">
      <w:pPr>
        <w:rPr>
          <w:rFonts w:hint="eastAsia" w:ascii="宋体" w:hAnsi="宋体" w:cs="宋体"/>
          <w:b/>
          <w:kern w:val="0"/>
          <w:sz w:val="28"/>
          <w:szCs w:val="28"/>
          <w:highlight w:val="none"/>
          <w:lang w:val="en-US" w:eastAsia="zh-CN"/>
        </w:rPr>
      </w:pPr>
    </w:p>
    <w:p w14:paraId="54B3357B">
      <w:pPr>
        <w:pStyle w:val="61"/>
        <w:rPr>
          <w:rFonts w:hint="eastAsia" w:ascii="宋体" w:hAnsi="宋体" w:cs="宋体"/>
          <w:b/>
          <w:kern w:val="0"/>
          <w:sz w:val="28"/>
          <w:szCs w:val="28"/>
          <w:highlight w:val="none"/>
          <w:lang w:val="en-US" w:eastAsia="zh-CN"/>
        </w:rPr>
      </w:pPr>
    </w:p>
    <w:p w14:paraId="68D84683">
      <w:pPr>
        <w:rPr>
          <w:rFonts w:hint="default"/>
          <w:highlight w:val="none"/>
          <w:lang w:val="en-US" w:eastAsia="zh-CN"/>
        </w:rPr>
      </w:pPr>
    </w:p>
    <w:p w14:paraId="149C81E4">
      <w:pPr>
        <w:widowControl/>
        <w:jc w:val="center"/>
        <w:rPr>
          <w:rFonts w:ascii="宋体" w:hAnsi="宋体" w:cs="宋体"/>
          <w:b/>
          <w:kern w:val="0"/>
          <w:sz w:val="28"/>
          <w:szCs w:val="28"/>
          <w:highlight w:val="none"/>
        </w:rPr>
      </w:pPr>
    </w:p>
    <w:p w14:paraId="5EC343E4">
      <w:pPr>
        <w:pStyle w:val="26"/>
        <w:rPr>
          <w:rFonts w:hint="eastAsia" w:ascii="宋体" w:hAnsi="宋体" w:cs="宋体"/>
          <w:b/>
          <w:kern w:val="0"/>
          <w:sz w:val="44"/>
          <w:szCs w:val="44"/>
          <w:highlight w:val="none"/>
        </w:rPr>
      </w:pPr>
    </w:p>
    <w:p w14:paraId="1B4C16F1">
      <w:pPr>
        <w:pStyle w:val="61"/>
        <w:rPr>
          <w:rFonts w:hint="eastAsia" w:ascii="宋体" w:hAnsi="宋体" w:cs="宋体"/>
          <w:b/>
          <w:kern w:val="0"/>
          <w:sz w:val="44"/>
          <w:szCs w:val="44"/>
          <w:highlight w:val="none"/>
        </w:rPr>
      </w:pPr>
    </w:p>
    <w:p w14:paraId="220C5EA3">
      <w:pPr>
        <w:rPr>
          <w:rFonts w:hint="eastAsia" w:ascii="宋体" w:hAnsi="宋体" w:cs="宋体"/>
          <w:b/>
          <w:kern w:val="0"/>
          <w:sz w:val="44"/>
          <w:szCs w:val="44"/>
          <w:highlight w:val="none"/>
        </w:rPr>
      </w:pPr>
    </w:p>
    <w:p w14:paraId="2FE01D82">
      <w:pPr>
        <w:pStyle w:val="61"/>
        <w:rPr>
          <w:rFonts w:hint="eastAsia" w:ascii="宋体" w:hAnsi="宋体" w:cs="宋体"/>
          <w:b/>
          <w:kern w:val="0"/>
          <w:sz w:val="44"/>
          <w:szCs w:val="44"/>
          <w:highlight w:val="none"/>
        </w:rPr>
      </w:pPr>
    </w:p>
    <w:p w14:paraId="23170EBD">
      <w:pPr>
        <w:rPr>
          <w:rFonts w:hint="eastAsia"/>
          <w:highlight w:val="none"/>
        </w:rPr>
      </w:pPr>
    </w:p>
    <w:p w14:paraId="333C3652">
      <w:pPr>
        <w:spacing w:line="240" w:lineRule="auto"/>
        <w:ind w:right="0" w:firstLine="0" w:firstLineChars="0"/>
        <w:rPr>
          <w:rFonts w:hint="eastAsia" w:ascii="宋体" w:hAnsi="宋体" w:cs="宋体"/>
          <w:b/>
          <w:kern w:val="0"/>
          <w:sz w:val="44"/>
          <w:szCs w:val="44"/>
          <w:highlight w:val="none"/>
        </w:rPr>
      </w:pPr>
      <w:r>
        <w:rPr>
          <w:rFonts w:hint="eastAsia" w:ascii="宋体" w:hAnsi="宋体" w:cs="宋体"/>
          <w:b/>
          <w:kern w:val="0"/>
          <w:sz w:val="44"/>
          <w:szCs w:val="44"/>
          <w:highlight w:val="none"/>
        </w:rPr>
        <w:br w:type="page"/>
      </w:r>
    </w:p>
    <w:p w14:paraId="2A8C3A1E">
      <w:pPr>
        <w:spacing w:line="360" w:lineRule="auto"/>
        <w:ind w:right="420" w:firstLine="2209" w:firstLineChars="500"/>
        <w:rPr>
          <w:rFonts w:ascii="宋体" w:hAnsi="宋体" w:cs="宋体"/>
          <w:b/>
          <w:kern w:val="0"/>
          <w:sz w:val="44"/>
          <w:szCs w:val="44"/>
          <w:highlight w:val="none"/>
        </w:rPr>
      </w:pPr>
      <w:r>
        <w:rPr>
          <w:rFonts w:hint="eastAsia" w:ascii="宋体" w:hAnsi="宋体" w:cs="宋体"/>
          <w:b/>
          <w:kern w:val="0"/>
          <w:sz w:val="44"/>
          <w:szCs w:val="44"/>
          <w:highlight w:val="none"/>
        </w:rPr>
        <w:t>商务技术文件部分（封面）</w:t>
      </w:r>
    </w:p>
    <w:p w14:paraId="6BED6B4B">
      <w:pPr>
        <w:spacing w:line="360" w:lineRule="auto"/>
        <w:jc w:val="center"/>
        <w:outlineLvl w:val="0"/>
        <w:rPr>
          <w:rFonts w:ascii="宋体" w:hAnsi="宋体" w:cs="宋体"/>
          <w:b/>
          <w:kern w:val="0"/>
          <w:sz w:val="24"/>
          <w:highlight w:val="none"/>
        </w:rPr>
      </w:pPr>
    </w:p>
    <w:p w14:paraId="4C28C1F4">
      <w:pPr>
        <w:shd w:val="clear" w:color="auto" w:fill="FFFFFF"/>
        <w:snapToGrid w:val="0"/>
        <w:spacing w:line="360" w:lineRule="auto"/>
        <w:jc w:val="center"/>
        <w:outlineLvl w:val="0"/>
        <w:rPr>
          <w:rFonts w:ascii="宋体" w:hAnsi="宋体" w:cs="宋体"/>
          <w:b/>
          <w:bCs/>
          <w:color w:val="000000"/>
          <w:sz w:val="32"/>
          <w:szCs w:val="32"/>
          <w:highlight w:val="none"/>
        </w:rPr>
      </w:pPr>
      <w:r>
        <w:rPr>
          <w:rFonts w:hint="eastAsia" w:ascii="宋体" w:hAnsi="宋体" w:cs="宋体"/>
          <w:b/>
          <w:bCs/>
          <w:color w:val="000000"/>
          <w:sz w:val="32"/>
          <w:szCs w:val="32"/>
          <w:highlight w:val="none"/>
        </w:rPr>
        <w:t>（项目名称）</w:t>
      </w:r>
    </w:p>
    <w:p w14:paraId="791BA4E7">
      <w:pPr>
        <w:shd w:val="clear" w:color="auto" w:fill="FFFFFF"/>
        <w:snapToGrid w:val="0"/>
        <w:spacing w:line="360" w:lineRule="auto"/>
        <w:jc w:val="center"/>
        <w:outlineLvl w:val="0"/>
        <w:rPr>
          <w:rFonts w:ascii="宋体" w:hAnsi="宋体" w:cs="宋体"/>
          <w:b/>
          <w:bCs/>
          <w:color w:val="000000"/>
          <w:sz w:val="52"/>
          <w:szCs w:val="52"/>
          <w:highlight w:val="none"/>
        </w:rPr>
      </w:pPr>
      <w:bookmarkStart w:id="418" w:name="_Toc17190"/>
      <w:r>
        <w:rPr>
          <w:rFonts w:hint="eastAsia" w:ascii="宋体" w:hAnsi="宋体" w:cs="宋体"/>
          <w:b/>
          <w:bCs/>
          <w:color w:val="000000"/>
          <w:sz w:val="52"/>
          <w:szCs w:val="52"/>
          <w:highlight w:val="none"/>
        </w:rPr>
        <w:t>商 务 技 术 文 件</w:t>
      </w:r>
      <w:bookmarkEnd w:id="418"/>
    </w:p>
    <w:p w14:paraId="271DC67E">
      <w:pPr>
        <w:widowControl/>
        <w:spacing w:line="360" w:lineRule="auto"/>
        <w:ind w:right="-2"/>
        <w:jc w:val="center"/>
        <w:outlineLvl w:val="1"/>
        <w:rPr>
          <w:rFonts w:ascii="宋体" w:hAnsi="宋体" w:cs="宋体"/>
          <w:b/>
          <w:color w:val="000000"/>
          <w:sz w:val="36"/>
          <w:szCs w:val="36"/>
          <w:highlight w:val="none"/>
        </w:rPr>
      </w:pPr>
      <w:bookmarkStart w:id="419" w:name="_Toc27078"/>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临采云电子招投标</w:t>
      </w:r>
      <w:r>
        <w:rPr>
          <w:rFonts w:hint="eastAsia" w:ascii="宋体" w:hAnsi="宋体" w:cs="宋体"/>
          <w:b/>
          <w:color w:val="000000"/>
          <w:sz w:val="36"/>
          <w:szCs w:val="36"/>
          <w:highlight w:val="none"/>
        </w:rPr>
        <w:t>）</w:t>
      </w:r>
      <w:bookmarkEnd w:id="419"/>
    </w:p>
    <w:p w14:paraId="03F4340A">
      <w:pPr>
        <w:pStyle w:val="97"/>
        <w:spacing w:line="360" w:lineRule="auto"/>
        <w:rPr>
          <w:rFonts w:cs="宋体"/>
          <w:sz w:val="36"/>
          <w:szCs w:val="36"/>
          <w:highlight w:val="none"/>
        </w:rPr>
      </w:pPr>
    </w:p>
    <w:p w14:paraId="09564377">
      <w:pPr>
        <w:shd w:val="clear" w:color="auto" w:fill="FFFFFF"/>
        <w:snapToGrid w:val="0"/>
        <w:spacing w:line="360" w:lineRule="auto"/>
        <w:jc w:val="center"/>
        <w:outlineLvl w:val="1"/>
        <w:rPr>
          <w:rFonts w:ascii="宋体" w:hAnsi="宋体" w:cs="宋体"/>
          <w:b/>
          <w:bCs/>
          <w:color w:val="000000"/>
          <w:sz w:val="36"/>
          <w:szCs w:val="36"/>
          <w:highlight w:val="none"/>
        </w:rPr>
      </w:pPr>
      <w:bookmarkStart w:id="420" w:name="_Toc28851"/>
      <w:r>
        <w:rPr>
          <w:rFonts w:hint="eastAsia" w:ascii="宋体" w:hAnsi="宋体" w:cs="宋体"/>
          <w:b/>
          <w:bCs/>
          <w:color w:val="000000"/>
          <w:sz w:val="36"/>
          <w:szCs w:val="36"/>
          <w:highlight w:val="none"/>
        </w:rPr>
        <w:t xml:space="preserve">  招标编号：</w:t>
      </w:r>
      <w:bookmarkEnd w:id="420"/>
      <w:r>
        <w:rPr>
          <w:rFonts w:hint="eastAsia" w:ascii="宋体" w:hAnsi="宋体" w:cs="宋体"/>
          <w:b/>
          <w:bCs/>
          <w:color w:val="000000"/>
          <w:sz w:val="36"/>
          <w:szCs w:val="36"/>
          <w:highlight w:val="none"/>
        </w:rPr>
        <w:t xml:space="preserve">  </w:t>
      </w:r>
    </w:p>
    <w:p w14:paraId="172697B8">
      <w:pPr>
        <w:pStyle w:val="97"/>
        <w:spacing w:line="360" w:lineRule="auto"/>
        <w:rPr>
          <w:rFonts w:cs="宋体"/>
          <w:highlight w:val="none"/>
        </w:rPr>
      </w:pPr>
    </w:p>
    <w:p w14:paraId="7B4A746B">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4E7B1D65">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1110A2BF">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18B1E327">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50CAE6B9">
      <w:pPr>
        <w:snapToGrid w:val="0"/>
        <w:spacing w:line="360" w:lineRule="auto"/>
        <w:ind w:firstLine="1920" w:firstLineChars="600"/>
        <w:rPr>
          <w:rFonts w:ascii="宋体" w:hAnsi="宋体" w:cs="宋体"/>
          <w:color w:val="000000"/>
          <w:sz w:val="32"/>
          <w:szCs w:val="32"/>
          <w:highlight w:val="none"/>
        </w:rPr>
      </w:pPr>
    </w:p>
    <w:p w14:paraId="795E9896">
      <w:pPr>
        <w:snapToGrid w:val="0"/>
        <w:spacing w:line="360" w:lineRule="auto"/>
        <w:ind w:firstLine="1920" w:firstLineChars="600"/>
        <w:rPr>
          <w:rFonts w:ascii="宋体" w:hAnsi="宋体" w:cs="宋体"/>
          <w:color w:val="000000"/>
          <w:sz w:val="32"/>
          <w:szCs w:val="32"/>
          <w:highlight w:val="none"/>
        </w:rPr>
      </w:pPr>
    </w:p>
    <w:p w14:paraId="5573D828">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375C65DA">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36030F33">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670B4B1D">
      <w:pPr>
        <w:pStyle w:val="2"/>
        <w:snapToGrid w:val="0"/>
        <w:rPr>
          <w:rFonts w:ascii="宋体" w:hAnsi="宋体" w:cs="宋体"/>
          <w:color w:val="000000"/>
          <w:kern w:val="0"/>
          <w:sz w:val="32"/>
          <w:szCs w:val="32"/>
          <w:highlight w:val="none"/>
        </w:rPr>
        <w:sectPr>
          <w:headerReference r:id="rId7" w:type="default"/>
          <w:footerReference r:id="rId8"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11248C58">
      <w:pPr>
        <w:spacing w:line="360" w:lineRule="auto"/>
        <w:ind w:right="420" w:firstLine="3614" w:firstLineChars="1000"/>
        <w:rPr>
          <w:rFonts w:ascii="宋体" w:hAnsi="宋体" w:cs="宋体"/>
          <w:b/>
          <w:kern w:val="0"/>
          <w:sz w:val="36"/>
          <w:szCs w:val="36"/>
          <w:highlight w:val="none"/>
        </w:rPr>
      </w:pPr>
    </w:p>
    <w:p w14:paraId="0EF1F86B">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FC11088">
      <w:pPr>
        <w:spacing w:line="360" w:lineRule="auto"/>
        <w:jc w:val="center"/>
        <w:outlineLvl w:val="0"/>
        <w:rPr>
          <w:rFonts w:ascii="宋体" w:hAnsi="宋体" w:cs="宋体"/>
          <w:b/>
          <w:kern w:val="0"/>
          <w:sz w:val="24"/>
          <w:highlight w:val="none"/>
        </w:rPr>
      </w:pPr>
    </w:p>
    <w:p w14:paraId="4D90D28E">
      <w:pPr>
        <w:spacing w:line="360" w:lineRule="auto"/>
        <w:jc w:val="center"/>
        <w:outlineLvl w:val="0"/>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4E99B934">
      <w:pPr>
        <w:pStyle w:val="61"/>
        <w:rPr>
          <w:highlight w:val="none"/>
        </w:rPr>
      </w:pPr>
    </w:p>
    <w:p w14:paraId="7177517E">
      <w:pPr>
        <w:snapToGrid w:val="0"/>
        <w:spacing w:line="360" w:lineRule="auto"/>
        <w:ind w:left="479" w:leftChars="228"/>
        <w:rPr>
          <w:rFonts w:ascii="宋体" w:hAnsi="宋体" w:cs="宋体"/>
          <w:highlight w:val="none"/>
        </w:rPr>
      </w:pPr>
      <w:r>
        <w:rPr>
          <w:rFonts w:hint="eastAsia" w:ascii="宋体" w:hAnsi="宋体" w:cs="宋体"/>
          <w:sz w:val="24"/>
          <w:highlight w:val="none"/>
        </w:rPr>
        <w:t>（1）投标响应函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D1646D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（3）无失信行为承诺书</w:t>
      </w:r>
      <w:r>
        <w:rPr>
          <w:rFonts w:hint="eastAsia" w:ascii="宋体" w:hAnsi="宋体" w:cs="宋体"/>
          <w:highlight w:val="none"/>
        </w:rPr>
        <w:t>……………………………………………………………………（页码）</w:t>
      </w:r>
    </w:p>
    <w:p w14:paraId="69B584BC">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）符合性审查资料</w:t>
      </w:r>
      <w:r>
        <w:rPr>
          <w:rFonts w:hint="eastAsia" w:ascii="宋体" w:hAnsi="宋体" w:cs="宋体"/>
          <w:highlight w:val="none"/>
        </w:rPr>
        <w:t>………………………………………………………………………（页码）</w:t>
      </w:r>
    </w:p>
    <w:p w14:paraId="772F32F1">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eastAsia="zh-CN"/>
        </w:rPr>
        <w:t>项目人员情况表</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highlight w:val="none"/>
          <w:lang w:val="zh-CN"/>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）商务技术偏离表</w:t>
      </w:r>
      <w:r>
        <w:rPr>
          <w:rFonts w:hint="eastAsia" w:ascii="宋体" w:hAnsi="宋体" w:cs="宋体"/>
          <w:highlight w:val="none"/>
        </w:rPr>
        <w:t>………………………………………………………………………（页码）</w:t>
      </w:r>
    </w:p>
    <w:p w14:paraId="1AA2D650">
      <w:pPr>
        <w:snapToGrid w:val="0"/>
        <w:spacing w:line="360" w:lineRule="auto"/>
        <w:ind w:left="479" w:leftChars="228"/>
        <w:rPr>
          <w:rFonts w:hint="eastAsia" w:ascii="宋体" w:hAnsi="宋体" w:cs="宋体"/>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8</w:t>
      </w:r>
      <w:r>
        <w:rPr>
          <w:rFonts w:hint="eastAsia" w:ascii="宋体" w:hAnsi="宋体" w:eastAsia="宋体" w:cs="宋体"/>
          <w:sz w:val="24"/>
          <w:highlight w:val="none"/>
          <w:lang w:eastAsia="zh-CN"/>
        </w:rPr>
        <w:t>）</w:t>
      </w:r>
      <w:r>
        <w:rPr>
          <w:rFonts w:hint="eastAsia" w:ascii="宋体" w:hAnsi="宋体" w:eastAsia="宋体" w:cs="宋体"/>
          <w:sz w:val="24"/>
          <w:highlight w:val="none"/>
        </w:rPr>
        <w:t>采购需求</w:t>
      </w:r>
      <w:r>
        <w:rPr>
          <w:rFonts w:hint="eastAsia" w:ascii="宋体" w:hAnsi="宋体" w:cs="宋体"/>
          <w:sz w:val="24"/>
          <w:highlight w:val="none"/>
        </w:rPr>
        <w:t>实质性内容响应表…</w:t>
      </w:r>
      <w:r>
        <w:rPr>
          <w:rFonts w:hint="eastAsia" w:ascii="宋体" w:hAnsi="宋体" w:cs="宋体"/>
          <w:highlight w:val="none"/>
        </w:rPr>
        <w:t>……………………………………………………（页码）</w:t>
      </w:r>
    </w:p>
    <w:p w14:paraId="420B9A80">
      <w:pPr>
        <w:snapToGrid w:val="0"/>
        <w:spacing w:line="360" w:lineRule="auto"/>
        <w:ind w:left="479" w:leftChars="228"/>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）所投产品具体配置表</w:t>
      </w:r>
      <w:r>
        <w:rPr>
          <w:rFonts w:hint="eastAsia" w:ascii="宋体" w:hAnsi="宋体" w:cs="宋体"/>
          <w:highlight w:val="none"/>
        </w:rPr>
        <w:t>…………………………………………………………………（页码）</w:t>
      </w:r>
    </w:p>
    <w:p w14:paraId="5A0A1315">
      <w:pPr>
        <w:snapToGrid w:val="0"/>
        <w:spacing w:line="360" w:lineRule="auto"/>
        <w:ind w:left="479" w:leftChars="228"/>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10</w:t>
      </w:r>
      <w:r>
        <w:rPr>
          <w:rFonts w:hint="eastAsia" w:ascii="宋体" w:hAnsi="宋体" w:cs="宋体"/>
          <w:sz w:val="24"/>
          <w:highlight w:val="none"/>
          <w:lang w:val="zh-CN"/>
        </w:rPr>
        <w:t>）供应商廉洁自律承诺书</w:t>
      </w:r>
      <w:r>
        <w:rPr>
          <w:rFonts w:hint="eastAsia" w:ascii="宋体" w:hAnsi="宋体" w:cs="宋体"/>
          <w:highlight w:val="none"/>
        </w:rPr>
        <w:t>…………………………………………………………（页码）</w:t>
      </w:r>
    </w:p>
    <w:p w14:paraId="08DC9161">
      <w:pPr>
        <w:snapToGrid w:val="0"/>
        <w:spacing w:line="360" w:lineRule="auto"/>
        <w:ind w:left="479" w:leftChars="228"/>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11</w:t>
      </w:r>
      <w:r>
        <w:rPr>
          <w:rFonts w:hint="eastAsia" w:ascii="宋体" w:hAnsi="宋体" w:cs="宋体"/>
          <w:sz w:val="24"/>
          <w:highlight w:val="none"/>
          <w:lang w:val="zh-CN"/>
        </w:rPr>
        <w:t>）关于对招标文件中有关条款的拒绝声明（如果有）</w:t>
      </w:r>
      <w:r>
        <w:rPr>
          <w:rFonts w:hint="eastAsia" w:ascii="宋体" w:hAnsi="宋体" w:cs="宋体"/>
          <w:highlight w:val="none"/>
        </w:rPr>
        <w:t>…………………（页码）</w:t>
      </w:r>
    </w:p>
    <w:p w14:paraId="67D7B319">
      <w:pPr>
        <w:snapToGrid w:val="0"/>
        <w:spacing w:line="360" w:lineRule="auto"/>
        <w:ind w:left="479" w:leftChars="228"/>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12</w:t>
      </w:r>
      <w:r>
        <w:rPr>
          <w:rFonts w:hint="eastAsia" w:ascii="宋体" w:hAnsi="宋体" w:cs="宋体"/>
          <w:sz w:val="24"/>
          <w:highlight w:val="none"/>
          <w:lang w:val="zh-CN"/>
        </w:rPr>
        <w:t>）投标人认为需要提供的与本项目有关的其他文件和说明（如果有）</w:t>
      </w:r>
      <w:r>
        <w:rPr>
          <w:rFonts w:hint="eastAsia" w:ascii="宋体" w:hAnsi="宋体" w:cs="宋体"/>
          <w:highlight w:val="none"/>
        </w:rPr>
        <w:t>…（页码）</w:t>
      </w:r>
    </w:p>
    <w:p w14:paraId="51D58B1A">
      <w:pPr>
        <w:pStyle w:val="3"/>
        <w:rPr>
          <w:rFonts w:ascii="宋体" w:hAnsi="宋体" w:eastAsia="宋体" w:cs="宋体"/>
          <w:highlight w:val="none"/>
          <w:lang w:val="en-US"/>
        </w:rPr>
      </w:pPr>
    </w:p>
    <w:p w14:paraId="2D44D409">
      <w:pPr>
        <w:snapToGrid w:val="0"/>
        <w:spacing w:line="360" w:lineRule="auto"/>
        <w:jc w:val="center"/>
        <w:rPr>
          <w:rFonts w:ascii="宋体" w:hAnsi="宋体" w:cs="宋体"/>
          <w:b/>
          <w:kern w:val="0"/>
          <w:sz w:val="32"/>
          <w:szCs w:val="32"/>
          <w:highlight w:val="none"/>
          <w:lang w:val="zh-CN"/>
        </w:rPr>
      </w:pPr>
    </w:p>
    <w:p w14:paraId="74339A8C">
      <w:pPr>
        <w:snapToGrid w:val="0"/>
        <w:spacing w:line="360" w:lineRule="auto"/>
        <w:jc w:val="center"/>
        <w:rPr>
          <w:rFonts w:ascii="宋体" w:hAnsi="宋体" w:cs="宋体"/>
          <w:b/>
          <w:kern w:val="0"/>
          <w:sz w:val="32"/>
          <w:szCs w:val="32"/>
          <w:highlight w:val="none"/>
          <w:lang w:val="zh-CN"/>
        </w:rPr>
      </w:pPr>
    </w:p>
    <w:p w14:paraId="2923E624">
      <w:pPr>
        <w:snapToGrid w:val="0"/>
        <w:spacing w:line="360" w:lineRule="auto"/>
        <w:jc w:val="center"/>
        <w:rPr>
          <w:rFonts w:ascii="宋体" w:hAnsi="宋体" w:cs="宋体"/>
          <w:b/>
          <w:kern w:val="0"/>
          <w:sz w:val="32"/>
          <w:szCs w:val="32"/>
          <w:highlight w:val="none"/>
          <w:lang w:val="zh-CN"/>
        </w:rPr>
      </w:pPr>
    </w:p>
    <w:p w14:paraId="49914276">
      <w:pPr>
        <w:snapToGrid w:val="0"/>
        <w:spacing w:line="360" w:lineRule="auto"/>
        <w:jc w:val="center"/>
        <w:rPr>
          <w:rFonts w:ascii="宋体" w:hAnsi="宋体" w:cs="宋体"/>
          <w:b/>
          <w:kern w:val="0"/>
          <w:sz w:val="32"/>
          <w:szCs w:val="32"/>
          <w:highlight w:val="none"/>
          <w:lang w:val="zh-CN"/>
        </w:rPr>
      </w:pPr>
    </w:p>
    <w:p w14:paraId="131C41B9">
      <w:pPr>
        <w:snapToGrid w:val="0"/>
        <w:spacing w:line="360" w:lineRule="auto"/>
        <w:jc w:val="center"/>
        <w:rPr>
          <w:rFonts w:ascii="宋体" w:hAnsi="宋体" w:cs="宋体"/>
          <w:b/>
          <w:kern w:val="0"/>
          <w:sz w:val="32"/>
          <w:szCs w:val="32"/>
          <w:highlight w:val="none"/>
          <w:lang w:val="zh-CN"/>
        </w:rPr>
      </w:pPr>
    </w:p>
    <w:p w14:paraId="00587820">
      <w:pPr>
        <w:snapToGrid w:val="0"/>
        <w:spacing w:line="360" w:lineRule="auto"/>
        <w:jc w:val="center"/>
        <w:rPr>
          <w:rFonts w:ascii="宋体" w:hAnsi="宋体" w:cs="宋体"/>
          <w:b/>
          <w:kern w:val="0"/>
          <w:sz w:val="32"/>
          <w:szCs w:val="32"/>
          <w:highlight w:val="none"/>
          <w:lang w:val="zh-CN"/>
        </w:rPr>
      </w:pPr>
    </w:p>
    <w:p w14:paraId="4F99547E">
      <w:pPr>
        <w:snapToGrid w:val="0"/>
        <w:spacing w:line="360" w:lineRule="auto"/>
        <w:jc w:val="center"/>
        <w:rPr>
          <w:rFonts w:ascii="宋体" w:hAnsi="宋体" w:cs="宋体"/>
          <w:b/>
          <w:kern w:val="0"/>
          <w:sz w:val="32"/>
          <w:szCs w:val="32"/>
          <w:highlight w:val="none"/>
          <w:lang w:val="zh-CN"/>
        </w:rPr>
      </w:pPr>
    </w:p>
    <w:p w14:paraId="58AC677C">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一、投标响应函</w:t>
      </w:r>
    </w:p>
    <w:p w14:paraId="10CBC1C9">
      <w:pPr>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杭州嘉澍新材科技有限公司</w:t>
      </w:r>
      <w:r>
        <w:rPr>
          <w:rFonts w:hint="eastAsia" w:ascii="宋体" w:hAnsi="宋体" w:eastAsia="宋体" w:cs="宋体"/>
          <w:b/>
          <w:color w:val="auto"/>
          <w:sz w:val="24"/>
          <w:highlight w:val="none"/>
        </w:rPr>
        <w:t>：</w:t>
      </w:r>
    </w:p>
    <w:p w14:paraId="2B1982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全权代表姓名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职务、职称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为全权代表，参加贵方组织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          ）采购的有关活动，并对此项目进行投标。全部投标文件包括报价文件、商务技术文件、</w:t>
      </w:r>
      <w:r>
        <w:rPr>
          <w:rFonts w:hint="eastAsia" w:ascii="宋体" w:hAnsi="宋体" w:eastAsia="宋体" w:cs="宋体"/>
          <w:color w:val="auto"/>
          <w:sz w:val="24"/>
          <w:highlight w:val="none"/>
          <w:lang w:eastAsia="zh-CN"/>
        </w:rPr>
        <w:t>资格文件</w:t>
      </w:r>
      <w:r>
        <w:rPr>
          <w:rFonts w:hint="eastAsia" w:ascii="宋体" w:hAnsi="宋体" w:eastAsia="宋体" w:cs="宋体"/>
          <w:color w:val="auto"/>
          <w:sz w:val="24"/>
          <w:highlight w:val="none"/>
        </w:rPr>
        <w:t>，以及其他要求投标人提交的全部文件。</w:t>
      </w:r>
    </w:p>
    <w:p w14:paraId="439EE2A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33391DD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1、我方承诺已经具备相关法律法规规定的参加采购活动的投标人应当具备的条件：</w:t>
      </w:r>
    </w:p>
    <w:p w14:paraId="7BFD69B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14:paraId="4B67EC3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087CD89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14:paraId="619259E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14:paraId="1EEB47D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（五）参加采购活动前三年内，在经营活动中没有重大违法记录；</w:t>
      </w:r>
    </w:p>
    <w:p w14:paraId="6BE1651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14:paraId="7507E99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2、本投标有效期自投标文件合格递交之日起</w:t>
      </w:r>
      <w:r>
        <w:rPr>
          <w:rFonts w:hint="eastAsia" w:ascii="宋体" w:hAnsi="宋体" w:eastAsia="宋体" w:cs="宋体"/>
          <w:b/>
          <w:color w:val="auto"/>
          <w:sz w:val="24"/>
          <w:highlight w:val="none"/>
          <w:u w:val="thick"/>
          <w:lang w:val="en-US" w:eastAsia="zh-CN"/>
        </w:rPr>
        <w:t>9</w:t>
      </w:r>
      <w:r>
        <w:rPr>
          <w:rFonts w:hint="eastAsia" w:ascii="宋体" w:hAnsi="宋体" w:eastAsia="宋体" w:cs="宋体"/>
          <w:b/>
          <w:color w:val="auto"/>
          <w:sz w:val="24"/>
          <w:highlight w:val="none"/>
          <w:u w:val="thick"/>
        </w:rPr>
        <w:t>0日</w:t>
      </w:r>
      <w:r>
        <w:rPr>
          <w:rFonts w:hint="eastAsia" w:ascii="宋体" w:hAnsi="宋体" w:eastAsia="宋体" w:cs="宋体"/>
          <w:color w:val="auto"/>
          <w:sz w:val="24"/>
          <w:highlight w:val="none"/>
        </w:rPr>
        <w:t>。</w:t>
      </w:r>
    </w:p>
    <w:p w14:paraId="06ABBB5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3、如我方中标，本投标文件至本项目合同履行完毕止均保持有效，我方将按招标文件及</w:t>
      </w:r>
      <w:r>
        <w:rPr>
          <w:rFonts w:hint="eastAsia" w:ascii="宋体" w:hAnsi="宋体" w:eastAsia="宋体" w:cs="宋体"/>
          <w:color w:val="auto"/>
          <w:sz w:val="24"/>
          <w:highlight w:val="none"/>
          <w:lang w:eastAsia="zh-CN"/>
        </w:rPr>
        <w:t>相关</w:t>
      </w:r>
      <w:r>
        <w:rPr>
          <w:rFonts w:hint="eastAsia" w:ascii="宋体" w:hAnsi="宋体" w:eastAsia="宋体" w:cs="宋体"/>
          <w:color w:val="auto"/>
          <w:sz w:val="24"/>
          <w:highlight w:val="none"/>
        </w:rPr>
        <w:t>法律、法规的规定履行合同责任和义务。</w:t>
      </w:r>
    </w:p>
    <w:p w14:paraId="2A25D88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4、如果在开标后规定的投标有效期内撤回投标，我方的投标保证金将不被退还。</w:t>
      </w:r>
    </w:p>
    <w:p w14:paraId="2D60D01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5、我方完全理解贵方不一定要接受最低价的投标。</w:t>
      </w:r>
    </w:p>
    <w:p w14:paraId="5C1AB93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6、我方同意按照贵方要求提供与投标有关的一切数据或资料，配合招标</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进行评标、验收等与本次采购相关工作。</w:t>
      </w:r>
    </w:p>
    <w:p w14:paraId="769B8DA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7、我方在投标之前已经与贵方进行了充分的沟通，完全理解并接受招标文件的各项规定和要求，对招标文件的合理性、合法性不再有异议。并保证遵守</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中的有关规定。</w:t>
      </w:r>
    </w:p>
    <w:p w14:paraId="082C89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8、我方已详细审查全部招标文件，包括更正通知（如有的话）以及全部参考资料和有关附件，已经了解我方对于招标文件、采购过程、采购结果有依法进行询问、质疑、投诉的权利及相关渠道和要求。</w:t>
      </w:r>
    </w:p>
    <w:p w14:paraId="4B1A91C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9、我方向贵方提交的所有投标文件、资料都是准确的和真实的。</w:t>
      </w:r>
    </w:p>
    <w:p w14:paraId="5FD06D8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10、我方将严格遵守相关法律法规规定，供应商有下列情形之一的，处以采购金额千分之五以上千分之十以下的罚款，列入不良行为记录名单，在一至三年内禁止参加</w:t>
      </w:r>
      <w:r>
        <w:rPr>
          <w:rFonts w:hint="eastAsia" w:ascii="宋体" w:hAnsi="宋体" w:eastAsia="宋体" w:cs="宋体"/>
          <w:color w:val="auto"/>
          <w:sz w:val="24"/>
          <w:highlight w:val="none"/>
          <w:lang w:eastAsia="zh-CN"/>
        </w:rPr>
        <w:t>杭州嘉澍新材科技有限公司</w:t>
      </w:r>
      <w:r>
        <w:rPr>
          <w:rFonts w:hint="eastAsia" w:ascii="宋体" w:hAnsi="宋体" w:eastAsia="宋体" w:cs="宋体"/>
          <w:color w:val="auto"/>
          <w:sz w:val="24"/>
          <w:highlight w:val="none"/>
        </w:rPr>
        <w:t>采购活动，有违法所得的，并处没收违法所得，情节严重的，由工商行政管理机关吊销营业执照；构成犯罪的，依法追究刑事责任：</w:t>
      </w:r>
    </w:p>
    <w:p w14:paraId="5124E4E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（一）提供虚假材料谋取中标、成交的；</w:t>
      </w:r>
    </w:p>
    <w:p w14:paraId="5B374C4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（二）采取不正当手段诋毁、排挤其他供应商的；</w:t>
      </w:r>
    </w:p>
    <w:p w14:paraId="0258ED8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（三）与</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人、其他供应商或者</w:t>
      </w:r>
      <w:r>
        <w:rPr>
          <w:rFonts w:hint="eastAsia" w:ascii="宋体" w:hAnsi="宋体" w:eastAsia="宋体" w:cs="宋体"/>
          <w:color w:val="auto"/>
          <w:sz w:val="24"/>
          <w:highlight w:val="none"/>
          <w:lang w:eastAsia="zh-CN"/>
        </w:rPr>
        <w:t>委托</w:t>
      </w:r>
      <w:r>
        <w:rPr>
          <w:rFonts w:hint="eastAsia" w:ascii="宋体" w:hAnsi="宋体" w:eastAsia="宋体" w:cs="宋体"/>
          <w:color w:val="auto"/>
          <w:sz w:val="24"/>
          <w:highlight w:val="none"/>
        </w:rPr>
        <w:t>代理机构恶意串通的；</w:t>
      </w:r>
    </w:p>
    <w:p w14:paraId="386DB7A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（四）向</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委托</w:t>
      </w:r>
      <w:r>
        <w:rPr>
          <w:rFonts w:hint="eastAsia" w:ascii="宋体" w:hAnsi="宋体" w:eastAsia="宋体" w:cs="宋体"/>
          <w:color w:val="auto"/>
          <w:sz w:val="24"/>
          <w:highlight w:val="none"/>
        </w:rPr>
        <w:t>代理机构行贿或者提供其他不正当利益的；</w:t>
      </w:r>
    </w:p>
    <w:p w14:paraId="0F3CE30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（五）在招标采购过程中与</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人进行协商谈判的；</w:t>
      </w:r>
    </w:p>
    <w:p w14:paraId="14443B9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（六）拒绝有关部门监督检查或者提供虚假情况的。</w:t>
      </w:r>
    </w:p>
    <w:p w14:paraId="09C92F6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供应商有前款第（一）至（五）项情形之一的，中标、成交无效。</w:t>
      </w:r>
    </w:p>
    <w:p w14:paraId="4EDE954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E309F6C">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cs="宋体"/>
          <w:sz w:val="24"/>
          <w:highlight w:val="none"/>
        </w:rPr>
        <w:t>单位公章或电子公章</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u w:val="single"/>
          <w:lang w:val="zh-CN"/>
        </w:rPr>
        <w:t xml:space="preserve">                       </w:t>
      </w:r>
    </w:p>
    <w:p w14:paraId="6584422E">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邮政编码：</w:t>
      </w:r>
      <w:r>
        <w:rPr>
          <w:rFonts w:hint="eastAsia" w:ascii="宋体" w:hAnsi="宋体" w:eastAsia="宋体" w:cs="宋体"/>
          <w:color w:val="auto"/>
          <w:kern w:val="0"/>
          <w:sz w:val="24"/>
          <w:highlight w:val="none"/>
          <w:u w:val="single"/>
          <w:lang w:val="zh-CN"/>
        </w:rPr>
        <w:t xml:space="preserve">                     </w:t>
      </w:r>
    </w:p>
    <w:p w14:paraId="364C528F">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联系地址：</w:t>
      </w:r>
      <w:r>
        <w:rPr>
          <w:rFonts w:hint="eastAsia" w:ascii="宋体" w:hAnsi="宋体" w:eastAsia="宋体" w:cs="宋体"/>
          <w:color w:val="auto"/>
          <w:kern w:val="0"/>
          <w:sz w:val="24"/>
          <w:highlight w:val="none"/>
          <w:u w:val="single"/>
          <w:lang w:val="zh-CN"/>
        </w:rPr>
        <w:t xml:space="preserve">                                                             </w:t>
      </w:r>
    </w:p>
    <w:p w14:paraId="2E99406B">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联系电话：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传真号码：</w:t>
      </w:r>
      <w:r>
        <w:rPr>
          <w:rFonts w:hint="eastAsia" w:ascii="宋体" w:hAnsi="宋体" w:eastAsia="宋体" w:cs="宋体"/>
          <w:color w:val="auto"/>
          <w:kern w:val="0"/>
          <w:sz w:val="24"/>
          <w:highlight w:val="none"/>
          <w:u w:val="single"/>
          <w:lang w:val="zh-CN"/>
        </w:rPr>
        <w:t xml:space="preserve">               </w:t>
      </w:r>
    </w:p>
    <w:p w14:paraId="6B081EAC">
      <w:pPr>
        <w:snapToGrid w:val="0"/>
        <w:spacing w:line="360" w:lineRule="auto"/>
        <w:rPr>
          <w:rFonts w:hint="eastAsia" w:ascii="宋体" w:hAnsi="宋体" w:cs="宋体"/>
          <w:color w:val="000000"/>
          <w:sz w:val="24"/>
          <w:highlight w:val="none"/>
        </w:rPr>
      </w:pP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日</w:t>
      </w:r>
    </w:p>
    <w:p w14:paraId="6A4CF2B7">
      <w:pPr>
        <w:snapToGrid w:val="0"/>
        <w:spacing w:line="360" w:lineRule="auto"/>
        <w:rPr>
          <w:rFonts w:hint="eastAsia" w:ascii="宋体" w:hAnsi="宋体" w:cs="宋体"/>
          <w:color w:val="000000"/>
          <w:sz w:val="24"/>
          <w:highlight w:val="none"/>
        </w:rPr>
      </w:pPr>
    </w:p>
    <w:p w14:paraId="1136B772">
      <w:pPr>
        <w:snapToGrid w:val="0"/>
        <w:spacing w:line="360" w:lineRule="auto"/>
        <w:rPr>
          <w:rFonts w:hint="eastAsia" w:ascii="宋体" w:hAnsi="宋体" w:cs="宋体"/>
          <w:color w:val="000000"/>
          <w:sz w:val="24"/>
          <w:highlight w:val="none"/>
        </w:rPr>
      </w:pPr>
    </w:p>
    <w:p w14:paraId="6568F4BD">
      <w:pPr>
        <w:snapToGrid w:val="0"/>
        <w:spacing w:line="360" w:lineRule="auto"/>
        <w:rPr>
          <w:rFonts w:hint="eastAsia" w:ascii="宋体" w:hAnsi="宋体" w:cs="宋体"/>
          <w:color w:val="000000"/>
          <w:sz w:val="24"/>
          <w:highlight w:val="none"/>
        </w:rPr>
      </w:pPr>
    </w:p>
    <w:p w14:paraId="22F62257">
      <w:pPr>
        <w:jc w:val="center"/>
        <w:rPr>
          <w:rFonts w:ascii="宋体" w:hAnsi="宋体" w:cs="宋体"/>
          <w:b/>
          <w:kern w:val="0"/>
          <w:sz w:val="32"/>
          <w:szCs w:val="32"/>
          <w:highlight w:val="none"/>
        </w:rPr>
      </w:pPr>
    </w:p>
    <w:p w14:paraId="01A4F140">
      <w:pPr>
        <w:jc w:val="center"/>
        <w:rPr>
          <w:rFonts w:ascii="宋体" w:hAnsi="宋体" w:cs="宋体"/>
          <w:b/>
          <w:kern w:val="0"/>
          <w:sz w:val="32"/>
          <w:szCs w:val="32"/>
          <w:highlight w:val="none"/>
        </w:rPr>
      </w:pPr>
    </w:p>
    <w:p w14:paraId="4485BE16">
      <w:pPr>
        <w:jc w:val="center"/>
        <w:rPr>
          <w:rFonts w:ascii="宋体" w:hAnsi="宋体" w:cs="宋体"/>
          <w:b/>
          <w:kern w:val="0"/>
          <w:sz w:val="32"/>
          <w:szCs w:val="32"/>
          <w:highlight w:val="none"/>
        </w:rPr>
      </w:pPr>
    </w:p>
    <w:p w14:paraId="271AB6DC">
      <w:pPr>
        <w:jc w:val="center"/>
        <w:rPr>
          <w:rFonts w:ascii="宋体" w:hAnsi="宋体" w:cs="宋体"/>
          <w:b/>
          <w:kern w:val="0"/>
          <w:sz w:val="32"/>
          <w:szCs w:val="32"/>
          <w:highlight w:val="none"/>
        </w:rPr>
      </w:pPr>
    </w:p>
    <w:p w14:paraId="1DF132AD">
      <w:pPr>
        <w:jc w:val="center"/>
        <w:rPr>
          <w:rFonts w:ascii="宋体" w:hAnsi="宋体" w:cs="宋体"/>
          <w:b/>
          <w:kern w:val="0"/>
          <w:sz w:val="32"/>
          <w:szCs w:val="32"/>
          <w:highlight w:val="none"/>
        </w:rPr>
      </w:pPr>
    </w:p>
    <w:p w14:paraId="68CD6813">
      <w:pPr>
        <w:jc w:val="center"/>
        <w:rPr>
          <w:rFonts w:ascii="宋体" w:hAnsi="宋体" w:cs="宋体"/>
          <w:b/>
          <w:kern w:val="0"/>
          <w:sz w:val="32"/>
          <w:szCs w:val="32"/>
          <w:highlight w:val="none"/>
        </w:rPr>
      </w:pPr>
    </w:p>
    <w:p w14:paraId="2FFCDDC3">
      <w:pPr>
        <w:jc w:val="center"/>
        <w:rPr>
          <w:rFonts w:ascii="宋体" w:hAnsi="宋体" w:cs="宋体"/>
          <w:b/>
          <w:kern w:val="0"/>
          <w:sz w:val="32"/>
          <w:szCs w:val="32"/>
          <w:highlight w:val="none"/>
        </w:rPr>
      </w:pPr>
    </w:p>
    <w:p w14:paraId="04F1A4E9">
      <w:pPr>
        <w:jc w:val="center"/>
        <w:rPr>
          <w:rFonts w:ascii="宋体" w:hAnsi="宋体" w:cs="宋体"/>
          <w:b/>
          <w:kern w:val="0"/>
          <w:sz w:val="32"/>
          <w:szCs w:val="32"/>
          <w:highlight w:val="none"/>
        </w:rPr>
      </w:pPr>
    </w:p>
    <w:p w14:paraId="7B740DC0">
      <w:pPr>
        <w:jc w:val="center"/>
        <w:rPr>
          <w:rFonts w:ascii="宋体" w:hAnsi="宋体" w:cs="宋体"/>
          <w:b/>
          <w:kern w:val="0"/>
          <w:sz w:val="32"/>
          <w:szCs w:val="32"/>
          <w:highlight w:val="none"/>
        </w:rPr>
      </w:pPr>
    </w:p>
    <w:p w14:paraId="6FF94F46">
      <w:pPr>
        <w:jc w:val="center"/>
        <w:rPr>
          <w:rFonts w:ascii="宋体" w:hAnsi="宋体" w:cs="宋体"/>
          <w:b/>
          <w:kern w:val="0"/>
          <w:sz w:val="32"/>
          <w:szCs w:val="32"/>
          <w:highlight w:val="none"/>
        </w:rPr>
      </w:pPr>
    </w:p>
    <w:p w14:paraId="1C7DA820">
      <w:pPr>
        <w:jc w:val="center"/>
        <w:rPr>
          <w:rFonts w:ascii="宋体" w:hAnsi="宋体" w:cs="宋体"/>
          <w:b/>
          <w:kern w:val="0"/>
          <w:sz w:val="32"/>
          <w:szCs w:val="32"/>
          <w:highlight w:val="none"/>
        </w:rPr>
      </w:pPr>
    </w:p>
    <w:p w14:paraId="79F828FC">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5571A88">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BB336CD">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062D913">
      <w:pPr>
        <w:snapToGrid w:val="0"/>
        <w:spacing w:line="360" w:lineRule="auto"/>
        <w:rPr>
          <w:rFonts w:ascii="宋体" w:hAnsi="宋体" w:cs="宋体"/>
          <w:kern w:val="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eastAsia="zh-CN"/>
        </w:rPr>
        <w:t>招标人</w:t>
      </w:r>
      <w:r>
        <w:rPr>
          <w:rFonts w:hint="eastAsia" w:ascii="宋体" w:hAnsi="宋体" w:cs="宋体"/>
          <w:color w:val="000000"/>
          <w:sz w:val="24"/>
          <w:highlight w:val="none"/>
        </w:rPr>
        <w:t>）、（</w:t>
      </w:r>
      <w:r>
        <w:rPr>
          <w:rFonts w:hint="eastAsia" w:ascii="宋体" w:hAnsi="宋体" w:cs="宋体"/>
          <w:sz w:val="24"/>
          <w:highlight w:val="none"/>
          <w:lang w:eastAsia="zh-CN"/>
        </w:rPr>
        <w:t>招标代理机构</w:t>
      </w:r>
      <w:r>
        <w:rPr>
          <w:rFonts w:hint="eastAsia" w:ascii="宋体" w:hAnsi="宋体" w:cs="宋体"/>
          <w:sz w:val="24"/>
          <w:highlight w:val="none"/>
        </w:rPr>
        <w:t>）</w:t>
      </w:r>
      <w:r>
        <w:rPr>
          <w:rFonts w:hint="eastAsia" w:ascii="宋体" w:hAnsi="宋体" w:cs="宋体"/>
          <w:kern w:val="0"/>
          <w:sz w:val="24"/>
          <w:highlight w:val="none"/>
          <w:lang w:val="zh-CN"/>
        </w:rPr>
        <w:t>：</w:t>
      </w:r>
    </w:p>
    <w:p w14:paraId="1D22F17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  【</w:t>
      </w:r>
      <w:r>
        <w:rPr>
          <w:rFonts w:hint="eastAsia" w:ascii="宋体" w:hAnsi="宋体" w:cs="宋体"/>
          <w:sz w:val="24"/>
          <w:highlight w:val="none"/>
        </w:rPr>
        <w:t>招标编号：（</w:t>
      </w:r>
      <w:r>
        <w:rPr>
          <w:rFonts w:hint="eastAsia" w:ascii="宋体" w:hAnsi="宋体" w:cs="宋体"/>
          <w:sz w:val="24"/>
          <w:highlight w:val="none"/>
          <w:lang w:eastAsia="zh-CN"/>
        </w:rPr>
        <w:t>项目</w:t>
      </w:r>
      <w:r>
        <w:rPr>
          <w:rFonts w:hint="eastAsia" w:ascii="宋体" w:hAnsi="宋体" w:cs="宋体"/>
          <w:sz w:val="24"/>
          <w:highlight w:val="none"/>
        </w:rPr>
        <w:t>编号）】</w:t>
      </w:r>
      <w:r>
        <w:rPr>
          <w:rFonts w:hint="eastAsia" w:ascii="宋体" w:hAnsi="宋体" w:cs="宋体"/>
          <w:kern w:val="0"/>
          <w:sz w:val="24"/>
          <w:highlight w:val="none"/>
          <w:lang w:val="zh-CN"/>
        </w:rPr>
        <w:t>采购投标的一切事项，其法律后果由我方承担。</w:t>
      </w:r>
    </w:p>
    <w:p w14:paraId="69E91F2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7F7212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B9E038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投标人名称(单位公章或电子公章)：</w:t>
      </w:r>
    </w:p>
    <w:p w14:paraId="037AB86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E14AAB5">
      <w:pPr>
        <w:snapToGrid w:val="0"/>
        <w:spacing w:line="360" w:lineRule="auto"/>
        <w:rPr>
          <w:rFonts w:ascii="宋体" w:hAnsi="宋体" w:cs="宋体"/>
          <w:sz w:val="24"/>
          <w:highlight w:val="none"/>
        </w:rPr>
      </w:pPr>
    </w:p>
    <w:p w14:paraId="7F6584A1">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 xml:space="preserve">     </w:t>
      </w:r>
    </w:p>
    <w:p w14:paraId="484454B7">
      <w:pPr>
        <w:jc w:val="center"/>
        <w:rPr>
          <w:rFonts w:hint="eastAsia" w:ascii="宋体" w:hAnsi="宋体" w:cs="宋体"/>
          <w:b/>
          <w:kern w:val="0"/>
          <w:sz w:val="32"/>
          <w:szCs w:val="32"/>
          <w:highlight w:val="none"/>
          <w:lang w:val="zh-CN"/>
        </w:rPr>
      </w:pPr>
    </w:p>
    <w:p w14:paraId="75403D25">
      <w:pPr>
        <w:jc w:val="center"/>
        <w:rPr>
          <w:rFonts w:hint="eastAsia" w:ascii="宋体" w:hAnsi="宋体" w:cs="宋体"/>
          <w:b/>
          <w:kern w:val="0"/>
          <w:sz w:val="32"/>
          <w:szCs w:val="32"/>
          <w:highlight w:val="none"/>
          <w:lang w:val="zh-CN"/>
        </w:rPr>
      </w:pPr>
    </w:p>
    <w:p w14:paraId="5F01DC1F">
      <w:pPr>
        <w:jc w:val="center"/>
        <w:rPr>
          <w:rFonts w:hint="eastAsia" w:ascii="宋体" w:hAnsi="宋体" w:cs="宋体"/>
          <w:b/>
          <w:kern w:val="0"/>
          <w:sz w:val="32"/>
          <w:szCs w:val="32"/>
          <w:highlight w:val="none"/>
          <w:lang w:val="zh-CN"/>
        </w:rPr>
      </w:pPr>
    </w:p>
    <w:p w14:paraId="4D73D623">
      <w:pPr>
        <w:jc w:val="center"/>
        <w:rPr>
          <w:rFonts w:hint="eastAsia" w:ascii="宋体" w:hAnsi="宋体" w:cs="宋体"/>
          <w:b/>
          <w:kern w:val="0"/>
          <w:sz w:val="32"/>
          <w:szCs w:val="32"/>
          <w:highlight w:val="none"/>
          <w:lang w:val="zh-CN"/>
        </w:rPr>
      </w:pPr>
    </w:p>
    <w:p w14:paraId="6813C663">
      <w:pPr>
        <w:jc w:val="center"/>
        <w:rPr>
          <w:rFonts w:hint="eastAsia" w:ascii="宋体" w:hAnsi="宋体" w:cs="宋体"/>
          <w:b/>
          <w:kern w:val="0"/>
          <w:sz w:val="32"/>
          <w:szCs w:val="32"/>
          <w:highlight w:val="none"/>
          <w:lang w:val="zh-CN"/>
        </w:rPr>
      </w:pPr>
    </w:p>
    <w:p w14:paraId="5127AD2A">
      <w:pPr>
        <w:jc w:val="center"/>
        <w:rPr>
          <w:rFonts w:hint="eastAsia" w:ascii="宋体" w:hAnsi="宋体" w:cs="宋体"/>
          <w:b/>
          <w:kern w:val="0"/>
          <w:sz w:val="32"/>
          <w:szCs w:val="32"/>
          <w:highlight w:val="none"/>
          <w:lang w:val="zh-CN"/>
        </w:rPr>
      </w:pPr>
    </w:p>
    <w:p w14:paraId="5A873C8F">
      <w:pPr>
        <w:jc w:val="center"/>
        <w:rPr>
          <w:rFonts w:hint="eastAsia" w:ascii="宋体" w:hAnsi="宋体" w:cs="宋体"/>
          <w:b/>
          <w:kern w:val="0"/>
          <w:sz w:val="32"/>
          <w:szCs w:val="32"/>
          <w:highlight w:val="none"/>
          <w:lang w:val="zh-CN"/>
        </w:rPr>
      </w:pPr>
    </w:p>
    <w:p w14:paraId="7F61AE57">
      <w:pPr>
        <w:jc w:val="center"/>
        <w:rPr>
          <w:rFonts w:hint="eastAsia" w:ascii="宋体" w:hAnsi="宋体" w:cs="宋体"/>
          <w:b/>
          <w:kern w:val="0"/>
          <w:sz w:val="32"/>
          <w:szCs w:val="32"/>
          <w:highlight w:val="none"/>
          <w:lang w:val="zh-CN"/>
        </w:rPr>
      </w:pPr>
    </w:p>
    <w:p w14:paraId="358E8FD0">
      <w:pPr>
        <w:jc w:val="center"/>
        <w:rPr>
          <w:rFonts w:hint="eastAsia" w:ascii="宋体" w:hAnsi="宋体" w:cs="宋体"/>
          <w:b/>
          <w:kern w:val="0"/>
          <w:sz w:val="32"/>
          <w:szCs w:val="32"/>
          <w:highlight w:val="none"/>
          <w:lang w:val="zh-CN"/>
        </w:rPr>
      </w:pPr>
    </w:p>
    <w:p w14:paraId="59BD34E4">
      <w:pPr>
        <w:jc w:val="center"/>
        <w:rPr>
          <w:rFonts w:hint="eastAsia" w:ascii="宋体" w:hAnsi="宋体" w:cs="宋体"/>
          <w:b/>
          <w:kern w:val="0"/>
          <w:sz w:val="32"/>
          <w:szCs w:val="32"/>
          <w:highlight w:val="none"/>
          <w:lang w:val="zh-CN"/>
        </w:rPr>
      </w:pPr>
    </w:p>
    <w:p w14:paraId="2462821B">
      <w:pPr>
        <w:jc w:val="center"/>
        <w:rPr>
          <w:rFonts w:hint="eastAsia" w:ascii="宋体" w:hAnsi="宋体" w:cs="宋体"/>
          <w:b/>
          <w:kern w:val="0"/>
          <w:sz w:val="32"/>
          <w:szCs w:val="32"/>
          <w:highlight w:val="none"/>
          <w:lang w:val="zh-CN"/>
        </w:rPr>
      </w:pPr>
    </w:p>
    <w:p w14:paraId="39DC06E1">
      <w:pPr>
        <w:jc w:val="center"/>
        <w:rPr>
          <w:rFonts w:hint="eastAsia" w:ascii="宋体" w:hAnsi="宋体" w:cs="宋体"/>
          <w:b/>
          <w:kern w:val="0"/>
          <w:sz w:val="32"/>
          <w:szCs w:val="32"/>
          <w:highlight w:val="none"/>
          <w:lang w:val="zh-CN"/>
        </w:rPr>
      </w:pPr>
    </w:p>
    <w:p w14:paraId="2E32CD58">
      <w:pPr>
        <w:jc w:val="center"/>
        <w:rPr>
          <w:rFonts w:hint="eastAsia" w:ascii="宋体" w:hAnsi="宋体" w:cs="宋体"/>
          <w:b/>
          <w:kern w:val="0"/>
          <w:sz w:val="32"/>
          <w:szCs w:val="32"/>
          <w:highlight w:val="none"/>
          <w:lang w:val="zh-CN"/>
        </w:rPr>
      </w:pPr>
    </w:p>
    <w:p w14:paraId="0D850818">
      <w:pPr>
        <w:autoSpaceDE/>
        <w:autoSpaceDN/>
        <w:spacing w:line="240" w:lineRule="auto"/>
        <w:jc w:val="left"/>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6F9291F2">
      <w:pPr>
        <w:autoSpaceDE w:val="0"/>
        <w:autoSpaceDN w:val="0"/>
        <w:spacing w:line="360" w:lineRule="auto"/>
        <w:jc w:val="both"/>
        <w:rPr>
          <w:rFonts w:ascii="宋体" w:hAnsi="宋体" w:cs="宋体"/>
          <w:b/>
          <w:sz w:val="24"/>
          <w:highlight w:val="none"/>
        </w:rPr>
      </w:pPr>
      <w:r>
        <w:rPr>
          <w:rFonts w:hint="eastAsia" w:ascii="宋体" w:hAnsi="宋体" w:cs="宋体"/>
          <w:b/>
          <w:kern w:val="0"/>
          <w:sz w:val="32"/>
          <w:szCs w:val="32"/>
          <w:highlight w:val="none"/>
          <w:lang w:val="zh-CN"/>
        </w:rPr>
        <w:t>附：法定代表人及授权代表人身份证复印件</w:t>
      </w:r>
    </w:p>
    <w:p w14:paraId="34358C89">
      <w:pPr>
        <w:pStyle w:val="109"/>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3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A00189">
            <w:pPr>
              <w:pStyle w:val="109"/>
              <w:adjustRightInd w:val="0"/>
              <w:spacing w:line="360" w:lineRule="auto"/>
              <w:rPr>
                <w:rFonts w:hint="eastAsia" w:hAnsi="宋体" w:eastAsia="宋体" w:cs="宋体"/>
                <w:bCs/>
                <w:sz w:val="24"/>
                <w:highlight w:val="none"/>
                <w:lang w:val="en-US" w:eastAsia="zh-CN"/>
              </w:rPr>
            </w:pPr>
            <w:r>
              <w:rPr>
                <w:rFonts w:hint="eastAsia" w:hAnsi="宋体" w:cs="宋体"/>
                <w:bCs/>
                <w:sz w:val="24"/>
                <w:highlight w:val="none"/>
              </w:rPr>
              <w:t>法定代表人身份证件扫描件</w:t>
            </w:r>
            <w:r>
              <w:rPr>
                <w:rFonts w:hint="eastAsia" w:hAnsi="宋体" w:cs="宋体"/>
                <w:bCs/>
                <w:sz w:val="24"/>
                <w:highlight w:val="none"/>
                <w:lang w:eastAsia="zh-CN"/>
              </w:rPr>
              <w:t>：</w:t>
            </w:r>
          </w:p>
          <w:p w14:paraId="020F2E36">
            <w:pPr>
              <w:pStyle w:val="109"/>
              <w:adjustRightInd w:val="0"/>
              <w:spacing w:line="360" w:lineRule="auto"/>
              <w:rPr>
                <w:rFonts w:hAnsi="宋体" w:cs="宋体"/>
                <w:bCs/>
                <w:sz w:val="24"/>
                <w:highlight w:val="none"/>
              </w:rPr>
            </w:pPr>
            <w:r>
              <w:rPr>
                <w:rFonts w:hint="eastAsia" w:hAnsi="宋体" w:cs="宋体"/>
                <w:bCs/>
                <w:sz w:val="24"/>
                <w:highlight w:val="none"/>
              </w:rPr>
              <w:t>正面：                                 反面：</w:t>
            </w:r>
          </w:p>
          <w:p w14:paraId="00418346">
            <w:pPr>
              <w:pStyle w:val="109"/>
              <w:adjustRightInd w:val="0"/>
              <w:spacing w:line="360" w:lineRule="auto"/>
              <w:rPr>
                <w:rFonts w:hAnsi="宋体" w:cs="宋体"/>
                <w:bCs/>
                <w:sz w:val="24"/>
                <w:highlight w:val="none"/>
              </w:rPr>
            </w:pPr>
          </w:p>
        </w:tc>
      </w:tr>
      <w:tr w14:paraId="7EA5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C12A15">
            <w:pPr>
              <w:pStyle w:val="109"/>
              <w:adjustRightInd w:val="0"/>
              <w:spacing w:line="360" w:lineRule="auto"/>
              <w:rPr>
                <w:rFonts w:hint="eastAsia" w:hAnsi="宋体" w:eastAsia="宋体" w:cs="宋体"/>
                <w:bCs/>
                <w:sz w:val="24"/>
                <w:highlight w:val="none"/>
                <w:lang w:eastAsia="zh-CN"/>
              </w:rPr>
            </w:pPr>
            <w:r>
              <w:rPr>
                <w:rFonts w:hint="eastAsia" w:hAnsi="宋体" w:cs="宋体"/>
                <w:bCs/>
                <w:sz w:val="24"/>
                <w:highlight w:val="none"/>
                <w:lang w:val="en-US" w:eastAsia="zh-CN"/>
              </w:rPr>
              <w:t>授权委托人</w:t>
            </w:r>
            <w:r>
              <w:rPr>
                <w:rFonts w:hint="eastAsia" w:hAnsi="宋体" w:cs="宋体"/>
                <w:bCs/>
                <w:sz w:val="24"/>
                <w:highlight w:val="none"/>
              </w:rPr>
              <w:t>身份证件扫描件</w:t>
            </w:r>
            <w:r>
              <w:rPr>
                <w:rFonts w:hint="eastAsia" w:hAnsi="宋体" w:cs="宋体"/>
                <w:bCs/>
                <w:sz w:val="24"/>
                <w:highlight w:val="none"/>
                <w:lang w:eastAsia="zh-CN"/>
              </w:rPr>
              <w:t>：</w:t>
            </w:r>
          </w:p>
          <w:p w14:paraId="36377CEA">
            <w:pPr>
              <w:pStyle w:val="109"/>
              <w:adjustRightInd w:val="0"/>
              <w:spacing w:line="360" w:lineRule="auto"/>
              <w:rPr>
                <w:rFonts w:hint="default" w:hAnsi="宋体" w:cs="宋体"/>
                <w:bCs/>
                <w:sz w:val="24"/>
                <w:highlight w:val="none"/>
                <w:lang w:val="en-US" w:eastAsia="zh-CN"/>
              </w:rPr>
            </w:pPr>
            <w:r>
              <w:rPr>
                <w:rFonts w:hint="eastAsia" w:hAnsi="宋体" w:cs="宋体"/>
                <w:bCs/>
                <w:sz w:val="24"/>
                <w:highlight w:val="none"/>
              </w:rPr>
              <w:t>正面：                                 反面：</w:t>
            </w:r>
          </w:p>
        </w:tc>
      </w:tr>
    </w:tbl>
    <w:p w14:paraId="4AA6684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980815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投标人名称(单位公章或电子公章)：                              </w:t>
      </w:r>
    </w:p>
    <w:p w14:paraId="5EA8ED7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7F3A719">
      <w:pPr>
        <w:jc w:val="center"/>
        <w:rPr>
          <w:rFonts w:ascii="宋体" w:hAnsi="宋体" w:cs="宋体"/>
          <w:b/>
          <w:kern w:val="0"/>
          <w:sz w:val="32"/>
          <w:szCs w:val="32"/>
          <w:highlight w:val="none"/>
        </w:rPr>
      </w:pPr>
    </w:p>
    <w:p w14:paraId="5C146BD4">
      <w:pPr>
        <w:snapToGrid w:val="0"/>
        <w:spacing w:line="360" w:lineRule="auto"/>
        <w:ind w:firstLine="3534" w:firstLineChars="1100"/>
        <w:rPr>
          <w:rFonts w:hint="eastAsia" w:ascii="宋体" w:hAnsi="宋体" w:cs="宋体"/>
          <w:b/>
          <w:kern w:val="0"/>
          <w:sz w:val="32"/>
          <w:szCs w:val="32"/>
          <w:highlight w:val="none"/>
        </w:rPr>
      </w:pPr>
    </w:p>
    <w:p w14:paraId="4DD0E2D9">
      <w:pPr>
        <w:snapToGrid/>
        <w:spacing w:line="240" w:lineRule="auto"/>
        <w:ind w:firstLine="0" w:firstLineChars="0"/>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23E619F9">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三、无失信行为承诺书</w:t>
      </w:r>
    </w:p>
    <w:p w14:paraId="31E1FF64">
      <w:pPr>
        <w:spacing w:line="360" w:lineRule="auto"/>
        <w:rPr>
          <w:rFonts w:hint="eastAsia" w:ascii="宋体" w:hAnsi="宋体" w:cs="宋体"/>
          <w:color w:val="000000"/>
          <w:spacing w:val="-6"/>
          <w:sz w:val="24"/>
          <w:szCs w:val="24"/>
          <w:highlight w:val="none"/>
        </w:rPr>
      </w:pPr>
      <w:r>
        <w:rPr>
          <w:rFonts w:hint="eastAsia" w:ascii="宋体" w:hAnsi="宋体" w:cs="宋体"/>
          <w:b/>
          <w:color w:val="000000"/>
          <w:spacing w:val="-6"/>
          <w:sz w:val="24"/>
          <w:szCs w:val="24"/>
          <w:highlight w:val="none"/>
          <w:lang w:eastAsia="zh-CN"/>
        </w:rPr>
        <w:t>杭州嘉澍新材科技有限公司</w:t>
      </w:r>
      <w:r>
        <w:rPr>
          <w:rFonts w:hint="eastAsia" w:ascii="宋体" w:hAnsi="宋体" w:cs="宋体"/>
          <w:color w:val="000000"/>
          <w:spacing w:val="-6"/>
          <w:sz w:val="24"/>
          <w:szCs w:val="24"/>
          <w:highlight w:val="none"/>
        </w:rPr>
        <w:t>：</w:t>
      </w:r>
    </w:p>
    <w:p w14:paraId="293DF9C7">
      <w:pPr>
        <w:spacing w:line="360" w:lineRule="auto"/>
        <w:ind w:firstLine="585"/>
        <w:rPr>
          <w:rFonts w:hint="eastAsia" w:ascii="宋体" w:hAnsi="宋体" w:cs="宋体"/>
          <w:color w:val="000000"/>
          <w:spacing w:val="-6"/>
          <w:sz w:val="24"/>
          <w:szCs w:val="24"/>
          <w:highlight w:val="none"/>
        </w:rPr>
      </w:pPr>
      <w:r>
        <w:rPr>
          <w:rFonts w:hint="eastAsia" w:ascii="宋体" w:hAnsi="宋体" w:cs="宋体"/>
          <w:color w:val="000000"/>
          <w:spacing w:val="-6"/>
          <w:sz w:val="24"/>
          <w:szCs w:val="24"/>
          <w:highlight w:val="none"/>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招标人造成损失的，依法承担赔偿责任，并愿意承担相关法律责任。</w:t>
      </w:r>
    </w:p>
    <w:p w14:paraId="15599A81">
      <w:pPr>
        <w:spacing w:line="360" w:lineRule="auto"/>
        <w:ind w:firstLine="585"/>
        <w:rPr>
          <w:rFonts w:hint="eastAsia" w:ascii="宋体" w:hAnsi="宋体" w:cs="宋体"/>
          <w:color w:val="000000"/>
          <w:spacing w:val="-6"/>
          <w:sz w:val="24"/>
          <w:szCs w:val="24"/>
          <w:highlight w:val="none"/>
        </w:rPr>
      </w:pPr>
    </w:p>
    <w:p w14:paraId="6C16E1BD">
      <w:pPr>
        <w:wordWrap w:val="0"/>
        <w:autoSpaceDE w:val="0"/>
        <w:autoSpaceDN w:val="0"/>
        <w:adjustRightInd w:val="0"/>
        <w:spacing w:line="360" w:lineRule="auto"/>
        <w:jc w:val="right"/>
        <w:rPr>
          <w:rFonts w:hint="eastAsia" w:ascii="宋体" w:hAnsi="宋体" w:cs="宋体"/>
          <w:color w:val="000000"/>
          <w:sz w:val="24"/>
          <w:szCs w:val="24"/>
          <w:highlight w:val="none"/>
          <w:lang w:val="zh-CN"/>
        </w:rPr>
      </w:pPr>
    </w:p>
    <w:p w14:paraId="5B269F03">
      <w:pPr>
        <w:wordWrap w:val="0"/>
        <w:autoSpaceDE w:val="0"/>
        <w:autoSpaceDN w:val="0"/>
        <w:adjustRightInd w:val="0"/>
        <w:spacing w:line="360" w:lineRule="auto"/>
        <w:jc w:val="right"/>
        <w:rPr>
          <w:rFonts w:hint="eastAsia" w:ascii="宋体" w:hAnsi="宋体" w:cs="宋体"/>
          <w:color w:val="000000"/>
          <w:sz w:val="24"/>
          <w:szCs w:val="24"/>
          <w:highlight w:val="none"/>
          <w:lang w:val="zh-CN"/>
        </w:rPr>
      </w:pPr>
    </w:p>
    <w:p w14:paraId="3B24769E">
      <w:pPr>
        <w:wordWrap w:val="0"/>
        <w:autoSpaceDE w:val="0"/>
        <w:autoSpaceDN w:val="0"/>
        <w:adjustRightInd w:val="0"/>
        <w:spacing w:line="360" w:lineRule="auto"/>
        <w:jc w:val="right"/>
        <w:rPr>
          <w:rFonts w:hint="eastAsia" w:ascii="宋体" w:hAnsi="宋体" w:cs="宋体"/>
          <w:color w:val="000000"/>
          <w:sz w:val="24"/>
          <w:szCs w:val="24"/>
          <w:highlight w:val="none"/>
          <w:lang w:val="zh-CN"/>
        </w:rPr>
      </w:pPr>
    </w:p>
    <w:p w14:paraId="532145DF">
      <w:pPr>
        <w:autoSpaceDE w:val="0"/>
        <w:autoSpaceDN w:val="0"/>
        <w:adjustRightInd w:val="0"/>
        <w:spacing w:line="360" w:lineRule="auto"/>
        <w:jc w:val="right"/>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投标人</w:t>
      </w:r>
      <w:r>
        <w:rPr>
          <w:rFonts w:hint="eastAsia" w:ascii="宋体" w:hAnsi="宋体" w:cs="宋体"/>
          <w:kern w:val="0"/>
          <w:sz w:val="24"/>
          <w:highlight w:val="none"/>
          <w:lang w:val="zh-CN"/>
        </w:rPr>
        <w:t>(单位公章或电子公章)</w:t>
      </w:r>
      <w:r>
        <w:rPr>
          <w:rFonts w:hint="eastAsia" w:ascii="宋体" w:hAnsi="宋体" w:cs="宋体"/>
          <w:color w:val="000000"/>
          <w:sz w:val="24"/>
          <w:szCs w:val="24"/>
          <w:highlight w:val="none"/>
          <w:lang w:val="zh-CN"/>
        </w:rPr>
        <w:t>：</w:t>
      </w:r>
    </w:p>
    <w:p w14:paraId="2C8822D3">
      <w:pPr>
        <w:widowControl/>
        <w:spacing w:line="360" w:lineRule="auto"/>
        <w:ind w:firstLine="120" w:firstLineChars="50"/>
        <w:jc w:val="right"/>
        <w:rPr>
          <w:rFonts w:hint="eastAsia" w:ascii="宋体" w:hAnsi="宋体" w:cs="宋体"/>
          <w:sz w:val="24"/>
          <w:highlight w:val="none"/>
        </w:rPr>
      </w:pPr>
      <w:r>
        <w:rPr>
          <w:rFonts w:hint="eastAsia" w:ascii="宋体" w:hAnsi="宋体" w:cs="宋体"/>
          <w:color w:val="000000"/>
          <w:sz w:val="24"/>
          <w:szCs w:val="24"/>
          <w:highlight w:val="none"/>
          <w:lang w:val="zh-CN"/>
        </w:rPr>
        <w:t>日期：20  年  月 日</w:t>
      </w:r>
    </w:p>
    <w:p w14:paraId="04D90B52">
      <w:pPr>
        <w:widowControl/>
        <w:spacing w:line="360" w:lineRule="auto"/>
        <w:ind w:firstLine="120" w:firstLineChars="50"/>
        <w:jc w:val="left"/>
        <w:rPr>
          <w:rFonts w:hint="eastAsia" w:ascii="宋体" w:hAnsi="宋体" w:cs="宋体"/>
          <w:sz w:val="24"/>
          <w:highlight w:val="none"/>
        </w:rPr>
      </w:pPr>
    </w:p>
    <w:p w14:paraId="7D4263D2">
      <w:pPr>
        <w:widowControl/>
        <w:spacing w:line="360" w:lineRule="auto"/>
        <w:ind w:firstLine="120" w:firstLineChars="50"/>
        <w:jc w:val="left"/>
        <w:rPr>
          <w:rFonts w:hint="eastAsia" w:ascii="宋体" w:hAnsi="宋体" w:cs="宋体"/>
          <w:sz w:val="24"/>
          <w:highlight w:val="none"/>
        </w:rPr>
      </w:pPr>
    </w:p>
    <w:p w14:paraId="5EBD4D07">
      <w:pPr>
        <w:widowControl/>
        <w:spacing w:line="360" w:lineRule="auto"/>
        <w:ind w:firstLine="120" w:firstLineChars="50"/>
        <w:jc w:val="left"/>
        <w:rPr>
          <w:rFonts w:hint="eastAsia" w:ascii="宋体" w:hAnsi="宋体" w:cs="宋体"/>
          <w:sz w:val="24"/>
          <w:highlight w:val="none"/>
        </w:rPr>
      </w:pPr>
    </w:p>
    <w:p w14:paraId="34D86E10">
      <w:pPr>
        <w:widowControl/>
        <w:spacing w:line="360" w:lineRule="auto"/>
        <w:ind w:firstLine="120" w:firstLineChars="50"/>
        <w:jc w:val="left"/>
        <w:rPr>
          <w:rFonts w:hint="eastAsia" w:ascii="宋体" w:hAnsi="宋体" w:cs="宋体"/>
          <w:sz w:val="24"/>
          <w:highlight w:val="none"/>
        </w:rPr>
      </w:pPr>
    </w:p>
    <w:p w14:paraId="55D963AA">
      <w:pPr>
        <w:widowControl/>
        <w:spacing w:line="360" w:lineRule="auto"/>
        <w:ind w:firstLine="120" w:firstLineChars="50"/>
        <w:jc w:val="left"/>
        <w:rPr>
          <w:rFonts w:hint="eastAsia" w:ascii="宋体" w:hAnsi="宋体" w:cs="宋体"/>
          <w:sz w:val="24"/>
          <w:highlight w:val="none"/>
        </w:rPr>
      </w:pPr>
    </w:p>
    <w:p w14:paraId="1885B148">
      <w:pPr>
        <w:widowControl/>
        <w:spacing w:line="360" w:lineRule="auto"/>
        <w:ind w:firstLine="120" w:firstLineChars="50"/>
        <w:jc w:val="left"/>
        <w:rPr>
          <w:rFonts w:hint="eastAsia" w:ascii="宋体" w:hAnsi="宋体" w:cs="宋体"/>
          <w:sz w:val="24"/>
          <w:highlight w:val="none"/>
        </w:rPr>
      </w:pPr>
    </w:p>
    <w:p w14:paraId="233D7E30">
      <w:pPr>
        <w:snapToGrid w:val="0"/>
        <w:spacing w:line="360" w:lineRule="auto"/>
        <w:rPr>
          <w:rFonts w:ascii="宋体" w:hAnsi="宋体" w:cs="宋体"/>
          <w:kern w:val="0"/>
          <w:sz w:val="24"/>
          <w:highlight w:val="none"/>
        </w:rPr>
      </w:pPr>
    </w:p>
    <w:p w14:paraId="5DFE59E8">
      <w:pPr>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5E966CED">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09B3A19B">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A55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B8BC2">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73" w:type="dxa"/>
            <w:vAlign w:val="center"/>
          </w:tcPr>
          <w:p w14:paraId="2B862864">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669" w:type="dxa"/>
            <w:vAlign w:val="center"/>
          </w:tcPr>
          <w:p w14:paraId="70050DEA">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5CF23FE">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0692CCA7">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5EB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83CA00">
            <w:pPr>
              <w:jc w:val="center"/>
              <w:rPr>
                <w:rFonts w:ascii="宋体" w:hAnsi="宋体" w:cs="宋体"/>
                <w:sz w:val="24"/>
                <w:highlight w:val="none"/>
              </w:rPr>
            </w:pPr>
            <w:r>
              <w:rPr>
                <w:rFonts w:hint="eastAsia" w:ascii="宋体" w:hAnsi="宋体" w:cs="宋体"/>
                <w:sz w:val="24"/>
                <w:highlight w:val="none"/>
              </w:rPr>
              <w:t>1</w:t>
            </w:r>
          </w:p>
        </w:tc>
        <w:tc>
          <w:tcPr>
            <w:tcW w:w="3873" w:type="dxa"/>
          </w:tcPr>
          <w:p w14:paraId="3CE74EEC">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3669" w:type="dxa"/>
            <w:vAlign w:val="center"/>
          </w:tcPr>
          <w:p w14:paraId="2CD97821">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7C708F68">
            <w:pPr>
              <w:rPr>
                <w:rFonts w:ascii="宋体" w:hAnsi="宋体" w:cs="宋体"/>
                <w:sz w:val="24"/>
                <w:highlight w:val="none"/>
              </w:rPr>
            </w:pPr>
          </w:p>
          <w:p w14:paraId="5374D4A1">
            <w:pPr>
              <w:rPr>
                <w:rFonts w:ascii="宋体" w:hAnsi="宋体" w:cs="宋体"/>
                <w:sz w:val="24"/>
                <w:highlight w:val="none"/>
              </w:rPr>
            </w:pPr>
            <w:r>
              <w:rPr>
                <w:rFonts w:hint="eastAsia" w:ascii="宋体" w:hAnsi="宋体" w:cs="宋体"/>
                <w:sz w:val="24"/>
                <w:highlight w:val="none"/>
              </w:rPr>
              <w:t>见投标文件</w:t>
            </w:r>
          </w:p>
          <w:p w14:paraId="0B82751F">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AB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FD2512">
            <w:pPr>
              <w:jc w:val="center"/>
              <w:rPr>
                <w:rFonts w:ascii="宋体" w:hAnsi="宋体" w:cs="宋体"/>
                <w:sz w:val="24"/>
                <w:highlight w:val="none"/>
              </w:rPr>
            </w:pPr>
            <w:r>
              <w:rPr>
                <w:rFonts w:hint="eastAsia" w:ascii="宋体" w:hAnsi="宋体" w:cs="宋体"/>
                <w:sz w:val="24"/>
                <w:highlight w:val="none"/>
              </w:rPr>
              <w:t>2</w:t>
            </w:r>
          </w:p>
        </w:tc>
        <w:tc>
          <w:tcPr>
            <w:tcW w:w="3873" w:type="dxa"/>
          </w:tcPr>
          <w:p w14:paraId="439510F4">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669" w:type="dxa"/>
            <w:vAlign w:val="center"/>
          </w:tcPr>
          <w:p w14:paraId="2044D466">
            <w:pPr>
              <w:rPr>
                <w:rFonts w:ascii="宋体" w:hAnsi="宋体" w:cs="宋体"/>
                <w:sz w:val="24"/>
                <w:highlight w:val="none"/>
              </w:rPr>
            </w:pPr>
            <w:r>
              <w:rPr>
                <w:rFonts w:hint="eastAsia" w:ascii="宋体" w:hAnsi="宋体" w:cs="宋体"/>
                <w:sz w:val="24"/>
                <w:highlight w:val="none"/>
              </w:rPr>
              <w:t>投标</w:t>
            </w:r>
            <w:r>
              <w:rPr>
                <w:rFonts w:hint="eastAsia" w:ascii="宋体" w:hAnsi="宋体" w:cs="宋体"/>
                <w:sz w:val="24"/>
                <w:highlight w:val="none"/>
                <w:lang w:eastAsia="zh-CN"/>
              </w:rPr>
              <w:t>响应</w:t>
            </w:r>
            <w:r>
              <w:rPr>
                <w:rFonts w:hint="eastAsia" w:ascii="宋体" w:hAnsi="宋体" w:cs="宋体"/>
                <w:sz w:val="24"/>
                <w:highlight w:val="none"/>
              </w:rPr>
              <w:t>函</w:t>
            </w:r>
          </w:p>
        </w:tc>
        <w:tc>
          <w:tcPr>
            <w:tcW w:w="1418" w:type="dxa"/>
          </w:tcPr>
          <w:p w14:paraId="73AB2D81">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76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40BCD">
            <w:pPr>
              <w:jc w:val="center"/>
              <w:rPr>
                <w:rFonts w:ascii="宋体" w:hAnsi="宋体" w:cs="宋体"/>
                <w:sz w:val="24"/>
                <w:highlight w:val="none"/>
              </w:rPr>
            </w:pPr>
            <w:r>
              <w:rPr>
                <w:rFonts w:hint="eastAsia" w:ascii="宋体" w:hAnsi="宋体" w:cs="宋体"/>
                <w:sz w:val="24"/>
                <w:highlight w:val="none"/>
              </w:rPr>
              <w:t>3</w:t>
            </w:r>
          </w:p>
        </w:tc>
        <w:tc>
          <w:tcPr>
            <w:tcW w:w="3873" w:type="dxa"/>
          </w:tcPr>
          <w:p w14:paraId="0C915940">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669" w:type="dxa"/>
            <w:vAlign w:val="center"/>
          </w:tcPr>
          <w:p w14:paraId="222F8F94">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39A66BD5">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976B96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EA4C990">
      <w:pPr>
        <w:jc w:val="center"/>
        <w:rPr>
          <w:rFonts w:ascii="宋体" w:hAnsi="宋体" w:cs="宋体"/>
          <w:b/>
          <w:kern w:val="0"/>
          <w:sz w:val="32"/>
          <w:szCs w:val="32"/>
          <w:highlight w:val="none"/>
        </w:rPr>
      </w:pPr>
    </w:p>
    <w:p w14:paraId="7DBFD9B1">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388A69D8">
      <w:pPr>
        <w:jc w:val="center"/>
        <w:rPr>
          <w:rFonts w:ascii="宋体" w:hAnsi="宋体" w:cs="宋体"/>
          <w:b/>
          <w:kern w:val="0"/>
          <w:sz w:val="32"/>
          <w:szCs w:val="32"/>
          <w:highlight w:val="none"/>
        </w:rPr>
      </w:pPr>
    </w:p>
    <w:p w14:paraId="137421FE">
      <w:pPr>
        <w:jc w:val="center"/>
        <w:rPr>
          <w:rFonts w:ascii="宋体" w:hAnsi="宋体" w:cs="宋体"/>
          <w:b/>
          <w:kern w:val="0"/>
          <w:sz w:val="32"/>
          <w:szCs w:val="32"/>
          <w:highlight w:val="none"/>
        </w:rPr>
      </w:pPr>
    </w:p>
    <w:p w14:paraId="52AF7C0D">
      <w:pPr>
        <w:pStyle w:val="61"/>
        <w:rPr>
          <w:highlight w:val="none"/>
        </w:rPr>
      </w:pPr>
    </w:p>
    <w:p w14:paraId="22A1F341">
      <w:pPr>
        <w:jc w:val="center"/>
        <w:rPr>
          <w:rFonts w:ascii="宋体" w:hAnsi="宋体" w:cs="宋体"/>
          <w:b/>
          <w:kern w:val="0"/>
          <w:sz w:val="32"/>
          <w:szCs w:val="32"/>
          <w:highlight w:val="none"/>
        </w:rPr>
      </w:pPr>
    </w:p>
    <w:p w14:paraId="5EE9EEE0">
      <w:pPr>
        <w:pStyle w:val="61"/>
        <w:rPr>
          <w:highlight w:val="none"/>
        </w:rPr>
      </w:pPr>
    </w:p>
    <w:p w14:paraId="437780BC">
      <w:pPr>
        <w:jc w:val="center"/>
        <w:rPr>
          <w:rFonts w:ascii="宋体" w:hAnsi="宋体" w:cs="宋体"/>
          <w:b/>
          <w:kern w:val="0"/>
          <w:sz w:val="32"/>
          <w:szCs w:val="32"/>
          <w:highlight w:val="none"/>
        </w:rPr>
      </w:pPr>
    </w:p>
    <w:p w14:paraId="708FAF86">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26116E11">
      <w:pPr>
        <w:snapToGrid w:val="0"/>
        <w:spacing w:line="360" w:lineRule="auto"/>
        <w:jc w:val="left"/>
        <w:rPr>
          <w:rFonts w:ascii="宋体" w:hAnsi="宋体" w:cs="宋体"/>
          <w:b/>
          <w:sz w:val="24"/>
          <w:highlight w:val="none"/>
        </w:rPr>
      </w:pPr>
    </w:p>
    <w:p w14:paraId="75A0D68D">
      <w:pPr>
        <w:snapToGrid w:val="0"/>
        <w:spacing w:line="360" w:lineRule="auto"/>
        <w:jc w:val="left"/>
        <w:rPr>
          <w:rFonts w:ascii="宋体" w:hAnsi="宋体" w:cs="宋体"/>
          <w:b/>
          <w:sz w:val="28"/>
          <w:szCs w:val="28"/>
          <w:highlight w:val="none"/>
        </w:rPr>
      </w:pPr>
      <w:r>
        <w:rPr>
          <w:rFonts w:hint="eastAsia" w:ascii="宋体" w:hAnsi="宋体" w:cs="宋体"/>
          <w:b/>
          <w:sz w:val="28"/>
          <w:szCs w:val="28"/>
          <w:highlight w:val="none"/>
        </w:rPr>
        <w:t>（按招标文件第四部分评标办法前附表中“投标文件中评标标准相应的商务技术资料目录”提供资料。）</w:t>
      </w:r>
    </w:p>
    <w:p w14:paraId="175B9F58">
      <w:pPr>
        <w:jc w:val="center"/>
        <w:rPr>
          <w:rFonts w:ascii="宋体" w:hAnsi="宋体" w:cs="宋体"/>
          <w:b/>
          <w:kern w:val="0"/>
          <w:sz w:val="32"/>
          <w:szCs w:val="32"/>
          <w:highlight w:val="none"/>
        </w:rPr>
      </w:pPr>
    </w:p>
    <w:p w14:paraId="7E4FFCF0">
      <w:pPr>
        <w:jc w:val="center"/>
        <w:rPr>
          <w:rFonts w:ascii="宋体" w:hAnsi="宋体" w:cs="宋体"/>
          <w:b/>
          <w:kern w:val="0"/>
          <w:sz w:val="32"/>
          <w:szCs w:val="32"/>
          <w:highlight w:val="none"/>
        </w:rPr>
      </w:pPr>
    </w:p>
    <w:p w14:paraId="188C4B50">
      <w:pPr>
        <w:jc w:val="center"/>
        <w:rPr>
          <w:rFonts w:ascii="宋体" w:hAnsi="宋体" w:cs="宋体"/>
          <w:b/>
          <w:kern w:val="0"/>
          <w:sz w:val="32"/>
          <w:szCs w:val="32"/>
          <w:highlight w:val="none"/>
        </w:rPr>
      </w:pPr>
    </w:p>
    <w:p w14:paraId="1F76627A">
      <w:pPr>
        <w:pStyle w:val="3"/>
        <w:rPr>
          <w:rFonts w:ascii="宋体" w:hAnsi="宋体" w:eastAsia="宋体" w:cs="宋体"/>
          <w:kern w:val="0"/>
          <w:highlight w:val="none"/>
        </w:rPr>
      </w:pPr>
    </w:p>
    <w:p w14:paraId="093523E7">
      <w:pPr>
        <w:rPr>
          <w:rFonts w:ascii="宋体" w:hAnsi="宋体" w:eastAsia="宋体" w:cs="宋体"/>
          <w:kern w:val="0"/>
          <w:highlight w:val="none"/>
        </w:rPr>
      </w:pPr>
    </w:p>
    <w:p w14:paraId="6C2023D4">
      <w:pPr>
        <w:pStyle w:val="61"/>
        <w:rPr>
          <w:rFonts w:ascii="宋体" w:hAnsi="宋体" w:eastAsia="宋体" w:cs="宋体"/>
          <w:kern w:val="0"/>
          <w:highlight w:val="none"/>
        </w:rPr>
      </w:pPr>
    </w:p>
    <w:p w14:paraId="6CE72A12">
      <w:pPr>
        <w:rPr>
          <w:rFonts w:ascii="宋体" w:hAnsi="宋体" w:eastAsia="宋体" w:cs="宋体"/>
          <w:kern w:val="0"/>
          <w:highlight w:val="none"/>
        </w:rPr>
      </w:pPr>
    </w:p>
    <w:p w14:paraId="4D582325">
      <w:pPr>
        <w:pStyle w:val="61"/>
        <w:rPr>
          <w:rFonts w:ascii="宋体" w:hAnsi="宋体" w:eastAsia="宋体" w:cs="宋体"/>
          <w:kern w:val="0"/>
          <w:highlight w:val="none"/>
        </w:rPr>
      </w:pPr>
    </w:p>
    <w:p w14:paraId="44505E20">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六、项目</w:t>
      </w:r>
      <w:r>
        <w:rPr>
          <w:rFonts w:hint="eastAsia" w:ascii="宋体" w:hAnsi="宋体" w:cs="宋体"/>
          <w:b/>
          <w:kern w:val="0"/>
          <w:sz w:val="32"/>
          <w:szCs w:val="32"/>
          <w:highlight w:val="none"/>
          <w:lang w:eastAsia="zh-CN"/>
        </w:rPr>
        <w:t>人员</w:t>
      </w:r>
      <w:r>
        <w:rPr>
          <w:rFonts w:hint="eastAsia" w:ascii="宋体" w:hAnsi="宋体" w:cs="宋体"/>
          <w:b/>
          <w:kern w:val="0"/>
          <w:sz w:val="32"/>
          <w:szCs w:val="32"/>
          <w:highlight w:val="none"/>
        </w:rPr>
        <w:t>情况表</w:t>
      </w:r>
    </w:p>
    <w:p w14:paraId="315CB9F9">
      <w:pPr>
        <w:spacing w:line="92" w:lineRule="exact"/>
        <w:rPr>
          <w:snapToGrid/>
          <w:color w:val="auto"/>
          <w:spacing w:val="0"/>
          <w:w w:val="100"/>
          <w:kern w:val="21"/>
          <w:position w:val="0"/>
          <w:highlight w:val="none"/>
        </w:rPr>
      </w:pPr>
    </w:p>
    <w:tbl>
      <w:tblPr>
        <w:tblStyle w:val="991"/>
        <w:tblW w:w="103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1679"/>
        <w:gridCol w:w="1641"/>
        <w:gridCol w:w="773"/>
        <w:gridCol w:w="1679"/>
        <w:gridCol w:w="1954"/>
        <w:gridCol w:w="1954"/>
      </w:tblGrid>
      <w:tr w14:paraId="62372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37" w:type="dxa"/>
            <w:textDirection w:val="tbRlV"/>
            <w:vAlign w:val="center"/>
          </w:tcPr>
          <w:p w14:paraId="3E41A3D3">
            <w:pPr>
              <w:pStyle w:val="128"/>
              <w:spacing w:before="196" w:line="210" w:lineRule="auto"/>
              <w:ind w:left="0"/>
              <w:jc w:val="center"/>
              <w:rPr>
                <w:snapToGrid/>
                <w:color w:val="auto"/>
                <w:spacing w:val="0"/>
                <w:w w:val="100"/>
                <w:kern w:val="21"/>
                <w:position w:val="0"/>
                <w:highlight w:val="none"/>
              </w:rPr>
            </w:pPr>
            <w:r>
              <w:rPr>
                <w:snapToGrid/>
                <w:color w:val="auto"/>
                <w:spacing w:val="0"/>
                <w:w w:val="100"/>
                <w:kern w:val="21"/>
                <w:position w:val="0"/>
                <w:highlight w:val="none"/>
              </w:rPr>
              <w:t>序号</w:t>
            </w:r>
          </w:p>
        </w:tc>
        <w:tc>
          <w:tcPr>
            <w:tcW w:w="1679" w:type="dxa"/>
            <w:vAlign w:val="center"/>
          </w:tcPr>
          <w:p w14:paraId="03E0247D">
            <w:pPr>
              <w:pStyle w:val="128"/>
              <w:spacing w:before="198" w:line="219" w:lineRule="auto"/>
              <w:ind w:left="0"/>
              <w:jc w:val="center"/>
              <w:rPr>
                <w:snapToGrid/>
                <w:color w:val="auto"/>
                <w:spacing w:val="0"/>
                <w:w w:val="100"/>
                <w:kern w:val="21"/>
                <w:position w:val="0"/>
                <w:highlight w:val="none"/>
              </w:rPr>
            </w:pPr>
            <w:r>
              <w:rPr>
                <w:snapToGrid/>
                <w:color w:val="auto"/>
                <w:spacing w:val="0"/>
                <w:w w:val="100"/>
                <w:kern w:val="21"/>
                <w:position w:val="0"/>
                <w:highlight w:val="none"/>
              </w:rPr>
              <w:t>姓名</w:t>
            </w:r>
          </w:p>
        </w:tc>
        <w:tc>
          <w:tcPr>
            <w:tcW w:w="1641" w:type="dxa"/>
            <w:vAlign w:val="center"/>
          </w:tcPr>
          <w:p w14:paraId="23956E32">
            <w:pPr>
              <w:pStyle w:val="128"/>
              <w:spacing w:before="197" w:line="220" w:lineRule="auto"/>
              <w:ind w:left="0"/>
              <w:jc w:val="center"/>
              <w:rPr>
                <w:snapToGrid/>
                <w:color w:val="auto"/>
                <w:spacing w:val="0"/>
                <w:w w:val="100"/>
                <w:kern w:val="21"/>
                <w:position w:val="0"/>
                <w:highlight w:val="none"/>
              </w:rPr>
            </w:pPr>
            <w:r>
              <w:rPr>
                <w:snapToGrid/>
                <w:color w:val="auto"/>
                <w:spacing w:val="0"/>
                <w:w w:val="100"/>
                <w:kern w:val="21"/>
                <w:position w:val="0"/>
                <w:highlight w:val="none"/>
              </w:rPr>
              <w:t>性别</w:t>
            </w:r>
          </w:p>
        </w:tc>
        <w:tc>
          <w:tcPr>
            <w:tcW w:w="773" w:type="dxa"/>
            <w:vAlign w:val="center"/>
          </w:tcPr>
          <w:p w14:paraId="73D7F8F1">
            <w:pPr>
              <w:pStyle w:val="128"/>
              <w:spacing w:before="198" w:line="219" w:lineRule="auto"/>
              <w:ind w:left="0"/>
              <w:jc w:val="center"/>
              <w:rPr>
                <w:snapToGrid/>
                <w:color w:val="auto"/>
                <w:spacing w:val="0"/>
                <w:w w:val="100"/>
                <w:kern w:val="21"/>
                <w:position w:val="0"/>
                <w:highlight w:val="none"/>
              </w:rPr>
            </w:pPr>
            <w:r>
              <w:rPr>
                <w:snapToGrid/>
                <w:color w:val="auto"/>
                <w:spacing w:val="0"/>
                <w:w w:val="100"/>
                <w:kern w:val="21"/>
                <w:position w:val="0"/>
                <w:highlight w:val="none"/>
              </w:rPr>
              <w:t>年龄</w:t>
            </w:r>
          </w:p>
        </w:tc>
        <w:tc>
          <w:tcPr>
            <w:tcW w:w="1679" w:type="dxa"/>
            <w:vAlign w:val="center"/>
          </w:tcPr>
          <w:p w14:paraId="2C13BF83">
            <w:pPr>
              <w:pStyle w:val="128"/>
              <w:spacing w:before="198" w:line="221" w:lineRule="auto"/>
              <w:ind w:left="0"/>
              <w:jc w:val="center"/>
              <w:rPr>
                <w:snapToGrid/>
                <w:color w:val="auto"/>
                <w:spacing w:val="0"/>
                <w:w w:val="100"/>
                <w:kern w:val="21"/>
                <w:position w:val="0"/>
                <w:highlight w:val="none"/>
              </w:rPr>
            </w:pPr>
            <w:r>
              <w:rPr>
                <w:snapToGrid/>
                <w:color w:val="auto"/>
                <w:spacing w:val="0"/>
                <w:w w:val="100"/>
                <w:kern w:val="21"/>
                <w:position w:val="0"/>
                <w:highlight w:val="none"/>
              </w:rPr>
              <w:t>职称</w:t>
            </w:r>
          </w:p>
        </w:tc>
        <w:tc>
          <w:tcPr>
            <w:tcW w:w="1954" w:type="dxa"/>
            <w:vAlign w:val="center"/>
          </w:tcPr>
          <w:p w14:paraId="55547AF4">
            <w:pPr>
              <w:pStyle w:val="128"/>
              <w:spacing w:before="198" w:line="219" w:lineRule="auto"/>
              <w:jc w:val="center"/>
              <w:rPr>
                <w:snapToGrid/>
                <w:color w:val="auto"/>
                <w:spacing w:val="0"/>
                <w:w w:val="100"/>
                <w:kern w:val="21"/>
                <w:position w:val="0"/>
                <w:highlight w:val="none"/>
              </w:rPr>
            </w:pPr>
            <w:r>
              <w:rPr>
                <w:snapToGrid/>
                <w:color w:val="auto"/>
                <w:spacing w:val="0"/>
                <w:w w:val="100"/>
                <w:kern w:val="21"/>
                <w:position w:val="0"/>
                <w:highlight w:val="none"/>
              </w:rPr>
              <w:t>承担岗位</w:t>
            </w:r>
          </w:p>
        </w:tc>
        <w:tc>
          <w:tcPr>
            <w:tcW w:w="1954" w:type="dxa"/>
            <w:vAlign w:val="center"/>
          </w:tcPr>
          <w:p w14:paraId="0A4C86CB">
            <w:pPr>
              <w:pStyle w:val="128"/>
              <w:spacing w:before="198" w:line="219" w:lineRule="auto"/>
              <w:jc w:val="center"/>
              <w:rPr>
                <w:rFonts w:hint="eastAsia" w:eastAsia="宋体"/>
                <w:snapToGrid/>
                <w:color w:val="auto"/>
                <w:spacing w:val="0"/>
                <w:w w:val="100"/>
                <w:kern w:val="21"/>
                <w:position w:val="0"/>
                <w:highlight w:val="none"/>
                <w:lang w:eastAsia="zh-CN"/>
              </w:rPr>
            </w:pPr>
            <w:r>
              <w:rPr>
                <w:rFonts w:hint="eastAsia"/>
                <w:snapToGrid/>
                <w:color w:val="auto"/>
                <w:spacing w:val="0"/>
                <w:w w:val="100"/>
                <w:kern w:val="21"/>
                <w:position w:val="0"/>
                <w:highlight w:val="none"/>
                <w:lang w:eastAsia="zh-CN"/>
              </w:rPr>
              <w:t>备注</w:t>
            </w:r>
          </w:p>
        </w:tc>
      </w:tr>
      <w:tr w14:paraId="54727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637" w:type="dxa"/>
            <w:vAlign w:val="center"/>
          </w:tcPr>
          <w:p w14:paraId="56438403">
            <w:pPr>
              <w:pStyle w:val="128"/>
              <w:spacing w:before="117" w:line="184" w:lineRule="auto"/>
              <w:ind w:left="0"/>
              <w:jc w:val="center"/>
              <w:rPr>
                <w:snapToGrid/>
                <w:color w:val="auto"/>
                <w:spacing w:val="0"/>
                <w:w w:val="100"/>
                <w:kern w:val="21"/>
                <w:position w:val="0"/>
                <w:highlight w:val="none"/>
              </w:rPr>
            </w:pPr>
            <w:r>
              <w:rPr>
                <w:snapToGrid/>
                <w:color w:val="auto"/>
                <w:spacing w:val="0"/>
                <w:w w:val="100"/>
                <w:kern w:val="21"/>
                <w:position w:val="0"/>
                <w:highlight w:val="none"/>
              </w:rPr>
              <w:t>1</w:t>
            </w:r>
          </w:p>
        </w:tc>
        <w:tc>
          <w:tcPr>
            <w:tcW w:w="1679" w:type="dxa"/>
            <w:vAlign w:val="center"/>
          </w:tcPr>
          <w:p w14:paraId="127C0FD3">
            <w:pPr>
              <w:jc w:val="center"/>
              <w:rPr>
                <w:rFonts w:ascii="Arial"/>
                <w:snapToGrid/>
                <w:color w:val="auto"/>
                <w:spacing w:val="0"/>
                <w:w w:val="100"/>
                <w:kern w:val="21"/>
                <w:position w:val="0"/>
                <w:sz w:val="21"/>
                <w:highlight w:val="none"/>
              </w:rPr>
            </w:pPr>
          </w:p>
        </w:tc>
        <w:tc>
          <w:tcPr>
            <w:tcW w:w="1641" w:type="dxa"/>
            <w:vAlign w:val="center"/>
          </w:tcPr>
          <w:p w14:paraId="6C03C67B">
            <w:pPr>
              <w:jc w:val="center"/>
              <w:rPr>
                <w:rFonts w:ascii="Arial"/>
                <w:snapToGrid/>
                <w:color w:val="auto"/>
                <w:spacing w:val="0"/>
                <w:w w:val="100"/>
                <w:kern w:val="21"/>
                <w:position w:val="0"/>
                <w:sz w:val="21"/>
                <w:highlight w:val="none"/>
              </w:rPr>
            </w:pPr>
          </w:p>
        </w:tc>
        <w:tc>
          <w:tcPr>
            <w:tcW w:w="773" w:type="dxa"/>
            <w:vAlign w:val="center"/>
          </w:tcPr>
          <w:p w14:paraId="42712039">
            <w:pPr>
              <w:jc w:val="center"/>
              <w:rPr>
                <w:rFonts w:ascii="Arial"/>
                <w:snapToGrid/>
                <w:color w:val="auto"/>
                <w:spacing w:val="0"/>
                <w:w w:val="100"/>
                <w:kern w:val="21"/>
                <w:position w:val="0"/>
                <w:sz w:val="21"/>
                <w:highlight w:val="none"/>
              </w:rPr>
            </w:pPr>
          </w:p>
        </w:tc>
        <w:tc>
          <w:tcPr>
            <w:tcW w:w="1679" w:type="dxa"/>
            <w:vAlign w:val="center"/>
          </w:tcPr>
          <w:p w14:paraId="2D3981A2">
            <w:pPr>
              <w:jc w:val="center"/>
              <w:rPr>
                <w:rFonts w:ascii="Arial"/>
                <w:snapToGrid/>
                <w:color w:val="auto"/>
                <w:spacing w:val="0"/>
                <w:w w:val="100"/>
                <w:kern w:val="21"/>
                <w:position w:val="0"/>
                <w:sz w:val="21"/>
                <w:highlight w:val="none"/>
              </w:rPr>
            </w:pPr>
          </w:p>
        </w:tc>
        <w:tc>
          <w:tcPr>
            <w:tcW w:w="1954" w:type="dxa"/>
            <w:vAlign w:val="center"/>
          </w:tcPr>
          <w:p w14:paraId="3593308F">
            <w:pPr>
              <w:jc w:val="center"/>
              <w:rPr>
                <w:rFonts w:ascii="Arial"/>
                <w:snapToGrid/>
                <w:color w:val="auto"/>
                <w:spacing w:val="0"/>
                <w:w w:val="100"/>
                <w:kern w:val="21"/>
                <w:position w:val="0"/>
                <w:sz w:val="21"/>
                <w:highlight w:val="none"/>
              </w:rPr>
            </w:pPr>
          </w:p>
        </w:tc>
        <w:tc>
          <w:tcPr>
            <w:tcW w:w="1954" w:type="dxa"/>
            <w:vAlign w:val="center"/>
          </w:tcPr>
          <w:p w14:paraId="2622E497">
            <w:pPr>
              <w:jc w:val="center"/>
              <w:rPr>
                <w:rFonts w:ascii="Arial"/>
                <w:snapToGrid/>
                <w:color w:val="auto"/>
                <w:spacing w:val="0"/>
                <w:w w:val="100"/>
                <w:kern w:val="21"/>
                <w:position w:val="0"/>
                <w:sz w:val="21"/>
                <w:highlight w:val="none"/>
              </w:rPr>
            </w:pPr>
          </w:p>
        </w:tc>
      </w:tr>
      <w:tr w14:paraId="5C3E1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637" w:type="dxa"/>
            <w:vAlign w:val="center"/>
          </w:tcPr>
          <w:p w14:paraId="18FA8390">
            <w:pPr>
              <w:pStyle w:val="128"/>
              <w:spacing w:before="119" w:line="183" w:lineRule="auto"/>
              <w:ind w:left="0"/>
              <w:jc w:val="center"/>
              <w:rPr>
                <w:snapToGrid/>
                <w:color w:val="auto"/>
                <w:spacing w:val="0"/>
                <w:w w:val="100"/>
                <w:kern w:val="21"/>
                <w:position w:val="0"/>
                <w:highlight w:val="none"/>
              </w:rPr>
            </w:pPr>
            <w:r>
              <w:rPr>
                <w:snapToGrid/>
                <w:color w:val="auto"/>
                <w:spacing w:val="0"/>
                <w:w w:val="100"/>
                <w:kern w:val="21"/>
                <w:position w:val="0"/>
                <w:highlight w:val="none"/>
              </w:rPr>
              <w:t>2</w:t>
            </w:r>
          </w:p>
        </w:tc>
        <w:tc>
          <w:tcPr>
            <w:tcW w:w="1679" w:type="dxa"/>
            <w:vAlign w:val="center"/>
          </w:tcPr>
          <w:p w14:paraId="3A834B06">
            <w:pPr>
              <w:jc w:val="center"/>
              <w:rPr>
                <w:rFonts w:ascii="Arial"/>
                <w:snapToGrid/>
                <w:color w:val="auto"/>
                <w:spacing w:val="0"/>
                <w:w w:val="100"/>
                <w:kern w:val="21"/>
                <w:position w:val="0"/>
                <w:sz w:val="21"/>
                <w:highlight w:val="none"/>
              </w:rPr>
            </w:pPr>
          </w:p>
        </w:tc>
        <w:tc>
          <w:tcPr>
            <w:tcW w:w="1641" w:type="dxa"/>
            <w:vAlign w:val="center"/>
          </w:tcPr>
          <w:p w14:paraId="1EF8A71D">
            <w:pPr>
              <w:jc w:val="center"/>
              <w:rPr>
                <w:rFonts w:ascii="Arial"/>
                <w:snapToGrid/>
                <w:color w:val="auto"/>
                <w:spacing w:val="0"/>
                <w:w w:val="100"/>
                <w:kern w:val="21"/>
                <w:position w:val="0"/>
                <w:sz w:val="21"/>
                <w:highlight w:val="none"/>
              </w:rPr>
            </w:pPr>
          </w:p>
        </w:tc>
        <w:tc>
          <w:tcPr>
            <w:tcW w:w="773" w:type="dxa"/>
            <w:vAlign w:val="center"/>
          </w:tcPr>
          <w:p w14:paraId="638D02B0">
            <w:pPr>
              <w:jc w:val="center"/>
              <w:rPr>
                <w:rFonts w:ascii="Arial"/>
                <w:snapToGrid/>
                <w:color w:val="auto"/>
                <w:spacing w:val="0"/>
                <w:w w:val="100"/>
                <w:kern w:val="21"/>
                <w:position w:val="0"/>
                <w:sz w:val="21"/>
                <w:highlight w:val="none"/>
              </w:rPr>
            </w:pPr>
          </w:p>
        </w:tc>
        <w:tc>
          <w:tcPr>
            <w:tcW w:w="1679" w:type="dxa"/>
            <w:vAlign w:val="center"/>
          </w:tcPr>
          <w:p w14:paraId="4461367E">
            <w:pPr>
              <w:jc w:val="center"/>
              <w:rPr>
                <w:rFonts w:ascii="Arial"/>
                <w:snapToGrid/>
                <w:color w:val="auto"/>
                <w:spacing w:val="0"/>
                <w:w w:val="100"/>
                <w:kern w:val="21"/>
                <w:position w:val="0"/>
                <w:sz w:val="21"/>
                <w:highlight w:val="none"/>
              </w:rPr>
            </w:pPr>
          </w:p>
        </w:tc>
        <w:tc>
          <w:tcPr>
            <w:tcW w:w="1954" w:type="dxa"/>
            <w:vAlign w:val="center"/>
          </w:tcPr>
          <w:p w14:paraId="51DC7550">
            <w:pPr>
              <w:jc w:val="center"/>
              <w:rPr>
                <w:rFonts w:ascii="Arial"/>
                <w:snapToGrid/>
                <w:color w:val="auto"/>
                <w:spacing w:val="0"/>
                <w:w w:val="100"/>
                <w:kern w:val="21"/>
                <w:position w:val="0"/>
                <w:sz w:val="21"/>
                <w:highlight w:val="none"/>
              </w:rPr>
            </w:pPr>
          </w:p>
        </w:tc>
        <w:tc>
          <w:tcPr>
            <w:tcW w:w="1954" w:type="dxa"/>
            <w:vAlign w:val="center"/>
          </w:tcPr>
          <w:p w14:paraId="37C3BF19">
            <w:pPr>
              <w:jc w:val="center"/>
              <w:rPr>
                <w:rFonts w:ascii="Arial"/>
                <w:snapToGrid/>
                <w:color w:val="auto"/>
                <w:spacing w:val="0"/>
                <w:w w:val="100"/>
                <w:kern w:val="21"/>
                <w:position w:val="0"/>
                <w:sz w:val="21"/>
                <w:highlight w:val="none"/>
              </w:rPr>
            </w:pPr>
          </w:p>
        </w:tc>
      </w:tr>
      <w:tr w14:paraId="7E6E9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637" w:type="dxa"/>
            <w:vAlign w:val="center"/>
          </w:tcPr>
          <w:p w14:paraId="6F14982B">
            <w:pPr>
              <w:pStyle w:val="128"/>
              <w:spacing w:before="121" w:line="183" w:lineRule="auto"/>
              <w:ind w:left="0"/>
              <w:jc w:val="center"/>
              <w:rPr>
                <w:snapToGrid/>
                <w:color w:val="auto"/>
                <w:spacing w:val="0"/>
                <w:w w:val="100"/>
                <w:kern w:val="21"/>
                <w:position w:val="0"/>
                <w:highlight w:val="none"/>
              </w:rPr>
            </w:pPr>
            <w:r>
              <w:rPr>
                <w:snapToGrid/>
                <w:color w:val="auto"/>
                <w:spacing w:val="0"/>
                <w:w w:val="100"/>
                <w:kern w:val="21"/>
                <w:position w:val="0"/>
                <w:highlight w:val="none"/>
              </w:rPr>
              <w:t>3</w:t>
            </w:r>
          </w:p>
        </w:tc>
        <w:tc>
          <w:tcPr>
            <w:tcW w:w="1679" w:type="dxa"/>
            <w:vAlign w:val="center"/>
          </w:tcPr>
          <w:p w14:paraId="74B574BE">
            <w:pPr>
              <w:jc w:val="center"/>
              <w:rPr>
                <w:rFonts w:ascii="Arial"/>
                <w:snapToGrid/>
                <w:color w:val="auto"/>
                <w:spacing w:val="0"/>
                <w:w w:val="100"/>
                <w:kern w:val="21"/>
                <w:position w:val="0"/>
                <w:sz w:val="21"/>
                <w:highlight w:val="none"/>
              </w:rPr>
            </w:pPr>
          </w:p>
        </w:tc>
        <w:tc>
          <w:tcPr>
            <w:tcW w:w="1641" w:type="dxa"/>
            <w:vAlign w:val="center"/>
          </w:tcPr>
          <w:p w14:paraId="5728B82E">
            <w:pPr>
              <w:jc w:val="center"/>
              <w:rPr>
                <w:rFonts w:ascii="Arial"/>
                <w:snapToGrid/>
                <w:color w:val="auto"/>
                <w:spacing w:val="0"/>
                <w:w w:val="100"/>
                <w:kern w:val="21"/>
                <w:position w:val="0"/>
                <w:sz w:val="21"/>
                <w:highlight w:val="none"/>
              </w:rPr>
            </w:pPr>
          </w:p>
        </w:tc>
        <w:tc>
          <w:tcPr>
            <w:tcW w:w="773" w:type="dxa"/>
            <w:vAlign w:val="center"/>
          </w:tcPr>
          <w:p w14:paraId="3BC21DEB">
            <w:pPr>
              <w:jc w:val="center"/>
              <w:rPr>
                <w:rFonts w:ascii="Arial"/>
                <w:snapToGrid/>
                <w:color w:val="auto"/>
                <w:spacing w:val="0"/>
                <w:w w:val="100"/>
                <w:kern w:val="21"/>
                <w:position w:val="0"/>
                <w:sz w:val="21"/>
                <w:highlight w:val="none"/>
              </w:rPr>
            </w:pPr>
          </w:p>
        </w:tc>
        <w:tc>
          <w:tcPr>
            <w:tcW w:w="1679" w:type="dxa"/>
            <w:vAlign w:val="center"/>
          </w:tcPr>
          <w:p w14:paraId="379A8DBC">
            <w:pPr>
              <w:jc w:val="center"/>
              <w:rPr>
                <w:rFonts w:ascii="Arial"/>
                <w:snapToGrid/>
                <w:color w:val="auto"/>
                <w:spacing w:val="0"/>
                <w:w w:val="100"/>
                <w:kern w:val="21"/>
                <w:position w:val="0"/>
                <w:sz w:val="21"/>
                <w:highlight w:val="none"/>
              </w:rPr>
            </w:pPr>
          </w:p>
        </w:tc>
        <w:tc>
          <w:tcPr>
            <w:tcW w:w="1954" w:type="dxa"/>
            <w:vAlign w:val="center"/>
          </w:tcPr>
          <w:p w14:paraId="006481C6">
            <w:pPr>
              <w:jc w:val="center"/>
              <w:rPr>
                <w:rFonts w:ascii="Arial"/>
                <w:snapToGrid/>
                <w:color w:val="auto"/>
                <w:spacing w:val="0"/>
                <w:w w:val="100"/>
                <w:kern w:val="21"/>
                <w:position w:val="0"/>
                <w:sz w:val="21"/>
                <w:highlight w:val="none"/>
              </w:rPr>
            </w:pPr>
          </w:p>
        </w:tc>
        <w:tc>
          <w:tcPr>
            <w:tcW w:w="1954" w:type="dxa"/>
            <w:vAlign w:val="center"/>
          </w:tcPr>
          <w:p w14:paraId="224BB4C3">
            <w:pPr>
              <w:jc w:val="center"/>
              <w:rPr>
                <w:rFonts w:ascii="Arial"/>
                <w:snapToGrid/>
                <w:color w:val="auto"/>
                <w:spacing w:val="0"/>
                <w:w w:val="100"/>
                <w:kern w:val="21"/>
                <w:position w:val="0"/>
                <w:sz w:val="21"/>
                <w:highlight w:val="none"/>
              </w:rPr>
            </w:pPr>
          </w:p>
        </w:tc>
      </w:tr>
      <w:tr w14:paraId="65037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637" w:type="dxa"/>
            <w:vAlign w:val="center"/>
          </w:tcPr>
          <w:p w14:paraId="2325C273">
            <w:pPr>
              <w:pStyle w:val="128"/>
              <w:spacing w:before="122" w:line="183" w:lineRule="auto"/>
              <w:ind w:left="0"/>
              <w:jc w:val="center"/>
              <w:rPr>
                <w:snapToGrid/>
                <w:color w:val="auto"/>
                <w:spacing w:val="0"/>
                <w:w w:val="100"/>
                <w:kern w:val="21"/>
                <w:position w:val="0"/>
                <w:highlight w:val="none"/>
              </w:rPr>
            </w:pPr>
            <w:r>
              <w:rPr>
                <w:snapToGrid/>
                <w:color w:val="auto"/>
                <w:spacing w:val="0"/>
                <w:w w:val="100"/>
                <w:kern w:val="21"/>
                <w:position w:val="0"/>
                <w:highlight w:val="none"/>
              </w:rPr>
              <w:t>4</w:t>
            </w:r>
          </w:p>
        </w:tc>
        <w:tc>
          <w:tcPr>
            <w:tcW w:w="1679" w:type="dxa"/>
            <w:vAlign w:val="center"/>
          </w:tcPr>
          <w:p w14:paraId="73579A4A">
            <w:pPr>
              <w:jc w:val="center"/>
              <w:rPr>
                <w:rFonts w:ascii="Arial"/>
                <w:snapToGrid/>
                <w:color w:val="auto"/>
                <w:spacing w:val="0"/>
                <w:w w:val="100"/>
                <w:kern w:val="21"/>
                <w:position w:val="0"/>
                <w:sz w:val="21"/>
                <w:highlight w:val="none"/>
              </w:rPr>
            </w:pPr>
          </w:p>
        </w:tc>
        <w:tc>
          <w:tcPr>
            <w:tcW w:w="1641" w:type="dxa"/>
            <w:vAlign w:val="center"/>
          </w:tcPr>
          <w:p w14:paraId="3C4755F9">
            <w:pPr>
              <w:jc w:val="center"/>
              <w:rPr>
                <w:rFonts w:ascii="Arial"/>
                <w:snapToGrid/>
                <w:color w:val="auto"/>
                <w:spacing w:val="0"/>
                <w:w w:val="100"/>
                <w:kern w:val="21"/>
                <w:position w:val="0"/>
                <w:sz w:val="21"/>
                <w:highlight w:val="none"/>
              </w:rPr>
            </w:pPr>
          </w:p>
        </w:tc>
        <w:tc>
          <w:tcPr>
            <w:tcW w:w="773" w:type="dxa"/>
            <w:vAlign w:val="center"/>
          </w:tcPr>
          <w:p w14:paraId="23A107F1">
            <w:pPr>
              <w:jc w:val="center"/>
              <w:rPr>
                <w:rFonts w:ascii="Arial"/>
                <w:snapToGrid/>
                <w:color w:val="auto"/>
                <w:spacing w:val="0"/>
                <w:w w:val="100"/>
                <w:kern w:val="21"/>
                <w:position w:val="0"/>
                <w:sz w:val="21"/>
                <w:highlight w:val="none"/>
              </w:rPr>
            </w:pPr>
          </w:p>
        </w:tc>
        <w:tc>
          <w:tcPr>
            <w:tcW w:w="1679" w:type="dxa"/>
            <w:vAlign w:val="center"/>
          </w:tcPr>
          <w:p w14:paraId="40523063">
            <w:pPr>
              <w:jc w:val="center"/>
              <w:rPr>
                <w:rFonts w:ascii="Arial"/>
                <w:snapToGrid/>
                <w:color w:val="auto"/>
                <w:spacing w:val="0"/>
                <w:w w:val="100"/>
                <w:kern w:val="21"/>
                <w:position w:val="0"/>
                <w:sz w:val="21"/>
                <w:highlight w:val="none"/>
              </w:rPr>
            </w:pPr>
          </w:p>
        </w:tc>
        <w:tc>
          <w:tcPr>
            <w:tcW w:w="1954" w:type="dxa"/>
            <w:vAlign w:val="center"/>
          </w:tcPr>
          <w:p w14:paraId="3C15464C">
            <w:pPr>
              <w:jc w:val="center"/>
              <w:rPr>
                <w:rFonts w:ascii="Arial"/>
                <w:snapToGrid/>
                <w:color w:val="auto"/>
                <w:spacing w:val="0"/>
                <w:w w:val="100"/>
                <w:kern w:val="21"/>
                <w:position w:val="0"/>
                <w:sz w:val="21"/>
                <w:highlight w:val="none"/>
              </w:rPr>
            </w:pPr>
          </w:p>
        </w:tc>
        <w:tc>
          <w:tcPr>
            <w:tcW w:w="1954" w:type="dxa"/>
            <w:vAlign w:val="center"/>
          </w:tcPr>
          <w:p w14:paraId="2A3135D1">
            <w:pPr>
              <w:jc w:val="center"/>
              <w:rPr>
                <w:rFonts w:ascii="Arial"/>
                <w:snapToGrid/>
                <w:color w:val="auto"/>
                <w:spacing w:val="0"/>
                <w:w w:val="100"/>
                <w:kern w:val="21"/>
                <w:position w:val="0"/>
                <w:sz w:val="21"/>
                <w:highlight w:val="none"/>
              </w:rPr>
            </w:pPr>
          </w:p>
        </w:tc>
      </w:tr>
    </w:tbl>
    <w:p w14:paraId="0FBC8DB7">
      <w:pPr>
        <w:autoSpaceDE/>
        <w:autoSpaceDN/>
        <w:adjustRightInd/>
        <w:snapToGrid/>
        <w:spacing w:before="0" w:line="360" w:lineRule="auto"/>
        <w:ind w:left="0" w:firstLine="480" w:firstLineChars="200"/>
        <w:rPr>
          <w:rFonts w:hint="default" w:ascii="宋体" w:hAnsi="宋体" w:eastAsia="宋体" w:cs="宋体"/>
          <w:snapToGrid/>
          <w:color w:val="auto"/>
          <w:spacing w:val="0"/>
          <w:w w:val="100"/>
          <w:kern w:val="21"/>
          <w:position w:val="0"/>
          <w:sz w:val="24"/>
          <w:szCs w:val="24"/>
          <w:highlight w:val="none"/>
          <w:lang w:val="en-US" w:eastAsia="zh-CN"/>
        </w:rPr>
      </w:pPr>
      <w:r>
        <w:rPr>
          <w:rFonts w:hint="eastAsia" w:ascii="宋体" w:hAnsi="宋体" w:eastAsia="宋体" w:cs="宋体"/>
          <w:snapToGrid/>
          <w:color w:val="auto"/>
          <w:spacing w:val="0"/>
          <w:w w:val="100"/>
          <w:kern w:val="21"/>
          <w:position w:val="0"/>
          <w:sz w:val="24"/>
          <w:szCs w:val="24"/>
          <w:highlight w:val="none"/>
          <w:lang w:eastAsia="zh-CN"/>
        </w:rPr>
        <w:t>注：</w:t>
      </w:r>
      <w:r>
        <w:rPr>
          <w:rFonts w:hint="eastAsia" w:ascii="宋体" w:hAnsi="宋体" w:cs="宋体"/>
          <w:snapToGrid/>
          <w:color w:val="auto"/>
          <w:spacing w:val="0"/>
          <w:w w:val="100"/>
          <w:kern w:val="21"/>
          <w:position w:val="0"/>
          <w:sz w:val="24"/>
          <w:szCs w:val="24"/>
          <w:highlight w:val="none"/>
          <w:lang w:val="en-US" w:eastAsia="zh-CN"/>
        </w:rPr>
        <w:t>1、投标人可根据招标文件要求对表格进行修改；</w:t>
      </w:r>
    </w:p>
    <w:p w14:paraId="3A687E18">
      <w:pPr>
        <w:autoSpaceDE/>
        <w:autoSpaceDN/>
        <w:adjustRightInd/>
        <w:snapToGrid/>
        <w:spacing w:before="0" w:line="360" w:lineRule="auto"/>
        <w:ind w:left="0" w:firstLine="480" w:firstLineChars="200"/>
        <w:rPr>
          <w:rFonts w:hint="eastAsia" w:ascii="宋体" w:hAnsi="宋体" w:eastAsia="宋体" w:cs="宋体"/>
          <w:snapToGrid/>
          <w:color w:val="auto"/>
          <w:spacing w:val="0"/>
          <w:w w:val="100"/>
          <w:kern w:val="21"/>
          <w:position w:val="0"/>
          <w:sz w:val="24"/>
          <w:szCs w:val="24"/>
          <w:highlight w:val="none"/>
          <w:lang w:eastAsia="zh-CN"/>
        </w:rPr>
      </w:pPr>
      <w:r>
        <w:rPr>
          <w:rFonts w:hint="eastAsia" w:ascii="宋体" w:hAnsi="宋体" w:cs="宋体"/>
          <w:snapToGrid/>
          <w:color w:val="auto"/>
          <w:spacing w:val="0"/>
          <w:w w:val="100"/>
          <w:kern w:val="21"/>
          <w:position w:val="0"/>
          <w:sz w:val="24"/>
          <w:szCs w:val="24"/>
          <w:highlight w:val="none"/>
          <w:lang w:val="en-US" w:eastAsia="zh-CN"/>
        </w:rPr>
        <w:t>2、根据评审内容提供相应材料</w:t>
      </w:r>
      <w:r>
        <w:rPr>
          <w:rFonts w:hint="eastAsia" w:ascii="宋体" w:hAnsi="宋体" w:cs="宋体"/>
          <w:snapToGrid/>
          <w:color w:val="auto"/>
          <w:spacing w:val="0"/>
          <w:w w:val="100"/>
          <w:kern w:val="21"/>
          <w:position w:val="0"/>
          <w:sz w:val="24"/>
          <w:szCs w:val="24"/>
          <w:highlight w:val="none"/>
          <w:lang w:eastAsia="zh-CN"/>
        </w:rPr>
        <w:t>。</w:t>
      </w:r>
    </w:p>
    <w:p w14:paraId="72C4534E">
      <w:pPr>
        <w:autoSpaceDE/>
        <w:autoSpaceDN/>
        <w:adjustRightInd/>
        <w:snapToGrid/>
        <w:spacing w:before="0" w:line="360" w:lineRule="auto"/>
        <w:ind w:left="0" w:firstLine="480" w:firstLineChars="200"/>
        <w:rPr>
          <w:rFonts w:hint="eastAsia" w:ascii="宋体" w:hAnsi="宋体" w:eastAsia="宋体" w:cs="宋体"/>
          <w:snapToGrid/>
          <w:color w:val="auto"/>
          <w:spacing w:val="0"/>
          <w:w w:val="100"/>
          <w:kern w:val="21"/>
          <w:position w:val="0"/>
          <w:sz w:val="24"/>
          <w:szCs w:val="24"/>
          <w:highlight w:val="none"/>
          <w:lang w:eastAsia="zh-CN"/>
        </w:rPr>
      </w:pPr>
    </w:p>
    <w:p w14:paraId="493DF32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 xml:space="preserve">投标人名称(单位公章或电子公章)：                              </w:t>
      </w:r>
    </w:p>
    <w:p w14:paraId="1750FC8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 xml:space="preserve">   日期：  年  月  日</w:t>
      </w:r>
    </w:p>
    <w:p w14:paraId="643C08DB">
      <w:pPr>
        <w:spacing w:before="162" w:line="224" w:lineRule="auto"/>
        <w:ind w:left="1455"/>
        <w:rPr>
          <w:rFonts w:ascii="宋体" w:hAnsi="宋体" w:eastAsia="宋体" w:cs="宋体"/>
          <w:snapToGrid/>
          <w:color w:val="auto"/>
          <w:spacing w:val="0"/>
          <w:w w:val="100"/>
          <w:kern w:val="21"/>
          <w:position w:val="0"/>
          <w:sz w:val="31"/>
          <w:szCs w:val="31"/>
          <w:highlight w:val="none"/>
          <w14:textOutline w14:w="5793" w14:cap="sq" w14:cmpd="sng">
            <w14:solidFill>
              <w14:srgbClr w14:val="000000"/>
            </w14:solidFill>
            <w14:prstDash w14:val="solid"/>
            <w14:bevel/>
          </w14:textOutline>
        </w:rPr>
      </w:pPr>
    </w:p>
    <w:p w14:paraId="565DDDD8">
      <w:pPr>
        <w:pStyle w:val="26"/>
        <w:rPr>
          <w:rFonts w:cs="宋体"/>
          <w:highlight w:val="none"/>
        </w:rPr>
      </w:pPr>
    </w:p>
    <w:p w14:paraId="2E4CF775">
      <w:pPr>
        <w:pStyle w:val="61"/>
        <w:rPr>
          <w:rFonts w:cs="宋体"/>
          <w:highlight w:val="none"/>
        </w:rPr>
      </w:pPr>
    </w:p>
    <w:p w14:paraId="76AE85AF">
      <w:pPr>
        <w:rPr>
          <w:rFonts w:cs="宋体"/>
          <w:highlight w:val="none"/>
        </w:rPr>
      </w:pPr>
    </w:p>
    <w:p w14:paraId="158D9E96">
      <w:pPr>
        <w:pStyle w:val="61"/>
        <w:rPr>
          <w:rFonts w:cs="宋体"/>
          <w:highlight w:val="none"/>
        </w:rPr>
      </w:pPr>
    </w:p>
    <w:p w14:paraId="12D070AA">
      <w:pPr>
        <w:rPr>
          <w:rFonts w:cs="宋体"/>
          <w:highlight w:val="none"/>
        </w:rPr>
      </w:pPr>
    </w:p>
    <w:p w14:paraId="431871F1">
      <w:pPr>
        <w:pStyle w:val="61"/>
        <w:rPr>
          <w:rFonts w:cs="宋体"/>
          <w:highlight w:val="none"/>
        </w:rPr>
      </w:pPr>
    </w:p>
    <w:p w14:paraId="4B52DFF2">
      <w:pPr>
        <w:rPr>
          <w:rFonts w:cs="宋体"/>
          <w:highlight w:val="none"/>
        </w:rPr>
      </w:pPr>
    </w:p>
    <w:p w14:paraId="4CAB968C">
      <w:pPr>
        <w:pStyle w:val="61"/>
        <w:rPr>
          <w:rFonts w:cs="宋体"/>
          <w:highlight w:val="none"/>
        </w:rPr>
      </w:pPr>
    </w:p>
    <w:p w14:paraId="3D1681EA">
      <w:pPr>
        <w:rPr>
          <w:rFonts w:cs="宋体"/>
          <w:highlight w:val="none"/>
        </w:rPr>
      </w:pPr>
    </w:p>
    <w:p w14:paraId="5A3FFE8F">
      <w:pPr>
        <w:pStyle w:val="61"/>
        <w:rPr>
          <w:rFonts w:cs="宋体"/>
          <w:highlight w:val="none"/>
        </w:rPr>
      </w:pPr>
    </w:p>
    <w:p w14:paraId="33986642">
      <w:pPr>
        <w:rPr>
          <w:rFonts w:cs="宋体"/>
          <w:highlight w:val="none"/>
        </w:rPr>
      </w:pPr>
    </w:p>
    <w:p w14:paraId="35F1D8C3">
      <w:pPr>
        <w:pStyle w:val="61"/>
        <w:rPr>
          <w:rFonts w:cs="宋体"/>
          <w:highlight w:val="none"/>
        </w:rPr>
      </w:pPr>
    </w:p>
    <w:p w14:paraId="16835965">
      <w:pPr>
        <w:rPr>
          <w:rFonts w:cs="宋体"/>
          <w:highlight w:val="none"/>
        </w:rPr>
      </w:pPr>
    </w:p>
    <w:p w14:paraId="0C847AB6">
      <w:pPr>
        <w:pStyle w:val="61"/>
        <w:rPr>
          <w:rFonts w:cs="宋体"/>
          <w:highlight w:val="none"/>
        </w:rPr>
      </w:pPr>
    </w:p>
    <w:p w14:paraId="3179D844">
      <w:pPr>
        <w:rPr>
          <w:rFonts w:cs="宋体"/>
          <w:highlight w:val="none"/>
        </w:rPr>
      </w:pPr>
    </w:p>
    <w:p w14:paraId="236AB226">
      <w:pPr>
        <w:pStyle w:val="61"/>
        <w:rPr>
          <w:rFonts w:cs="宋体"/>
          <w:highlight w:val="none"/>
        </w:rPr>
      </w:pPr>
    </w:p>
    <w:p w14:paraId="2EDF1C16">
      <w:pPr>
        <w:rPr>
          <w:rFonts w:cs="宋体"/>
          <w:highlight w:val="none"/>
        </w:rPr>
      </w:pPr>
    </w:p>
    <w:p w14:paraId="013DE5E3">
      <w:pPr>
        <w:pStyle w:val="61"/>
        <w:rPr>
          <w:rFonts w:cs="宋体"/>
          <w:highlight w:val="none"/>
        </w:rPr>
      </w:pPr>
    </w:p>
    <w:p w14:paraId="47546501">
      <w:pPr>
        <w:rPr>
          <w:rFonts w:cs="宋体"/>
          <w:highlight w:val="none"/>
        </w:rPr>
      </w:pPr>
    </w:p>
    <w:p w14:paraId="0449523F">
      <w:pPr>
        <w:pStyle w:val="61"/>
        <w:rPr>
          <w:highlight w:val="none"/>
        </w:rPr>
      </w:pPr>
    </w:p>
    <w:p w14:paraId="24CE28DD">
      <w:pPr>
        <w:pStyle w:val="26"/>
        <w:rPr>
          <w:rFonts w:cs="宋体"/>
          <w:highlight w:val="none"/>
        </w:rPr>
      </w:pPr>
    </w:p>
    <w:p w14:paraId="6B6FDA74">
      <w:pPr>
        <w:pStyle w:val="26"/>
        <w:rPr>
          <w:rFonts w:cs="宋体"/>
          <w:highlight w:val="none"/>
        </w:rPr>
      </w:pPr>
    </w:p>
    <w:p w14:paraId="30A5421B">
      <w:pPr>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76D90315">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743"/>
        <w:gridCol w:w="3604"/>
        <w:gridCol w:w="1297"/>
      </w:tblGrid>
      <w:tr w14:paraId="3687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74" w:type="dxa"/>
            <w:vAlign w:val="center"/>
          </w:tcPr>
          <w:p w14:paraId="537AF035">
            <w:pPr>
              <w:jc w:val="center"/>
              <w:rPr>
                <w:rFonts w:ascii="宋体" w:hAnsi="宋体" w:cs="宋体"/>
                <w:b/>
                <w:bCs/>
                <w:sz w:val="24"/>
                <w:highlight w:val="none"/>
              </w:rPr>
            </w:pPr>
            <w:r>
              <w:rPr>
                <w:rFonts w:hint="eastAsia" w:ascii="宋体" w:hAnsi="宋体" w:cs="宋体"/>
                <w:b/>
                <w:bCs/>
                <w:sz w:val="24"/>
                <w:highlight w:val="none"/>
              </w:rPr>
              <w:t>序号</w:t>
            </w:r>
          </w:p>
        </w:tc>
        <w:tc>
          <w:tcPr>
            <w:tcW w:w="3743" w:type="dxa"/>
            <w:vAlign w:val="center"/>
          </w:tcPr>
          <w:p w14:paraId="3B2B3065">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604" w:type="dxa"/>
            <w:vAlign w:val="center"/>
          </w:tcPr>
          <w:p w14:paraId="55A0071E">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97" w:type="dxa"/>
            <w:vAlign w:val="center"/>
          </w:tcPr>
          <w:p w14:paraId="3F506471">
            <w:pPr>
              <w:jc w:val="center"/>
              <w:rPr>
                <w:rFonts w:ascii="宋体" w:hAnsi="宋体" w:cs="宋体"/>
                <w:b/>
                <w:bCs/>
                <w:sz w:val="24"/>
                <w:highlight w:val="none"/>
              </w:rPr>
            </w:pPr>
            <w:r>
              <w:rPr>
                <w:rFonts w:hint="eastAsia" w:ascii="宋体" w:hAnsi="宋体" w:cs="宋体"/>
                <w:b/>
                <w:bCs/>
                <w:sz w:val="24"/>
                <w:highlight w:val="none"/>
              </w:rPr>
              <w:t>偏离说明</w:t>
            </w:r>
          </w:p>
        </w:tc>
      </w:tr>
      <w:tr w14:paraId="405F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tcPr>
          <w:p w14:paraId="493F4416">
            <w:pPr>
              <w:jc w:val="center"/>
              <w:rPr>
                <w:rFonts w:ascii="宋体" w:hAnsi="宋体" w:cs="宋体"/>
                <w:kern w:val="0"/>
                <w:sz w:val="24"/>
                <w:highlight w:val="none"/>
              </w:rPr>
            </w:pPr>
            <w:r>
              <w:rPr>
                <w:rFonts w:hint="eastAsia" w:ascii="宋体" w:hAnsi="宋体" w:cs="宋体"/>
                <w:kern w:val="0"/>
                <w:sz w:val="24"/>
                <w:highlight w:val="none"/>
              </w:rPr>
              <w:t>1</w:t>
            </w:r>
          </w:p>
        </w:tc>
        <w:tc>
          <w:tcPr>
            <w:tcW w:w="3743" w:type="dxa"/>
          </w:tcPr>
          <w:p w14:paraId="3B5B9CA8">
            <w:pPr>
              <w:jc w:val="center"/>
              <w:rPr>
                <w:rFonts w:ascii="宋体" w:hAnsi="宋体" w:cs="宋体"/>
                <w:b/>
                <w:kern w:val="0"/>
                <w:sz w:val="32"/>
                <w:szCs w:val="32"/>
                <w:highlight w:val="none"/>
              </w:rPr>
            </w:pPr>
          </w:p>
        </w:tc>
        <w:tc>
          <w:tcPr>
            <w:tcW w:w="3604" w:type="dxa"/>
          </w:tcPr>
          <w:p w14:paraId="348D0132">
            <w:pPr>
              <w:jc w:val="center"/>
              <w:rPr>
                <w:rFonts w:ascii="宋体" w:hAnsi="宋体" w:cs="宋体"/>
                <w:b/>
                <w:kern w:val="0"/>
                <w:sz w:val="32"/>
                <w:szCs w:val="32"/>
                <w:highlight w:val="none"/>
              </w:rPr>
            </w:pPr>
          </w:p>
        </w:tc>
        <w:tc>
          <w:tcPr>
            <w:tcW w:w="1297" w:type="dxa"/>
          </w:tcPr>
          <w:p w14:paraId="7AA58129">
            <w:pPr>
              <w:jc w:val="center"/>
              <w:rPr>
                <w:rFonts w:ascii="宋体" w:hAnsi="宋体" w:cs="宋体"/>
                <w:b/>
                <w:kern w:val="0"/>
                <w:sz w:val="32"/>
                <w:szCs w:val="32"/>
                <w:highlight w:val="none"/>
              </w:rPr>
            </w:pPr>
          </w:p>
        </w:tc>
      </w:tr>
      <w:tr w14:paraId="216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tcPr>
          <w:p w14:paraId="5DA06AA0">
            <w:pPr>
              <w:jc w:val="center"/>
              <w:rPr>
                <w:rFonts w:ascii="宋体" w:hAnsi="宋体" w:cs="宋体"/>
                <w:kern w:val="0"/>
                <w:sz w:val="24"/>
                <w:highlight w:val="none"/>
              </w:rPr>
            </w:pPr>
            <w:r>
              <w:rPr>
                <w:rFonts w:hint="eastAsia" w:ascii="宋体" w:hAnsi="宋体" w:cs="宋体"/>
                <w:kern w:val="0"/>
                <w:sz w:val="24"/>
                <w:highlight w:val="none"/>
              </w:rPr>
              <w:t>2</w:t>
            </w:r>
          </w:p>
        </w:tc>
        <w:tc>
          <w:tcPr>
            <w:tcW w:w="3743" w:type="dxa"/>
          </w:tcPr>
          <w:p w14:paraId="2A33CA97">
            <w:pPr>
              <w:jc w:val="center"/>
              <w:rPr>
                <w:rFonts w:ascii="宋体" w:hAnsi="宋体" w:cs="宋体"/>
                <w:b/>
                <w:kern w:val="0"/>
                <w:sz w:val="32"/>
                <w:szCs w:val="32"/>
                <w:highlight w:val="none"/>
              </w:rPr>
            </w:pPr>
          </w:p>
        </w:tc>
        <w:tc>
          <w:tcPr>
            <w:tcW w:w="3604" w:type="dxa"/>
          </w:tcPr>
          <w:p w14:paraId="70B2E809">
            <w:pPr>
              <w:jc w:val="center"/>
              <w:rPr>
                <w:rFonts w:ascii="宋体" w:hAnsi="宋体" w:cs="宋体"/>
                <w:b/>
                <w:kern w:val="0"/>
                <w:sz w:val="32"/>
                <w:szCs w:val="32"/>
                <w:highlight w:val="none"/>
              </w:rPr>
            </w:pPr>
          </w:p>
        </w:tc>
        <w:tc>
          <w:tcPr>
            <w:tcW w:w="1297" w:type="dxa"/>
          </w:tcPr>
          <w:p w14:paraId="7B65923C">
            <w:pPr>
              <w:jc w:val="center"/>
              <w:rPr>
                <w:rFonts w:ascii="宋体" w:hAnsi="宋体" w:cs="宋体"/>
                <w:b/>
                <w:kern w:val="0"/>
                <w:sz w:val="32"/>
                <w:szCs w:val="32"/>
                <w:highlight w:val="none"/>
              </w:rPr>
            </w:pPr>
          </w:p>
        </w:tc>
      </w:tr>
      <w:tr w14:paraId="244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 w:type="dxa"/>
          </w:tcPr>
          <w:p w14:paraId="5BCAE0CE">
            <w:pPr>
              <w:jc w:val="center"/>
              <w:rPr>
                <w:rFonts w:ascii="宋体" w:hAnsi="宋体" w:cs="宋体"/>
                <w:kern w:val="0"/>
                <w:sz w:val="24"/>
                <w:highlight w:val="none"/>
              </w:rPr>
            </w:pPr>
            <w:r>
              <w:rPr>
                <w:rFonts w:hint="eastAsia" w:ascii="宋体" w:hAnsi="宋体" w:cs="宋体"/>
                <w:kern w:val="0"/>
                <w:sz w:val="24"/>
                <w:highlight w:val="none"/>
              </w:rPr>
              <w:t>……</w:t>
            </w:r>
          </w:p>
        </w:tc>
        <w:tc>
          <w:tcPr>
            <w:tcW w:w="3743" w:type="dxa"/>
          </w:tcPr>
          <w:p w14:paraId="12551F40">
            <w:pPr>
              <w:jc w:val="center"/>
              <w:rPr>
                <w:rFonts w:ascii="宋体" w:hAnsi="宋体" w:cs="宋体"/>
                <w:b/>
                <w:kern w:val="0"/>
                <w:sz w:val="32"/>
                <w:szCs w:val="32"/>
                <w:highlight w:val="none"/>
              </w:rPr>
            </w:pPr>
          </w:p>
        </w:tc>
        <w:tc>
          <w:tcPr>
            <w:tcW w:w="3604" w:type="dxa"/>
          </w:tcPr>
          <w:p w14:paraId="34A8595B">
            <w:pPr>
              <w:jc w:val="center"/>
              <w:rPr>
                <w:rFonts w:ascii="宋体" w:hAnsi="宋体" w:cs="宋体"/>
                <w:b/>
                <w:kern w:val="0"/>
                <w:sz w:val="32"/>
                <w:szCs w:val="32"/>
                <w:highlight w:val="none"/>
              </w:rPr>
            </w:pPr>
          </w:p>
        </w:tc>
        <w:tc>
          <w:tcPr>
            <w:tcW w:w="1297" w:type="dxa"/>
          </w:tcPr>
          <w:p w14:paraId="5BECAB63">
            <w:pPr>
              <w:jc w:val="center"/>
              <w:rPr>
                <w:rFonts w:ascii="宋体" w:hAnsi="宋体" w:cs="宋体"/>
                <w:b/>
                <w:kern w:val="0"/>
                <w:sz w:val="32"/>
                <w:szCs w:val="32"/>
                <w:highlight w:val="none"/>
              </w:rPr>
            </w:pPr>
          </w:p>
        </w:tc>
      </w:tr>
    </w:tbl>
    <w:p w14:paraId="22B30B27">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1639F72E">
      <w:pPr>
        <w:jc w:val="center"/>
        <w:rPr>
          <w:rFonts w:ascii="宋体" w:hAnsi="宋体" w:cs="宋体"/>
          <w:b/>
          <w:kern w:val="0"/>
          <w:sz w:val="32"/>
          <w:szCs w:val="32"/>
          <w:highlight w:val="none"/>
        </w:rPr>
      </w:pPr>
    </w:p>
    <w:p w14:paraId="5616C613">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rPr>
        <w:t>注：按本格式和要求提供。</w:t>
      </w:r>
    </w:p>
    <w:p w14:paraId="61BA4630">
      <w:pPr>
        <w:pStyle w:val="3"/>
        <w:rPr>
          <w:rFonts w:ascii="宋体" w:hAnsi="宋体" w:eastAsia="宋体" w:cs="宋体"/>
          <w:highlight w:val="none"/>
        </w:rPr>
      </w:pPr>
    </w:p>
    <w:p w14:paraId="459B11D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 xml:space="preserve">投标人名称(单位公章或电子公章)：                              </w:t>
      </w:r>
    </w:p>
    <w:p w14:paraId="512F02A0">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 xml:space="preserve">   日期：  年  月  日</w:t>
      </w:r>
    </w:p>
    <w:p w14:paraId="619D37AF">
      <w:pPr>
        <w:rPr>
          <w:rFonts w:ascii="宋体" w:hAnsi="宋体" w:eastAsia="宋体" w:cs="宋体"/>
          <w:highlight w:val="none"/>
        </w:rPr>
      </w:pPr>
    </w:p>
    <w:p w14:paraId="781AC042">
      <w:pPr>
        <w:pStyle w:val="61"/>
        <w:rPr>
          <w:rFonts w:ascii="宋体" w:hAnsi="宋体" w:eastAsia="宋体" w:cs="宋体"/>
          <w:highlight w:val="none"/>
        </w:rPr>
      </w:pPr>
    </w:p>
    <w:p w14:paraId="480A6E60">
      <w:pPr>
        <w:rPr>
          <w:rFonts w:ascii="宋体" w:hAnsi="宋体" w:eastAsia="宋体" w:cs="宋体"/>
          <w:highlight w:val="none"/>
        </w:rPr>
      </w:pPr>
    </w:p>
    <w:p w14:paraId="097486C4">
      <w:pPr>
        <w:pStyle w:val="61"/>
        <w:rPr>
          <w:rFonts w:ascii="宋体" w:hAnsi="宋体" w:eastAsia="宋体" w:cs="宋体"/>
          <w:highlight w:val="none"/>
        </w:rPr>
      </w:pPr>
    </w:p>
    <w:p w14:paraId="2577FCE2">
      <w:pPr>
        <w:rPr>
          <w:rFonts w:ascii="宋体" w:hAnsi="宋体" w:eastAsia="宋体" w:cs="宋体"/>
          <w:highlight w:val="none"/>
        </w:rPr>
      </w:pPr>
    </w:p>
    <w:p w14:paraId="1FCF8F3D">
      <w:pPr>
        <w:pStyle w:val="61"/>
        <w:rPr>
          <w:rFonts w:ascii="宋体" w:hAnsi="宋体" w:eastAsia="宋体" w:cs="宋体"/>
          <w:highlight w:val="none"/>
        </w:rPr>
      </w:pPr>
    </w:p>
    <w:p w14:paraId="14848B47">
      <w:pPr>
        <w:rPr>
          <w:rFonts w:ascii="宋体" w:hAnsi="宋体" w:eastAsia="宋体" w:cs="宋体"/>
          <w:highlight w:val="none"/>
        </w:rPr>
      </w:pPr>
    </w:p>
    <w:p w14:paraId="032D27C5">
      <w:pPr>
        <w:pStyle w:val="61"/>
        <w:rPr>
          <w:rFonts w:ascii="宋体" w:hAnsi="宋体" w:eastAsia="宋体" w:cs="宋体"/>
          <w:highlight w:val="none"/>
        </w:rPr>
      </w:pPr>
    </w:p>
    <w:p w14:paraId="59F6736E">
      <w:pPr>
        <w:rPr>
          <w:rFonts w:ascii="宋体" w:hAnsi="宋体" w:eastAsia="宋体" w:cs="宋体"/>
          <w:highlight w:val="none"/>
        </w:rPr>
      </w:pPr>
    </w:p>
    <w:p w14:paraId="72267990">
      <w:pPr>
        <w:pStyle w:val="61"/>
        <w:rPr>
          <w:rFonts w:ascii="宋体" w:hAnsi="宋体" w:eastAsia="宋体" w:cs="宋体"/>
          <w:highlight w:val="none"/>
        </w:rPr>
      </w:pPr>
    </w:p>
    <w:p w14:paraId="75D687A3">
      <w:pPr>
        <w:rPr>
          <w:rFonts w:ascii="宋体" w:hAnsi="宋体" w:eastAsia="宋体" w:cs="宋体"/>
          <w:highlight w:val="none"/>
        </w:rPr>
      </w:pPr>
    </w:p>
    <w:p w14:paraId="0513C15B">
      <w:pPr>
        <w:pStyle w:val="61"/>
        <w:rPr>
          <w:rFonts w:ascii="宋体" w:hAnsi="宋体" w:eastAsia="宋体" w:cs="宋体"/>
          <w:highlight w:val="none"/>
        </w:rPr>
      </w:pPr>
    </w:p>
    <w:p w14:paraId="7FAC9751">
      <w:pPr>
        <w:rPr>
          <w:rFonts w:ascii="宋体" w:hAnsi="宋体" w:eastAsia="宋体" w:cs="宋体"/>
          <w:highlight w:val="none"/>
        </w:rPr>
      </w:pPr>
    </w:p>
    <w:p w14:paraId="2C423254">
      <w:pPr>
        <w:pStyle w:val="61"/>
        <w:rPr>
          <w:rFonts w:ascii="宋体" w:hAnsi="宋体" w:eastAsia="宋体" w:cs="宋体"/>
          <w:highlight w:val="none"/>
        </w:rPr>
      </w:pPr>
    </w:p>
    <w:p w14:paraId="4515BB94">
      <w:pPr>
        <w:rPr>
          <w:highlight w:val="none"/>
        </w:rPr>
      </w:pPr>
    </w:p>
    <w:p w14:paraId="4DD529AA">
      <w:pPr>
        <w:pStyle w:val="61"/>
        <w:rPr>
          <w:rFonts w:ascii="宋体" w:hAnsi="宋体" w:eastAsia="宋体" w:cs="宋体"/>
          <w:highlight w:val="none"/>
        </w:rPr>
      </w:pPr>
    </w:p>
    <w:p w14:paraId="76B927B9">
      <w:pPr>
        <w:rPr>
          <w:highlight w:val="none"/>
        </w:rPr>
      </w:pPr>
    </w:p>
    <w:p w14:paraId="611389C8">
      <w:pPr>
        <w:spacing w:line="240" w:lineRule="auto"/>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661AB1D">
      <w:pPr>
        <w:spacing w:line="360" w:lineRule="auto"/>
        <w:jc w:val="center"/>
        <w:rPr>
          <w:rFonts w:ascii="宋体" w:hAnsi="宋体" w:cs="宋体"/>
          <w:b/>
          <w:color w:val="auto"/>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sz w:val="32"/>
          <w:szCs w:val="32"/>
          <w:highlight w:val="none"/>
        </w:rPr>
        <w:t>采购需求实质性内容响应表</w:t>
      </w:r>
    </w:p>
    <w:p w14:paraId="7C384734">
      <w:pPr>
        <w:autoSpaceDE w:val="0"/>
        <w:autoSpaceDN w:val="0"/>
        <w:adjustRightInd w:val="0"/>
        <w:spacing w:line="360" w:lineRule="auto"/>
        <w:ind w:firstLine="0" w:firstLineChars="0"/>
        <w:rPr>
          <w:rFonts w:ascii="宋体" w:hAnsi="宋体"/>
          <w:b w:val="0"/>
          <w:bCs/>
          <w:color w:val="auto"/>
          <w:sz w:val="24"/>
          <w:highlight w:val="none"/>
        </w:rPr>
      </w:pPr>
    </w:p>
    <w:p w14:paraId="5BE90CA7">
      <w:pPr>
        <w:autoSpaceDE w:val="0"/>
        <w:autoSpaceDN w:val="0"/>
        <w:adjustRightInd w:val="0"/>
        <w:spacing w:line="360" w:lineRule="auto"/>
        <w:ind w:firstLine="360" w:firstLineChars="150"/>
        <w:rPr>
          <w:rFonts w:ascii="宋体" w:hAnsi="宋体"/>
          <w:b w:val="0"/>
          <w:bCs/>
          <w:color w:val="auto"/>
          <w:sz w:val="24"/>
          <w:highlight w:val="none"/>
        </w:rPr>
      </w:pPr>
      <w:r>
        <w:rPr>
          <w:rFonts w:hint="eastAsia" w:ascii="宋体" w:hAnsi="宋体"/>
          <w:b w:val="0"/>
          <w:bCs/>
          <w:color w:val="auto"/>
          <w:sz w:val="24"/>
          <w:highlight w:val="none"/>
        </w:rPr>
        <w:t>项目名称：</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rPr>
        <w:t>项目编号：</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850"/>
        <w:gridCol w:w="1968"/>
        <w:gridCol w:w="2036"/>
        <w:gridCol w:w="1514"/>
      </w:tblGrid>
      <w:tr w14:paraId="0D36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7302F997">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2850" w:type="dxa"/>
            <w:tcBorders>
              <w:bottom w:val="single" w:color="auto" w:sz="4" w:space="0"/>
            </w:tcBorders>
            <w:noWrap w:val="0"/>
            <w:vAlign w:val="center"/>
          </w:tcPr>
          <w:p w14:paraId="49D95CEE">
            <w:pPr>
              <w:spacing w:line="360" w:lineRule="auto"/>
              <w:jc w:val="center"/>
              <w:rPr>
                <w:rFonts w:ascii="宋体" w:hAnsi="宋体"/>
                <w:b/>
                <w:color w:val="auto"/>
                <w:sz w:val="24"/>
                <w:highlight w:val="none"/>
              </w:rPr>
            </w:pPr>
            <w:r>
              <w:rPr>
                <w:rFonts w:hint="eastAsia" w:ascii="宋体" w:hAnsi="宋体"/>
                <w:b/>
                <w:color w:val="auto"/>
                <w:sz w:val="24"/>
                <w:highlight w:val="none"/>
              </w:rPr>
              <w:t>实质性条款</w:t>
            </w:r>
          </w:p>
        </w:tc>
        <w:tc>
          <w:tcPr>
            <w:tcW w:w="1968" w:type="dxa"/>
            <w:tcBorders>
              <w:bottom w:val="single" w:color="auto" w:sz="4" w:space="0"/>
            </w:tcBorders>
            <w:noWrap w:val="0"/>
            <w:vAlign w:val="center"/>
          </w:tcPr>
          <w:p w14:paraId="3ECAC5B4">
            <w:pPr>
              <w:spacing w:line="360" w:lineRule="auto"/>
              <w:jc w:val="center"/>
              <w:rPr>
                <w:rFonts w:ascii="宋体" w:hAnsi="宋体"/>
                <w:b/>
                <w:color w:val="auto"/>
                <w:sz w:val="24"/>
                <w:highlight w:val="none"/>
              </w:rPr>
            </w:pPr>
            <w:r>
              <w:rPr>
                <w:rFonts w:hint="eastAsia" w:ascii="宋体" w:hAnsi="宋体"/>
                <w:b/>
                <w:color w:val="auto"/>
                <w:sz w:val="24"/>
                <w:highlight w:val="none"/>
              </w:rPr>
              <w:t>招标文件要求</w:t>
            </w:r>
          </w:p>
        </w:tc>
        <w:tc>
          <w:tcPr>
            <w:tcW w:w="2036" w:type="dxa"/>
            <w:tcBorders>
              <w:bottom w:val="single" w:color="auto" w:sz="4" w:space="0"/>
            </w:tcBorders>
            <w:noWrap w:val="0"/>
            <w:vAlign w:val="center"/>
          </w:tcPr>
          <w:p w14:paraId="7CAB7471">
            <w:pPr>
              <w:spacing w:line="360" w:lineRule="auto"/>
              <w:rPr>
                <w:rFonts w:ascii="宋体" w:hAnsi="宋体"/>
                <w:b/>
                <w:color w:val="auto"/>
                <w:sz w:val="24"/>
                <w:highlight w:val="none"/>
              </w:rPr>
            </w:pPr>
            <w:r>
              <w:rPr>
                <w:rFonts w:hint="eastAsia" w:ascii="宋体" w:hAnsi="宋体"/>
                <w:b/>
                <w:color w:val="auto"/>
                <w:sz w:val="24"/>
                <w:highlight w:val="none"/>
              </w:rPr>
              <w:t>投标承诺或说明</w:t>
            </w:r>
          </w:p>
        </w:tc>
        <w:tc>
          <w:tcPr>
            <w:tcW w:w="1514" w:type="dxa"/>
            <w:tcBorders>
              <w:bottom w:val="single" w:color="auto" w:sz="4" w:space="0"/>
            </w:tcBorders>
            <w:noWrap w:val="0"/>
            <w:vAlign w:val="center"/>
          </w:tcPr>
          <w:p w14:paraId="7A596AC6">
            <w:pPr>
              <w:spacing w:line="360" w:lineRule="auto"/>
              <w:jc w:val="center"/>
              <w:rPr>
                <w:rFonts w:ascii="宋体" w:hAnsi="宋体"/>
                <w:b/>
                <w:color w:val="auto"/>
                <w:sz w:val="24"/>
                <w:highlight w:val="none"/>
              </w:rPr>
            </w:pPr>
            <w:r>
              <w:rPr>
                <w:rFonts w:hint="eastAsia" w:ascii="宋体" w:hAnsi="宋体"/>
                <w:b/>
                <w:color w:val="auto"/>
                <w:sz w:val="24"/>
                <w:highlight w:val="none"/>
              </w:rPr>
              <w:t>满足情况</w:t>
            </w:r>
          </w:p>
        </w:tc>
      </w:tr>
      <w:tr w14:paraId="5D9B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7DD824DC">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850" w:type="dxa"/>
            <w:noWrap w:val="0"/>
            <w:vAlign w:val="top"/>
          </w:tcPr>
          <w:p w14:paraId="429A6D52">
            <w:pPr>
              <w:numPr>
                <w:ilvl w:val="0"/>
                <w:numId w:val="0"/>
              </w:numPr>
              <w:adjustRightInd w:val="0"/>
              <w:spacing w:line="360" w:lineRule="auto"/>
              <w:jc w:val="left"/>
              <w:textAlignment w:val="baseline"/>
              <w:rPr>
                <w:bCs/>
                <w:color w:val="auto"/>
                <w:sz w:val="24"/>
                <w:szCs w:val="24"/>
                <w:highlight w:val="none"/>
              </w:rPr>
            </w:pPr>
          </w:p>
        </w:tc>
        <w:tc>
          <w:tcPr>
            <w:tcW w:w="1968" w:type="dxa"/>
            <w:noWrap w:val="0"/>
            <w:vAlign w:val="top"/>
          </w:tcPr>
          <w:p w14:paraId="1E72100A">
            <w:pPr>
              <w:spacing w:line="360" w:lineRule="auto"/>
              <w:rPr>
                <w:rFonts w:ascii="宋体" w:hAnsi="宋体"/>
                <w:color w:val="auto"/>
                <w:sz w:val="24"/>
                <w:highlight w:val="none"/>
              </w:rPr>
            </w:pPr>
          </w:p>
        </w:tc>
        <w:tc>
          <w:tcPr>
            <w:tcW w:w="2036" w:type="dxa"/>
            <w:noWrap w:val="0"/>
            <w:vAlign w:val="top"/>
          </w:tcPr>
          <w:p w14:paraId="66417A48">
            <w:pPr>
              <w:spacing w:line="360" w:lineRule="auto"/>
              <w:rPr>
                <w:rFonts w:ascii="宋体" w:hAnsi="宋体"/>
                <w:color w:val="auto"/>
                <w:sz w:val="24"/>
                <w:highlight w:val="none"/>
              </w:rPr>
            </w:pPr>
          </w:p>
        </w:tc>
        <w:tc>
          <w:tcPr>
            <w:tcW w:w="1514" w:type="dxa"/>
            <w:noWrap w:val="0"/>
            <w:vAlign w:val="top"/>
          </w:tcPr>
          <w:p w14:paraId="7976F590">
            <w:pPr>
              <w:spacing w:line="360" w:lineRule="auto"/>
              <w:rPr>
                <w:rFonts w:ascii="宋体" w:hAnsi="宋体"/>
                <w:color w:val="auto"/>
                <w:sz w:val="24"/>
                <w:highlight w:val="none"/>
              </w:rPr>
            </w:pPr>
          </w:p>
        </w:tc>
      </w:tr>
      <w:tr w14:paraId="3B4E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65967C12">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850" w:type="dxa"/>
            <w:noWrap w:val="0"/>
            <w:vAlign w:val="top"/>
          </w:tcPr>
          <w:p w14:paraId="1EF410C6">
            <w:pPr>
              <w:spacing w:line="360" w:lineRule="auto"/>
              <w:jc w:val="left"/>
              <w:rPr>
                <w:rFonts w:hint="eastAsia" w:eastAsia="宋体"/>
                <w:color w:val="auto"/>
                <w:sz w:val="24"/>
                <w:szCs w:val="24"/>
                <w:highlight w:val="none"/>
                <w:lang w:eastAsia="zh-CN"/>
              </w:rPr>
            </w:pPr>
          </w:p>
        </w:tc>
        <w:tc>
          <w:tcPr>
            <w:tcW w:w="1968" w:type="dxa"/>
            <w:noWrap w:val="0"/>
            <w:vAlign w:val="top"/>
          </w:tcPr>
          <w:p w14:paraId="154B4D0B">
            <w:pPr>
              <w:spacing w:line="360" w:lineRule="auto"/>
              <w:rPr>
                <w:rFonts w:ascii="宋体" w:hAnsi="宋体"/>
                <w:color w:val="auto"/>
                <w:sz w:val="24"/>
                <w:highlight w:val="none"/>
              </w:rPr>
            </w:pPr>
          </w:p>
        </w:tc>
        <w:tc>
          <w:tcPr>
            <w:tcW w:w="2036" w:type="dxa"/>
            <w:noWrap w:val="0"/>
            <w:vAlign w:val="top"/>
          </w:tcPr>
          <w:p w14:paraId="3A41ECDB">
            <w:pPr>
              <w:spacing w:line="360" w:lineRule="auto"/>
              <w:rPr>
                <w:rFonts w:ascii="宋体" w:hAnsi="宋体"/>
                <w:color w:val="auto"/>
                <w:sz w:val="24"/>
                <w:highlight w:val="none"/>
              </w:rPr>
            </w:pPr>
          </w:p>
        </w:tc>
        <w:tc>
          <w:tcPr>
            <w:tcW w:w="1514" w:type="dxa"/>
            <w:noWrap w:val="0"/>
            <w:vAlign w:val="top"/>
          </w:tcPr>
          <w:p w14:paraId="0E215EE4">
            <w:pPr>
              <w:spacing w:line="360" w:lineRule="auto"/>
              <w:rPr>
                <w:rFonts w:ascii="宋体" w:hAnsi="宋体"/>
                <w:color w:val="auto"/>
                <w:sz w:val="24"/>
                <w:highlight w:val="none"/>
              </w:rPr>
            </w:pPr>
          </w:p>
        </w:tc>
      </w:tr>
      <w:tr w14:paraId="069C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7B839DCE">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850" w:type="dxa"/>
            <w:noWrap w:val="0"/>
            <w:vAlign w:val="top"/>
          </w:tcPr>
          <w:p w14:paraId="257C740D">
            <w:pPr>
              <w:spacing w:line="360" w:lineRule="auto"/>
              <w:rPr>
                <w:rFonts w:ascii="宋体" w:hAnsi="宋体"/>
                <w:color w:val="auto"/>
                <w:sz w:val="24"/>
                <w:szCs w:val="24"/>
                <w:highlight w:val="none"/>
              </w:rPr>
            </w:pPr>
          </w:p>
        </w:tc>
        <w:tc>
          <w:tcPr>
            <w:tcW w:w="1968" w:type="dxa"/>
            <w:noWrap w:val="0"/>
            <w:vAlign w:val="top"/>
          </w:tcPr>
          <w:p w14:paraId="6EAD9F15">
            <w:pPr>
              <w:spacing w:line="360" w:lineRule="auto"/>
              <w:rPr>
                <w:rFonts w:ascii="宋体" w:hAnsi="宋体"/>
                <w:color w:val="auto"/>
                <w:sz w:val="24"/>
                <w:highlight w:val="none"/>
              </w:rPr>
            </w:pPr>
          </w:p>
        </w:tc>
        <w:tc>
          <w:tcPr>
            <w:tcW w:w="2036" w:type="dxa"/>
            <w:noWrap w:val="0"/>
            <w:vAlign w:val="top"/>
          </w:tcPr>
          <w:p w14:paraId="39A0D618">
            <w:pPr>
              <w:spacing w:line="360" w:lineRule="auto"/>
              <w:rPr>
                <w:rFonts w:ascii="宋体" w:hAnsi="宋体"/>
                <w:color w:val="auto"/>
                <w:sz w:val="24"/>
                <w:highlight w:val="none"/>
              </w:rPr>
            </w:pPr>
          </w:p>
        </w:tc>
        <w:tc>
          <w:tcPr>
            <w:tcW w:w="1514" w:type="dxa"/>
            <w:noWrap w:val="0"/>
            <w:vAlign w:val="top"/>
          </w:tcPr>
          <w:p w14:paraId="623F70DB">
            <w:pPr>
              <w:spacing w:line="360" w:lineRule="auto"/>
              <w:rPr>
                <w:rFonts w:ascii="宋体" w:hAnsi="宋体"/>
                <w:color w:val="auto"/>
                <w:sz w:val="24"/>
                <w:highlight w:val="none"/>
              </w:rPr>
            </w:pPr>
          </w:p>
        </w:tc>
      </w:tr>
      <w:tr w14:paraId="4A84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center"/>
          </w:tcPr>
          <w:p w14:paraId="1DD83F69">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2850" w:type="dxa"/>
            <w:shd w:val="clear" w:color="auto" w:fill="auto"/>
            <w:noWrap w:val="0"/>
            <w:vAlign w:val="top"/>
          </w:tcPr>
          <w:p w14:paraId="57ED3A8C">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w:t>
            </w:r>
          </w:p>
        </w:tc>
        <w:tc>
          <w:tcPr>
            <w:tcW w:w="1968" w:type="dxa"/>
            <w:noWrap w:val="0"/>
            <w:vAlign w:val="top"/>
          </w:tcPr>
          <w:p w14:paraId="158AB810">
            <w:pPr>
              <w:spacing w:line="360" w:lineRule="auto"/>
              <w:rPr>
                <w:rFonts w:ascii="宋体" w:hAnsi="宋体"/>
                <w:color w:val="auto"/>
                <w:sz w:val="24"/>
                <w:highlight w:val="none"/>
              </w:rPr>
            </w:pPr>
          </w:p>
        </w:tc>
        <w:tc>
          <w:tcPr>
            <w:tcW w:w="2036" w:type="dxa"/>
            <w:noWrap w:val="0"/>
            <w:vAlign w:val="top"/>
          </w:tcPr>
          <w:p w14:paraId="57415026">
            <w:pPr>
              <w:spacing w:line="360" w:lineRule="auto"/>
              <w:rPr>
                <w:rFonts w:ascii="宋体" w:hAnsi="宋体"/>
                <w:color w:val="auto"/>
                <w:sz w:val="24"/>
                <w:highlight w:val="none"/>
              </w:rPr>
            </w:pPr>
          </w:p>
        </w:tc>
        <w:tc>
          <w:tcPr>
            <w:tcW w:w="1514" w:type="dxa"/>
            <w:noWrap w:val="0"/>
            <w:vAlign w:val="top"/>
          </w:tcPr>
          <w:p w14:paraId="7A4DE38A">
            <w:pPr>
              <w:spacing w:line="360" w:lineRule="auto"/>
              <w:rPr>
                <w:rFonts w:ascii="宋体" w:hAnsi="宋体"/>
                <w:color w:val="auto"/>
                <w:sz w:val="24"/>
                <w:highlight w:val="none"/>
              </w:rPr>
            </w:pPr>
          </w:p>
        </w:tc>
      </w:tr>
    </w:tbl>
    <w:p w14:paraId="29C4EFF4">
      <w:pPr>
        <w:adjustRightInd w:val="0"/>
        <w:snapToGrid w:val="0"/>
        <w:spacing w:line="500" w:lineRule="exact"/>
        <w:rPr>
          <w:rFonts w:ascii="宋体" w:hAnsi="宋体"/>
          <w:color w:val="auto"/>
          <w:sz w:val="24"/>
          <w:highlight w:val="none"/>
        </w:rPr>
      </w:pPr>
      <w:r>
        <w:rPr>
          <w:rFonts w:hint="eastAsia" w:ascii="宋体" w:hAnsi="宋体"/>
          <w:color w:val="auto"/>
          <w:sz w:val="24"/>
          <w:highlight w:val="none"/>
        </w:rPr>
        <w:t>填表说明：</w:t>
      </w:r>
    </w:p>
    <w:p w14:paraId="248C8EDA">
      <w:pPr>
        <w:adjustRightInd w:val="0"/>
        <w:snapToGrid w:val="0"/>
        <w:spacing w:line="500" w:lineRule="exact"/>
        <w:ind w:firstLine="480" w:firstLineChars="200"/>
        <w:rPr>
          <w:rFonts w:ascii="宋体" w:hAnsi="宋体" w:cs="仿宋_GB2312"/>
          <w:color w:val="auto"/>
          <w:sz w:val="24"/>
          <w:highlight w:val="none"/>
          <w:lang w:val="zh-CN"/>
        </w:rPr>
      </w:pPr>
      <w:r>
        <w:rPr>
          <w:rFonts w:hint="eastAsia" w:ascii="宋体" w:hAnsi="宋体"/>
          <w:color w:val="auto"/>
          <w:sz w:val="24"/>
          <w:highlight w:val="none"/>
        </w:rPr>
        <w:t>1、</w:t>
      </w:r>
      <w:r>
        <w:rPr>
          <w:rFonts w:hint="eastAsia" w:ascii="宋体" w:hAnsi="宋体" w:cs="仿宋_GB2312"/>
          <w:color w:val="auto"/>
          <w:sz w:val="24"/>
          <w:highlight w:val="none"/>
          <w:lang w:val="zh-CN"/>
        </w:rPr>
        <w:t>“实质性条款”详见“第三部分 采购需求”中带“</w:t>
      </w:r>
      <w:r>
        <w:rPr>
          <w:rFonts w:hint="eastAsia" w:ascii="宋体" w:hAnsi="宋体" w:eastAsia="宋体" w:cs="宋体"/>
          <w:color w:val="auto"/>
          <w:kern w:val="0"/>
          <w:sz w:val="24"/>
          <w:highlight w:val="none"/>
        </w:rPr>
        <w:t>●</w:t>
      </w:r>
      <w:r>
        <w:rPr>
          <w:rFonts w:hint="eastAsia" w:ascii="宋体" w:hAnsi="宋体" w:cs="仿宋_GB2312"/>
          <w:color w:val="auto"/>
          <w:sz w:val="24"/>
          <w:highlight w:val="none"/>
          <w:lang w:val="zh-CN"/>
        </w:rPr>
        <w:t>”条款，本表中所列条款仅供参考；</w:t>
      </w:r>
    </w:p>
    <w:p w14:paraId="14D15375">
      <w:pPr>
        <w:adjustRightInd w:val="0"/>
        <w:snapToGrid w:val="0"/>
        <w:spacing w:line="500" w:lineRule="exact"/>
        <w:ind w:firstLine="480" w:firstLineChars="200"/>
        <w:rPr>
          <w:rFonts w:ascii="宋体" w:hAnsi="宋体" w:cs="仿宋_GB2312"/>
          <w:color w:val="auto"/>
          <w:sz w:val="24"/>
          <w:highlight w:val="none"/>
          <w:lang w:val="zh-CN"/>
        </w:rPr>
      </w:pPr>
      <w:r>
        <w:rPr>
          <w:rFonts w:hint="eastAsia" w:ascii="宋体" w:hAnsi="宋体" w:cs="仿宋_GB2312"/>
          <w:color w:val="auto"/>
          <w:sz w:val="24"/>
          <w:highlight w:val="none"/>
          <w:lang w:val="zh-CN"/>
        </w:rPr>
        <w:t>2、</w:t>
      </w:r>
      <w:r>
        <w:rPr>
          <w:rFonts w:hint="eastAsia" w:ascii="宋体" w:hAnsi="宋体"/>
          <w:color w:val="auto"/>
          <w:sz w:val="24"/>
          <w:highlight w:val="none"/>
        </w:rPr>
        <w:t>投标人应根据投标承诺或说明、对照招标文件要求在“满足情况”栏注明“满足”或“不满足”；</w:t>
      </w:r>
      <w:r>
        <w:rPr>
          <w:rFonts w:hint="eastAsia" w:ascii="宋体" w:hAnsi="宋体" w:cs="仿宋_GB2312"/>
          <w:color w:val="auto"/>
          <w:sz w:val="24"/>
          <w:highlight w:val="none"/>
          <w:lang w:val="zh-CN"/>
        </w:rPr>
        <w:t>如有任意一条未响应或不满足，将被视为无效。</w:t>
      </w:r>
    </w:p>
    <w:p w14:paraId="48ABB6CB">
      <w:pPr>
        <w:autoSpaceDE w:val="0"/>
        <w:autoSpaceDN w:val="0"/>
        <w:adjustRightInd w:val="0"/>
        <w:spacing w:line="360" w:lineRule="auto"/>
        <w:rPr>
          <w:rFonts w:ascii="宋体" w:hAnsi="宋体" w:cs="仿宋_GB2312"/>
          <w:color w:val="auto"/>
          <w:sz w:val="24"/>
          <w:highlight w:val="none"/>
          <w:lang w:val="zh-CN"/>
        </w:rPr>
      </w:pPr>
    </w:p>
    <w:p w14:paraId="7DA96D09">
      <w:pPr>
        <w:autoSpaceDE w:val="0"/>
        <w:autoSpaceDN w:val="0"/>
        <w:spacing w:line="360" w:lineRule="auto"/>
        <w:ind w:left="0" w:leftChars="0" w:right="0" w:firstLine="0" w:firstLineChars="0"/>
        <w:jc w:val="left"/>
        <w:rPr>
          <w:rFonts w:ascii="宋体" w:hAnsi="宋体" w:cs="宋体"/>
          <w:color w:val="auto"/>
          <w:kern w:val="0"/>
          <w:sz w:val="24"/>
          <w:highlight w:val="none"/>
          <w:lang w:val="zh-CN"/>
        </w:rPr>
      </w:pPr>
      <w:r>
        <w:rPr>
          <w:rFonts w:hint="eastAsia" w:ascii="宋体" w:hAnsi="宋体" w:cs="仿宋_GB2312"/>
          <w:color w:val="auto"/>
          <w:sz w:val="24"/>
          <w:highlight w:val="none"/>
          <w:lang w:val="en-US" w:eastAsia="zh-CN"/>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单位公章或电子公章</w:t>
      </w:r>
      <w:r>
        <w:rPr>
          <w:rFonts w:hint="eastAsia" w:ascii="宋体" w:hAnsi="宋体" w:cs="宋体"/>
          <w:color w:val="auto"/>
          <w:kern w:val="0"/>
          <w:sz w:val="24"/>
          <w:highlight w:val="none"/>
          <w:lang w:val="zh-CN"/>
        </w:rPr>
        <w:t xml:space="preserve">）：                                                                                                                                                                                                               </w:t>
      </w:r>
    </w:p>
    <w:p w14:paraId="5331232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121CB3B">
      <w:pPr>
        <w:rPr>
          <w:rFonts w:ascii="宋体" w:hAnsi="宋体" w:cs="宋体"/>
          <w:highlight w:val="none"/>
        </w:rPr>
      </w:pPr>
    </w:p>
    <w:p w14:paraId="3364BA36">
      <w:pPr>
        <w:ind w:firstLine="1911" w:firstLineChars="595"/>
        <w:rPr>
          <w:rFonts w:ascii="宋体" w:hAnsi="宋体" w:cs="宋体"/>
          <w:b/>
          <w:bCs/>
          <w:sz w:val="32"/>
          <w:szCs w:val="32"/>
          <w:highlight w:val="none"/>
        </w:rPr>
      </w:pPr>
    </w:p>
    <w:p w14:paraId="3DB66260">
      <w:pPr>
        <w:pStyle w:val="61"/>
        <w:rPr>
          <w:rFonts w:ascii="宋体" w:hAnsi="宋体" w:cs="宋体"/>
          <w:b/>
          <w:bCs/>
          <w:sz w:val="32"/>
          <w:szCs w:val="32"/>
          <w:highlight w:val="none"/>
        </w:rPr>
      </w:pPr>
    </w:p>
    <w:p w14:paraId="5A346D61">
      <w:pPr>
        <w:rPr>
          <w:rFonts w:ascii="宋体" w:hAnsi="宋体" w:cs="宋体"/>
          <w:b/>
          <w:bCs/>
          <w:sz w:val="32"/>
          <w:szCs w:val="32"/>
          <w:highlight w:val="none"/>
        </w:rPr>
      </w:pPr>
    </w:p>
    <w:p w14:paraId="458D6D3D">
      <w:pPr>
        <w:pStyle w:val="61"/>
        <w:rPr>
          <w:highlight w:val="none"/>
        </w:rPr>
      </w:pPr>
    </w:p>
    <w:p w14:paraId="0D3AF7DB">
      <w:pPr>
        <w:widowControl/>
        <w:adjustRightInd/>
        <w:jc w:val="left"/>
        <w:rPr>
          <w:rFonts w:hint="eastAsia" w:ascii="宋体" w:hAnsi="宋体" w:cs="宋体"/>
          <w:b/>
          <w:bCs/>
          <w:sz w:val="32"/>
          <w:szCs w:val="32"/>
          <w:highlight w:val="none"/>
          <w:lang w:eastAsia="zh-CN"/>
        </w:rPr>
      </w:pPr>
      <w:r>
        <w:rPr>
          <w:rFonts w:hint="eastAsia" w:ascii="宋体" w:hAnsi="宋体" w:cs="宋体"/>
          <w:b/>
          <w:bCs/>
          <w:sz w:val="32"/>
          <w:szCs w:val="32"/>
          <w:highlight w:val="none"/>
          <w:lang w:eastAsia="zh-CN"/>
        </w:rPr>
        <w:br w:type="page"/>
      </w:r>
    </w:p>
    <w:p w14:paraId="7DD371B4">
      <w:pPr>
        <w:widowControl/>
        <w:numPr>
          <w:ilvl w:val="0"/>
          <w:numId w:val="15"/>
        </w:numPr>
        <w:adjustRightInd/>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所投产品具体配置表</w:t>
      </w:r>
    </w:p>
    <w:p w14:paraId="2CD86661">
      <w:pPr>
        <w:widowControl/>
        <w:numPr>
          <w:ilvl w:val="0"/>
          <w:numId w:val="0"/>
        </w:numPr>
        <w:adjustRightInd/>
        <w:jc w:val="center"/>
        <w:rPr>
          <w:rFonts w:hint="eastAsia" w:ascii="宋体" w:hAnsi="宋体" w:cs="宋体"/>
          <w:b/>
          <w:kern w:val="0"/>
          <w:sz w:val="32"/>
          <w:szCs w:val="32"/>
          <w:highlight w:val="none"/>
        </w:rPr>
      </w:pPr>
    </w:p>
    <w:p w14:paraId="697D44AD">
      <w:pPr>
        <w:snapToGrid w:val="0"/>
        <w:spacing w:line="360" w:lineRule="auto"/>
        <w:ind w:firstLine="240" w:firstLineChars="100"/>
        <w:rPr>
          <w:rFonts w:hint="eastAsia" w:ascii="宋体" w:hAnsi="宋体" w:cs="宋体"/>
          <w:sz w:val="24"/>
          <w:szCs w:val="32"/>
          <w:highlight w:val="none"/>
          <w:lang w:eastAsia="zh-CN"/>
        </w:rPr>
      </w:pPr>
      <w:r>
        <w:rPr>
          <w:rFonts w:hint="eastAsia" w:ascii="宋体" w:hAnsi="宋体" w:cs="宋体"/>
          <w:sz w:val="24"/>
          <w:szCs w:val="32"/>
          <w:highlight w:val="none"/>
          <w:lang w:eastAsia="zh-CN"/>
        </w:rPr>
        <w:t>详细列明所投产品设备清单，完整配置方案及技术指标，项目的主要设备必须明确所投产品的品牌、规格型号、材质及具体技术指标，任何含糊不清的表述对评标结果的影响将是投标人的责任；</w:t>
      </w:r>
    </w:p>
    <w:p w14:paraId="637930B8">
      <w:pPr>
        <w:snapToGrid w:val="0"/>
        <w:spacing w:line="360" w:lineRule="auto"/>
        <w:ind w:firstLine="480" w:firstLineChars="200"/>
        <w:rPr>
          <w:rFonts w:hint="eastAsia" w:ascii="宋体" w:hAnsi="宋体" w:cs="宋体"/>
          <w:sz w:val="24"/>
          <w:szCs w:val="32"/>
          <w:highlight w:val="none"/>
          <w:lang w:eastAsia="zh-CN"/>
        </w:rPr>
      </w:pPr>
      <w:r>
        <w:rPr>
          <w:rFonts w:hint="eastAsia" w:ascii="宋体" w:hAnsi="宋体" w:cs="宋体"/>
          <w:sz w:val="24"/>
          <w:szCs w:val="32"/>
          <w:highlight w:val="none"/>
          <w:lang w:eastAsia="zh-CN"/>
        </w:rPr>
        <w:t>所投产品各厂商网站公开的该产品技术指标或印刷版的产品技术白皮书或手册、厂家出具盖厂家公章的特别说明；</w:t>
      </w:r>
    </w:p>
    <w:p w14:paraId="4E4C3ADF">
      <w:pPr>
        <w:widowControl/>
        <w:adjustRightInd/>
        <w:jc w:val="left"/>
        <w:rPr>
          <w:rFonts w:hint="eastAsia"/>
          <w:lang w:val="zh-CN"/>
        </w:rPr>
      </w:pPr>
    </w:p>
    <w:p w14:paraId="11FE739F">
      <w:pPr>
        <w:pStyle w:val="107"/>
        <w:keepNext w:val="0"/>
        <w:keepLines w:val="0"/>
        <w:pageBreakBefore w:val="0"/>
        <w:kinsoku/>
        <w:wordWrap/>
        <w:overflowPunct/>
        <w:topLinePunct w:val="0"/>
        <w:autoSpaceDE/>
        <w:autoSpaceDN/>
        <w:bidi w:val="0"/>
        <w:spacing w:before="0" w:line="360" w:lineRule="auto"/>
        <w:ind w:firstLine="482"/>
        <w:textAlignment w:val="auto"/>
        <w:rPr>
          <w:rFonts w:hint="eastAsia" w:hAnsi="宋体"/>
          <w:b/>
          <w:color w:val="000000"/>
          <w:kern w:val="2"/>
          <w:sz w:val="30"/>
          <w:szCs w:val="30"/>
          <w:highlight w:val="none"/>
          <w:lang w:val="en-US" w:eastAsia="zh-CN" w:bidi="ar-SA"/>
        </w:rPr>
      </w:pPr>
      <w:r>
        <w:rPr>
          <w:rFonts w:hint="eastAsia" w:hAnsi="宋体"/>
          <w:b/>
          <w:color w:val="000000"/>
          <w:kern w:val="2"/>
          <w:sz w:val="30"/>
          <w:szCs w:val="30"/>
          <w:highlight w:val="none"/>
          <w:lang w:val="en-US" w:eastAsia="zh-CN" w:bidi="ar-SA"/>
        </w:rPr>
        <w:t>根据要求自行编制提供；</w:t>
      </w:r>
    </w:p>
    <w:p w14:paraId="507373A2">
      <w:pPr>
        <w:widowControl/>
        <w:adjustRightInd/>
        <w:jc w:val="center"/>
        <w:rPr>
          <w:rFonts w:hint="eastAsia" w:ascii="宋体" w:hAnsi="宋体" w:cs="宋体"/>
          <w:b/>
          <w:kern w:val="0"/>
          <w:sz w:val="32"/>
          <w:szCs w:val="32"/>
          <w:highlight w:val="none"/>
          <w:lang w:val="zh-CN"/>
        </w:rPr>
      </w:pPr>
    </w:p>
    <w:p w14:paraId="2B5D7A62">
      <w:pPr>
        <w:widowControl/>
        <w:adjustRightInd/>
        <w:jc w:val="left"/>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2C44BDEF">
      <w:pPr>
        <w:widowControl/>
        <w:adjustRightInd/>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十、供应商廉洁自律承诺书</w:t>
      </w:r>
    </w:p>
    <w:p w14:paraId="6B5AED97">
      <w:pPr>
        <w:snapToGrid w:val="0"/>
        <w:spacing w:line="360" w:lineRule="auto"/>
        <w:rPr>
          <w:rFonts w:ascii="宋体" w:hAnsi="宋体" w:cs="宋体"/>
          <w:color w:val="000000"/>
          <w:sz w:val="24"/>
          <w:highlight w:val="none"/>
        </w:rPr>
      </w:pPr>
    </w:p>
    <w:p w14:paraId="4BC2A0EB">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eastAsia="zh-CN"/>
        </w:rPr>
        <w:t>招标人</w:t>
      </w:r>
      <w:r>
        <w:rPr>
          <w:rFonts w:hint="eastAsia" w:ascii="宋体" w:hAnsi="宋体" w:cs="宋体"/>
          <w:color w:val="000000"/>
          <w:sz w:val="24"/>
          <w:highlight w:val="none"/>
        </w:rPr>
        <w:t>）、（</w:t>
      </w:r>
      <w:r>
        <w:rPr>
          <w:rFonts w:hint="eastAsia" w:ascii="宋体" w:hAnsi="宋体" w:cs="宋体"/>
          <w:color w:val="000000"/>
          <w:sz w:val="24"/>
          <w:highlight w:val="none"/>
          <w:lang w:eastAsia="zh-CN"/>
        </w:rPr>
        <w:t>招标代理机构</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p>
    <w:p w14:paraId="677154A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7AB218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31764D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08BD19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08E7A5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2BAD5B9">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386197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1CA4CE79">
      <w:pPr>
        <w:autoSpaceDE w:val="0"/>
        <w:autoSpaceDN w:val="0"/>
        <w:spacing w:line="360" w:lineRule="auto"/>
        <w:ind w:left="0" w:leftChars="0"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EA6556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45C7ED8C">
      <w:pPr>
        <w:autoSpaceDE w:val="0"/>
        <w:autoSpaceDN w:val="0"/>
        <w:spacing w:line="360" w:lineRule="auto"/>
        <w:ind w:left="2"/>
        <w:jc w:val="left"/>
        <w:rPr>
          <w:rFonts w:ascii="宋体" w:hAnsi="宋体" w:cs="宋体"/>
          <w:kern w:val="0"/>
          <w:sz w:val="24"/>
          <w:highlight w:val="none"/>
          <w:lang w:val="zh-CN"/>
        </w:rPr>
      </w:pPr>
    </w:p>
    <w:p w14:paraId="714F7D18">
      <w:pPr>
        <w:autoSpaceDE w:val="0"/>
        <w:autoSpaceDN w:val="0"/>
        <w:spacing w:line="360" w:lineRule="auto"/>
        <w:ind w:left="2"/>
        <w:jc w:val="left"/>
        <w:rPr>
          <w:rFonts w:ascii="宋体" w:hAnsi="宋体" w:cs="宋体"/>
          <w:kern w:val="0"/>
          <w:sz w:val="24"/>
          <w:highlight w:val="none"/>
          <w:lang w:val="zh-CN"/>
        </w:rPr>
      </w:pPr>
    </w:p>
    <w:p w14:paraId="73AE466A">
      <w:pPr>
        <w:autoSpaceDE w:val="0"/>
        <w:autoSpaceDN w:val="0"/>
        <w:spacing w:line="360" w:lineRule="auto"/>
        <w:ind w:left="0" w:leftChars="0" w:right="1120" w:firstLine="0" w:firstLineChars="0"/>
        <w:jc w:val="righ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单位公章或电子公章</w:t>
      </w:r>
      <w:r>
        <w:rPr>
          <w:rFonts w:hint="eastAsia" w:ascii="宋体" w:hAnsi="宋体" w:cs="宋体"/>
          <w:kern w:val="0"/>
          <w:sz w:val="24"/>
          <w:highlight w:val="none"/>
          <w:lang w:val="zh-CN"/>
        </w:rPr>
        <w:t xml:space="preserve">）：                                                                                                                                                                                                               </w:t>
      </w:r>
    </w:p>
    <w:p w14:paraId="2DE204E3">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A64BA59">
      <w:pPr>
        <w:spacing w:line="360" w:lineRule="auto"/>
        <w:jc w:val="center"/>
        <w:rPr>
          <w:rFonts w:ascii="宋体" w:hAnsi="宋体" w:cs="宋体"/>
          <w:b/>
          <w:bCs/>
          <w:sz w:val="24"/>
          <w:highlight w:val="none"/>
        </w:rPr>
      </w:pPr>
    </w:p>
    <w:p w14:paraId="32A5D62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7E3B92">
      <w:pPr>
        <w:rPr>
          <w:highlight w:val="none"/>
        </w:rPr>
      </w:pPr>
      <w:r>
        <w:rPr>
          <w:highlight w:val="none"/>
        </w:rPr>
        <w:br w:type="page"/>
      </w:r>
    </w:p>
    <w:p w14:paraId="0CE4B006">
      <w:pPr>
        <w:widowControl/>
        <w:numPr>
          <w:ilvl w:val="-1"/>
          <w:numId w:val="0"/>
        </w:numPr>
        <w:adjustRightInd/>
        <w:jc w:val="center"/>
        <w:rPr>
          <w:rFonts w:hint="eastAsia" w:ascii="宋体" w:hAnsi="宋体" w:cs="宋体"/>
          <w:b/>
          <w:bCs/>
          <w:sz w:val="32"/>
          <w:szCs w:val="32"/>
          <w:highlight w:val="none"/>
        </w:rPr>
      </w:pPr>
      <w:r>
        <w:rPr>
          <w:rFonts w:hint="eastAsia" w:ascii="宋体" w:hAnsi="宋体" w:cs="宋体"/>
          <w:b/>
          <w:bCs/>
          <w:sz w:val="32"/>
          <w:szCs w:val="32"/>
          <w:highlight w:val="none"/>
          <w:lang w:eastAsia="zh-CN"/>
        </w:rPr>
        <w:t>十一、</w:t>
      </w:r>
      <w:r>
        <w:rPr>
          <w:rFonts w:hint="eastAsia" w:ascii="宋体" w:hAnsi="宋体" w:cs="宋体"/>
          <w:b/>
          <w:bCs/>
          <w:sz w:val="32"/>
          <w:szCs w:val="32"/>
          <w:highlight w:val="none"/>
        </w:rPr>
        <w:t>关于对招标文件中有关条款的拒绝声明</w:t>
      </w:r>
    </w:p>
    <w:p w14:paraId="545C9549">
      <w:pPr>
        <w:pStyle w:val="61"/>
        <w:numPr>
          <w:ilvl w:val="0"/>
          <w:numId w:val="0"/>
        </w:numPr>
        <w:rPr>
          <w:rFonts w:hint="default" w:eastAsia="宋体"/>
          <w:highlight w:val="none"/>
          <w:lang w:eastAsia="zh-CN"/>
        </w:rPr>
      </w:pPr>
    </w:p>
    <w:p w14:paraId="47984539">
      <w:pPr>
        <w:rPr>
          <w:rFonts w:hint="default" w:eastAsia="宋体"/>
          <w:highlight w:val="none"/>
          <w:lang w:eastAsia="zh-CN"/>
        </w:rPr>
      </w:pPr>
    </w:p>
    <w:p w14:paraId="41060CE6">
      <w:pPr>
        <w:pStyle w:val="61"/>
        <w:jc w:val="center"/>
        <w:rPr>
          <w:rFonts w:hint="default" w:eastAsia="宋体"/>
          <w:sz w:val="28"/>
          <w:szCs w:val="36"/>
          <w:highlight w:val="none"/>
          <w:lang w:eastAsia="zh-CN"/>
        </w:rPr>
      </w:pPr>
      <w:r>
        <w:rPr>
          <w:rFonts w:hint="eastAsia"/>
          <w:sz w:val="28"/>
          <w:szCs w:val="36"/>
          <w:highlight w:val="none"/>
          <w:lang w:eastAsia="zh-CN"/>
        </w:rPr>
        <w:t>投标人自行提供。</w:t>
      </w:r>
    </w:p>
    <w:p w14:paraId="0A91D74B">
      <w:pPr>
        <w:rPr>
          <w:rFonts w:hint="default" w:eastAsia="宋体"/>
          <w:highlight w:val="none"/>
          <w:lang w:eastAsia="zh-CN"/>
        </w:rPr>
      </w:pPr>
    </w:p>
    <w:p w14:paraId="3F411DA1">
      <w:pPr>
        <w:pStyle w:val="61"/>
        <w:rPr>
          <w:rFonts w:hint="default" w:eastAsia="宋体"/>
          <w:highlight w:val="none"/>
          <w:lang w:eastAsia="zh-CN"/>
        </w:rPr>
      </w:pPr>
    </w:p>
    <w:p w14:paraId="0BDDE505">
      <w:pPr>
        <w:rPr>
          <w:rFonts w:hint="default" w:eastAsia="宋体"/>
          <w:highlight w:val="none"/>
          <w:lang w:eastAsia="zh-CN"/>
        </w:rPr>
      </w:pPr>
    </w:p>
    <w:p w14:paraId="3942DB5B">
      <w:pPr>
        <w:rPr>
          <w:rFonts w:hint="default" w:eastAsia="宋体"/>
          <w:highlight w:val="none"/>
          <w:lang w:eastAsia="zh-CN"/>
        </w:rPr>
      </w:pPr>
    </w:p>
    <w:p w14:paraId="4C5579EC">
      <w:pPr>
        <w:rPr>
          <w:rFonts w:hint="default" w:eastAsia="宋体"/>
          <w:highlight w:val="none"/>
          <w:lang w:eastAsia="zh-CN"/>
        </w:rPr>
      </w:pPr>
    </w:p>
    <w:p w14:paraId="5A208CF1">
      <w:pPr>
        <w:rPr>
          <w:rFonts w:hint="default" w:eastAsia="宋体"/>
          <w:highlight w:val="none"/>
          <w:lang w:eastAsia="zh-CN"/>
        </w:rPr>
      </w:pPr>
    </w:p>
    <w:p w14:paraId="1D27666C">
      <w:pPr>
        <w:rPr>
          <w:rFonts w:hint="default" w:eastAsia="宋体"/>
          <w:highlight w:val="none"/>
          <w:lang w:eastAsia="zh-CN"/>
        </w:rPr>
      </w:pPr>
    </w:p>
    <w:p w14:paraId="3B87690C">
      <w:pPr>
        <w:rPr>
          <w:rFonts w:hint="default" w:eastAsia="宋体"/>
          <w:highlight w:val="none"/>
          <w:lang w:eastAsia="zh-CN"/>
        </w:rPr>
      </w:pPr>
    </w:p>
    <w:p w14:paraId="65CE66AD">
      <w:pPr>
        <w:rPr>
          <w:rFonts w:hint="default" w:eastAsia="宋体"/>
          <w:highlight w:val="none"/>
          <w:lang w:eastAsia="zh-CN"/>
        </w:rPr>
      </w:pPr>
    </w:p>
    <w:p w14:paraId="65E02806">
      <w:pPr>
        <w:rPr>
          <w:rFonts w:hint="default" w:eastAsia="宋体"/>
          <w:highlight w:val="none"/>
          <w:lang w:eastAsia="zh-CN"/>
        </w:rPr>
      </w:pPr>
    </w:p>
    <w:p w14:paraId="66ECF7DB">
      <w:pPr>
        <w:rPr>
          <w:rFonts w:hint="default" w:eastAsia="宋体"/>
          <w:highlight w:val="none"/>
          <w:lang w:eastAsia="zh-CN"/>
        </w:rPr>
      </w:pPr>
    </w:p>
    <w:p w14:paraId="203631B4">
      <w:pPr>
        <w:rPr>
          <w:rFonts w:hint="default" w:eastAsia="宋体"/>
          <w:highlight w:val="none"/>
          <w:lang w:eastAsia="zh-CN"/>
        </w:rPr>
      </w:pPr>
    </w:p>
    <w:p w14:paraId="40B61584">
      <w:pPr>
        <w:rPr>
          <w:rFonts w:hint="default" w:eastAsia="宋体"/>
          <w:highlight w:val="none"/>
          <w:lang w:eastAsia="zh-CN"/>
        </w:rPr>
      </w:pPr>
    </w:p>
    <w:p w14:paraId="68A65632">
      <w:pPr>
        <w:rPr>
          <w:rFonts w:hint="default" w:eastAsia="宋体"/>
          <w:highlight w:val="none"/>
          <w:lang w:eastAsia="zh-CN"/>
        </w:rPr>
      </w:pPr>
    </w:p>
    <w:p w14:paraId="650E3F77">
      <w:pPr>
        <w:widowControl/>
        <w:numPr>
          <w:ilvl w:val="-1"/>
          <w:numId w:val="0"/>
        </w:numPr>
        <w:adjustRightInd/>
        <w:jc w:val="center"/>
        <w:rPr>
          <w:rFonts w:hint="default"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十二、</w:t>
      </w:r>
      <w:r>
        <w:rPr>
          <w:rFonts w:hint="eastAsia" w:ascii="宋体" w:hAnsi="宋体" w:cs="宋体"/>
          <w:b/>
          <w:bCs/>
          <w:sz w:val="32"/>
          <w:szCs w:val="32"/>
          <w:highlight w:val="none"/>
        </w:rPr>
        <w:t>投标人认为需要提供的与本项目有关的其他文件和说明。</w:t>
      </w:r>
    </w:p>
    <w:p w14:paraId="3E5A1B9D">
      <w:pPr>
        <w:pStyle w:val="61"/>
        <w:rPr>
          <w:rFonts w:hint="eastAsia" w:ascii="宋体" w:hAnsi="宋体" w:cs="宋体"/>
          <w:b/>
          <w:bCs/>
          <w:sz w:val="44"/>
          <w:szCs w:val="44"/>
          <w:highlight w:val="none"/>
        </w:rPr>
      </w:pPr>
    </w:p>
    <w:p w14:paraId="3B34F130">
      <w:pPr>
        <w:pStyle w:val="61"/>
        <w:jc w:val="center"/>
        <w:rPr>
          <w:rFonts w:hint="default" w:eastAsia="宋体"/>
          <w:sz w:val="28"/>
          <w:szCs w:val="36"/>
          <w:highlight w:val="none"/>
          <w:lang w:eastAsia="zh-CN"/>
        </w:rPr>
      </w:pPr>
      <w:r>
        <w:rPr>
          <w:rFonts w:hint="eastAsia"/>
          <w:sz w:val="28"/>
          <w:szCs w:val="36"/>
          <w:highlight w:val="none"/>
          <w:lang w:eastAsia="zh-CN"/>
        </w:rPr>
        <w:t>投标人自行提供。</w:t>
      </w:r>
    </w:p>
    <w:p w14:paraId="6B462DDF">
      <w:pPr>
        <w:rPr>
          <w:rFonts w:hint="default" w:eastAsia="宋体"/>
          <w:highlight w:val="none"/>
          <w:lang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59E33D4">
      <w:pPr>
        <w:spacing w:line="360" w:lineRule="auto"/>
        <w:jc w:val="center"/>
        <w:outlineLvl w:val="0"/>
        <w:rPr>
          <w:rFonts w:ascii="宋体" w:hAnsi="宋体" w:cs="宋体"/>
          <w:b/>
          <w:kern w:val="0"/>
          <w:sz w:val="36"/>
          <w:szCs w:val="36"/>
          <w:highlight w:val="none"/>
        </w:rPr>
      </w:pPr>
    </w:p>
    <w:p w14:paraId="2FBAD076">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报价文件部分</w:t>
      </w:r>
      <w:r>
        <w:rPr>
          <w:rFonts w:hint="eastAsia" w:ascii="宋体" w:hAnsi="宋体" w:cs="宋体"/>
          <w:b/>
          <w:bCs/>
          <w:color w:val="000000"/>
          <w:sz w:val="44"/>
          <w:szCs w:val="44"/>
          <w:highlight w:val="none"/>
        </w:rPr>
        <w:t>（封面）</w:t>
      </w:r>
    </w:p>
    <w:p w14:paraId="2E175BDF">
      <w:pPr>
        <w:spacing w:line="360" w:lineRule="auto"/>
        <w:jc w:val="center"/>
        <w:outlineLvl w:val="0"/>
        <w:rPr>
          <w:rFonts w:ascii="宋体" w:hAnsi="宋体" w:cs="宋体"/>
          <w:b/>
          <w:kern w:val="0"/>
          <w:sz w:val="36"/>
          <w:szCs w:val="36"/>
          <w:highlight w:val="none"/>
        </w:rPr>
      </w:pPr>
    </w:p>
    <w:p w14:paraId="09873EF1">
      <w:pPr>
        <w:shd w:val="clear" w:color="auto" w:fill="FFFFFF"/>
        <w:snapToGrid w:val="0"/>
        <w:spacing w:line="360" w:lineRule="auto"/>
        <w:jc w:val="center"/>
        <w:outlineLvl w:val="0"/>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（项目名称）</w:t>
      </w:r>
    </w:p>
    <w:p w14:paraId="05B82B56">
      <w:pPr>
        <w:shd w:val="clear" w:color="auto" w:fill="FFFFFF"/>
        <w:snapToGrid w:val="0"/>
        <w:spacing w:line="360" w:lineRule="auto"/>
        <w:jc w:val="center"/>
        <w:outlineLvl w:val="0"/>
        <w:rPr>
          <w:rFonts w:ascii="宋体" w:hAnsi="宋体" w:cs="宋体"/>
          <w:b/>
          <w:bCs/>
          <w:color w:val="000000"/>
          <w:sz w:val="52"/>
          <w:szCs w:val="52"/>
          <w:highlight w:val="none"/>
        </w:rPr>
      </w:pPr>
      <w:bookmarkStart w:id="421" w:name="_Toc105"/>
      <w:r>
        <w:rPr>
          <w:rFonts w:hint="eastAsia" w:ascii="宋体" w:hAnsi="宋体" w:cs="宋体"/>
          <w:b/>
          <w:bCs/>
          <w:color w:val="000000"/>
          <w:sz w:val="52"/>
          <w:szCs w:val="52"/>
          <w:highlight w:val="none"/>
        </w:rPr>
        <w:t>报 价 文 件</w:t>
      </w:r>
      <w:bookmarkEnd w:id="421"/>
    </w:p>
    <w:p w14:paraId="19E30251">
      <w:pPr>
        <w:widowControl/>
        <w:spacing w:line="360" w:lineRule="auto"/>
        <w:ind w:right="-2"/>
        <w:jc w:val="center"/>
        <w:outlineLvl w:val="1"/>
        <w:rPr>
          <w:rFonts w:ascii="宋体" w:hAnsi="宋体" w:cs="宋体"/>
          <w:b/>
          <w:color w:val="000000"/>
          <w:sz w:val="36"/>
          <w:szCs w:val="36"/>
          <w:highlight w:val="none"/>
        </w:rPr>
      </w:pPr>
      <w:bookmarkStart w:id="422" w:name="_Toc22501"/>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临采云电子招投标</w:t>
      </w:r>
      <w:r>
        <w:rPr>
          <w:rFonts w:hint="eastAsia" w:ascii="宋体" w:hAnsi="宋体" w:cs="宋体"/>
          <w:b/>
          <w:color w:val="000000"/>
          <w:sz w:val="36"/>
          <w:szCs w:val="36"/>
          <w:highlight w:val="none"/>
        </w:rPr>
        <w:t>）</w:t>
      </w:r>
      <w:bookmarkEnd w:id="422"/>
    </w:p>
    <w:p w14:paraId="46117EF1">
      <w:pPr>
        <w:shd w:val="clear" w:color="auto" w:fill="FFFFFF"/>
        <w:snapToGrid w:val="0"/>
        <w:spacing w:line="360" w:lineRule="auto"/>
        <w:jc w:val="center"/>
        <w:outlineLvl w:val="1"/>
        <w:rPr>
          <w:rFonts w:ascii="宋体" w:hAnsi="宋体" w:cs="宋体"/>
          <w:b/>
          <w:bCs/>
          <w:color w:val="000000"/>
          <w:sz w:val="36"/>
          <w:szCs w:val="36"/>
          <w:highlight w:val="none"/>
        </w:rPr>
      </w:pPr>
      <w:bookmarkStart w:id="423" w:name="_Toc13670"/>
    </w:p>
    <w:p w14:paraId="0C00B706">
      <w:pPr>
        <w:shd w:val="clear" w:color="auto" w:fill="FFFFFF"/>
        <w:snapToGrid w:val="0"/>
        <w:spacing w:line="360" w:lineRule="auto"/>
        <w:jc w:val="center"/>
        <w:outlineLvl w:val="1"/>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招标编号：</w:t>
      </w:r>
      <w:bookmarkEnd w:id="423"/>
      <w:r>
        <w:rPr>
          <w:rFonts w:hint="eastAsia" w:ascii="宋体" w:hAnsi="宋体" w:cs="宋体"/>
          <w:b/>
          <w:bCs/>
          <w:color w:val="000000"/>
          <w:sz w:val="36"/>
          <w:szCs w:val="36"/>
          <w:highlight w:val="none"/>
        </w:rPr>
        <w:t xml:space="preserve">  </w:t>
      </w:r>
    </w:p>
    <w:p w14:paraId="322111EA">
      <w:pPr>
        <w:snapToGrid w:val="0"/>
        <w:spacing w:line="360" w:lineRule="auto"/>
        <w:jc w:val="center"/>
        <w:rPr>
          <w:rFonts w:hint="eastAsia" w:ascii="宋体" w:hAnsi="宋体" w:cs="宋体"/>
          <w:color w:val="000000"/>
          <w:sz w:val="44"/>
          <w:szCs w:val="44"/>
          <w:highlight w:val="none"/>
        </w:rPr>
      </w:pPr>
    </w:p>
    <w:p w14:paraId="28106434">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投</w:t>
      </w:r>
    </w:p>
    <w:p w14:paraId="2597C6F6">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标</w:t>
      </w:r>
    </w:p>
    <w:p w14:paraId="0EC2E566">
      <w:pPr>
        <w:snapToGrid w:val="0"/>
        <w:spacing w:line="360" w:lineRule="auto"/>
        <w:jc w:val="center"/>
        <w:rPr>
          <w:rFonts w:hint="eastAsia" w:ascii="宋体" w:hAnsi="宋体" w:cs="宋体"/>
          <w:color w:val="000000"/>
          <w:sz w:val="44"/>
          <w:szCs w:val="44"/>
          <w:highlight w:val="none"/>
        </w:rPr>
      </w:pPr>
      <w:r>
        <w:rPr>
          <w:rFonts w:hint="eastAsia" w:ascii="宋体" w:hAnsi="宋体" w:cs="宋体"/>
          <w:color w:val="000000"/>
          <w:sz w:val="44"/>
          <w:szCs w:val="44"/>
          <w:highlight w:val="none"/>
        </w:rPr>
        <w:t>文</w:t>
      </w:r>
    </w:p>
    <w:p w14:paraId="305A08DF">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件</w:t>
      </w:r>
    </w:p>
    <w:p w14:paraId="40A2C594">
      <w:pPr>
        <w:snapToGrid w:val="0"/>
        <w:spacing w:line="360" w:lineRule="auto"/>
        <w:ind w:firstLine="1680" w:firstLineChars="600"/>
        <w:rPr>
          <w:rFonts w:ascii="宋体" w:hAnsi="宋体" w:cs="宋体"/>
          <w:color w:val="000000"/>
          <w:sz w:val="28"/>
          <w:szCs w:val="28"/>
          <w:highlight w:val="none"/>
        </w:rPr>
      </w:pPr>
    </w:p>
    <w:p w14:paraId="477448F3">
      <w:pPr>
        <w:snapToGrid w:val="0"/>
        <w:spacing w:line="360" w:lineRule="auto"/>
        <w:ind w:firstLine="1680" w:firstLineChars="600"/>
        <w:rPr>
          <w:rFonts w:hint="eastAsia" w:ascii="宋体" w:hAnsi="宋体" w:cs="宋体"/>
          <w:color w:val="000000"/>
          <w:sz w:val="28"/>
          <w:szCs w:val="28"/>
          <w:highlight w:val="none"/>
        </w:rPr>
      </w:pPr>
      <w:r>
        <w:rPr>
          <w:rFonts w:hint="eastAsia" w:ascii="宋体" w:hAnsi="宋体" w:cs="宋体"/>
          <w:color w:val="000000"/>
          <w:sz w:val="28"/>
          <w:szCs w:val="28"/>
          <w:highlight w:val="none"/>
        </w:rPr>
        <w:t>投标人全称：（单位公章或电子公章）</w:t>
      </w:r>
    </w:p>
    <w:p w14:paraId="5EA8C63E">
      <w:pPr>
        <w:snapToGrid w:val="0"/>
        <w:spacing w:line="360" w:lineRule="auto"/>
        <w:ind w:firstLine="1680" w:firstLineChars="600"/>
        <w:rPr>
          <w:rFonts w:ascii="宋体" w:hAnsi="宋体" w:cs="宋体"/>
          <w:color w:val="000000"/>
          <w:sz w:val="28"/>
          <w:szCs w:val="28"/>
          <w:highlight w:val="none"/>
        </w:rPr>
      </w:pPr>
      <w:r>
        <w:rPr>
          <w:rFonts w:hint="eastAsia" w:ascii="宋体" w:hAnsi="宋体" w:cs="宋体"/>
          <w:color w:val="000000"/>
          <w:sz w:val="28"/>
          <w:szCs w:val="28"/>
          <w:highlight w:val="none"/>
        </w:rPr>
        <w:t>投标人地址：</w:t>
      </w:r>
    </w:p>
    <w:p w14:paraId="3F8AAD86">
      <w:pPr>
        <w:snapToGrid w:val="0"/>
        <w:spacing w:line="360" w:lineRule="auto"/>
        <w:jc w:val="center"/>
        <w:rPr>
          <w:rFonts w:ascii="宋体" w:hAnsi="宋体" w:cs="宋体"/>
          <w:b/>
          <w:bCs/>
          <w:color w:val="000000"/>
          <w:kern w:val="0"/>
          <w:sz w:val="28"/>
          <w:szCs w:val="28"/>
          <w:highlight w:val="none"/>
        </w:rPr>
      </w:pPr>
      <w:r>
        <w:rPr>
          <w:rFonts w:hint="eastAsia" w:ascii="宋体" w:hAnsi="宋体" w:cs="宋体"/>
          <w:color w:val="000000"/>
          <w:sz w:val="28"/>
          <w:szCs w:val="28"/>
          <w:highlight w:val="none"/>
        </w:rPr>
        <w:t>年   月   日</w:t>
      </w:r>
    </w:p>
    <w:p w14:paraId="157CB690">
      <w:pPr>
        <w:pageBreakBefore/>
        <w:shd w:val="clear" w:color="auto" w:fill="FFFFFF"/>
        <w:snapToGrid w:val="0"/>
        <w:spacing w:line="360" w:lineRule="auto"/>
        <w:jc w:val="center"/>
        <w:rPr>
          <w:rFonts w:ascii="宋体" w:hAnsi="宋体" w:cs="宋体"/>
          <w:b/>
          <w:bCs/>
          <w:color w:val="000000"/>
          <w:kern w:val="0"/>
          <w:sz w:val="32"/>
          <w:szCs w:val="32"/>
          <w:highlight w:val="none"/>
        </w:rPr>
        <w:sectPr>
          <w:headerReference r:id="rId13" w:type="default"/>
          <w:footerReference r:id="rId14"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14:paraId="4AE800C2">
      <w:pPr>
        <w:spacing w:line="360" w:lineRule="auto"/>
        <w:jc w:val="center"/>
        <w:outlineLvl w:val="0"/>
        <w:rPr>
          <w:rFonts w:ascii="宋体" w:hAnsi="宋体" w:cs="宋体"/>
          <w:b/>
          <w:kern w:val="0"/>
          <w:sz w:val="36"/>
          <w:szCs w:val="36"/>
          <w:highlight w:val="none"/>
        </w:rPr>
      </w:pPr>
    </w:p>
    <w:p w14:paraId="144EE65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23F3C8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366E21A">
      <w:pPr>
        <w:pStyle w:val="3"/>
        <w:ind w:left="0" w:firstLine="0"/>
        <w:rPr>
          <w:rFonts w:ascii="宋体" w:hAnsi="宋体" w:eastAsia="宋体" w:cs="宋体"/>
          <w:highlight w:val="none"/>
          <w:lang w:val="en-US"/>
        </w:rPr>
      </w:pPr>
    </w:p>
    <w:p w14:paraId="73E66ABE">
      <w:pPr>
        <w:numPr>
          <w:ilvl w:val="0"/>
          <w:numId w:val="16"/>
        </w:numPr>
        <w:snapToGrid w:val="0"/>
        <w:spacing w:line="360" w:lineRule="auto"/>
        <w:rPr>
          <w:rFonts w:hint="eastAsia" w:ascii="宋体" w:hAnsi="宋体" w:cs="宋体"/>
          <w:sz w:val="24"/>
          <w:highlight w:val="none"/>
        </w:rPr>
      </w:pPr>
      <w:r>
        <w:rPr>
          <w:rFonts w:hint="eastAsia" w:ascii="宋体" w:hAnsi="宋体" w:cs="宋体"/>
          <w:sz w:val="24"/>
          <w:highlight w:val="none"/>
        </w:rPr>
        <w:t>开标一览表（报价表）…………………………………………………………（页码）</w:t>
      </w:r>
    </w:p>
    <w:p w14:paraId="6E6D4B29">
      <w:pPr>
        <w:numPr>
          <w:ilvl w:val="0"/>
          <w:numId w:val="16"/>
        </w:numPr>
        <w:snapToGrid w:val="0"/>
        <w:spacing w:line="360" w:lineRule="auto"/>
        <w:rPr>
          <w:rFonts w:hint="eastAsia" w:ascii="宋体" w:hAnsi="宋体" w:cs="宋体"/>
          <w:sz w:val="24"/>
          <w:highlight w:val="none"/>
        </w:rPr>
      </w:pPr>
      <w:r>
        <w:rPr>
          <w:rFonts w:hint="eastAsia" w:ascii="宋体" w:hAnsi="宋体" w:cs="宋体"/>
          <w:sz w:val="24"/>
          <w:highlight w:val="none"/>
        </w:rPr>
        <w:t>分项报价表………………………………………………………………………（页码）</w:t>
      </w:r>
    </w:p>
    <w:p w14:paraId="6EA55239">
      <w:pPr>
        <w:numPr>
          <w:ilvl w:val="0"/>
          <w:numId w:val="16"/>
        </w:numPr>
        <w:snapToGrid w:val="0"/>
        <w:spacing w:line="360" w:lineRule="auto"/>
        <w:rPr>
          <w:rFonts w:hint="eastAsia" w:ascii="宋体" w:hAnsi="宋体" w:cs="宋体"/>
          <w:sz w:val="24"/>
          <w:highlight w:val="none"/>
        </w:rPr>
      </w:pPr>
      <w:r>
        <w:rPr>
          <w:rFonts w:hint="eastAsia" w:ascii="宋体" w:hAnsi="宋体" w:cs="宋体"/>
          <w:sz w:val="24"/>
          <w:highlight w:val="none"/>
        </w:rPr>
        <w:t>投标人需要说明的其他文件和资料……………………………………………（页码）</w:t>
      </w:r>
    </w:p>
    <w:p w14:paraId="3CB35709">
      <w:pPr>
        <w:snapToGrid w:val="0"/>
        <w:spacing w:line="360" w:lineRule="auto"/>
        <w:ind w:right="480"/>
        <w:jc w:val="center"/>
        <w:rPr>
          <w:rFonts w:ascii="宋体" w:hAnsi="宋体" w:cs="宋体"/>
          <w:b/>
          <w:kern w:val="0"/>
          <w:sz w:val="32"/>
          <w:szCs w:val="32"/>
          <w:highlight w:val="none"/>
        </w:rPr>
      </w:pPr>
    </w:p>
    <w:p w14:paraId="45937BC5">
      <w:pPr>
        <w:snapToGrid w:val="0"/>
        <w:spacing w:line="360" w:lineRule="auto"/>
        <w:ind w:right="480"/>
        <w:jc w:val="center"/>
        <w:rPr>
          <w:rFonts w:ascii="宋体" w:hAnsi="宋体" w:cs="宋体"/>
          <w:b/>
          <w:kern w:val="0"/>
          <w:sz w:val="32"/>
          <w:szCs w:val="32"/>
          <w:highlight w:val="none"/>
        </w:rPr>
      </w:pPr>
    </w:p>
    <w:p w14:paraId="558869EC">
      <w:pPr>
        <w:snapToGrid w:val="0"/>
        <w:spacing w:line="360" w:lineRule="auto"/>
        <w:ind w:right="480"/>
        <w:jc w:val="center"/>
        <w:rPr>
          <w:rFonts w:ascii="宋体" w:hAnsi="宋体" w:cs="宋体"/>
          <w:b/>
          <w:kern w:val="0"/>
          <w:sz w:val="32"/>
          <w:szCs w:val="32"/>
          <w:highlight w:val="none"/>
        </w:rPr>
      </w:pPr>
    </w:p>
    <w:p w14:paraId="63B200E4">
      <w:pPr>
        <w:snapToGrid w:val="0"/>
        <w:spacing w:line="360" w:lineRule="auto"/>
        <w:ind w:right="480"/>
        <w:jc w:val="center"/>
        <w:rPr>
          <w:rFonts w:ascii="宋体" w:hAnsi="宋体" w:cs="宋体"/>
          <w:b/>
          <w:kern w:val="0"/>
          <w:sz w:val="32"/>
          <w:szCs w:val="32"/>
          <w:highlight w:val="none"/>
        </w:rPr>
      </w:pPr>
    </w:p>
    <w:p w14:paraId="05F0E561">
      <w:pPr>
        <w:snapToGrid w:val="0"/>
        <w:spacing w:line="360" w:lineRule="auto"/>
        <w:ind w:right="480"/>
        <w:jc w:val="center"/>
        <w:rPr>
          <w:rFonts w:ascii="宋体" w:hAnsi="宋体" w:cs="宋体"/>
          <w:b/>
          <w:kern w:val="0"/>
          <w:sz w:val="32"/>
          <w:szCs w:val="32"/>
          <w:highlight w:val="none"/>
        </w:rPr>
      </w:pPr>
    </w:p>
    <w:p w14:paraId="23E4FCDB">
      <w:pPr>
        <w:snapToGrid w:val="0"/>
        <w:spacing w:line="360" w:lineRule="auto"/>
        <w:ind w:right="480"/>
        <w:jc w:val="center"/>
        <w:rPr>
          <w:rFonts w:ascii="宋体" w:hAnsi="宋体" w:cs="宋体"/>
          <w:b/>
          <w:kern w:val="0"/>
          <w:sz w:val="32"/>
          <w:szCs w:val="32"/>
          <w:highlight w:val="none"/>
        </w:rPr>
      </w:pPr>
    </w:p>
    <w:p w14:paraId="2B2BBAA2">
      <w:pPr>
        <w:snapToGrid w:val="0"/>
        <w:spacing w:line="360" w:lineRule="auto"/>
        <w:ind w:right="480"/>
        <w:jc w:val="center"/>
        <w:rPr>
          <w:rFonts w:ascii="宋体" w:hAnsi="宋体" w:cs="宋体"/>
          <w:b/>
          <w:kern w:val="0"/>
          <w:sz w:val="32"/>
          <w:szCs w:val="32"/>
          <w:highlight w:val="none"/>
        </w:rPr>
      </w:pPr>
    </w:p>
    <w:p w14:paraId="1704EA40">
      <w:pPr>
        <w:snapToGrid w:val="0"/>
        <w:spacing w:line="360" w:lineRule="auto"/>
        <w:ind w:right="480"/>
        <w:jc w:val="center"/>
        <w:rPr>
          <w:rFonts w:ascii="宋体" w:hAnsi="宋体" w:cs="宋体"/>
          <w:b/>
          <w:kern w:val="0"/>
          <w:sz w:val="32"/>
          <w:szCs w:val="32"/>
          <w:highlight w:val="none"/>
        </w:rPr>
      </w:pPr>
    </w:p>
    <w:p w14:paraId="06EECE9D">
      <w:pPr>
        <w:snapToGrid w:val="0"/>
        <w:spacing w:line="360" w:lineRule="auto"/>
        <w:ind w:right="480"/>
        <w:jc w:val="center"/>
        <w:rPr>
          <w:rFonts w:ascii="宋体" w:hAnsi="宋体" w:cs="宋体"/>
          <w:b/>
          <w:kern w:val="0"/>
          <w:sz w:val="32"/>
          <w:szCs w:val="32"/>
          <w:highlight w:val="none"/>
        </w:rPr>
      </w:pPr>
    </w:p>
    <w:p w14:paraId="03464621">
      <w:pPr>
        <w:snapToGrid w:val="0"/>
        <w:spacing w:line="360" w:lineRule="auto"/>
        <w:ind w:right="480"/>
        <w:jc w:val="center"/>
        <w:rPr>
          <w:rFonts w:ascii="宋体" w:hAnsi="宋体" w:cs="宋体"/>
          <w:b/>
          <w:kern w:val="0"/>
          <w:sz w:val="32"/>
          <w:szCs w:val="32"/>
          <w:highlight w:val="none"/>
        </w:rPr>
      </w:pPr>
    </w:p>
    <w:p w14:paraId="57EBBC6A">
      <w:pPr>
        <w:snapToGrid w:val="0"/>
        <w:spacing w:line="360" w:lineRule="auto"/>
        <w:ind w:right="480"/>
        <w:jc w:val="center"/>
        <w:rPr>
          <w:rFonts w:ascii="宋体" w:hAnsi="宋体" w:cs="宋体"/>
          <w:b/>
          <w:kern w:val="0"/>
          <w:sz w:val="32"/>
          <w:szCs w:val="32"/>
          <w:highlight w:val="none"/>
        </w:rPr>
      </w:pPr>
    </w:p>
    <w:p w14:paraId="47B134FF">
      <w:pPr>
        <w:snapToGrid w:val="0"/>
        <w:spacing w:line="360" w:lineRule="auto"/>
        <w:ind w:right="480"/>
        <w:jc w:val="center"/>
        <w:rPr>
          <w:rFonts w:ascii="宋体" w:hAnsi="宋体" w:cs="宋体"/>
          <w:b/>
          <w:kern w:val="0"/>
          <w:sz w:val="32"/>
          <w:szCs w:val="32"/>
          <w:highlight w:val="none"/>
        </w:rPr>
      </w:pPr>
    </w:p>
    <w:p w14:paraId="1987F89D">
      <w:pPr>
        <w:pStyle w:val="395"/>
        <w:tabs>
          <w:tab w:val="clear" w:pos="720"/>
        </w:tabs>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B407EC5">
      <w:pPr>
        <w:pStyle w:val="395"/>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lang w:eastAsia="zh-CN"/>
        </w:rPr>
        <w:t>一、</w:t>
      </w:r>
      <w:r>
        <w:rPr>
          <w:rFonts w:hint="eastAsia" w:ascii="宋体" w:hAnsi="宋体" w:eastAsia="宋体" w:cs="宋体"/>
          <w:kern w:val="2"/>
          <w:sz w:val="32"/>
          <w:szCs w:val="32"/>
          <w:highlight w:val="none"/>
        </w:rPr>
        <w:t>开标一览表（报价表）</w:t>
      </w:r>
    </w:p>
    <w:p w14:paraId="5BAE135F">
      <w:pPr>
        <w:snapToGrid w:val="0"/>
        <w:spacing w:line="360" w:lineRule="auto"/>
        <w:rPr>
          <w:rFonts w:ascii="宋体" w:hAnsi="宋体" w:cs="宋体"/>
          <w:sz w:val="24"/>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3"/>
        <w:gridCol w:w="1553"/>
        <w:gridCol w:w="3106"/>
        <w:gridCol w:w="1554"/>
      </w:tblGrid>
      <w:tr w14:paraId="758A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53" w:type="dxa"/>
            <w:noWrap w:val="0"/>
            <w:vAlign w:val="center"/>
          </w:tcPr>
          <w:p w14:paraId="1DBD4C1C">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序号</w:t>
            </w:r>
          </w:p>
        </w:tc>
        <w:tc>
          <w:tcPr>
            <w:tcW w:w="1553" w:type="dxa"/>
            <w:noWrap w:val="0"/>
            <w:vAlign w:val="center"/>
          </w:tcPr>
          <w:p w14:paraId="0ADF230E">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设备名称</w:t>
            </w:r>
          </w:p>
        </w:tc>
        <w:tc>
          <w:tcPr>
            <w:tcW w:w="1553" w:type="dxa"/>
            <w:noWrap w:val="0"/>
            <w:vAlign w:val="center"/>
          </w:tcPr>
          <w:p w14:paraId="78F20619">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数量</w:t>
            </w:r>
          </w:p>
        </w:tc>
        <w:tc>
          <w:tcPr>
            <w:tcW w:w="3106" w:type="dxa"/>
            <w:noWrap w:val="0"/>
            <w:vAlign w:val="center"/>
          </w:tcPr>
          <w:p w14:paraId="443CC049">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金额（元）</w:t>
            </w:r>
          </w:p>
          <w:p w14:paraId="682B24DD">
            <w:pPr>
              <w:keepNext w:val="0"/>
              <w:keepLines w:val="0"/>
              <w:widowControl/>
              <w:suppressLineNumbers w:val="0"/>
              <w:jc w:val="center"/>
            </w:pPr>
          </w:p>
        </w:tc>
        <w:tc>
          <w:tcPr>
            <w:tcW w:w="1554" w:type="dxa"/>
            <w:noWrap w:val="0"/>
            <w:vAlign w:val="center"/>
          </w:tcPr>
          <w:p w14:paraId="7D7C0669">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备注</w:t>
            </w:r>
          </w:p>
        </w:tc>
      </w:tr>
      <w:tr w14:paraId="1BE3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53" w:type="dxa"/>
            <w:noWrap w:val="0"/>
            <w:vAlign w:val="center"/>
          </w:tcPr>
          <w:p w14:paraId="441D1D8A">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553" w:type="dxa"/>
            <w:noWrap w:val="0"/>
            <w:vAlign w:val="center"/>
          </w:tcPr>
          <w:p w14:paraId="2AD8E2DF">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泵房设备</w:t>
            </w:r>
          </w:p>
        </w:tc>
        <w:tc>
          <w:tcPr>
            <w:tcW w:w="1553" w:type="dxa"/>
            <w:noWrap w:val="0"/>
            <w:vAlign w:val="center"/>
          </w:tcPr>
          <w:p w14:paraId="7AAAD2FC">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一套</w:t>
            </w:r>
          </w:p>
        </w:tc>
        <w:tc>
          <w:tcPr>
            <w:tcW w:w="3106" w:type="dxa"/>
            <w:noWrap w:val="0"/>
            <w:vAlign w:val="center"/>
          </w:tcPr>
          <w:p w14:paraId="3880B7CE">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554" w:type="dxa"/>
            <w:noWrap w:val="0"/>
            <w:vAlign w:val="center"/>
          </w:tcPr>
          <w:p w14:paraId="59053E4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313A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53" w:type="dxa"/>
            <w:noWrap w:val="0"/>
            <w:vAlign w:val="center"/>
          </w:tcPr>
          <w:p w14:paraId="68B776D7">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553" w:type="dxa"/>
            <w:noWrap w:val="0"/>
            <w:vAlign w:val="center"/>
          </w:tcPr>
          <w:p w14:paraId="78F7EAB8">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仪表</w:t>
            </w:r>
          </w:p>
        </w:tc>
        <w:tc>
          <w:tcPr>
            <w:tcW w:w="1553" w:type="dxa"/>
            <w:noWrap w:val="0"/>
            <w:vAlign w:val="center"/>
          </w:tcPr>
          <w:p w14:paraId="4881519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一套</w:t>
            </w:r>
          </w:p>
        </w:tc>
        <w:tc>
          <w:tcPr>
            <w:tcW w:w="3106" w:type="dxa"/>
            <w:noWrap w:val="0"/>
            <w:vAlign w:val="center"/>
          </w:tcPr>
          <w:p w14:paraId="4643F875">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554" w:type="dxa"/>
            <w:noWrap w:val="0"/>
            <w:vAlign w:val="center"/>
          </w:tcPr>
          <w:p w14:paraId="50CECF9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26CA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53" w:type="dxa"/>
            <w:noWrap w:val="0"/>
            <w:vAlign w:val="center"/>
          </w:tcPr>
          <w:p w14:paraId="44E067C2">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1553" w:type="dxa"/>
            <w:noWrap w:val="0"/>
            <w:vAlign w:val="center"/>
          </w:tcPr>
          <w:p w14:paraId="4708044C">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PLC 控制站</w:t>
            </w:r>
          </w:p>
        </w:tc>
        <w:tc>
          <w:tcPr>
            <w:tcW w:w="1553" w:type="dxa"/>
            <w:noWrap w:val="0"/>
            <w:vAlign w:val="center"/>
          </w:tcPr>
          <w:p w14:paraId="5F0CA26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一套</w:t>
            </w:r>
          </w:p>
        </w:tc>
        <w:tc>
          <w:tcPr>
            <w:tcW w:w="3106" w:type="dxa"/>
            <w:noWrap w:val="0"/>
            <w:vAlign w:val="center"/>
          </w:tcPr>
          <w:p w14:paraId="2276AA15">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554" w:type="dxa"/>
            <w:noWrap w:val="0"/>
            <w:vAlign w:val="center"/>
          </w:tcPr>
          <w:p w14:paraId="3E87E67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6F3B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53" w:type="dxa"/>
            <w:noWrap w:val="0"/>
            <w:vAlign w:val="center"/>
          </w:tcPr>
          <w:p w14:paraId="32359DBB">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1553" w:type="dxa"/>
            <w:noWrap w:val="0"/>
            <w:vAlign w:val="center"/>
          </w:tcPr>
          <w:p w14:paraId="1C980E81">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控制层</w:t>
            </w:r>
          </w:p>
        </w:tc>
        <w:tc>
          <w:tcPr>
            <w:tcW w:w="1553" w:type="dxa"/>
            <w:noWrap w:val="0"/>
            <w:vAlign w:val="center"/>
          </w:tcPr>
          <w:p w14:paraId="5849F7C9">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一套</w:t>
            </w:r>
          </w:p>
        </w:tc>
        <w:tc>
          <w:tcPr>
            <w:tcW w:w="3106" w:type="dxa"/>
            <w:noWrap w:val="0"/>
            <w:vAlign w:val="center"/>
          </w:tcPr>
          <w:p w14:paraId="3EC0D0B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554" w:type="dxa"/>
            <w:noWrap w:val="0"/>
            <w:vAlign w:val="center"/>
          </w:tcPr>
          <w:p w14:paraId="251D60A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6729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53" w:type="dxa"/>
            <w:noWrap w:val="0"/>
            <w:vAlign w:val="center"/>
          </w:tcPr>
          <w:p w14:paraId="669780C6">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1553" w:type="dxa"/>
            <w:noWrap w:val="0"/>
            <w:vAlign w:val="center"/>
          </w:tcPr>
          <w:p w14:paraId="186E66CF">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安防设备</w:t>
            </w:r>
          </w:p>
        </w:tc>
        <w:tc>
          <w:tcPr>
            <w:tcW w:w="1553" w:type="dxa"/>
            <w:noWrap w:val="0"/>
            <w:vAlign w:val="center"/>
          </w:tcPr>
          <w:p w14:paraId="5E1A85EA">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一套</w:t>
            </w:r>
          </w:p>
        </w:tc>
        <w:tc>
          <w:tcPr>
            <w:tcW w:w="3106" w:type="dxa"/>
            <w:noWrap w:val="0"/>
            <w:vAlign w:val="center"/>
          </w:tcPr>
          <w:p w14:paraId="45AC3795">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554" w:type="dxa"/>
            <w:noWrap w:val="0"/>
            <w:vAlign w:val="center"/>
          </w:tcPr>
          <w:p w14:paraId="6990111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29C9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53" w:type="dxa"/>
            <w:noWrap w:val="0"/>
            <w:vAlign w:val="center"/>
          </w:tcPr>
          <w:p w14:paraId="7CDCDCD2">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553" w:type="dxa"/>
            <w:noWrap w:val="0"/>
            <w:vAlign w:val="center"/>
          </w:tcPr>
          <w:p w14:paraId="75B8F565">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控制电缆</w:t>
            </w:r>
          </w:p>
        </w:tc>
        <w:tc>
          <w:tcPr>
            <w:tcW w:w="1553" w:type="dxa"/>
            <w:noWrap w:val="0"/>
            <w:vAlign w:val="center"/>
          </w:tcPr>
          <w:p w14:paraId="2EE2BD94">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一套</w:t>
            </w:r>
          </w:p>
        </w:tc>
        <w:tc>
          <w:tcPr>
            <w:tcW w:w="3106" w:type="dxa"/>
            <w:noWrap w:val="0"/>
            <w:vAlign w:val="center"/>
          </w:tcPr>
          <w:p w14:paraId="29E1F757">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554" w:type="dxa"/>
            <w:noWrap w:val="0"/>
            <w:vAlign w:val="center"/>
          </w:tcPr>
          <w:p w14:paraId="6B885CC5">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312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659" w:type="dxa"/>
            <w:gridSpan w:val="3"/>
            <w:vMerge w:val="restart"/>
            <w:noWrap w:val="0"/>
            <w:vAlign w:val="center"/>
          </w:tcPr>
          <w:p w14:paraId="4C07FC17">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投标总报价（元）</w:t>
            </w:r>
          </w:p>
        </w:tc>
        <w:tc>
          <w:tcPr>
            <w:tcW w:w="4660" w:type="dxa"/>
            <w:gridSpan w:val="2"/>
            <w:noWrap w:val="0"/>
            <w:vAlign w:val="center"/>
          </w:tcPr>
          <w:p w14:paraId="6D0CEAA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小写：</w:t>
            </w:r>
            <w:r>
              <w:rPr>
                <w:rFonts w:hint="eastAsia" w:ascii="宋体" w:hAnsi="宋体" w:eastAsia="宋体" w:cs="宋体"/>
                <w:color w:val="auto"/>
                <w:sz w:val="24"/>
                <w:szCs w:val="24"/>
                <w:highlight w:val="none"/>
              </w:rPr>
              <w:t>￥</w:t>
            </w:r>
          </w:p>
        </w:tc>
      </w:tr>
      <w:tr w14:paraId="7B52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659" w:type="dxa"/>
            <w:gridSpan w:val="3"/>
            <w:vMerge w:val="continue"/>
            <w:noWrap w:val="0"/>
            <w:vAlign w:val="center"/>
          </w:tcPr>
          <w:p w14:paraId="40F8A9C4">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4660" w:type="dxa"/>
            <w:gridSpan w:val="2"/>
            <w:noWrap w:val="0"/>
            <w:vAlign w:val="center"/>
          </w:tcPr>
          <w:p w14:paraId="4E07211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大写：</w:t>
            </w:r>
            <w:r>
              <w:rPr>
                <w:rFonts w:hint="eastAsia" w:ascii="宋体" w:hAnsi="宋体" w:eastAsia="宋体" w:cs="宋体"/>
                <w:color w:val="auto"/>
                <w:sz w:val="24"/>
                <w:szCs w:val="24"/>
                <w:highlight w:val="none"/>
              </w:rPr>
              <w:t xml:space="preserve">人民币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元整</w:t>
            </w:r>
          </w:p>
          <w:p w14:paraId="698F4AC8">
            <w:pPr>
              <w:keepNext w:val="0"/>
              <w:keepLines w:val="0"/>
              <w:widowControl/>
              <w:suppressLineNumbers w:val="0"/>
              <w:jc w:val="both"/>
              <w:rPr>
                <w:rFonts w:hint="eastAsia" w:ascii="宋体" w:hAnsi="宋体" w:eastAsia="宋体" w:cs="宋体"/>
                <w:color w:val="000000"/>
                <w:kern w:val="0"/>
                <w:sz w:val="24"/>
                <w:szCs w:val="24"/>
                <w:lang w:val="en-US" w:eastAsia="zh-CN" w:bidi="ar"/>
              </w:rPr>
            </w:pPr>
          </w:p>
        </w:tc>
      </w:tr>
    </w:tbl>
    <w:p w14:paraId="7087EEB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大写总价与小写总价不一致，以大写总价为准。</w:t>
      </w:r>
    </w:p>
    <w:p w14:paraId="0915BB61">
      <w:pPr>
        <w:keepNext w:val="0"/>
        <w:keepLines w:val="0"/>
        <w:pageBreakBefore w:val="0"/>
        <w:widowControl/>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 xml:space="preserve"> 2、</w:t>
      </w:r>
      <w:r>
        <w:rPr>
          <w:rFonts w:hint="eastAsia" w:ascii="宋体" w:hAnsi="宋体" w:eastAsia="宋体" w:cs="宋体"/>
          <w:color w:val="auto"/>
          <w:sz w:val="24"/>
          <w:highlight w:val="none"/>
        </w:rPr>
        <w:t>投标报价应是唯一的，招标方将拒绝有选择的报价。</w:t>
      </w:r>
    </w:p>
    <w:p w14:paraId="24A803EC">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宋体" w:hAnsi="宋体" w:eastAsia="宋体" w:cs="宋体"/>
          <w:b/>
          <w:bCs/>
          <w:color w:val="auto"/>
          <w:sz w:val="24"/>
          <w:szCs w:val="24"/>
          <w:highlight w:val="none"/>
          <w:lang w:eastAsia="zh-CN"/>
        </w:rPr>
      </w:pPr>
    </w:p>
    <w:p w14:paraId="58DECBEF">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w:t>
      </w:r>
      <w:r>
        <w:rPr>
          <w:rFonts w:hint="eastAsia" w:ascii="宋体" w:hAnsi="宋体" w:cs="宋体"/>
          <w:color w:val="000000"/>
          <w:sz w:val="24"/>
          <w:highlight w:val="none"/>
        </w:rPr>
        <w:t>单位公章或电子公章</w:t>
      </w:r>
      <w:r>
        <w:rPr>
          <w:rFonts w:hint="eastAsia" w:ascii="宋体" w:hAnsi="宋体" w:eastAsia="宋体" w:cs="宋体"/>
          <w:color w:val="auto"/>
          <w:kern w:val="0"/>
          <w:sz w:val="24"/>
          <w:highlight w:val="none"/>
          <w:lang w:val="zh-CN"/>
        </w:rPr>
        <w:t>）：</w:t>
      </w:r>
    </w:p>
    <w:p w14:paraId="757E0FE1">
      <w:pPr>
        <w:numPr>
          <w:ilvl w:val="-1"/>
          <w:numId w:val="0"/>
        </w:numPr>
        <w:spacing w:line="240" w:lineRule="auto"/>
        <w:jc w:val="right"/>
        <w:rPr>
          <w:rFonts w:hint="eastAsia" w:ascii="宋体" w:hAnsi="宋体" w:eastAsia="宋体" w:cs="宋体"/>
          <w:b/>
          <w:color w:val="auto"/>
          <w:kern w:val="0"/>
          <w:sz w:val="28"/>
          <w:szCs w:val="28"/>
          <w:highlight w:val="none"/>
          <w:lang w:eastAsia="zh-CN"/>
        </w:rPr>
      </w:pPr>
      <w:r>
        <w:rPr>
          <w:rFonts w:hint="eastAsia" w:ascii="宋体" w:hAnsi="宋体" w:eastAsia="宋体" w:cs="宋体"/>
          <w:color w:val="auto"/>
          <w:kern w:val="0"/>
          <w:sz w:val="24"/>
          <w:highlight w:val="none"/>
          <w:lang w:val="zh-CN"/>
        </w:rPr>
        <w:t xml:space="preserve"> 日期：20  年  月   日 </w:t>
      </w:r>
      <w:r>
        <w:rPr>
          <w:rFonts w:hint="eastAsia" w:ascii="宋体" w:hAnsi="宋体" w:eastAsia="宋体" w:cs="宋体"/>
          <w:b/>
          <w:color w:val="auto"/>
          <w:kern w:val="0"/>
          <w:sz w:val="28"/>
          <w:szCs w:val="28"/>
          <w:highlight w:val="none"/>
          <w:lang w:eastAsia="zh-CN"/>
        </w:rPr>
        <w:br w:type="page"/>
      </w:r>
    </w:p>
    <w:p w14:paraId="3150E9A7">
      <w:pPr>
        <w:numPr>
          <w:ilvl w:val="-1"/>
          <w:numId w:val="0"/>
        </w:numPr>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eastAsia="zh-CN"/>
        </w:rPr>
        <w:t>二、</w:t>
      </w:r>
      <w:r>
        <w:rPr>
          <w:rFonts w:hint="eastAsia" w:ascii="宋体" w:hAnsi="宋体" w:eastAsia="宋体" w:cs="宋体"/>
          <w:b/>
          <w:color w:val="auto"/>
          <w:kern w:val="0"/>
          <w:sz w:val="28"/>
          <w:szCs w:val="28"/>
          <w:highlight w:val="none"/>
        </w:rPr>
        <w:t>分 项 报 价 表</w:t>
      </w:r>
    </w:p>
    <w:p w14:paraId="1EDDEA05">
      <w:pPr>
        <w:pageBreakBefore w:val="0"/>
        <w:kinsoku/>
        <w:overflowPunct/>
        <w:topLinePunct w:val="0"/>
        <w:autoSpaceDE w:val="0"/>
        <w:autoSpaceDN w:val="0"/>
        <w:bidi w:val="0"/>
        <w:adjustRightInd w:val="0"/>
        <w:snapToGrid/>
        <w:spacing w:line="360" w:lineRule="auto"/>
        <w:textAlignment w:val="auto"/>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项目名称</w:t>
      </w:r>
      <w:r>
        <w:rPr>
          <w:rFonts w:hint="eastAsia" w:ascii="宋体" w:hAnsi="宋体" w:eastAsia="宋体" w:cs="宋体"/>
          <w:b/>
          <w:color w:val="auto"/>
          <w:kern w:val="0"/>
          <w:sz w:val="24"/>
          <w:highlight w:val="none"/>
          <w:lang w:eastAsia="zh-CN"/>
        </w:rPr>
        <w:t>：</w:t>
      </w:r>
    </w:p>
    <w:p w14:paraId="0B794012">
      <w:pPr>
        <w:autoSpaceDE w:val="0"/>
        <w:autoSpaceDN w:val="0"/>
        <w:adjustRightInd w:val="0"/>
        <w:spacing w:line="360" w:lineRule="auto"/>
        <w:rPr>
          <w:rFonts w:hint="eastAsia" w:ascii="宋体" w:hAnsi="宋体" w:eastAsia="宋体" w:cs="宋体"/>
          <w:highlight w:val="none"/>
        </w:rPr>
      </w:pPr>
      <w:r>
        <w:rPr>
          <w:rFonts w:hint="eastAsia" w:ascii="宋体" w:hAnsi="宋体" w:eastAsia="宋体" w:cs="宋体"/>
          <w:b/>
          <w:color w:val="auto"/>
          <w:kern w:val="0"/>
          <w:sz w:val="24"/>
          <w:highlight w:val="none"/>
          <w:lang w:val="en-US" w:eastAsia="zh-CN"/>
        </w:rPr>
        <w:t>项目</w:t>
      </w:r>
      <w:r>
        <w:rPr>
          <w:rFonts w:hint="eastAsia" w:ascii="宋体" w:hAnsi="宋体" w:eastAsia="宋体" w:cs="宋体"/>
          <w:b/>
          <w:color w:val="auto"/>
          <w:kern w:val="0"/>
          <w:sz w:val="24"/>
          <w:highlight w:val="none"/>
        </w:rPr>
        <w:t>编号：</w:t>
      </w:r>
    </w:p>
    <w:tbl>
      <w:tblPr>
        <w:tblStyle w:val="63"/>
        <w:tblW w:w="0" w:type="auto"/>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592"/>
        <w:gridCol w:w="1818"/>
        <w:gridCol w:w="616"/>
        <w:gridCol w:w="665"/>
        <w:gridCol w:w="1397"/>
        <w:gridCol w:w="985"/>
        <w:gridCol w:w="985"/>
        <w:gridCol w:w="985"/>
      </w:tblGrid>
      <w:tr w14:paraId="0D23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center"/>
          </w:tcPr>
          <w:p w14:paraId="605C3C46">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i w:val="0"/>
                <w:color w:val="000000"/>
                <w:kern w:val="0"/>
                <w:sz w:val="21"/>
                <w:szCs w:val="21"/>
                <w:highlight w:val="none"/>
                <w:u w:val="none"/>
                <w:lang w:val="en-US" w:eastAsia="zh-CN" w:bidi="ar-SA"/>
              </w:rPr>
              <w:t>序号</w:t>
            </w:r>
          </w:p>
        </w:tc>
        <w:tc>
          <w:tcPr>
            <w:tcW w:w="1592" w:type="dxa"/>
            <w:shd w:val="clear" w:color="FFFFFF" w:fill="FFFFFF"/>
            <w:noWrap w:val="0"/>
            <w:vAlign w:val="center"/>
          </w:tcPr>
          <w:p w14:paraId="768C6B4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名称</w:t>
            </w:r>
          </w:p>
        </w:tc>
        <w:tc>
          <w:tcPr>
            <w:tcW w:w="1818" w:type="dxa"/>
            <w:shd w:val="clear" w:color="FFFFFF" w:fill="FFFFFF"/>
            <w:noWrap w:val="0"/>
            <w:vAlign w:val="center"/>
          </w:tcPr>
          <w:p w14:paraId="1E1FA11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规格</w:t>
            </w:r>
          </w:p>
        </w:tc>
        <w:tc>
          <w:tcPr>
            <w:tcW w:w="616" w:type="dxa"/>
            <w:shd w:val="clear" w:color="FFFFFF" w:fill="FFFFFF"/>
            <w:noWrap w:val="0"/>
            <w:vAlign w:val="center"/>
          </w:tcPr>
          <w:p w14:paraId="3476C1C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单位</w:t>
            </w:r>
          </w:p>
        </w:tc>
        <w:tc>
          <w:tcPr>
            <w:tcW w:w="665" w:type="dxa"/>
            <w:shd w:val="clear" w:color="FFFFFF" w:fill="FFFFFF"/>
            <w:noWrap w:val="0"/>
            <w:vAlign w:val="center"/>
          </w:tcPr>
          <w:p w14:paraId="7306C66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数量</w:t>
            </w:r>
          </w:p>
        </w:tc>
        <w:tc>
          <w:tcPr>
            <w:tcW w:w="1397" w:type="dxa"/>
            <w:shd w:val="clear" w:color="FFFFFF" w:fill="FFFFFF"/>
            <w:noWrap w:val="0"/>
            <w:vAlign w:val="center"/>
          </w:tcPr>
          <w:p w14:paraId="78E1F51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备注</w:t>
            </w:r>
          </w:p>
        </w:tc>
        <w:tc>
          <w:tcPr>
            <w:tcW w:w="985" w:type="dxa"/>
            <w:shd w:val="clear" w:color="FFFFFF" w:fill="FFFFFF"/>
            <w:noWrap w:val="0"/>
            <w:vAlign w:val="center"/>
          </w:tcPr>
          <w:p w14:paraId="2CD81DA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综合单价（元）</w:t>
            </w:r>
          </w:p>
        </w:tc>
        <w:tc>
          <w:tcPr>
            <w:tcW w:w="985" w:type="dxa"/>
            <w:shd w:val="clear" w:color="FFFFFF" w:fill="FFFFFF"/>
            <w:noWrap w:val="0"/>
            <w:vAlign w:val="center"/>
          </w:tcPr>
          <w:p w14:paraId="25D7911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小计（元）</w:t>
            </w:r>
          </w:p>
        </w:tc>
        <w:tc>
          <w:tcPr>
            <w:tcW w:w="985" w:type="dxa"/>
            <w:shd w:val="clear" w:color="FFFFFF" w:fill="FFFFFF"/>
            <w:noWrap w:val="0"/>
            <w:vAlign w:val="center"/>
          </w:tcPr>
          <w:p w14:paraId="6E0B774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品牌</w:t>
            </w:r>
          </w:p>
        </w:tc>
      </w:tr>
      <w:tr w14:paraId="752E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057" w:type="dxa"/>
            <w:gridSpan w:val="9"/>
            <w:noWrap w:val="0"/>
            <w:vAlign w:val="center"/>
          </w:tcPr>
          <w:p w14:paraId="1668D51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泵房设备</w:t>
            </w:r>
          </w:p>
        </w:tc>
      </w:tr>
      <w:tr w14:paraId="1BCA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14" w:type="dxa"/>
            <w:shd w:val="clear" w:color="auto" w:fill="auto"/>
            <w:noWrap w:val="0"/>
            <w:vAlign w:val="center"/>
          </w:tcPr>
          <w:p w14:paraId="4E92E67C">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auto" w:fill="FFFFFF"/>
            <w:noWrap w:val="0"/>
            <w:vAlign w:val="center"/>
          </w:tcPr>
          <w:p w14:paraId="08CA580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潜水泵</w:t>
            </w:r>
          </w:p>
        </w:tc>
        <w:tc>
          <w:tcPr>
            <w:tcW w:w="1818" w:type="dxa"/>
            <w:shd w:val="clear" w:color="FFFFFF" w:fill="FFFFFF"/>
            <w:noWrap w:val="0"/>
            <w:vAlign w:val="center"/>
          </w:tcPr>
          <w:p w14:paraId="34C2328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Q=1875m 3 /h,H=10m P=75kW</w:t>
            </w:r>
          </w:p>
        </w:tc>
        <w:tc>
          <w:tcPr>
            <w:tcW w:w="616" w:type="dxa"/>
            <w:shd w:val="clear" w:color="auto" w:fill="FFFFFF"/>
            <w:noWrap w:val="0"/>
            <w:vAlign w:val="center"/>
          </w:tcPr>
          <w:p w14:paraId="1F00DBE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台</w:t>
            </w:r>
          </w:p>
        </w:tc>
        <w:tc>
          <w:tcPr>
            <w:tcW w:w="665" w:type="dxa"/>
            <w:shd w:val="clear" w:color="auto" w:fill="FFFFFF"/>
            <w:noWrap w:val="0"/>
            <w:vAlign w:val="center"/>
          </w:tcPr>
          <w:p w14:paraId="15B3B28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w:t>
            </w:r>
          </w:p>
        </w:tc>
        <w:tc>
          <w:tcPr>
            <w:tcW w:w="1397" w:type="dxa"/>
            <w:shd w:val="clear" w:color="FFFFFF" w:fill="FFFFFF"/>
            <w:noWrap w:val="0"/>
            <w:vAlign w:val="center"/>
          </w:tcPr>
          <w:p w14:paraId="5FAE763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含水泵底座、导杆、</w:t>
            </w:r>
            <w:r>
              <w:rPr>
                <w:rFonts w:hint="eastAsia" w:ascii="宋体" w:hAnsi="宋体" w:cs="宋体"/>
                <w:i w:val="0"/>
                <w:color w:val="000000"/>
                <w:kern w:val="0"/>
                <w:sz w:val="21"/>
                <w:szCs w:val="21"/>
                <w:highlight w:val="none"/>
                <w:u w:val="none"/>
                <w:lang w:val="en-US" w:eastAsia="zh-CN" w:bidi="ar-SA"/>
              </w:rPr>
              <w:t>不锈钢吊链、</w:t>
            </w:r>
            <w:r>
              <w:rPr>
                <w:rFonts w:hint="eastAsia" w:ascii="宋体" w:hAnsi="宋体" w:eastAsia="宋体" w:cs="宋体"/>
                <w:i w:val="0"/>
                <w:color w:val="000000"/>
                <w:kern w:val="0"/>
                <w:sz w:val="21"/>
                <w:szCs w:val="21"/>
                <w:highlight w:val="none"/>
                <w:u w:val="none"/>
                <w:lang w:val="en-US" w:eastAsia="zh-CN" w:bidi="ar-SA"/>
              </w:rPr>
              <w:t>预埋件等安装配件,4用2备</w:t>
            </w:r>
          </w:p>
        </w:tc>
        <w:tc>
          <w:tcPr>
            <w:tcW w:w="985" w:type="dxa"/>
            <w:shd w:val="clear" w:color="FFFFFF" w:fill="FFFFFF"/>
            <w:noWrap w:val="0"/>
            <w:vAlign w:val="center"/>
          </w:tcPr>
          <w:p w14:paraId="62AE605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5745AF9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580CB19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65B2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14" w:type="dxa"/>
            <w:shd w:val="clear" w:color="auto" w:fill="auto"/>
            <w:noWrap w:val="0"/>
            <w:vAlign w:val="center"/>
          </w:tcPr>
          <w:p w14:paraId="1CC8531A">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auto" w:fill="FFFFFF"/>
            <w:noWrap w:val="0"/>
            <w:vAlign w:val="center"/>
          </w:tcPr>
          <w:p w14:paraId="446EF73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水泵变频控制柜</w:t>
            </w:r>
          </w:p>
        </w:tc>
        <w:tc>
          <w:tcPr>
            <w:tcW w:w="1818" w:type="dxa"/>
            <w:shd w:val="clear" w:color="FFFFFF" w:fill="FFFFFF"/>
            <w:noWrap w:val="0"/>
            <w:vAlign w:val="center"/>
          </w:tcPr>
          <w:p w14:paraId="793D8D6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800*600*2200</w:t>
            </w:r>
          </w:p>
        </w:tc>
        <w:tc>
          <w:tcPr>
            <w:tcW w:w="616" w:type="dxa"/>
            <w:shd w:val="clear" w:color="auto" w:fill="FFFFFF"/>
            <w:noWrap w:val="0"/>
            <w:vAlign w:val="center"/>
          </w:tcPr>
          <w:p w14:paraId="1ADA186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台</w:t>
            </w:r>
          </w:p>
        </w:tc>
        <w:tc>
          <w:tcPr>
            <w:tcW w:w="665" w:type="dxa"/>
            <w:shd w:val="clear" w:color="auto" w:fill="FFFFFF"/>
            <w:noWrap w:val="0"/>
            <w:vAlign w:val="center"/>
          </w:tcPr>
          <w:p w14:paraId="42254C3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w:t>
            </w:r>
          </w:p>
        </w:tc>
        <w:tc>
          <w:tcPr>
            <w:tcW w:w="1397" w:type="dxa"/>
            <w:shd w:val="clear" w:color="FFFFFF" w:fill="FFFFFF"/>
            <w:noWrap w:val="0"/>
            <w:vAlign w:val="center"/>
          </w:tcPr>
          <w:p w14:paraId="23CDC47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含变频器及所有柜内电气元件，变频器功率需满足潜水泵使用需求</w:t>
            </w:r>
          </w:p>
        </w:tc>
        <w:tc>
          <w:tcPr>
            <w:tcW w:w="985" w:type="dxa"/>
            <w:shd w:val="clear" w:color="FFFFFF" w:fill="FFFFFF"/>
            <w:noWrap w:val="0"/>
            <w:vAlign w:val="center"/>
          </w:tcPr>
          <w:p w14:paraId="215858B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08C34F2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1573FC0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5519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014" w:type="dxa"/>
            <w:shd w:val="clear" w:color="auto" w:fill="auto"/>
            <w:noWrap w:val="0"/>
            <w:vAlign w:val="center"/>
          </w:tcPr>
          <w:p w14:paraId="1B5C7153">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auto" w:fill="FFFFFF"/>
            <w:noWrap w:val="0"/>
            <w:vAlign w:val="center"/>
          </w:tcPr>
          <w:p w14:paraId="327A245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GH型回转式格栅除污机</w:t>
            </w:r>
          </w:p>
        </w:tc>
        <w:tc>
          <w:tcPr>
            <w:tcW w:w="1818" w:type="dxa"/>
            <w:shd w:val="clear" w:color="FFFFFF" w:fill="FFFFFF"/>
            <w:noWrap w:val="0"/>
            <w:vAlign w:val="center"/>
          </w:tcPr>
          <w:p w14:paraId="5410EED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B=1500mm,b=16mm,α=75°,N=3KW</w:t>
            </w:r>
          </w:p>
        </w:tc>
        <w:tc>
          <w:tcPr>
            <w:tcW w:w="616" w:type="dxa"/>
            <w:shd w:val="clear" w:color="auto" w:fill="FFFFFF"/>
            <w:noWrap w:val="0"/>
            <w:vAlign w:val="center"/>
          </w:tcPr>
          <w:p w14:paraId="1B62650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665" w:type="dxa"/>
            <w:shd w:val="clear" w:color="auto" w:fill="FFFFFF"/>
            <w:noWrap w:val="0"/>
            <w:vAlign w:val="center"/>
          </w:tcPr>
          <w:p w14:paraId="7708A4E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w:t>
            </w:r>
          </w:p>
        </w:tc>
        <w:tc>
          <w:tcPr>
            <w:tcW w:w="1397" w:type="dxa"/>
            <w:shd w:val="clear" w:color="FFFFFF" w:fill="FFFFFF"/>
            <w:noWrap w:val="0"/>
            <w:vAlign w:val="center"/>
          </w:tcPr>
          <w:p w14:paraId="3F5F254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渠道宽1800mm,泵池深度约7.5m，含就地控制箱（格栅、输送机、压榨机）</w:t>
            </w:r>
          </w:p>
        </w:tc>
        <w:tc>
          <w:tcPr>
            <w:tcW w:w="985" w:type="dxa"/>
            <w:shd w:val="clear" w:color="FFFFFF" w:fill="FFFFFF"/>
            <w:noWrap w:val="0"/>
            <w:vAlign w:val="center"/>
          </w:tcPr>
          <w:p w14:paraId="6642B8D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3878323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190A4C2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576A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center"/>
          </w:tcPr>
          <w:p w14:paraId="2E781C6B">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auto" w:fill="FFFFFF"/>
            <w:noWrap w:val="0"/>
            <w:vAlign w:val="center"/>
          </w:tcPr>
          <w:p w14:paraId="2066585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螺旋输送机</w:t>
            </w:r>
          </w:p>
        </w:tc>
        <w:tc>
          <w:tcPr>
            <w:tcW w:w="1818" w:type="dxa"/>
            <w:shd w:val="clear" w:color="FFFFFF" w:fill="FFFFFF"/>
            <w:noWrap w:val="0"/>
            <w:vAlign w:val="center"/>
          </w:tcPr>
          <w:p w14:paraId="76FA3FB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N=1.5KW，L=10m</w:t>
            </w:r>
          </w:p>
        </w:tc>
        <w:tc>
          <w:tcPr>
            <w:tcW w:w="616" w:type="dxa"/>
            <w:shd w:val="clear" w:color="FFFFFF" w:fill="FFFFFF"/>
            <w:noWrap w:val="0"/>
            <w:vAlign w:val="center"/>
          </w:tcPr>
          <w:p w14:paraId="70C96EE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665" w:type="dxa"/>
            <w:shd w:val="clear" w:color="FFFFFF" w:fill="FFFFFF"/>
            <w:noWrap w:val="0"/>
            <w:vAlign w:val="center"/>
          </w:tcPr>
          <w:p w14:paraId="23D57FB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1397" w:type="dxa"/>
            <w:shd w:val="clear" w:color="FFFFFF" w:fill="FFFFFF"/>
            <w:noWrap w:val="0"/>
            <w:vAlign w:val="center"/>
          </w:tcPr>
          <w:p w14:paraId="4623CE6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处理量1.2m3/h</w:t>
            </w:r>
          </w:p>
        </w:tc>
        <w:tc>
          <w:tcPr>
            <w:tcW w:w="985" w:type="dxa"/>
            <w:shd w:val="clear" w:color="FFFFFF" w:fill="FFFFFF"/>
            <w:noWrap w:val="0"/>
            <w:vAlign w:val="center"/>
          </w:tcPr>
          <w:p w14:paraId="70E5B8E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04C0935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7E9E5FD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53C8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center"/>
          </w:tcPr>
          <w:p w14:paraId="792E48F6">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auto" w:fill="FFFFFF"/>
            <w:noWrap w:val="0"/>
            <w:vAlign w:val="center"/>
          </w:tcPr>
          <w:p w14:paraId="6768ECC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螺旋压榨机</w:t>
            </w:r>
          </w:p>
        </w:tc>
        <w:tc>
          <w:tcPr>
            <w:tcW w:w="1818" w:type="dxa"/>
            <w:shd w:val="clear" w:color="FFFFFF" w:fill="FFFFFF"/>
            <w:noWrap w:val="0"/>
            <w:vAlign w:val="center"/>
          </w:tcPr>
          <w:p w14:paraId="35C2251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φ=250mm,N=1.5KW</w:t>
            </w:r>
          </w:p>
        </w:tc>
        <w:tc>
          <w:tcPr>
            <w:tcW w:w="616" w:type="dxa"/>
            <w:shd w:val="clear" w:color="FFFFFF" w:fill="FFFFFF"/>
            <w:noWrap w:val="0"/>
            <w:vAlign w:val="center"/>
          </w:tcPr>
          <w:p w14:paraId="2C7BB89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665" w:type="dxa"/>
            <w:shd w:val="clear" w:color="FFFFFF" w:fill="FFFFFF"/>
            <w:noWrap w:val="0"/>
            <w:vAlign w:val="center"/>
          </w:tcPr>
          <w:p w14:paraId="126CDD6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1397" w:type="dxa"/>
            <w:shd w:val="clear" w:color="FFFFFF" w:fill="FFFFFF"/>
            <w:noWrap w:val="0"/>
            <w:vAlign w:val="center"/>
          </w:tcPr>
          <w:p w14:paraId="3831C6E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处理量1.2m3/h</w:t>
            </w:r>
          </w:p>
        </w:tc>
        <w:tc>
          <w:tcPr>
            <w:tcW w:w="985" w:type="dxa"/>
            <w:shd w:val="clear" w:color="FFFFFF" w:fill="FFFFFF"/>
            <w:noWrap w:val="0"/>
            <w:vAlign w:val="center"/>
          </w:tcPr>
          <w:p w14:paraId="3F93D2F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79BBF5F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1216566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3DBD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shd w:val="clear" w:color="auto" w:fill="auto"/>
            <w:noWrap w:val="0"/>
            <w:vAlign w:val="center"/>
          </w:tcPr>
          <w:p w14:paraId="76A6F150">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auto" w:fill="FFFFFF"/>
            <w:noWrap w:val="0"/>
            <w:vAlign w:val="center"/>
          </w:tcPr>
          <w:p w14:paraId="327F503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栅渣小车</w:t>
            </w:r>
          </w:p>
        </w:tc>
        <w:tc>
          <w:tcPr>
            <w:tcW w:w="1818" w:type="dxa"/>
            <w:shd w:val="clear" w:color="FFFFFF" w:fill="FFFFFF"/>
            <w:noWrap w:val="0"/>
            <w:vAlign w:val="center"/>
          </w:tcPr>
          <w:p w14:paraId="7EA3DCD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不锈钢</w:t>
            </w:r>
          </w:p>
        </w:tc>
        <w:tc>
          <w:tcPr>
            <w:tcW w:w="616" w:type="dxa"/>
            <w:shd w:val="clear" w:color="auto" w:fill="FFFFFF"/>
            <w:noWrap w:val="0"/>
            <w:vAlign w:val="center"/>
          </w:tcPr>
          <w:p w14:paraId="0F49043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辆</w:t>
            </w:r>
          </w:p>
        </w:tc>
        <w:tc>
          <w:tcPr>
            <w:tcW w:w="665" w:type="dxa"/>
            <w:shd w:val="clear" w:color="auto" w:fill="FFFFFF"/>
            <w:noWrap w:val="0"/>
            <w:vAlign w:val="center"/>
          </w:tcPr>
          <w:p w14:paraId="51980E0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w:t>
            </w:r>
          </w:p>
        </w:tc>
        <w:tc>
          <w:tcPr>
            <w:tcW w:w="1397" w:type="dxa"/>
            <w:shd w:val="clear" w:color="FFFFFF" w:fill="FFFFFF"/>
            <w:noWrap w:val="0"/>
            <w:vAlign w:val="center"/>
          </w:tcPr>
          <w:p w14:paraId="7117891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V≥0.5m3</w:t>
            </w:r>
          </w:p>
        </w:tc>
        <w:tc>
          <w:tcPr>
            <w:tcW w:w="985" w:type="dxa"/>
            <w:shd w:val="clear" w:color="FFFFFF" w:fill="FFFFFF"/>
            <w:noWrap w:val="0"/>
            <w:vAlign w:val="center"/>
          </w:tcPr>
          <w:p w14:paraId="12FB42D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3AF8FAF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7941F13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697E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14" w:type="dxa"/>
            <w:shd w:val="clear" w:color="auto" w:fill="auto"/>
            <w:noWrap w:val="0"/>
            <w:vAlign w:val="center"/>
          </w:tcPr>
          <w:p w14:paraId="1E1E21B2">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FFFFFF" w:fill="FFFFFF"/>
            <w:noWrap w:val="0"/>
            <w:vAlign w:val="center"/>
          </w:tcPr>
          <w:p w14:paraId="7830FF7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电动蝶阀</w:t>
            </w:r>
          </w:p>
        </w:tc>
        <w:tc>
          <w:tcPr>
            <w:tcW w:w="1818" w:type="dxa"/>
            <w:shd w:val="clear" w:color="FFFFFF" w:fill="FFFFFF"/>
            <w:noWrap w:val="0"/>
            <w:vAlign w:val="center"/>
          </w:tcPr>
          <w:p w14:paraId="708A4C5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DN500</w:t>
            </w:r>
          </w:p>
        </w:tc>
        <w:tc>
          <w:tcPr>
            <w:tcW w:w="616" w:type="dxa"/>
            <w:shd w:val="clear" w:color="auto" w:fill="FFFFFF"/>
            <w:noWrap w:val="0"/>
            <w:vAlign w:val="center"/>
          </w:tcPr>
          <w:p w14:paraId="060A344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665" w:type="dxa"/>
            <w:shd w:val="clear" w:color="auto" w:fill="FFFFFF"/>
            <w:noWrap w:val="0"/>
            <w:vAlign w:val="center"/>
          </w:tcPr>
          <w:p w14:paraId="4903C34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w:t>
            </w:r>
          </w:p>
        </w:tc>
        <w:tc>
          <w:tcPr>
            <w:tcW w:w="1397" w:type="dxa"/>
            <w:noWrap w:val="0"/>
            <w:vAlign w:val="center"/>
          </w:tcPr>
          <w:p w14:paraId="67183713">
            <w:pPr>
              <w:jc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含蝶阀控制柜，电动头延长杆大约为2.7米</w:t>
            </w:r>
          </w:p>
        </w:tc>
        <w:tc>
          <w:tcPr>
            <w:tcW w:w="985" w:type="dxa"/>
            <w:noWrap w:val="0"/>
            <w:vAlign w:val="center"/>
          </w:tcPr>
          <w:p w14:paraId="2F844F5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42394ED">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D58192C">
            <w:pPr>
              <w:jc w:val="center"/>
              <w:rPr>
                <w:rFonts w:hint="eastAsia" w:ascii="宋体" w:hAnsi="宋体" w:eastAsia="宋体" w:cs="宋体"/>
                <w:i w:val="0"/>
                <w:color w:val="000000"/>
                <w:kern w:val="0"/>
                <w:sz w:val="21"/>
                <w:szCs w:val="21"/>
                <w:highlight w:val="none"/>
                <w:u w:val="none"/>
                <w:lang w:val="en-US" w:eastAsia="zh-CN" w:bidi="ar-SA"/>
              </w:rPr>
            </w:pPr>
          </w:p>
        </w:tc>
      </w:tr>
      <w:tr w14:paraId="4E87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shd w:val="clear" w:color="auto" w:fill="auto"/>
            <w:noWrap w:val="0"/>
            <w:vAlign w:val="center"/>
          </w:tcPr>
          <w:p w14:paraId="3A9F91F8">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FFFFFF" w:fill="FFFFFF"/>
            <w:noWrap w:val="0"/>
            <w:vAlign w:val="center"/>
          </w:tcPr>
          <w:p w14:paraId="3D812E5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启闭机</w:t>
            </w:r>
          </w:p>
        </w:tc>
        <w:tc>
          <w:tcPr>
            <w:tcW w:w="1818" w:type="dxa"/>
            <w:shd w:val="clear" w:color="FFFFFF" w:fill="FFFFFF"/>
            <w:noWrap w:val="0"/>
            <w:vAlign w:val="center"/>
          </w:tcPr>
          <w:p w14:paraId="5A279F2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P=1.5KW,W=5T</w:t>
            </w:r>
          </w:p>
        </w:tc>
        <w:tc>
          <w:tcPr>
            <w:tcW w:w="616" w:type="dxa"/>
            <w:shd w:val="clear" w:color="FFFFFF" w:fill="FFFFFF"/>
            <w:noWrap w:val="0"/>
            <w:vAlign w:val="center"/>
          </w:tcPr>
          <w:p w14:paraId="75AEAC6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665" w:type="dxa"/>
            <w:shd w:val="clear" w:color="FFFFFF" w:fill="FFFFFF"/>
            <w:noWrap w:val="0"/>
            <w:vAlign w:val="center"/>
          </w:tcPr>
          <w:p w14:paraId="499B114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w:t>
            </w:r>
          </w:p>
        </w:tc>
        <w:tc>
          <w:tcPr>
            <w:tcW w:w="1397" w:type="dxa"/>
            <w:noWrap w:val="0"/>
            <w:vAlign w:val="center"/>
          </w:tcPr>
          <w:p w14:paraId="724B6D9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手自一体，含就地控制箱</w:t>
            </w:r>
          </w:p>
        </w:tc>
        <w:tc>
          <w:tcPr>
            <w:tcW w:w="985" w:type="dxa"/>
            <w:noWrap w:val="0"/>
            <w:vAlign w:val="center"/>
          </w:tcPr>
          <w:p w14:paraId="21D503C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17D22B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750DED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4647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14" w:type="dxa"/>
            <w:shd w:val="clear" w:color="auto" w:fill="auto"/>
            <w:noWrap w:val="0"/>
            <w:vAlign w:val="center"/>
          </w:tcPr>
          <w:p w14:paraId="63566B1A">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FFFFFF" w:fill="FFFFFF"/>
            <w:noWrap w:val="0"/>
            <w:vAlign w:val="center"/>
          </w:tcPr>
          <w:p w14:paraId="0E3180C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不锈钢闸门</w:t>
            </w:r>
          </w:p>
        </w:tc>
        <w:tc>
          <w:tcPr>
            <w:tcW w:w="1818" w:type="dxa"/>
            <w:shd w:val="clear" w:color="FFFFFF" w:fill="FFFFFF"/>
            <w:noWrap w:val="0"/>
            <w:vAlign w:val="center"/>
          </w:tcPr>
          <w:p w14:paraId="2DEF219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1200mmX1200mm</w:t>
            </w:r>
          </w:p>
        </w:tc>
        <w:tc>
          <w:tcPr>
            <w:tcW w:w="616" w:type="dxa"/>
            <w:shd w:val="clear" w:color="FFFFFF" w:fill="FFFFFF"/>
            <w:noWrap w:val="0"/>
            <w:vAlign w:val="center"/>
          </w:tcPr>
          <w:p w14:paraId="05309D6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665" w:type="dxa"/>
            <w:shd w:val="clear" w:color="FFFFFF" w:fill="FFFFFF"/>
            <w:noWrap w:val="0"/>
            <w:vAlign w:val="center"/>
          </w:tcPr>
          <w:p w14:paraId="76FB345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w:t>
            </w:r>
          </w:p>
        </w:tc>
        <w:tc>
          <w:tcPr>
            <w:tcW w:w="1397" w:type="dxa"/>
            <w:noWrap w:val="0"/>
            <w:vAlign w:val="center"/>
          </w:tcPr>
          <w:p w14:paraId="169EF7D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双向闸门,反向承压能力不小于10m</w:t>
            </w:r>
          </w:p>
        </w:tc>
        <w:tc>
          <w:tcPr>
            <w:tcW w:w="985" w:type="dxa"/>
            <w:noWrap w:val="0"/>
            <w:vAlign w:val="center"/>
          </w:tcPr>
          <w:p w14:paraId="299E794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F7E3DC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503CF1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086C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center"/>
          </w:tcPr>
          <w:p w14:paraId="341DF7D4">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SA"/>
              </w:rPr>
            </w:pPr>
          </w:p>
        </w:tc>
        <w:tc>
          <w:tcPr>
            <w:tcW w:w="1592" w:type="dxa"/>
            <w:shd w:val="clear" w:color="FFFFFF" w:fill="FFFFFF"/>
            <w:noWrap w:val="0"/>
            <w:vAlign w:val="center"/>
          </w:tcPr>
          <w:p w14:paraId="0CE39E6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可曲挠橡胶接头</w:t>
            </w:r>
          </w:p>
        </w:tc>
        <w:tc>
          <w:tcPr>
            <w:tcW w:w="1818" w:type="dxa"/>
            <w:shd w:val="clear" w:color="FFFFFF" w:fill="FFFFFF"/>
            <w:noWrap w:val="0"/>
            <w:vAlign w:val="center"/>
          </w:tcPr>
          <w:p w14:paraId="4563DBB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DN500,PN1.0MPa</w:t>
            </w:r>
          </w:p>
        </w:tc>
        <w:tc>
          <w:tcPr>
            <w:tcW w:w="616" w:type="dxa"/>
            <w:shd w:val="clear" w:color="FFFFFF" w:fill="FFFFFF"/>
            <w:noWrap w:val="0"/>
            <w:vAlign w:val="center"/>
          </w:tcPr>
          <w:p w14:paraId="2F3B43E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只</w:t>
            </w:r>
          </w:p>
        </w:tc>
        <w:tc>
          <w:tcPr>
            <w:tcW w:w="665" w:type="dxa"/>
            <w:shd w:val="clear" w:color="FFFFFF" w:fill="FFFFFF"/>
            <w:noWrap w:val="0"/>
            <w:vAlign w:val="center"/>
          </w:tcPr>
          <w:p w14:paraId="47F9641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6</w:t>
            </w:r>
          </w:p>
        </w:tc>
        <w:tc>
          <w:tcPr>
            <w:tcW w:w="1397" w:type="dxa"/>
            <w:noWrap w:val="0"/>
            <w:vAlign w:val="center"/>
          </w:tcPr>
          <w:p w14:paraId="0295183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SA"/>
              </w:rPr>
            </w:pPr>
          </w:p>
        </w:tc>
        <w:tc>
          <w:tcPr>
            <w:tcW w:w="985" w:type="dxa"/>
            <w:noWrap w:val="0"/>
            <w:vAlign w:val="center"/>
          </w:tcPr>
          <w:p w14:paraId="5DA890F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SA"/>
              </w:rPr>
            </w:pPr>
          </w:p>
        </w:tc>
        <w:tc>
          <w:tcPr>
            <w:tcW w:w="985" w:type="dxa"/>
            <w:noWrap w:val="0"/>
            <w:vAlign w:val="center"/>
          </w:tcPr>
          <w:p w14:paraId="5725CB0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SA"/>
              </w:rPr>
            </w:pPr>
          </w:p>
        </w:tc>
        <w:tc>
          <w:tcPr>
            <w:tcW w:w="985" w:type="dxa"/>
            <w:noWrap w:val="0"/>
            <w:vAlign w:val="center"/>
          </w:tcPr>
          <w:p w14:paraId="6FC9F71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SA"/>
              </w:rPr>
            </w:pPr>
          </w:p>
        </w:tc>
      </w:tr>
      <w:tr w14:paraId="3FC2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center"/>
          </w:tcPr>
          <w:p w14:paraId="56D3710C">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FFFFFF" w:fill="FFFFFF"/>
            <w:noWrap w:val="0"/>
            <w:vAlign w:val="center"/>
          </w:tcPr>
          <w:p w14:paraId="6954BCA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橡胶膜瓣止回阀</w:t>
            </w:r>
          </w:p>
        </w:tc>
        <w:tc>
          <w:tcPr>
            <w:tcW w:w="1818" w:type="dxa"/>
            <w:shd w:val="clear" w:color="FFFFFF" w:fill="FFFFFF"/>
            <w:noWrap w:val="0"/>
            <w:vAlign w:val="center"/>
          </w:tcPr>
          <w:p w14:paraId="73466BF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DN500,PN1.0MPa</w:t>
            </w:r>
          </w:p>
        </w:tc>
        <w:tc>
          <w:tcPr>
            <w:tcW w:w="616" w:type="dxa"/>
            <w:shd w:val="clear" w:color="FFFFFF" w:fill="FFFFFF"/>
            <w:noWrap w:val="0"/>
            <w:vAlign w:val="center"/>
          </w:tcPr>
          <w:p w14:paraId="1EDE8DB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只</w:t>
            </w:r>
          </w:p>
        </w:tc>
        <w:tc>
          <w:tcPr>
            <w:tcW w:w="665" w:type="dxa"/>
            <w:shd w:val="clear" w:color="FFFFFF" w:fill="FFFFFF"/>
            <w:noWrap w:val="0"/>
            <w:vAlign w:val="center"/>
          </w:tcPr>
          <w:p w14:paraId="5284CEB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w:t>
            </w:r>
          </w:p>
        </w:tc>
        <w:tc>
          <w:tcPr>
            <w:tcW w:w="1397" w:type="dxa"/>
            <w:noWrap w:val="0"/>
            <w:vAlign w:val="center"/>
          </w:tcPr>
          <w:p w14:paraId="1D07B09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98B2E6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97F7E0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CCCF975">
            <w:pPr>
              <w:jc w:val="center"/>
              <w:rPr>
                <w:rFonts w:hint="eastAsia" w:ascii="宋体" w:hAnsi="宋体" w:eastAsia="宋体" w:cs="宋体"/>
                <w:i w:val="0"/>
                <w:color w:val="000000"/>
                <w:kern w:val="0"/>
                <w:sz w:val="21"/>
                <w:szCs w:val="21"/>
                <w:highlight w:val="none"/>
                <w:u w:val="none"/>
                <w:lang w:val="en-US" w:eastAsia="zh-CN" w:bidi="ar-SA"/>
              </w:rPr>
            </w:pPr>
          </w:p>
        </w:tc>
      </w:tr>
      <w:tr w14:paraId="3D97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center"/>
          </w:tcPr>
          <w:p w14:paraId="5E723451">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FFFFFF" w:fill="FFFFFF"/>
            <w:noWrap w:val="0"/>
            <w:vAlign w:val="center"/>
          </w:tcPr>
          <w:p w14:paraId="611F2A1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可曲挠橡胶接头</w:t>
            </w:r>
          </w:p>
        </w:tc>
        <w:tc>
          <w:tcPr>
            <w:tcW w:w="1818" w:type="dxa"/>
            <w:shd w:val="clear" w:color="FFFFFF" w:fill="FFFFFF"/>
            <w:noWrap w:val="0"/>
            <w:vAlign w:val="center"/>
          </w:tcPr>
          <w:p w14:paraId="3649DAE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SA"/>
              </w:rPr>
              <w:t>DN1000,PN1.0MPa</w:t>
            </w:r>
          </w:p>
        </w:tc>
        <w:tc>
          <w:tcPr>
            <w:tcW w:w="616" w:type="dxa"/>
            <w:shd w:val="clear" w:color="FFFFFF" w:fill="FFFFFF"/>
            <w:noWrap w:val="0"/>
            <w:vAlign w:val="center"/>
          </w:tcPr>
          <w:p w14:paraId="5DA9D59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只</w:t>
            </w:r>
          </w:p>
        </w:tc>
        <w:tc>
          <w:tcPr>
            <w:tcW w:w="665" w:type="dxa"/>
            <w:shd w:val="clear" w:color="FFFFFF" w:fill="FFFFFF"/>
            <w:noWrap w:val="0"/>
            <w:vAlign w:val="center"/>
          </w:tcPr>
          <w:p w14:paraId="1D2DBDB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w:t>
            </w:r>
          </w:p>
        </w:tc>
        <w:tc>
          <w:tcPr>
            <w:tcW w:w="1397" w:type="dxa"/>
            <w:noWrap w:val="0"/>
            <w:vAlign w:val="center"/>
          </w:tcPr>
          <w:p w14:paraId="2130542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DE4BC00">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3ACA37D">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5467FCA">
            <w:pPr>
              <w:jc w:val="center"/>
              <w:rPr>
                <w:rFonts w:hint="eastAsia" w:ascii="宋体" w:hAnsi="宋体" w:eastAsia="宋体" w:cs="宋体"/>
                <w:i w:val="0"/>
                <w:color w:val="000000"/>
                <w:kern w:val="0"/>
                <w:sz w:val="21"/>
                <w:szCs w:val="21"/>
                <w:highlight w:val="none"/>
                <w:u w:val="none"/>
                <w:lang w:val="en-US" w:eastAsia="zh-CN" w:bidi="ar-SA"/>
              </w:rPr>
            </w:pPr>
          </w:p>
        </w:tc>
      </w:tr>
      <w:tr w14:paraId="7905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shd w:val="clear" w:color="auto" w:fill="auto"/>
            <w:noWrap w:val="0"/>
            <w:vAlign w:val="center"/>
          </w:tcPr>
          <w:p w14:paraId="6E11BC9A">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p>
        </w:tc>
        <w:tc>
          <w:tcPr>
            <w:tcW w:w="1592" w:type="dxa"/>
            <w:shd w:val="clear" w:color="FFFFFF" w:fill="FFFFFF"/>
            <w:noWrap w:val="0"/>
            <w:vAlign w:val="center"/>
          </w:tcPr>
          <w:p w14:paraId="69031EA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泵房桁车检修</w:t>
            </w:r>
          </w:p>
        </w:tc>
        <w:tc>
          <w:tcPr>
            <w:tcW w:w="1818" w:type="dxa"/>
            <w:shd w:val="clear" w:color="FFFFFF" w:fill="FFFFFF"/>
            <w:noWrap w:val="0"/>
            <w:vAlign w:val="center"/>
          </w:tcPr>
          <w:p w14:paraId="3D4761C7">
            <w:pPr>
              <w:jc w:val="center"/>
              <w:rPr>
                <w:rFonts w:hint="eastAsia" w:ascii="宋体" w:hAnsi="宋体" w:eastAsia="宋体" w:cs="宋体"/>
                <w:i w:val="0"/>
                <w:color w:val="000000"/>
                <w:kern w:val="0"/>
                <w:sz w:val="21"/>
                <w:szCs w:val="21"/>
                <w:highlight w:val="none"/>
                <w:u w:val="none"/>
                <w:lang w:val="en-US" w:eastAsia="zh-CN" w:bidi="ar-SA"/>
              </w:rPr>
            </w:pPr>
          </w:p>
        </w:tc>
        <w:tc>
          <w:tcPr>
            <w:tcW w:w="616" w:type="dxa"/>
            <w:shd w:val="clear" w:color="FFFFFF" w:fill="FFFFFF"/>
            <w:noWrap w:val="0"/>
            <w:vAlign w:val="center"/>
          </w:tcPr>
          <w:p w14:paraId="052A6AF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项</w:t>
            </w:r>
          </w:p>
        </w:tc>
        <w:tc>
          <w:tcPr>
            <w:tcW w:w="665" w:type="dxa"/>
            <w:shd w:val="clear" w:color="FFFFFF" w:fill="FFFFFF"/>
            <w:noWrap w:val="0"/>
            <w:vAlign w:val="center"/>
          </w:tcPr>
          <w:p w14:paraId="2CE2F81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1397" w:type="dxa"/>
            <w:noWrap w:val="0"/>
            <w:vAlign w:val="center"/>
          </w:tcPr>
          <w:p w14:paraId="18CA6B1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原泵房</w:t>
            </w:r>
            <w:r>
              <w:rPr>
                <w:rFonts w:hint="eastAsia" w:ascii="宋体" w:hAnsi="宋体" w:eastAsia="宋体" w:cs="宋体"/>
                <w:i w:val="0"/>
                <w:color w:val="000000"/>
                <w:kern w:val="0"/>
                <w:sz w:val="21"/>
                <w:szCs w:val="21"/>
                <w:highlight w:val="none"/>
                <w:u w:val="none"/>
                <w:lang w:val="en-US" w:eastAsia="zh-CN" w:bidi="ar-SA"/>
              </w:rPr>
              <w:t>桁车检修</w:t>
            </w:r>
            <w:r>
              <w:rPr>
                <w:rFonts w:hint="eastAsia" w:ascii="宋体" w:hAnsi="宋体" w:cs="宋体"/>
                <w:i w:val="0"/>
                <w:color w:val="000000"/>
                <w:kern w:val="0"/>
                <w:sz w:val="21"/>
                <w:szCs w:val="21"/>
                <w:highlight w:val="none"/>
                <w:u w:val="none"/>
                <w:lang w:val="en-US" w:eastAsia="zh-CN" w:bidi="ar-SA"/>
              </w:rPr>
              <w:t>，含维修所需配件</w:t>
            </w:r>
          </w:p>
        </w:tc>
        <w:tc>
          <w:tcPr>
            <w:tcW w:w="985" w:type="dxa"/>
            <w:noWrap w:val="0"/>
            <w:vAlign w:val="center"/>
          </w:tcPr>
          <w:p w14:paraId="1D179411">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SA"/>
              </w:rPr>
            </w:pPr>
          </w:p>
        </w:tc>
        <w:tc>
          <w:tcPr>
            <w:tcW w:w="985" w:type="dxa"/>
            <w:noWrap w:val="0"/>
            <w:vAlign w:val="center"/>
          </w:tcPr>
          <w:p w14:paraId="212A4BD8">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SA"/>
              </w:rPr>
            </w:pPr>
          </w:p>
        </w:tc>
        <w:tc>
          <w:tcPr>
            <w:tcW w:w="985" w:type="dxa"/>
            <w:noWrap w:val="0"/>
            <w:vAlign w:val="center"/>
          </w:tcPr>
          <w:p w14:paraId="74168123">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SA"/>
              </w:rPr>
            </w:pPr>
          </w:p>
        </w:tc>
      </w:tr>
      <w:tr w14:paraId="48C2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057" w:type="dxa"/>
            <w:gridSpan w:val="9"/>
            <w:noWrap w:val="0"/>
            <w:vAlign w:val="center"/>
          </w:tcPr>
          <w:p w14:paraId="5422B86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仪表</w:t>
            </w:r>
          </w:p>
        </w:tc>
      </w:tr>
      <w:tr w14:paraId="47B6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14" w:type="dxa"/>
            <w:shd w:val="clear" w:color="auto" w:fill="auto"/>
            <w:noWrap w:val="0"/>
            <w:vAlign w:val="center"/>
          </w:tcPr>
          <w:p w14:paraId="1BA86B5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1592" w:type="dxa"/>
            <w:shd w:val="clear" w:color="FFFFFF" w:fill="FFFFFF"/>
            <w:noWrap w:val="0"/>
            <w:vAlign w:val="center"/>
          </w:tcPr>
          <w:p w14:paraId="69DCA2A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电磁流量计</w:t>
            </w:r>
          </w:p>
        </w:tc>
        <w:tc>
          <w:tcPr>
            <w:tcW w:w="1818" w:type="dxa"/>
            <w:shd w:val="clear" w:color="FFFFFF" w:fill="FFFFFF"/>
            <w:noWrap w:val="0"/>
            <w:vAlign w:val="center"/>
          </w:tcPr>
          <w:p w14:paraId="3FD02BF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污水用，</w:t>
            </w:r>
            <w:r>
              <w:rPr>
                <w:rFonts w:hint="eastAsia" w:ascii="宋体" w:hAnsi="宋体" w:eastAsia="宋体" w:cs="宋体"/>
                <w:i w:val="0"/>
                <w:color w:val="000000"/>
                <w:kern w:val="0"/>
                <w:sz w:val="21"/>
                <w:szCs w:val="21"/>
                <w:highlight w:val="none"/>
                <w:u w:val="none"/>
                <w:lang w:val="en-US" w:eastAsia="zh-CN" w:bidi="ar-SA"/>
              </w:rPr>
              <w:t>分体式, DN1000</w:t>
            </w:r>
          </w:p>
        </w:tc>
        <w:tc>
          <w:tcPr>
            <w:tcW w:w="616" w:type="dxa"/>
            <w:shd w:val="clear" w:color="FFFFFF" w:fill="FFFFFF"/>
            <w:noWrap w:val="0"/>
            <w:vAlign w:val="center"/>
          </w:tcPr>
          <w:p w14:paraId="2F18033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shd w:val="clear" w:color="FFFFFF" w:fill="FFFFFF"/>
            <w:noWrap w:val="0"/>
            <w:vAlign w:val="center"/>
          </w:tcPr>
          <w:p w14:paraId="382C8FA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2B1B7167">
            <w:pPr>
              <w:jc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SA"/>
              </w:rPr>
              <w:t>含安装附件，流量计信号线长度大约</w:t>
            </w:r>
            <w:r>
              <w:rPr>
                <w:rFonts w:hint="eastAsia" w:ascii="宋体" w:hAnsi="宋体" w:cs="宋体"/>
                <w:i w:val="0"/>
                <w:color w:val="000000"/>
                <w:kern w:val="0"/>
                <w:sz w:val="21"/>
                <w:szCs w:val="21"/>
                <w:u w:val="none"/>
                <w:lang w:val="en-US" w:eastAsia="zh-CN" w:bidi="ar-SA"/>
              </w:rPr>
              <w:t>3</w:t>
            </w:r>
            <w:r>
              <w:rPr>
                <w:rFonts w:hint="eastAsia" w:ascii="宋体" w:hAnsi="宋体" w:eastAsia="宋体" w:cs="宋体"/>
                <w:i w:val="0"/>
                <w:color w:val="000000"/>
                <w:kern w:val="0"/>
                <w:sz w:val="21"/>
                <w:szCs w:val="21"/>
                <w:u w:val="none"/>
                <w:lang w:val="en-US" w:eastAsia="zh-CN" w:bidi="ar-SA"/>
              </w:rPr>
              <w:t>0m</w:t>
            </w:r>
          </w:p>
        </w:tc>
        <w:tc>
          <w:tcPr>
            <w:tcW w:w="985" w:type="dxa"/>
            <w:noWrap w:val="0"/>
            <w:vAlign w:val="center"/>
          </w:tcPr>
          <w:p w14:paraId="78FD779C">
            <w:pPr>
              <w:jc w:val="center"/>
              <w:rPr>
                <w:rFonts w:hint="eastAsia" w:ascii="宋体" w:hAnsi="宋体" w:eastAsia="宋体" w:cs="宋体"/>
                <w:i w:val="0"/>
                <w:color w:val="000000"/>
                <w:kern w:val="0"/>
                <w:sz w:val="21"/>
                <w:szCs w:val="21"/>
                <w:u w:val="none"/>
                <w:lang w:val="en-US" w:eastAsia="zh-CN" w:bidi="ar-SA"/>
              </w:rPr>
            </w:pPr>
          </w:p>
        </w:tc>
        <w:tc>
          <w:tcPr>
            <w:tcW w:w="985" w:type="dxa"/>
            <w:noWrap w:val="0"/>
            <w:vAlign w:val="center"/>
          </w:tcPr>
          <w:p w14:paraId="38E76F57">
            <w:pPr>
              <w:jc w:val="center"/>
              <w:rPr>
                <w:rFonts w:hint="eastAsia" w:ascii="宋体" w:hAnsi="宋体" w:eastAsia="宋体" w:cs="宋体"/>
                <w:i w:val="0"/>
                <w:color w:val="000000"/>
                <w:kern w:val="0"/>
                <w:sz w:val="21"/>
                <w:szCs w:val="21"/>
                <w:u w:val="none"/>
                <w:lang w:val="en-US" w:eastAsia="zh-CN" w:bidi="ar-SA"/>
              </w:rPr>
            </w:pPr>
          </w:p>
        </w:tc>
        <w:tc>
          <w:tcPr>
            <w:tcW w:w="985" w:type="dxa"/>
            <w:noWrap w:val="0"/>
            <w:vAlign w:val="center"/>
          </w:tcPr>
          <w:p w14:paraId="26643B56">
            <w:pPr>
              <w:jc w:val="center"/>
              <w:rPr>
                <w:rFonts w:hint="eastAsia" w:ascii="宋体" w:hAnsi="宋体" w:eastAsia="宋体" w:cs="宋体"/>
                <w:i w:val="0"/>
                <w:color w:val="000000"/>
                <w:kern w:val="0"/>
                <w:sz w:val="21"/>
                <w:szCs w:val="21"/>
                <w:u w:val="none"/>
                <w:lang w:val="en-US" w:eastAsia="zh-CN" w:bidi="ar-SA"/>
              </w:rPr>
            </w:pPr>
          </w:p>
        </w:tc>
      </w:tr>
      <w:tr w14:paraId="7F7B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shd w:val="clear" w:color="auto" w:fill="auto"/>
            <w:noWrap w:val="0"/>
            <w:vAlign w:val="center"/>
          </w:tcPr>
          <w:p w14:paraId="6BC474C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w:t>
            </w:r>
          </w:p>
        </w:tc>
        <w:tc>
          <w:tcPr>
            <w:tcW w:w="1592" w:type="dxa"/>
            <w:shd w:val="clear" w:color="FFFFFF" w:fill="FFFFFF"/>
            <w:noWrap w:val="0"/>
            <w:vAlign w:val="center"/>
          </w:tcPr>
          <w:p w14:paraId="25C7FBC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仪表箱</w:t>
            </w:r>
          </w:p>
        </w:tc>
        <w:tc>
          <w:tcPr>
            <w:tcW w:w="1818" w:type="dxa"/>
            <w:shd w:val="clear" w:color="FFFFFF" w:fill="FFFFFF"/>
            <w:noWrap w:val="0"/>
            <w:vAlign w:val="center"/>
          </w:tcPr>
          <w:p w14:paraId="6B0BAA2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304不锈钢;IP65;立柱安装</w:t>
            </w:r>
          </w:p>
        </w:tc>
        <w:tc>
          <w:tcPr>
            <w:tcW w:w="616" w:type="dxa"/>
            <w:shd w:val="clear" w:color="FFFFFF" w:fill="FFFFFF"/>
            <w:noWrap w:val="0"/>
            <w:vAlign w:val="center"/>
          </w:tcPr>
          <w:p w14:paraId="2A4F838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shd w:val="clear" w:color="FFFFFF" w:fill="FFFFFF"/>
            <w:noWrap w:val="0"/>
            <w:vAlign w:val="center"/>
          </w:tcPr>
          <w:p w14:paraId="7D8929E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shd w:val="clear" w:color="FFFFFF" w:fill="FFFFFF"/>
            <w:noWrap w:val="0"/>
            <w:vAlign w:val="center"/>
          </w:tcPr>
          <w:p w14:paraId="76199112">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3F45721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3E4E8EE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0D8BB30A">
            <w:pPr>
              <w:jc w:val="center"/>
              <w:rPr>
                <w:rFonts w:hint="eastAsia" w:ascii="宋体" w:hAnsi="宋体" w:eastAsia="宋体" w:cs="宋体"/>
                <w:i w:val="0"/>
                <w:color w:val="000000"/>
                <w:kern w:val="0"/>
                <w:sz w:val="21"/>
                <w:szCs w:val="21"/>
                <w:highlight w:val="none"/>
                <w:u w:val="none"/>
                <w:lang w:val="en-US" w:eastAsia="zh-CN" w:bidi="ar-SA"/>
              </w:rPr>
            </w:pPr>
          </w:p>
        </w:tc>
      </w:tr>
      <w:tr w14:paraId="66FB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14" w:type="dxa"/>
            <w:shd w:val="clear" w:color="auto" w:fill="auto"/>
            <w:noWrap w:val="0"/>
            <w:vAlign w:val="center"/>
          </w:tcPr>
          <w:p w14:paraId="3E6E1662">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w:t>
            </w:r>
          </w:p>
        </w:tc>
        <w:tc>
          <w:tcPr>
            <w:tcW w:w="1592" w:type="dxa"/>
            <w:shd w:val="clear" w:color="FFFFFF" w:fill="FFFFFF"/>
            <w:noWrap w:val="0"/>
            <w:vAlign w:val="center"/>
          </w:tcPr>
          <w:p w14:paraId="469F6D9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压力变送器</w:t>
            </w:r>
          </w:p>
        </w:tc>
        <w:tc>
          <w:tcPr>
            <w:tcW w:w="1818" w:type="dxa"/>
            <w:shd w:val="clear" w:color="FFFFFF" w:fill="FFFFFF"/>
            <w:noWrap w:val="0"/>
            <w:vAlign w:val="center"/>
          </w:tcPr>
          <w:p w14:paraId="63D8B1B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一体式, 0~0.4MPa , 4~20mA</w:t>
            </w:r>
          </w:p>
        </w:tc>
        <w:tc>
          <w:tcPr>
            <w:tcW w:w="616" w:type="dxa"/>
            <w:shd w:val="clear" w:color="FFFFFF" w:fill="FFFFFF"/>
            <w:noWrap w:val="0"/>
            <w:vAlign w:val="center"/>
          </w:tcPr>
          <w:p w14:paraId="5F0C142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w:t>
            </w:r>
          </w:p>
        </w:tc>
        <w:tc>
          <w:tcPr>
            <w:tcW w:w="665" w:type="dxa"/>
            <w:shd w:val="clear" w:color="FFFFFF" w:fill="FFFFFF"/>
            <w:noWrap w:val="0"/>
            <w:vAlign w:val="center"/>
          </w:tcPr>
          <w:p w14:paraId="34765E3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shd w:val="clear" w:color="FFFFFF" w:fill="FFFFFF"/>
            <w:noWrap w:val="0"/>
            <w:vAlign w:val="center"/>
          </w:tcPr>
          <w:p w14:paraId="35D1B8B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带安装支架，仪表箱,配套控制器,传感器及安装附件</w:t>
            </w:r>
          </w:p>
        </w:tc>
        <w:tc>
          <w:tcPr>
            <w:tcW w:w="985" w:type="dxa"/>
            <w:shd w:val="clear" w:color="FFFFFF" w:fill="FFFFFF"/>
            <w:noWrap w:val="0"/>
            <w:vAlign w:val="center"/>
          </w:tcPr>
          <w:p w14:paraId="7AEE6E3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0717679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57C378B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116E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14" w:type="dxa"/>
            <w:shd w:val="clear" w:color="auto" w:fill="auto"/>
            <w:noWrap w:val="0"/>
            <w:vAlign w:val="center"/>
          </w:tcPr>
          <w:p w14:paraId="486A0121">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4</w:t>
            </w:r>
          </w:p>
        </w:tc>
        <w:tc>
          <w:tcPr>
            <w:tcW w:w="1592" w:type="dxa"/>
            <w:shd w:val="clear" w:color="FFFFFF" w:fill="FFFFFF"/>
            <w:noWrap w:val="0"/>
            <w:vAlign w:val="center"/>
          </w:tcPr>
          <w:p w14:paraId="46A70A3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超声波液位计</w:t>
            </w:r>
          </w:p>
        </w:tc>
        <w:tc>
          <w:tcPr>
            <w:tcW w:w="1818" w:type="dxa"/>
            <w:shd w:val="clear" w:color="FFFFFF" w:fill="FFFFFF"/>
            <w:noWrap w:val="0"/>
            <w:vAlign w:val="center"/>
          </w:tcPr>
          <w:p w14:paraId="43DF62D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一体式,IP65; 0~10m; 4~20mA</w:t>
            </w:r>
          </w:p>
        </w:tc>
        <w:tc>
          <w:tcPr>
            <w:tcW w:w="616" w:type="dxa"/>
            <w:shd w:val="clear" w:color="FFFFFF" w:fill="FFFFFF"/>
            <w:noWrap w:val="0"/>
            <w:vAlign w:val="center"/>
          </w:tcPr>
          <w:p w14:paraId="4858D8C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w:t>
            </w:r>
          </w:p>
        </w:tc>
        <w:tc>
          <w:tcPr>
            <w:tcW w:w="665" w:type="dxa"/>
            <w:shd w:val="clear" w:color="FFFFFF" w:fill="FFFFFF"/>
            <w:noWrap w:val="0"/>
            <w:vAlign w:val="center"/>
          </w:tcPr>
          <w:p w14:paraId="55A320E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shd w:val="clear" w:color="FFFFFF" w:fill="FFFFFF"/>
            <w:noWrap w:val="0"/>
            <w:vAlign w:val="center"/>
          </w:tcPr>
          <w:p w14:paraId="63CFC38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带安装支架，仪表箱,配套控制器,传感器及安装附件</w:t>
            </w:r>
          </w:p>
        </w:tc>
        <w:tc>
          <w:tcPr>
            <w:tcW w:w="985" w:type="dxa"/>
            <w:shd w:val="clear" w:color="FFFFFF" w:fill="FFFFFF"/>
            <w:noWrap w:val="0"/>
            <w:vAlign w:val="center"/>
          </w:tcPr>
          <w:p w14:paraId="0FED85D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20AEDBD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7970F5F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5A1B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14" w:type="dxa"/>
            <w:shd w:val="clear" w:color="auto" w:fill="auto"/>
            <w:noWrap w:val="0"/>
            <w:vAlign w:val="center"/>
          </w:tcPr>
          <w:p w14:paraId="37E28BDA">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w:t>
            </w:r>
          </w:p>
        </w:tc>
        <w:tc>
          <w:tcPr>
            <w:tcW w:w="1592" w:type="dxa"/>
            <w:shd w:val="clear" w:color="FFFFFF" w:fill="FFFFFF"/>
            <w:noWrap w:val="0"/>
            <w:vAlign w:val="center"/>
          </w:tcPr>
          <w:p w14:paraId="56B475C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浮球液位计</w:t>
            </w:r>
          </w:p>
        </w:tc>
        <w:tc>
          <w:tcPr>
            <w:tcW w:w="1818" w:type="dxa"/>
            <w:shd w:val="clear" w:color="FFFFFF" w:fill="FFFFFF"/>
            <w:noWrap w:val="0"/>
            <w:vAlign w:val="center"/>
          </w:tcPr>
          <w:p w14:paraId="6795FA40">
            <w:pPr>
              <w:jc w:val="center"/>
              <w:rPr>
                <w:rFonts w:hint="eastAsia" w:ascii="宋体" w:hAnsi="宋体" w:eastAsia="宋体" w:cs="宋体"/>
                <w:i w:val="0"/>
                <w:color w:val="000000"/>
                <w:kern w:val="0"/>
                <w:sz w:val="21"/>
                <w:szCs w:val="21"/>
                <w:highlight w:val="none"/>
                <w:u w:val="none"/>
                <w:lang w:val="en-US" w:eastAsia="zh-CN" w:bidi="ar-SA"/>
              </w:rPr>
            </w:pPr>
          </w:p>
        </w:tc>
        <w:tc>
          <w:tcPr>
            <w:tcW w:w="616" w:type="dxa"/>
            <w:shd w:val="clear" w:color="FFFFFF" w:fill="FFFFFF"/>
            <w:noWrap w:val="0"/>
            <w:vAlign w:val="center"/>
          </w:tcPr>
          <w:p w14:paraId="7853F58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w:t>
            </w:r>
          </w:p>
        </w:tc>
        <w:tc>
          <w:tcPr>
            <w:tcW w:w="665" w:type="dxa"/>
            <w:shd w:val="clear" w:color="FFFFFF" w:fill="FFFFFF"/>
            <w:noWrap w:val="0"/>
            <w:vAlign w:val="center"/>
          </w:tcPr>
          <w:p w14:paraId="31A9D3E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shd w:val="clear" w:color="FFFFFF" w:fill="FFFFFF"/>
            <w:noWrap w:val="0"/>
            <w:vAlign w:val="center"/>
          </w:tcPr>
          <w:p w14:paraId="0CEDE87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带安装支架，仪表箱,配套控制器,传感器及安装附件</w:t>
            </w:r>
          </w:p>
        </w:tc>
        <w:tc>
          <w:tcPr>
            <w:tcW w:w="985" w:type="dxa"/>
            <w:shd w:val="clear" w:color="FFFFFF" w:fill="FFFFFF"/>
            <w:noWrap w:val="0"/>
            <w:vAlign w:val="center"/>
          </w:tcPr>
          <w:p w14:paraId="211B2B8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3015483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262AC62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7992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057" w:type="dxa"/>
            <w:gridSpan w:val="9"/>
            <w:noWrap w:val="0"/>
            <w:vAlign w:val="center"/>
          </w:tcPr>
          <w:p w14:paraId="7E455495">
            <w:pPr>
              <w:jc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PLC 控制站</w:t>
            </w:r>
          </w:p>
        </w:tc>
      </w:tr>
      <w:tr w14:paraId="6785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14" w:type="dxa"/>
            <w:shd w:val="clear" w:color="auto" w:fill="auto"/>
            <w:noWrap w:val="0"/>
            <w:vAlign w:val="center"/>
          </w:tcPr>
          <w:p w14:paraId="3F54D69D">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1592" w:type="dxa"/>
            <w:shd w:val="clear" w:color="FFFFFF" w:fill="FFFFFF"/>
            <w:noWrap w:val="0"/>
            <w:vAlign w:val="center"/>
          </w:tcPr>
          <w:p w14:paraId="6B3D81D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PLC1 主站</w:t>
            </w:r>
          </w:p>
        </w:tc>
        <w:tc>
          <w:tcPr>
            <w:tcW w:w="1818" w:type="dxa"/>
            <w:shd w:val="clear" w:color="FFFFFF" w:fill="FFFFFF"/>
            <w:noWrap w:val="0"/>
            <w:vAlign w:val="center"/>
          </w:tcPr>
          <w:p w14:paraId="17DF3D8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DI:96 DO:64 AI:24 AO:8 ，CPU模块自带以太网</w:t>
            </w:r>
          </w:p>
        </w:tc>
        <w:tc>
          <w:tcPr>
            <w:tcW w:w="616" w:type="dxa"/>
            <w:shd w:val="clear" w:color="FFFFFF" w:fill="FFFFFF"/>
            <w:noWrap w:val="0"/>
            <w:vAlign w:val="center"/>
          </w:tcPr>
          <w:p w14:paraId="7D2F41F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shd w:val="clear" w:color="FFFFFF" w:fill="FFFFFF"/>
            <w:noWrap w:val="0"/>
            <w:vAlign w:val="center"/>
          </w:tcPr>
          <w:p w14:paraId="6BE29F2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shd w:val="clear" w:color="FFFFFF" w:fill="FFFFFF"/>
            <w:noWrap w:val="0"/>
            <w:vAlign w:val="center"/>
          </w:tcPr>
          <w:p w14:paraId="6B42C833">
            <w:pPr>
              <w:jc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包含RS485通讯模块</w:t>
            </w:r>
          </w:p>
        </w:tc>
        <w:tc>
          <w:tcPr>
            <w:tcW w:w="985" w:type="dxa"/>
            <w:shd w:val="clear" w:color="FFFFFF" w:fill="FFFFFF"/>
            <w:noWrap w:val="0"/>
            <w:vAlign w:val="center"/>
          </w:tcPr>
          <w:p w14:paraId="2C4EC601">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1584A15F">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shd w:val="clear" w:color="FFFFFF" w:fill="FFFFFF"/>
            <w:noWrap w:val="0"/>
            <w:vAlign w:val="center"/>
          </w:tcPr>
          <w:p w14:paraId="15362A79">
            <w:pPr>
              <w:jc w:val="center"/>
              <w:rPr>
                <w:rFonts w:hint="eastAsia" w:ascii="宋体" w:hAnsi="宋体" w:eastAsia="宋体" w:cs="宋体"/>
                <w:i w:val="0"/>
                <w:color w:val="000000"/>
                <w:kern w:val="0"/>
                <w:sz w:val="21"/>
                <w:szCs w:val="21"/>
                <w:highlight w:val="none"/>
                <w:u w:val="none"/>
                <w:lang w:val="en-US" w:eastAsia="zh-CN" w:bidi="ar-SA"/>
              </w:rPr>
            </w:pPr>
          </w:p>
        </w:tc>
      </w:tr>
      <w:tr w14:paraId="6067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189F4F7C">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1.1</w:t>
            </w:r>
          </w:p>
        </w:tc>
        <w:tc>
          <w:tcPr>
            <w:tcW w:w="1592" w:type="dxa"/>
            <w:noWrap w:val="0"/>
            <w:vAlign w:val="center"/>
          </w:tcPr>
          <w:p w14:paraId="28C4066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电源防雷器</w:t>
            </w:r>
          </w:p>
        </w:tc>
        <w:tc>
          <w:tcPr>
            <w:tcW w:w="1818" w:type="dxa"/>
            <w:noWrap w:val="0"/>
            <w:vAlign w:val="center"/>
          </w:tcPr>
          <w:p w14:paraId="27F6DA9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总进线电源、现场仪表电源, AC220V</w:t>
            </w:r>
          </w:p>
        </w:tc>
        <w:tc>
          <w:tcPr>
            <w:tcW w:w="616" w:type="dxa"/>
            <w:noWrap w:val="0"/>
            <w:vAlign w:val="center"/>
          </w:tcPr>
          <w:p w14:paraId="370B21E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w:t>
            </w:r>
          </w:p>
        </w:tc>
        <w:tc>
          <w:tcPr>
            <w:tcW w:w="665" w:type="dxa"/>
            <w:noWrap w:val="0"/>
            <w:vAlign w:val="center"/>
          </w:tcPr>
          <w:p w14:paraId="7FF2914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个</w:t>
            </w:r>
          </w:p>
        </w:tc>
        <w:tc>
          <w:tcPr>
            <w:tcW w:w="1397" w:type="dxa"/>
            <w:noWrap w:val="0"/>
            <w:vAlign w:val="center"/>
          </w:tcPr>
          <w:p w14:paraId="75B7A35C">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D0D4A46">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D9A8CA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9B1FB01">
            <w:pPr>
              <w:jc w:val="center"/>
              <w:rPr>
                <w:rFonts w:hint="eastAsia" w:ascii="宋体" w:hAnsi="宋体" w:eastAsia="宋体" w:cs="宋体"/>
                <w:i w:val="0"/>
                <w:color w:val="000000"/>
                <w:kern w:val="0"/>
                <w:sz w:val="21"/>
                <w:szCs w:val="21"/>
                <w:highlight w:val="none"/>
                <w:u w:val="none"/>
                <w:lang w:val="en-US" w:eastAsia="zh-CN" w:bidi="ar-SA"/>
              </w:rPr>
            </w:pPr>
          </w:p>
        </w:tc>
      </w:tr>
      <w:tr w14:paraId="0304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3445D480">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1.2</w:t>
            </w:r>
          </w:p>
        </w:tc>
        <w:tc>
          <w:tcPr>
            <w:tcW w:w="1592" w:type="dxa"/>
            <w:noWrap w:val="0"/>
            <w:vAlign w:val="center"/>
          </w:tcPr>
          <w:p w14:paraId="70FEFA2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信号防雷器</w:t>
            </w:r>
          </w:p>
        </w:tc>
        <w:tc>
          <w:tcPr>
            <w:tcW w:w="1818" w:type="dxa"/>
            <w:noWrap w:val="0"/>
            <w:vAlign w:val="center"/>
          </w:tcPr>
          <w:p w14:paraId="300EFFC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仪表信号防雷器,双端防雷, DC24V</w:t>
            </w:r>
          </w:p>
        </w:tc>
        <w:tc>
          <w:tcPr>
            <w:tcW w:w="616" w:type="dxa"/>
            <w:noWrap w:val="0"/>
            <w:vAlign w:val="center"/>
          </w:tcPr>
          <w:p w14:paraId="203ECC9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15</w:t>
            </w:r>
          </w:p>
        </w:tc>
        <w:tc>
          <w:tcPr>
            <w:tcW w:w="665" w:type="dxa"/>
            <w:noWrap w:val="0"/>
            <w:vAlign w:val="center"/>
          </w:tcPr>
          <w:p w14:paraId="0DF1AE0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个</w:t>
            </w:r>
          </w:p>
        </w:tc>
        <w:tc>
          <w:tcPr>
            <w:tcW w:w="1397" w:type="dxa"/>
            <w:noWrap w:val="0"/>
            <w:vAlign w:val="center"/>
          </w:tcPr>
          <w:p w14:paraId="3D9D522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含2个RS485+1个RJ45</w:t>
            </w:r>
          </w:p>
        </w:tc>
        <w:tc>
          <w:tcPr>
            <w:tcW w:w="985" w:type="dxa"/>
            <w:noWrap w:val="0"/>
            <w:vAlign w:val="center"/>
          </w:tcPr>
          <w:p w14:paraId="13DC5E6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17646B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4A988C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57D1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5415B583">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w:t>
            </w:r>
          </w:p>
        </w:tc>
        <w:tc>
          <w:tcPr>
            <w:tcW w:w="1592" w:type="dxa"/>
            <w:noWrap w:val="0"/>
            <w:vAlign w:val="center"/>
          </w:tcPr>
          <w:p w14:paraId="5441C44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触摸屏</w:t>
            </w:r>
          </w:p>
        </w:tc>
        <w:tc>
          <w:tcPr>
            <w:tcW w:w="1818" w:type="dxa"/>
            <w:noWrap w:val="0"/>
            <w:vAlign w:val="center"/>
          </w:tcPr>
          <w:p w14:paraId="7185665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15"触摸屏;DC24V,TCP/IP;</w:t>
            </w:r>
          </w:p>
        </w:tc>
        <w:tc>
          <w:tcPr>
            <w:tcW w:w="616" w:type="dxa"/>
            <w:noWrap w:val="0"/>
            <w:vAlign w:val="center"/>
          </w:tcPr>
          <w:p w14:paraId="1CE7AD7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298F6AA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1E6A91CD">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DC83EAF">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A85E599">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904330B">
            <w:pPr>
              <w:jc w:val="center"/>
              <w:rPr>
                <w:rFonts w:hint="eastAsia" w:ascii="宋体" w:hAnsi="宋体" w:eastAsia="宋体" w:cs="宋体"/>
                <w:i w:val="0"/>
                <w:color w:val="000000"/>
                <w:kern w:val="0"/>
                <w:sz w:val="21"/>
                <w:szCs w:val="21"/>
                <w:highlight w:val="none"/>
                <w:u w:val="none"/>
                <w:lang w:val="en-US" w:eastAsia="zh-CN" w:bidi="ar-SA"/>
              </w:rPr>
            </w:pPr>
          </w:p>
        </w:tc>
      </w:tr>
      <w:tr w14:paraId="5EFE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0F41A978">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1.4</w:t>
            </w:r>
          </w:p>
        </w:tc>
        <w:tc>
          <w:tcPr>
            <w:tcW w:w="1592" w:type="dxa"/>
            <w:noWrap w:val="0"/>
            <w:vAlign w:val="center"/>
          </w:tcPr>
          <w:p w14:paraId="006BA8F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控制柜</w:t>
            </w:r>
          </w:p>
        </w:tc>
        <w:tc>
          <w:tcPr>
            <w:tcW w:w="1818" w:type="dxa"/>
            <w:noWrap w:val="0"/>
            <w:vAlign w:val="center"/>
          </w:tcPr>
          <w:p w14:paraId="483C4C3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2100*800*600 , IP54,带散热除湿;</w:t>
            </w:r>
          </w:p>
        </w:tc>
        <w:tc>
          <w:tcPr>
            <w:tcW w:w="616" w:type="dxa"/>
            <w:noWrap w:val="0"/>
            <w:vAlign w:val="center"/>
          </w:tcPr>
          <w:p w14:paraId="32863D8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4F5330F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4FB31939">
            <w:pPr>
              <w:jc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含柜内所有电气元件</w:t>
            </w:r>
          </w:p>
        </w:tc>
        <w:tc>
          <w:tcPr>
            <w:tcW w:w="985" w:type="dxa"/>
            <w:noWrap w:val="0"/>
            <w:vAlign w:val="center"/>
          </w:tcPr>
          <w:p w14:paraId="425EF2B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C9C54B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2A3360D">
            <w:pPr>
              <w:jc w:val="center"/>
              <w:rPr>
                <w:rFonts w:hint="eastAsia" w:ascii="宋体" w:hAnsi="宋体" w:eastAsia="宋体" w:cs="宋体"/>
                <w:i w:val="0"/>
                <w:color w:val="000000"/>
                <w:kern w:val="0"/>
                <w:sz w:val="21"/>
                <w:szCs w:val="21"/>
                <w:highlight w:val="none"/>
                <w:u w:val="none"/>
                <w:lang w:val="en-US" w:eastAsia="zh-CN" w:bidi="ar-SA"/>
              </w:rPr>
            </w:pPr>
          </w:p>
        </w:tc>
      </w:tr>
      <w:tr w14:paraId="06F2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4" w:type="dxa"/>
            <w:noWrap w:val="0"/>
            <w:vAlign w:val="center"/>
          </w:tcPr>
          <w:p w14:paraId="6A7BC0F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w:t>
            </w:r>
          </w:p>
        </w:tc>
        <w:tc>
          <w:tcPr>
            <w:tcW w:w="1592" w:type="dxa"/>
            <w:noWrap w:val="0"/>
            <w:vAlign w:val="center"/>
          </w:tcPr>
          <w:p w14:paraId="18CCE11D">
            <w:pPr>
              <w:jc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PLC编程电缆、软件编程及调试</w:t>
            </w:r>
          </w:p>
        </w:tc>
        <w:tc>
          <w:tcPr>
            <w:tcW w:w="1818" w:type="dxa"/>
            <w:noWrap w:val="0"/>
            <w:vAlign w:val="center"/>
          </w:tcPr>
          <w:p w14:paraId="1F7F6AF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616" w:type="dxa"/>
            <w:noWrap w:val="0"/>
            <w:vAlign w:val="center"/>
          </w:tcPr>
          <w:p w14:paraId="1BDC8BD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695F297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项</w:t>
            </w:r>
          </w:p>
        </w:tc>
        <w:tc>
          <w:tcPr>
            <w:tcW w:w="1397" w:type="dxa"/>
            <w:noWrap w:val="0"/>
            <w:vAlign w:val="center"/>
          </w:tcPr>
          <w:p w14:paraId="0BD5C6FC">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B44F5C2">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8E9DB2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ED72D9A">
            <w:pPr>
              <w:jc w:val="center"/>
              <w:rPr>
                <w:rFonts w:hint="eastAsia" w:ascii="宋体" w:hAnsi="宋体" w:eastAsia="宋体" w:cs="宋体"/>
                <w:i w:val="0"/>
                <w:color w:val="000000"/>
                <w:kern w:val="0"/>
                <w:sz w:val="21"/>
                <w:szCs w:val="21"/>
                <w:highlight w:val="none"/>
                <w:u w:val="none"/>
                <w:lang w:val="en-US" w:eastAsia="zh-CN" w:bidi="ar-SA"/>
              </w:rPr>
            </w:pPr>
          </w:p>
        </w:tc>
      </w:tr>
      <w:tr w14:paraId="14BA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057" w:type="dxa"/>
            <w:gridSpan w:val="9"/>
            <w:noWrap w:val="0"/>
            <w:vAlign w:val="center"/>
          </w:tcPr>
          <w:p w14:paraId="4DB8649D">
            <w:pPr>
              <w:jc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控制层</w:t>
            </w:r>
          </w:p>
        </w:tc>
      </w:tr>
      <w:tr w14:paraId="12BE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14" w:type="dxa"/>
            <w:noWrap w:val="0"/>
            <w:vAlign w:val="center"/>
          </w:tcPr>
          <w:p w14:paraId="0AB120D3">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0E2D986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操作站</w:t>
            </w:r>
          </w:p>
        </w:tc>
        <w:tc>
          <w:tcPr>
            <w:tcW w:w="1818" w:type="dxa"/>
            <w:noWrap w:val="0"/>
            <w:vAlign w:val="center"/>
          </w:tcPr>
          <w:p w14:paraId="083A3FC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酷睿I7,16G内存,1T硬盘,独立显</w:t>
            </w:r>
            <w:r>
              <w:rPr>
                <w:rFonts w:hint="eastAsia" w:ascii="宋体" w:hAnsi="宋体" w:eastAsia="宋体" w:cs="宋体"/>
                <w:i w:val="0"/>
                <w:color w:val="000000"/>
                <w:kern w:val="0"/>
                <w:sz w:val="21"/>
                <w:szCs w:val="21"/>
                <w:highlight w:val="none"/>
                <w:u w:val="none"/>
                <w:lang w:val="en-US" w:eastAsia="zh-CN" w:bidi="ar-SA"/>
              </w:rPr>
              <w:br w:type="textWrapping"/>
            </w:r>
            <w:r>
              <w:rPr>
                <w:rFonts w:hint="eastAsia" w:ascii="宋体" w:hAnsi="宋体" w:eastAsia="宋体" w:cs="宋体"/>
                <w:i w:val="0"/>
                <w:color w:val="000000"/>
                <w:kern w:val="0"/>
                <w:sz w:val="21"/>
                <w:szCs w:val="21"/>
                <w:highlight w:val="none"/>
                <w:u w:val="none"/>
                <w:lang w:val="en-US" w:eastAsia="zh-CN" w:bidi="ar-SA"/>
              </w:rPr>
              <w:t>卡,带24寸宽屏显示器</w:t>
            </w:r>
          </w:p>
        </w:tc>
        <w:tc>
          <w:tcPr>
            <w:tcW w:w="616" w:type="dxa"/>
            <w:noWrap w:val="0"/>
            <w:vAlign w:val="center"/>
          </w:tcPr>
          <w:p w14:paraId="0DD4907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2D271BA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5C74B61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E718BD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A1A109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DCFD44C">
            <w:pPr>
              <w:jc w:val="center"/>
              <w:rPr>
                <w:rFonts w:hint="eastAsia" w:ascii="宋体" w:hAnsi="宋体" w:eastAsia="宋体" w:cs="宋体"/>
                <w:i w:val="0"/>
                <w:color w:val="000000"/>
                <w:kern w:val="0"/>
                <w:sz w:val="21"/>
                <w:szCs w:val="21"/>
                <w:highlight w:val="none"/>
                <w:u w:val="none"/>
                <w:lang w:val="en-US" w:eastAsia="zh-CN" w:bidi="ar-SA"/>
              </w:rPr>
            </w:pPr>
          </w:p>
        </w:tc>
      </w:tr>
      <w:tr w14:paraId="3EB5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7C147BAA">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5B0FFD7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双工位操作台</w:t>
            </w:r>
          </w:p>
        </w:tc>
        <w:tc>
          <w:tcPr>
            <w:tcW w:w="1818" w:type="dxa"/>
            <w:noWrap w:val="0"/>
            <w:vAlign w:val="center"/>
          </w:tcPr>
          <w:p w14:paraId="2676B92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1200*800*700</w:t>
            </w:r>
          </w:p>
        </w:tc>
        <w:tc>
          <w:tcPr>
            <w:tcW w:w="616" w:type="dxa"/>
            <w:noWrap w:val="0"/>
            <w:vAlign w:val="center"/>
          </w:tcPr>
          <w:p w14:paraId="0417468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1F778C8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6BD1E76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8504079">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8BD7A91">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7DDCF95">
            <w:pPr>
              <w:jc w:val="center"/>
              <w:rPr>
                <w:rFonts w:hint="eastAsia" w:ascii="宋体" w:hAnsi="宋体" w:eastAsia="宋体" w:cs="宋体"/>
                <w:i w:val="0"/>
                <w:color w:val="000000"/>
                <w:kern w:val="0"/>
                <w:sz w:val="21"/>
                <w:szCs w:val="21"/>
                <w:highlight w:val="none"/>
                <w:u w:val="none"/>
                <w:lang w:val="en-US" w:eastAsia="zh-CN" w:bidi="ar-SA"/>
              </w:rPr>
            </w:pPr>
          </w:p>
        </w:tc>
      </w:tr>
      <w:tr w14:paraId="7CAC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14" w:type="dxa"/>
            <w:noWrap w:val="0"/>
            <w:vAlign w:val="center"/>
          </w:tcPr>
          <w:p w14:paraId="5A1EADFD">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59352A8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安防站</w:t>
            </w:r>
          </w:p>
        </w:tc>
        <w:tc>
          <w:tcPr>
            <w:tcW w:w="1818" w:type="dxa"/>
            <w:noWrap w:val="0"/>
            <w:vAlign w:val="center"/>
          </w:tcPr>
          <w:p w14:paraId="5A62826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酷睿I7,16G内存,1T硬盘,独立显</w:t>
            </w:r>
            <w:r>
              <w:rPr>
                <w:rFonts w:hint="eastAsia" w:ascii="宋体" w:hAnsi="宋体" w:eastAsia="宋体" w:cs="宋体"/>
                <w:i w:val="0"/>
                <w:color w:val="000000"/>
                <w:kern w:val="0"/>
                <w:sz w:val="21"/>
                <w:szCs w:val="21"/>
                <w:highlight w:val="none"/>
                <w:u w:val="none"/>
                <w:lang w:val="en-US" w:eastAsia="zh-CN" w:bidi="ar-SA"/>
              </w:rPr>
              <w:br w:type="textWrapping"/>
            </w:r>
            <w:r>
              <w:rPr>
                <w:rFonts w:hint="eastAsia" w:ascii="宋体" w:hAnsi="宋体" w:eastAsia="宋体" w:cs="宋体"/>
                <w:i w:val="0"/>
                <w:color w:val="000000"/>
                <w:kern w:val="0"/>
                <w:sz w:val="21"/>
                <w:szCs w:val="21"/>
                <w:highlight w:val="none"/>
                <w:u w:val="none"/>
                <w:lang w:val="en-US" w:eastAsia="zh-CN" w:bidi="ar-SA"/>
              </w:rPr>
              <w:t>卡,带24寸宽屏显示器</w:t>
            </w:r>
          </w:p>
        </w:tc>
        <w:tc>
          <w:tcPr>
            <w:tcW w:w="616" w:type="dxa"/>
            <w:noWrap w:val="0"/>
            <w:vAlign w:val="center"/>
          </w:tcPr>
          <w:p w14:paraId="30E06E6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0D59AD5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376267D2">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17000B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71903B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4331FC1">
            <w:pPr>
              <w:jc w:val="center"/>
              <w:rPr>
                <w:rFonts w:hint="eastAsia" w:ascii="宋体" w:hAnsi="宋体" w:eastAsia="宋体" w:cs="宋体"/>
                <w:i w:val="0"/>
                <w:color w:val="000000"/>
                <w:kern w:val="0"/>
                <w:sz w:val="21"/>
                <w:szCs w:val="21"/>
                <w:highlight w:val="none"/>
                <w:u w:val="none"/>
                <w:lang w:val="en-US" w:eastAsia="zh-CN" w:bidi="ar-SA"/>
              </w:rPr>
            </w:pPr>
          </w:p>
        </w:tc>
      </w:tr>
      <w:tr w14:paraId="5B30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14" w:type="dxa"/>
            <w:noWrap w:val="0"/>
            <w:vAlign w:val="center"/>
          </w:tcPr>
          <w:p w14:paraId="2E360BD0">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4E379BC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服务器</w:t>
            </w:r>
          </w:p>
        </w:tc>
        <w:tc>
          <w:tcPr>
            <w:tcW w:w="1818" w:type="dxa"/>
            <w:noWrap w:val="0"/>
            <w:vAlign w:val="center"/>
          </w:tcPr>
          <w:p w14:paraId="2A9CB23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2U机架式服务器,2X10核英特尔</w:t>
            </w:r>
            <w:r>
              <w:rPr>
                <w:rFonts w:hint="eastAsia" w:ascii="宋体" w:hAnsi="宋体" w:eastAsia="宋体" w:cs="宋体"/>
                <w:i w:val="0"/>
                <w:color w:val="000000"/>
                <w:kern w:val="0"/>
                <w:sz w:val="21"/>
                <w:szCs w:val="21"/>
                <w:highlight w:val="none"/>
                <w:u w:val="none"/>
                <w:lang w:val="en-US" w:eastAsia="zh-CN" w:bidi="ar-SA"/>
              </w:rPr>
              <w:br w:type="textWrapping"/>
            </w:r>
            <w:r>
              <w:rPr>
                <w:rFonts w:hint="eastAsia" w:ascii="宋体" w:hAnsi="宋体" w:eastAsia="宋体" w:cs="宋体"/>
                <w:i w:val="0"/>
                <w:color w:val="000000"/>
                <w:kern w:val="0"/>
                <w:sz w:val="21"/>
                <w:szCs w:val="21"/>
                <w:highlight w:val="none"/>
                <w:u w:val="none"/>
                <w:lang w:val="en-US" w:eastAsia="zh-CN" w:bidi="ar-SA"/>
              </w:rPr>
              <w:t>至强处理器,2.4G以上;</w:t>
            </w:r>
          </w:p>
        </w:tc>
        <w:tc>
          <w:tcPr>
            <w:tcW w:w="616" w:type="dxa"/>
            <w:noWrap w:val="0"/>
            <w:vAlign w:val="center"/>
          </w:tcPr>
          <w:p w14:paraId="38776EA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w:t>
            </w:r>
          </w:p>
        </w:tc>
        <w:tc>
          <w:tcPr>
            <w:tcW w:w="665" w:type="dxa"/>
            <w:noWrap w:val="0"/>
            <w:vAlign w:val="center"/>
          </w:tcPr>
          <w:p w14:paraId="306E530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top"/>
          </w:tcPr>
          <w:p w14:paraId="3AF73362">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2EB949B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5E3E38FC">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521BA2E0">
            <w:pPr>
              <w:jc w:val="center"/>
              <w:rPr>
                <w:rFonts w:hint="eastAsia" w:ascii="宋体" w:hAnsi="宋体" w:eastAsia="宋体" w:cs="宋体"/>
                <w:i w:val="0"/>
                <w:color w:val="000000"/>
                <w:kern w:val="0"/>
                <w:sz w:val="21"/>
                <w:szCs w:val="21"/>
                <w:highlight w:val="none"/>
                <w:u w:val="none"/>
                <w:lang w:val="en-US" w:eastAsia="zh-CN" w:bidi="ar-SA"/>
              </w:rPr>
            </w:pPr>
          </w:p>
        </w:tc>
      </w:tr>
      <w:tr w14:paraId="309F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69B41B23">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2C1B7D7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UPS柜</w:t>
            </w:r>
          </w:p>
        </w:tc>
        <w:tc>
          <w:tcPr>
            <w:tcW w:w="1818" w:type="dxa"/>
            <w:noWrap w:val="0"/>
            <w:vAlign w:val="center"/>
          </w:tcPr>
          <w:p w14:paraId="462EF79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6KVA , 2 小时,后备式机架安装2000*800*600</w:t>
            </w:r>
          </w:p>
        </w:tc>
        <w:tc>
          <w:tcPr>
            <w:tcW w:w="616" w:type="dxa"/>
            <w:noWrap w:val="0"/>
            <w:vAlign w:val="center"/>
          </w:tcPr>
          <w:p w14:paraId="46F2B91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56E1461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top"/>
          </w:tcPr>
          <w:p w14:paraId="4CC2C27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381B5FE9">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4E1C865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A826223">
            <w:pPr>
              <w:jc w:val="center"/>
              <w:rPr>
                <w:rFonts w:hint="eastAsia" w:ascii="宋体" w:hAnsi="宋体" w:eastAsia="宋体" w:cs="宋体"/>
                <w:i w:val="0"/>
                <w:color w:val="000000"/>
                <w:kern w:val="0"/>
                <w:sz w:val="21"/>
                <w:szCs w:val="21"/>
                <w:highlight w:val="none"/>
                <w:u w:val="none"/>
                <w:lang w:val="en-US" w:eastAsia="zh-CN" w:bidi="ar-SA"/>
              </w:rPr>
            </w:pPr>
          </w:p>
        </w:tc>
      </w:tr>
      <w:tr w14:paraId="79F6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4C1C9A74">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49A85CC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网络柜</w:t>
            </w:r>
          </w:p>
        </w:tc>
        <w:tc>
          <w:tcPr>
            <w:tcW w:w="1818" w:type="dxa"/>
            <w:noWrap w:val="0"/>
            <w:vAlign w:val="center"/>
          </w:tcPr>
          <w:p w14:paraId="4714441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标准 19 英寸网络柜, 2000*800*800</w:t>
            </w:r>
          </w:p>
        </w:tc>
        <w:tc>
          <w:tcPr>
            <w:tcW w:w="616" w:type="dxa"/>
            <w:noWrap w:val="0"/>
            <w:vAlign w:val="center"/>
          </w:tcPr>
          <w:p w14:paraId="29CC04A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2506784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top"/>
          </w:tcPr>
          <w:p w14:paraId="653D38A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0B1A317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03D17AD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4BF02F3D">
            <w:pPr>
              <w:jc w:val="center"/>
              <w:rPr>
                <w:rFonts w:hint="eastAsia" w:ascii="宋体" w:hAnsi="宋体" w:eastAsia="宋体" w:cs="宋体"/>
                <w:i w:val="0"/>
                <w:color w:val="000000"/>
                <w:kern w:val="0"/>
                <w:sz w:val="21"/>
                <w:szCs w:val="21"/>
                <w:highlight w:val="none"/>
                <w:u w:val="none"/>
                <w:lang w:val="en-US" w:eastAsia="zh-CN" w:bidi="ar-SA"/>
              </w:rPr>
            </w:pPr>
          </w:p>
        </w:tc>
      </w:tr>
      <w:tr w14:paraId="4B2B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603255DA">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1F2C936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交换机</w:t>
            </w:r>
          </w:p>
        </w:tc>
        <w:tc>
          <w:tcPr>
            <w:tcW w:w="1818" w:type="dxa"/>
            <w:noWrap w:val="0"/>
            <w:vAlign w:val="center"/>
          </w:tcPr>
          <w:p w14:paraId="0F0F24D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 光 16 电,千兆自适应,网管型</w:t>
            </w:r>
          </w:p>
        </w:tc>
        <w:tc>
          <w:tcPr>
            <w:tcW w:w="616" w:type="dxa"/>
            <w:noWrap w:val="0"/>
            <w:vAlign w:val="center"/>
          </w:tcPr>
          <w:p w14:paraId="252BABD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0DBF166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台</w:t>
            </w:r>
          </w:p>
        </w:tc>
        <w:tc>
          <w:tcPr>
            <w:tcW w:w="1397" w:type="dxa"/>
            <w:noWrap w:val="0"/>
            <w:vAlign w:val="top"/>
          </w:tcPr>
          <w:p w14:paraId="0F4F775D">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6E3AB9F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1B8559F0">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665F610F">
            <w:pPr>
              <w:jc w:val="center"/>
              <w:rPr>
                <w:rFonts w:hint="eastAsia" w:ascii="宋体" w:hAnsi="宋体" w:eastAsia="宋体" w:cs="宋体"/>
                <w:i w:val="0"/>
                <w:color w:val="000000"/>
                <w:kern w:val="0"/>
                <w:sz w:val="21"/>
                <w:szCs w:val="21"/>
                <w:highlight w:val="none"/>
                <w:u w:val="none"/>
                <w:lang w:val="en-US" w:eastAsia="zh-CN" w:bidi="ar-SA"/>
              </w:rPr>
            </w:pPr>
          </w:p>
        </w:tc>
      </w:tr>
      <w:tr w14:paraId="5913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4C6ECB8E">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303683F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防火墙</w:t>
            </w:r>
          </w:p>
        </w:tc>
        <w:tc>
          <w:tcPr>
            <w:tcW w:w="1818" w:type="dxa"/>
            <w:noWrap w:val="0"/>
            <w:vAlign w:val="center"/>
          </w:tcPr>
          <w:p w14:paraId="2214787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 电口,三层百兆,带入侵监测</w:t>
            </w:r>
          </w:p>
        </w:tc>
        <w:tc>
          <w:tcPr>
            <w:tcW w:w="616" w:type="dxa"/>
            <w:noWrap w:val="0"/>
            <w:vAlign w:val="center"/>
          </w:tcPr>
          <w:p w14:paraId="56CE5F8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3D831C2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台</w:t>
            </w:r>
          </w:p>
        </w:tc>
        <w:tc>
          <w:tcPr>
            <w:tcW w:w="1397" w:type="dxa"/>
            <w:noWrap w:val="0"/>
            <w:vAlign w:val="top"/>
          </w:tcPr>
          <w:p w14:paraId="2C851191">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405B3CBF">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669E7E9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5E8A456">
            <w:pPr>
              <w:jc w:val="center"/>
              <w:rPr>
                <w:rFonts w:hint="eastAsia" w:ascii="宋体" w:hAnsi="宋体" w:eastAsia="宋体" w:cs="宋体"/>
                <w:i w:val="0"/>
                <w:color w:val="000000"/>
                <w:kern w:val="0"/>
                <w:sz w:val="21"/>
                <w:szCs w:val="21"/>
                <w:highlight w:val="none"/>
                <w:u w:val="none"/>
                <w:lang w:val="en-US" w:eastAsia="zh-CN" w:bidi="ar-SA"/>
              </w:rPr>
            </w:pPr>
          </w:p>
        </w:tc>
      </w:tr>
      <w:tr w14:paraId="46CC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48E15233">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535328A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打印机</w:t>
            </w:r>
          </w:p>
        </w:tc>
        <w:tc>
          <w:tcPr>
            <w:tcW w:w="1818" w:type="dxa"/>
            <w:noWrap w:val="0"/>
            <w:vAlign w:val="center"/>
          </w:tcPr>
          <w:p w14:paraId="76515BE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A3/A4 激光打印机</w:t>
            </w:r>
          </w:p>
        </w:tc>
        <w:tc>
          <w:tcPr>
            <w:tcW w:w="616" w:type="dxa"/>
            <w:noWrap w:val="0"/>
            <w:vAlign w:val="center"/>
          </w:tcPr>
          <w:p w14:paraId="7B9EAF5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713D7DD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台</w:t>
            </w:r>
          </w:p>
        </w:tc>
        <w:tc>
          <w:tcPr>
            <w:tcW w:w="1397" w:type="dxa"/>
            <w:noWrap w:val="0"/>
            <w:vAlign w:val="top"/>
          </w:tcPr>
          <w:p w14:paraId="3AAF4756">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0EBA59E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497F7A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57543BF">
            <w:pPr>
              <w:jc w:val="center"/>
              <w:rPr>
                <w:rFonts w:hint="eastAsia" w:ascii="宋体" w:hAnsi="宋体" w:eastAsia="宋体" w:cs="宋体"/>
                <w:i w:val="0"/>
                <w:color w:val="000000"/>
                <w:kern w:val="0"/>
                <w:sz w:val="21"/>
                <w:szCs w:val="21"/>
                <w:highlight w:val="none"/>
                <w:u w:val="none"/>
                <w:lang w:val="en-US" w:eastAsia="zh-CN" w:bidi="ar-SA"/>
              </w:rPr>
            </w:pPr>
          </w:p>
        </w:tc>
      </w:tr>
      <w:tr w14:paraId="37F2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6CCC1121">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46E6478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组态软件</w:t>
            </w:r>
          </w:p>
        </w:tc>
        <w:tc>
          <w:tcPr>
            <w:tcW w:w="1818" w:type="dxa"/>
            <w:noWrap w:val="0"/>
            <w:vAlign w:val="center"/>
          </w:tcPr>
          <w:p w14:paraId="2A9B711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单机版,含组态画面开发</w:t>
            </w:r>
          </w:p>
        </w:tc>
        <w:tc>
          <w:tcPr>
            <w:tcW w:w="616" w:type="dxa"/>
            <w:noWrap w:val="0"/>
            <w:vAlign w:val="center"/>
          </w:tcPr>
          <w:p w14:paraId="10F8D4D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677B720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top"/>
          </w:tcPr>
          <w:p w14:paraId="0FED8801">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3B0582D6">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39CEEA2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25589863">
            <w:pPr>
              <w:jc w:val="center"/>
              <w:rPr>
                <w:rFonts w:hint="eastAsia" w:ascii="宋体" w:hAnsi="宋体" w:eastAsia="宋体" w:cs="宋体"/>
                <w:i w:val="0"/>
                <w:color w:val="000000"/>
                <w:kern w:val="0"/>
                <w:sz w:val="21"/>
                <w:szCs w:val="21"/>
                <w:highlight w:val="none"/>
                <w:u w:val="none"/>
                <w:lang w:val="en-US" w:eastAsia="zh-CN" w:bidi="ar-SA"/>
              </w:rPr>
            </w:pPr>
          </w:p>
        </w:tc>
      </w:tr>
      <w:tr w14:paraId="26BF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4D5493D0">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75E1E72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数据库软件</w:t>
            </w:r>
          </w:p>
        </w:tc>
        <w:tc>
          <w:tcPr>
            <w:tcW w:w="1818" w:type="dxa"/>
            <w:noWrap w:val="0"/>
            <w:vAlign w:val="center"/>
          </w:tcPr>
          <w:p w14:paraId="710F0DF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历史数据库,500点</w:t>
            </w:r>
          </w:p>
        </w:tc>
        <w:tc>
          <w:tcPr>
            <w:tcW w:w="616" w:type="dxa"/>
            <w:noWrap w:val="0"/>
            <w:vAlign w:val="center"/>
          </w:tcPr>
          <w:p w14:paraId="37AD33E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598D8FE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top"/>
          </w:tcPr>
          <w:p w14:paraId="11734DED">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6D01F9E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380F302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1CC671A">
            <w:pPr>
              <w:jc w:val="center"/>
              <w:rPr>
                <w:rFonts w:hint="eastAsia" w:ascii="宋体" w:hAnsi="宋体" w:eastAsia="宋体" w:cs="宋体"/>
                <w:i w:val="0"/>
                <w:color w:val="000000"/>
                <w:kern w:val="0"/>
                <w:sz w:val="21"/>
                <w:szCs w:val="21"/>
                <w:highlight w:val="none"/>
                <w:u w:val="none"/>
                <w:lang w:val="en-US" w:eastAsia="zh-CN" w:bidi="ar-SA"/>
              </w:rPr>
            </w:pPr>
          </w:p>
        </w:tc>
      </w:tr>
      <w:tr w14:paraId="2E33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057" w:type="dxa"/>
            <w:gridSpan w:val="9"/>
            <w:noWrap w:val="0"/>
            <w:vAlign w:val="center"/>
          </w:tcPr>
          <w:p w14:paraId="751F3A1E">
            <w:pPr>
              <w:tabs>
                <w:tab w:val="left" w:pos="3193"/>
              </w:tabs>
              <w:jc w:val="left"/>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ab/>
            </w:r>
            <w:r>
              <w:rPr>
                <w:rFonts w:hint="eastAsia" w:ascii="宋体" w:hAnsi="宋体" w:eastAsia="宋体" w:cs="宋体"/>
                <w:i w:val="0"/>
                <w:color w:val="000000"/>
                <w:kern w:val="0"/>
                <w:sz w:val="21"/>
                <w:szCs w:val="21"/>
                <w:highlight w:val="none"/>
                <w:u w:val="none"/>
                <w:lang w:val="en-US" w:eastAsia="zh-CN" w:bidi="ar-SA"/>
              </w:rPr>
              <w:t>安防设备</w:t>
            </w:r>
          </w:p>
        </w:tc>
      </w:tr>
      <w:tr w14:paraId="0CF3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34DF72C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1592" w:type="dxa"/>
            <w:noWrap w:val="0"/>
            <w:vAlign w:val="center"/>
          </w:tcPr>
          <w:p w14:paraId="3FE6C74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监控枪机</w:t>
            </w:r>
          </w:p>
        </w:tc>
        <w:tc>
          <w:tcPr>
            <w:tcW w:w="1818" w:type="dxa"/>
            <w:noWrap w:val="0"/>
            <w:vAlign w:val="center"/>
          </w:tcPr>
          <w:p w14:paraId="262DB03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IP68 , 400 万像素 , 网络型</w:t>
            </w:r>
          </w:p>
        </w:tc>
        <w:tc>
          <w:tcPr>
            <w:tcW w:w="616" w:type="dxa"/>
            <w:noWrap w:val="0"/>
            <w:vAlign w:val="center"/>
          </w:tcPr>
          <w:p w14:paraId="75458C2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w:t>
            </w:r>
          </w:p>
        </w:tc>
        <w:tc>
          <w:tcPr>
            <w:tcW w:w="665" w:type="dxa"/>
            <w:noWrap w:val="0"/>
            <w:vAlign w:val="center"/>
          </w:tcPr>
          <w:p w14:paraId="0E28C76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106FBA1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34B4900">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FB5286D">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76D8D82">
            <w:pPr>
              <w:jc w:val="center"/>
              <w:rPr>
                <w:rFonts w:hint="eastAsia" w:ascii="宋体" w:hAnsi="宋体" w:eastAsia="宋体" w:cs="宋体"/>
                <w:i w:val="0"/>
                <w:color w:val="000000"/>
                <w:kern w:val="0"/>
                <w:sz w:val="21"/>
                <w:szCs w:val="21"/>
                <w:highlight w:val="none"/>
                <w:u w:val="none"/>
                <w:lang w:val="en-US" w:eastAsia="zh-CN" w:bidi="ar-SA"/>
              </w:rPr>
            </w:pPr>
          </w:p>
        </w:tc>
      </w:tr>
      <w:tr w14:paraId="55B8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7B9438A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w:t>
            </w:r>
          </w:p>
        </w:tc>
        <w:tc>
          <w:tcPr>
            <w:tcW w:w="1592" w:type="dxa"/>
            <w:noWrap w:val="0"/>
            <w:vAlign w:val="center"/>
          </w:tcPr>
          <w:p w14:paraId="53A39A5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监控球机</w:t>
            </w:r>
          </w:p>
        </w:tc>
        <w:tc>
          <w:tcPr>
            <w:tcW w:w="1818" w:type="dxa"/>
            <w:noWrap w:val="0"/>
            <w:vAlign w:val="center"/>
          </w:tcPr>
          <w:p w14:paraId="4B74DDE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IP68 , 400 万像素 , 网络型</w:t>
            </w:r>
          </w:p>
        </w:tc>
        <w:tc>
          <w:tcPr>
            <w:tcW w:w="616" w:type="dxa"/>
            <w:noWrap w:val="0"/>
            <w:vAlign w:val="center"/>
          </w:tcPr>
          <w:p w14:paraId="4FEA9F2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w:t>
            </w:r>
          </w:p>
        </w:tc>
        <w:tc>
          <w:tcPr>
            <w:tcW w:w="665" w:type="dxa"/>
            <w:noWrap w:val="0"/>
            <w:vAlign w:val="center"/>
          </w:tcPr>
          <w:p w14:paraId="0D9D9F0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42A8DE9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FC31F5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47E3C1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263F886">
            <w:pPr>
              <w:jc w:val="center"/>
              <w:rPr>
                <w:rFonts w:hint="eastAsia" w:ascii="宋体" w:hAnsi="宋体" w:eastAsia="宋体" w:cs="宋体"/>
                <w:i w:val="0"/>
                <w:color w:val="000000"/>
                <w:kern w:val="0"/>
                <w:sz w:val="21"/>
                <w:szCs w:val="21"/>
                <w:highlight w:val="none"/>
                <w:u w:val="none"/>
                <w:lang w:val="en-US" w:eastAsia="zh-CN" w:bidi="ar-SA"/>
              </w:rPr>
            </w:pPr>
          </w:p>
        </w:tc>
      </w:tr>
      <w:tr w14:paraId="7AF1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5690ED0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w:t>
            </w:r>
          </w:p>
        </w:tc>
        <w:tc>
          <w:tcPr>
            <w:tcW w:w="1592" w:type="dxa"/>
            <w:noWrap w:val="0"/>
            <w:vAlign w:val="center"/>
          </w:tcPr>
          <w:p w14:paraId="36C4E4D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监控箱</w:t>
            </w:r>
          </w:p>
        </w:tc>
        <w:tc>
          <w:tcPr>
            <w:tcW w:w="1818" w:type="dxa"/>
            <w:noWrap w:val="0"/>
            <w:vAlign w:val="center"/>
          </w:tcPr>
          <w:p w14:paraId="609AB32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304 不锈钢 ,IP65;含元器件;</w:t>
            </w:r>
          </w:p>
        </w:tc>
        <w:tc>
          <w:tcPr>
            <w:tcW w:w="616" w:type="dxa"/>
            <w:noWrap w:val="0"/>
            <w:vAlign w:val="center"/>
          </w:tcPr>
          <w:p w14:paraId="36A158A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w:t>
            </w:r>
          </w:p>
        </w:tc>
        <w:tc>
          <w:tcPr>
            <w:tcW w:w="665" w:type="dxa"/>
            <w:noWrap w:val="0"/>
            <w:vAlign w:val="center"/>
          </w:tcPr>
          <w:p w14:paraId="088B9D6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526CD790">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8F82DD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5500BD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C63ED68">
            <w:pPr>
              <w:jc w:val="center"/>
              <w:rPr>
                <w:rFonts w:hint="eastAsia" w:ascii="宋体" w:hAnsi="宋体" w:eastAsia="宋体" w:cs="宋体"/>
                <w:i w:val="0"/>
                <w:color w:val="000000"/>
                <w:kern w:val="0"/>
                <w:sz w:val="21"/>
                <w:szCs w:val="21"/>
                <w:highlight w:val="none"/>
                <w:u w:val="none"/>
                <w:lang w:val="en-US" w:eastAsia="zh-CN" w:bidi="ar-SA"/>
              </w:rPr>
            </w:pPr>
          </w:p>
        </w:tc>
      </w:tr>
      <w:tr w14:paraId="4CFB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62D37E8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4</w:t>
            </w:r>
          </w:p>
        </w:tc>
        <w:tc>
          <w:tcPr>
            <w:tcW w:w="1592" w:type="dxa"/>
            <w:noWrap w:val="0"/>
            <w:vAlign w:val="center"/>
          </w:tcPr>
          <w:p w14:paraId="625AEE7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交换机</w:t>
            </w:r>
          </w:p>
        </w:tc>
        <w:tc>
          <w:tcPr>
            <w:tcW w:w="1818" w:type="dxa"/>
            <w:noWrap w:val="0"/>
            <w:vAlign w:val="center"/>
          </w:tcPr>
          <w:p w14:paraId="25FEB91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2光4电口;网管型;环网百兆</w:t>
            </w:r>
          </w:p>
        </w:tc>
        <w:tc>
          <w:tcPr>
            <w:tcW w:w="616" w:type="dxa"/>
            <w:noWrap w:val="0"/>
            <w:vAlign w:val="center"/>
          </w:tcPr>
          <w:p w14:paraId="0D0AF92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w:t>
            </w:r>
          </w:p>
        </w:tc>
        <w:tc>
          <w:tcPr>
            <w:tcW w:w="665" w:type="dxa"/>
            <w:noWrap w:val="0"/>
            <w:vAlign w:val="center"/>
          </w:tcPr>
          <w:p w14:paraId="632182B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台</w:t>
            </w:r>
          </w:p>
        </w:tc>
        <w:tc>
          <w:tcPr>
            <w:tcW w:w="1397" w:type="dxa"/>
            <w:noWrap w:val="0"/>
            <w:vAlign w:val="center"/>
          </w:tcPr>
          <w:p w14:paraId="753093B9">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B315CC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B688E7C">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0E87706">
            <w:pPr>
              <w:jc w:val="center"/>
              <w:rPr>
                <w:rFonts w:hint="eastAsia" w:ascii="宋体" w:hAnsi="宋体" w:eastAsia="宋体" w:cs="宋体"/>
                <w:i w:val="0"/>
                <w:color w:val="000000"/>
                <w:kern w:val="0"/>
                <w:sz w:val="21"/>
                <w:szCs w:val="21"/>
                <w:highlight w:val="none"/>
                <w:u w:val="none"/>
                <w:lang w:val="en-US" w:eastAsia="zh-CN" w:bidi="ar-SA"/>
              </w:rPr>
            </w:pPr>
          </w:p>
        </w:tc>
      </w:tr>
      <w:tr w14:paraId="650B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2BB7153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w:t>
            </w:r>
          </w:p>
        </w:tc>
        <w:tc>
          <w:tcPr>
            <w:tcW w:w="1592" w:type="dxa"/>
            <w:noWrap w:val="0"/>
            <w:vAlign w:val="center"/>
          </w:tcPr>
          <w:p w14:paraId="364697F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二合一防雷器</w:t>
            </w:r>
          </w:p>
        </w:tc>
        <w:tc>
          <w:tcPr>
            <w:tcW w:w="1818" w:type="dxa"/>
            <w:noWrap w:val="0"/>
            <w:vAlign w:val="center"/>
          </w:tcPr>
          <w:p w14:paraId="54D47A1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RJ45;AC220V;监控专用;</w:t>
            </w:r>
          </w:p>
        </w:tc>
        <w:tc>
          <w:tcPr>
            <w:tcW w:w="616" w:type="dxa"/>
            <w:noWrap w:val="0"/>
            <w:vAlign w:val="center"/>
          </w:tcPr>
          <w:p w14:paraId="30C4B5B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11</w:t>
            </w:r>
          </w:p>
        </w:tc>
        <w:tc>
          <w:tcPr>
            <w:tcW w:w="665" w:type="dxa"/>
            <w:noWrap w:val="0"/>
            <w:vAlign w:val="center"/>
          </w:tcPr>
          <w:p w14:paraId="0E7CD13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1A54C19C">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BA3EDF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2DD6F5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6B6F985">
            <w:pPr>
              <w:jc w:val="center"/>
              <w:rPr>
                <w:rFonts w:hint="eastAsia" w:ascii="宋体" w:hAnsi="宋体" w:eastAsia="宋体" w:cs="宋体"/>
                <w:i w:val="0"/>
                <w:color w:val="000000"/>
                <w:kern w:val="0"/>
                <w:sz w:val="21"/>
                <w:szCs w:val="21"/>
                <w:highlight w:val="none"/>
                <w:u w:val="none"/>
                <w:lang w:val="en-US" w:eastAsia="zh-CN" w:bidi="ar-SA"/>
              </w:rPr>
            </w:pPr>
          </w:p>
        </w:tc>
      </w:tr>
      <w:tr w14:paraId="7524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6758BFC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w:t>
            </w:r>
          </w:p>
        </w:tc>
        <w:tc>
          <w:tcPr>
            <w:tcW w:w="1592" w:type="dxa"/>
            <w:noWrap w:val="0"/>
            <w:vAlign w:val="center"/>
          </w:tcPr>
          <w:p w14:paraId="22FF951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监控立杆</w:t>
            </w:r>
          </w:p>
        </w:tc>
        <w:tc>
          <w:tcPr>
            <w:tcW w:w="1818" w:type="dxa"/>
            <w:noWrap w:val="0"/>
            <w:vAlign w:val="center"/>
          </w:tcPr>
          <w:p w14:paraId="30EBC5F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3.5m,含基础;</w:t>
            </w:r>
          </w:p>
        </w:tc>
        <w:tc>
          <w:tcPr>
            <w:tcW w:w="616" w:type="dxa"/>
            <w:noWrap w:val="0"/>
            <w:vAlign w:val="center"/>
          </w:tcPr>
          <w:p w14:paraId="6824E4E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w:t>
            </w:r>
          </w:p>
        </w:tc>
        <w:tc>
          <w:tcPr>
            <w:tcW w:w="665" w:type="dxa"/>
            <w:noWrap w:val="0"/>
            <w:vAlign w:val="center"/>
          </w:tcPr>
          <w:p w14:paraId="08246FC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38EB840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552D5F2">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9464221">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B3BF6A7">
            <w:pPr>
              <w:jc w:val="center"/>
              <w:rPr>
                <w:rFonts w:hint="eastAsia" w:ascii="宋体" w:hAnsi="宋体" w:eastAsia="宋体" w:cs="宋体"/>
                <w:i w:val="0"/>
                <w:color w:val="000000"/>
                <w:kern w:val="0"/>
                <w:sz w:val="21"/>
                <w:szCs w:val="21"/>
                <w:highlight w:val="none"/>
                <w:u w:val="none"/>
                <w:lang w:val="en-US" w:eastAsia="zh-CN" w:bidi="ar-SA"/>
              </w:rPr>
            </w:pPr>
          </w:p>
        </w:tc>
      </w:tr>
      <w:tr w14:paraId="4A6D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14" w:type="dxa"/>
            <w:noWrap w:val="0"/>
            <w:vAlign w:val="center"/>
          </w:tcPr>
          <w:p w14:paraId="54A7321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w:t>
            </w:r>
          </w:p>
        </w:tc>
        <w:tc>
          <w:tcPr>
            <w:tcW w:w="1592" w:type="dxa"/>
            <w:noWrap w:val="0"/>
            <w:vAlign w:val="center"/>
          </w:tcPr>
          <w:p w14:paraId="56712010">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硬盘录像机</w:t>
            </w:r>
          </w:p>
        </w:tc>
        <w:tc>
          <w:tcPr>
            <w:tcW w:w="1818" w:type="dxa"/>
            <w:noWrap w:val="0"/>
            <w:vAlign w:val="center"/>
          </w:tcPr>
          <w:p w14:paraId="0443D173">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不少于 16 路,支持硬盘热插拔,</w:t>
            </w:r>
            <w:r>
              <w:rPr>
                <w:rFonts w:hint="eastAsia" w:ascii="宋体" w:hAnsi="宋体" w:eastAsia="宋体" w:cs="宋体"/>
                <w:i w:val="0"/>
                <w:color w:val="000000"/>
                <w:kern w:val="0"/>
                <w:sz w:val="21"/>
                <w:szCs w:val="21"/>
                <w:highlight w:val="none"/>
                <w:u w:val="none"/>
                <w:lang w:val="en-US" w:eastAsia="zh-CN" w:bidi="ar-SA"/>
              </w:rPr>
              <w:br w:type="textWrapping"/>
            </w:r>
            <w:r>
              <w:rPr>
                <w:rFonts w:hint="eastAsia" w:ascii="宋体" w:hAnsi="宋体" w:eastAsia="宋体" w:cs="宋体"/>
                <w:i w:val="0"/>
                <w:color w:val="000000"/>
                <w:kern w:val="0"/>
                <w:sz w:val="21"/>
                <w:szCs w:val="21"/>
                <w:highlight w:val="none"/>
                <w:u w:val="none"/>
                <w:lang w:val="en-US" w:eastAsia="zh-CN" w:bidi="ar-SA"/>
              </w:rPr>
              <w:t>含硬盘(8*2T);存储不少于30天</w:t>
            </w:r>
          </w:p>
        </w:tc>
        <w:tc>
          <w:tcPr>
            <w:tcW w:w="616" w:type="dxa"/>
            <w:noWrap w:val="0"/>
            <w:vAlign w:val="center"/>
          </w:tcPr>
          <w:p w14:paraId="06085B9F">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2ACC2E77">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15B9AE72">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FE72674">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A9756E9">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A991215">
            <w:pPr>
              <w:rPr>
                <w:rFonts w:hint="eastAsia" w:ascii="宋体" w:hAnsi="宋体" w:eastAsia="宋体" w:cs="宋体"/>
                <w:i w:val="0"/>
                <w:color w:val="000000"/>
                <w:kern w:val="0"/>
                <w:sz w:val="21"/>
                <w:szCs w:val="21"/>
                <w:highlight w:val="none"/>
                <w:u w:val="none"/>
                <w:lang w:val="en-US" w:eastAsia="zh-CN" w:bidi="ar-SA"/>
              </w:rPr>
            </w:pPr>
          </w:p>
        </w:tc>
      </w:tr>
      <w:tr w14:paraId="41C8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69E2A7F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w:t>
            </w:r>
          </w:p>
        </w:tc>
        <w:tc>
          <w:tcPr>
            <w:tcW w:w="1592" w:type="dxa"/>
            <w:noWrap w:val="0"/>
            <w:vAlign w:val="center"/>
          </w:tcPr>
          <w:p w14:paraId="2FAEE87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交换机</w:t>
            </w:r>
          </w:p>
        </w:tc>
        <w:tc>
          <w:tcPr>
            <w:tcW w:w="1818" w:type="dxa"/>
            <w:noWrap w:val="0"/>
            <w:vAlign w:val="center"/>
          </w:tcPr>
          <w:p w14:paraId="4DF4BBC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 光 16 电,POE,千兆,网管型</w:t>
            </w:r>
          </w:p>
        </w:tc>
        <w:tc>
          <w:tcPr>
            <w:tcW w:w="616" w:type="dxa"/>
            <w:noWrap w:val="0"/>
            <w:vAlign w:val="center"/>
          </w:tcPr>
          <w:p w14:paraId="22442EE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0EAB260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台</w:t>
            </w:r>
          </w:p>
        </w:tc>
        <w:tc>
          <w:tcPr>
            <w:tcW w:w="1397" w:type="dxa"/>
            <w:noWrap w:val="0"/>
            <w:vAlign w:val="center"/>
          </w:tcPr>
          <w:p w14:paraId="027C1B9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1C890A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4C55F11">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AFE8EFD">
            <w:pPr>
              <w:jc w:val="center"/>
              <w:rPr>
                <w:rFonts w:hint="eastAsia" w:ascii="宋体" w:hAnsi="宋体" w:eastAsia="宋体" w:cs="宋体"/>
                <w:i w:val="0"/>
                <w:color w:val="000000"/>
                <w:kern w:val="0"/>
                <w:sz w:val="21"/>
                <w:szCs w:val="21"/>
                <w:highlight w:val="none"/>
                <w:u w:val="none"/>
                <w:lang w:val="en-US" w:eastAsia="zh-CN" w:bidi="ar-SA"/>
              </w:rPr>
            </w:pPr>
          </w:p>
        </w:tc>
      </w:tr>
      <w:tr w14:paraId="1C48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42393FC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w:t>
            </w:r>
          </w:p>
        </w:tc>
        <w:tc>
          <w:tcPr>
            <w:tcW w:w="1592" w:type="dxa"/>
            <w:noWrap w:val="0"/>
            <w:vAlign w:val="center"/>
          </w:tcPr>
          <w:p w14:paraId="260306F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电子围栏系统</w:t>
            </w:r>
          </w:p>
        </w:tc>
        <w:tc>
          <w:tcPr>
            <w:tcW w:w="1818" w:type="dxa"/>
            <w:noWrap w:val="0"/>
            <w:vAlign w:val="center"/>
          </w:tcPr>
          <w:p w14:paraId="32D1C4B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配置详见系统拓扑图</w:t>
            </w:r>
          </w:p>
        </w:tc>
        <w:tc>
          <w:tcPr>
            <w:tcW w:w="616" w:type="dxa"/>
            <w:noWrap w:val="0"/>
            <w:vAlign w:val="center"/>
          </w:tcPr>
          <w:p w14:paraId="6E5C9F8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11122E1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20E3496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2E6E84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91FE95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96B056B">
            <w:pPr>
              <w:jc w:val="center"/>
              <w:rPr>
                <w:rFonts w:hint="eastAsia" w:ascii="宋体" w:hAnsi="宋体" w:eastAsia="宋体" w:cs="宋体"/>
                <w:i w:val="0"/>
                <w:color w:val="000000"/>
                <w:kern w:val="0"/>
                <w:sz w:val="21"/>
                <w:szCs w:val="21"/>
                <w:highlight w:val="none"/>
                <w:u w:val="none"/>
                <w:lang w:val="en-US" w:eastAsia="zh-CN" w:bidi="ar-SA"/>
              </w:rPr>
            </w:pPr>
          </w:p>
        </w:tc>
      </w:tr>
      <w:tr w14:paraId="421E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014" w:type="dxa"/>
            <w:noWrap w:val="0"/>
            <w:vAlign w:val="center"/>
          </w:tcPr>
          <w:p w14:paraId="67B9305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13.1</w:t>
            </w:r>
          </w:p>
        </w:tc>
        <w:tc>
          <w:tcPr>
            <w:tcW w:w="1592" w:type="dxa"/>
            <w:noWrap w:val="0"/>
            <w:vAlign w:val="center"/>
          </w:tcPr>
          <w:p w14:paraId="015D4DB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电子围栏控制器</w:t>
            </w:r>
          </w:p>
        </w:tc>
        <w:tc>
          <w:tcPr>
            <w:tcW w:w="1818" w:type="dxa"/>
            <w:noWrap w:val="0"/>
            <w:vAlign w:val="center"/>
          </w:tcPr>
          <w:p w14:paraId="762CC8A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具备语音识别模块 ,TCP/IP 网络控制功能 , 区域报警段显示 , 带液晶屏,可显示出防区状态;DC24V 供电 , 输出电压峰值:单线对地电压 5KV ~10KV,脉冲持续时间:≤ 0.1s ; 脉冲间隔时间 :1s ~ 1.5s ;单个脉冲输出最大电量:≤ 2.5mC</w:t>
            </w:r>
          </w:p>
        </w:tc>
        <w:tc>
          <w:tcPr>
            <w:tcW w:w="616" w:type="dxa"/>
            <w:noWrap w:val="0"/>
            <w:vAlign w:val="center"/>
          </w:tcPr>
          <w:p w14:paraId="2501475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w:t>
            </w:r>
          </w:p>
        </w:tc>
        <w:tc>
          <w:tcPr>
            <w:tcW w:w="665" w:type="dxa"/>
            <w:noWrap w:val="0"/>
            <w:vAlign w:val="center"/>
          </w:tcPr>
          <w:p w14:paraId="3CA83E5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5F83671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B69854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495FCFC">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423A799">
            <w:pPr>
              <w:jc w:val="center"/>
              <w:rPr>
                <w:rFonts w:hint="eastAsia" w:ascii="宋体" w:hAnsi="宋体" w:eastAsia="宋体" w:cs="宋体"/>
                <w:i w:val="0"/>
                <w:color w:val="000000"/>
                <w:kern w:val="0"/>
                <w:sz w:val="21"/>
                <w:szCs w:val="21"/>
                <w:highlight w:val="none"/>
                <w:u w:val="none"/>
                <w:lang w:val="en-US" w:eastAsia="zh-CN" w:bidi="ar-SA"/>
              </w:rPr>
            </w:pPr>
          </w:p>
        </w:tc>
      </w:tr>
      <w:tr w14:paraId="2746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747E53D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13.2</w:t>
            </w:r>
          </w:p>
        </w:tc>
        <w:tc>
          <w:tcPr>
            <w:tcW w:w="1592" w:type="dxa"/>
            <w:noWrap w:val="0"/>
            <w:vAlign w:val="center"/>
          </w:tcPr>
          <w:p w14:paraId="76C5C6C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主机控制箱</w:t>
            </w:r>
          </w:p>
        </w:tc>
        <w:tc>
          <w:tcPr>
            <w:tcW w:w="1818" w:type="dxa"/>
            <w:noWrap w:val="0"/>
            <w:vAlign w:val="center"/>
          </w:tcPr>
          <w:p w14:paraId="55D6CDF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304 不锈钢, 400mm*500mm*170mm , IP55</w:t>
            </w:r>
          </w:p>
        </w:tc>
        <w:tc>
          <w:tcPr>
            <w:tcW w:w="616" w:type="dxa"/>
            <w:noWrap w:val="0"/>
            <w:vAlign w:val="center"/>
          </w:tcPr>
          <w:p w14:paraId="7E0CB2E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w:t>
            </w:r>
          </w:p>
        </w:tc>
        <w:tc>
          <w:tcPr>
            <w:tcW w:w="665" w:type="dxa"/>
            <w:noWrap w:val="0"/>
            <w:vAlign w:val="center"/>
          </w:tcPr>
          <w:p w14:paraId="2289F3D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7CC3913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E30EC0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7FB2BB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7624A5C">
            <w:pPr>
              <w:jc w:val="center"/>
              <w:rPr>
                <w:rFonts w:hint="eastAsia" w:ascii="宋体" w:hAnsi="宋体" w:eastAsia="宋体" w:cs="宋体"/>
                <w:i w:val="0"/>
                <w:color w:val="000000"/>
                <w:kern w:val="0"/>
                <w:sz w:val="21"/>
                <w:szCs w:val="21"/>
                <w:highlight w:val="none"/>
                <w:u w:val="none"/>
                <w:lang w:val="en-US" w:eastAsia="zh-CN" w:bidi="ar-SA"/>
              </w:rPr>
            </w:pPr>
          </w:p>
        </w:tc>
      </w:tr>
      <w:tr w14:paraId="52DA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14" w:type="dxa"/>
            <w:noWrap w:val="0"/>
            <w:vAlign w:val="center"/>
          </w:tcPr>
          <w:p w14:paraId="02C2C59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13.3</w:t>
            </w:r>
          </w:p>
        </w:tc>
        <w:tc>
          <w:tcPr>
            <w:tcW w:w="1592" w:type="dxa"/>
            <w:noWrap w:val="0"/>
            <w:vAlign w:val="center"/>
          </w:tcPr>
          <w:p w14:paraId="7398263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高压避雷器</w:t>
            </w:r>
          </w:p>
        </w:tc>
        <w:tc>
          <w:tcPr>
            <w:tcW w:w="1818" w:type="dxa"/>
            <w:noWrap w:val="0"/>
            <w:vAlign w:val="center"/>
          </w:tcPr>
          <w:p w14:paraId="3957ECE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双层高性能氧化锌化学防雷;防静电;保护无线通讯信号不受脉冲高压电干扰</w:t>
            </w:r>
          </w:p>
        </w:tc>
        <w:tc>
          <w:tcPr>
            <w:tcW w:w="616" w:type="dxa"/>
            <w:noWrap w:val="0"/>
            <w:vAlign w:val="center"/>
          </w:tcPr>
          <w:p w14:paraId="5939F65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4</w:t>
            </w:r>
          </w:p>
        </w:tc>
        <w:tc>
          <w:tcPr>
            <w:tcW w:w="665" w:type="dxa"/>
            <w:noWrap w:val="0"/>
            <w:vAlign w:val="center"/>
          </w:tcPr>
          <w:p w14:paraId="77DB519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个</w:t>
            </w:r>
          </w:p>
        </w:tc>
        <w:tc>
          <w:tcPr>
            <w:tcW w:w="1397" w:type="dxa"/>
            <w:noWrap w:val="0"/>
            <w:vAlign w:val="center"/>
          </w:tcPr>
          <w:p w14:paraId="2E5D760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20502B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BD74AB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9E9C2C3">
            <w:pPr>
              <w:jc w:val="center"/>
              <w:rPr>
                <w:rFonts w:hint="eastAsia" w:ascii="宋体" w:hAnsi="宋体" w:eastAsia="宋体" w:cs="宋体"/>
                <w:i w:val="0"/>
                <w:color w:val="000000"/>
                <w:kern w:val="0"/>
                <w:sz w:val="21"/>
                <w:szCs w:val="21"/>
                <w:highlight w:val="none"/>
                <w:u w:val="none"/>
                <w:lang w:val="en-US" w:eastAsia="zh-CN" w:bidi="ar-SA"/>
              </w:rPr>
            </w:pPr>
          </w:p>
        </w:tc>
      </w:tr>
      <w:tr w14:paraId="18AD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014" w:type="dxa"/>
            <w:noWrap w:val="0"/>
            <w:vAlign w:val="center"/>
          </w:tcPr>
          <w:p w14:paraId="3032340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13.4</w:t>
            </w:r>
          </w:p>
        </w:tc>
        <w:tc>
          <w:tcPr>
            <w:tcW w:w="1592" w:type="dxa"/>
            <w:noWrap w:val="0"/>
            <w:vAlign w:val="center"/>
          </w:tcPr>
          <w:p w14:paraId="0F2BD24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报警服务器</w:t>
            </w:r>
          </w:p>
        </w:tc>
        <w:tc>
          <w:tcPr>
            <w:tcW w:w="1818" w:type="dxa"/>
            <w:noWrap w:val="0"/>
            <w:vAlign w:val="center"/>
          </w:tcPr>
          <w:p w14:paraId="315EC07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通过智能控制终端或软件对周界报警设备实现远程控制,支持直连显示器,支持语音播报与控制,设备直连联动,支持联动抓拍图片本地存储,支持电子围栏 RS485 和 TCP/IP 信号接入,支持模拟电子地图接入,直连报警打印机,直连音箱,支持报警语音推送支持报警云服务接入等。</w:t>
            </w:r>
          </w:p>
        </w:tc>
        <w:tc>
          <w:tcPr>
            <w:tcW w:w="616" w:type="dxa"/>
            <w:noWrap w:val="0"/>
            <w:vAlign w:val="center"/>
          </w:tcPr>
          <w:p w14:paraId="23942E0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400D122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4D4C5D11">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CCCCF5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778F71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1192AEE">
            <w:pPr>
              <w:jc w:val="center"/>
              <w:rPr>
                <w:rFonts w:hint="eastAsia" w:ascii="宋体" w:hAnsi="宋体" w:eastAsia="宋体" w:cs="宋体"/>
                <w:i w:val="0"/>
                <w:color w:val="000000"/>
                <w:kern w:val="0"/>
                <w:sz w:val="21"/>
                <w:szCs w:val="21"/>
                <w:highlight w:val="none"/>
                <w:u w:val="none"/>
                <w:lang w:val="en-US" w:eastAsia="zh-CN" w:bidi="ar-SA"/>
              </w:rPr>
            </w:pPr>
          </w:p>
        </w:tc>
      </w:tr>
      <w:tr w14:paraId="6F91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14" w:type="dxa"/>
            <w:noWrap w:val="0"/>
            <w:vAlign w:val="center"/>
          </w:tcPr>
          <w:p w14:paraId="0752E9C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13.5</w:t>
            </w:r>
          </w:p>
        </w:tc>
        <w:tc>
          <w:tcPr>
            <w:tcW w:w="1592" w:type="dxa"/>
            <w:noWrap w:val="0"/>
            <w:vAlign w:val="center"/>
          </w:tcPr>
          <w:p w14:paraId="40DA4D4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语音模块</w:t>
            </w:r>
          </w:p>
        </w:tc>
        <w:tc>
          <w:tcPr>
            <w:tcW w:w="1818" w:type="dxa"/>
            <w:noWrap w:val="0"/>
            <w:vAlign w:val="center"/>
          </w:tcPr>
          <w:p w14:paraId="78F8F69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RJ45 网络通讯,带 8W 功放电路,可直接用 8W 喇叭输出声音;支持多种内码格式文本的合成;</w:t>
            </w:r>
          </w:p>
        </w:tc>
        <w:tc>
          <w:tcPr>
            <w:tcW w:w="616" w:type="dxa"/>
            <w:noWrap w:val="0"/>
            <w:vAlign w:val="center"/>
          </w:tcPr>
          <w:p w14:paraId="244FB2C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4</w:t>
            </w:r>
          </w:p>
        </w:tc>
        <w:tc>
          <w:tcPr>
            <w:tcW w:w="665" w:type="dxa"/>
            <w:noWrap w:val="0"/>
            <w:vAlign w:val="center"/>
          </w:tcPr>
          <w:p w14:paraId="1CAEFD8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个</w:t>
            </w:r>
          </w:p>
        </w:tc>
        <w:tc>
          <w:tcPr>
            <w:tcW w:w="1397" w:type="dxa"/>
            <w:noWrap w:val="0"/>
            <w:vAlign w:val="center"/>
          </w:tcPr>
          <w:p w14:paraId="7F3D663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支持语音播报与控制,设备直连联动,支持联动抓拍图片本地存储,</w:t>
            </w:r>
          </w:p>
        </w:tc>
        <w:tc>
          <w:tcPr>
            <w:tcW w:w="985" w:type="dxa"/>
            <w:noWrap w:val="0"/>
            <w:vAlign w:val="center"/>
          </w:tcPr>
          <w:p w14:paraId="4448CC5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108205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034BBF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7DAC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14" w:type="dxa"/>
            <w:noWrap w:val="0"/>
            <w:vAlign w:val="center"/>
          </w:tcPr>
          <w:p w14:paraId="5291042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13.6</w:t>
            </w:r>
          </w:p>
        </w:tc>
        <w:tc>
          <w:tcPr>
            <w:tcW w:w="1592" w:type="dxa"/>
            <w:noWrap w:val="0"/>
            <w:vAlign w:val="center"/>
          </w:tcPr>
          <w:p w14:paraId="68080C9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高强度铝合金终端杆</w:t>
            </w:r>
          </w:p>
        </w:tc>
        <w:tc>
          <w:tcPr>
            <w:tcW w:w="1818" w:type="dxa"/>
            <w:noWrap w:val="0"/>
            <w:vAlign w:val="center"/>
          </w:tcPr>
          <w:p w14:paraId="13AEF09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拉丝银灰 ,铝镁合金材质</w:t>
            </w:r>
          </w:p>
        </w:tc>
        <w:tc>
          <w:tcPr>
            <w:tcW w:w="616" w:type="dxa"/>
            <w:noWrap w:val="0"/>
            <w:vAlign w:val="center"/>
          </w:tcPr>
          <w:p w14:paraId="71124E1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按需</w:t>
            </w:r>
          </w:p>
        </w:tc>
        <w:tc>
          <w:tcPr>
            <w:tcW w:w="665" w:type="dxa"/>
            <w:noWrap w:val="0"/>
            <w:vAlign w:val="center"/>
          </w:tcPr>
          <w:p w14:paraId="1338B19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14999DE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支持电子围栏 RS485 和 TCP/IP 信号接入,支持模拟电子地图接入,</w:t>
            </w:r>
          </w:p>
        </w:tc>
        <w:tc>
          <w:tcPr>
            <w:tcW w:w="985" w:type="dxa"/>
            <w:noWrap w:val="0"/>
            <w:vAlign w:val="center"/>
          </w:tcPr>
          <w:p w14:paraId="5277244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AE4EC1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102805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18E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14" w:type="dxa"/>
            <w:noWrap w:val="0"/>
            <w:vAlign w:val="center"/>
          </w:tcPr>
          <w:p w14:paraId="3545863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13.7</w:t>
            </w:r>
          </w:p>
        </w:tc>
        <w:tc>
          <w:tcPr>
            <w:tcW w:w="1592" w:type="dxa"/>
            <w:noWrap w:val="0"/>
            <w:vAlign w:val="center"/>
          </w:tcPr>
          <w:p w14:paraId="53B80E4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中间杆</w:t>
            </w:r>
          </w:p>
        </w:tc>
        <w:tc>
          <w:tcPr>
            <w:tcW w:w="1818" w:type="dxa"/>
            <w:noWrap w:val="0"/>
            <w:vAlign w:val="center"/>
          </w:tcPr>
          <w:p w14:paraId="25511C9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灰色,碳素纤维材质,用于承受拉力,国际标准长为 92CM ,壁厚 10mm</w:t>
            </w:r>
          </w:p>
        </w:tc>
        <w:tc>
          <w:tcPr>
            <w:tcW w:w="616" w:type="dxa"/>
            <w:noWrap w:val="0"/>
            <w:vAlign w:val="center"/>
          </w:tcPr>
          <w:p w14:paraId="47DD3A6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按需</w:t>
            </w:r>
          </w:p>
        </w:tc>
        <w:tc>
          <w:tcPr>
            <w:tcW w:w="665" w:type="dxa"/>
            <w:noWrap w:val="0"/>
            <w:vAlign w:val="center"/>
          </w:tcPr>
          <w:p w14:paraId="704DC07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142963B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直连报警打印机,直连音箱,支持报警语音推送支持报警云服务接入等。</w:t>
            </w:r>
          </w:p>
        </w:tc>
        <w:tc>
          <w:tcPr>
            <w:tcW w:w="985" w:type="dxa"/>
            <w:noWrap w:val="0"/>
            <w:vAlign w:val="center"/>
          </w:tcPr>
          <w:p w14:paraId="1288974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B0CF4E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CDB37B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728C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14" w:type="dxa"/>
            <w:noWrap w:val="0"/>
            <w:vAlign w:val="center"/>
          </w:tcPr>
          <w:p w14:paraId="5B5A264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13.8</w:t>
            </w:r>
          </w:p>
        </w:tc>
        <w:tc>
          <w:tcPr>
            <w:tcW w:w="1592" w:type="dxa"/>
            <w:noWrap w:val="0"/>
            <w:vAlign w:val="center"/>
          </w:tcPr>
          <w:p w14:paraId="29FBCFF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合金线</w:t>
            </w:r>
          </w:p>
        </w:tc>
        <w:tc>
          <w:tcPr>
            <w:tcW w:w="1818" w:type="dxa"/>
            <w:noWrap w:val="0"/>
            <w:vAlign w:val="center"/>
          </w:tcPr>
          <w:p w14:paraId="67A375C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脉冲合金导线,多股合金丝搅合,直径规格 2.0mm ,低电阻率,耐腐蚀</w:t>
            </w:r>
          </w:p>
        </w:tc>
        <w:tc>
          <w:tcPr>
            <w:tcW w:w="616" w:type="dxa"/>
            <w:noWrap w:val="0"/>
            <w:vAlign w:val="center"/>
          </w:tcPr>
          <w:p w14:paraId="061A2E6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按需</w:t>
            </w:r>
          </w:p>
        </w:tc>
        <w:tc>
          <w:tcPr>
            <w:tcW w:w="665" w:type="dxa"/>
            <w:noWrap w:val="0"/>
            <w:vAlign w:val="center"/>
          </w:tcPr>
          <w:p w14:paraId="310CB27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78C7C26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泵站电子围栏长度大约200m</w:t>
            </w:r>
          </w:p>
        </w:tc>
        <w:tc>
          <w:tcPr>
            <w:tcW w:w="985" w:type="dxa"/>
            <w:noWrap w:val="0"/>
            <w:vAlign w:val="center"/>
          </w:tcPr>
          <w:p w14:paraId="5881D26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07E86D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8B95B4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4A33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14" w:type="dxa"/>
            <w:noWrap w:val="0"/>
            <w:vAlign w:val="center"/>
          </w:tcPr>
          <w:p w14:paraId="6CFB7D6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13.9</w:t>
            </w:r>
          </w:p>
        </w:tc>
        <w:tc>
          <w:tcPr>
            <w:tcW w:w="1592" w:type="dxa"/>
            <w:noWrap w:val="0"/>
            <w:vAlign w:val="center"/>
          </w:tcPr>
          <w:p w14:paraId="1C955A1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高压线</w:t>
            </w:r>
          </w:p>
        </w:tc>
        <w:tc>
          <w:tcPr>
            <w:tcW w:w="1818" w:type="dxa"/>
            <w:noWrap w:val="0"/>
            <w:vAlign w:val="center"/>
          </w:tcPr>
          <w:p w14:paraId="405B306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脉冲电子围栏专业高压绝缘导线,耐受 30KV 电压,内芯采用合金线</w:t>
            </w:r>
          </w:p>
        </w:tc>
        <w:tc>
          <w:tcPr>
            <w:tcW w:w="616" w:type="dxa"/>
            <w:noWrap w:val="0"/>
            <w:vAlign w:val="center"/>
          </w:tcPr>
          <w:p w14:paraId="32138FC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按需</w:t>
            </w:r>
          </w:p>
        </w:tc>
        <w:tc>
          <w:tcPr>
            <w:tcW w:w="665" w:type="dxa"/>
            <w:noWrap w:val="0"/>
            <w:vAlign w:val="center"/>
          </w:tcPr>
          <w:p w14:paraId="6CC04B5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6086D2A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泵站电子围栏长度大约200m</w:t>
            </w:r>
          </w:p>
        </w:tc>
        <w:tc>
          <w:tcPr>
            <w:tcW w:w="985" w:type="dxa"/>
            <w:noWrap w:val="0"/>
            <w:vAlign w:val="center"/>
          </w:tcPr>
          <w:p w14:paraId="30BCF10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86B0A3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E6EE09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r>
      <w:tr w14:paraId="744B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238B6A0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 xml:space="preserve">13.10 </w:t>
            </w:r>
          </w:p>
        </w:tc>
        <w:tc>
          <w:tcPr>
            <w:tcW w:w="1592" w:type="dxa"/>
            <w:noWrap w:val="0"/>
            <w:vAlign w:val="center"/>
          </w:tcPr>
          <w:p w14:paraId="1CBF566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防雷接地桩</w:t>
            </w:r>
          </w:p>
        </w:tc>
        <w:tc>
          <w:tcPr>
            <w:tcW w:w="1818" w:type="dxa"/>
            <w:noWrap w:val="0"/>
            <w:vAlign w:val="center"/>
          </w:tcPr>
          <w:p w14:paraId="3A487EF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低阻 50mm*4mm*1000mm ,镀锌角钢</w:t>
            </w:r>
          </w:p>
        </w:tc>
        <w:tc>
          <w:tcPr>
            <w:tcW w:w="616" w:type="dxa"/>
            <w:noWrap w:val="0"/>
            <w:vAlign w:val="center"/>
          </w:tcPr>
          <w:p w14:paraId="6965F0D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按需</w:t>
            </w:r>
          </w:p>
        </w:tc>
        <w:tc>
          <w:tcPr>
            <w:tcW w:w="665" w:type="dxa"/>
            <w:noWrap w:val="0"/>
            <w:vAlign w:val="center"/>
          </w:tcPr>
          <w:p w14:paraId="41004A9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w:t>
            </w:r>
          </w:p>
        </w:tc>
        <w:tc>
          <w:tcPr>
            <w:tcW w:w="1397" w:type="dxa"/>
            <w:noWrap w:val="0"/>
            <w:vAlign w:val="center"/>
          </w:tcPr>
          <w:p w14:paraId="2BD0BF32">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43B2D4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7428E0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605D450">
            <w:pPr>
              <w:jc w:val="center"/>
              <w:rPr>
                <w:rFonts w:hint="eastAsia" w:ascii="宋体" w:hAnsi="宋体" w:eastAsia="宋体" w:cs="宋体"/>
                <w:i w:val="0"/>
                <w:color w:val="000000"/>
                <w:kern w:val="0"/>
                <w:sz w:val="21"/>
                <w:szCs w:val="21"/>
                <w:highlight w:val="none"/>
                <w:u w:val="none"/>
                <w:lang w:val="en-US" w:eastAsia="zh-CN" w:bidi="ar-SA"/>
              </w:rPr>
            </w:pPr>
          </w:p>
        </w:tc>
      </w:tr>
      <w:tr w14:paraId="31CC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14" w:type="dxa"/>
            <w:noWrap w:val="0"/>
            <w:vAlign w:val="center"/>
          </w:tcPr>
          <w:p w14:paraId="069622A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 xml:space="preserve">13.11 </w:t>
            </w:r>
          </w:p>
        </w:tc>
        <w:tc>
          <w:tcPr>
            <w:tcW w:w="1592" w:type="dxa"/>
            <w:noWrap w:val="0"/>
            <w:vAlign w:val="center"/>
          </w:tcPr>
          <w:p w14:paraId="2FD44E8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夜光型围栏警示牌</w:t>
            </w:r>
          </w:p>
        </w:tc>
        <w:tc>
          <w:tcPr>
            <w:tcW w:w="1818" w:type="dxa"/>
            <w:noWrap w:val="0"/>
            <w:vAlign w:val="center"/>
          </w:tcPr>
          <w:p w14:paraId="4E17E8F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双面立体夜光显示,防水耐腐蚀,材质:雪弗板配碳素</w:t>
            </w:r>
          </w:p>
        </w:tc>
        <w:tc>
          <w:tcPr>
            <w:tcW w:w="616" w:type="dxa"/>
            <w:noWrap w:val="0"/>
            <w:vAlign w:val="center"/>
          </w:tcPr>
          <w:p w14:paraId="1582A85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w:t>
            </w:r>
          </w:p>
        </w:tc>
        <w:tc>
          <w:tcPr>
            <w:tcW w:w="665" w:type="dxa"/>
            <w:noWrap w:val="0"/>
            <w:vAlign w:val="center"/>
          </w:tcPr>
          <w:p w14:paraId="1BB72B9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块</w:t>
            </w:r>
          </w:p>
        </w:tc>
        <w:tc>
          <w:tcPr>
            <w:tcW w:w="1397" w:type="dxa"/>
            <w:noWrap w:val="0"/>
            <w:vAlign w:val="center"/>
          </w:tcPr>
          <w:p w14:paraId="35F7DD6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781704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D7889D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6A829A6">
            <w:pPr>
              <w:jc w:val="center"/>
              <w:rPr>
                <w:rFonts w:hint="eastAsia" w:ascii="宋体" w:hAnsi="宋体" w:eastAsia="宋体" w:cs="宋体"/>
                <w:i w:val="0"/>
                <w:color w:val="000000"/>
                <w:kern w:val="0"/>
                <w:sz w:val="21"/>
                <w:szCs w:val="21"/>
                <w:highlight w:val="none"/>
                <w:u w:val="none"/>
                <w:lang w:val="en-US" w:eastAsia="zh-CN" w:bidi="ar-SA"/>
              </w:rPr>
            </w:pPr>
          </w:p>
        </w:tc>
      </w:tr>
      <w:tr w14:paraId="4CF7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47D96B4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 xml:space="preserve">13.12 </w:t>
            </w:r>
          </w:p>
        </w:tc>
        <w:tc>
          <w:tcPr>
            <w:tcW w:w="1592" w:type="dxa"/>
            <w:noWrap w:val="0"/>
            <w:vAlign w:val="center"/>
          </w:tcPr>
          <w:p w14:paraId="5A9CC61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通讯线</w:t>
            </w:r>
          </w:p>
        </w:tc>
        <w:tc>
          <w:tcPr>
            <w:tcW w:w="1818" w:type="dxa"/>
            <w:noWrap w:val="0"/>
            <w:vAlign w:val="center"/>
          </w:tcPr>
          <w:p w14:paraId="53C24EE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超五类屏蔽网线</w:t>
            </w:r>
          </w:p>
        </w:tc>
        <w:tc>
          <w:tcPr>
            <w:tcW w:w="616" w:type="dxa"/>
            <w:noWrap w:val="0"/>
            <w:vAlign w:val="center"/>
          </w:tcPr>
          <w:p w14:paraId="54E72B0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w:t>
            </w:r>
          </w:p>
        </w:tc>
        <w:tc>
          <w:tcPr>
            <w:tcW w:w="665" w:type="dxa"/>
            <w:noWrap w:val="0"/>
            <w:vAlign w:val="center"/>
          </w:tcPr>
          <w:p w14:paraId="224F1E7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2F22563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E4D09F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400C6E9">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A36A8C8">
            <w:pPr>
              <w:jc w:val="center"/>
              <w:rPr>
                <w:rFonts w:hint="eastAsia" w:ascii="宋体" w:hAnsi="宋体" w:eastAsia="宋体" w:cs="宋体"/>
                <w:i w:val="0"/>
                <w:color w:val="000000"/>
                <w:kern w:val="0"/>
                <w:sz w:val="21"/>
                <w:szCs w:val="21"/>
                <w:highlight w:val="none"/>
                <w:u w:val="none"/>
                <w:lang w:val="en-US" w:eastAsia="zh-CN" w:bidi="ar-SA"/>
              </w:rPr>
            </w:pPr>
          </w:p>
        </w:tc>
      </w:tr>
      <w:tr w14:paraId="67B8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5418F16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 xml:space="preserve">13.13 </w:t>
            </w:r>
          </w:p>
        </w:tc>
        <w:tc>
          <w:tcPr>
            <w:tcW w:w="1592" w:type="dxa"/>
            <w:noWrap w:val="0"/>
            <w:vAlign w:val="center"/>
          </w:tcPr>
          <w:p w14:paraId="37BE561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电源线</w:t>
            </w:r>
          </w:p>
        </w:tc>
        <w:tc>
          <w:tcPr>
            <w:tcW w:w="1818" w:type="dxa"/>
            <w:noWrap w:val="0"/>
            <w:vAlign w:val="center"/>
          </w:tcPr>
          <w:p w14:paraId="18994AD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YJV 3x1.5</w:t>
            </w:r>
          </w:p>
        </w:tc>
        <w:tc>
          <w:tcPr>
            <w:tcW w:w="616" w:type="dxa"/>
            <w:noWrap w:val="0"/>
            <w:vAlign w:val="center"/>
          </w:tcPr>
          <w:p w14:paraId="0CB4047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w:t>
            </w:r>
          </w:p>
        </w:tc>
        <w:tc>
          <w:tcPr>
            <w:tcW w:w="665" w:type="dxa"/>
            <w:noWrap w:val="0"/>
            <w:vAlign w:val="center"/>
          </w:tcPr>
          <w:p w14:paraId="2A26756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0302E34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FB9135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A1BEB86">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32A4F2F">
            <w:pPr>
              <w:jc w:val="center"/>
              <w:rPr>
                <w:rFonts w:hint="eastAsia" w:ascii="宋体" w:hAnsi="宋体" w:eastAsia="宋体" w:cs="宋体"/>
                <w:i w:val="0"/>
                <w:color w:val="000000"/>
                <w:kern w:val="0"/>
                <w:sz w:val="21"/>
                <w:szCs w:val="21"/>
                <w:highlight w:val="none"/>
                <w:u w:val="none"/>
                <w:lang w:val="en-US" w:eastAsia="zh-CN" w:bidi="ar-SA"/>
              </w:rPr>
            </w:pPr>
          </w:p>
        </w:tc>
      </w:tr>
      <w:tr w14:paraId="5C4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10588C2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 xml:space="preserve">13.14 </w:t>
            </w:r>
          </w:p>
        </w:tc>
        <w:tc>
          <w:tcPr>
            <w:tcW w:w="1592" w:type="dxa"/>
            <w:noWrap w:val="0"/>
            <w:vAlign w:val="center"/>
          </w:tcPr>
          <w:p w14:paraId="4FE9FDD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热镀锌钢管</w:t>
            </w:r>
          </w:p>
        </w:tc>
        <w:tc>
          <w:tcPr>
            <w:tcW w:w="1818" w:type="dxa"/>
            <w:noWrap w:val="0"/>
            <w:vAlign w:val="center"/>
          </w:tcPr>
          <w:p w14:paraId="0A9C9BB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PE20</w:t>
            </w:r>
          </w:p>
        </w:tc>
        <w:tc>
          <w:tcPr>
            <w:tcW w:w="616" w:type="dxa"/>
            <w:noWrap w:val="0"/>
            <w:vAlign w:val="center"/>
          </w:tcPr>
          <w:p w14:paraId="119637E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w:t>
            </w:r>
          </w:p>
        </w:tc>
        <w:tc>
          <w:tcPr>
            <w:tcW w:w="665" w:type="dxa"/>
            <w:noWrap w:val="0"/>
            <w:vAlign w:val="center"/>
          </w:tcPr>
          <w:p w14:paraId="2855623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37606BB0">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166CEB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111AFCF">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74E76E3">
            <w:pPr>
              <w:jc w:val="center"/>
              <w:rPr>
                <w:rFonts w:hint="eastAsia" w:ascii="宋体" w:hAnsi="宋体" w:eastAsia="宋体" w:cs="宋体"/>
                <w:i w:val="0"/>
                <w:color w:val="000000"/>
                <w:kern w:val="0"/>
                <w:sz w:val="21"/>
                <w:szCs w:val="21"/>
                <w:highlight w:val="none"/>
                <w:u w:val="none"/>
                <w:lang w:val="en-US" w:eastAsia="zh-CN" w:bidi="ar-SA"/>
              </w:rPr>
            </w:pPr>
          </w:p>
        </w:tc>
      </w:tr>
      <w:tr w14:paraId="51DD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noWrap w:val="0"/>
            <w:vAlign w:val="center"/>
          </w:tcPr>
          <w:p w14:paraId="48D0A10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 xml:space="preserve">13.15 </w:t>
            </w:r>
          </w:p>
        </w:tc>
        <w:tc>
          <w:tcPr>
            <w:tcW w:w="1592" w:type="dxa"/>
            <w:noWrap w:val="0"/>
            <w:vAlign w:val="center"/>
          </w:tcPr>
          <w:p w14:paraId="3BFA214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安装辅材</w:t>
            </w:r>
          </w:p>
        </w:tc>
        <w:tc>
          <w:tcPr>
            <w:tcW w:w="1818" w:type="dxa"/>
            <w:noWrap w:val="0"/>
            <w:vAlign w:val="center"/>
          </w:tcPr>
          <w:p w14:paraId="7E40A1C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防水帽、绝缘子、底座、喇叭、收紧器等安装辅材</w:t>
            </w:r>
          </w:p>
        </w:tc>
        <w:tc>
          <w:tcPr>
            <w:tcW w:w="616" w:type="dxa"/>
            <w:noWrap w:val="0"/>
            <w:vAlign w:val="center"/>
          </w:tcPr>
          <w:p w14:paraId="6B1FD71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665" w:type="dxa"/>
            <w:noWrap w:val="0"/>
            <w:vAlign w:val="center"/>
          </w:tcPr>
          <w:p w14:paraId="65CB8D8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批</w:t>
            </w:r>
          </w:p>
        </w:tc>
        <w:tc>
          <w:tcPr>
            <w:tcW w:w="1397" w:type="dxa"/>
            <w:noWrap w:val="0"/>
            <w:vAlign w:val="center"/>
          </w:tcPr>
          <w:p w14:paraId="6194B771">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67A56A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353ED46">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84C080D">
            <w:pPr>
              <w:jc w:val="center"/>
              <w:rPr>
                <w:rFonts w:hint="eastAsia" w:ascii="宋体" w:hAnsi="宋体" w:eastAsia="宋体" w:cs="宋体"/>
                <w:i w:val="0"/>
                <w:color w:val="000000"/>
                <w:kern w:val="0"/>
                <w:sz w:val="21"/>
                <w:szCs w:val="21"/>
                <w:highlight w:val="none"/>
                <w:u w:val="none"/>
                <w:lang w:val="en-US" w:eastAsia="zh-CN" w:bidi="ar-SA"/>
              </w:rPr>
            </w:pPr>
          </w:p>
        </w:tc>
      </w:tr>
      <w:tr w14:paraId="6162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057" w:type="dxa"/>
            <w:gridSpan w:val="9"/>
            <w:noWrap w:val="0"/>
            <w:vAlign w:val="center"/>
          </w:tcPr>
          <w:p w14:paraId="505A5BC4">
            <w:pPr>
              <w:tabs>
                <w:tab w:val="left" w:pos="3418"/>
              </w:tabs>
              <w:jc w:val="left"/>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ab/>
            </w:r>
            <w:r>
              <w:rPr>
                <w:rFonts w:hint="eastAsia" w:ascii="宋体" w:hAnsi="宋体" w:eastAsia="宋体" w:cs="宋体"/>
                <w:i w:val="0"/>
                <w:color w:val="000000"/>
                <w:kern w:val="0"/>
                <w:sz w:val="21"/>
                <w:szCs w:val="21"/>
                <w:highlight w:val="none"/>
                <w:u w:val="none"/>
                <w:lang w:val="en-US" w:eastAsia="zh-CN" w:bidi="ar-SA"/>
              </w:rPr>
              <w:t>控制电缆</w:t>
            </w:r>
          </w:p>
        </w:tc>
      </w:tr>
      <w:tr w14:paraId="49F9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44C9799D">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37BFB46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信号线缆</w:t>
            </w:r>
          </w:p>
        </w:tc>
        <w:tc>
          <w:tcPr>
            <w:tcW w:w="1818" w:type="dxa"/>
            <w:noWrap w:val="0"/>
            <w:vAlign w:val="center"/>
          </w:tcPr>
          <w:p w14:paraId="3BDFABC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KVVP 7x1.5</w:t>
            </w:r>
          </w:p>
        </w:tc>
        <w:tc>
          <w:tcPr>
            <w:tcW w:w="616" w:type="dxa"/>
            <w:noWrap w:val="0"/>
            <w:vAlign w:val="center"/>
          </w:tcPr>
          <w:p w14:paraId="1E4F514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475</w:t>
            </w:r>
          </w:p>
        </w:tc>
        <w:tc>
          <w:tcPr>
            <w:tcW w:w="665" w:type="dxa"/>
            <w:noWrap w:val="0"/>
            <w:vAlign w:val="center"/>
          </w:tcPr>
          <w:p w14:paraId="0A52575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763A798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04E097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2BE6AD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4CAB57E">
            <w:pPr>
              <w:jc w:val="center"/>
              <w:rPr>
                <w:rFonts w:hint="eastAsia" w:ascii="宋体" w:hAnsi="宋体" w:eastAsia="宋体" w:cs="宋体"/>
                <w:i w:val="0"/>
                <w:color w:val="000000"/>
                <w:kern w:val="0"/>
                <w:sz w:val="21"/>
                <w:szCs w:val="21"/>
                <w:highlight w:val="none"/>
                <w:u w:val="none"/>
                <w:lang w:val="en-US" w:eastAsia="zh-CN" w:bidi="ar-SA"/>
              </w:rPr>
            </w:pPr>
          </w:p>
        </w:tc>
      </w:tr>
      <w:tr w14:paraId="692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15AD22DF">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6A21A60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信号线缆</w:t>
            </w:r>
          </w:p>
        </w:tc>
        <w:tc>
          <w:tcPr>
            <w:tcW w:w="1818" w:type="dxa"/>
            <w:noWrap w:val="0"/>
            <w:vAlign w:val="center"/>
          </w:tcPr>
          <w:p w14:paraId="3C27000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KVVP 5x1.5</w:t>
            </w:r>
          </w:p>
        </w:tc>
        <w:tc>
          <w:tcPr>
            <w:tcW w:w="616" w:type="dxa"/>
            <w:noWrap w:val="0"/>
            <w:vAlign w:val="center"/>
          </w:tcPr>
          <w:p w14:paraId="67C922E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545</w:t>
            </w:r>
          </w:p>
        </w:tc>
        <w:tc>
          <w:tcPr>
            <w:tcW w:w="665" w:type="dxa"/>
            <w:noWrap w:val="0"/>
            <w:vAlign w:val="center"/>
          </w:tcPr>
          <w:p w14:paraId="7ABA38B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1C5A97A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3CB4BD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96358D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E24B34F">
            <w:pPr>
              <w:jc w:val="center"/>
              <w:rPr>
                <w:rFonts w:hint="eastAsia" w:ascii="宋体" w:hAnsi="宋体" w:eastAsia="宋体" w:cs="宋体"/>
                <w:i w:val="0"/>
                <w:color w:val="000000"/>
                <w:kern w:val="0"/>
                <w:sz w:val="21"/>
                <w:szCs w:val="21"/>
                <w:highlight w:val="none"/>
                <w:u w:val="none"/>
                <w:lang w:val="en-US" w:eastAsia="zh-CN" w:bidi="ar-SA"/>
              </w:rPr>
            </w:pPr>
          </w:p>
        </w:tc>
      </w:tr>
      <w:tr w14:paraId="7724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03546B1B">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7E20F07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信号线缆</w:t>
            </w:r>
          </w:p>
        </w:tc>
        <w:tc>
          <w:tcPr>
            <w:tcW w:w="1818" w:type="dxa"/>
            <w:noWrap w:val="0"/>
            <w:vAlign w:val="center"/>
          </w:tcPr>
          <w:p w14:paraId="705E27B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KVVP 3x1.5</w:t>
            </w:r>
          </w:p>
        </w:tc>
        <w:tc>
          <w:tcPr>
            <w:tcW w:w="616" w:type="dxa"/>
            <w:noWrap w:val="0"/>
            <w:vAlign w:val="center"/>
          </w:tcPr>
          <w:p w14:paraId="16956D1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190</w:t>
            </w:r>
          </w:p>
        </w:tc>
        <w:tc>
          <w:tcPr>
            <w:tcW w:w="665" w:type="dxa"/>
            <w:noWrap w:val="0"/>
            <w:vAlign w:val="center"/>
          </w:tcPr>
          <w:p w14:paraId="60C8C9D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3B9D7A0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2142B8AF">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4E77BB3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42FA7DDC">
            <w:pPr>
              <w:jc w:val="center"/>
              <w:rPr>
                <w:rFonts w:hint="eastAsia" w:ascii="宋体" w:hAnsi="宋体" w:eastAsia="宋体" w:cs="宋体"/>
                <w:i w:val="0"/>
                <w:color w:val="000000"/>
                <w:kern w:val="0"/>
                <w:sz w:val="21"/>
                <w:szCs w:val="21"/>
                <w:highlight w:val="none"/>
                <w:u w:val="none"/>
                <w:lang w:val="en-US" w:eastAsia="zh-CN" w:bidi="ar-SA"/>
              </w:rPr>
            </w:pPr>
          </w:p>
        </w:tc>
      </w:tr>
      <w:tr w14:paraId="1C93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4AFD598D">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57CDBB4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信号线缆</w:t>
            </w:r>
          </w:p>
        </w:tc>
        <w:tc>
          <w:tcPr>
            <w:tcW w:w="1818" w:type="dxa"/>
            <w:noWrap w:val="0"/>
            <w:vAlign w:val="center"/>
          </w:tcPr>
          <w:p w14:paraId="4F132AB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DJYVP-2x2x1.0</w:t>
            </w:r>
          </w:p>
        </w:tc>
        <w:tc>
          <w:tcPr>
            <w:tcW w:w="616" w:type="dxa"/>
            <w:noWrap w:val="0"/>
            <w:vAlign w:val="center"/>
          </w:tcPr>
          <w:p w14:paraId="7142B2F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510</w:t>
            </w:r>
          </w:p>
        </w:tc>
        <w:tc>
          <w:tcPr>
            <w:tcW w:w="665" w:type="dxa"/>
            <w:noWrap w:val="0"/>
            <w:vAlign w:val="center"/>
          </w:tcPr>
          <w:p w14:paraId="2C861BB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1B9ABD8D">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3E66B44D">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02F6F7C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3202EDD3">
            <w:pPr>
              <w:jc w:val="center"/>
              <w:rPr>
                <w:rFonts w:hint="eastAsia" w:ascii="宋体" w:hAnsi="宋体" w:eastAsia="宋体" w:cs="宋体"/>
                <w:i w:val="0"/>
                <w:color w:val="000000"/>
                <w:kern w:val="0"/>
                <w:sz w:val="21"/>
                <w:szCs w:val="21"/>
                <w:highlight w:val="none"/>
                <w:u w:val="none"/>
                <w:lang w:val="en-US" w:eastAsia="zh-CN" w:bidi="ar-SA"/>
              </w:rPr>
            </w:pPr>
          </w:p>
        </w:tc>
      </w:tr>
      <w:tr w14:paraId="1E13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7675A6F1">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541D1AB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超五类屏蔽网线</w:t>
            </w:r>
          </w:p>
        </w:tc>
        <w:tc>
          <w:tcPr>
            <w:tcW w:w="1818" w:type="dxa"/>
            <w:noWrap w:val="0"/>
            <w:vAlign w:val="center"/>
          </w:tcPr>
          <w:p w14:paraId="0372506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CAT5E-FTP-4P</w:t>
            </w:r>
          </w:p>
        </w:tc>
        <w:tc>
          <w:tcPr>
            <w:tcW w:w="616" w:type="dxa"/>
            <w:noWrap w:val="0"/>
            <w:vAlign w:val="center"/>
          </w:tcPr>
          <w:p w14:paraId="55DDC87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r>
              <w:rPr>
                <w:rFonts w:hint="eastAsia" w:ascii="宋体" w:hAnsi="宋体" w:cs="宋体"/>
                <w:i w:val="0"/>
                <w:color w:val="000000"/>
                <w:kern w:val="0"/>
                <w:sz w:val="21"/>
                <w:szCs w:val="21"/>
                <w:highlight w:val="none"/>
                <w:u w:val="none"/>
                <w:lang w:val="en-US" w:eastAsia="zh-CN" w:bidi="ar-SA"/>
              </w:rPr>
              <w:t>8</w:t>
            </w:r>
            <w:r>
              <w:rPr>
                <w:rFonts w:hint="eastAsia" w:ascii="宋体" w:hAnsi="宋体" w:eastAsia="宋体" w:cs="宋体"/>
                <w:i w:val="0"/>
                <w:color w:val="000000"/>
                <w:kern w:val="0"/>
                <w:sz w:val="21"/>
                <w:szCs w:val="21"/>
                <w:highlight w:val="none"/>
                <w:u w:val="none"/>
                <w:lang w:val="en-US" w:eastAsia="zh-CN" w:bidi="ar-SA"/>
              </w:rPr>
              <w:t>0</w:t>
            </w:r>
          </w:p>
        </w:tc>
        <w:tc>
          <w:tcPr>
            <w:tcW w:w="665" w:type="dxa"/>
            <w:noWrap w:val="0"/>
            <w:vAlign w:val="center"/>
          </w:tcPr>
          <w:p w14:paraId="10E87D2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522E1741">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207431C">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17AA17B9">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35C01D3C">
            <w:pPr>
              <w:jc w:val="center"/>
              <w:rPr>
                <w:rFonts w:hint="eastAsia" w:ascii="宋体" w:hAnsi="宋体" w:eastAsia="宋体" w:cs="宋体"/>
                <w:i w:val="0"/>
                <w:color w:val="000000"/>
                <w:kern w:val="0"/>
                <w:sz w:val="21"/>
                <w:szCs w:val="21"/>
                <w:highlight w:val="none"/>
                <w:u w:val="none"/>
                <w:lang w:val="en-US" w:eastAsia="zh-CN" w:bidi="ar-SA"/>
              </w:rPr>
            </w:pPr>
          </w:p>
        </w:tc>
      </w:tr>
      <w:tr w14:paraId="45C3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3AA51322">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30BAEAD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电源电缆</w:t>
            </w:r>
          </w:p>
        </w:tc>
        <w:tc>
          <w:tcPr>
            <w:tcW w:w="1818" w:type="dxa"/>
            <w:noWrap w:val="0"/>
            <w:vAlign w:val="center"/>
          </w:tcPr>
          <w:p w14:paraId="0B7FB1C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YJV-3x4.0</w:t>
            </w:r>
          </w:p>
        </w:tc>
        <w:tc>
          <w:tcPr>
            <w:tcW w:w="616" w:type="dxa"/>
            <w:noWrap w:val="0"/>
            <w:vAlign w:val="center"/>
          </w:tcPr>
          <w:p w14:paraId="006B3AF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160</w:t>
            </w:r>
          </w:p>
        </w:tc>
        <w:tc>
          <w:tcPr>
            <w:tcW w:w="665" w:type="dxa"/>
            <w:noWrap w:val="0"/>
            <w:vAlign w:val="center"/>
          </w:tcPr>
          <w:p w14:paraId="6AF0A70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65C494A9">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63FA52A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53D352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5214089B">
            <w:pPr>
              <w:jc w:val="center"/>
              <w:rPr>
                <w:rFonts w:hint="eastAsia" w:ascii="宋体" w:hAnsi="宋体" w:eastAsia="宋体" w:cs="宋体"/>
                <w:i w:val="0"/>
                <w:color w:val="000000"/>
                <w:kern w:val="0"/>
                <w:sz w:val="21"/>
                <w:szCs w:val="21"/>
                <w:highlight w:val="none"/>
                <w:u w:val="none"/>
                <w:lang w:val="en-US" w:eastAsia="zh-CN" w:bidi="ar-SA"/>
              </w:rPr>
            </w:pPr>
          </w:p>
        </w:tc>
      </w:tr>
      <w:tr w14:paraId="173A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2B995605">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01CE875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电源电缆</w:t>
            </w:r>
          </w:p>
        </w:tc>
        <w:tc>
          <w:tcPr>
            <w:tcW w:w="1818" w:type="dxa"/>
            <w:noWrap w:val="0"/>
            <w:vAlign w:val="center"/>
          </w:tcPr>
          <w:p w14:paraId="766C5B6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YJV-3x2.5</w:t>
            </w:r>
          </w:p>
        </w:tc>
        <w:tc>
          <w:tcPr>
            <w:tcW w:w="616" w:type="dxa"/>
            <w:noWrap w:val="0"/>
            <w:vAlign w:val="center"/>
          </w:tcPr>
          <w:p w14:paraId="0F50E6A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60</w:t>
            </w:r>
          </w:p>
        </w:tc>
        <w:tc>
          <w:tcPr>
            <w:tcW w:w="665" w:type="dxa"/>
            <w:noWrap w:val="0"/>
            <w:vAlign w:val="center"/>
          </w:tcPr>
          <w:p w14:paraId="564C63E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2F04EA4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DAD8F2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68D4EBC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28BB42D4">
            <w:pPr>
              <w:jc w:val="center"/>
              <w:rPr>
                <w:rFonts w:hint="eastAsia" w:ascii="宋体" w:hAnsi="宋体" w:eastAsia="宋体" w:cs="宋体"/>
                <w:i w:val="0"/>
                <w:color w:val="000000"/>
                <w:kern w:val="0"/>
                <w:sz w:val="21"/>
                <w:szCs w:val="21"/>
                <w:highlight w:val="none"/>
                <w:u w:val="none"/>
                <w:lang w:val="en-US" w:eastAsia="zh-CN" w:bidi="ar-SA"/>
              </w:rPr>
            </w:pPr>
          </w:p>
        </w:tc>
      </w:tr>
      <w:tr w14:paraId="7AEE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noWrap w:val="0"/>
            <w:vAlign w:val="center"/>
          </w:tcPr>
          <w:p w14:paraId="7FF70D17">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7CE08E03">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电源电缆</w:t>
            </w:r>
          </w:p>
        </w:tc>
        <w:tc>
          <w:tcPr>
            <w:tcW w:w="1818" w:type="dxa"/>
            <w:noWrap w:val="0"/>
            <w:vAlign w:val="center"/>
          </w:tcPr>
          <w:p w14:paraId="0D94C16F">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YJV-</w:t>
            </w:r>
            <w:r>
              <w:rPr>
                <w:rFonts w:hint="eastAsia" w:ascii="宋体" w:hAnsi="宋体" w:cs="宋体"/>
                <w:i w:val="0"/>
                <w:color w:val="000000"/>
                <w:kern w:val="0"/>
                <w:sz w:val="21"/>
                <w:szCs w:val="21"/>
                <w:highlight w:val="none"/>
                <w:u w:val="none"/>
                <w:lang w:val="en-US" w:eastAsia="zh-CN" w:bidi="ar-SA"/>
              </w:rPr>
              <w:t>3</w:t>
            </w:r>
            <w:r>
              <w:rPr>
                <w:rFonts w:hint="eastAsia" w:ascii="宋体" w:hAnsi="宋体" w:eastAsia="宋体" w:cs="宋体"/>
                <w:i w:val="0"/>
                <w:color w:val="000000"/>
                <w:kern w:val="0"/>
                <w:sz w:val="21"/>
                <w:szCs w:val="21"/>
                <w:highlight w:val="none"/>
                <w:u w:val="none"/>
                <w:lang w:val="en-US" w:eastAsia="zh-CN" w:bidi="ar-SA"/>
              </w:rPr>
              <w:t>x1.5</w:t>
            </w:r>
          </w:p>
        </w:tc>
        <w:tc>
          <w:tcPr>
            <w:tcW w:w="616" w:type="dxa"/>
            <w:noWrap w:val="0"/>
            <w:vAlign w:val="center"/>
          </w:tcPr>
          <w:p w14:paraId="6E768467">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90</w:t>
            </w:r>
          </w:p>
        </w:tc>
        <w:tc>
          <w:tcPr>
            <w:tcW w:w="665" w:type="dxa"/>
            <w:noWrap w:val="0"/>
            <w:vAlign w:val="center"/>
          </w:tcPr>
          <w:p w14:paraId="5D6705C2">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674BAAFC">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CE1A80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543797E">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DDC36ED">
            <w:pPr>
              <w:jc w:val="center"/>
              <w:rPr>
                <w:rFonts w:hint="eastAsia" w:ascii="宋体" w:hAnsi="宋体" w:eastAsia="宋体" w:cs="宋体"/>
                <w:i w:val="0"/>
                <w:color w:val="000000"/>
                <w:kern w:val="0"/>
                <w:sz w:val="21"/>
                <w:szCs w:val="21"/>
                <w:highlight w:val="none"/>
                <w:u w:val="none"/>
                <w:lang w:val="en-US" w:eastAsia="zh-CN" w:bidi="ar-SA"/>
              </w:rPr>
            </w:pPr>
          </w:p>
        </w:tc>
      </w:tr>
      <w:tr w14:paraId="30A0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5B2FA3DF">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187EF39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通讯线</w:t>
            </w:r>
          </w:p>
        </w:tc>
        <w:tc>
          <w:tcPr>
            <w:tcW w:w="1818" w:type="dxa"/>
            <w:noWrap w:val="0"/>
            <w:vAlign w:val="center"/>
          </w:tcPr>
          <w:p w14:paraId="7B3EB2A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Modbus RS485通讯线</w:t>
            </w:r>
          </w:p>
        </w:tc>
        <w:tc>
          <w:tcPr>
            <w:tcW w:w="616" w:type="dxa"/>
            <w:noWrap w:val="0"/>
            <w:vAlign w:val="center"/>
          </w:tcPr>
          <w:p w14:paraId="7C85931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100</w:t>
            </w:r>
          </w:p>
        </w:tc>
        <w:tc>
          <w:tcPr>
            <w:tcW w:w="665" w:type="dxa"/>
            <w:noWrap w:val="0"/>
            <w:vAlign w:val="center"/>
          </w:tcPr>
          <w:p w14:paraId="12C28D5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433CC330">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1A767BCF">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00437C4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A38D41E">
            <w:pPr>
              <w:jc w:val="center"/>
              <w:rPr>
                <w:rFonts w:hint="eastAsia" w:ascii="宋体" w:hAnsi="宋体" w:eastAsia="宋体" w:cs="宋体"/>
                <w:i w:val="0"/>
                <w:color w:val="000000"/>
                <w:kern w:val="0"/>
                <w:sz w:val="21"/>
                <w:szCs w:val="21"/>
                <w:highlight w:val="none"/>
                <w:u w:val="none"/>
                <w:lang w:val="en-US" w:eastAsia="zh-CN" w:bidi="ar-SA"/>
              </w:rPr>
            </w:pPr>
          </w:p>
        </w:tc>
      </w:tr>
      <w:tr w14:paraId="0BB9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05863FD8">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7E3AB6E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控制线缆</w:t>
            </w:r>
          </w:p>
        </w:tc>
        <w:tc>
          <w:tcPr>
            <w:tcW w:w="1818" w:type="dxa"/>
            <w:noWrap w:val="0"/>
            <w:vAlign w:val="center"/>
          </w:tcPr>
          <w:p w14:paraId="118E9E4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KVVP-0.45/0.75KV-14X1.5</w:t>
            </w:r>
          </w:p>
        </w:tc>
        <w:tc>
          <w:tcPr>
            <w:tcW w:w="616" w:type="dxa"/>
            <w:noWrap w:val="0"/>
            <w:vAlign w:val="center"/>
          </w:tcPr>
          <w:p w14:paraId="183CA78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240</w:t>
            </w:r>
          </w:p>
        </w:tc>
        <w:tc>
          <w:tcPr>
            <w:tcW w:w="665" w:type="dxa"/>
            <w:noWrap w:val="0"/>
            <w:vAlign w:val="center"/>
          </w:tcPr>
          <w:p w14:paraId="1AD33F6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31342F92">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18AF13AD">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79E5D6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CE462E6">
            <w:pPr>
              <w:jc w:val="center"/>
              <w:rPr>
                <w:rFonts w:hint="eastAsia" w:ascii="宋体" w:hAnsi="宋体" w:eastAsia="宋体" w:cs="宋体"/>
                <w:i w:val="0"/>
                <w:color w:val="000000"/>
                <w:kern w:val="0"/>
                <w:sz w:val="21"/>
                <w:szCs w:val="21"/>
                <w:highlight w:val="none"/>
                <w:u w:val="none"/>
                <w:lang w:val="en-US" w:eastAsia="zh-CN" w:bidi="ar-SA"/>
              </w:rPr>
            </w:pPr>
          </w:p>
        </w:tc>
      </w:tr>
      <w:tr w14:paraId="3532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noWrap w:val="0"/>
            <w:vAlign w:val="center"/>
          </w:tcPr>
          <w:p w14:paraId="493F6A90">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noWrap w:val="0"/>
            <w:vAlign w:val="center"/>
          </w:tcPr>
          <w:p w14:paraId="0A6B73A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控制线缆</w:t>
            </w:r>
          </w:p>
        </w:tc>
        <w:tc>
          <w:tcPr>
            <w:tcW w:w="1818" w:type="dxa"/>
            <w:noWrap w:val="0"/>
            <w:vAlign w:val="center"/>
          </w:tcPr>
          <w:p w14:paraId="44E00EC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KVVP-0.45/0.75KV-10X1.5</w:t>
            </w:r>
          </w:p>
        </w:tc>
        <w:tc>
          <w:tcPr>
            <w:tcW w:w="616" w:type="dxa"/>
            <w:noWrap w:val="0"/>
            <w:vAlign w:val="center"/>
          </w:tcPr>
          <w:p w14:paraId="0E98FEF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185</w:t>
            </w:r>
          </w:p>
        </w:tc>
        <w:tc>
          <w:tcPr>
            <w:tcW w:w="665" w:type="dxa"/>
            <w:noWrap w:val="0"/>
            <w:vAlign w:val="center"/>
          </w:tcPr>
          <w:p w14:paraId="2574EF5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18A8C00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6951181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23B6FD4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72B1C4AB">
            <w:pPr>
              <w:jc w:val="center"/>
              <w:rPr>
                <w:rFonts w:hint="eastAsia" w:ascii="宋体" w:hAnsi="宋体" w:eastAsia="宋体" w:cs="宋体"/>
                <w:i w:val="0"/>
                <w:color w:val="000000"/>
                <w:kern w:val="0"/>
                <w:sz w:val="21"/>
                <w:szCs w:val="21"/>
                <w:highlight w:val="none"/>
                <w:u w:val="none"/>
                <w:lang w:val="en-US" w:eastAsia="zh-CN" w:bidi="ar-SA"/>
              </w:rPr>
            </w:pPr>
          </w:p>
        </w:tc>
      </w:tr>
      <w:tr w14:paraId="1C66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center"/>
          </w:tcPr>
          <w:p w14:paraId="51FB4924">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FFFFFF" w:fill="FFFFFF"/>
            <w:noWrap w:val="0"/>
            <w:vAlign w:val="center"/>
          </w:tcPr>
          <w:p w14:paraId="2B2088C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控制线缆</w:t>
            </w:r>
          </w:p>
        </w:tc>
        <w:tc>
          <w:tcPr>
            <w:tcW w:w="1818" w:type="dxa"/>
            <w:shd w:val="clear" w:color="FFFFFF" w:fill="FFFFFF"/>
            <w:noWrap w:val="0"/>
            <w:vAlign w:val="center"/>
          </w:tcPr>
          <w:p w14:paraId="583585C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KVVP-0.45/0.75KV-</w:t>
            </w:r>
            <w:r>
              <w:rPr>
                <w:rFonts w:hint="eastAsia" w:ascii="宋体" w:hAnsi="宋体" w:cs="宋体"/>
                <w:i w:val="0"/>
                <w:color w:val="000000"/>
                <w:kern w:val="0"/>
                <w:sz w:val="21"/>
                <w:szCs w:val="21"/>
                <w:highlight w:val="none"/>
                <w:u w:val="none"/>
                <w:lang w:val="en-US" w:eastAsia="zh-CN" w:bidi="ar-SA"/>
              </w:rPr>
              <w:t>4</w:t>
            </w:r>
            <w:r>
              <w:rPr>
                <w:rFonts w:hint="eastAsia" w:ascii="宋体" w:hAnsi="宋体" w:eastAsia="宋体" w:cs="宋体"/>
                <w:i w:val="0"/>
                <w:color w:val="000000"/>
                <w:kern w:val="0"/>
                <w:sz w:val="21"/>
                <w:szCs w:val="21"/>
                <w:highlight w:val="none"/>
                <w:u w:val="none"/>
                <w:lang w:val="en-US" w:eastAsia="zh-CN" w:bidi="ar-SA"/>
              </w:rPr>
              <w:t>X1.5</w:t>
            </w:r>
          </w:p>
        </w:tc>
        <w:tc>
          <w:tcPr>
            <w:tcW w:w="616" w:type="dxa"/>
            <w:shd w:val="clear" w:color="FFFFFF" w:fill="FFFFFF"/>
            <w:noWrap w:val="0"/>
            <w:vAlign w:val="center"/>
          </w:tcPr>
          <w:p w14:paraId="21AB5EC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10</w:t>
            </w:r>
          </w:p>
        </w:tc>
        <w:tc>
          <w:tcPr>
            <w:tcW w:w="665" w:type="dxa"/>
            <w:shd w:val="clear" w:color="FFFFFF" w:fill="FFFFFF"/>
            <w:noWrap w:val="0"/>
            <w:vAlign w:val="center"/>
          </w:tcPr>
          <w:p w14:paraId="030CC0F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4630844A">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E03F7A0">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9163BF1">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FCB5CDC">
            <w:pPr>
              <w:rPr>
                <w:rFonts w:hint="eastAsia" w:ascii="宋体" w:hAnsi="宋体" w:eastAsia="宋体" w:cs="宋体"/>
                <w:i w:val="0"/>
                <w:color w:val="000000"/>
                <w:kern w:val="0"/>
                <w:sz w:val="21"/>
                <w:szCs w:val="21"/>
                <w:highlight w:val="none"/>
                <w:u w:val="none"/>
                <w:lang w:val="en-US" w:eastAsia="zh-CN" w:bidi="ar-SA"/>
              </w:rPr>
            </w:pPr>
          </w:p>
        </w:tc>
      </w:tr>
      <w:tr w14:paraId="51F2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center"/>
          </w:tcPr>
          <w:p w14:paraId="3A046E0D">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FFFFFF" w:fill="FFFFFF"/>
            <w:noWrap w:val="0"/>
            <w:vAlign w:val="center"/>
          </w:tcPr>
          <w:p w14:paraId="6C237EC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电力电缆</w:t>
            </w:r>
          </w:p>
        </w:tc>
        <w:tc>
          <w:tcPr>
            <w:tcW w:w="1818" w:type="dxa"/>
            <w:shd w:val="clear" w:color="FFFFFF" w:fill="FFFFFF"/>
            <w:noWrap w:val="0"/>
            <w:vAlign w:val="center"/>
          </w:tcPr>
          <w:p w14:paraId="7479ADC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YJV-0.6/1kV-4x2.5</w:t>
            </w:r>
          </w:p>
        </w:tc>
        <w:tc>
          <w:tcPr>
            <w:tcW w:w="616" w:type="dxa"/>
            <w:shd w:val="clear" w:color="FFFFFF" w:fill="FFFFFF"/>
            <w:noWrap w:val="0"/>
            <w:vAlign w:val="center"/>
          </w:tcPr>
          <w:p w14:paraId="40840BA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665" w:type="dxa"/>
            <w:shd w:val="clear" w:color="FFFFFF" w:fill="FFFFFF"/>
            <w:noWrap w:val="0"/>
            <w:vAlign w:val="center"/>
          </w:tcPr>
          <w:p w14:paraId="57C89A4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185</w:t>
            </w:r>
          </w:p>
        </w:tc>
        <w:tc>
          <w:tcPr>
            <w:tcW w:w="1397" w:type="dxa"/>
            <w:noWrap w:val="0"/>
            <w:vAlign w:val="center"/>
          </w:tcPr>
          <w:p w14:paraId="20E89743">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EAF001E">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2670337">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D408908">
            <w:pPr>
              <w:rPr>
                <w:rFonts w:hint="eastAsia" w:ascii="宋体" w:hAnsi="宋体" w:eastAsia="宋体" w:cs="宋体"/>
                <w:i w:val="0"/>
                <w:color w:val="000000"/>
                <w:kern w:val="0"/>
                <w:sz w:val="21"/>
                <w:szCs w:val="21"/>
                <w:highlight w:val="none"/>
                <w:u w:val="none"/>
                <w:lang w:val="en-US" w:eastAsia="zh-CN" w:bidi="ar-SA"/>
              </w:rPr>
            </w:pPr>
          </w:p>
        </w:tc>
      </w:tr>
      <w:tr w14:paraId="1B12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top"/>
          </w:tcPr>
          <w:p w14:paraId="0740756C">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FFFFFF" w:fill="FFFFFF"/>
            <w:noWrap w:val="0"/>
            <w:vAlign w:val="center"/>
          </w:tcPr>
          <w:p w14:paraId="233EECE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电力电缆</w:t>
            </w:r>
          </w:p>
        </w:tc>
        <w:tc>
          <w:tcPr>
            <w:tcW w:w="1818" w:type="dxa"/>
            <w:shd w:val="clear" w:color="FFFFFF" w:fill="FFFFFF"/>
            <w:noWrap w:val="0"/>
            <w:vAlign w:val="center"/>
          </w:tcPr>
          <w:p w14:paraId="4E20EB6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YJV-0.6/1kV-5x4</w:t>
            </w:r>
          </w:p>
        </w:tc>
        <w:tc>
          <w:tcPr>
            <w:tcW w:w="616" w:type="dxa"/>
            <w:shd w:val="clear" w:color="FFFFFF" w:fill="FFFFFF"/>
            <w:noWrap w:val="0"/>
            <w:vAlign w:val="center"/>
          </w:tcPr>
          <w:p w14:paraId="1FD5169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665" w:type="dxa"/>
            <w:shd w:val="clear" w:color="FFFFFF" w:fill="FFFFFF"/>
            <w:noWrap w:val="0"/>
            <w:vAlign w:val="center"/>
          </w:tcPr>
          <w:p w14:paraId="2D8808A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380</w:t>
            </w:r>
          </w:p>
        </w:tc>
        <w:tc>
          <w:tcPr>
            <w:tcW w:w="1397" w:type="dxa"/>
            <w:noWrap w:val="0"/>
            <w:vAlign w:val="center"/>
          </w:tcPr>
          <w:p w14:paraId="29421AD6">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BA24FEC">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1290166">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86CA50B">
            <w:pPr>
              <w:rPr>
                <w:rFonts w:hint="eastAsia" w:ascii="宋体" w:hAnsi="宋体" w:eastAsia="宋体" w:cs="宋体"/>
                <w:i w:val="0"/>
                <w:color w:val="000000"/>
                <w:kern w:val="0"/>
                <w:sz w:val="21"/>
                <w:szCs w:val="21"/>
                <w:highlight w:val="none"/>
                <w:u w:val="none"/>
                <w:lang w:val="en-US" w:eastAsia="zh-CN" w:bidi="ar-SA"/>
              </w:rPr>
            </w:pPr>
          </w:p>
        </w:tc>
      </w:tr>
      <w:tr w14:paraId="349C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top"/>
          </w:tcPr>
          <w:p w14:paraId="652F81B4">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FFFFFF" w:fill="FFFFFF"/>
            <w:noWrap w:val="0"/>
            <w:vAlign w:val="center"/>
          </w:tcPr>
          <w:p w14:paraId="2DF96F4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电力电缆</w:t>
            </w:r>
          </w:p>
        </w:tc>
        <w:tc>
          <w:tcPr>
            <w:tcW w:w="1818" w:type="dxa"/>
            <w:shd w:val="clear" w:color="FFFFFF" w:fill="FFFFFF"/>
            <w:noWrap w:val="0"/>
            <w:vAlign w:val="center"/>
          </w:tcPr>
          <w:p w14:paraId="619002A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YJV-0.6/1kV-5x6</w:t>
            </w:r>
          </w:p>
        </w:tc>
        <w:tc>
          <w:tcPr>
            <w:tcW w:w="616" w:type="dxa"/>
            <w:shd w:val="clear" w:color="FFFFFF" w:fill="FFFFFF"/>
            <w:noWrap w:val="0"/>
            <w:vAlign w:val="center"/>
          </w:tcPr>
          <w:p w14:paraId="4378CD8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665" w:type="dxa"/>
            <w:shd w:val="clear" w:color="FFFFFF" w:fill="FFFFFF"/>
            <w:noWrap w:val="0"/>
            <w:vAlign w:val="center"/>
          </w:tcPr>
          <w:p w14:paraId="22A9C7D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100</w:t>
            </w:r>
          </w:p>
        </w:tc>
        <w:tc>
          <w:tcPr>
            <w:tcW w:w="1397" w:type="dxa"/>
            <w:noWrap w:val="0"/>
            <w:vAlign w:val="center"/>
          </w:tcPr>
          <w:p w14:paraId="6A1FADFB">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382DCAF8">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1700AFF">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01194BE">
            <w:pPr>
              <w:rPr>
                <w:rFonts w:hint="eastAsia" w:ascii="宋体" w:hAnsi="宋体" w:eastAsia="宋体" w:cs="宋体"/>
                <w:i w:val="0"/>
                <w:color w:val="000000"/>
                <w:kern w:val="0"/>
                <w:sz w:val="21"/>
                <w:szCs w:val="21"/>
                <w:highlight w:val="none"/>
                <w:u w:val="none"/>
                <w:lang w:val="en-US" w:eastAsia="zh-CN" w:bidi="ar-SA"/>
              </w:rPr>
            </w:pPr>
          </w:p>
        </w:tc>
      </w:tr>
      <w:tr w14:paraId="229C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top"/>
          </w:tcPr>
          <w:p w14:paraId="1EE2A63C">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FFFFFF" w:fill="FFFFFF"/>
            <w:noWrap w:val="0"/>
            <w:vAlign w:val="center"/>
          </w:tcPr>
          <w:p w14:paraId="0A8B5DC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电力电缆</w:t>
            </w:r>
          </w:p>
        </w:tc>
        <w:tc>
          <w:tcPr>
            <w:tcW w:w="1818" w:type="dxa"/>
            <w:shd w:val="clear" w:color="FFFFFF" w:fill="FFFFFF"/>
            <w:noWrap w:val="0"/>
            <w:vAlign w:val="center"/>
          </w:tcPr>
          <w:p w14:paraId="1B1426B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YJV-1kV-3x70+2x35</w:t>
            </w:r>
          </w:p>
        </w:tc>
        <w:tc>
          <w:tcPr>
            <w:tcW w:w="616" w:type="dxa"/>
            <w:shd w:val="clear" w:color="FFFFFF" w:fill="FFFFFF"/>
            <w:noWrap w:val="0"/>
            <w:vAlign w:val="center"/>
          </w:tcPr>
          <w:p w14:paraId="747C99E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665" w:type="dxa"/>
            <w:shd w:val="clear" w:color="FFFFFF" w:fill="FFFFFF"/>
            <w:noWrap w:val="0"/>
            <w:vAlign w:val="center"/>
          </w:tcPr>
          <w:p w14:paraId="1DEC6C5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160</w:t>
            </w:r>
          </w:p>
        </w:tc>
        <w:tc>
          <w:tcPr>
            <w:tcW w:w="1397" w:type="dxa"/>
            <w:noWrap w:val="0"/>
            <w:vAlign w:val="center"/>
          </w:tcPr>
          <w:p w14:paraId="549323E6">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E97ACB3">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0D5CA04D">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41453068">
            <w:pPr>
              <w:rPr>
                <w:rFonts w:hint="eastAsia" w:ascii="宋体" w:hAnsi="宋体" w:eastAsia="宋体" w:cs="宋体"/>
                <w:i w:val="0"/>
                <w:color w:val="000000"/>
                <w:kern w:val="0"/>
                <w:sz w:val="21"/>
                <w:szCs w:val="21"/>
                <w:highlight w:val="none"/>
                <w:u w:val="none"/>
                <w:lang w:val="en-US" w:eastAsia="zh-CN" w:bidi="ar-SA"/>
              </w:rPr>
            </w:pPr>
          </w:p>
        </w:tc>
      </w:tr>
      <w:tr w14:paraId="3879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14" w:type="dxa"/>
            <w:shd w:val="clear" w:color="auto" w:fill="auto"/>
            <w:noWrap w:val="0"/>
            <w:vAlign w:val="top"/>
          </w:tcPr>
          <w:p w14:paraId="48E8A24B">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FFFFFF" w:fill="FFFFFF"/>
            <w:noWrap w:val="0"/>
            <w:vAlign w:val="center"/>
          </w:tcPr>
          <w:p w14:paraId="0E5E970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电力电缆</w:t>
            </w:r>
          </w:p>
        </w:tc>
        <w:tc>
          <w:tcPr>
            <w:tcW w:w="1818" w:type="dxa"/>
            <w:shd w:val="clear" w:color="FFFFFF" w:fill="FFFFFF"/>
            <w:noWrap w:val="0"/>
            <w:vAlign w:val="center"/>
          </w:tcPr>
          <w:p w14:paraId="043C821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BPYJV-1kV-3x70+2x35</w:t>
            </w:r>
          </w:p>
        </w:tc>
        <w:tc>
          <w:tcPr>
            <w:tcW w:w="616" w:type="dxa"/>
            <w:shd w:val="clear" w:color="FFFFFF" w:fill="FFFFFF"/>
            <w:noWrap w:val="0"/>
            <w:vAlign w:val="center"/>
          </w:tcPr>
          <w:p w14:paraId="7AC0836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665" w:type="dxa"/>
            <w:shd w:val="clear" w:color="FFFFFF" w:fill="FFFFFF"/>
            <w:noWrap w:val="0"/>
            <w:vAlign w:val="center"/>
          </w:tcPr>
          <w:p w14:paraId="7137AAB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210</w:t>
            </w:r>
          </w:p>
        </w:tc>
        <w:tc>
          <w:tcPr>
            <w:tcW w:w="1397" w:type="dxa"/>
            <w:noWrap w:val="0"/>
            <w:vAlign w:val="center"/>
          </w:tcPr>
          <w:p w14:paraId="542039A5">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2658AA5F">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3B78B69">
            <w:pP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77D51B00">
            <w:pPr>
              <w:rPr>
                <w:rFonts w:hint="eastAsia" w:ascii="宋体" w:hAnsi="宋体" w:eastAsia="宋体" w:cs="宋体"/>
                <w:i w:val="0"/>
                <w:color w:val="000000"/>
                <w:kern w:val="0"/>
                <w:sz w:val="21"/>
                <w:szCs w:val="21"/>
                <w:highlight w:val="none"/>
                <w:u w:val="none"/>
                <w:lang w:val="en-US" w:eastAsia="zh-CN" w:bidi="ar-SA"/>
              </w:rPr>
            </w:pPr>
          </w:p>
        </w:tc>
      </w:tr>
      <w:tr w14:paraId="0BF5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shd w:val="clear" w:color="auto" w:fill="auto"/>
            <w:noWrap w:val="0"/>
            <w:vAlign w:val="top"/>
          </w:tcPr>
          <w:p w14:paraId="4A0757B9">
            <w:pPr>
              <w:keepNext w:val="0"/>
              <w:keepLines w:val="0"/>
              <w:pageBreakBefore w:val="0"/>
              <w:widowControl/>
              <w:numPr>
                <w:ilvl w:val="0"/>
                <w:numId w:val="19"/>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auto" w:fill="auto"/>
            <w:noWrap w:val="0"/>
            <w:vAlign w:val="center"/>
          </w:tcPr>
          <w:p w14:paraId="43B489B4">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镀锌钢管</w:t>
            </w:r>
          </w:p>
        </w:tc>
        <w:tc>
          <w:tcPr>
            <w:tcW w:w="1818" w:type="dxa"/>
            <w:shd w:val="clear" w:color="auto" w:fill="FFFFFF"/>
            <w:noWrap w:val="0"/>
            <w:vAlign w:val="center"/>
          </w:tcPr>
          <w:p w14:paraId="6F1F7529">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DN80</w:t>
            </w:r>
          </w:p>
        </w:tc>
        <w:tc>
          <w:tcPr>
            <w:tcW w:w="616" w:type="dxa"/>
            <w:shd w:val="clear" w:color="auto" w:fill="FFFFFF"/>
            <w:noWrap w:val="0"/>
            <w:vAlign w:val="center"/>
          </w:tcPr>
          <w:p w14:paraId="751CF4ED">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220</w:t>
            </w:r>
          </w:p>
        </w:tc>
        <w:tc>
          <w:tcPr>
            <w:tcW w:w="665" w:type="dxa"/>
            <w:shd w:val="clear" w:color="auto" w:fill="FFFFFF"/>
            <w:noWrap w:val="0"/>
            <w:vAlign w:val="center"/>
          </w:tcPr>
          <w:p w14:paraId="7F2F114C">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center"/>
          </w:tcPr>
          <w:p w14:paraId="1E54231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1D21A7E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5134D5B2">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center"/>
          </w:tcPr>
          <w:p w14:paraId="64BD52F7">
            <w:pPr>
              <w:jc w:val="center"/>
              <w:rPr>
                <w:rFonts w:hint="eastAsia" w:ascii="宋体" w:hAnsi="宋体" w:eastAsia="宋体" w:cs="宋体"/>
                <w:i w:val="0"/>
                <w:color w:val="000000"/>
                <w:kern w:val="0"/>
                <w:sz w:val="21"/>
                <w:szCs w:val="21"/>
                <w:highlight w:val="none"/>
                <w:u w:val="none"/>
                <w:lang w:val="en-US" w:eastAsia="zh-CN" w:bidi="ar-SA"/>
              </w:rPr>
            </w:pPr>
          </w:p>
        </w:tc>
      </w:tr>
      <w:tr w14:paraId="1B5E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shd w:val="clear" w:color="auto" w:fill="auto"/>
            <w:noWrap w:val="0"/>
            <w:vAlign w:val="top"/>
          </w:tcPr>
          <w:p w14:paraId="2A7B9886">
            <w:pPr>
              <w:keepNext w:val="0"/>
              <w:keepLines w:val="0"/>
              <w:pageBreakBefore w:val="0"/>
              <w:widowControl/>
              <w:numPr>
                <w:ilvl w:val="0"/>
                <w:numId w:val="19"/>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auto" w:fill="auto"/>
            <w:noWrap w:val="0"/>
            <w:vAlign w:val="top"/>
          </w:tcPr>
          <w:p w14:paraId="38904A8C">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镀锌钢管</w:t>
            </w:r>
          </w:p>
        </w:tc>
        <w:tc>
          <w:tcPr>
            <w:tcW w:w="1818" w:type="dxa"/>
            <w:shd w:val="clear" w:color="auto" w:fill="FFFFFF"/>
            <w:noWrap w:val="0"/>
            <w:vAlign w:val="center"/>
          </w:tcPr>
          <w:p w14:paraId="76241CA5">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DN50</w:t>
            </w:r>
          </w:p>
        </w:tc>
        <w:tc>
          <w:tcPr>
            <w:tcW w:w="616" w:type="dxa"/>
            <w:shd w:val="clear" w:color="auto" w:fill="FFFFFF"/>
            <w:noWrap w:val="0"/>
            <w:vAlign w:val="center"/>
          </w:tcPr>
          <w:p w14:paraId="239347CC">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160</w:t>
            </w:r>
          </w:p>
        </w:tc>
        <w:tc>
          <w:tcPr>
            <w:tcW w:w="665" w:type="dxa"/>
            <w:shd w:val="clear" w:color="auto" w:fill="FFFFFF"/>
            <w:noWrap w:val="0"/>
            <w:vAlign w:val="center"/>
          </w:tcPr>
          <w:p w14:paraId="00A33CB9">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4647F667">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4414998A">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2650CA3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3AD502EF">
            <w:pPr>
              <w:jc w:val="center"/>
              <w:rPr>
                <w:rFonts w:hint="eastAsia" w:ascii="宋体" w:hAnsi="宋体" w:eastAsia="宋体" w:cs="宋体"/>
                <w:i w:val="0"/>
                <w:color w:val="000000"/>
                <w:kern w:val="0"/>
                <w:sz w:val="21"/>
                <w:szCs w:val="21"/>
                <w:highlight w:val="none"/>
                <w:u w:val="none"/>
                <w:lang w:val="en-US" w:eastAsia="zh-CN" w:bidi="ar-SA"/>
              </w:rPr>
            </w:pPr>
          </w:p>
        </w:tc>
      </w:tr>
      <w:tr w14:paraId="6519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shd w:val="clear" w:color="auto" w:fill="auto"/>
            <w:noWrap w:val="0"/>
            <w:vAlign w:val="top"/>
          </w:tcPr>
          <w:p w14:paraId="71080CA7">
            <w:pPr>
              <w:keepNext w:val="0"/>
              <w:keepLines w:val="0"/>
              <w:pageBreakBefore w:val="0"/>
              <w:widowControl/>
              <w:numPr>
                <w:ilvl w:val="0"/>
                <w:numId w:val="19"/>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auto" w:fill="auto"/>
            <w:noWrap w:val="0"/>
            <w:vAlign w:val="top"/>
          </w:tcPr>
          <w:p w14:paraId="7263C839">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镀锌钢管</w:t>
            </w:r>
          </w:p>
        </w:tc>
        <w:tc>
          <w:tcPr>
            <w:tcW w:w="1818" w:type="dxa"/>
            <w:shd w:val="clear" w:color="auto" w:fill="FFFFFF"/>
            <w:noWrap w:val="0"/>
            <w:vAlign w:val="center"/>
          </w:tcPr>
          <w:p w14:paraId="0AAA9A13">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DN40</w:t>
            </w:r>
          </w:p>
        </w:tc>
        <w:tc>
          <w:tcPr>
            <w:tcW w:w="616" w:type="dxa"/>
            <w:shd w:val="clear" w:color="auto" w:fill="FFFFFF"/>
            <w:noWrap w:val="0"/>
            <w:vAlign w:val="center"/>
          </w:tcPr>
          <w:p w14:paraId="58C65B37">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w:t>
            </w:r>
          </w:p>
        </w:tc>
        <w:tc>
          <w:tcPr>
            <w:tcW w:w="665" w:type="dxa"/>
            <w:shd w:val="clear" w:color="auto" w:fill="FFFFFF"/>
            <w:noWrap w:val="0"/>
            <w:vAlign w:val="center"/>
          </w:tcPr>
          <w:p w14:paraId="57264116">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7E6C74A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5216EAA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46F43546">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23F79A97">
            <w:pPr>
              <w:jc w:val="center"/>
              <w:rPr>
                <w:rFonts w:hint="eastAsia" w:ascii="宋体" w:hAnsi="宋体" w:eastAsia="宋体" w:cs="宋体"/>
                <w:i w:val="0"/>
                <w:color w:val="000000"/>
                <w:kern w:val="0"/>
                <w:sz w:val="21"/>
                <w:szCs w:val="21"/>
                <w:highlight w:val="none"/>
                <w:u w:val="none"/>
                <w:lang w:val="en-US" w:eastAsia="zh-CN" w:bidi="ar-SA"/>
              </w:rPr>
            </w:pPr>
          </w:p>
        </w:tc>
      </w:tr>
      <w:tr w14:paraId="4A26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shd w:val="clear" w:color="auto" w:fill="auto"/>
            <w:noWrap w:val="0"/>
            <w:vAlign w:val="top"/>
          </w:tcPr>
          <w:p w14:paraId="30790DAE">
            <w:pPr>
              <w:keepNext w:val="0"/>
              <w:keepLines w:val="0"/>
              <w:pageBreakBefore w:val="0"/>
              <w:widowControl/>
              <w:numPr>
                <w:ilvl w:val="0"/>
                <w:numId w:val="19"/>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auto" w:fill="auto"/>
            <w:noWrap w:val="0"/>
            <w:vAlign w:val="top"/>
          </w:tcPr>
          <w:p w14:paraId="61BF000A">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镀锌钢管</w:t>
            </w:r>
          </w:p>
        </w:tc>
        <w:tc>
          <w:tcPr>
            <w:tcW w:w="1818" w:type="dxa"/>
            <w:shd w:val="clear" w:color="auto" w:fill="FFFFFF"/>
            <w:noWrap w:val="0"/>
            <w:vAlign w:val="center"/>
          </w:tcPr>
          <w:p w14:paraId="4A7C7EAA">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DN32</w:t>
            </w:r>
          </w:p>
        </w:tc>
        <w:tc>
          <w:tcPr>
            <w:tcW w:w="616" w:type="dxa"/>
            <w:shd w:val="clear" w:color="auto" w:fill="FFFFFF"/>
            <w:noWrap w:val="0"/>
            <w:vAlign w:val="center"/>
          </w:tcPr>
          <w:p w14:paraId="7CF567E8">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250</w:t>
            </w:r>
          </w:p>
        </w:tc>
        <w:tc>
          <w:tcPr>
            <w:tcW w:w="665" w:type="dxa"/>
            <w:shd w:val="clear" w:color="auto" w:fill="FFFFFF"/>
            <w:noWrap w:val="0"/>
            <w:vAlign w:val="center"/>
          </w:tcPr>
          <w:p w14:paraId="540F6C5F">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4A60AE12">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54070E8C">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04F3FB34">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11D250E2">
            <w:pPr>
              <w:jc w:val="center"/>
              <w:rPr>
                <w:rFonts w:hint="eastAsia" w:ascii="宋体" w:hAnsi="宋体" w:eastAsia="宋体" w:cs="宋体"/>
                <w:i w:val="0"/>
                <w:color w:val="000000"/>
                <w:kern w:val="0"/>
                <w:sz w:val="21"/>
                <w:szCs w:val="21"/>
                <w:highlight w:val="none"/>
                <w:u w:val="none"/>
                <w:lang w:val="en-US" w:eastAsia="zh-CN" w:bidi="ar-SA"/>
              </w:rPr>
            </w:pPr>
          </w:p>
        </w:tc>
      </w:tr>
      <w:tr w14:paraId="3020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shd w:val="clear" w:color="auto" w:fill="auto"/>
            <w:noWrap w:val="0"/>
            <w:vAlign w:val="top"/>
          </w:tcPr>
          <w:p w14:paraId="46849461">
            <w:pPr>
              <w:keepNext w:val="0"/>
              <w:keepLines w:val="0"/>
              <w:pageBreakBefore w:val="0"/>
              <w:widowControl/>
              <w:numPr>
                <w:ilvl w:val="0"/>
                <w:numId w:val="19"/>
              </w:numPr>
              <w:suppressLineNumbers w:val="0"/>
              <w:kinsoku/>
              <w:wordWrap/>
              <w:overflowPunct/>
              <w:topLinePunct w:val="0"/>
              <w:autoSpaceDE/>
              <w:autoSpaceDN/>
              <w:bidi w:val="0"/>
              <w:adjustRightInd/>
              <w:snapToGrid/>
              <w:spacing w:line="240" w:lineRule="auto"/>
              <w:ind w:left="425" w:leftChars="0" w:right="0" w:rightChars="0" w:hanging="425" w:firstLine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auto" w:fill="auto"/>
            <w:noWrap w:val="0"/>
            <w:vAlign w:val="top"/>
          </w:tcPr>
          <w:p w14:paraId="28C6B3E6">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镀锌钢管</w:t>
            </w:r>
          </w:p>
        </w:tc>
        <w:tc>
          <w:tcPr>
            <w:tcW w:w="1818" w:type="dxa"/>
            <w:shd w:val="clear" w:color="auto" w:fill="FFFFFF"/>
            <w:noWrap w:val="0"/>
            <w:vAlign w:val="center"/>
          </w:tcPr>
          <w:p w14:paraId="7103C94D">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DN25</w:t>
            </w:r>
          </w:p>
        </w:tc>
        <w:tc>
          <w:tcPr>
            <w:tcW w:w="616" w:type="dxa"/>
            <w:shd w:val="clear" w:color="auto" w:fill="FFFFFF"/>
            <w:noWrap w:val="0"/>
            <w:vAlign w:val="center"/>
          </w:tcPr>
          <w:p w14:paraId="2729B789">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400</w:t>
            </w:r>
          </w:p>
        </w:tc>
        <w:tc>
          <w:tcPr>
            <w:tcW w:w="665" w:type="dxa"/>
            <w:shd w:val="clear" w:color="auto" w:fill="FFFFFF"/>
            <w:noWrap w:val="0"/>
            <w:vAlign w:val="center"/>
          </w:tcPr>
          <w:p w14:paraId="547F2761">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6CCE599B">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5C40EA0F">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15B77556">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0A2CDE79">
            <w:pPr>
              <w:jc w:val="center"/>
              <w:rPr>
                <w:rFonts w:hint="eastAsia" w:ascii="宋体" w:hAnsi="宋体" w:eastAsia="宋体" w:cs="宋体"/>
                <w:i w:val="0"/>
                <w:color w:val="000000"/>
                <w:kern w:val="0"/>
                <w:sz w:val="21"/>
                <w:szCs w:val="21"/>
                <w:highlight w:val="none"/>
                <w:u w:val="none"/>
                <w:lang w:val="en-US" w:eastAsia="zh-CN" w:bidi="ar-SA"/>
              </w:rPr>
            </w:pPr>
          </w:p>
        </w:tc>
      </w:tr>
      <w:tr w14:paraId="6CEB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14" w:type="dxa"/>
            <w:shd w:val="clear" w:color="auto" w:fill="auto"/>
            <w:noWrap w:val="0"/>
            <w:vAlign w:val="top"/>
          </w:tcPr>
          <w:p w14:paraId="6B8BCAD6">
            <w:pPr>
              <w:keepNext w:val="0"/>
              <w:keepLines w:val="0"/>
              <w:widowControl/>
              <w:numPr>
                <w:ilvl w:val="0"/>
                <w:numId w:val="19"/>
              </w:numPr>
              <w:suppressLineNumbers w:val="0"/>
              <w:ind w:left="425" w:leftChars="0" w:hanging="425" w:firstLineChars="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92" w:type="dxa"/>
            <w:shd w:val="clear" w:color="auto" w:fill="auto"/>
            <w:noWrap w:val="0"/>
            <w:vAlign w:val="top"/>
          </w:tcPr>
          <w:p w14:paraId="424A45A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镀锌钢管</w:t>
            </w:r>
          </w:p>
        </w:tc>
        <w:tc>
          <w:tcPr>
            <w:tcW w:w="1818" w:type="dxa"/>
            <w:shd w:val="clear" w:color="auto" w:fill="FFFFFF"/>
            <w:noWrap w:val="0"/>
            <w:vAlign w:val="center"/>
          </w:tcPr>
          <w:p w14:paraId="7F9688A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DN20</w:t>
            </w:r>
          </w:p>
        </w:tc>
        <w:tc>
          <w:tcPr>
            <w:tcW w:w="616" w:type="dxa"/>
            <w:shd w:val="clear" w:color="auto" w:fill="FFFFFF"/>
            <w:noWrap w:val="0"/>
            <w:vAlign w:val="center"/>
          </w:tcPr>
          <w:p w14:paraId="1D6BD14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42</w:t>
            </w:r>
          </w:p>
        </w:tc>
        <w:tc>
          <w:tcPr>
            <w:tcW w:w="665" w:type="dxa"/>
            <w:shd w:val="clear" w:color="auto" w:fill="FFFFFF"/>
            <w:noWrap w:val="0"/>
            <w:vAlign w:val="center"/>
          </w:tcPr>
          <w:p w14:paraId="5E5A03B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米</w:t>
            </w:r>
          </w:p>
        </w:tc>
        <w:tc>
          <w:tcPr>
            <w:tcW w:w="1397" w:type="dxa"/>
            <w:noWrap w:val="0"/>
            <w:vAlign w:val="top"/>
          </w:tcPr>
          <w:p w14:paraId="2F003BD8">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119278C5">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35C39733">
            <w:pPr>
              <w:jc w:val="center"/>
              <w:rPr>
                <w:rFonts w:hint="eastAsia" w:ascii="宋体" w:hAnsi="宋体" w:eastAsia="宋体" w:cs="宋体"/>
                <w:i w:val="0"/>
                <w:color w:val="000000"/>
                <w:kern w:val="0"/>
                <w:sz w:val="21"/>
                <w:szCs w:val="21"/>
                <w:highlight w:val="none"/>
                <w:u w:val="none"/>
                <w:lang w:val="en-US" w:eastAsia="zh-CN" w:bidi="ar-SA"/>
              </w:rPr>
            </w:pPr>
          </w:p>
        </w:tc>
        <w:tc>
          <w:tcPr>
            <w:tcW w:w="985" w:type="dxa"/>
            <w:noWrap w:val="0"/>
            <w:vAlign w:val="top"/>
          </w:tcPr>
          <w:p w14:paraId="1012EEF1">
            <w:pPr>
              <w:jc w:val="center"/>
              <w:rPr>
                <w:rFonts w:hint="eastAsia" w:ascii="宋体" w:hAnsi="宋体" w:eastAsia="宋体" w:cs="宋体"/>
                <w:i w:val="0"/>
                <w:color w:val="000000"/>
                <w:kern w:val="0"/>
                <w:sz w:val="21"/>
                <w:szCs w:val="21"/>
                <w:highlight w:val="none"/>
                <w:u w:val="none"/>
                <w:lang w:val="en-US" w:eastAsia="zh-CN" w:bidi="ar-SA"/>
              </w:rPr>
            </w:pPr>
          </w:p>
        </w:tc>
      </w:tr>
      <w:tr w14:paraId="15B1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5705" w:type="dxa"/>
            <w:gridSpan w:val="5"/>
            <w:vMerge w:val="restart"/>
            <w:noWrap w:val="0"/>
            <w:vAlign w:val="center"/>
          </w:tcPr>
          <w:p w14:paraId="19F47FC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总价合计（元）</w:t>
            </w:r>
          </w:p>
        </w:tc>
        <w:tc>
          <w:tcPr>
            <w:tcW w:w="4352" w:type="dxa"/>
            <w:gridSpan w:val="4"/>
            <w:noWrap w:val="0"/>
            <w:vAlign w:val="center"/>
          </w:tcPr>
          <w:p w14:paraId="24AECBC8">
            <w:pPr>
              <w:jc w:val="left"/>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小写：</w:t>
            </w:r>
          </w:p>
        </w:tc>
      </w:tr>
      <w:tr w14:paraId="5DEC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5705" w:type="dxa"/>
            <w:gridSpan w:val="5"/>
            <w:vMerge w:val="continue"/>
            <w:noWrap w:val="0"/>
            <w:vAlign w:val="center"/>
          </w:tcPr>
          <w:p w14:paraId="4CA38DB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4352" w:type="dxa"/>
            <w:gridSpan w:val="4"/>
            <w:noWrap w:val="0"/>
            <w:vAlign w:val="center"/>
          </w:tcPr>
          <w:p w14:paraId="54B19E80">
            <w:pPr>
              <w:jc w:val="left"/>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大写：</w:t>
            </w:r>
          </w:p>
        </w:tc>
      </w:tr>
    </w:tbl>
    <w:p w14:paraId="7C64A674">
      <w:pPr>
        <w:autoSpaceDE w:val="0"/>
        <w:autoSpaceDN w:val="0"/>
        <w:adjustRightIn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3号泵站及进出水管改造（泵站维修提升）工程项目为设备采购标，请充分考虑各种费用，采购内容包括不限于设备供货、装卸、指导安装、软件编制(包括知识产权)系统组态、调试及所有附属设施材料（包括列入清单备注的材料及配件）、人员培训、售后服务。中标人需无条件配合其它施工单位，保证系统按设计要求正常运行。</w:t>
      </w:r>
    </w:p>
    <w:p w14:paraId="60992EE4">
      <w:pPr>
        <w:autoSpaceDE w:val="0"/>
        <w:autoSpaceDN w:val="0"/>
        <w:adjustRightInd w:val="0"/>
        <w:spacing w:line="440" w:lineRule="exact"/>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、漏报的视同已包含在投标总价内。有重大缺项的将作无效标处理。</w:t>
      </w:r>
    </w:p>
    <w:p w14:paraId="373DD035">
      <w:pPr>
        <w:autoSpaceDE w:val="0"/>
        <w:autoSpaceDN w:val="0"/>
        <w:adjustRightInd w:val="0"/>
        <w:spacing w:line="440" w:lineRule="exact"/>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、以上采购清单为暂定数量，具体数量以</w:t>
      </w:r>
      <w:r>
        <w:rPr>
          <w:rFonts w:hint="eastAsia" w:ascii="宋体" w:hAnsi="宋体" w:eastAsia="宋体" w:cs="宋体"/>
          <w:color w:val="auto"/>
          <w:kern w:val="0"/>
          <w:sz w:val="24"/>
          <w:highlight w:val="none"/>
          <w:lang w:val="en-US" w:eastAsia="zh-CN"/>
        </w:rPr>
        <w:t>实际采购数量</w:t>
      </w:r>
      <w:r>
        <w:rPr>
          <w:rFonts w:hint="eastAsia" w:ascii="宋体" w:hAnsi="宋体" w:eastAsia="宋体" w:cs="宋体"/>
          <w:color w:val="auto"/>
          <w:kern w:val="0"/>
          <w:sz w:val="24"/>
          <w:highlight w:val="none"/>
        </w:rPr>
        <w:t>为准。</w:t>
      </w:r>
    </w:p>
    <w:p w14:paraId="0C74D710">
      <w:pPr>
        <w:wordWrap w:val="0"/>
        <w:autoSpaceDE w:val="0"/>
        <w:autoSpaceDN w:val="0"/>
        <w:adjustRightInd w:val="0"/>
        <w:spacing w:line="440" w:lineRule="exact"/>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BCEA50B">
      <w:pPr>
        <w:wordWrap w:val="0"/>
        <w:autoSpaceDE w:val="0"/>
        <w:autoSpaceDN w:val="0"/>
        <w:adjustRightIn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投标人（单位公章或电子公章）：     </w:t>
      </w:r>
    </w:p>
    <w:p w14:paraId="2E32701E">
      <w:pPr>
        <w:jc w:val="right"/>
        <w:rPr>
          <w:rFonts w:ascii="宋体" w:hAnsi="宋体" w:eastAsia="宋体" w:cs="宋体"/>
          <w:highlight w:val="none"/>
          <w:lang w:val="en-US"/>
        </w:rPr>
      </w:pPr>
      <w:r>
        <w:rPr>
          <w:rFonts w:hint="eastAsia" w:ascii="宋体" w:hAnsi="宋体" w:eastAsia="宋体" w:cs="宋体"/>
          <w:color w:val="auto"/>
          <w:kern w:val="0"/>
          <w:sz w:val="24"/>
          <w:highlight w:val="none"/>
          <w:lang w:val="zh-CN"/>
        </w:rPr>
        <w:t xml:space="preserve">                                                                                        日期：20  年  月   日</w:t>
      </w:r>
    </w:p>
    <w:p w14:paraId="7FC01B1F">
      <w:pPr>
        <w:rPr>
          <w:rFonts w:ascii="宋体" w:hAnsi="宋体" w:cs="宋体"/>
          <w:highlight w:val="none"/>
        </w:rPr>
      </w:pPr>
    </w:p>
    <w:p w14:paraId="47A9BAFA">
      <w:pPr>
        <w:rPr>
          <w:rFonts w:ascii="宋体" w:hAnsi="宋体" w:cs="宋体"/>
          <w:highlight w:val="none"/>
        </w:rPr>
      </w:pPr>
    </w:p>
    <w:p w14:paraId="65040B7E">
      <w:pPr>
        <w:pStyle w:val="23"/>
        <w:rPr>
          <w:rFonts w:hAnsi="宋体" w:cs="宋体"/>
          <w:highlight w:val="none"/>
          <w:lang w:val="en-US"/>
        </w:rPr>
      </w:pPr>
    </w:p>
    <w:p w14:paraId="797B45E3">
      <w:pPr>
        <w:rPr>
          <w:rFonts w:ascii="宋体" w:hAnsi="宋体" w:cs="宋体"/>
          <w:highlight w:val="none"/>
        </w:rPr>
      </w:pPr>
      <w:r>
        <w:rPr>
          <w:rFonts w:ascii="宋体" w:hAnsi="宋体" w:cs="宋体"/>
          <w:highlight w:val="none"/>
        </w:rPr>
        <w:br w:type="page"/>
      </w:r>
    </w:p>
    <w:p w14:paraId="57EE407F">
      <w:pPr>
        <w:rPr>
          <w:rFonts w:ascii="宋体" w:hAnsi="宋体" w:cs="宋体"/>
          <w:highlight w:val="none"/>
        </w:rPr>
      </w:pPr>
    </w:p>
    <w:p w14:paraId="4A0DC4AE">
      <w:pPr>
        <w:spacing w:line="360" w:lineRule="auto"/>
        <w:jc w:val="both"/>
        <w:rPr>
          <w:rFonts w:ascii="宋体" w:hAnsi="宋体" w:cs="宋体"/>
          <w:b/>
          <w:spacing w:val="6"/>
          <w:sz w:val="44"/>
          <w:szCs w:val="44"/>
          <w:highlight w:val="none"/>
        </w:rPr>
      </w:pPr>
      <w:r>
        <w:rPr>
          <w:rFonts w:hint="eastAsia" w:ascii="宋体" w:hAnsi="宋体" w:cs="宋体"/>
          <w:b/>
          <w:spacing w:val="6"/>
          <w:sz w:val="44"/>
          <w:szCs w:val="44"/>
          <w:highlight w:val="none"/>
        </w:rPr>
        <w:t>附件</w:t>
      </w:r>
    </w:p>
    <w:p w14:paraId="4EFAE220">
      <w:pPr>
        <w:tabs>
          <w:tab w:val="left" w:pos="7324"/>
        </w:tabs>
        <w:spacing w:line="360" w:lineRule="auto"/>
        <w:jc w:val="left"/>
        <w:rPr>
          <w:rFonts w:hint="eastAsia" w:ascii="宋体" w:hAnsi="宋体" w:eastAsia="宋体" w:cs="宋体"/>
          <w:b/>
          <w:spacing w:val="6"/>
          <w:sz w:val="32"/>
          <w:szCs w:val="32"/>
          <w:highlight w:val="none"/>
          <w:lang w:eastAsia="zh-CN"/>
        </w:rPr>
      </w:pPr>
      <w:r>
        <w:rPr>
          <w:rFonts w:hint="eastAsia" w:ascii="宋体" w:hAnsi="宋体" w:cs="宋体"/>
          <w:b/>
          <w:spacing w:val="6"/>
          <w:sz w:val="32"/>
          <w:szCs w:val="32"/>
          <w:highlight w:val="none"/>
        </w:rPr>
        <w:t>附件：质疑函范本及制作说明</w:t>
      </w:r>
      <w:r>
        <w:rPr>
          <w:rFonts w:hint="eastAsia" w:ascii="宋体" w:hAnsi="宋体" w:cs="宋体"/>
          <w:b/>
          <w:spacing w:val="6"/>
          <w:sz w:val="32"/>
          <w:szCs w:val="32"/>
          <w:highlight w:val="none"/>
          <w:lang w:eastAsia="zh-CN"/>
        </w:rPr>
        <w:tab/>
      </w:r>
    </w:p>
    <w:p w14:paraId="52F1A4F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19FB6DF">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29E8C31">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06D534CD">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A1B9381">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622843B">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CC511A6">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8120551">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575CF98">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6F3718C">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E4D27A9">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4270429">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474967A">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6237DE74">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0FBF579">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836141D">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2285B1F">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2121E851">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929C55C">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FCD7FEF">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2ECD2C5">
      <w:pPr>
        <w:snapToGrid w:val="0"/>
        <w:spacing w:line="360" w:lineRule="auto"/>
        <w:rPr>
          <w:rFonts w:ascii="宋体" w:hAnsi="宋体" w:cs="宋体"/>
          <w:sz w:val="24"/>
          <w:highlight w:val="none"/>
        </w:rPr>
      </w:pPr>
      <w:r>
        <w:rPr>
          <w:rFonts w:hint="eastAsia" w:ascii="宋体" w:hAnsi="宋体" w:cs="宋体"/>
          <w:sz w:val="24"/>
          <w:highlight w:val="none"/>
        </w:rPr>
        <w:t>……</w:t>
      </w:r>
    </w:p>
    <w:p w14:paraId="5D497C4C">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32F2C7BB">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2A19C797">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F0AA8B4">
      <w:pPr>
        <w:spacing w:line="360" w:lineRule="auto"/>
        <w:rPr>
          <w:rFonts w:ascii="宋体" w:hAnsi="宋体" w:cs="宋体"/>
          <w:sz w:val="24"/>
          <w:highlight w:val="none"/>
        </w:rPr>
      </w:pPr>
      <w:r>
        <w:rPr>
          <w:rFonts w:hint="eastAsia" w:ascii="宋体" w:hAnsi="宋体" w:cs="宋体"/>
          <w:sz w:val="24"/>
          <w:highlight w:val="none"/>
        </w:rPr>
        <w:t xml:space="preserve">日期：    </w:t>
      </w:r>
    </w:p>
    <w:p w14:paraId="7AADFDC7">
      <w:pPr>
        <w:spacing w:line="360" w:lineRule="auto"/>
        <w:rPr>
          <w:rFonts w:hint="eastAsia" w:ascii="宋体" w:hAnsi="宋体" w:cs="宋体"/>
          <w:b/>
          <w:sz w:val="24"/>
          <w:highlight w:val="none"/>
        </w:rPr>
      </w:pPr>
    </w:p>
    <w:p w14:paraId="24744F9D">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CF8C6E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32305A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B537EF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8BE029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730108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D5FC3E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A0F3208">
      <w:pPr>
        <w:spacing w:line="24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261720E6">
      <w:pPr>
        <w:jc w:val="both"/>
        <w:rPr>
          <w:rFonts w:hint="eastAsia"/>
          <w:b/>
          <w:color w:val="auto"/>
          <w:sz w:val="48"/>
          <w:szCs w:val="48"/>
          <w:highlight w:val="none"/>
        </w:rPr>
      </w:pPr>
      <w:r>
        <w:rPr>
          <w:rFonts w:hint="eastAsia"/>
          <w:color w:val="auto"/>
          <w:sz w:val="30"/>
          <w:szCs w:val="30"/>
          <w:highlight w:val="none"/>
          <w:u w:val="none"/>
          <w:lang w:val="en-US" w:eastAsia="zh-CN"/>
        </w:rPr>
        <w:t>附件（中标后提供）：</w:t>
      </w:r>
    </w:p>
    <w:p w14:paraId="56E1397C">
      <w:pPr>
        <w:jc w:val="center"/>
        <w:rPr>
          <w:rFonts w:hint="eastAsia"/>
          <w:b/>
          <w:color w:val="auto"/>
          <w:sz w:val="48"/>
          <w:szCs w:val="48"/>
          <w:highlight w:val="none"/>
        </w:rPr>
      </w:pPr>
    </w:p>
    <w:p w14:paraId="706C2734">
      <w:pPr>
        <w:jc w:val="center"/>
        <w:rPr>
          <w:rFonts w:hint="eastAsia"/>
          <w:b/>
          <w:color w:val="auto"/>
          <w:sz w:val="48"/>
          <w:szCs w:val="48"/>
          <w:highlight w:val="none"/>
        </w:rPr>
      </w:pPr>
      <w:r>
        <w:rPr>
          <w:rFonts w:hint="eastAsia"/>
          <w:b/>
          <w:color w:val="auto"/>
          <w:sz w:val="48"/>
          <w:szCs w:val="48"/>
          <w:highlight w:val="none"/>
        </w:rPr>
        <w:t>承 诺 书</w:t>
      </w:r>
    </w:p>
    <w:p w14:paraId="582E354C">
      <w:pPr>
        <w:rPr>
          <w:rFonts w:hint="eastAsia"/>
          <w:color w:val="auto"/>
          <w:sz w:val="30"/>
          <w:szCs w:val="30"/>
          <w:highlight w:val="none"/>
        </w:rPr>
      </w:pPr>
    </w:p>
    <w:p w14:paraId="1541984D">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7CE55567">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有幸中标，考虑本项目备案事宜，故由我单位再提供纸质版电子投标文件一式四份（正本一份红章版，副本三份，可为正本复印件）递交给招标代理机构备案</w:t>
      </w:r>
      <w:r>
        <w:rPr>
          <w:rFonts w:hint="eastAsia"/>
          <w:color w:val="auto"/>
          <w:sz w:val="30"/>
          <w:szCs w:val="30"/>
          <w:highlight w:val="none"/>
        </w:rPr>
        <w:t>，本公司承诺：</w:t>
      </w:r>
    </w:p>
    <w:p w14:paraId="1BB5F6C2">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0E4FD1C4">
      <w:pPr>
        <w:spacing w:line="780" w:lineRule="exact"/>
        <w:jc w:val="both"/>
        <w:rPr>
          <w:rFonts w:hint="eastAsia"/>
          <w:color w:val="auto"/>
          <w:sz w:val="30"/>
          <w:szCs w:val="30"/>
          <w:highlight w:val="none"/>
          <w:lang w:eastAsia="zh-CN"/>
        </w:rPr>
      </w:pPr>
    </w:p>
    <w:p w14:paraId="32216EFF">
      <w:pPr>
        <w:spacing w:line="780" w:lineRule="exact"/>
        <w:jc w:val="both"/>
        <w:rPr>
          <w:rFonts w:hint="eastAsia"/>
          <w:color w:val="auto"/>
          <w:sz w:val="30"/>
          <w:szCs w:val="30"/>
          <w:highlight w:val="none"/>
          <w:lang w:eastAsia="zh-CN"/>
        </w:rPr>
      </w:pPr>
    </w:p>
    <w:p w14:paraId="290450A5">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0BFC1470">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4C29D3D7">
      <w:pPr>
        <w:pStyle w:val="61"/>
        <w:rPr>
          <w:highlight w:val="none"/>
        </w:rPr>
      </w:pPr>
    </w:p>
    <w:p w14:paraId="22F54191">
      <w:pPr>
        <w:spacing w:line="360" w:lineRule="auto"/>
        <w:rPr>
          <w:rFonts w:ascii="宋体" w:hAnsi="宋体" w:cs="宋体"/>
          <w:bCs/>
          <w:sz w:val="24"/>
          <w:highlight w:val="none"/>
        </w:rPr>
      </w:pPr>
    </w:p>
    <w:p w14:paraId="690F2538">
      <w:pPr>
        <w:spacing w:line="360" w:lineRule="auto"/>
        <w:rPr>
          <w:rFonts w:ascii="宋体" w:hAnsi="宋体" w:cs="宋体"/>
          <w:bCs/>
          <w:sz w:val="24"/>
          <w:highlight w:val="none"/>
        </w:rPr>
      </w:pPr>
    </w:p>
    <w:p w14:paraId="04AC19A2">
      <w:pPr>
        <w:rPr>
          <w:highlight w:val="none"/>
        </w:rPr>
      </w:pPr>
    </w:p>
    <w:p w14:paraId="625680DB">
      <w:pPr>
        <w:rPr>
          <w:highlight w:val="none"/>
        </w:rPr>
      </w:pPr>
    </w:p>
    <w:sectPr>
      <w:headerReference r:id="rId20" w:type="first"/>
      <w:footerReference r:id="rId22" w:type="first"/>
      <w:headerReference r:id="rId19" w:type="default"/>
      <w:footerReference r:id="rId21" w:type="default"/>
      <w:pgSz w:w="11905" w:h="16838"/>
      <w:pgMar w:top="1276"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B7C7">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5C192">
                          <w:pPr>
                            <w:pStyle w:val="4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95C192">
                    <w:pPr>
                      <w:pStyle w:val="4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5948">
    <w:pPr>
      <w:pStyle w:val="41"/>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5563B">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85563B">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94B0">
    <w:pPr>
      <w:pStyle w:val="41"/>
      <w:rPr>
        <w:color w:val="0000FF"/>
        <w:u w:val="thick"/>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9175E">
                          <w:pPr>
                            <w:pStyle w:val="4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99175E">
                    <w:pPr>
                      <w:pStyle w:val="41"/>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2336"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618F085"/>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zzrlGMYBAACcAwAADgAAAAAAAAABACAAAAAfAQAAZHJzL2Uyb0RvYy54&#10;bWxQSwUGAAAAAAYABgBZAQAAVwUAAAAA&#10;">
              <v:fill on="f" focussize="0,0"/>
              <v:stroke on="f"/>
              <v:imagedata o:title=""/>
              <o:lock v:ext="edit" aspectratio="f"/>
              <v:textbox inset="0mm,0mm,0mm,0mm" style="mso-fit-shape-to-text:t;">
                <w:txbxContent>
                  <w:p w14:paraId="4618F085"/>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1C6">
    <w:pPr>
      <w:pStyle w:val="41"/>
      <w:rPr>
        <w:color w:val="0000FF"/>
        <w:u w:val="thick"/>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CE282">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CCE282">
                    <w:pPr>
                      <w:pStyle w:val="41"/>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0288"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6063A5"/>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14:paraId="386063A5"/>
                </w:txbxContent>
              </v:textbox>
            </v:rect>
          </w:pict>
        </mc:Fallback>
      </mc:AlternateContent>
    </w:r>
    <w:r>
      <w:rPr>
        <w:rFonts w:hint="eastAsia"/>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1EF">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68AE9">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968AE9">
                    <w:pPr>
                      <w:pStyle w:val="41"/>
                    </w:pPr>
                    <w:r>
                      <w:fldChar w:fldCharType="begin"/>
                    </w:r>
                    <w:r>
                      <w:instrText xml:space="preserve"> PAGE  \* MERGEFORMAT </w:instrText>
                    </w:r>
                    <w:r>
                      <w:fldChar w:fldCharType="separate"/>
                    </w:r>
                    <w:r>
                      <w:t>47</w:t>
                    </w:r>
                    <w:r>
                      <w:fldChar w:fldCharType="end"/>
                    </w:r>
                  </w:p>
                </w:txbxContent>
              </v:textbox>
            </v:shape>
          </w:pict>
        </mc:Fallback>
      </mc:AlternateContent>
    </w:r>
  </w:p>
  <w:p w14:paraId="0C4599C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D105">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91DD3">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6591DD3">
                    <w:pPr>
                      <w:pStyle w:val="41"/>
                    </w:pPr>
                    <w:r>
                      <w:fldChar w:fldCharType="begin"/>
                    </w:r>
                    <w:r>
                      <w:instrText xml:space="preserve"> PAGE  \* MERGEFORMAT </w:instrText>
                    </w:r>
                    <w:r>
                      <w:fldChar w:fldCharType="separate"/>
                    </w:r>
                    <w:r>
                      <w:t>46</w:t>
                    </w:r>
                    <w:r>
                      <w:fldChar w:fldCharType="end"/>
                    </w:r>
                  </w:p>
                </w:txbxContent>
              </v:textbox>
            </v:shape>
          </w:pict>
        </mc:Fallback>
      </mc:AlternateContent>
    </w:r>
  </w:p>
  <w:p w14:paraId="3CF765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8569">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D0A89">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8D0A89">
                    <w:pPr>
                      <w:pStyle w:val="4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E641">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E2FD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8E2FD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65B5">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E24CB">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7E24CB">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3573">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B25A1">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5B25A1">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543A">
    <w:pPr>
      <w:pStyle w:val="42"/>
      <w:pBdr>
        <w:bottom w:val="single" w:color="auto" w:sz="6" w:space="4"/>
      </w:pBdr>
      <w:jc w:val="right"/>
    </w:pPr>
    <w:r>
      <w:t></w:t>
    </w:r>
    <w:r>
      <w:rPr>
        <w:rFonts w:hint="eastAsia"/>
      </w:rPr>
      <w:t xml:space="preserve">         </w:t>
    </w:r>
  </w:p>
  <w:p w14:paraId="0633E0C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171">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C68">
    <w:pPr>
      <w:pStyle w:val="42"/>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临采云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9FE1">
    <w:pPr>
      <w:pStyle w:val="42"/>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临平区临采云</w:t>
    </w:r>
    <w:r>
      <w:rPr>
        <w:lang w:val="zh-CN"/>
      </w:rPr>
      <w:t>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DBB6">
    <w:pPr>
      <w:pStyle w:val="42"/>
      <w:rPr>
        <w:rFonts w:ascii="仿宋_GB2312" w:eastAsia="仿宋_GB2312"/>
        <w:b/>
        <w:i/>
        <w:u w:val="single"/>
      </w:rPr>
    </w:pPr>
    <w:r>
      <w:t></w:t>
    </w:r>
    <w:r>
      <w:rPr>
        <w:rFonts w:hint="eastAsia"/>
      </w:rPr>
      <w:t xml:space="preserve">                                                 </w:t>
    </w:r>
    <w:r>
      <w:rPr>
        <w:rFonts w:hint="eastAsia"/>
        <w:lang w:val="en-US" w:eastAsia="zh-CN"/>
      </w:rPr>
      <w:t>临平区临采云</w:t>
    </w:r>
    <w:r>
      <w:t>采购公开招标文件</w:t>
    </w:r>
  </w:p>
  <w:p w14:paraId="696F51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B6D1">
    <w:pPr>
      <w:pStyle w:val="42"/>
      <w:jc w:val="right"/>
    </w:pPr>
    <w:r>
      <w:t></w:t>
    </w:r>
    <w:r>
      <w:rPr>
        <w:rFonts w:hint="eastAsia"/>
      </w:rPr>
      <w:t xml:space="preserve">                 </w:t>
    </w:r>
    <w:r>
      <w:t xml:space="preserve">                                </w:t>
    </w:r>
    <w:r>
      <w:rPr>
        <w:rFonts w:hint="eastAsia"/>
      </w:rPr>
      <w:t xml:space="preserve">         </w:t>
    </w:r>
    <w:r>
      <w:rPr>
        <w:rFonts w:hint="eastAsia"/>
        <w:lang w:val="en-US" w:eastAsia="zh-CN"/>
      </w:rPr>
      <w:t>临平区临采云</w:t>
    </w:r>
    <w:r>
      <w:t>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39CA">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临平区临采云</w:t>
    </w:r>
    <w:r>
      <w:rPr>
        <w:lang w:val="zh-CN"/>
      </w:rPr>
      <w:t>采购公开招标文件</w:t>
    </w:r>
  </w:p>
  <w:p w14:paraId="1F660ED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8845">
    <w:pPr>
      <w:pStyle w:val="42"/>
      <w:jc w:val="right"/>
      <w:rPr>
        <w:rFonts w:ascii="仿宋_GB2312" w:eastAsia="仿宋_GB2312"/>
        <w:b/>
        <w:i/>
        <w:u w:val="single"/>
      </w:rPr>
    </w:pPr>
    <w:r>
      <w:rPr>
        <w:rFonts w:hint="eastAsia"/>
      </w:rPr>
      <w:t xml:space="preserve">                                  </w:t>
    </w:r>
    <w:r>
      <w:t>杭州市政府采购公开招标文件</w:t>
    </w:r>
  </w:p>
  <w:p w14:paraId="0F4351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691">
    <w:pPr>
      <w:pStyle w:val="42"/>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临平区临采云</w:t>
    </w:r>
    <w:r>
      <w:rPr>
        <w:lang w:val="zh-CN"/>
      </w:rPr>
      <w:t>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1A48">
    <w:pPr>
      <w:pStyle w:val="42"/>
      <w:jc w:val="right"/>
      <w:rPr>
        <w:rFonts w:ascii="仿宋_GB2312" w:eastAsia="仿宋_GB2312"/>
        <w:b/>
        <w:i/>
        <w:iCs/>
        <w:u w:val="single"/>
      </w:rPr>
    </w:pPr>
    <w:r>
      <w:t></w:t>
    </w:r>
    <w:r>
      <w:rPr>
        <w:rFonts w:hint="eastAsia"/>
      </w:rPr>
      <w:t>临平</w:t>
    </w:r>
    <w:r>
      <w:rPr>
        <w:rFonts w:hint="eastAsia"/>
        <w:lang w:val="en-US" w:eastAsia="zh-CN"/>
      </w:rPr>
      <w:t>区临采云</w:t>
    </w:r>
    <w:r>
      <w:rPr>
        <w:lang w:val="zh-CN"/>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AB487648"/>
    <w:multiLevelType w:val="singleLevel"/>
    <w:tmpl w:val="AB487648"/>
    <w:lvl w:ilvl="0" w:tentative="0">
      <w:start w:val="1"/>
      <w:numFmt w:val="decimal"/>
      <w:lvlText w:val="%1"/>
      <w:lvlJc w:val="left"/>
      <w:pPr>
        <w:tabs>
          <w:tab w:val="left" w:pos="425"/>
        </w:tabs>
        <w:ind w:left="425" w:hanging="425"/>
      </w:pPr>
      <w:rPr>
        <w:rFonts w:hint="default"/>
      </w:rPr>
    </w:lvl>
  </w:abstractNum>
  <w:abstractNum w:abstractNumId="2">
    <w:nsid w:val="B8058E68"/>
    <w:multiLevelType w:val="singleLevel"/>
    <w:tmpl w:val="B8058E68"/>
    <w:lvl w:ilvl="0" w:tentative="0">
      <w:start w:val="1"/>
      <w:numFmt w:val="decimal"/>
      <w:suff w:val="nothing"/>
      <w:lvlText w:val="%1、"/>
      <w:lvlJc w:val="left"/>
    </w:lvl>
  </w:abstractNum>
  <w:abstractNum w:abstractNumId="3">
    <w:nsid w:val="CC9E4551"/>
    <w:multiLevelType w:val="singleLevel"/>
    <w:tmpl w:val="CC9E4551"/>
    <w:lvl w:ilvl="0" w:tentative="0">
      <w:start w:val="9"/>
      <w:numFmt w:val="chineseCounting"/>
      <w:suff w:val="nothing"/>
      <w:lvlText w:val="%1、"/>
      <w:lvlJc w:val="left"/>
      <w:rPr>
        <w:rFonts w:hint="eastAsia"/>
      </w:rPr>
    </w:lvl>
  </w:abstractNum>
  <w:abstractNum w:abstractNumId="4">
    <w:nsid w:val="CCD96BA0"/>
    <w:multiLevelType w:val="singleLevel"/>
    <w:tmpl w:val="CCD96BA0"/>
    <w:lvl w:ilvl="0" w:tentative="0">
      <w:start w:val="1"/>
      <w:numFmt w:val="decimal"/>
      <w:lvlText w:val="%1"/>
      <w:lvlJc w:val="left"/>
      <w:pPr>
        <w:tabs>
          <w:tab w:val="left" w:pos="425"/>
        </w:tabs>
        <w:ind w:left="425" w:hanging="425"/>
      </w:pPr>
      <w:rPr>
        <w:rFonts w:hint="default"/>
      </w:rPr>
    </w:lvl>
  </w:abstractNum>
  <w:abstractNum w:abstractNumId="5">
    <w:nsid w:val="341DFAAC"/>
    <w:multiLevelType w:val="singleLevel"/>
    <w:tmpl w:val="341DFAAC"/>
    <w:lvl w:ilvl="0" w:tentative="0">
      <w:start w:val="8"/>
      <w:numFmt w:val="decimal"/>
      <w:suff w:val="space"/>
      <w:lvlText w:val="%1."/>
      <w:lvlJc w:val="left"/>
    </w:lvl>
  </w:abstractNum>
  <w:abstractNum w:abstractNumId="6">
    <w:nsid w:val="3E24E05F"/>
    <w:multiLevelType w:val="singleLevel"/>
    <w:tmpl w:val="3E24E05F"/>
    <w:lvl w:ilvl="0" w:tentative="0">
      <w:start w:val="1"/>
      <w:numFmt w:val="decimal"/>
      <w:suff w:val="nothing"/>
      <w:lvlText w:val="（%1）"/>
      <w:lvlJc w:val="left"/>
    </w:lvl>
  </w:abstractNum>
  <w:abstractNum w:abstractNumId="7">
    <w:nsid w:val="52546BB8"/>
    <w:multiLevelType w:val="singleLevel"/>
    <w:tmpl w:val="52546BB8"/>
    <w:lvl w:ilvl="0" w:tentative="0">
      <w:start w:val="1"/>
      <w:numFmt w:val="decimal"/>
      <w:suff w:val="nothing"/>
      <w:lvlText w:val="（%1）"/>
      <w:lvlJc w:val="left"/>
    </w:lvl>
  </w:abstractNum>
  <w:abstractNum w:abstractNumId="8">
    <w:nsid w:val="5438AF99"/>
    <w:multiLevelType w:val="singleLevel"/>
    <w:tmpl w:val="5438AF99"/>
    <w:lvl w:ilvl="0" w:tentative="0">
      <w:start w:val="3"/>
      <w:numFmt w:val="chineseCounting"/>
      <w:suff w:val="space"/>
      <w:lvlText w:val="第%1部分"/>
      <w:lvlJc w:val="left"/>
      <w:rPr>
        <w:rFonts w:hint="eastAsia"/>
      </w:rPr>
    </w:lvl>
  </w:abstractNum>
  <w:abstractNum w:abstractNumId="9">
    <w:nsid w:val="5D948377"/>
    <w:multiLevelType w:val="singleLevel"/>
    <w:tmpl w:val="5D948377"/>
    <w:lvl w:ilvl="0" w:tentative="0">
      <w:start w:val="1"/>
      <w:numFmt w:val="chineseCounting"/>
      <w:suff w:val="nothing"/>
      <w:lvlText w:val="%1、"/>
      <w:lvlJc w:val="left"/>
      <w:rPr>
        <w:rFonts w:hint="eastAsia"/>
      </w:rPr>
    </w:lvl>
  </w:abstractNum>
  <w:abstractNum w:abstractNumId="10">
    <w:nsid w:val="627CBAA0"/>
    <w:multiLevelType w:val="singleLevel"/>
    <w:tmpl w:val="627CBAA0"/>
    <w:lvl w:ilvl="0" w:tentative="0">
      <w:start w:val="1"/>
      <w:numFmt w:val="decimal"/>
      <w:lvlText w:val="%1"/>
      <w:lvlJc w:val="left"/>
      <w:pPr>
        <w:tabs>
          <w:tab w:val="left" w:pos="425"/>
        </w:tabs>
        <w:ind w:left="425" w:hanging="425"/>
      </w:pPr>
      <w:rPr>
        <w:rFonts w:hint="default"/>
      </w:rPr>
    </w:lvl>
  </w:abstractNum>
  <w:abstractNum w:abstractNumId="11">
    <w:nsid w:val="64B4BAFB"/>
    <w:multiLevelType w:val="singleLevel"/>
    <w:tmpl w:val="64B4BAFB"/>
    <w:lvl w:ilvl="0" w:tentative="0">
      <w:start w:val="1"/>
      <w:numFmt w:val="decimal"/>
      <w:suff w:val="space"/>
      <w:lvlText w:val="(%1)"/>
      <w:lvlJc w:val="left"/>
    </w:lvl>
  </w:abstractNum>
  <w:abstractNum w:abstractNumId="12">
    <w:nsid w:val="6768FC61"/>
    <w:multiLevelType w:val="singleLevel"/>
    <w:tmpl w:val="6768FC61"/>
    <w:lvl w:ilvl="0" w:tentative="0">
      <w:start w:val="5"/>
      <w:numFmt w:val="decimal"/>
      <w:suff w:val="nothing"/>
      <w:lvlText w:val="%1、"/>
      <w:lvlJc w:val="left"/>
    </w:lvl>
  </w:abstractNum>
  <w:abstractNum w:abstractNumId="13">
    <w:nsid w:val="67690116"/>
    <w:multiLevelType w:val="singleLevel"/>
    <w:tmpl w:val="67690116"/>
    <w:lvl w:ilvl="0" w:tentative="0">
      <w:start w:val="7"/>
      <w:numFmt w:val="decimal"/>
      <w:suff w:val="nothing"/>
      <w:lvlText w:val="%1、"/>
      <w:lvlJc w:val="left"/>
    </w:lvl>
  </w:abstractNum>
  <w:abstractNum w:abstractNumId="14">
    <w:nsid w:val="67AC0889"/>
    <w:multiLevelType w:val="singleLevel"/>
    <w:tmpl w:val="67AC0889"/>
    <w:lvl w:ilvl="0" w:tentative="0">
      <w:start w:val="1"/>
      <w:numFmt w:val="decimal"/>
      <w:lvlText w:val="%1"/>
      <w:lvlJc w:val="left"/>
      <w:pPr>
        <w:tabs>
          <w:tab w:val="left" w:pos="425"/>
        </w:tabs>
        <w:ind w:left="425" w:hanging="425"/>
      </w:pPr>
      <w:rPr>
        <w:rFonts w:hint="default"/>
      </w:rPr>
    </w:lvl>
  </w:abstractNum>
  <w:abstractNum w:abstractNumId="15">
    <w:nsid w:val="67AC0CBD"/>
    <w:multiLevelType w:val="singleLevel"/>
    <w:tmpl w:val="67AC0CBD"/>
    <w:lvl w:ilvl="0" w:tentative="0">
      <w:start w:val="1"/>
      <w:numFmt w:val="decimal"/>
      <w:lvlText w:val="%1"/>
      <w:lvlJc w:val="left"/>
      <w:pPr>
        <w:tabs>
          <w:tab w:val="left" w:pos="425"/>
        </w:tabs>
        <w:ind w:left="425" w:hanging="425"/>
      </w:pPr>
      <w:rPr>
        <w:rFonts w:hint="default"/>
      </w:rPr>
    </w:lvl>
  </w:abstractNum>
  <w:abstractNum w:abstractNumId="16">
    <w:nsid w:val="699ABFB4"/>
    <w:multiLevelType w:val="singleLevel"/>
    <w:tmpl w:val="699ABFB4"/>
    <w:lvl w:ilvl="0" w:tentative="0">
      <w:start w:val="1"/>
      <w:numFmt w:val="decimal"/>
      <w:lvlText w:val="%1"/>
      <w:lvlJc w:val="left"/>
      <w:pPr>
        <w:tabs>
          <w:tab w:val="left" w:pos="425"/>
        </w:tabs>
        <w:ind w:left="425" w:hanging="425"/>
      </w:pPr>
      <w:rPr>
        <w:rFonts w:hint="default"/>
      </w:rPr>
    </w:lvl>
  </w:abstractNum>
  <w:abstractNum w:abstractNumId="17">
    <w:nsid w:val="6CEC66FA"/>
    <w:multiLevelType w:val="singleLevel"/>
    <w:tmpl w:val="6CEC66FA"/>
    <w:lvl w:ilvl="0" w:tentative="0">
      <w:start w:val="1"/>
      <w:numFmt w:val="decimal"/>
      <w:lvlText w:val="%1"/>
      <w:lvlJc w:val="left"/>
      <w:pPr>
        <w:tabs>
          <w:tab w:val="left" w:pos="425"/>
        </w:tabs>
        <w:ind w:left="425" w:hanging="425"/>
      </w:pPr>
      <w:rPr>
        <w:rFonts w:hint="default"/>
      </w:rPr>
    </w:lvl>
  </w:abstractNum>
  <w:abstractNum w:abstractNumId="18">
    <w:nsid w:val="7E0D8D5E"/>
    <w:multiLevelType w:val="singleLevel"/>
    <w:tmpl w:val="7E0D8D5E"/>
    <w:lvl w:ilvl="0" w:tentative="0">
      <w:start w:val="2"/>
      <w:numFmt w:val="chineseCounting"/>
      <w:suff w:val="nothing"/>
      <w:lvlText w:val="%1、"/>
      <w:lvlJc w:val="left"/>
      <w:pPr>
        <w:ind w:left="140" w:firstLine="0"/>
      </w:pPr>
      <w:rPr>
        <w:rFonts w:hint="eastAsia"/>
      </w:rPr>
    </w:lvl>
  </w:abstractNum>
  <w:num w:numId="1">
    <w:abstractNumId w:val="9"/>
  </w:num>
  <w:num w:numId="2">
    <w:abstractNumId w:val="5"/>
  </w:num>
  <w:num w:numId="3">
    <w:abstractNumId w:val="0"/>
  </w:num>
  <w:num w:numId="4">
    <w:abstractNumId w:val="8"/>
  </w:num>
  <w:num w:numId="5">
    <w:abstractNumId w:val="18"/>
  </w:num>
  <w:num w:numId="6">
    <w:abstractNumId w:val="10"/>
  </w:num>
  <w:num w:numId="7">
    <w:abstractNumId w:val="15"/>
  </w:num>
  <w:num w:numId="8">
    <w:abstractNumId w:val="14"/>
  </w:num>
  <w:num w:numId="9">
    <w:abstractNumId w:val="17"/>
  </w:num>
  <w:num w:numId="10">
    <w:abstractNumId w:val="12"/>
  </w:num>
  <w:num w:numId="11">
    <w:abstractNumId w:val="13"/>
  </w:num>
  <w:num w:numId="12">
    <w:abstractNumId w:val="2"/>
  </w:num>
  <w:num w:numId="13">
    <w:abstractNumId w:val="11"/>
  </w:num>
  <w:num w:numId="14">
    <w:abstractNumId w:val="6"/>
  </w:num>
  <w:num w:numId="15">
    <w:abstractNumId w:val="3"/>
  </w:num>
  <w:num w:numId="16">
    <w:abstractNumId w:val="7"/>
  </w:num>
  <w:num w:numId="17">
    <w:abstractNumId w:val="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mJmZTJhZjU0ZjY1YWJiOTBkZTMyZGE3Yzc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6CD9"/>
    <w:rsid w:val="01453029"/>
    <w:rsid w:val="019B3D7F"/>
    <w:rsid w:val="019F1377"/>
    <w:rsid w:val="019F7441"/>
    <w:rsid w:val="01B37585"/>
    <w:rsid w:val="01BA1319"/>
    <w:rsid w:val="01D31020"/>
    <w:rsid w:val="01D55165"/>
    <w:rsid w:val="01DF6BF8"/>
    <w:rsid w:val="01EC2C57"/>
    <w:rsid w:val="01F10738"/>
    <w:rsid w:val="01FC0FF5"/>
    <w:rsid w:val="02077E13"/>
    <w:rsid w:val="022C0730"/>
    <w:rsid w:val="02354ACF"/>
    <w:rsid w:val="0241705E"/>
    <w:rsid w:val="026B2E25"/>
    <w:rsid w:val="02753ABB"/>
    <w:rsid w:val="027A703F"/>
    <w:rsid w:val="02824D4D"/>
    <w:rsid w:val="02D50DC8"/>
    <w:rsid w:val="02DC4B10"/>
    <w:rsid w:val="02DD76CE"/>
    <w:rsid w:val="02EE29ED"/>
    <w:rsid w:val="02F36323"/>
    <w:rsid w:val="02F5619C"/>
    <w:rsid w:val="0326446A"/>
    <w:rsid w:val="032D5555"/>
    <w:rsid w:val="03476357"/>
    <w:rsid w:val="034D6BB0"/>
    <w:rsid w:val="03541CED"/>
    <w:rsid w:val="036634D2"/>
    <w:rsid w:val="036D7252"/>
    <w:rsid w:val="03764359"/>
    <w:rsid w:val="039C6131"/>
    <w:rsid w:val="03C50660"/>
    <w:rsid w:val="03DD35E4"/>
    <w:rsid w:val="04076900"/>
    <w:rsid w:val="0414540A"/>
    <w:rsid w:val="041A5A3B"/>
    <w:rsid w:val="042311BA"/>
    <w:rsid w:val="042B157A"/>
    <w:rsid w:val="04365D82"/>
    <w:rsid w:val="04567CE7"/>
    <w:rsid w:val="048F763B"/>
    <w:rsid w:val="049F330E"/>
    <w:rsid w:val="04AA775C"/>
    <w:rsid w:val="04AF1889"/>
    <w:rsid w:val="04DB09BB"/>
    <w:rsid w:val="04F66F48"/>
    <w:rsid w:val="050A0BBB"/>
    <w:rsid w:val="05251E14"/>
    <w:rsid w:val="052E76B7"/>
    <w:rsid w:val="052F7FC1"/>
    <w:rsid w:val="053F7657"/>
    <w:rsid w:val="05A16594"/>
    <w:rsid w:val="05A7762D"/>
    <w:rsid w:val="05E958CE"/>
    <w:rsid w:val="06022AFF"/>
    <w:rsid w:val="060317A8"/>
    <w:rsid w:val="060E5941"/>
    <w:rsid w:val="06110FAF"/>
    <w:rsid w:val="061354FB"/>
    <w:rsid w:val="064074EA"/>
    <w:rsid w:val="06493CA7"/>
    <w:rsid w:val="06530F29"/>
    <w:rsid w:val="065511A4"/>
    <w:rsid w:val="065A6178"/>
    <w:rsid w:val="066F1CF3"/>
    <w:rsid w:val="06712BB6"/>
    <w:rsid w:val="06930BB8"/>
    <w:rsid w:val="06BA455D"/>
    <w:rsid w:val="06D32CB2"/>
    <w:rsid w:val="06F80AFB"/>
    <w:rsid w:val="0708176C"/>
    <w:rsid w:val="071E7B39"/>
    <w:rsid w:val="07245D42"/>
    <w:rsid w:val="07247C28"/>
    <w:rsid w:val="07264C62"/>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90B4EFE"/>
    <w:rsid w:val="09213F0B"/>
    <w:rsid w:val="09335624"/>
    <w:rsid w:val="09386668"/>
    <w:rsid w:val="09397159"/>
    <w:rsid w:val="0944690F"/>
    <w:rsid w:val="09535675"/>
    <w:rsid w:val="095F057D"/>
    <w:rsid w:val="09642282"/>
    <w:rsid w:val="09664380"/>
    <w:rsid w:val="096B4CA4"/>
    <w:rsid w:val="09733572"/>
    <w:rsid w:val="09772C16"/>
    <w:rsid w:val="098353B5"/>
    <w:rsid w:val="09A92330"/>
    <w:rsid w:val="09B06B87"/>
    <w:rsid w:val="09C13146"/>
    <w:rsid w:val="09C82C33"/>
    <w:rsid w:val="09E04166"/>
    <w:rsid w:val="09F4746B"/>
    <w:rsid w:val="0A102680"/>
    <w:rsid w:val="0A1726FB"/>
    <w:rsid w:val="0A1C0718"/>
    <w:rsid w:val="0A1E3055"/>
    <w:rsid w:val="0A283ED3"/>
    <w:rsid w:val="0A3E7710"/>
    <w:rsid w:val="0A5B7E63"/>
    <w:rsid w:val="0AA374A5"/>
    <w:rsid w:val="0AAB7649"/>
    <w:rsid w:val="0ABC5606"/>
    <w:rsid w:val="0AC33255"/>
    <w:rsid w:val="0AE53B72"/>
    <w:rsid w:val="0B246449"/>
    <w:rsid w:val="0B30404E"/>
    <w:rsid w:val="0B3326DE"/>
    <w:rsid w:val="0B4C6C14"/>
    <w:rsid w:val="0B631A88"/>
    <w:rsid w:val="0B683D45"/>
    <w:rsid w:val="0B7F3F11"/>
    <w:rsid w:val="0B847B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25742"/>
    <w:rsid w:val="0C7E427E"/>
    <w:rsid w:val="0C840299"/>
    <w:rsid w:val="0C8445DA"/>
    <w:rsid w:val="0C87121B"/>
    <w:rsid w:val="0C970EB6"/>
    <w:rsid w:val="0CC007F7"/>
    <w:rsid w:val="0CFC1A66"/>
    <w:rsid w:val="0CFE707A"/>
    <w:rsid w:val="0D063BDA"/>
    <w:rsid w:val="0D08375F"/>
    <w:rsid w:val="0D166265"/>
    <w:rsid w:val="0D1837C7"/>
    <w:rsid w:val="0D184CFB"/>
    <w:rsid w:val="0D220313"/>
    <w:rsid w:val="0D3037CB"/>
    <w:rsid w:val="0D3A2B90"/>
    <w:rsid w:val="0D4A7419"/>
    <w:rsid w:val="0D725B91"/>
    <w:rsid w:val="0D797DC8"/>
    <w:rsid w:val="0D827401"/>
    <w:rsid w:val="0D84094E"/>
    <w:rsid w:val="0D8A00E9"/>
    <w:rsid w:val="0D8D589E"/>
    <w:rsid w:val="0D8F10B6"/>
    <w:rsid w:val="0D952BBB"/>
    <w:rsid w:val="0DA01C73"/>
    <w:rsid w:val="0DBE2C73"/>
    <w:rsid w:val="0DC80CC4"/>
    <w:rsid w:val="0DCD01D9"/>
    <w:rsid w:val="0DD63300"/>
    <w:rsid w:val="0DE407D2"/>
    <w:rsid w:val="0DEA790C"/>
    <w:rsid w:val="0DEE2D3E"/>
    <w:rsid w:val="0DF50604"/>
    <w:rsid w:val="0DF702FE"/>
    <w:rsid w:val="0E060E51"/>
    <w:rsid w:val="0E092969"/>
    <w:rsid w:val="0E4D2D7F"/>
    <w:rsid w:val="0E5604B2"/>
    <w:rsid w:val="0E6A6040"/>
    <w:rsid w:val="0E6D5D79"/>
    <w:rsid w:val="0E914C51"/>
    <w:rsid w:val="0E9D0089"/>
    <w:rsid w:val="0EB803EE"/>
    <w:rsid w:val="0EE04D7C"/>
    <w:rsid w:val="0EE26734"/>
    <w:rsid w:val="0EE77EB9"/>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A85010"/>
    <w:rsid w:val="0FBF3FD2"/>
    <w:rsid w:val="0FBF7FF3"/>
    <w:rsid w:val="0FCE36E7"/>
    <w:rsid w:val="0FE8038D"/>
    <w:rsid w:val="0FFB0A32"/>
    <w:rsid w:val="10024FA8"/>
    <w:rsid w:val="10264A11"/>
    <w:rsid w:val="103273DB"/>
    <w:rsid w:val="104C0DD9"/>
    <w:rsid w:val="10646583"/>
    <w:rsid w:val="107D4B15"/>
    <w:rsid w:val="108A3C80"/>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2064AFA"/>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4F24D1"/>
    <w:rsid w:val="135F4BE2"/>
    <w:rsid w:val="139B1A0A"/>
    <w:rsid w:val="139D148E"/>
    <w:rsid w:val="139D25C7"/>
    <w:rsid w:val="13BF3CE4"/>
    <w:rsid w:val="13F92CC0"/>
    <w:rsid w:val="14096B23"/>
    <w:rsid w:val="141008D8"/>
    <w:rsid w:val="14125FE6"/>
    <w:rsid w:val="14630C7F"/>
    <w:rsid w:val="146D271E"/>
    <w:rsid w:val="146E1C8E"/>
    <w:rsid w:val="147914BD"/>
    <w:rsid w:val="147F31F9"/>
    <w:rsid w:val="14982588"/>
    <w:rsid w:val="149A5AD9"/>
    <w:rsid w:val="14A7619D"/>
    <w:rsid w:val="14B62C44"/>
    <w:rsid w:val="14C173FE"/>
    <w:rsid w:val="14CB5069"/>
    <w:rsid w:val="150536C3"/>
    <w:rsid w:val="150C1963"/>
    <w:rsid w:val="15121A08"/>
    <w:rsid w:val="151447A0"/>
    <w:rsid w:val="1521120D"/>
    <w:rsid w:val="153B5012"/>
    <w:rsid w:val="154A6454"/>
    <w:rsid w:val="15762120"/>
    <w:rsid w:val="15A44D56"/>
    <w:rsid w:val="15D7097A"/>
    <w:rsid w:val="15F570FC"/>
    <w:rsid w:val="161F23A4"/>
    <w:rsid w:val="1626704C"/>
    <w:rsid w:val="164B7671"/>
    <w:rsid w:val="164E4CC1"/>
    <w:rsid w:val="16976668"/>
    <w:rsid w:val="16A8729C"/>
    <w:rsid w:val="16B33777"/>
    <w:rsid w:val="16BC70A7"/>
    <w:rsid w:val="16C6339E"/>
    <w:rsid w:val="16E573D4"/>
    <w:rsid w:val="16F11225"/>
    <w:rsid w:val="16F26EC0"/>
    <w:rsid w:val="17035AD4"/>
    <w:rsid w:val="17163A31"/>
    <w:rsid w:val="172F2D79"/>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A78A7"/>
    <w:rsid w:val="18C92212"/>
    <w:rsid w:val="18CD45C3"/>
    <w:rsid w:val="1902235D"/>
    <w:rsid w:val="193B1953"/>
    <w:rsid w:val="198367DE"/>
    <w:rsid w:val="19932372"/>
    <w:rsid w:val="19A20DD5"/>
    <w:rsid w:val="19AE03F1"/>
    <w:rsid w:val="19E41BC5"/>
    <w:rsid w:val="19F5244C"/>
    <w:rsid w:val="1A071A03"/>
    <w:rsid w:val="1A1F16AE"/>
    <w:rsid w:val="1A323CF2"/>
    <w:rsid w:val="1A3B5C77"/>
    <w:rsid w:val="1A4039C8"/>
    <w:rsid w:val="1A6A7BF0"/>
    <w:rsid w:val="1A8803AA"/>
    <w:rsid w:val="1A984BAD"/>
    <w:rsid w:val="1AA475A6"/>
    <w:rsid w:val="1AB8220E"/>
    <w:rsid w:val="1ABF0FF7"/>
    <w:rsid w:val="1AD82707"/>
    <w:rsid w:val="1AE4166C"/>
    <w:rsid w:val="1AE75993"/>
    <w:rsid w:val="1AF06CFB"/>
    <w:rsid w:val="1AF11B8D"/>
    <w:rsid w:val="1B11359C"/>
    <w:rsid w:val="1B1F7E2E"/>
    <w:rsid w:val="1B2A271F"/>
    <w:rsid w:val="1B3A3C41"/>
    <w:rsid w:val="1B530544"/>
    <w:rsid w:val="1B701236"/>
    <w:rsid w:val="1B7120A9"/>
    <w:rsid w:val="1B713184"/>
    <w:rsid w:val="1B9B27AA"/>
    <w:rsid w:val="1BA209CF"/>
    <w:rsid w:val="1BB4777D"/>
    <w:rsid w:val="1BD31C27"/>
    <w:rsid w:val="1BD75AB8"/>
    <w:rsid w:val="1C0459C2"/>
    <w:rsid w:val="1C1B3B4A"/>
    <w:rsid w:val="1C203898"/>
    <w:rsid w:val="1C384969"/>
    <w:rsid w:val="1C7241FD"/>
    <w:rsid w:val="1C88086E"/>
    <w:rsid w:val="1C9F0025"/>
    <w:rsid w:val="1CCF5EC9"/>
    <w:rsid w:val="1CE07368"/>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95F1B"/>
    <w:rsid w:val="1DF51A98"/>
    <w:rsid w:val="1DFB128B"/>
    <w:rsid w:val="1E334EC9"/>
    <w:rsid w:val="1E3D060F"/>
    <w:rsid w:val="1E3F7D2E"/>
    <w:rsid w:val="1E4134E4"/>
    <w:rsid w:val="1E5062B3"/>
    <w:rsid w:val="1E523514"/>
    <w:rsid w:val="1E714A66"/>
    <w:rsid w:val="1E74728F"/>
    <w:rsid w:val="1E802593"/>
    <w:rsid w:val="1E871148"/>
    <w:rsid w:val="1EA43115"/>
    <w:rsid w:val="1EA703CC"/>
    <w:rsid w:val="1EAE512F"/>
    <w:rsid w:val="1EB7330C"/>
    <w:rsid w:val="1EBD00B4"/>
    <w:rsid w:val="1EE3658A"/>
    <w:rsid w:val="1F0A0FF3"/>
    <w:rsid w:val="1F15637C"/>
    <w:rsid w:val="1F242A63"/>
    <w:rsid w:val="1F5771FF"/>
    <w:rsid w:val="1F705CA9"/>
    <w:rsid w:val="1F7A4175"/>
    <w:rsid w:val="1FAF3E2E"/>
    <w:rsid w:val="1FB0622A"/>
    <w:rsid w:val="1FC82375"/>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11116EB"/>
    <w:rsid w:val="211F332B"/>
    <w:rsid w:val="21455913"/>
    <w:rsid w:val="215049F8"/>
    <w:rsid w:val="216133FC"/>
    <w:rsid w:val="21C175F4"/>
    <w:rsid w:val="21C347B6"/>
    <w:rsid w:val="21D03B4C"/>
    <w:rsid w:val="21D56769"/>
    <w:rsid w:val="21E52EF3"/>
    <w:rsid w:val="21FB5D7B"/>
    <w:rsid w:val="220B1C3D"/>
    <w:rsid w:val="221D1D20"/>
    <w:rsid w:val="2230030E"/>
    <w:rsid w:val="22334A87"/>
    <w:rsid w:val="223B0361"/>
    <w:rsid w:val="22407BB4"/>
    <w:rsid w:val="224B28CE"/>
    <w:rsid w:val="224D0523"/>
    <w:rsid w:val="224D0FED"/>
    <w:rsid w:val="22610ADC"/>
    <w:rsid w:val="226932DB"/>
    <w:rsid w:val="22B24A96"/>
    <w:rsid w:val="22BE6801"/>
    <w:rsid w:val="23290648"/>
    <w:rsid w:val="233500BF"/>
    <w:rsid w:val="23377FF7"/>
    <w:rsid w:val="234963D9"/>
    <w:rsid w:val="235D3A43"/>
    <w:rsid w:val="236B425F"/>
    <w:rsid w:val="23836192"/>
    <w:rsid w:val="238532BE"/>
    <w:rsid w:val="23897339"/>
    <w:rsid w:val="23901F29"/>
    <w:rsid w:val="239C0061"/>
    <w:rsid w:val="23B908A4"/>
    <w:rsid w:val="23BC770E"/>
    <w:rsid w:val="23E95BEF"/>
    <w:rsid w:val="23FD0064"/>
    <w:rsid w:val="24247062"/>
    <w:rsid w:val="243501DF"/>
    <w:rsid w:val="24415BC1"/>
    <w:rsid w:val="244C45C5"/>
    <w:rsid w:val="245375B0"/>
    <w:rsid w:val="245711E5"/>
    <w:rsid w:val="24642C0A"/>
    <w:rsid w:val="24815D43"/>
    <w:rsid w:val="24B22173"/>
    <w:rsid w:val="24B95AD9"/>
    <w:rsid w:val="24BE24DA"/>
    <w:rsid w:val="24CF5825"/>
    <w:rsid w:val="24D663E6"/>
    <w:rsid w:val="24D77F2B"/>
    <w:rsid w:val="24E94533"/>
    <w:rsid w:val="2504136D"/>
    <w:rsid w:val="25253091"/>
    <w:rsid w:val="25257535"/>
    <w:rsid w:val="252D6B2A"/>
    <w:rsid w:val="25444EA6"/>
    <w:rsid w:val="25686427"/>
    <w:rsid w:val="258B00E2"/>
    <w:rsid w:val="259B6D94"/>
    <w:rsid w:val="25A917A6"/>
    <w:rsid w:val="25AB0EA6"/>
    <w:rsid w:val="25B34B41"/>
    <w:rsid w:val="25B471B3"/>
    <w:rsid w:val="25BE27CC"/>
    <w:rsid w:val="25D0267F"/>
    <w:rsid w:val="25F74A5C"/>
    <w:rsid w:val="25FA2A58"/>
    <w:rsid w:val="260143FA"/>
    <w:rsid w:val="26224376"/>
    <w:rsid w:val="2628662C"/>
    <w:rsid w:val="262D45DE"/>
    <w:rsid w:val="26377520"/>
    <w:rsid w:val="2646456C"/>
    <w:rsid w:val="26774AAA"/>
    <w:rsid w:val="26775B6F"/>
    <w:rsid w:val="2678675F"/>
    <w:rsid w:val="267E1B60"/>
    <w:rsid w:val="268B39BD"/>
    <w:rsid w:val="26A53EF9"/>
    <w:rsid w:val="26A94201"/>
    <w:rsid w:val="26AC274F"/>
    <w:rsid w:val="26E13ACA"/>
    <w:rsid w:val="26E73FFD"/>
    <w:rsid w:val="27044A29"/>
    <w:rsid w:val="270A0791"/>
    <w:rsid w:val="271D34C8"/>
    <w:rsid w:val="276142BF"/>
    <w:rsid w:val="27701E10"/>
    <w:rsid w:val="27702CEA"/>
    <w:rsid w:val="277511A5"/>
    <w:rsid w:val="27783712"/>
    <w:rsid w:val="278542BB"/>
    <w:rsid w:val="27907362"/>
    <w:rsid w:val="279D3F72"/>
    <w:rsid w:val="27C923FA"/>
    <w:rsid w:val="27D54104"/>
    <w:rsid w:val="2823123F"/>
    <w:rsid w:val="28333E1D"/>
    <w:rsid w:val="28454BD6"/>
    <w:rsid w:val="28455253"/>
    <w:rsid w:val="284877C3"/>
    <w:rsid w:val="28551971"/>
    <w:rsid w:val="285B1C53"/>
    <w:rsid w:val="28610131"/>
    <w:rsid w:val="28643ED1"/>
    <w:rsid w:val="287A2989"/>
    <w:rsid w:val="289724F8"/>
    <w:rsid w:val="289F7086"/>
    <w:rsid w:val="28A40771"/>
    <w:rsid w:val="28C32028"/>
    <w:rsid w:val="28CC490F"/>
    <w:rsid w:val="28DE40AA"/>
    <w:rsid w:val="28F91282"/>
    <w:rsid w:val="290F50CC"/>
    <w:rsid w:val="29345E77"/>
    <w:rsid w:val="294C65AD"/>
    <w:rsid w:val="295D72EA"/>
    <w:rsid w:val="296D720D"/>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D6092"/>
    <w:rsid w:val="2A7D76B4"/>
    <w:rsid w:val="2A835141"/>
    <w:rsid w:val="2A8D487E"/>
    <w:rsid w:val="2AAE58D7"/>
    <w:rsid w:val="2ABA0284"/>
    <w:rsid w:val="2ACA020E"/>
    <w:rsid w:val="2AFE7D9D"/>
    <w:rsid w:val="2B29731A"/>
    <w:rsid w:val="2B2C33CC"/>
    <w:rsid w:val="2B437463"/>
    <w:rsid w:val="2B7807EE"/>
    <w:rsid w:val="2B8925CC"/>
    <w:rsid w:val="2BBF00EC"/>
    <w:rsid w:val="2BC37CFD"/>
    <w:rsid w:val="2BD5237F"/>
    <w:rsid w:val="2BE536CE"/>
    <w:rsid w:val="2BE758D9"/>
    <w:rsid w:val="2C09049E"/>
    <w:rsid w:val="2C0A653C"/>
    <w:rsid w:val="2C191F85"/>
    <w:rsid w:val="2C42458F"/>
    <w:rsid w:val="2CAE4975"/>
    <w:rsid w:val="2CB14DC8"/>
    <w:rsid w:val="2CB36808"/>
    <w:rsid w:val="2CDA0BE0"/>
    <w:rsid w:val="2CE82D6F"/>
    <w:rsid w:val="2D024F81"/>
    <w:rsid w:val="2D343236"/>
    <w:rsid w:val="2D3D74A8"/>
    <w:rsid w:val="2D40315E"/>
    <w:rsid w:val="2D45646A"/>
    <w:rsid w:val="2D491818"/>
    <w:rsid w:val="2D4F388B"/>
    <w:rsid w:val="2D593879"/>
    <w:rsid w:val="2D5E4BC7"/>
    <w:rsid w:val="2D940467"/>
    <w:rsid w:val="2DC53128"/>
    <w:rsid w:val="2DD15014"/>
    <w:rsid w:val="2DD84FAF"/>
    <w:rsid w:val="2DF72DE4"/>
    <w:rsid w:val="2E0220AF"/>
    <w:rsid w:val="2E250198"/>
    <w:rsid w:val="2E325EB3"/>
    <w:rsid w:val="2E337BDC"/>
    <w:rsid w:val="2E4B082A"/>
    <w:rsid w:val="2E56250D"/>
    <w:rsid w:val="2E5D4E86"/>
    <w:rsid w:val="2E5D790B"/>
    <w:rsid w:val="2E5E3BBC"/>
    <w:rsid w:val="2E9A3C18"/>
    <w:rsid w:val="2EA779FE"/>
    <w:rsid w:val="2EBB0FEE"/>
    <w:rsid w:val="2EC63002"/>
    <w:rsid w:val="2ED2474F"/>
    <w:rsid w:val="2EE61AE3"/>
    <w:rsid w:val="2EE87609"/>
    <w:rsid w:val="2EE93382"/>
    <w:rsid w:val="2EED480B"/>
    <w:rsid w:val="2F034443"/>
    <w:rsid w:val="2F0A6B38"/>
    <w:rsid w:val="2F1C38C3"/>
    <w:rsid w:val="2F2F3931"/>
    <w:rsid w:val="2F3E6360"/>
    <w:rsid w:val="2F683CC4"/>
    <w:rsid w:val="2F803754"/>
    <w:rsid w:val="2F86654F"/>
    <w:rsid w:val="2F9354BF"/>
    <w:rsid w:val="2F946CCB"/>
    <w:rsid w:val="2FCA5DA1"/>
    <w:rsid w:val="2FD25781"/>
    <w:rsid w:val="2FD85D33"/>
    <w:rsid w:val="2FDC6A42"/>
    <w:rsid w:val="2FFD7934"/>
    <w:rsid w:val="30733ACD"/>
    <w:rsid w:val="30853D41"/>
    <w:rsid w:val="308C3862"/>
    <w:rsid w:val="3092734B"/>
    <w:rsid w:val="309379D8"/>
    <w:rsid w:val="30977539"/>
    <w:rsid w:val="30A270F7"/>
    <w:rsid w:val="30C72FFF"/>
    <w:rsid w:val="30D83D34"/>
    <w:rsid w:val="30DF1478"/>
    <w:rsid w:val="30EC586F"/>
    <w:rsid w:val="3125759D"/>
    <w:rsid w:val="31456F95"/>
    <w:rsid w:val="319C6071"/>
    <w:rsid w:val="31A11CF2"/>
    <w:rsid w:val="31AC537E"/>
    <w:rsid w:val="31E3679B"/>
    <w:rsid w:val="31E60347"/>
    <w:rsid w:val="31E732FD"/>
    <w:rsid w:val="31E94939"/>
    <w:rsid w:val="31EC2119"/>
    <w:rsid w:val="321471B8"/>
    <w:rsid w:val="32153643"/>
    <w:rsid w:val="3218353A"/>
    <w:rsid w:val="324375ED"/>
    <w:rsid w:val="3247621A"/>
    <w:rsid w:val="32517576"/>
    <w:rsid w:val="326D7D37"/>
    <w:rsid w:val="326E6078"/>
    <w:rsid w:val="32704263"/>
    <w:rsid w:val="328814AB"/>
    <w:rsid w:val="328E2276"/>
    <w:rsid w:val="32BE5C2C"/>
    <w:rsid w:val="32CF393F"/>
    <w:rsid w:val="32FB6478"/>
    <w:rsid w:val="33093FF2"/>
    <w:rsid w:val="33263B3F"/>
    <w:rsid w:val="33572FB0"/>
    <w:rsid w:val="336963EB"/>
    <w:rsid w:val="33816EEB"/>
    <w:rsid w:val="33861030"/>
    <w:rsid w:val="33890C8F"/>
    <w:rsid w:val="33D3608A"/>
    <w:rsid w:val="33EB55CD"/>
    <w:rsid w:val="33EC4C02"/>
    <w:rsid w:val="34056568"/>
    <w:rsid w:val="340D2360"/>
    <w:rsid w:val="3410665D"/>
    <w:rsid w:val="34211214"/>
    <w:rsid w:val="342E63AB"/>
    <w:rsid w:val="3434509F"/>
    <w:rsid w:val="34531FB2"/>
    <w:rsid w:val="34675474"/>
    <w:rsid w:val="34950E68"/>
    <w:rsid w:val="34986E94"/>
    <w:rsid w:val="34AF62C9"/>
    <w:rsid w:val="34C952D7"/>
    <w:rsid w:val="34CB4388"/>
    <w:rsid w:val="34CE1050"/>
    <w:rsid w:val="34D50421"/>
    <w:rsid w:val="34D51A58"/>
    <w:rsid w:val="34DC503C"/>
    <w:rsid w:val="34DF40F8"/>
    <w:rsid w:val="34ED396C"/>
    <w:rsid w:val="34F17D83"/>
    <w:rsid w:val="34FA6E12"/>
    <w:rsid w:val="351555B6"/>
    <w:rsid w:val="353A7C8B"/>
    <w:rsid w:val="35433B65"/>
    <w:rsid w:val="358D5588"/>
    <w:rsid w:val="35FB28C2"/>
    <w:rsid w:val="363A3B40"/>
    <w:rsid w:val="364D069A"/>
    <w:rsid w:val="364E0C73"/>
    <w:rsid w:val="365302AE"/>
    <w:rsid w:val="365563C5"/>
    <w:rsid w:val="36607A0A"/>
    <w:rsid w:val="36687B80"/>
    <w:rsid w:val="366969F5"/>
    <w:rsid w:val="366A55A0"/>
    <w:rsid w:val="366E227C"/>
    <w:rsid w:val="366F2E0D"/>
    <w:rsid w:val="367B6A5C"/>
    <w:rsid w:val="36A74ADA"/>
    <w:rsid w:val="36AD60D5"/>
    <w:rsid w:val="36B224F9"/>
    <w:rsid w:val="36E91AB8"/>
    <w:rsid w:val="36EC0CC9"/>
    <w:rsid w:val="372D1C56"/>
    <w:rsid w:val="373F410B"/>
    <w:rsid w:val="37485588"/>
    <w:rsid w:val="37781935"/>
    <w:rsid w:val="37B039E8"/>
    <w:rsid w:val="37DC3A83"/>
    <w:rsid w:val="37EE7094"/>
    <w:rsid w:val="381D1B20"/>
    <w:rsid w:val="38296C89"/>
    <w:rsid w:val="382C1FAA"/>
    <w:rsid w:val="383002EB"/>
    <w:rsid w:val="383B4C4E"/>
    <w:rsid w:val="38586797"/>
    <w:rsid w:val="387150D3"/>
    <w:rsid w:val="387463B2"/>
    <w:rsid w:val="38BC0149"/>
    <w:rsid w:val="38D87D1C"/>
    <w:rsid w:val="38DC01CF"/>
    <w:rsid w:val="38F4246C"/>
    <w:rsid w:val="38F72701"/>
    <w:rsid w:val="38F938B9"/>
    <w:rsid w:val="3957718D"/>
    <w:rsid w:val="39636459"/>
    <w:rsid w:val="396B7F6C"/>
    <w:rsid w:val="397028EB"/>
    <w:rsid w:val="397549F5"/>
    <w:rsid w:val="39A77422"/>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471448"/>
    <w:rsid w:val="3C495460"/>
    <w:rsid w:val="3C5F759A"/>
    <w:rsid w:val="3C6C525A"/>
    <w:rsid w:val="3C872BFA"/>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F4D43"/>
    <w:rsid w:val="3DD81F09"/>
    <w:rsid w:val="3DE041CB"/>
    <w:rsid w:val="3DF06D44"/>
    <w:rsid w:val="3E0D48F6"/>
    <w:rsid w:val="3E1868B4"/>
    <w:rsid w:val="3E1A5306"/>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F4836"/>
    <w:rsid w:val="3EC33DFA"/>
    <w:rsid w:val="3F060E16"/>
    <w:rsid w:val="3F1D1096"/>
    <w:rsid w:val="3F2F0234"/>
    <w:rsid w:val="3F4A1C1A"/>
    <w:rsid w:val="3F6363FE"/>
    <w:rsid w:val="3F756B8F"/>
    <w:rsid w:val="3F81051C"/>
    <w:rsid w:val="3F8F59C1"/>
    <w:rsid w:val="3F95482B"/>
    <w:rsid w:val="3FCF3ECE"/>
    <w:rsid w:val="3FEA0636"/>
    <w:rsid w:val="3FFA6F79"/>
    <w:rsid w:val="3FFF47B3"/>
    <w:rsid w:val="40081524"/>
    <w:rsid w:val="4019356B"/>
    <w:rsid w:val="40592157"/>
    <w:rsid w:val="406B706C"/>
    <w:rsid w:val="406E1CAE"/>
    <w:rsid w:val="407A0990"/>
    <w:rsid w:val="408178BE"/>
    <w:rsid w:val="40910575"/>
    <w:rsid w:val="40A0133A"/>
    <w:rsid w:val="40A175C4"/>
    <w:rsid w:val="40B95F2E"/>
    <w:rsid w:val="40B96066"/>
    <w:rsid w:val="40C24AD6"/>
    <w:rsid w:val="40C31A53"/>
    <w:rsid w:val="40E221E1"/>
    <w:rsid w:val="40E320BE"/>
    <w:rsid w:val="40EA2EC3"/>
    <w:rsid w:val="40F24A36"/>
    <w:rsid w:val="40FA3C90"/>
    <w:rsid w:val="40FF545D"/>
    <w:rsid w:val="410067C8"/>
    <w:rsid w:val="41236011"/>
    <w:rsid w:val="414C64AC"/>
    <w:rsid w:val="41831414"/>
    <w:rsid w:val="418F0D2A"/>
    <w:rsid w:val="41B4781F"/>
    <w:rsid w:val="41C55819"/>
    <w:rsid w:val="41D01505"/>
    <w:rsid w:val="41F107F1"/>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E58DD"/>
    <w:rsid w:val="43174B3D"/>
    <w:rsid w:val="432D7889"/>
    <w:rsid w:val="43343A76"/>
    <w:rsid w:val="4336596B"/>
    <w:rsid w:val="4346094B"/>
    <w:rsid w:val="434B790E"/>
    <w:rsid w:val="4360274F"/>
    <w:rsid w:val="43977AB6"/>
    <w:rsid w:val="43A3342B"/>
    <w:rsid w:val="43B43B06"/>
    <w:rsid w:val="43B6787E"/>
    <w:rsid w:val="43C0460E"/>
    <w:rsid w:val="43C17DE3"/>
    <w:rsid w:val="43C77C27"/>
    <w:rsid w:val="43DE09EE"/>
    <w:rsid w:val="43F15FEB"/>
    <w:rsid w:val="44002FAD"/>
    <w:rsid w:val="440F5A54"/>
    <w:rsid w:val="442B35DF"/>
    <w:rsid w:val="4432770A"/>
    <w:rsid w:val="44332098"/>
    <w:rsid w:val="44484609"/>
    <w:rsid w:val="4473751E"/>
    <w:rsid w:val="448B0D0B"/>
    <w:rsid w:val="449101DD"/>
    <w:rsid w:val="44A566CF"/>
    <w:rsid w:val="44B40341"/>
    <w:rsid w:val="44DE1391"/>
    <w:rsid w:val="451B225C"/>
    <w:rsid w:val="452410C9"/>
    <w:rsid w:val="45317DFB"/>
    <w:rsid w:val="45322F35"/>
    <w:rsid w:val="453F5652"/>
    <w:rsid w:val="454669E0"/>
    <w:rsid w:val="456D3CE4"/>
    <w:rsid w:val="4579042C"/>
    <w:rsid w:val="457F0571"/>
    <w:rsid w:val="45851176"/>
    <w:rsid w:val="45C12D4B"/>
    <w:rsid w:val="45C63B94"/>
    <w:rsid w:val="45ED139F"/>
    <w:rsid w:val="45ED4D64"/>
    <w:rsid w:val="45EE4EF3"/>
    <w:rsid w:val="45F14B9E"/>
    <w:rsid w:val="46022E97"/>
    <w:rsid w:val="4604561F"/>
    <w:rsid w:val="460E7DA5"/>
    <w:rsid w:val="46422483"/>
    <w:rsid w:val="4659254A"/>
    <w:rsid w:val="465B0637"/>
    <w:rsid w:val="465E3F0D"/>
    <w:rsid w:val="46621429"/>
    <w:rsid w:val="466A16E6"/>
    <w:rsid w:val="46893F2B"/>
    <w:rsid w:val="468B3FEB"/>
    <w:rsid w:val="46C4686E"/>
    <w:rsid w:val="46D71F3E"/>
    <w:rsid w:val="4731442B"/>
    <w:rsid w:val="473C107A"/>
    <w:rsid w:val="4749546E"/>
    <w:rsid w:val="477B778F"/>
    <w:rsid w:val="478203EC"/>
    <w:rsid w:val="478F28C0"/>
    <w:rsid w:val="479B5FBC"/>
    <w:rsid w:val="47B025FA"/>
    <w:rsid w:val="47BE5749"/>
    <w:rsid w:val="47D9586B"/>
    <w:rsid w:val="4809698F"/>
    <w:rsid w:val="4811697D"/>
    <w:rsid w:val="48591FAD"/>
    <w:rsid w:val="487A3E25"/>
    <w:rsid w:val="488B5503"/>
    <w:rsid w:val="48937E21"/>
    <w:rsid w:val="489A0361"/>
    <w:rsid w:val="489D6CA6"/>
    <w:rsid w:val="48B94FF3"/>
    <w:rsid w:val="48C82986"/>
    <w:rsid w:val="48E37AAB"/>
    <w:rsid w:val="48EB621C"/>
    <w:rsid w:val="48FD4B4C"/>
    <w:rsid w:val="49010B73"/>
    <w:rsid w:val="490A68E0"/>
    <w:rsid w:val="491055FE"/>
    <w:rsid w:val="49494EA2"/>
    <w:rsid w:val="495F5B3E"/>
    <w:rsid w:val="496B7BEC"/>
    <w:rsid w:val="496F3FE6"/>
    <w:rsid w:val="496F736A"/>
    <w:rsid w:val="496F77D7"/>
    <w:rsid w:val="497654FD"/>
    <w:rsid w:val="49953536"/>
    <w:rsid w:val="49A726D7"/>
    <w:rsid w:val="49AB3233"/>
    <w:rsid w:val="49B64211"/>
    <w:rsid w:val="49B760FE"/>
    <w:rsid w:val="49BE748D"/>
    <w:rsid w:val="49C65EFA"/>
    <w:rsid w:val="49D62A28"/>
    <w:rsid w:val="49DA288A"/>
    <w:rsid w:val="49E14F29"/>
    <w:rsid w:val="49F6167F"/>
    <w:rsid w:val="4A0377F2"/>
    <w:rsid w:val="4A064FA0"/>
    <w:rsid w:val="4A0F69C0"/>
    <w:rsid w:val="4A16615C"/>
    <w:rsid w:val="4A2117CA"/>
    <w:rsid w:val="4A4424D7"/>
    <w:rsid w:val="4A4F27DB"/>
    <w:rsid w:val="4A77318E"/>
    <w:rsid w:val="4A8352B6"/>
    <w:rsid w:val="4A8E0ECE"/>
    <w:rsid w:val="4A9F106C"/>
    <w:rsid w:val="4AB82D0F"/>
    <w:rsid w:val="4AEB7664"/>
    <w:rsid w:val="4AFD7C19"/>
    <w:rsid w:val="4B0567D1"/>
    <w:rsid w:val="4B236AAE"/>
    <w:rsid w:val="4B294DDA"/>
    <w:rsid w:val="4B4E2A92"/>
    <w:rsid w:val="4B707271"/>
    <w:rsid w:val="4B7A7FA2"/>
    <w:rsid w:val="4B813395"/>
    <w:rsid w:val="4B887D52"/>
    <w:rsid w:val="4B9739F7"/>
    <w:rsid w:val="4BA024F7"/>
    <w:rsid w:val="4BDB2578"/>
    <w:rsid w:val="4BEE2503"/>
    <w:rsid w:val="4C006617"/>
    <w:rsid w:val="4C245A30"/>
    <w:rsid w:val="4C3B2B15"/>
    <w:rsid w:val="4CA54934"/>
    <w:rsid w:val="4CB6685F"/>
    <w:rsid w:val="4CC367FE"/>
    <w:rsid w:val="4CD97A0A"/>
    <w:rsid w:val="4D077F3C"/>
    <w:rsid w:val="4D123355"/>
    <w:rsid w:val="4D20310A"/>
    <w:rsid w:val="4D267823"/>
    <w:rsid w:val="4D2A3B31"/>
    <w:rsid w:val="4D2F7A00"/>
    <w:rsid w:val="4D312C52"/>
    <w:rsid w:val="4D8C1A71"/>
    <w:rsid w:val="4D905305"/>
    <w:rsid w:val="4D964A72"/>
    <w:rsid w:val="4D9C1254"/>
    <w:rsid w:val="4DA04F3B"/>
    <w:rsid w:val="4DC62DB4"/>
    <w:rsid w:val="4DD35A0E"/>
    <w:rsid w:val="4DF55447"/>
    <w:rsid w:val="4DFE4EBD"/>
    <w:rsid w:val="4E3F6A65"/>
    <w:rsid w:val="4E4B27AD"/>
    <w:rsid w:val="4E52289A"/>
    <w:rsid w:val="4E6C395B"/>
    <w:rsid w:val="4E7315B3"/>
    <w:rsid w:val="4E731ECC"/>
    <w:rsid w:val="4E793892"/>
    <w:rsid w:val="4E800872"/>
    <w:rsid w:val="4EAF4E3E"/>
    <w:rsid w:val="4EC569ED"/>
    <w:rsid w:val="4ED50EA1"/>
    <w:rsid w:val="4EEC050C"/>
    <w:rsid w:val="4F104EC3"/>
    <w:rsid w:val="4F155DA1"/>
    <w:rsid w:val="4F2617D6"/>
    <w:rsid w:val="4F342354"/>
    <w:rsid w:val="4F47354A"/>
    <w:rsid w:val="4F675ED1"/>
    <w:rsid w:val="4F72556E"/>
    <w:rsid w:val="4F7D56F4"/>
    <w:rsid w:val="4F911C54"/>
    <w:rsid w:val="4FD11E53"/>
    <w:rsid w:val="4FE625E0"/>
    <w:rsid w:val="501661D2"/>
    <w:rsid w:val="5021480F"/>
    <w:rsid w:val="506568B4"/>
    <w:rsid w:val="506B612A"/>
    <w:rsid w:val="50750E8F"/>
    <w:rsid w:val="50962ECB"/>
    <w:rsid w:val="50A42E38"/>
    <w:rsid w:val="50A4577F"/>
    <w:rsid w:val="50B73D1F"/>
    <w:rsid w:val="50BD5BC9"/>
    <w:rsid w:val="50C033C0"/>
    <w:rsid w:val="50C11EEE"/>
    <w:rsid w:val="50CA7505"/>
    <w:rsid w:val="50E2135C"/>
    <w:rsid w:val="50E377D9"/>
    <w:rsid w:val="50E97CFC"/>
    <w:rsid w:val="50FA4028"/>
    <w:rsid w:val="510D65B7"/>
    <w:rsid w:val="511157AB"/>
    <w:rsid w:val="511D2CEB"/>
    <w:rsid w:val="5142540C"/>
    <w:rsid w:val="51644DBE"/>
    <w:rsid w:val="517C66A4"/>
    <w:rsid w:val="518832C8"/>
    <w:rsid w:val="51A0432A"/>
    <w:rsid w:val="51A86090"/>
    <w:rsid w:val="51B7396D"/>
    <w:rsid w:val="51B92C8B"/>
    <w:rsid w:val="51BE7065"/>
    <w:rsid w:val="51C86B64"/>
    <w:rsid w:val="51C94786"/>
    <w:rsid w:val="51D72998"/>
    <w:rsid w:val="51EB0C3E"/>
    <w:rsid w:val="52130ADC"/>
    <w:rsid w:val="521F0CE5"/>
    <w:rsid w:val="522E4CC3"/>
    <w:rsid w:val="5244713B"/>
    <w:rsid w:val="52615633"/>
    <w:rsid w:val="52977FD4"/>
    <w:rsid w:val="52A25790"/>
    <w:rsid w:val="52A96B6F"/>
    <w:rsid w:val="52B45975"/>
    <w:rsid w:val="52C673B2"/>
    <w:rsid w:val="52D94AA4"/>
    <w:rsid w:val="52EA3A62"/>
    <w:rsid w:val="52F50BB8"/>
    <w:rsid w:val="52F52050"/>
    <w:rsid w:val="53097272"/>
    <w:rsid w:val="53185487"/>
    <w:rsid w:val="53544462"/>
    <w:rsid w:val="53656D06"/>
    <w:rsid w:val="5397158E"/>
    <w:rsid w:val="539F21DB"/>
    <w:rsid w:val="53A476F3"/>
    <w:rsid w:val="53C052F7"/>
    <w:rsid w:val="54013861"/>
    <w:rsid w:val="54112F30"/>
    <w:rsid w:val="542645AC"/>
    <w:rsid w:val="54487265"/>
    <w:rsid w:val="544D6070"/>
    <w:rsid w:val="54605E1E"/>
    <w:rsid w:val="547768EF"/>
    <w:rsid w:val="549403ED"/>
    <w:rsid w:val="549B3450"/>
    <w:rsid w:val="54B3506A"/>
    <w:rsid w:val="54B64766"/>
    <w:rsid w:val="54CA0D16"/>
    <w:rsid w:val="54DD4057"/>
    <w:rsid w:val="54E7490F"/>
    <w:rsid w:val="54F22CB7"/>
    <w:rsid w:val="54F621D1"/>
    <w:rsid w:val="54FD143C"/>
    <w:rsid w:val="5503669C"/>
    <w:rsid w:val="5504377C"/>
    <w:rsid w:val="550764A4"/>
    <w:rsid w:val="550B2BF6"/>
    <w:rsid w:val="55214EB5"/>
    <w:rsid w:val="55364EFD"/>
    <w:rsid w:val="555D4828"/>
    <w:rsid w:val="55684751"/>
    <w:rsid w:val="557A4C8B"/>
    <w:rsid w:val="557E5189"/>
    <w:rsid w:val="558931E1"/>
    <w:rsid w:val="55923347"/>
    <w:rsid w:val="55925180"/>
    <w:rsid w:val="55983B1B"/>
    <w:rsid w:val="55A8376B"/>
    <w:rsid w:val="55C4407D"/>
    <w:rsid w:val="55CB04B5"/>
    <w:rsid w:val="55DC29B6"/>
    <w:rsid w:val="55DD4241"/>
    <w:rsid w:val="56064A49"/>
    <w:rsid w:val="56451A69"/>
    <w:rsid w:val="5654253D"/>
    <w:rsid w:val="56696C2D"/>
    <w:rsid w:val="566B6D1E"/>
    <w:rsid w:val="56967A4D"/>
    <w:rsid w:val="56A0748D"/>
    <w:rsid w:val="57032A2C"/>
    <w:rsid w:val="570F5219"/>
    <w:rsid w:val="57481289"/>
    <w:rsid w:val="575D0E50"/>
    <w:rsid w:val="575D12B5"/>
    <w:rsid w:val="57610A87"/>
    <w:rsid w:val="576158FB"/>
    <w:rsid w:val="576C0528"/>
    <w:rsid w:val="577B1140"/>
    <w:rsid w:val="577B7F21"/>
    <w:rsid w:val="577F181B"/>
    <w:rsid w:val="578605C7"/>
    <w:rsid w:val="57921984"/>
    <w:rsid w:val="579737F0"/>
    <w:rsid w:val="579F05AB"/>
    <w:rsid w:val="57AB7B30"/>
    <w:rsid w:val="57AF5251"/>
    <w:rsid w:val="57B26373"/>
    <w:rsid w:val="57B63F04"/>
    <w:rsid w:val="57CD20C2"/>
    <w:rsid w:val="57D675AB"/>
    <w:rsid w:val="57D95FDD"/>
    <w:rsid w:val="57FE4A8F"/>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5E1678"/>
    <w:rsid w:val="596D52EF"/>
    <w:rsid w:val="596D5BD4"/>
    <w:rsid w:val="597E3DD8"/>
    <w:rsid w:val="59995604"/>
    <w:rsid w:val="59F80043"/>
    <w:rsid w:val="5A09252F"/>
    <w:rsid w:val="5A0B2778"/>
    <w:rsid w:val="5A2A7C7B"/>
    <w:rsid w:val="5A3560C8"/>
    <w:rsid w:val="5A3E2560"/>
    <w:rsid w:val="5A417162"/>
    <w:rsid w:val="5A587B2F"/>
    <w:rsid w:val="5A5D3B6E"/>
    <w:rsid w:val="5A637A76"/>
    <w:rsid w:val="5A6D33BA"/>
    <w:rsid w:val="5A792B1F"/>
    <w:rsid w:val="5A874767"/>
    <w:rsid w:val="5A996280"/>
    <w:rsid w:val="5AAD6F28"/>
    <w:rsid w:val="5AAF4076"/>
    <w:rsid w:val="5AD50114"/>
    <w:rsid w:val="5AD63A24"/>
    <w:rsid w:val="5B0942E0"/>
    <w:rsid w:val="5B1377EE"/>
    <w:rsid w:val="5B2335F4"/>
    <w:rsid w:val="5B2B37A3"/>
    <w:rsid w:val="5B2E1A1D"/>
    <w:rsid w:val="5B6918E4"/>
    <w:rsid w:val="5B6A6148"/>
    <w:rsid w:val="5B780A69"/>
    <w:rsid w:val="5B843A1C"/>
    <w:rsid w:val="5B873E3F"/>
    <w:rsid w:val="5B8E663A"/>
    <w:rsid w:val="5B977B3E"/>
    <w:rsid w:val="5BA60D03"/>
    <w:rsid w:val="5BA872B8"/>
    <w:rsid w:val="5BAB5397"/>
    <w:rsid w:val="5BBC7D2A"/>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891B7B"/>
    <w:rsid w:val="5DA9612E"/>
    <w:rsid w:val="5DAD38EE"/>
    <w:rsid w:val="5DB054A9"/>
    <w:rsid w:val="5DED1C97"/>
    <w:rsid w:val="5E006862"/>
    <w:rsid w:val="5E0207B9"/>
    <w:rsid w:val="5E1834A1"/>
    <w:rsid w:val="5E261785"/>
    <w:rsid w:val="5E4430BF"/>
    <w:rsid w:val="5E4A7017"/>
    <w:rsid w:val="5E526349"/>
    <w:rsid w:val="5E552BBA"/>
    <w:rsid w:val="5E611C10"/>
    <w:rsid w:val="5E6A778C"/>
    <w:rsid w:val="5EFC6636"/>
    <w:rsid w:val="5EFC7377"/>
    <w:rsid w:val="5F06174D"/>
    <w:rsid w:val="5F234AF1"/>
    <w:rsid w:val="5F3A3602"/>
    <w:rsid w:val="5F6277C6"/>
    <w:rsid w:val="5F6D0B1D"/>
    <w:rsid w:val="5F8D0B82"/>
    <w:rsid w:val="5FAB3BB8"/>
    <w:rsid w:val="5FB23198"/>
    <w:rsid w:val="5FCC5339"/>
    <w:rsid w:val="5FD96977"/>
    <w:rsid w:val="5FE22416"/>
    <w:rsid w:val="5FE34A5B"/>
    <w:rsid w:val="5FFE1E36"/>
    <w:rsid w:val="60065292"/>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4E0DA0"/>
    <w:rsid w:val="615227C4"/>
    <w:rsid w:val="61634C99"/>
    <w:rsid w:val="61654E3F"/>
    <w:rsid w:val="61712CAB"/>
    <w:rsid w:val="6182292A"/>
    <w:rsid w:val="61823CF3"/>
    <w:rsid w:val="618A7FCE"/>
    <w:rsid w:val="618C270E"/>
    <w:rsid w:val="619F7F92"/>
    <w:rsid w:val="61E17D65"/>
    <w:rsid w:val="61F94C26"/>
    <w:rsid w:val="62000E56"/>
    <w:rsid w:val="620152D8"/>
    <w:rsid w:val="620879D5"/>
    <w:rsid w:val="622D3E2A"/>
    <w:rsid w:val="624A4FAC"/>
    <w:rsid w:val="624F3E49"/>
    <w:rsid w:val="62632286"/>
    <w:rsid w:val="62634C1E"/>
    <w:rsid w:val="62885958"/>
    <w:rsid w:val="62A15BCB"/>
    <w:rsid w:val="62E65BE7"/>
    <w:rsid w:val="62F40B65"/>
    <w:rsid w:val="62FC2CFE"/>
    <w:rsid w:val="63024505"/>
    <w:rsid w:val="635803E4"/>
    <w:rsid w:val="635B1DB5"/>
    <w:rsid w:val="636C75FC"/>
    <w:rsid w:val="63711FED"/>
    <w:rsid w:val="63736832"/>
    <w:rsid w:val="637A42EF"/>
    <w:rsid w:val="63880DDC"/>
    <w:rsid w:val="638D750D"/>
    <w:rsid w:val="63901D94"/>
    <w:rsid w:val="63A75E46"/>
    <w:rsid w:val="63AB38BC"/>
    <w:rsid w:val="63AC6CC0"/>
    <w:rsid w:val="63C63B2B"/>
    <w:rsid w:val="63EF49BB"/>
    <w:rsid w:val="64055776"/>
    <w:rsid w:val="640F6E0B"/>
    <w:rsid w:val="64240056"/>
    <w:rsid w:val="642E6B65"/>
    <w:rsid w:val="64354398"/>
    <w:rsid w:val="643E143A"/>
    <w:rsid w:val="645B2861"/>
    <w:rsid w:val="64854F93"/>
    <w:rsid w:val="648B6EEF"/>
    <w:rsid w:val="64A51C8E"/>
    <w:rsid w:val="64C158BF"/>
    <w:rsid w:val="64CE2EAA"/>
    <w:rsid w:val="6525631A"/>
    <w:rsid w:val="65297A59"/>
    <w:rsid w:val="653623FB"/>
    <w:rsid w:val="65363C60"/>
    <w:rsid w:val="653C3090"/>
    <w:rsid w:val="6546685C"/>
    <w:rsid w:val="654900FB"/>
    <w:rsid w:val="65501B81"/>
    <w:rsid w:val="65586590"/>
    <w:rsid w:val="65622926"/>
    <w:rsid w:val="65854376"/>
    <w:rsid w:val="658767BE"/>
    <w:rsid w:val="65892531"/>
    <w:rsid w:val="65A15E75"/>
    <w:rsid w:val="65CB70D2"/>
    <w:rsid w:val="661029C7"/>
    <w:rsid w:val="66195831"/>
    <w:rsid w:val="66254FFC"/>
    <w:rsid w:val="662A7998"/>
    <w:rsid w:val="662E75B1"/>
    <w:rsid w:val="66342C2E"/>
    <w:rsid w:val="66384DC2"/>
    <w:rsid w:val="663E784C"/>
    <w:rsid w:val="664E0879"/>
    <w:rsid w:val="668B6A45"/>
    <w:rsid w:val="66A355E9"/>
    <w:rsid w:val="670D6F06"/>
    <w:rsid w:val="67226E55"/>
    <w:rsid w:val="672D3625"/>
    <w:rsid w:val="672F3F24"/>
    <w:rsid w:val="673426E5"/>
    <w:rsid w:val="673E055F"/>
    <w:rsid w:val="67551CE3"/>
    <w:rsid w:val="675D5BE1"/>
    <w:rsid w:val="67682F76"/>
    <w:rsid w:val="67902011"/>
    <w:rsid w:val="67A22552"/>
    <w:rsid w:val="67B22DCC"/>
    <w:rsid w:val="67BE71AA"/>
    <w:rsid w:val="67C96D0C"/>
    <w:rsid w:val="67D90273"/>
    <w:rsid w:val="67DE5875"/>
    <w:rsid w:val="67E1286C"/>
    <w:rsid w:val="67E55852"/>
    <w:rsid w:val="67E61C31"/>
    <w:rsid w:val="67EB1AB4"/>
    <w:rsid w:val="67FA1285"/>
    <w:rsid w:val="6835732C"/>
    <w:rsid w:val="68551F4F"/>
    <w:rsid w:val="687C10C9"/>
    <w:rsid w:val="68840C16"/>
    <w:rsid w:val="68876EFB"/>
    <w:rsid w:val="68884654"/>
    <w:rsid w:val="688C2040"/>
    <w:rsid w:val="689F444F"/>
    <w:rsid w:val="68B96DBB"/>
    <w:rsid w:val="68CA2805"/>
    <w:rsid w:val="68E937A3"/>
    <w:rsid w:val="68EC19BF"/>
    <w:rsid w:val="68EF5F6C"/>
    <w:rsid w:val="693E15D3"/>
    <w:rsid w:val="69463B1F"/>
    <w:rsid w:val="69627681"/>
    <w:rsid w:val="696335D3"/>
    <w:rsid w:val="6977531D"/>
    <w:rsid w:val="69921094"/>
    <w:rsid w:val="699D3CB5"/>
    <w:rsid w:val="69A705BC"/>
    <w:rsid w:val="69CC2BFF"/>
    <w:rsid w:val="69D501AF"/>
    <w:rsid w:val="69D550CD"/>
    <w:rsid w:val="69FD55B8"/>
    <w:rsid w:val="6A0B1C62"/>
    <w:rsid w:val="6A2406C8"/>
    <w:rsid w:val="6A2557A7"/>
    <w:rsid w:val="6A4767C0"/>
    <w:rsid w:val="6A6D64D7"/>
    <w:rsid w:val="6A7E658D"/>
    <w:rsid w:val="6ABC2BAC"/>
    <w:rsid w:val="6ADE0BD1"/>
    <w:rsid w:val="6ADE4FD1"/>
    <w:rsid w:val="6AE96859"/>
    <w:rsid w:val="6AF74F45"/>
    <w:rsid w:val="6AFE3735"/>
    <w:rsid w:val="6B143588"/>
    <w:rsid w:val="6B147746"/>
    <w:rsid w:val="6B24787C"/>
    <w:rsid w:val="6B3414ED"/>
    <w:rsid w:val="6B480265"/>
    <w:rsid w:val="6B573233"/>
    <w:rsid w:val="6B5B6274"/>
    <w:rsid w:val="6B664800"/>
    <w:rsid w:val="6B6C3588"/>
    <w:rsid w:val="6B935D53"/>
    <w:rsid w:val="6BAD2BD3"/>
    <w:rsid w:val="6BC31723"/>
    <w:rsid w:val="6BEE3420"/>
    <w:rsid w:val="6BF1329A"/>
    <w:rsid w:val="6BF91BFA"/>
    <w:rsid w:val="6BFA35FA"/>
    <w:rsid w:val="6C1532AB"/>
    <w:rsid w:val="6C196F71"/>
    <w:rsid w:val="6C226FCB"/>
    <w:rsid w:val="6C31226F"/>
    <w:rsid w:val="6C552F0B"/>
    <w:rsid w:val="6C5F0204"/>
    <w:rsid w:val="6C8364E7"/>
    <w:rsid w:val="6C8C67B7"/>
    <w:rsid w:val="6C99459B"/>
    <w:rsid w:val="6C9D744C"/>
    <w:rsid w:val="6CD40368"/>
    <w:rsid w:val="6CF17EE6"/>
    <w:rsid w:val="6D167928"/>
    <w:rsid w:val="6D26299B"/>
    <w:rsid w:val="6D2B0F95"/>
    <w:rsid w:val="6D34343E"/>
    <w:rsid w:val="6D3E11FC"/>
    <w:rsid w:val="6D4772EC"/>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2A7D94"/>
    <w:rsid w:val="6F484F7F"/>
    <w:rsid w:val="6F8331F1"/>
    <w:rsid w:val="6FAE1A09"/>
    <w:rsid w:val="6FD75BF8"/>
    <w:rsid w:val="6FEE0666"/>
    <w:rsid w:val="701B434B"/>
    <w:rsid w:val="702472C3"/>
    <w:rsid w:val="70381498"/>
    <w:rsid w:val="70514665"/>
    <w:rsid w:val="707723D0"/>
    <w:rsid w:val="707B239B"/>
    <w:rsid w:val="70CD6D0A"/>
    <w:rsid w:val="70E6512E"/>
    <w:rsid w:val="70F5661B"/>
    <w:rsid w:val="71360107"/>
    <w:rsid w:val="713B688E"/>
    <w:rsid w:val="7178701F"/>
    <w:rsid w:val="71B2527A"/>
    <w:rsid w:val="71B7463E"/>
    <w:rsid w:val="71D43752"/>
    <w:rsid w:val="71EA4A14"/>
    <w:rsid w:val="71ED0060"/>
    <w:rsid w:val="71F1796A"/>
    <w:rsid w:val="720033A7"/>
    <w:rsid w:val="72046C6A"/>
    <w:rsid w:val="72154626"/>
    <w:rsid w:val="72262B5D"/>
    <w:rsid w:val="72283FF7"/>
    <w:rsid w:val="72290E85"/>
    <w:rsid w:val="722E7212"/>
    <w:rsid w:val="72343EE1"/>
    <w:rsid w:val="723A0474"/>
    <w:rsid w:val="7244764E"/>
    <w:rsid w:val="725923E4"/>
    <w:rsid w:val="72864BF7"/>
    <w:rsid w:val="728C10CE"/>
    <w:rsid w:val="729023FC"/>
    <w:rsid w:val="729A1F96"/>
    <w:rsid w:val="72DB70B2"/>
    <w:rsid w:val="73612AB3"/>
    <w:rsid w:val="73982B4E"/>
    <w:rsid w:val="73C0646E"/>
    <w:rsid w:val="74184742"/>
    <w:rsid w:val="742222F5"/>
    <w:rsid w:val="74472DDE"/>
    <w:rsid w:val="74476126"/>
    <w:rsid w:val="744C72C0"/>
    <w:rsid w:val="74706664"/>
    <w:rsid w:val="747955F9"/>
    <w:rsid w:val="747F3682"/>
    <w:rsid w:val="748A603A"/>
    <w:rsid w:val="74930B07"/>
    <w:rsid w:val="7499627D"/>
    <w:rsid w:val="749C4185"/>
    <w:rsid w:val="74B33703"/>
    <w:rsid w:val="75067759"/>
    <w:rsid w:val="752E6DCD"/>
    <w:rsid w:val="7551380D"/>
    <w:rsid w:val="755521A4"/>
    <w:rsid w:val="75600BE5"/>
    <w:rsid w:val="7564475C"/>
    <w:rsid w:val="75677FB4"/>
    <w:rsid w:val="7583797F"/>
    <w:rsid w:val="75896940"/>
    <w:rsid w:val="75D20F1D"/>
    <w:rsid w:val="75DA2C18"/>
    <w:rsid w:val="75E35A02"/>
    <w:rsid w:val="75EC3712"/>
    <w:rsid w:val="75F419BD"/>
    <w:rsid w:val="75F54412"/>
    <w:rsid w:val="761D08E0"/>
    <w:rsid w:val="765D347C"/>
    <w:rsid w:val="76826699"/>
    <w:rsid w:val="76A96C4B"/>
    <w:rsid w:val="76C87133"/>
    <w:rsid w:val="76CD08D5"/>
    <w:rsid w:val="76DB4B92"/>
    <w:rsid w:val="77052AA4"/>
    <w:rsid w:val="77136511"/>
    <w:rsid w:val="771B6915"/>
    <w:rsid w:val="77340A39"/>
    <w:rsid w:val="77351FD0"/>
    <w:rsid w:val="77472422"/>
    <w:rsid w:val="77555335"/>
    <w:rsid w:val="777F31F2"/>
    <w:rsid w:val="77A61F94"/>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1ADD"/>
    <w:rsid w:val="78ED426E"/>
    <w:rsid w:val="790037DD"/>
    <w:rsid w:val="7904172F"/>
    <w:rsid w:val="790D618D"/>
    <w:rsid w:val="790F7E27"/>
    <w:rsid w:val="792A231A"/>
    <w:rsid w:val="79316829"/>
    <w:rsid w:val="793A570A"/>
    <w:rsid w:val="793D7B1F"/>
    <w:rsid w:val="796F3BB6"/>
    <w:rsid w:val="797E66A9"/>
    <w:rsid w:val="798B079E"/>
    <w:rsid w:val="79997202"/>
    <w:rsid w:val="79A97383"/>
    <w:rsid w:val="79AD7D6A"/>
    <w:rsid w:val="79AF5793"/>
    <w:rsid w:val="79CB2A4A"/>
    <w:rsid w:val="79E27E8B"/>
    <w:rsid w:val="79F850CE"/>
    <w:rsid w:val="79FD443C"/>
    <w:rsid w:val="7A081EDB"/>
    <w:rsid w:val="7A0B3482"/>
    <w:rsid w:val="7A1563A6"/>
    <w:rsid w:val="7A1D1975"/>
    <w:rsid w:val="7A2E2A28"/>
    <w:rsid w:val="7A3E5150"/>
    <w:rsid w:val="7A4670D6"/>
    <w:rsid w:val="7A534B63"/>
    <w:rsid w:val="7A615382"/>
    <w:rsid w:val="7A67303B"/>
    <w:rsid w:val="7AAB1D04"/>
    <w:rsid w:val="7ABA4368"/>
    <w:rsid w:val="7AD05746"/>
    <w:rsid w:val="7ADD3367"/>
    <w:rsid w:val="7B12268F"/>
    <w:rsid w:val="7B2029F8"/>
    <w:rsid w:val="7B257FFD"/>
    <w:rsid w:val="7B343476"/>
    <w:rsid w:val="7B3A4316"/>
    <w:rsid w:val="7B5A2978"/>
    <w:rsid w:val="7B5A7E4C"/>
    <w:rsid w:val="7B5D1DB2"/>
    <w:rsid w:val="7B667AF9"/>
    <w:rsid w:val="7B7468F8"/>
    <w:rsid w:val="7B7B42F9"/>
    <w:rsid w:val="7B823602"/>
    <w:rsid w:val="7BBE73F0"/>
    <w:rsid w:val="7BED75DA"/>
    <w:rsid w:val="7BEE0103"/>
    <w:rsid w:val="7C0A0FE4"/>
    <w:rsid w:val="7C164ACD"/>
    <w:rsid w:val="7C254906"/>
    <w:rsid w:val="7C405DA3"/>
    <w:rsid w:val="7C590818"/>
    <w:rsid w:val="7C6F4493"/>
    <w:rsid w:val="7C72188D"/>
    <w:rsid w:val="7C7C10F6"/>
    <w:rsid w:val="7C853BEA"/>
    <w:rsid w:val="7C881368"/>
    <w:rsid w:val="7CD2582C"/>
    <w:rsid w:val="7CE27788"/>
    <w:rsid w:val="7CEA7740"/>
    <w:rsid w:val="7CED5C37"/>
    <w:rsid w:val="7CFA2B82"/>
    <w:rsid w:val="7D0B583E"/>
    <w:rsid w:val="7D0C32F1"/>
    <w:rsid w:val="7D0F408D"/>
    <w:rsid w:val="7D2C0DF4"/>
    <w:rsid w:val="7D376633"/>
    <w:rsid w:val="7D491C6C"/>
    <w:rsid w:val="7D5429C0"/>
    <w:rsid w:val="7D6E6D43"/>
    <w:rsid w:val="7D8201F6"/>
    <w:rsid w:val="7DB57A34"/>
    <w:rsid w:val="7DE60973"/>
    <w:rsid w:val="7DEF0916"/>
    <w:rsid w:val="7DF05BB0"/>
    <w:rsid w:val="7E1E5218"/>
    <w:rsid w:val="7E2F0D11"/>
    <w:rsid w:val="7E9A4E1F"/>
    <w:rsid w:val="7EA7723A"/>
    <w:rsid w:val="7EAF5D5D"/>
    <w:rsid w:val="7ED22AB7"/>
    <w:rsid w:val="7EF56FBB"/>
    <w:rsid w:val="7F0768EB"/>
    <w:rsid w:val="7F143BEC"/>
    <w:rsid w:val="7F54171E"/>
    <w:rsid w:val="7F665733"/>
    <w:rsid w:val="7F6D458E"/>
    <w:rsid w:val="7F715AF2"/>
    <w:rsid w:val="7F886E69"/>
    <w:rsid w:val="7FB3087C"/>
    <w:rsid w:val="7FE44850"/>
    <w:rsid w:val="7FFC429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93"/>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5"/>
    <w:qFormat/>
    <w:uiPriority w:val="99"/>
    <w:pPr>
      <w:jc w:val="left"/>
    </w:pPr>
  </w:style>
  <w:style w:type="paragraph" w:styleId="20">
    <w:name w:val="Salutation"/>
    <w:basedOn w:val="1"/>
    <w:next w:val="1"/>
    <w:link w:val="825"/>
    <w:qFormat/>
    <w:uiPriority w:val="0"/>
    <w:rPr>
      <w:rFonts w:ascii="仿宋_GB2312" w:eastAsia="仿宋_GB2312"/>
      <w:sz w:val="28"/>
      <w:szCs w:val="20"/>
    </w:rPr>
  </w:style>
  <w:style w:type="paragraph" w:styleId="21">
    <w:name w:val="Body Text 3"/>
    <w:basedOn w:val="1"/>
    <w:link w:val="85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4"/>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
    <w:link w:val="79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7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22"/>
    <w:qFormat/>
    <w:uiPriority w:val="0"/>
    <w:pPr>
      <w:ind w:left="100" w:leftChars="2500"/>
    </w:pPr>
    <w:rPr>
      <w:rFonts w:ascii="宋体"/>
      <w:sz w:val="24"/>
      <w:szCs w:val="21"/>
      <w:lang w:val="zh-CN"/>
    </w:rPr>
  </w:style>
  <w:style w:type="paragraph" w:styleId="38">
    <w:name w:val="Body Text Indent 2"/>
    <w:basedOn w:val="1"/>
    <w:link w:val="833"/>
    <w:qFormat/>
    <w:uiPriority w:val="0"/>
    <w:pPr>
      <w:spacing w:line="360" w:lineRule="auto"/>
      <w:ind w:firstLine="601"/>
      <w:textAlignment w:val="baseline"/>
    </w:pPr>
    <w:rPr>
      <w:rFonts w:ascii="宋体"/>
      <w:kern w:val="0"/>
      <w:sz w:val="28"/>
      <w:szCs w:val="20"/>
    </w:rPr>
  </w:style>
  <w:style w:type="paragraph" w:styleId="39">
    <w:name w:val="endnote text"/>
    <w:basedOn w:val="1"/>
    <w:link w:val="950"/>
    <w:qFormat/>
    <w:uiPriority w:val="0"/>
    <w:rPr>
      <w:lang w:val="zh-CN"/>
    </w:rPr>
  </w:style>
  <w:style w:type="paragraph" w:styleId="40">
    <w:name w:val="Balloon Text"/>
    <w:basedOn w:val="1"/>
    <w:link w:val="729"/>
    <w:qFormat/>
    <w:uiPriority w:val="0"/>
    <w:rPr>
      <w:sz w:val="18"/>
      <w:szCs w:val="18"/>
    </w:rPr>
  </w:style>
  <w:style w:type="paragraph" w:styleId="41">
    <w:name w:val="footer"/>
    <w:basedOn w:val="1"/>
    <w:link w:val="901"/>
    <w:qFormat/>
    <w:uiPriority w:val="99"/>
    <w:pPr>
      <w:tabs>
        <w:tab w:val="center" w:pos="4153"/>
        <w:tab w:val="right" w:pos="8306"/>
      </w:tabs>
      <w:snapToGrid w:val="0"/>
      <w:jc w:val="left"/>
    </w:pPr>
    <w:rPr>
      <w:sz w:val="18"/>
      <w:szCs w:val="18"/>
    </w:rPr>
  </w:style>
  <w:style w:type="paragraph" w:styleId="42">
    <w:name w:val="header"/>
    <w:basedOn w:val="1"/>
    <w:link w:val="90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35"/>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9"/>
    <w:qFormat/>
    <w:uiPriority w:val="0"/>
    <w:pPr>
      <w:spacing w:after="120" w:line="480" w:lineRule="auto"/>
    </w:pPr>
  </w:style>
  <w:style w:type="paragraph" w:styleId="57">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6"/>
    <w:qFormat/>
    <w:uiPriority w:val="0"/>
    <w:rPr>
      <w:b/>
      <w:bCs/>
    </w:rPr>
  </w:style>
  <w:style w:type="paragraph" w:styleId="61">
    <w:name w:val="Body Text First Indent 2"/>
    <w:basedOn w:val="26"/>
    <w:next w:val="1"/>
    <w:link w:val="668"/>
    <w:qFormat/>
    <w:uiPriority w:val="0"/>
    <w:pPr>
      <w:adjustRightInd/>
      <w:spacing w:line="360" w:lineRule="auto"/>
      <w:ind w:firstLine="0" w:firstLineChars="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Quote1"/>
    <w:basedOn w:val="1"/>
    <w:next w:val="1"/>
    <w:qFormat/>
    <w:uiPriority w:val="99"/>
    <w:pPr>
      <w:widowControl/>
      <w:wordWrap w:val="0"/>
      <w:spacing w:before="200" w:after="160"/>
      <w:ind w:left="864" w:right="864"/>
      <w:jc w:val="center"/>
    </w:pPr>
    <w:rPr>
      <w:rFonts w:ascii="宋体"/>
      <w:i/>
      <w:color w:val="404040"/>
    </w:rPr>
  </w:style>
  <w:style w:type="character" w:customStyle="1" w:styleId="80">
    <w:name w:val="标题 1 Char"/>
    <w:link w:val="2"/>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6"/>
    <w:qFormat/>
    <w:uiPriority w:val="9"/>
    <w:rPr>
      <w:b/>
      <w:bCs/>
      <w:kern w:val="2"/>
      <w:sz w:val="28"/>
      <w:szCs w:val="28"/>
    </w:rPr>
  </w:style>
  <w:style w:type="paragraph" w:customStyle="1" w:styleId="84">
    <w:name w:val="正文文本首行缩进 2"/>
    <w:basedOn w:val="85"/>
    <w:qFormat/>
    <w:uiPriority w:val="99"/>
    <w:pPr>
      <w:tabs>
        <w:tab w:val="right" w:leader="dot" w:pos="8268"/>
      </w:tabs>
      <w:spacing w:line="200" w:lineRule="atLeast"/>
      <w:ind w:firstLine="420"/>
    </w:pPr>
    <w:rPr>
      <w:rFonts w:ascii="宋体"/>
      <w:spacing w:val="-4"/>
      <w:sz w:val="18"/>
    </w:rPr>
  </w:style>
  <w:style w:type="paragraph" w:customStyle="1" w:styleId="85">
    <w:name w:val="正文缩进1"/>
    <w:basedOn w:val="86"/>
    <w:next w:val="84"/>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6">
    <w:name w:val="正文1"/>
    <w:basedOn w:val="33"/>
    <w:next w:val="87"/>
    <w:qFormat/>
    <w:uiPriority w:val="0"/>
    <w:pPr>
      <w:ind w:left="0" w:leftChars="0" w:firstLine="480" w:firstLineChars="200"/>
    </w:pPr>
    <w:rPr>
      <w:rFonts w:ascii="仿宋_GB2312" w:hAnsi="Courier New" w:eastAsia="仿宋_GB2312"/>
      <w:kern w:val="28"/>
      <w:sz w:val="24"/>
    </w:rPr>
  </w:style>
  <w:style w:type="paragraph" w:customStyle="1" w:styleId="87">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8">
    <w:name w:val="目录 11"/>
    <w:basedOn w:val="86"/>
    <w:next w:val="86"/>
    <w:qFormat/>
    <w:uiPriority w:val="0"/>
    <w:pPr>
      <w:spacing w:line="240" w:lineRule="auto"/>
    </w:pPr>
    <w:rPr>
      <w:rFonts w:ascii="宋体" w:hAnsi="宋体" w:eastAsia="黑体" w:cs="宋体"/>
      <w:szCs w:val="21"/>
      <w:lang w:eastAsia="en-US"/>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paragraph" w:customStyle="1" w:styleId="91">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2">
    <w:name w:val="表格文字"/>
    <w:basedOn w:val="93"/>
    <w:next w:val="23"/>
    <w:qFormat/>
    <w:uiPriority w:val="0"/>
    <w:pPr>
      <w:ind w:firstLine="200" w:firstLineChars="200"/>
    </w:pPr>
    <w:rPr>
      <w:rFonts w:ascii="Arial" w:hAnsi="Arial"/>
      <w:spacing w:val="-5"/>
      <w:kern w:val="0"/>
      <w:sz w:val="24"/>
      <w:szCs w:val="20"/>
    </w:rPr>
  </w:style>
  <w:style w:type="paragraph" w:customStyle="1" w:styleId="93">
    <w:name w:val="表格文字（两侧对齐）"/>
    <w:basedOn w:val="1"/>
    <w:qFormat/>
    <w:uiPriority w:val="0"/>
    <w:pPr>
      <w:adjustRightInd/>
      <w:snapToGrid w:val="0"/>
    </w:pPr>
    <w:rPr>
      <w:sz w:val="20"/>
    </w:rPr>
  </w:style>
  <w:style w:type="paragraph" w:customStyle="1" w:styleId="94">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6">
    <w:name w:val="正文文本首行缩进 21"/>
    <w:basedOn w:val="85"/>
    <w:qFormat/>
    <w:uiPriority w:val="99"/>
    <w:pPr>
      <w:spacing w:line="200" w:lineRule="atLeast"/>
      <w:ind w:firstLine="420"/>
    </w:pPr>
    <w:rPr>
      <w:spacing w:val="-4"/>
      <w:sz w:val="18"/>
    </w:rPr>
  </w:style>
  <w:style w:type="paragraph" w:customStyle="1" w:styleId="97">
    <w:name w:val="[Normal]"/>
    <w:qFormat/>
    <w:uiPriority w:val="0"/>
    <w:rPr>
      <w:rFonts w:ascii="宋体" w:hAnsi="宋体" w:eastAsia="宋体" w:cs="Times New Roman"/>
      <w:sz w:val="24"/>
      <w:szCs w:val="22"/>
      <w:lang w:val="zh-CN" w:eastAsia="zh-CN" w:bidi="ar-SA"/>
    </w:rPr>
  </w:style>
  <w:style w:type="paragraph" w:customStyle="1" w:styleId="98">
    <w:name w:val="正文文本首行缩进 211"/>
    <w:basedOn w:val="85"/>
    <w:qFormat/>
    <w:uiPriority w:val="99"/>
    <w:pPr>
      <w:spacing w:line="200" w:lineRule="atLeast"/>
      <w:ind w:firstLine="420"/>
    </w:pPr>
    <w:rPr>
      <w:rFonts w:ascii="宋体"/>
      <w:spacing w:val="-4"/>
      <w:sz w:val="18"/>
    </w:rPr>
  </w:style>
  <w:style w:type="paragraph" w:customStyle="1" w:styleId="99">
    <w:name w:val="正文文本首行缩进 22"/>
    <w:basedOn w:val="85"/>
    <w:qFormat/>
    <w:uiPriority w:val="99"/>
    <w:pPr>
      <w:spacing w:line="200" w:lineRule="atLeast"/>
      <w:ind w:firstLine="420"/>
    </w:pPr>
    <w:rPr>
      <w:rFonts w:ascii="宋体"/>
      <w:spacing w:val="-4"/>
      <w:sz w:val="18"/>
    </w:rPr>
  </w:style>
  <w:style w:type="paragraph" w:customStyle="1" w:styleId="100">
    <w:name w:val="正文首行缩进 21"/>
    <w:basedOn w:val="101"/>
    <w:next w:val="1"/>
    <w:qFormat/>
    <w:uiPriority w:val="0"/>
    <w:pPr>
      <w:ind w:firstLine="210"/>
    </w:pPr>
  </w:style>
  <w:style w:type="paragraph" w:customStyle="1" w:styleId="101">
    <w:name w:val="正文文本缩进1"/>
    <w:basedOn w:val="1"/>
    <w:next w:val="1"/>
    <w:qFormat/>
    <w:uiPriority w:val="0"/>
    <w:pPr>
      <w:widowControl/>
      <w:spacing w:after="120"/>
      <w:ind w:left="420"/>
    </w:pPr>
    <w:rPr>
      <w:color w:val="000000"/>
    </w:rPr>
  </w:style>
  <w:style w:type="paragraph" w:customStyle="1" w:styleId="102">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3">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104">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105">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106">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7">
    <w:name w:val="正文2"/>
    <w:basedOn w:val="56"/>
    <w:link w:val="677"/>
    <w:qFormat/>
    <w:uiPriority w:val="0"/>
    <w:pPr>
      <w:spacing w:before="156" w:line="360" w:lineRule="auto"/>
      <w:ind w:firstLine="510" w:firstLineChars="200"/>
    </w:pPr>
    <w:rPr>
      <w:sz w:val="24"/>
      <w:szCs w:val="20"/>
    </w:rPr>
  </w:style>
  <w:style w:type="paragraph" w:customStyle="1" w:styleId="108">
    <w:name w:val="无间隔1"/>
    <w:link w:val="685"/>
    <w:qFormat/>
    <w:uiPriority w:val="1"/>
    <w:rPr>
      <w:rFonts w:ascii="Times New Roman" w:hAnsi="Times New Roman" w:eastAsia="宋体" w:cs="Times New Roman"/>
      <w:sz w:val="22"/>
      <w:szCs w:val="22"/>
      <w:lang w:val="en-US" w:eastAsia="zh-CN" w:bidi="ar-SA"/>
    </w:rPr>
  </w:style>
  <w:style w:type="paragraph" w:customStyle="1" w:styleId="109">
    <w:name w:val="纯文本_0_0"/>
    <w:basedOn w:val="110"/>
    <w:link w:val="693"/>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12">
    <w:name w:val="表格名称"/>
    <w:basedOn w:val="3"/>
    <w:link w:val="71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3">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14">
    <w:name w:val="3级"/>
    <w:basedOn w:val="115"/>
    <w:link w:val="738"/>
    <w:qFormat/>
    <w:uiPriority w:val="0"/>
    <w:pPr>
      <w:ind w:left="0" w:right="466" w:firstLine="288"/>
    </w:pPr>
    <w:rPr>
      <w:rFonts w:hAnsi="宋体"/>
    </w:rPr>
  </w:style>
  <w:style w:type="paragraph" w:customStyle="1" w:styleId="11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6">
    <w:name w:val="标题4-dyf"/>
    <w:basedOn w:val="5"/>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7">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8">
    <w:name w:val="正文样式"/>
    <w:basedOn w:val="1"/>
    <w:link w:val="779"/>
    <w:qFormat/>
    <w:uiPriority w:val="0"/>
    <w:pPr>
      <w:adjustRightInd/>
      <w:spacing w:line="360" w:lineRule="auto"/>
      <w:ind w:firstLine="480" w:firstLineChars="200"/>
    </w:pPr>
    <w:rPr>
      <w:kern w:val="0"/>
      <w:sz w:val="24"/>
    </w:rPr>
  </w:style>
  <w:style w:type="paragraph" w:customStyle="1" w:styleId="119">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0">
    <w:name w:val="列表1"/>
    <w:basedOn w:val="1"/>
    <w:next w:val="12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1">
    <w:name w:val="列表段落1"/>
    <w:basedOn w:val="1"/>
    <w:qFormat/>
    <w:uiPriority w:val="34"/>
    <w:pPr>
      <w:spacing w:line="360" w:lineRule="auto"/>
      <w:ind w:firstLine="200" w:firstLineChars="200"/>
    </w:pPr>
    <w:rPr>
      <w:rFonts w:eastAsia="楷体_GB2312" w:cs="Lucida Sans"/>
      <w:sz w:val="24"/>
    </w:rPr>
  </w:style>
  <w:style w:type="paragraph" w:customStyle="1" w:styleId="122">
    <w:name w:val="此正文"/>
    <w:basedOn w:val="1"/>
    <w:link w:val="810"/>
    <w:qFormat/>
    <w:uiPriority w:val="0"/>
    <w:pPr>
      <w:adjustRightInd/>
      <w:spacing w:line="360" w:lineRule="auto"/>
      <w:ind w:firstLine="200" w:firstLineChars="200"/>
    </w:pPr>
    <w:rPr>
      <w:sz w:val="24"/>
    </w:rPr>
  </w:style>
  <w:style w:type="paragraph" w:customStyle="1" w:styleId="123">
    <w:name w:val="样式 样式 标题 4h4H4Fab-4T5Ref Heading 1rh1Heading sqlsect 1.2.3.... +..."/>
    <w:basedOn w:val="124"/>
    <w:link w:val="830"/>
    <w:qFormat/>
    <w:uiPriority w:val="0"/>
    <w:pPr>
      <w:tabs>
        <w:tab w:val="left" w:pos="2356"/>
      </w:tabs>
    </w:pPr>
  </w:style>
  <w:style w:type="paragraph" w:customStyle="1" w:styleId="124">
    <w:name w:val="样式 标题 4h4H4Fab-4T5Ref Heading 1rh1Heading sqlsect 1.2.3...."/>
    <w:basedOn w:val="5"/>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6">
    <w:name w:val="纯文本1"/>
    <w:basedOn w:val="1"/>
    <w:link w:val="843"/>
    <w:qFormat/>
    <w:uiPriority w:val="0"/>
    <w:pPr>
      <w:adjustRightInd/>
    </w:pPr>
    <w:rPr>
      <w:rFonts w:ascii="宋体" w:hAnsi="Courier New"/>
      <w:kern w:val="0"/>
      <w:sz w:val="20"/>
      <w:szCs w:val="20"/>
    </w:rPr>
  </w:style>
  <w:style w:type="paragraph" w:customStyle="1" w:styleId="127">
    <w:name w:val="正文说明"/>
    <w:basedOn w:val="1"/>
    <w:link w:val="855"/>
    <w:qFormat/>
    <w:uiPriority w:val="0"/>
    <w:pPr>
      <w:adjustRightInd/>
      <w:spacing w:line="360" w:lineRule="auto"/>
    </w:pPr>
    <w:rPr>
      <w:kern w:val="0"/>
      <w:sz w:val="24"/>
    </w:rPr>
  </w:style>
  <w:style w:type="paragraph" w:customStyle="1" w:styleId="128">
    <w:name w:val="Table Text"/>
    <w:basedOn w:val="1"/>
    <w:link w:val="861"/>
    <w:qFormat/>
    <w:uiPriority w:val="0"/>
    <w:pPr>
      <w:widowControl/>
      <w:spacing w:before="60" w:after="60"/>
      <w:jc w:val="left"/>
    </w:pPr>
    <w:rPr>
      <w:kern w:val="0"/>
      <w:sz w:val="24"/>
    </w:rPr>
  </w:style>
  <w:style w:type="paragraph" w:customStyle="1" w:styleId="129">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30">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1">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2">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33">
    <w:name w:val="正文段"/>
    <w:basedOn w:val="1"/>
    <w:link w:val="913"/>
    <w:qFormat/>
    <w:uiPriority w:val="0"/>
    <w:pPr>
      <w:widowControl/>
      <w:snapToGrid w:val="0"/>
      <w:spacing w:afterLines="50"/>
      <w:ind w:firstLine="200" w:firstLineChars="200"/>
    </w:pPr>
    <w:rPr>
      <w:kern w:val="0"/>
      <w:sz w:val="24"/>
      <w:szCs w:val="20"/>
    </w:rPr>
  </w:style>
  <w:style w:type="paragraph" w:customStyle="1" w:styleId="134">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35">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36">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37">
    <w:name w:val="样式 正文缩进 + 首行缩进:  2 字符"/>
    <w:basedOn w:val="15"/>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5">
    <w:name w:val="标题4_自定义"/>
    <w:basedOn w:val="5"/>
    <w:qFormat/>
    <w:uiPriority w:val="0"/>
    <w:pPr>
      <w:adjustRightInd/>
      <w:spacing w:before="0" w:after="0" w:line="360" w:lineRule="auto"/>
    </w:pPr>
    <w:rPr>
      <w:rFonts w:ascii="Verdana" w:eastAsia="Verdana"/>
      <w:sz w:val="21"/>
      <w:lang w:val="en-US"/>
    </w:rPr>
  </w:style>
  <w:style w:type="paragraph" w:customStyle="1" w:styleId="146">
    <w:name w:val="正文 内标 序号标"/>
    <w:basedOn w:val="147"/>
    <w:qFormat/>
    <w:uiPriority w:val="0"/>
    <w:pPr>
      <w:tabs>
        <w:tab w:val="left" w:pos="0"/>
      </w:tabs>
      <w:adjustRightInd/>
      <w:spacing w:before="0"/>
      <w:ind w:firstLine="482"/>
    </w:pPr>
    <w:rPr>
      <w:rFonts w:ascii="微软雅黑" w:hAnsi="微软雅黑"/>
      <w:sz w:val="24"/>
      <w:szCs w:val="24"/>
    </w:rPr>
  </w:style>
  <w:style w:type="paragraph" w:customStyle="1" w:styleId="147">
    <w:name w:val="My正文"/>
    <w:basedOn w:val="1"/>
    <w:qFormat/>
    <w:uiPriority w:val="0"/>
    <w:pPr>
      <w:spacing w:before="120" w:line="360" w:lineRule="auto"/>
      <w:ind w:firstLine="567"/>
    </w:pPr>
    <w:rPr>
      <w:rFonts w:ascii="Arial" w:hAnsi="Arial"/>
      <w:sz w:val="20"/>
      <w:szCs w:val="20"/>
    </w:rPr>
  </w:style>
  <w:style w:type="paragraph" w:customStyle="1" w:styleId="1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1">
    <w:name w:val="修订2"/>
    <w:qFormat/>
    <w:uiPriority w:val="0"/>
    <w:rPr>
      <w:rFonts w:ascii="Times New Roman" w:hAnsi="Times New Roman" w:eastAsia="宋体" w:cs="Times New Roman"/>
      <w:kern w:val="2"/>
      <w:sz w:val="21"/>
      <w:lang w:val="en-US" w:eastAsia="zh-CN" w:bidi="ar-SA"/>
    </w:rPr>
  </w:style>
  <w:style w:type="paragraph" w:customStyle="1" w:styleId="1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文章标题"/>
    <w:next w:val="1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5">
    <w:name w:val="封面公司名"/>
    <w:qFormat/>
    <w:uiPriority w:val="0"/>
    <w:pPr>
      <w:jc w:val="center"/>
    </w:pPr>
    <w:rPr>
      <w:rFonts w:ascii="Arial" w:hAnsi="Arial" w:eastAsia="楷体_GB2312" w:cs="宋体"/>
      <w:bCs/>
      <w:kern w:val="2"/>
      <w:sz w:val="28"/>
      <w:lang w:val="en-US" w:eastAsia="zh-CN" w:bidi="ar-SA"/>
    </w:rPr>
  </w:style>
  <w:style w:type="paragraph" w:customStyle="1" w:styleId="156">
    <w:name w:val="Char1 Char Char Char5"/>
    <w:basedOn w:val="1"/>
    <w:qFormat/>
    <w:uiPriority w:val="0"/>
    <w:pPr>
      <w:adjustRightInd/>
      <w:ind w:firstLine="200" w:firstLineChars="200"/>
    </w:pPr>
    <w:rPr>
      <w:rFonts w:ascii="Tahoma" w:hAnsi="Tahoma"/>
      <w:sz w:val="24"/>
      <w:szCs w:val="20"/>
    </w:rPr>
  </w:style>
  <w:style w:type="paragraph" w:customStyle="1" w:styleId="1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9">
    <w:name w:val="Char Char Char Char Char Char Char Char"/>
    <w:basedOn w:val="1"/>
    <w:qFormat/>
    <w:uiPriority w:val="0"/>
    <w:pPr>
      <w:tabs>
        <w:tab w:val="left" w:pos="360"/>
      </w:tabs>
    </w:pPr>
    <w:rPr>
      <w:sz w:val="24"/>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3">
    <w:name w:val="样式3"/>
    <w:basedOn w:val="164"/>
    <w:qFormat/>
    <w:uiPriority w:val="0"/>
    <w:pPr>
      <w:tabs>
        <w:tab w:val="left" w:pos="2790"/>
        <w:tab w:val="left" w:pos="4230"/>
      </w:tabs>
      <w:spacing w:beforeLines="100"/>
      <w:jc w:val="left"/>
    </w:pPr>
  </w:style>
  <w:style w:type="paragraph" w:customStyle="1" w:styleId="1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5">
    <w:name w:val="Char Char1 Char Char1 Char Char1"/>
    <w:basedOn w:val="1"/>
    <w:qFormat/>
    <w:uiPriority w:val="0"/>
    <w:pPr>
      <w:tabs>
        <w:tab w:val="left" w:pos="840"/>
      </w:tabs>
      <w:ind w:left="840" w:hanging="420"/>
    </w:pPr>
    <w:rPr>
      <w:rFonts w:ascii="Tahoma" w:hAnsi="Tahoma"/>
      <w:sz w:val="24"/>
    </w:rPr>
  </w:style>
  <w:style w:type="paragraph" w:customStyle="1" w:styleId="1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7">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9">
    <w:name w:val="正文21"/>
    <w:basedOn w:val="1"/>
    <w:qFormat/>
    <w:uiPriority w:val="0"/>
    <w:pPr>
      <w:adjustRightInd/>
      <w:spacing w:before="156" w:line="360" w:lineRule="auto"/>
      <w:ind w:firstLine="510" w:firstLineChars="200"/>
    </w:pPr>
    <w:rPr>
      <w:sz w:val="24"/>
      <w:szCs w:val="20"/>
    </w:rPr>
  </w:style>
  <w:style w:type="paragraph" w:customStyle="1" w:styleId="1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7">
    <w:name w:val="6级标题"/>
    <w:basedOn w:val="178"/>
    <w:qFormat/>
    <w:uiPriority w:val="0"/>
    <w:pPr>
      <w:keepNext/>
      <w:tabs>
        <w:tab w:val="left" w:pos="360"/>
      </w:tabs>
      <w:outlineLvl w:val="5"/>
    </w:pPr>
  </w:style>
  <w:style w:type="paragraph" w:customStyle="1" w:styleId="178">
    <w:name w:val="5级标题"/>
    <w:basedOn w:val="17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9">
    <w:name w:val="4级标题"/>
    <w:basedOn w:val="12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0">
    <w:name w:val="样式 正文文本缩进 + 段前: 2 字符"/>
    <w:basedOn w:val="1"/>
    <w:qFormat/>
    <w:uiPriority w:val="0"/>
    <w:pPr>
      <w:adjustRightInd/>
      <w:ind w:left="420" w:leftChars="200"/>
      <w:jc w:val="left"/>
    </w:pPr>
    <w:rPr>
      <w:sz w:val="28"/>
      <w:szCs w:val="20"/>
      <w:lang w:eastAsia="zh-TW"/>
    </w:rPr>
  </w:style>
  <w:style w:type="paragraph" w:customStyle="1" w:styleId="181">
    <w:name w:val="Char2 Char Char"/>
    <w:basedOn w:val="1"/>
    <w:qFormat/>
    <w:uiPriority w:val="0"/>
    <w:pPr>
      <w:adjustRightInd/>
    </w:pPr>
    <w:rPr>
      <w:rFonts w:ascii="Tahoma" w:hAnsi="Tahoma"/>
      <w:sz w:val="24"/>
      <w:szCs w:val="20"/>
    </w:rPr>
  </w:style>
  <w:style w:type="paragraph" w:customStyle="1" w:styleId="182">
    <w:name w:val="_Style 11"/>
    <w:basedOn w:val="1"/>
    <w:qFormat/>
    <w:uiPriority w:val="34"/>
    <w:pPr>
      <w:adjustRightInd/>
      <w:ind w:firstLine="420" w:firstLineChars="200"/>
    </w:pPr>
    <w:rPr>
      <w:rFonts w:eastAsia="仿宋_GB2312"/>
      <w:sz w:val="28"/>
    </w:rPr>
  </w:style>
  <w:style w:type="paragraph" w:customStyle="1" w:styleId="1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4">
    <w:name w:val="Char Char Char"/>
    <w:basedOn w:val="1"/>
    <w:qFormat/>
    <w:uiPriority w:val="0"/>
    <w:rPr>
      <w:rFonts w:ascii="Tahoma" w:hAnsi="Tahoma"/>
      <w:sz w:val="24"/>
      <w:szCs w:val="20"/>
    </w:rPr>
  </w:style>
  <w:style w:type="paragraph" w:customStyle="1" w:styleId="18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7">
    <w:name w:val="无间隔2"/>
    <w:basedOn w:val="1"/>
    <w:link w:val="951"/>
    <w:qFormat/>
    <w:uiPriority w:val="99"/>
    <w:rPr>
      <w:szCs w:val="22"/>
    </w:rPr>
  </w:style>
  <w:style w:type="paragraph" w:customStyle="1" w:styleId="1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9">
    <w:name w:val="Char Char Char Char Char Char Char Char Char Char Char Char1 Char1"/>
    <w:basedOn w:val="1"/>
    <w:qFormat/>
    <w:uiPriority w:val="6"/>
    <w:rPr>
      <w:rFonts w:ascii="Tahoma" w:hAnsi="Tahoma" w:cs="仿宋_GB2312"/>
      <w:sz w:val="24"/>
      <w:szCs w:val="20"/>
    </w:rPr>
  </w:style>
  <w:style w:type="paragraph" w:customStyle="1" w:styleId="1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94">
    <w:name w:val="五级无标题条"/>
    <w:basedOn w:val="1"/>
    <w:qFormat/>
    <w:uiPriority w:val="0"/>
    <w:pPr>
      <w:adjustRightInd/>
    </w:pPr>
  </w:style>
  <w:style w:type="paragraph" w:customStyle="1" w:styleId="195">
    <w:name w:val="Char5"/>
    <w:basedOn w:val="1"/>
    <w:qFormat/>
    <w:uiPriority w:val="0"/>
    <w:rPr>
      <w:rFonts w:ascii="仿宋_GB2312" w:eastAsia="仿宋_GB2312"/>
      <w:b/>
      <w:sz w:val="32"/>
      <w:szCs w:val="32"/>
    </w:rPr>
  </w:style>
  <w:style w:type="paragraph" w:customStyle="1" w:styleId="1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7">
    <w:name w:val="彩色列表 - 强调文字颜色 12"/>
    <w:basedOn w:val="1"/>
    <w:qFormat/>
    <w:uiPriority w:val="0"/>
    <w:pPr>
      <w:adjustRightInd/>
      <w:ind w:firstLine="420" w:firstLineChars="200"/>
    </w:pPr>
    <w:rPr>
      <w:rFonts w:ascii="Calibri" w:hAnsi="Calibri"/>
      <w:szCs w:val="22"/>
    </w:rPr>
  </w:style>
  <w:style w:type="paragraph" w:customStyle="1" w:styleId="1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2"/>
    <w:basedOn w:val="1"/>
    <w:qFormat/>
    <w:uiPriority w:val="0"/>
    <w:rPr>
      <w:rFonts w:ascii="仿宋_GB2312" w:eastAsia="仿宋_GB2312"/>
      <w:b/>
      <w:sz w:val="32"/>
      <w:szCs w:val="32"/>
    </w:rPr>
  </w:style>
  <w:style w:type="paragraph" w:customStyle="1" w:styleId="200">
    <w:name w:val="数字标题3"/>
    <w:basedOn w:val="4"/>
    <w:next w:val="1"/>
    <w:qFormat/>
    <w:uiPriority w:val="0"/>
    <w:pPr>
      <w:spacing w:line="240" w:lineRule="auto"/>
    </w:pPr>
    <w:rPr>
      <w:sz w:val="28"/>
      <w:szCs w:val="28"/>
    </w:rPr>
  </w:style>
  <w:style w:type="paragraph" w:customStyle="1" w:styleId="201">
    <w:name w:val="FA正文"/>
    <w:basedOn w:val="1"/>
    <w:qFormat/>
    <w:uiPriority w:val="0"/>
    <w:pPr>
      <w:spacing w:line="360" w:lineRule="auto"/>
      <w:ind w:firstLine="480" w:firstLineChars="200"/>
    </w:pPr>
    <w:rPr>
      <w:rFonts w:hAnsi="宋体"/>
      <w:sz w:val="24"/>
      <w:szCs w:val="20"/>
    </w:rPr>
  </w:style>
  <w:style w:type="paragraph" w:customStyle="1" w:styleId="202">
    <w:name w:val="MM Topic 5"/>
    <w:basedOn w:val="6"/>
    <w:qFormat/>
    <w:uiPriority w:val="0"/>
    <w:pPr>
      <w:tabs>
        <w:tab w:val="left" w:pos="2520"/>
        <w:tab w:val="clear" w:pos="1008"/>
      </w:tabs>
      <w:adjustRightInd/>
      <w:ind w:left="2520" w:hanging="420"/>
    </w:pPr>
  </w:style>
  <w:style w:type="paragraph" w:customStyle="1" w:styleId="203">
    <w:name w:val="Char Char Char Char Char Char Char Char Char Char1"/>
    <w:basedOn w:val="1"/>
    <w:qFormat/>
    <w:uiPriority w:val="0"/>
    <w:rPr>
      <w:rFonts w:ascii="仿宋_GB2312" w:eastAsia="仿宋_GB2312"/>
      <w:b/>
      <w:sz w:val="32"/>
      <w:szCs w:val="32"/>
    </w:rPr>
  </w:style>
  <w:style w:type="paragraph" w:customStyle="1" w:styleId="2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5">
    <w:name w:val="修订1"/>
    <w:qFormat/>
    <w:uiPriority w:val="3"/>
    <w:rPr>
      <w:rFonts w:ascii="Times New Roman" w:hAnsi="Times New Roman" w:eastAsia="宋体" w:cs="Times New Roman"/>
      <w:color w:val="000000"/>
      <w:kern w:val="1"/>
      <w:sz w:val="21"/>
      <w:lang w:val="en-US" w:eastAsia="zh-CN" w:bidi="ar-SA"/>
    </w:rPr>
  </w:style>
  <w:style w:type="paragraph" w:customStyle="1" w:styleId="206">
    <w:name w:val="Char2 Char Char Char"/>
    <w:basedOn w:val="1"/>
    <w:qFormat/>
    <w:uiPriority w:val="0"/>
    <w:rPr>
      <w:rFonts w:ascii="仿宋_GB2312" w:eastAsia="仿宋_GB2312"/>
      <w:b/>
      <w:sz w:val="32"/>
      <w:szCs w:val="32"/>
    </w:rPr>
  </w:style>
  <w:style w:type="paragraph" w:customStyle="1" w:styleId="207">
    <w:name w:val="Char2 Char Char Char1"/>
    <w:basedOn w:val="1"/>
    <w:qFormat/>
    <w:uiPriority w:val="6"/>
    <w:rPr>
      <w:rFonts w:ascii="仿宋_GB2312" w:eastAsia="仿宋_GB2312"/>
      <w:b/>
      <w:sz w:val="32"/>
      <w:szCs w:val="32"/>
    </w:rPr>
  </w:style>
  <w:style w:type="paragraph" w:customStyle="1" w:styleId="208">
    <w:name w:val="默认段落样式"/>
    <w:basedOn w:val="107"/>
    <w:qFormat/>
    <w:uiPriority w:val="0"/>
    <w:pPr>
      <w:spacing w:before="0"/>
      <w:ind w:firstLine="480"/>
      <w:outlineLvl w:val="2"/>
    </w:pPr>
    <w:rPr>
      <w:rFonts w:ascii="仿宋_GB2312" w:hAnsi="宋体" w:eastAsia="仿宋_GB2312"/>
      <w:color w:val="000000"/>
      <w:szCs w:val="24"/>
    </w:rPr>
  </w:style>
  <w:style w:type="paragraph" w:customStyle="1" w:styleId="209">
    <w:name w:val="图中文字"/>
    <w:basedOn w:val="1"/>
    <w:qFormat/>
    <w:uiPriority w:val="0"/>
    <w:pPr>
      <w:snapToGrid w:val="0"/>
      <w:spacing w:line="0" w:lineRule="atLeast"/>
      <w:ind w:firstLine="200" w:firstLineChars="200"/>
      <w:jc w:val="center"/>
    </w:pPr>
    <w:rPr>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MM Topic 3"/>
    <w:basedOn w:val="4"/>
    <w:qFormat/>
    <w:uiPriority w:val="0"/>
    <w:pPr>
      <w:tabs>
        <w:tab w:val="left" w:pos="1680"/>
        <w:tab w:val="clear" w:pos="900"/>
      </w:tabs>
      <w:adjustRightInd/>
      <w:ind w:left="1680" w:hanging="420"/>
    </w:pPr>
  </w:style>
  <w:style w:type="paragraph" w:customStyle="1" w:styleId="212">
    <w:name w:val="标准小四"/>
    <w:basedOn w:val="1"/>
    <w:qFormat/>
    <w:uiPriority w:val="0"/>
    <w:pPr>
      <w:spacing w:line="360" w:lineRule="auto"/>
      <w:ind w:firstLine="480" w:firstLineChars="200"/>
    </w:pPr>
    <w:rPr>
      <w:rFonts w:ascii="Arial" w:hAnsi="Arial"/>
      <w:sz w:val="24"/>
      <w:szCs w:val="21"/>
    </w:rPr>
  </w:style>
  <w:style w:type="paragraph" w:customStyle="1" w:styleId="2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14">
    <w:name w:val="表格（小）"/>
    <w:basedOn w:val="1"/>
    <w:qFormat/>
    <w:uiPriority w:val="0"/>
    <w:pPr>
      <w:adjustRightInd/>
      <w:snapToGrid w:val="0"/>
      <w:spacing w:line="300" w:lineRule="auto"/>
    </w:pPr>
    <w:rPr>
      <w:rFonts w:eastAsia="仿宋"/>
      <w:szCs w:val="21"/>
    </w:rPr>
  </w:style>
  <w:style w:type="paragraph" w:customStyle="1" w:styleId="2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2 Char Char1"/>
    <w:basedOn w:val="1"/>
    <w:qFormat/>
    <w:uiPriority w:val="6"/>
    <w:pPr>
      <w:adjustRightInd/>
    </w:pPr>
    <w:rPr>
      <w:rFonts w:ascii="Tahoma" w:hAnsi="Tahoma"/>
      <w:sz w:val="24"/>
      <w:szCs w:val="20"/>
    </w:rPr>
  </w:style>
  <w:style w:type="paragraph" w:customStyle="1" w:styleId="217">
    <w:name w:val="列出段落5"/>
    <w:basedOn w:val="1"/>
    <w:qFormat/>
    <w:uiPriority w:val="0"/>
    <w:pPr>
      <w:spacing w:line="360" w:lineRule="auto"/>
      <w:ind w:firstLine="200" w:firstLineChars="200"/>
    </w:pPr>
    <w:rPr>
      <w:rFonts w:eastAsia="楷体_GB2312" w:cs="Lucida Sans"/>
      <w:sz w:val="24"/>
    </w:rPr>
  </w:style>
  <w:style w:type="paragraph" w:customStyle="1" w:styleId="2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4">
    <w:name w:val="_Style 3"/>
    <w:basedOn w:val="1"/>
    <w:qFormat/>
    <w:uiPriority w:val="0"/>
    <w:pPr>
      <w:adjustRightInd/>
      <w:ind w:firstLine="420" w:firstLineChars="200"/>
    </w:pPr>
    <w:rPr>
      <w:rFonts w:eastAsia="仿宋_GB2312"/>
      <w:sz w:val="28"/>
    </w:rPr>
  </w:style>
  <w:style w:type="paragraph" w:customStyle="1" w:styleId="2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7">
    <w:name w:val="左对齐表格文字"/>
    <w:basedOn w:val="1"/>
    <w:qFormat/>
    <w:uiPriority w:val="0"/>
    <w:pPr>
      <w:adjustRightInd/>
      <w:ind w:firstLine="200" w:firstLineChars="200"/>
      <w:jc w:val="right"/>
    </w:pPr>
  </w:style>
  <w:style w:type="paragraph" w:customStyle="1" w:styleId="228">
    <w:name w:val="Char Char11 Char Char Char Char Char Char Char Char Char"/>
    <w:basedOn w:val="1"/>
    <w:qFormat/>
    <w:uiPriority w:val="0"/>
    <w:pPr>
      <w:spacing w:line="360" w:lineRule="auto"/>
    </w:pPr>
    <w:rPr>
      <w:szCs w:val="20"/>
    </w:rPr>
  </w:style>
  <w:style w:type="paragraph" w:customStyle="1" w:styleId="229">
    <w:name w:val="正文1.25"/>
    <w:basedOn w:val="1"/>
    <w:qFormat/>
    <w:uiPriority w:val="0"/>
    <w:pPr>
      <w:adjustRightInd/>
      <w:spacing w:line="300" w:lineRule="auto"/>
      <w:ind w:firstLine="480" w:firstLineChars="200"/>
    </w:pPr>
    <w:rPr>
      <w:sz w:val="24"/>
      <w:szCs w:val="20"/>
    </w:rPr>
  </w:style>
  <w:style w:type="paragraph" w:customStyle="1" w:styleId="2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3">
    <w:name w:val="Char Char1 Char Char Char1"/>
    <w:basedOn w:val="1"/>
    <w:qFormat/>
    <w:uiPriority w:val="6"/>
    <w:rPr>
      <w:rFonts w:ascii="仿宋_GB2312" w:eastAsia="仿宋_GB2312"/>
      <w:b/>
      <w:sz w:val="32"/>
      <w:szCs w:val="20"/>
    </w:rPr>
  </w:style>
  <w:style w:type="paragraph" w:customStyle="1" w:styleId="234">
    <w:name w:val="列出段落2"/>
    <w:basedOn w:val="1"/>
    <w:qFormat/>
    <w:uiPriority w:val="0"/>
    <w:pPr>
      <w:adjustRightInd/>
      <w:ind w:firstLine="420" w:firstLineChars="200"/>
    </w:pPr>
    <w:rPr>
      <w:rFonts w:ascii="宋体" w:hAnsi="宋体"/>
      <w:sz w:val="24"/>
    </w:rPr>
  </w:style>
  <w:style w:type="paragraph" w:customStyle="1" w:styleId="235">
    <w:name w:val="默认段落字体 Para Char Char Char Char Char Char Char"/>
    <w:basedOn w:val="1"/>
    <w:qFormat/>
    <w:uiPriority w:val="0"/>
    <w:rPr>
      <w:rFonts w:eastAsia="仿宋_GB2312"/>
      <w:sz w:val="28"/>
      <w:szCs w:val="20"/>
    </w:rPr>
  </w:style>
  <w:style w:type="paragraph" w:customStyle="1" w:styleId="2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7">
    <w:name w:val="样式 标题 4PIM 4H4h4bulletblbbH41H42H43H44H45H46H47H48...1"/>
    <w:basedOn w:val="5"/>
    <w:qFormat/>
    <w:uiPriority w:val="0"/>
    <w:pPr>
      <w:widowControl/>
      <w:jc w:val="left"/>
    </w:pPr>
    <w:rPr>
      <w:rFonts w:cs="宋体"/>
      <w:sz w:val="24"/>
      <w:szCs w:val="20"/>
    </w:rPr>
  </w:style>
  <w:style w:type="paragraph" w:customStyle="1" w:styleId="238">
    <w:name w:val="彩色列表 - 强调文字颜色 11"/>
    <w:basedOn w:val="1"/>
    <w:qFormat/>
    <w:uiPriority w:val="0"/>
    <w:pPr>
      <w:adjustRightInd/>
      <w:ind w:firstLine="420" w:firstLineChars="200"/>
    </w:pPr>
    <w:rPr>
      <w:rFonts w:ascii="Calibri" w:hAnsi="Calibri"/>
      <w:szCs w:val="22"/>
    </w:rPr>
  </w:style>
  <w:style w:type="paragraph" w:customStyle="1" w:styleId="239">
    <w:name w:val="加粗正文"/>
    <w:basedOn w:val="1"/>
    <w:qFormat/>
    <w:uiPriority w:val="0"/>
    <w:pPr>
      <w:adjustRightInd/>
      <w:spacing w:beforeLines="50" w:afterLines="50" w:line="360" w:lineRule="auto"/>
      <w:ind w:firstLine="422" w:firstLineChars="200"/>
    </w:pPr>
    <w:rPr>
      <w:b/>
      <w:bCs/>
      <w:szCs w:val="21"/>
    </w:rPr>
  </w:style>
  <w:style w:type="paragraph" w:customStyle="1" w:styleId="2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2">
    <w:name w:val="Char Char Char1 Char1"/>
    <w:basedOn w:val="1"/>
    <w:qFormat/>
    <w:uiPriority w:val="6"/>
    <w:rPr>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8">
    <w:name w:val="CM14"/>
    <w:basedOn w:val="94"/>
    <w:next w:val="94"/>
    <w:qFormat/>
    <w:uiPriority w:val="0"/>
    <w:pPr>
      <w:spacing w:after="68"/>
    </w:pPr>
    <w:rPr>
      <w:rFonts w:ascii="FHLHE E+ Futura Bk" w:eastAsia="FHLHE E+ Futura Bk" w:cs="Times New Roman"/>
      <w:color w:val="auto"/>
    </w:rPr>
  </w:style>
  <w:style w:type="paragraph" w:customStyle="1" w:styleId="2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2">
    <w:name w:val="正文文字 2"/>
    <w:basedOn w:val="94"/>
    <w:next w:val="94"/>
    <w:qFormat/>
    <w:uiPriority w:val="0"/>
    <w:rPr>
      <w:rFonts w:ascii="宋体" w:eastAsia="宋体" w:cs="Times New Roman"/>
      <w:color w:val="auto"/>
    </w:rPr>
  </w:style>
  <w:style w:type="paragraph" w:customStyle="1" w:styleId="2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4">
    <w:name w:val="Char Char1 Char"/>
    <w:basedOn w:val="1"/>
    <w:qFormat/>
    <w:uiPriority w:val="0"/>
    <w:rPr>
      <w:rFonts w:ascii="仿宋_GB2312" w:eastAsia="仿宋_GB2312"/>
      <w:b/>
      <w:sz w:val="32"/>
      <w:szCs w:val="32"/>
    </w:rPr>
  </w:style>
  <w:style w:type="paragraph" w:customStyle="1" w:styleId="2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7">
    <w:name w:val="Char Char111"/>
    <w:basedOn w:val="1"/>
    <w:qFormat/>
    <w:uiPriority w:val="0"/>
    <w:pPr>
      <w:spacing w:line="360" w:lineRule="auto"/>
    </w:pPr>
    <w:rPr>
      <w:szCs w:val="20"/>
    </w:rPr>
  </w:style>
  <w:style w:type="paragraph" w:customStyle="1" w:styleId="258">
    <w:name w:val="Char"/>
    <w:basedOn w:val="1"/>
    <w:qFormat/>
    <w:uiPriority w:val="0"/>
    <w:rPr>
      <w:rFonts w:ascii="仿宋_GB2312" w:eastAsia="仿宋_GB2312"/>
      <w:b/>
      <w:sz w:val="32"/>
      <w:szCs w:val="32"/>
    </w:rPr>
  </w:style>
  <w:style w:type="paragraph" w:customStyle="1" w:styleId="2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1">
    <w:name w:val="Char Char Char1 Char"/>
    <w:basedOn w:val="1"/>
    <w:qFormat/>
    <w:uiPriority w:val="0"/>
    <w:rPr>
      <w:szCs w:val="20"/>
    </w:rPr>
  </w:style>
  <w:style w:type="paragraph" w:customStyle="1" w:styleId="262">
    <w:name w:val="正文标准"/>
    <w:basedOn w:val="1"/>
    <w:qFormat/>
    <w:uiPriority w:val="0"/>
    <w:pPr>
      <w:adjustRightInd/>
      <w:spacing w:line="360" w:lineRule="auto"/>
      <w:ind w:firstLine="200" w:firstLineChars="200"/>
    </w:pPr>
    <w:rPr>
      <w:rFonts w:ascii="宋体" w:hAnsi="Calibri"/>
      <w:sz w:val="24"/>
    </w:rPr>
  </w:style>
  <w:style w:type="paragraph" w:customStyle="1" w:styleId="2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5">
    <w:name w:val="Char Char Char Char Char Char Char Char Char Char"/>
    <w:basedOn w:val="1"/>
    <w:qFormat/>
    <w:uiPriority w:val="0"/>
    <w:rPr>
      <w:rFonts w:ascii="仿宋_GB2312" w:eastAsia="仿宋_GB2312"/>
      <w:b/>
      <w:sz w:val="32"/>
      <w:szCs w:val="32"/>
    </w:rPr>
  </w:style>
  <w:style w:type="paragraph" w:customStyle="1" w:styleId="2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7">
    <w:name w:val="_正文段落"/>
    <w:basedOn w:val="1"/>
    <w:qFormat/>
    <w:uiPriority w:val="0"/>
    <w:pPr>
      <w:adjustRightInd/>
      <w:ind w:firstLine="560"/>
    </w:pPr>
    <w:rPr>
      <w:rFonts w:ascii="仿宋_GB2312" w:hAnsi="仿宋" w:eastAsia="仿宋_GB2312"/>
      <w:kern w:val="0"/>
      <w:sz w:val="28"/>
      <w:szCs w:val="28"/>
    </w:rPr>
  </w:style>
  <w:style w:type="paragraph" w:customStyle="1" w:styleId="2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4">
    <w:name w:val="Char Char Char1 Char2"/>
    <w:basedOn w:val="1"/>
    <w:qFormat/>
    <w:uiPriority w:val="0"/>
    <w:rPr>
      <w:szCs w:val="20"/>
    </w:rPr>
  </w:style>
  <w:style w:type="paragraph" w:customStyle="1" w:styleId="2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6">
    <w:name w:val="默认段落字体 Para Char"/>
    <w:basedOn w:val="1"/>
    <w:qFormat/>
    <w:uiPriority w:val="0"/>
    <w:rPr>
      <w:rFonts w:ascii="Tahoma" w:hAnsi="Tahoma"/>
      <w:sz w:val="24"/>
      <w:szCs w:val="20"/>
    </w:rPr>
  </w:style>
  <w:style w:type="paragraph" w:customStyle="1" w:styleId="287">
    <w:name w:val="标题五"/>
    <w:basedOn w:val="1"/>
    <w:qFormat/>
    <w:uiPriority w:val="0"/>
    <w:pPr>
      <w:adjustRightInd/>
      <w:spacing w:beforeLines="50" w:line="360" w:lineRule="auto"/>
    </w:pPr>
    <w:rPr>
      <w:b/>
      <w:sz w:val="24"/>
    </w:rPr>
  </w:style>
  <w:style w:type="paragraph" w:customStyle="1" w:styleId="288">
    <w:name w:val="Char Char1101"/>
    <w:basedOn w:val="1"/>
    <w:qFormat/>
    <w:uiPriority w:val="0"/>
    <w:pPr>
      <w:spacing w:line="360" w:lineRule="auto"/>
    </w:pPr>
    <w:rPr>
      <w:rFonts w:ascii="Tahoma" w:hAnsi="Tahoma"/>
      <w:sz w:val="24"/>
      <w:szCs w:val="20"/>
    </w:rPr>
  </w:style>
  <w:style w:type="paragraph" w:customStyle="1" w:styleId="289">
    <w:name w:val="Char Char Char Char Char Char Char Char1"/>
    <w:basedOn w:val="1"/>
    <w:qFormat/>
    <w:uiPriority w:val="0"/>
    <w:pPr>
      <w:tabs>
        <w:tab w:val="left" w:pos="360"/>
      </w:tabs>
    </w:pPr>
    <w:rPr>
      <w:sz w:val="24"/>
      <w:szCs w:val="20"/>
    </w:rPr>
  </w:style>
  <w:style w:type="paragraph" w:customStyle="1" w:styleId="290">
    <w:name w:val="Char Char Char 字元 字元"/>
    <w:basedOn w:val="1"/>
    <w:qFormat/>
    <w:uiPriority w:val="0"/>
    <w:pPr>
      <w:adjustRightInd/>
      <w:spacing w:line="360" w:lineRule="auto"/>
      <w:ind w:firstLine="200" w:firstLineChars="200"/>
    </w:pPr>
    <w:rPr>
      <w:szCs w:val="20"/>
    </w:rPr>
  </w:style>
  <w:style w:type="paragraph" w:customStyle="1" w:styleId="2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Char Char Char Char Char Char Char"/>
    <w:basedOn w:val="1"/>
    <w:qFormat/>
    <w:uiPriority w:val="0"/>
    <w:rPr>
      <w:rFonts w:ascii="仿宋_GB2312" w:eastAsia="仿宋_GB2312"/>
      <w:b/>
      <w:sz w:val="32"/>
      <w:szCs w:val="32"/>
    </w:rPr>
  </w:style>
  <w:style w:type="paragraph" w:customStyle="1" w:styleId="2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97">
    <w:name w:val="批注框文本 Char Char"/>
    <w:basedOn w:val="1"/>
    <w:qFormat/>
    <w:uiPriority w:val="0"/>
    <w:pPr>
      <w:adjustRightInd/>
    </w:pPr>
    <w:rPr>
      <w:sz w:val="18"/>
      <w:szCs w:val="20"/>
    </w:rPr>
  </w:style>
  <w:style w:type="paragraph" w:customStyle="1" w:styleId="2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2">
    <w:name w:val="索引 11"/>
    <w:basedOn w:val="1"/>
    <w:next w:val="1"/>
    <w:qFormat/>
    <w:uiPriority w:val="99"/>
    <w:pPr>
      <w:adjustRightInd/>
      <w:spacing w:line="360" w:lineRule="auto"/>
    </w:pPr>
    <w:rPr>
      <w:rFonts w:ascii="仿宋_GB2312" w:eastAsia="仿宋_GB2312"/>
      <w:sz w:val="24"/>
      <w:szCs w:val="20"/>
    </w:rPr>
  </w:style>
  <w:style w:type="paragraph" w:customStyle="1" w:styleId="3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6">
    <w:name w:val="文档正文"/>
    <w:basedOn w:val="1"/>
    <w:qFormat/>
    <w:uiPriority w:val="0"/>
    <w:pPr>
      <w:spacing w:line="480" w:lineRule="atLeast"/>
      <w:ind w:firstLine="567"/>
      <w:textAlignment w:val="baseline"/>
    </w:pPr>
    <w:rPr>
      <w:kern w:val="0"/>
      <w:sz w:val="24"/>
      <w:szCs w:val="20"/>
    </w:rPr>
  </w:style>
  <w:style w:type="paragraph" w:customStyle="1" w:styleId="307">
    <w:name w:val="正文文字表格居中"/>
    <w:basedOn w:val="1"/>
    <w:next w:val="56"/>
    <w:qFormat/>
    <w:uiPriority w:val="0"/>
    <w:pPr>
      <w:snapToGrid w:val="0"/>
      <w:spacing w:line="360" w:lineRule="auto"/>
    </w:pPr>
    <w:rPr>
      <w:rFonts w:ascii="宋体"/>
      <w:b/>
      <w:sz w:val="24"/>
      <w:szCs w:val="20"/>
    </w:rPr>
  </w:style>
  <w:style w:type="paragraph" w:customStyle="1" w:styleId="3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0">
    <w:name w:val="Plain Text1"/>
    <w:basedOn w:val="1"/>
    <w:qFormat/>
    <w:uiPriority w:val="7"/>
    <w:pPr>
      <w:adjustRightInd/>
    </w:pPr>
    <w:rPr>
      <w:rFonts w:ascii="宋体" w:hAnsi="Courier New"/>
    </w:rPr>
  </w:style>
  <w:style w:type="paragraph" w:customStyle="1" w:styleId="311">
    <w:name w:val="Char3"/>
    <w:basedOn w:val="1"/>
    <w:qFormat/>
    <w:uiPriority w:val="0"/>
    <w:pPr>
      <w:adjustRightInd/>
    </w:pPr>
    <w:rPr>
      <w:rFonts w:ascii="仿宋_GB2312" w:eastAsia="仿宋_GB2312"/>
      <w:b/>
      <w:sz w:val="32"/>
      <w:szCs w:val="32"/>
    </w:rPr>
  </w:style>
  <w:style w:type="paragraph" w:customStyle="1" w:styleId="3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5">
    <w:name w:val="List Paragraph1"/>
    <w:basedOn w:val="1"/>
    <w:qFormat/>
    <w:uiPriority w:val="0"/>
    <w:pPr>
      <w:spacing w:line="360" w:lineRule="auto"/>
      <w:ind w:firstLine="200" w:firstLineChars="200"/>
    </w:pPr>
    <w:rPr>
      <w:rFonts w:eastAsia="楷体_GB2312" w:cs="Lucida Sans"/>
      <w:sz w:val="24"/>
    </w:rPr>
  </w:style>
  <w:style w:type="paragraph" w:customStyle="1" w:styleId="3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9">
    <w:name w:val="Char3 Char Char Char"/>
    <w:basedOn w:val="1"/>
    <w:qFormat/>
    <w:uiPriority w:val="0"/>
    <w:pPr>
      <w:widowControl/>
      <w:adjustRightInd/>
      <w:spacing w:after="160" w:line="240" w:lineRule="exact"/>
      <w:jc w:val="left"/>
    </w:pPr>
    <w:rPr>
      <w:szCs w:val="20"/>
    </w:rPr>
  </w:style>
  <w:style w:type="paragraph" w:customStyle="1" w:styleId="320">
    <w:name w:val="表格标题2"/>
    <w:basedOn w:val="321"/>
    <w:qFormat/>
    <w:uiPriority w:val="0"/>
    <w:rPr>
      <w:b/>
    </w:rPr>
  </w:style>
  <w:style w:type="paragraph" w:customStyle="1" w:styleId="321">
    <w:name w:val="表格内文"/>
    <w:basedOn w:val="1"/>
    <w:qFormat/>
    <w:uiPriority w:val="0"/>
    <w:pPr>
      <w:adjustRightInd/>
      <w:spacing w:line="360" w:lineRule="auto"/>
    </w:pPr>
    <w:rPr>
      <w:rFonts w:ascii="宋体" w:hAnsi="宋体" w:cs="宋体"/>
      <w:color w:val="000000"/>
      <w:szCs w:val="20"/>
    </w:rPr>
  </w:style>
  <w:style w:type="paragraph" w:customStyle="1" w:styleId="322">
    <w:name w:val="Char Char Char Char Char Char Char Char Char Char2"/>
    <w:basedOn w:val="1"/>
    <w:qFormat/>
    <w:uiPriority w:val="0"/>
    <w:rPr>
      <w:rFonts w:ascii="仿宋_GB2312" w:eastAsia="仿宋_GB2312"/>
      <w:b/>
      <w:sz w:val="32"/>
      <w:szCs w:val="32"/>
    </w:rPr>
  </w:style>
  <w:style w:type="paragraph" w:customStyle="1" w:styleId="3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5">
    <w:name w:val="Char Char11 Char Char Char Char Char Char Char Char Char11"/>
    <w:basedOn w:val="1"/>
    <w:qFormat/>
    <w:uiPriority w:val="0"/>
    <w:pPr>
      <w:spacing w:line="360" w:lineRule="auto"/>
    </w:pPr>
    <w:rPr>
      <w:szCs w:val="20"/>
    </w:rPr>
  </w:style>
  <w:style w:type="paragraph" w:customStyle="1" w:styleId="3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8">
    <w:name w:val="MM Topic 1"/>
    <w:basedOn w:val="2"/>
    <w:qFormat/>
    <w:uiPriority w:val="0"/>
    <w:pPr>
      <w:tabs>
        <w:tab w:val="left" w:pos="840"/>
        <w:tab w:val="clear" w:pos="432"/>
      </w:tabs>
      <w:adjustRightInd/>
      <w:ind w:left="840" w:hanging="420"/>
    </w:pPr>
  </w:style>
  <w:style w:type="paragraph" w:customStyle="1" w:styleId="3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表格"/>
    <w:basedOn w:val="1"/>
    <w:qFormat/>
    <w:uiPriority w:val="0"/>
    <w:pPr>
      <w:snapToGrid w:val="0"/>
      <w:ind w:firstLine="42" w:firstLineChars="21"/>
    </w:pPr>
    <w:rPr>
      <w:rFonts w:ascii="宋体" w:hAnsi="宋体"/>
      <w:kern w:val="0"/>
      <w:sz w:val="20"/>
      <w:szCs w:val="20"/>
    </w:rPr>
  </w:style>
  <w:style w:type="paragraph" w:customStyle="1" w:styleId="33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6">
    <w:name w:val="EB_表格"/>
    <w:basedOn w:val="1"/>
    <w:qFormat/>
    <w:uiPriority w:val="0"/>
    <w:pPr>
      <w:adjustRightInd/>
      <w:spacing w:line="300" w:lineRule="auto"/>
      <w:jc w:val="center"/>
    </w:pPr>
  </w:style>
  <w:style w:type="paragraph" w:customStyle="1" w:styleId="337">
    <w:name w:val="_Style 6"/>
    <w:basedOn w:val="1"/>
    <w:qFormat/>
    <w:uiPriority w:val="34"/>
    <w:pPr>
      <w:adjustRightInd/>
      <w:ind w:firstLine="420" w:firstLineChars="200"/>
    </w:pPr>
    <w:rPr>
      <w:rFonts w:eastAsia="仿宋_GB2312"/>
      <w:sz w:val="28"/>
    </w:rPr>
  </w:style>
  <w:style w:type="paragraph" w:customStyle="1" w:styleId="3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2">
    <w:name w:val="正文表标题"/>
    <w:next w:val="3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5">
    <w:name w:val="trademark"/>
    <w:qFormat/>
    <w:uiPriority w:val="0"/>
    <w:pPr>
      <w:spacing w:after="60"/>
    </w:pPr>
    <w:rPr>
      <w:rFonts w:ascii="Futura Bk" w:hAnsi="Futura Bk" w:eastAsia="宋体" w:cs="Times New Roman"/>
      <w:sz w:val="15"/>
      <w:lang w:val="en-US" w:eastAsia="en-US" w:bidi="ar-SA"/>
    </w:rPr>
  </w:style>
  <w:style w:type="paragraph" w:customStyle="1" w:styleId="3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7">
    <w:name w:val="Char Char1 Char Char Char Char Char Char1"/>
    <w:basedOn w:val="1"/>
    <w:qFormat/>
    <w:uiPriority w:val="0"/>
    <w:rPr>
      <w:rFonts w:ascii="仿宋_GB2312" w:eastAsia="仿宋_GB2312"/>
      <w:b/>
      <w:sz w:val="32"/>
      <w:szCs w:val="20"/>
    </w:rPr>
  </w:style>
  <w:style w:type="paragraph" w:customStyle="1" w:styleId="3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9">
    <w:name w:val="Char1 Char Char Char1"/>
    <w:basedOn w:val="1"/>
    <w:qFormat/>
    <w:uiPriority w:val="0"/>
    <w:pPr>
      <w:adjustRightInd/>
      <w:ind w:firstLine="200" w:firstLineChars="200"/>
    </w:pPr>
    <w:rPr>
      <w:rFonts w:ascii="Tahoma" w:hAnsi="Tahoma"/>
      <w:sz w:val="24"/>
      <w:szCs w:val="20"/>
    </w:rPr>
  </w:style>
  <w:style w:type="paragraph" w:customStyle="1" w:styleId="350">
    <w:name w:val="a1"/>
    <w:basedOn w:val="1"/>
    <w:qFormat/>
    <w:uiPriority w:val="0"/>
    <w:pPr>
      <w:widowControl/>
      <w:spacing w:line="300" w:lineRule="atLeast"/>
      <w:jc w:val="left"/>
    </w:pPr>
    <w:rPr>
      <w:rFonts w:ascii="宋体" w:hAnsi="宋体"/>
      <w:kern w:val="0"/>
      <w:sz w:val="18"/>
      <w:szCs w:val="20"/>
    </w:rPr>
  </w:style>
  <w:style w:type="paragraph" w:customStyle="1" w:styleId="351">
    <w:name w:val="样式7"/>
    <w:basedOn w:val="352"/>
    <w:next w:val="1"/>
    <w:qFormat/>
    <w:uiPriority w:val="0"/>
    <w:pPr>
      <w:spacing w:afterLines="50"/>
      <w:jc w:val="left"/>
      <w:outlineLvl w:val="3"/>
    </w:pPr>
    <w:rPr>
      <w:sz w:val="24"/>
      <w:szCs w:val="24"/>
    </w:rPr>
  </w:style>
  <w:style w:type="paragraph" w:customStyle="1" w:styleId="3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5">
    <w:name w:val="样式 样式2 + 左侧:  1 字符 右侧:  1 字符"/>
    <w:basedOn w:val="16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6">
    <w:name w:val="Char2 Char Char2"/>
    <w:basedOn w:val="1"/>
    <w:qFormat/>
    <w:uiPriority w:val="0"/>
    <w:pPr>
      <w:adjustRightInd/>
    </w:pPr>
    <w:rPr>
      <w:rFonts w:ascii="Tahoma" w:hAnsi="Tahoma"/>
      <w:sz w:val="24"/>
      <w:szCs w:val="20"/>
    </w:rPr>
  </w:style>
  <w:style w:type="paragraph" w:customStyle="1" w:styleId="3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8">
    <w:name w:val="三级条标题"/>
    <w:basedOn w:val="359"/>
    <w:next w:val="343"/>
    <w:qFormat/>
    <w:uiPriority w:val="0"/>
    <w:pPr>
      <w:tabs>
        <w:tab w:val="left" w:pos="1260"/>
        <w:tab w:val="left" w:pos="1680"/>
        <w:tab w:val="left" w:pos="2100"/>
        <w:tab w:val="left" w:pos="2520"/>
      </w:tabs>
      <w:ind w:left="2520"/>
      <w:outlineLvl w:val="4"/>
    </w:pPr>
  </w:style>
  <w:style w:type="paragraph" w:customStyle="1" w:styleId="359">
    <w:name w:val="二级条标题"/>
    <w:basedOn w:val="360"/>
    <w:next w:val="343"/>
    <w:qFormat/>
    <w:uiPriority w:val="0"/>
    <w:pPr>
      <w:tabs>
        <w:tab w:val="left" w:pos="1260"/>
        <w:tab w:val="left" w:pos="1680"/>
        <w:tab w:val="left" w:pos="2100"/>
      </w:tabs>
      <w:ind w:left="0"/>
      <w:outlineLvl w:val="3"/>
    </w:pPr>
  </w:style>
  <w:style w:type="paragraph" w:customStyle="1" w:styleId="360">
    <w:name w:val="一级条标题"/>
    <w:basedOn w:val="361"/>
    <w:next w:val="343"/>
    <w:qFormat/>
    <w:uiPriority w:val="0"/>
    <w:pPr>
      <w:tabs>
        <w:tab w:val="left" w:pos="1260"/>
        <w:tab w:val="left" w:pos="1680"/>
      </w:tabs>
      <w:spacing w:beforeLines="0" w:afterLines="0"/>
      <w:ind w:left="1680"/>
      <w:outlineLvl w:val="2"/>
    </w:pPr>
  </w:style>
  <w:style w:type="paragraph" w:customStyle="1" w:styleId="361">
    <w:name w:val="章标题"/>
    <w:next w:val="3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8">
    <w:name w:val="正文 项目2"/>
    <w:basedOn w:val="369"/>
    <w:qFormat/>
    <w:uiPriority w:val="0"/>
    <w:pPr>
      <w:tabs>
        <w:tab w:val="left" w:pos="840"/>
      </w:tabs>
      <w:spacing w:after="0"/>
      <w:ind w:left="900"/>
    </w:pPr>
  </w:style>
  <w:style w:type="paragraph" w:customStyle="1" w:styleId="3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0">
    <w:name w:val="Body Text 2*"/>
    <w:basedOn w:val="1"/>
    <w:qFormat/>
    <w:uiPriority w:val="6"/>
    <w:pPr>
      <w:widowControl/>
      <w:adjustRightInd/>
      <w:ind w:left="720" w:hanging="720"/>
    </w:pPr>
    <w:rPr>
      <w:color w:val="000000"/>
      <w:kern w:val="0"/>
      <w:sz w:val="24"/>
      <w:szCs w:val="20"/>
    </w:rPr>
  </w:style>
  <w:style w:type="paragraph" w:customStyle="1" w:styleId="371">
    <w:name w:val="表1"/>
    <w:basedOn w:val="1"/>
    <w:qFormat/>
    <w:uiPriority w:val="0"/>
    <w:pPr>
      <w:tabs>
        <w:tab w:val="left" w:pos="703"/>
      </w:tabs>
      <w:adjustRightInd/>
      <w:spacing w:line="360" w:lineRule="auto"/>
      <w:ind w:left="703"/>
      <w:jc w:val="center"/>
    </w:pPr>
  </w:style>
  <w:style w:type="paragraph" w:customStyle="1" w:styleId="3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5"/>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Lines="50"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38"/>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4"/>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23"/>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3"/>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8"/>
    <w:next w:val="343"/>
    <w:qFormat/>
    <w:uiPriority w:val="0"/>
    <w:pPr>
      <w:tabs>
        <w:tab w:val="left" w:pos="294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7"/>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44">
    <w:name w:val="Char Char1 Char Char Char Char Char Char"/>
    <w:basedOn w:val="1"/>
    <w:qFormat/>
    <w:uiPriority w:val="0"/>
    <w:rPr>
      <w:rFonts w:ascii="仿宋_GB2312" w:eastAsia="仿宋_GB2312"/>
      <w:b/>
      <w:sz w:val="32"/>
      <w:szCs w:val="20"/>
    </w:rPr>
  </w:style>
  <w:style w:type="paragraph" w:customStyle="1" w:styleId="5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6">
    <w:name w:val="Char Char1 Char Char Char Char Char Char2"/>
    <w:basedOn w:val="1"/>
    <w:qFormat/>
    <w:uiPriority w:val="0"/>
    <w:rPr>
      <w:rFonts w:ascii="仿宋_GB2312" w:eastAsia="仿宋_GB2312"/>
      <w:b/>
      <w:sz w:val="32"/>
      <w:szCs w:val="20"/>
    </w:rPr>
  </w:style>
  <w:style w:type="paragraph" w:customStyle="1" w:styleId="5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6">
    <w:name w:val="Char31"/>
    <w:basedOn w:val="1"/>
    <w:qFormat/>
    <w:uiPriority w:val="0"/>
    <w:pPr>
      <w:adjustRightInd/>
    </w:pPr>
    <w:rPr>
      <w:rFonts w:ascii="仿宋_GB2312" w:eastAsia="仿宋_GB2312"/>
      <w:b/>
      <w:sz w:val="32"/>
      <w:szCs w:val="32"/>
    </w:rPr>
  </w:style>
  <w:style w:type="paragraph" w:customStyle="1" w:styleId="5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0">
    <w:name w:val="Char Char1"/>
    <w:basedOn w:val="1"/>
    <w:qFormat/>
    <w:uiPriority w:val="0"/>
    <w:pPr>
      <w:widowControl/>
      <w:spacing w:after="160" w:line="240" w:lineRule="exact"/>
      <w:jc w:val="left"/>
    </w:pPr>
    <w:rPr>
      <w:rFonts w:eastAsia="仿宋_GB2312"/>
      <w:sz w:val="28"/>
    </w:rPr>
  </w:style>
  <w:style w:type="paragraph" w:customStyle="1" w:styleId="561">
    <w:name w:val="Char21"/>
    <w:basedOn w:val="1"/>
    <w:qFormat/>
    <w:uiPriority w:val="0"/>
    <w:pPr>
      <w:adjustRightInd/>
      <w:ind w:firstLine="200" w:firstLineChars="200"/>
    </w:pPr>
    <w:rPr>
      <w:rFonts w:ascii="仿宋_GB2312" w:eastAsia="仿宋_GB2312"/>
      <w:b/>
      <w:sz w:val="32"/>
      <w:szCs w:val="32"/>
    </w:rPr>
  </w:style>
  <w:style w:type="paragraph" w:customStyle="1" w:styleId="562">
    <w:name w:val="列表段落11"/>
    <w:basedOn w:val="1"/>
    <w:qFormat/>
    <w:uiPriority w:val="34"/>
    <w:pPr>
      <w:adjustRightInd/>
      <w:ind w:right="238" w:firstLine="420"/>
    </w:pPr>
    <w:rPr>
      <w:rFonts w:ascii="Calibri" w:hAnsi="Calibri"/>
      <w:sz w:val="24"/>
    </w:rPr>
  </w:style>
  <w:style w:type="paragraph" w:customStyle="1" w:styleId="563">
    <w:name w:val="Char Char110"/>
    <w:basedOn w:val="1"/>
    <w:qFormat/>
    <w:uiPriority w:val="6"/>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3">
    <w:name w:val="_Style 12"/>
    <w:basedOn w:val="18"/>
    <w:qFormat/>
    <w:uiPriority w:val="0"/>
    <w:pPr>
      <w:snapToGrid w:val="0"/>
      <w:spacing w:line="360" w:lineRule="auto"/>
    </w:pPr>
  </w:style>
  <w:style w:type="paragraph" w:customStyle="1" w:styleId="5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6">
    <w:name w:val="_Style 94"/>
    <w:basedOn w:val="1"/>
    <w:next w:val="121"/>
    <w:qFormat/>
    <w:uiPriority w:val="34"/>
    <w:pPr>
      <w:adjustRightInd/>
      <w:spacing w:line="360" w:lineRule="auto"/>
      <w:ind w:firstLine="200" w:firstLineChars="200"/>
    </w:pPr>
    <w:rPr>
      <w:rFonts w:ascii="Calibri" w:hAnsi="Calibri"/>
      <w:sz w:val="28"/>
      <w:szCs w:val="20"/>
    </w:rPr>
  </w:style>
  <w:style w:type="paragraph" w:customStyle="1" w:styleId="5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0">
    <w:name w:val="3级标题"/>
    <w:basedOn w:val="374"/>
    <w:qFormat/>
    <w:uiPriority w:val="0"/>
    <w:pPr>
      <w:outlineLvl w:val="2"/>
    </w:pPr>
  </w:style>
  <w:style w:type="paragraph" w:customStyle="1" w:styleId="5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2">
    <w:name w:val="Char1 Char Char Char3"/>
    <w:basedOn w:val="1"/>
    <w:qFormat/>
    <w:uiPriority w:val="0"/>
    <w:pPr>
      <w:adjustRightInd/>
      <w:ind w:firstLine="200" w:firstLineChars="200"/>
    </w:pPr>
    <w:rPr>
      <w:rFonts w:ascii="Tahoma" w:hAnsi="Tahoma"/>
      <w:sz w:val="24"/>
      <w:szCs w:val="20"/>
    </w:rPr>
  </w:style>
  <w:style w:type="paragraph" w:customStyle="1" w:styleId="5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4">
    <w:name w:val="MM Empty"/>
    <w:basedOn w:val="1"/>
    <w:qFormat/>
    <w:uiPriority w:val="0"/>
    <w:pPr>
      <w:adjustRightInd/>
    </w:pPr>
  </w:style>
  <w:style w:type="paragraph" w:customStyle="1" w:styleId="585">
    <w:name w:val="Char24"/>
    <w:basedOn w:val="1"/>
    <w:qFormat/>
    <w:uiPriority w:val="0"/>
    <w:rPr>
      <w:rFonts w:ascii="仿宋_GB2312" w:eastAsia="仿宋_GB2312"/>
      <w:b/>
      <w:sz w:val="32"/>
      <w:szCs w:val="32"/>
    </w:rPr>
  </w:style>
  <w:style w:type="paragraph" w:customStyle="1" w:styleId="586">
    <w:name w:val="正文箭头"/>
    <w:basedOn w:val="241"/>
    <w:qFormat/>
    <w:uiPriority w:val="0"/>
  </w:style>
  <w:style w:type="paragraph" w:customStyle="1" w:styleId="587">
    <w:name w:val="U_编号2"/>
    <w:basedOn w:val="1"/>
    <w:qFormat/>
    <w:uiPriority w:val="0"/>
    <w:pPr>
      <w:tabs>
        <w:tab w:val="left" w:pos="785"/>
      </w:tabs>
      <w:adjustRightInd/>
      <w:spacing w:beforeLines="10" w:afterLines="10" w:line="300" w:lineRule="auto"/>
    </w:pPr>
    <w:rPr>
      <w:sz w:val="24"/>
    </w:rPr>
  </w:style>
  <w:style w:type="paragraph" w:customStyle="1" w:styleId="5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2">
    <w:name w:val="_Style 1"/>
    <w:basedOn w:val="1"/>
    <w:qFormat/>
    <w:uiPriority w:val="34"/>
    <w:pPr>
      <w:adjustRightInd/>
      <w:ind w:firstLine="420" w:firstLineChars="200"/>
    </w:pPr>
    <w:rPr>
      <w:rFonts w:eastAsia="仿宋_GB2312"/>
      <w:sz w:val="28"/>
    </w:rPr>
  </w:style>
  <w:style w:type="paragraph" w:customStyle="1" w:styleId="593">
    <w:name w:val="表格 内容"/>
    <w:basedOn w:val="430"/>
    <w:qFormat/>
    <w:uiPriority w:val="0"/>
    <w:rPr>
      <w:b w:val="0"/>
      <w:sz w:val="20"/>
    </w:rPr>
  </w:style>
  <w:style w:type="paragraph" w:customStyle="1" w:styleId="5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6">
    <w:name w:val="数字标题5"/>
    <w:basedOn w:val="6"/>
    <w:next w:val="1"/>
    <w:qFormat/>
    <w:uiPriority w:val="0"/>
    <w:pPr>
      <w:tabs>
        <w:tab w:val="left" w:pos="1080"/>
        <w:tab w:val="clear" w:pos="1008"/>
      </w:tabs>
      <w:ind w:left="1080" w:hanging="1080"/>
    </w:pPr>
  </w:style>
  <w:style w:type="paragraph" w:customStyle="1" w:styleId="597">
    <w:name w:val="数字标题1"/>
    <w:basedOn w:val="2"/>
    <w:next w:val="1"/>
    <w:qFormat/>
    <w:uiPriority w:val="0"/>
    <w:pPr>
      <w:tabs>
        <w:tab w:val="left" w:pos="480"/>
        <w:tab w:val="clear" w:pos="432"/>
      </w:tabs>
      <w:ind w:left="480" w:hanging="480"/>
    </w:pPr>
  </w:style>
  <w:style w:type="paragraph" w:customStyle="1" w:styleId="5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4">
    <w:name w:val="0"/>
    <w:basedOn w:val="1"/>
    <w:qFormat/>
    <w:uiPriority w:val="0"/>
    <w:pPr>
      <w:widowControl/>
    </w:pPr>
    <w:rPr>
      <w:kern w:val="0"/>
      <w:sz w:val="24"/>
      <w:szCs w:val="20"/>
    </w:rPr>
  </w:style>
  <w:style w:type="paragraph" w:customStyle="1" w:styleId="605">
    <w:name w:val="Char Char113"/>
    <w:basedOn w:val="1"/>
    <w:qFormat/>
    <w:uiPriority w:val="0"/>
    <w:pPr>
      <w:widowControl/>
      <w:spacing w:after="160" w:line="240" w:lineRule="exact"/>
      <w:jc w:val="left"/>
    </w:pPr>
    <w:rPr>
      <w:rFonts w:eastAsia="仿宋_GB2312"/>
      <w:sz w:val="28"/>
    </w:rPr>
  </w:style>
  <w:style w:type="paragraph" w:customStyle="1" w:styleId="6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7">
    <w:name w:val="_Style 8"/>
    <w:basedOn w:val="1"/>
    <w:qFormat/>
    <w:uiPriority w:val="34"/>
    <w:pPr>
      <w:adjustRightInd/>
      <w:ind w:firstLine="420" w:firstLineChars="200"/>
    </w:pPr>
    <w:rPr>
      <w:rFonts w:eastAsia="仿宋_GB2312"/>
      <w:sz w:val="28"/>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3">
    <w:name w:val="Char Char112"/>
    <w:basedOn w:val="1"/>
    <w:qFormat/>
    <w:uiPriority w:val="6"/>
    <w:pPr>
      <w:widowControl/>
      <w:spacing w:after="160" w:line="240" w:lineRule="exact"/>
      <w:jc w:val="left"/>
    </w:pPr>
    <w:rPr>
      <w:rFonts w:eastAsia="仿宋_GB2312"/>
      <w:sz w:val="28"/>
    </w:rPr>
  </w:style>
  <w:style w:type="paragraph" w:customStyle="1" w:styleId="614">
    <w:name w:val="正文 图"/>
    <w:basedOn w:val="147"/>
    <w:qFormat/>
    <w:uiPriority w:val="0"/>
    <w:pPr>
      <w:adjustRightInd/>
      <w:spacing w:before="0"/>
      <w:ind w:firstLine="0"/>
      <w:jc w:val="center"/>
    </w:pPr>
    <w:rPr>
      <w:rFonts w:ascii="微软雅黑" w:hAnsi="微软雅黑"/>
    </w:rPr>
  </w:style>
  <w:style w:type="paragraph" w:customStyle="1" w:styleId="6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7">
    <w:name w:val="Thf"/>
    <w:basedOn w:val="265"/>
    <w:qFormat/>
    <w:uiPriority w:val="0"/>
    <w:pPr>
      <w:ind w:left="0"/>
    </w:pPr>
  </w:style>
  <w:style w:type="paragraph" w:customStyle="1" w:styleId="6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列出段落111"/>
    <w:basedOn w:val="1"/>
    <w:qFormat/>
    <w:uiPriority w:val="34"/>
    <w:pPr>
      <w:ind w:firstLine="420" w:firstLineChars="200"/>
    </w:pPr>
  </w:style>
  <w:style w:type="paragraph" w:customStyle="1" w:styleId="622">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23">
    <w:name w:val="_Style 947"/>
    <w:basedOn w:val="1"/>
    <w:next w:val="121"/>
    <w:qFormat/>
    <w:uiPriority w:val="34"/>
    <w:pPr>
      <w:adjustRightInd/>
      <w:ind w:firstLine="420" w:firstLineChars="200"/>
    </w:pPr>
  </w:style>
  <w:style w:type="paragraph" w:customStyle="1" w:styleId="62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5">
    <w:name w:val="纯文本2"/>
    <w:basedOn w:val="1"/>
    <w:qFormat/>
    <w:uiPriority w:val="0"/>
    <w:pPr>
      <w:adjustRightInd/>
      <w:snapToGrid w:val="0"/>
      <w:jc w:val="left"/>
    </w:pPr>
    <w:rPr>
      <w:rFonts w:ascii="Century Gothic" w:hAnsi="楷体_GB2312" w:eastAsia="Century Gothic"/>
      <w:szCs w:val="20"/>
    </w:rPr>
  </w:style>
  <w:style w:type="paragraph" w:customStyle="1" w:styleId="62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9">
    <w:name w:val="Blockquote"/>
    <w:basedOn w:val="1"/>
    <w:qFormat/>
    <w:uiPriority w:val="0"/>
    <w:pPr>
      <w:autoSpaceDE w:val="0"/>
      <w:autoSpaceDN w:val="0"/>
      <w:spacing w:before="100" w:after="100"/>
      <w:ind w:left="360" w:right="360"/>
      <w:jc w:val="left"/>
    </w:pPr>
    <w:rPr>
      <w:kern w:val="0"/>
      <w:sz w:val="24"/>
      <w:szCs w:val="20"/>
    </w:rPr>
  </w:style>
  <w:style w:type="paragraph" w:customStyle="1" w:styleId="630">
    <w:name w:val="p1"/>
    <w:basedOn w:val="1"/>
    <w:qFormat/>
    <w:uiPriority w:val="0"/>
    <w:pPr>
      <w:widowControl/>
      <w:adjustRightInd/>
      <w:jc w:val="left"/>
    </w:pPr>
    <w:rPr>
      <w:rFonts w:ascii=".PingFang SC" w:eastAsia=".PingFang SC"/>
      <w:color w:val="454545"/>
      <w:kern w:val="0"/>
      <w:sz w:val="18"/>
      <w:szCs w:val="18"/>
    </w:rPr>
  </w:style>
  <w:style w:type="paragraph" w:customStyle="1" w:styleId="631">
    <w:name w:val="Table Paragraph"/>
    <w:basedOn w:val="1"/>
    <w:qFormat/>
    <w:uiPriority w:val="0"/>
    <w:pPr>
      <w:adjustRightInd/>
      <w:jc w:val="left"/>
    </w:pPr>
    <w:rPr>
      <w:rFonts w:ascii="Calibri" w:hAnsi="Calibri"/>
      <w:kern w:val="0"/>
      <w:sz w:val="22"/>
      <w:szCs w:val="22"/>
      <w:lang w:eastAsia="en-US"/>
    </w:rPr>
  </w:style>
  <w:style w:type="paragraph" w:customStyle="1" w:styleId="6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表格非标题文字 Char"/>
    <w:link w:val="102"/>
    <w:qFormat/>
    <w:uiPriority w:val="0"/>
    <w:rPr>
      <w:rFonts w:ascii="Futura Bk" w:hAnsi="Futura Bk"/>
      <w:kern w:val="2"/>
      <w:sz w:val="18"/>
      <w:szCs w:val="21"/>
      <w:lang w:val="en-US" w:eastAsia="zh-CN" w:bidi="ar-SA"/>
    </w:rPr>
  </w:style>
  <w:style w:type="character" w:customStyle="1" w:styleId="636">
    <w:name w:val="*正文 Char"/>
    <w:link w:val="103"/>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104"/>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0"/>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105"/>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106"/>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Char"/>
    <w:link w:val="61"/>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69"/>
    <w:qFormat/>
    <w:uiPriority w:val="0"/>
    <w:rPr>
      <w:rFonts w:ascii="Arial" w:hAnsi="Arial" w:eastAsia="黑体" w:cs="Arial"/>
      <w:snapToGrid w:val="0"/>
      <w:kern w:val="0"/>
      <w:szCs w:val="21"/>
    </w:rPr>
  </w:style>
  <w:style w:type="character" w:customStyle="1" w:styleId="67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107"/>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Char"/>
    <w:link w:val="48"/>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8"/>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basedOn w:val="69"/>
    <w:qFormat/>
    <w:uiPriority w:val="0"/>
    <w:rPr>
      <w:rFonts w:hint="eastAsia" w:ascii="仿宋_GB2312" w:eastAsia="仿宋_GB2312" w:cs="仿宋_GB2312"/>
      <w:color w:val="000000"/>
      <w:sz w:val="22"/>
      <w:szCs w:val="22"/>
      <w:u w:val="none"/>
    </w:rPr>
  </w:style>
  <w:style w:type="character" w:customStyle="1" w:styleId="692">
    <w:name w:val="标题 6 Char"/>
    <w:link w:val="7"/>
    <w:qFormat/>
    <w:uiPriority w:val="0"/>
    <w:rPr>
      <w:rFonts w:ascii="Arial" w:hAnsi="Arial" w:eastAsia="黑体"/>
      <w:b/>
      <w:bCs/>
      <w:kern w:val="2"/>
      <w:sz w:val="24"/>
      <w:szCs w:val="24"/>
    </w:rPr>
  </w:style>
  <w:style w:type="character" w:customStyle="1" w:styleId="693">
    <w:name w:val="纯文本 Char_0"/>
    <w:link w:val="109"/>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11"/>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12"/>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Char"/>
    <w:link w:val="37"/>
    <w:qFormat/>
    <w:uiPriority w:val="0"/>
    <w:rPr>
      <w:rFonts w:ascii="宋体"/>
      <w:kern w:val="2"/>
      <w:sz w:val="24"/>
      <w:szCs w:val="21"/>
      <w:lang w:val="zh-CN"/>
    </w:rPr>
  </w:style>
  <w:style w:type="character" w:customStyle="1" w:styleId="723">
    <w:name w:val="标题 9 Char"/>
    <w:link w:val="10"/>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Char"/>
    <w:link w:val="40"/>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13"/>
    <w:qFormat/>
    <w:locked/>
    <w:uiPriority w:val="0"/>
    <w:rPr>
      <w:rFonts w:ascii="Tahoma" w:hAnsi="Tahoma"/>
      <w:sz w:val="24"/>
      <w:szCs w:val="24"/>
    </w:rPr>
  </w:style>
  <w:style w:type="character" w:customStyle="1" w:styleId="733">
    <w:name w:val="正文缩进 Char2"/>
    <w:link w:val="15"/>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14"/>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Char1"/>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69"/>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1"/>
    <w:qFormat/>
    <w:uiPriority w:val="0"/>
    <w:rPr>
      <w:rFonts w:ascii="仿宋_GB2312" w:hAnsi="仿宋" w:eastAsia="仿宋_GB2312" w:cs="仿宋_GB2312"/>
      <w:sz w:val="32"/>
      <w:szCs w:val="30"/>
      <w:lang w:val="zh-CN"/>
    </w:rPr>
  </w:style>
  <w:style w:type="character" w:customStyle="1" w:styleId="756">
    <w:name w:val="HTML 地址 Char"/>
    <w:link w:val="31"/>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6"/>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7"/>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Char"/>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4"/>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8"/>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9"/>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20"/>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Char3"/>
    <w:link w:val="26"/>
    <w:qFormat/>
    <w:uiPriority w:val="0"/>
    <w:rPr>
      <w:rFonts w:ascii="宋体" w:hAnsi="宋体"/>
      <w:kern w:val="2"/>
      <w:sz w:val="24"/>
      <w:szCs w:val="24"/>
    </w:rPr>
  </w:style>
  <w:style w:type="character" w:customStyle="1" w:styleId="796">
    <w:name w:val="font01"/>
    <w:basedOn w:val="69"/>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22"/>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59"/>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0"/>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7"/>
    <w:qFormat/>
    <w:uiPriority w:val="0"/>
    <w:rPr>
      <w:rFonts w:ascii="黑体" w:hAnsi="Courier New" w:eastAsia="黑体"/>
    </w:rPr>
  </w:style>
  <w:style w:type="character" w:customStyle="1" w:styleId="829">
    <w:name w:val="正文文本 2 Char1"/>
    <w:link w:val="56"/>
    <w:qFormat/>
    <w:uiPriority w:val="0"/>
    <w:rPr>
      <w:kern w:val="2"/>
      <w:sz w:val="21"/>
      <w:szCs w:val="24"/>
    </w:rPr>
  </w:style>
  <w:style w:type="character" w:customStyle="1" w:styleId="830">
    <w:name w:val="样式 样式 标题 4h4H4Fab-4T5Ref Heading 1rh1Heading sqlsect 1.2.3.... +... Char"/>
    <w:link w:val="123"/>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8"/>
    <w:qFormat/>
    <w:uiPriority w:val="0"/>
    <w:rPr>
      <w:b/>
      <w:bCs/>
      <w:kern w:val="2"/>
      <w:sz w:val="24"/>
      <w:szCs w:val="24"/>
    </w:rPr>
  </w:style>
  <w:style w:type="character" w:customStyle="1" w:styleId="833">
    <w:name w:val="正文文本缩进 2 Char"/>
    <w:link w:val="38"/>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1"/>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basedOn w:val="69"/>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25"/>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26"/>
    <w:qFormat/>
    <w:uiPriority w:val="0"/>
    <w:rPr>
      <w:rFonts w:ascii="宋体" w:hAnsi="Courier New"/>
    </w:rPr>
  </w:style>
  <w:style w:type="character" w:customStyle="1" w:styleId="844">
    <w:name w:val="正文首行缩进 Char"/>
    <w:link w:val="24"/>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5"/>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1"/>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27"/>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28"/>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19"/>
    <w:qFormat/>
    <w:uiPriority w:val="0"/>
    <w:rPr>
      <w:kern w:val="2"/>
      <w:sz w:val="21"/>
      <w:szCs w:val="24"/>
    </w:rPr>
  </w:style>
  <w:style w:type="character" w:customStyle="1" w:styleId="866">
    <w:name w:val="签名 Char"/>
    <w:link w:val="43"/>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29"/>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30"/>
    <w:qFormat/>
    <w:uiPriority w:val="0"/>
    <w:rPr>
      <w:rFonts w:ascii="宋体"/>
    </w:rPr>
  </w:style>
  <w:style w:type="character" w:customStyle="1" w:styleId="877">
    <w:name w:val="标题 8 Char"/>
    <w:link w:val="9"/>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3"/>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31"/>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41"/>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32"/>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2"/>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33"/>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34"/>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35"/>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36"/>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69"/>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37"/>
    <w:qFormat/>
    <w:uiPriority w:val="0"/>
    <w:rPr>
      <w:rFonts w:cs="宋体"/>
      <w:kern w:val="2"/>
      <w:sz w:val="24"/>
    </w:rPr>
  </w:style>
  <w:style w:type="character" w:customStyle="1" w:styleId="94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3">
    <w:name w:val="gray6"/>
    <w:basedOn w:val="69"/>
    <w:qFormat/>
    <w:uiPriority w:val="0"/>
    <w:rPr>
      <w:rFonts w:ascii="Arial" w:hAnsi="Arial" w:eastAsia="黑体" w:cs="Arial"/>
      <w:snapToGrid w:val="0"/>
      <w:kern w:val="0"/>
      <w:szCs w:val="21"/>
    </w:rPr>
  </w:style>
  <w:style w:type="character" w:customStyle="1" w:styleId="944">
    <w:name w:val="hui"/>
    <w:basedOn w:val="69"/>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39"/>
    <w:qFormat/>
    <w:uiPriority w:val="0"/>
    <w:rPr>
      <w:kern w:val="2"/>
      <w:sz w:val="21"/>
      <w:szCs w:val="24"/>
      <w:lang w:val="zh-CN"/>
    </w:rPr>
  </w:style>
  <w:style w:type="character" w:customStyle="1" w:styleId="951">
    <w:name w:val="无间隔 Char"/>
    <w:link w:val="187"/>
    <w:qFormat/>
    <w:uiPriority w:val="99"/>
    <w:rPr>
      <w:kern w:val="2"/>
      <w:sz w:val="21"/>
      <w:szCs w:val="22"/>
    </w:rPr>
  </w:style>
  <w:style w:type="character" w:customStyle="1" w:styleId="952">
    <w:name w:val="标准文本 Char Char"/>
    <w:link w:val="622"/>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69"/>
    <w:qFormat/>
    <w:uiPriority w:val="0"/>
    <w:rPr>
      <w:color w:val="000000"/>
      <w:shd w:val="clear" w:color="auto" w:fill="EFD200"/>
    </w:rPr>
  </w:style>
  <w:style w:type="character" w:customStyle="1" w:styleId="967">
    <w:name w:val="font71"/>
    <w:basedOn w:val="69"/>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6">
    <w:name w:val="No Spacing1"/>
    <w:qFormat/>
    <w:uiPriority w:val="0"/>
    <w:rPr>
      <w:rFonts w:ascii="Times New Roman" w:hAnsi="Times New Roman" w:eastAsia="??" w:cs="宋体"/>
      <w:sz w:val="22"/>
      <w:szCs w:val="22"/>
      <w:lang w:val="en-US" w:eastAsia="en-US" w:bidi="ar-SA"/>
    </w:rPr>
  </w:style>
  <w:style w:type="paragraph" w:customStyle="1" w:styleId="977">
    <w:name w:val="纯文本3"/>
    <w:basedOn w:val="1"/>
    <w:qFormat/>
    <w:uiPriority w:val="0"/>
    <w:pPr>
      <w:spacing w:beforeLines="50" w:afterLines="50" w:line="400" w:lineRule="exact"/>
    </w:pPr>
    <w:rPr>
      <w:rFonts w:ascii="宋体" w:hAnsi="Courier New"/>
      <w:sz w:val="24"/>
    </w:rPr>
  </w:style>
  <w:style w:type="paragraph" w:customStyle="1" w:styleId="97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9">
    <w:name w:val="表格正文"/>
    <w:basedOn w:val="1"/>
    <w:qFormat/>
    <w:uiPriority w:val="0"/>
    <w:pPr>
      <w:spacing w:line="360" w:lineRule="auto"/>
    </w:pPr>
    <w:rPr>
      <w:rFonts w:ascii="宋体" w:hAnsi="宋体" w:eastAsia="楷体_GB2312" w:cs="宋体"/>
      <w:sz w:val="24"/>
      <w:szCs w:val="20"/>
    </w:rPr>
  </w:style>
  <w:style w:type="character" w:customStyle="1" w:styleId="980">
    <w:name w:val="NormalCharacter"/>
    <w:semiHidden/>
    <w:qFormat/>
    <w:uiPriority w:val="0"/>
    <w:rPr>
      <w:rFonts w:ascii="等线" w:hAnsi="等线" w:eastAsia="宋体" w:cs="Times New Roman"/>
      <w:kern w:val="2"/>
      <w:sz w:val="21"/>
      <w:szCs w:val="24"/>
      <w:lang w:val="en-US" w:eastAsia="zh-CN" w:bidi="ar-SA"/>
    </w:rPr>
  </w:style>
  <w:style w:type="paragraph" w:customStyle="1" w:styleId="98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4">
    <w:name w:val="纯文本4"/>
    <w:basedOn w:val="1"/>
    <w:qFormat/>
    <w:uiPriority w:val="0"/>
    <w:pPr>
      <w:spacing w:before="156" w:beforeLines="50" w:after="156" w:afterLines="50" w:line="400" w:lineRule="exact"/>
    </w:pPr>
    <w:rPr>
      <w:rFonts w:ascii="宋体" w:hAnsi="Courier New"/>
      <w:sz w:val="24"/>
    </w:rPr>
  </w:style>
  <w:style w:type="paragraph" w:customStyle="1" w:styleId="985">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986">
    <w:name w:val="List Paragraph"/>
    <w:basedOn w:val="1"/>
    <w:qFormat/>
    <w:uiPriority w:val="34"/>
    <w:pPr>
      <w:ind w:firstLine="420" w:firstLineChars="200"/>
    </w:pPr>
  </w:style>
  <w:style w:type="character" w:styleId="987">
    <w:name w:val="Placeholder Text"/>
    <w:basedOn w:val="69"/>
    <w:unhideWhenUsed/>
    <w:qFormat/>
    <w:uiPriority w:val="99"/>
    <w:rPr>
      <w:color w:val="808080"/>
    </w:rPr>
  </w:style>
  <w:style w:type="character" w:customStyle="1" w:styleId="988">
    <w:name w:val="font101"/>
    <w:basedOn w:val="69"/>
    <w:qFormat/>
    <w:uiPriority w:val="0"/>
    <w:rPr>
      <w:rFonts w:hint="eastAsia" w:ascii="宋体" w:hAnsi="宋体" w:eastAsia="宋体" w:cs="宋体"/>
      <w:color w:val="FF0000"/>
      <w:sz w:val="20"/>
      <w:szCs w:val="20"/>
      <w:u w:val="none"/>
    </w:rPr>
  </w:style>
  <w:style w:type="character" w:customStyle="1" w:styleId="989">
    <w:name w:val="font112"/>
    <w:basedOn w:val="69"/>
    <w:qFormat/>
    <w:uiPriority w:val="0"/>
    <w:rPr>
      <w:rFonts w:ascii="Wingdings 2" w:hAnsi="Wingdings 2" w:eastAsia="Wingdings 2" w:cs="Wingdings 2"/>
      <w:color w:val="000000"/>
      <w:sz w:val="18"/>
      <w:szCs w:val="18"/>
      <w:u w:val="none"/>
    </w:rPr>
  </w:style>
  <w:style w:type="paragraph" w:customStyle="1" w:styleId="990">
    <w:name w:val="0正文"/>
    <w:basedOn w:val="1"/>
    <w:qFormat/>
    <w:uiPriority w:val="0"/>
    <w:pPr>
      <w:spacing w:beforeLines="0" w:line="560" w:lineRule="exact"/>
      <w:ind w:firstLine="200" w:firstLineChars="200"/>
    </w:pPr>
    <w:rPr>
      <w:rFonts w:ascii="Tahoma" w:hAnsi="Tahoma"/>
      <w:sz w:val="24"/>
      <w:szCs w:val="22"/>
    </w:rPr>
  </w:style>
  <w:style w:type="table" w:customStyle="1" w:styleId="991">
    <w:name w:val="Table Normal"/>
    <w:autoRedefine/>
    <w:semiHidden/>
    <w:unhideWhenUsed/>
    <w:qFormat/>
    <w:uiPriority w:val="0"/>
    <w:tblPr>
      <w:tblCellMar>
        <w:top w:w="0" w:type="dxa"/>
        <w:left w:w="0" w:type="dxa"/>
        <w:bottom w:w="0" w:type="dxa"/>
        <w:right w:w="0" w:type="dxa"/>
      </w:tblCellMar>
    </w:tblPr>
  </w:style>
  <w:style w:type="paragraph" w:customStyle="1" w:styleId="992">
    <w:name w:val="No Spacing"/>
    <w:basedOn w:val="1"/>
    <w:qFormat/>
    <w:uiPriority w:val="99"/>
    <w:rPr>
      <w:szCs w:val="22"/>
    </w:rPr>
  </w:style>
  <w:style w:type="character" w:customStyle="1" w:styleId="993">
    <w:name w:val="标题 3 Char"/>
    <w:basedOn w:val="69"/>
    <w:link w:val="4"/>
    <w:semiHidden/>
    <w:qFormat/>
    <w:uiPriority w:val="0"/>
    <w:rPr>
      <w:b/>
      <w:bCs/>
      <w:sz w:val="32"/>
      <w:szCs w:val="32"/>
    </w:rPr>
  </w:style>
  <w:style w:type="paragraph" w:customStyle="1" w:styleId="99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995">
    <w:name w:val="江建权"/>
    <w:basedOn w:val="1"/>
    <w:qFormat/>
    <w:uiPriority w:val="0"/>
    <w:pPr>
      <w:spacing w:line="440" w:lineRule="exact"/>
      <w:ind w:firstLine="200" w:firstLineChars="200"/>
    </w:pPr>
    <w:rPr>
      <w:rFonts w:ascii="宋体" w:hAnsi="宋体"/>
      <w:kern w:val="0"/>
      <w:sz w:val="24"/>
    </w:rPr>
  </w:style>
  <w:style w:type="paragraph" w:customStyle="1" w:styleId="996">
    <w:name w:val="+正文 Char"/>
    <w:basedOn w:val="1"/>
    <w:qFormat/>
    <w:uiPriority w:val="0"/>
    <w:pPr>
      <w:spacing w:line="360" w:lineRule="auto"/>
      <w:ind w:firstLine="200" w:firstLineChars="200"/>
    </w:pPr>
    <w:rPr>
      <w:sz w:val="24"/>
      <w:szCs w:val="28"/>
    </w:rPr>
  </w:style>
  <w:style w:type="paragraph" w:customStyle="1" w:styleId="997">
    <w:name w:val="+正文 Char Char Char"/>
    <w:basedOn w:val="1"/>
    <w:qFormat/>
    <w:uiPriority w:val="0"/>
    <w:pPr>
      <w:spacing w:line="360" w:lineRule="auto"/>
      <w:ind w:firstLine="200" w:firstLineChars="200"/>
    </w:pPr>
    <w:rPr>
      <w:sz w:val="24"/>
      <w:szCs w:val="24"/>
    </w:rPr>
  </w:style>
  <w:style w:type="paragraph" w:customStyle="1" w:styleId="998">
    <w:name w:val="zz正文"/>
    <w:basedOn w:val="1"/>
    <w:qFormat/>
    <w:uiPriority w:val="0"/>
    <w:pPr>
      <w:snapToGrid w:val="0"/>
      <w:spacing w:line="360" w:lineRule="auto"/>
      <w:ind w:firstLine="560" w:firstLineChars="200"/>
    </w:pPr>
    <w:rPr>
      <w:rFonts w:ascii="Times New Roman"/>
      <w:kern w:val="2"/>
      <w:sz w:val="24"/>
      <w:szCs w:val="22"/>
    </w:rPr>
  </w:style>
  <w:style w:type="paragraph" w:customStyle="1" w:styleId="999">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131</Pages>
  <Words>14163</Words>
  <Characters>16245</Characters>
  <Lines>320</Lines>
  <Paragraphs>90</Paragraphs>
  <TotalTime>3</TotalTime>
  <ScaleCrop>false</ScaleCrop>
  <LinksUpToDate>false</LinksUpToDate>
  <CharactersWithSpaces>16592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招标文件（耀华）</dc:description>
  <cp:lastModifiedBy>雀跃的栗</cp:lastModifiedBy>
  <cp:lastPrinted>2025-04-16T06:24:00Z</cp:lastPrinted>
  <dcterms:modified xsi:type="dcterms:W3CDTF">2025-06-19T07:59:19Z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F08DC40ADE6B44EF9EC8BA6BAD30D864_13</vt:lpwstr>
  </property>
  <property fmtid="{D5CDD505-2E9C-101B-9397-08002B2CF9AE}" pid="5" name="KSOTemplateDocerSaveRecord">
    <vt:lpwstr>eyJoZGlkIjoiZTdiZDk5MjVjOGQyMjJmYmIyZWY4NzkyMDZhOGRhZTYiLCJ1c2VySWQiOiI0MzUyMTE2MjcifQ==</vt:lpwstr>
  </property>
</Properties>
</file>