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E8AA4">
      <w:pPr>
        <w:ind w:firstLine="1764"/>
        <w:rPr>
          <w:rFonts w:hint="eastAsia" w:ascii="黑体" w:hAnsi="黑体" w:eastAsia="黑体" w:cs="宋体"/>
          <w:color w:val="auto"/>
          <w:sz w:val="72"/>
          <w:szCs w:val="72"/>
        </w:rPr>
      </w:pPr>
    </w:p>
    <w:p w14:paraId="5B392A0D">
      <w:pPr>
        <w:ind w:firstLine="1764"/>
        <w:rPr>
          <w:rFonts w:hint="eastAsia" w:ascii="黑体" w:hAnsi="黑体" w:eastAsia="黑体" w:cs="宋体"/>
          <w:color w:val="auto"/>
          <w:sz w:val="72"/>
          <w:szCs w:val="72"/>
        </w:rPr>
      </w:pPr>
    </w:p>
    <w:p w14:paraId="37684BD3">
      <w:pPr>
        <w:ind w:firstLine="1764"/>
        <w:rPr>
          <w:rFonts w:ascii="黑体" w:hAnsi="黑体" w:eastAsia="黑体" w:cs="宋体"/>
          <w:color w:val="auto"/>
          <w:sz w:val="72"/>
          <w:szCs w:val="72"/>
        </w:rPr>
      </w:pPr>
      <w:r>
        <w:rPr>
          <w:rFonts w:hint="eastAsia" w:ascii="黑体" w:hAnsi="黑体" w:eastAsia="黑体" w:cs="宋体"/>
          <w:color w:val="auto"/>
          <w:sz w:val="72"/>
          <w:szCs w:val="72"/>
        </w:rPr>
        <w:t>竞争性磋商采购文件</w:t>
      </w:r>
    </w:p>
    <w:p w14:paraId="7E30C977">
      <w:pPr>
        <w:ind w:firstLine="883"/>
        <w:jc w:val="center"/>
        <w:rPr>
          <w:rFonts w:hint="eastAsia" w:ascii="宋体" w:hAnsi="宋体" w:cs="宋体"/>
          <w:b/>
          <w:color w:val="auto"/>
          <w:sz w:val="44"/>
          <w:szCs w:val="44"/>
        </w:rPr>
      </w:pPr>
    </w:p>
    <w:p w14:paraId="7D91586A">
      <w:pPr>
        <w:ind w:firstLine="883"/>
        <w:jc w:val="center"/>
        <w:rPr>
          <w:rFonts w:ascii="宋体" w:hAnsi="宋体" w:cs="宋体"/>
          <w:b/>
          <w:color w:val="auto"/>
          <w:sz w:val="44"/>
          <w:szCs w:val="44"/>
        </w:rPr>
      </w:pPr>
      <w:r>
        <w:rPr>
          <w:rFonts w:hint="eastAsia" w:ascii="宋体" w:hAnsi="宋体" w:cs="宋体"/>
          <w:b/>
          <w:color w:val="auto"/>
          <w:sz w:val="44"/>
          <w:szCs w:val="44"/>
        </w:rPr>
        <w:t>（国企采购工程类）</w:t>
      </w:r>
    </w:p>
    <w:p w14:paraId="03E53486">
      <w:pPr>
        <w:ind w:firstLine="600"/>
        <w:rPr>
          <w:rFonts w:ascii="宋体" w:hAnsi="宋体" w:cs="宋体"/>
          <w:color w:val="auto"/>
          <w:sz w:val="30"/>
          <w:szCs w:val="30"/>
        </w:rPr>
      </w:pPr>
    </w:p>
    <w:p w14:paraId="451A9DF2">
      <w:pPr>
        <w:ind w:firstLine="600"/>
        <w:rPr>
          <w:rFonts w:ascii="宋体" w:hAnsi="宋体" w:cs="宋体"/>
          <w:color w:val="auto"/>
          <w:sz w:val="30"/>
          <w:szCs w:val="30"/>
        </w:rPr>
      </w:pPr>
    </w:p>
    <w:p w14:paraId="20AD23DC">
      <w:pPr>
        <w:ind w:firstLine="600"/>
        <w:rPr>
          <w:rFonts w:ascii="宋体" w:hAnsi="宋体" w:cs="宋体"/>
          <w:color w:val="auto"/>
          <w:sz w:val="30"/>
          <w:szCs w:val="30"/>
        </w:rPr>
      </w:pPr>
    </w:p>
    <w:p w14:paraId="16C476EE">
      <w:pPr>
        <w:pStyle w:val="69"/>
        <w:rPr>
          <w:color w:val="auto"/>
          <w:lang w:val="en-US"/>
        </w:rPr>
      </w:pPr>
    </w:p>
    <w:p w14:paraId="1417B561">
      <w:pPr>
        <w:pStyle w:val="69"/>
        <w:rPr>
          <w:color w:val="auto"/>
          <w:lang w:val="en-US"/>
        </w:rPr>
      </w:pPr>
    </w:p>
    <w:p w14:paraId="08B2A2BE">
      <w:pPr>
        <w:pStyle w:val="69"/>
        <w:rPr>
          <w:color w:val="auto"/>
          <w:lang w:val="en-US"/>
        </w:rPr>
      </w:pPr>
    </w:p>
    <w:p w14:paraId="600EFBF3">
      <w:pPr>
        <w:pStyle w:val="69"/>
        <w:rPr>
          <w:color w:val="auto"/>
          <w:lang w:val="en-US"/>
        </w:rPr>
      </w:pPr>
    </w:p>
    <w:p w14:paraId="2743B047">
      <w:pPr>
        <w:ind w:firstLine="600"/>
        <w:rPr>
          <w:rFonts w:ascii="宋体" w:hAnsi="宋体" w:cs="宋体"/>
          <w:color w:val="auto"/>
          <w:sz w:val="30"/>
          <w:szCs w:val="30"/>
        </w:rPr>
      </w:pPr>
    </w:p>
    <w:p w14:paraId="3FAC44B6">
      <w:pPr>
        <w:keepNext w:val="0"/>
        <w:keepLines w:val="0"/>
        <w:pageBreakBefore w:val="0"/>
        <w:widowControl/>
        <w:kinsoku/>
        <w:wordWrap/>
        <w:overflowPunct/>
        <w:topLinePunct w:val="0"/>
        <w:autoSpaceDE/>
        <w:autoSpaceDN/>
        <w:bidi w:val="0"/>
        <w:adjustRightInd/>
        <w:snapToGrid/>
        <w:spacing w:line="500" w:lineRule="exact"/>
        <w:ind w:left="2216" w:leftChars="484" w:hanging="1200" w:hangingChars="400"/>
        <w:textAlignment w:val="auto"/>
        <w:rPr>
          <w:rFonts w:hint="default" w:eastAsia="宋体"/>
          <w:color w:val="auto"/>
          <w:lang w:val="en-US" w:eastAsia="zh-CN"/>
        </w:rPr>
      </w:pPr>
      <w:r>
        <w:rPr>
          <w:rFonts w:hint="eastAsia" w:ascii="宋体" w:hAnsi="宋体" w:cs="宋体"/>
          <w:color w:val="auto"/>
          <w:sz w:val="30"/>
          <w:szCs w:val="30"/>
        </w:rPr>
        <w:t>项目名称：</w:t>
      </w:r>
      <w:bookmarkStart w:id="0" w:name="OLE_LINK1"/>
      <w:bookmarkStart w:id="1" w:name="OLE_LINK2"/>
      <w:r>
        <w:rPr>
          <w:rFonts w:hint="eastAsia" w:ascii="宋体" w:hAnsi="宋体" w:cs="宋体"/>
          <w:color w:val="auto"/>
          <w:sz w:val="30"/>
          <w:szCs w:val="30"/>
          <w:u w:val="single"/>
          <w:lang w:eastAsia="zh-CN"/>
        </w:rPr>
        <w:t>奉化区莼湖街道奉松路与下横线交叉口东南侧停车场建设工程</w:t>
      </w:r>
      <w:r>
        <w:rPr>
          <w:rFonts w:hint="eastAsia" w:ascii="宋体" w:hAnsi="宋体" w:cs="宋体"/>
          <w:color w:val="auto"/>
          <w:sz w:val="30"/>
          <w:szCs w:val="30"/>
          <w:u w:val="single"/>
          <w:lang w:val="en-US" w:eastAsia="zh-CN"/>
        </w:rPr>
        <w:t xml:space="preserve">                                          </w:t>
      </w:r>
    </w:p>
    <w:bookmarkEnd w:id="0"/>
    <w:bookmarkEnd w:id="1"/>
    <w:p w14:paraId="7A91CD13">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333EB78B">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项目编号：</w:t>
      </w:r>
      <w:r>
        <w:rPr>
          <w:rFonts w:hint="eastAsia" w:ascii="宋体" w:hAnsi="宋体" w:cs="宋体"/>
          <w:color w:val="auto"/>
          <w:sz w:val="30"/>
          <w:szCs w:val="30"/>
          <w:u w:val="single"/>
          <w:lang w:eastAsia="zh-CN"/>
        </w:rPr>
        <w:t>NBXK（2025）024C/FHGQZB(2025)</w:t>
      </w:r>
      <w:r>
        <w:rPr>
          <w:rFonts w:hint="eastAsia" w:ascii="宋体" w:hAnsi="宋体" w:cs="宋体"/>
          <w:color w:val="auto"/>
          <w:sz w:val="30"/>
          <w:szCs w:val="30"/>
          <w:u w:val="single"/>
          <w:lang w:val="en-US" w:eastAsia="zh-CN"/>
        </w:rPr>
        <w:t xml:space="preserve">240D                                </w:t>
      </w:r>
    </w:p>
    <w:p w14:paraId="5D6DD09F">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29CAC81A">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u w:val="single"/>
          <w:lang w:val="en-US" w:eastAsia="zh-CN"/>
        </w:rPr>
      </w:pPr>
      <w:r>
        <w:rPr>
          <w:rFonts w:hint="eastAsia" w:ascii="宋体" w:hAnsi="宋体" w:cs="宋体"/>
          <w:color w:val="auto"/>
          <w:sz w:val="30"/>
          <w:szCs w:val="30"/>
        </w:rPr>
        <w:t>采购单位：</w:t>
      </w:r>
      <w:r>
        <w:rPr>
          <w:rFonts w:hint="eastAsia" w:ascii="宋体" w:hAnsi="宋体" w:cs="宋体"/>
          <w:color w:val="auto"/>
          <w:sz w:val="30"/>
          <w:szCs w:val="30"/>
          <w:u w:val="single"/>
          <w:lang w:eastAsia="zh-CN"/>
        </w:rPr>
        <w:t>宁波市奉化九峰城镇建设发展有限公司</w:t>
      </w:r>
      <w:r>
        <w:rPr>
          <w:rFonts w:hint="eastAsia" w:ascii="宋体" w:hAnsi="宋体" w:cs="宋体"/>
          <w:color w:val="auto"/>
          <w:sz w:val="30"/>
          <w:szCs w:val="30"/>
          <w:u w:val="single"/>
          <w:lang w:val="en-US" w:eastAsia="zh-CN"/>
        </w:rPr>
        <w:t xml:space="preserve">          </w:t>
      </w:r>
    </w:p>
    <w:p w14:paraId="31B6D3C4">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472CEDBD">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代理机构：</w:t>
      </w:r>
      <w:r>
        <w:rPr>
          <w:rFonts w:hint="eastAsia" w:ascii="宋体" w:hAnsi="宋体" w:cs="宋体"/>
          <w:color w:val="auto"/>
          <w:sz w:val="30"/>
          <w:szCs w:val="30"/>
          <w:u w:val="single"/>
          <w:lang w:eastAsia="zh-CN"/>
        </w:rPr>
        <w:t>宁波旭坤项目管理咨询有限公司</w:t>
      </w:r>
      <w:r>
        <w:rPr>
          <w:rFonts w:hint="eastAsia" w:ascii="宋体" w:hAnsi="宋体" w:cs="宋体"/>
          <w:color w:val="auto"/>
          <w:sz w:val="30"/>
          <w:szCs w:val="30"/>
          <w:u w:val="single"/>
          <w:lang w:val="en-US" w:eastAsia="zh-CN"/>
        </w:rPr>
        <w:t xml:space="preserve">                </w:t>
      </w:r>
    </w:p>
    <w:p w14:paraId="7966841B">
      <w:pPr>
        <w:ind w:firstLine="600"/>
        <w:rPr>
          <w:rFonts w:ascii="宋体" w:hAnsi="宋体" w:cs="宋体"/>
          <w:color w:val="auto"/>
          <w:sz w:val="30"/>
          <w:szCs w:val="30"/>
        </w:rPr>
      </w:pPr>
    </w:p>
    <w:p w14:paraId="6F3F095C">
      <w:pPr>
        <w:ind w:firstLine="600"/>
        <w:rPr>
          <w:rFonts w:ascii="宋体" w:hAnsi="宋体" w:cs="宋体"/>
          <w:color w:val="auto"/>
          <w:sz w:val="30"/>
          <w:szCs w:val="30"/>
        </w:rPr>
      </w:pPr>
    </w:p>
    <w:p w14:paraId="434A69B4">
      <w:pPr>
        <w:tabs>
          <w:tab w:val="left" w:pos="3763"/>
        </w:tabs>
        <w:ind w:firstLine="600"/>
        <w:rPr>
          <w:color w:val="auto"/>
        </w:rPr>
      </w:pPr>
      <w:r>
        <w:rPr>
          <w:rFonts w:ascii="宋体" w:hAnsi="宋体" w:cs="宋体"/>
          <w:color w:val="auto"/>
          <w:sz w:val="30"/>
          <w:szCs w:val="30"/>
        </w:rPr>
        <w:tab/>
      </w:r>
    </w:p>
    <w:p w14:paraId="3CA74D8F">
      <w:pPr>
        <w:pStyle w:val="33"/>
        <w:rPr>
          <w:color w:val="auto"/>
        </w:rPr>
      </w:pPr>
    </w:p>
    <w:p w14:paraId="015D507C">
      <w:pPr>
        <w:ind w:firstLine="600"/>
        <w:rPr>
          <w:rFonts w:ascii="宋体" w:hAnsi="宋体" w:cs="宋体"/>
          <w:color w:val="auto"/>
          <w:sz w:val="30"/>
          <w:szCs w:val="30"/>
        </w:rPr>
      </w:pPr>
    </w:p>
    <w:p w14:paraId="57F09925">
      <w:pPr>
        <w:snapToGrid w:val="0"/>
        <w:spacing w:line="360" w:lineRule="auto"/>
        <w:ind w:firstLine="720"/>
        <w:jc w:val="center"/>
        <w:rPr>
          <w:rFonts w:hint="default" w:eastAsia="宋体" w:asciiTheme="minorEastAsia" w:hAnsiTheme="minorEastAsia" w:cstheme="minorEastAsia"/>
          <w:bCs/>
          <w:color w:val="auto"/>
          <w:sz w:val="32"/>
          <w:szCs w:val="32"/>
          <w:lang w:val="en-US" w:eastAsia="zh-CN"/>
        </w:rPr>
      </w:pPr>
      <w:r>
        <w:rPr>
          <w:rFonts w:hint="eastAsia" w:ascii="宋体" w:hAnsi="宋体" w:cs="宋体"/>
          <w:color w:val="auto"/>
          <w:sz w:val="36"/>
          <w:szCs w:val="36"/>
        </w:rPr>
        <w:t>二〇二</w:t>
      </w:r>
      <w:r>
        <w:rPr>
          <w:rFonts w:hint="eastAsia" w:ascii="宋体" w:hAnsi="宋体" w:cs="宋体"/>
          <w:color w:val="auto"/>
          <w:sz w:val="36"/>
          <w:szCs w:val="36"/>
          <w:lang w:val="en-US" w:eastAsia="zh-CN"/>
        </w:rPr>
        <w:t>五</w:t>
      </w:r>
      <w:r>
        <w:rPr>
          <w:rFonts w:hint="eastAsia" w:ascii="宋体" w:hAnsi="宋体" w:cs="宋体"/>
          <w:color w:val="auto"/>
          <w:sz w:val="36"/>
          <w:szCs w:val="36"/>
        </w:rPr>
        <w:t>年</w:t>
      </w:r>
      <w:r>
        <w:rPr>
          <w:rFonts w:hint="eastAsia" w:ascii="宋体" w:hAnsi="宋体" w:cs="宋体"/>
          <w:color w:val="auto"/>
          <w:sz w:val="36"/>
          <w:szCs w:val="36"/>
          <w:lang w:val="en-US" w:eastAsia="zh-CN"/>
        </w:rPr>
        <w:t>七月</w:t>
      </w:r>
    </w:p>
    <w:p w14:paraId="46DF9C38">
      <w:pPr>
        <w:spacing w:line="360" w:lineRule="auto"/>
        <w:ind w:firstLine="480"/>
        <w:jc w:val="center"/>
        <w:rPr>
          <w:rFonts w:asciiTheme="minorEastAsia" w:hAnsiTheme="minorEastAsia" w:eastAsiaTheme="minorEastAsia" w:cstheme="minorEastAsia"/>
          <w:b/>
          <w:color w:val="auto"/>
          <w:sz w:val="48"/>
          <w:szCs w:val="48"/>
        </w:rPr>
      </w:pPr>
      <w:r>
        <w:rPr>
          <w:rFonts w:hint="eastAsia" w:asciiTheme="minorEastAsia" w:hAnsiTheme="minorEastAsia" w:eastAsiaTheme="minorEastAsia" w:cstheme="minorEastAsia"/>
          <w:color w:val="auto"/>
          <w:sz w:val="24"/>
        </w:rPr>
        <w:br w:type="page"/>
      </w:r>
      <w:bookmarkStart w:id="2" w:name="_Hlt67893495"/>
      <w:bookmarkEnd w:id="2"/>
      <w:r>
        <w:rPr>
          <w:rFonts w:hint="eastAsia" w:asciiTheme="minorEastAsia" w:hAnsiTheme="minorEastAsia" w:eastAsiaTheme="minorEastAsia" w:cstheme="minorEastAsia"/>
          <w:b/>
          <w:color w:val="auto"/>
          <w:sz w:val="48"/>
          <w:szCs w:val="48"/>
        </w:rPr>
        <w:t>目  录</w:t>
      </w:r>
    </w:p>
    <w:p w14:paraId="669D9143">
      <w:pPr>
        <w:spacing w:line="360" w:lineRule="auto"/>
        <w:ind w:firstLine="640"/>
        <w:rPr>
          <w:rFonts w:asciiTheme="minorEastAsia" w:hAnsiTheme="minorEastAsia" w:eastAsiaTheme="minorEastAsia" w:cstheme="minorEastAsia"/>
          <w:color w:val="auto"/>
          <w:sz w:val="32"/>
          <w:szCs w:val="32"/>
        </w:rPr>
      </w:pPr>
    </w:p>
    <w:p w14:paraId="4A67DA37">
      <w:pPr>
        <w:spacing w:line="360" w:lineRule="auto"/>
        <w:ind w:firstLine="640"/>
        <w:rPr>
          <w:rFonts w:asciiTheme="minorEastAsia" w:hAnsiTheme="minorEastAsia" w:eastAsiaTheme="minorEastAsia" w:cstheme="minorEastAsia"/>
          <w:color w:val="auto"/>
          <w:sz w:val="32"/>
          <w:szCs w:val="32"/>
        </w:rPr>
      </w:pPr>
    </w:p>
    <w:p w14:paraId="516F3381">
      <w:pPr>
        <w:spacing w:line="360" w:lineRule="auto"/>
        <w:ind w:firstLine="732" w:firstLineChars="229"/>
        <w:rPr>
          <w:rFonts w:asciiTheme="minorEastAsia" w:hAnsiTheme="minorEastAsia" w:eastAsiaTheme="minorEastAsia" w:cstheme="minorEastAsia"/>
          <w:color w:val="auto"/>
          <w:sz w:val="32"/>
          <w:szCs w:val="32"/>
        </w:rPr>
      </w:pPr>
      <w:bookmarkStart w:id="3" w:name="_Hlt91233176"/>
      <w:bookmarkEnd w:id="3"/>
      <w:bookmarkStart w:id="4" w:name="_Toc91899869"/>
      <w:r>
        <w:rPr>
          <w:rFonts w:hint="eastAsia" w:asciiTheme="minorEastAsia" w:hAnsiTheme="minorEastAsia" w:eastAsiaTheme="minorEastAsia" w:cstheme="minorEastAsia"/>
          <w:color w:val="auto"/>
          <w:sz w:val="32"/>
          <w:szCs w:val="32"/>
        </w:rPr>
        <w:t>第一部分  竞争性磋商公告</w:t>
      </w:r>
    </w:p>
    <w:p w14:paraId="5C1DEB48">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第二部分  响应须知</w:t>
      </w:r>
    </w:p>
    <w:p w14:paraId="1EB78315">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第三部分  采购需求</w:t>
      </w:r>
    </w:p>
    <w:p w14:paraId="3AF265D2">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第四部分  评审办法</w:t>
      </w:r>
    </w:p>
    <w:p w14:paraId="3A953AC4">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第五部分  合同文本</w:t>
      </w:r>
    </w:p>
    <w:p w14:paraId="29C557BF">
      <w:pPr>
        <w:spacing w:line="360" w:lineRule="auto"/>
        <w:ind w:firstLine="732" w:firstLineChars="22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32"/>
          <w:szCs w:val="32"/>
        </w:rPr>
        <w:t>第六部分  应提交的有关格式范例</w:t>
      </w:r>
    </w:p>
    <w:p w14:paraId="2C5F3FEE">
      <w:pPr>
        <w:spacing w:line="360" w:lineRule="auto"/>
        <w:ind w:firstLine="549" w:firstLineChars="229"/>
        <w:rPr>
          <w:rFonts w:asciiTheme="minorEastAsia" w:hAnsiTheme="minorEastAsia" w:eastAsiaTheme="minorEastAsia" w:cstheme="minorEastAsia"/>
          <w:color w:val="auto"/>
          <w:sz w:val="24"/>
        </w:rPr>
      </w:pPr>
    </w:p>
    <w:p w14:paraId="07191A4D">
      <w:pPr>
        <w:spacing w:line="360" w:lineRule="auto"/>
        <w:ind w:firstLine="549" w:firstLineChars="229"/>
        <w:rPr>
          <w:rFonts w:asciiTheme="minorEastAsia" w:hAnsiTheme="minorEastAsia" w:eastAsiaTheme="minorEastAsia" w:cstheme="minorEastAsia"/>
          <w:color w:val="auto"/>
          <w:sz w:val="24"/>
        </w:rPr>
      </w:pPr>
    </w:p>
    <w:p w14:paraId="571707F1">
      <w:pPr>
        <w:spacing w:line="360" w:lineRule="auto"/>
        <w:ind w:firstLine="549" w:firstLineChars="229"/>
        <w:rPr>
          <w:rFonts w:asciiTheme="minorEastAsia" w:hAnsiTheme="minorEastAsia" w:eastAsiaTheme="minorEastAsia" w:cstheme="minorEastAsia"/>
          <w:color w:val="auto"/>
          <w:sz w:val="24"/>
        </w:rPr>
      </w:pPr>
    </w:p>
    <w:p w14:paraId="7385569C">
      <w:pPr>
        <w:spacing w:line="360" w:lineRule="auto"/>
        <w:ind w:firstLine="549" w:firstLineChars="229"/>
        <w:rPr>
          <w:rFonts w:asciiTheme="minorEastAsia" w:hAnsiTheme="minorEastAsia" w:eastAsiaTheme="minorEastAsia" w:cstheme="minorEastAsia"/>
          <w:color w:val="auto"/>
          <w:sz w:val="24"/>
        </w:rPr>
      </w:pPr>
    </w:p>
    <w:p w14:paraId="3F56899A">
      <w:pPr>
        <w:spacing w:line="360" w:lineRule="auto"/>
        <w:ind w:firstLine="549" w:firstLineChars="229"/>
        <w:rPr>
          <w:rFonts w:asciiTheme="minorEastAsia" w:hAnsiTheme="minorEastAsia" w:eastAsiaTheme="minorEastAsia" w:cstheme="minorEastAsia"/>
          <w:color w:val="auto"/>
          <w:sz w:val="24"/>
        </w:rPr>
      </w:pPr>
    </w:p>
    <w:p w14:paraId="3BE47D08">
      <w:pPr>
        <w:spacing w:line="360" w:lineRule="auto"/>
        <w:ind w:firstLine="549" w:firstLineChars="229"/>
        <w:rPr>
          <w:rFonts w:asciiTheme="minorEastAsia" w:hAnsiTheme="minorEastAsia" w:eastAsiaTheme="minorEastAsia" w:cstheme="minorEastAsia"/>
          <w:color w:val="auto"/>
          <w:sz w:val="24"/>
        </w:rPr>
      </w:pPr>
    </w:p>
    <w:p w14:paraId="31137CF0">
      <w:pPr>
        <w:spacing w:line="360" w:lineRule="auto"/>
        <w:ind w:firstLine="549" w:firstLineChars="229"/>
        <w:rPr>
          <w:rFonts w:asciiTheme="minorEastAsia" w:hAnsiTheme="minorEastAsia" w:eastAsiaTheme="minorEastAsia" w:cstheme="minorEastAsia"/>
          <w:color w:val="auto"/>
          <w:sz w:val="24"/>
        </w:rPr>
      </w:pPr>
    </w:p>
    <w:p w14:paraId="736DDEBD">
      <w:pPr>
        <w:spacing w:line="360" w:lineRule="auto"/>
        <w:ind w:firstLine="549" w:firstLineChars="229"/>
        <w:rPr>
          <w:rFonts w:asciiTheme="minorEastAsia" w:hAnsiTheme="minorEastAsia" w:eastAsiaTheme="minorEastAsia" w:cstheme="minorEastAsia"/>
          <w:color w:val="auto"/>
          <w:sz w:val="24"/>
        </w:rPr>
      </w:pPr>
    </w:p>
    <w:p w14:paraId="07EC2C50">
      <w:pPr>
        <w:spacing w:line="360" w:lineRule="auto"/>
        <w:ind w:firstLine="549" w:firstLineChars="229"/>
        <w:rPr>
          <w:rFonts w:asciiTheme="minorEastAsia" w:hAnsiTheme="minorEastAsia" w:eastAsiaTheme="minorEastAsia" w:cstheme="minorEastAsia"/>
          <w:color w:val="auto"/>
          <w:sz w:val="24"/>
        </w:rPr>
      </w:pPr>
    </w:p>
    <w:p w14:paraId="5B364D93">
      <w:pPr>
        <w:spacing w:line="360" w:lineRule="auto"/>
        <w:ind w:firstLine="549" w:firstLineChars="229"/>
        <w:rPr>
          <w:rFonts w:asciiTheme="minorEastAsia" w:hAnsiTheme="minorEastAsia" w:eastAsiaTheme="minorEastAsia" w:cstheme="minorEastAsia"/>
          <w:color w:val="auto"/>
          <w:sz w:val="24"/>
        </w:rPr>
      </w:pPr>
    </w:p>
    <w:p w14:paraId="78B29FC4">
      <w:pPr>
        <w:spacing w:line="360" w:lineRule="auto"/>
        <w:ind w:firstLine="549" w:firstLineChars="229"/>
        <w:rPr>
          <w:rFonts w:asciiTheme="minorEastAsia" w:hAnsiTheme="minorEastAsia" w:eastAsiaTheme="minorEastAsia" w:cstheme="minorEastAsia"/>
          <w:color w:val="auto"/>
          <w:sz w:val="24"/>
        </w:rPr>
      </w:pPr>
    </w:p>
    <w:p w14:paraId="62F3A339">
      <w:pPr>
        <w:spacing w:line="360" w:lineRule="auto"/>
        <w:ind w:firstLine="549" w:firstLineChars="229"/>
        <w:rPr>
          <w:rFonts w:asciiTheme="minorEastAsia" w:hAnsiTheme="minorEastAsia" w:eastAsiaTheme="minorEastAsia" w:cstheme="minorEastAsia"/>
          <w:color w:val="auto"/>
          <w:sz w:val="24"/>
        </w:rPr>
      </w:pPr>
    </w:p>
    <w:p w14:paraId="4E45B335">
      <w:pPr>
        <w:spacing w:line="360" w:lineRule="auto"/>
        <w:ind w:firstLine="480"/>
        <w:rPr>
          <w:rFonts w:asciiTheme="minorEastAsia" w:hAnsiTheme="minorEastAsia" w:eastAsiaTheme="minorEastAsia" w:cstheme="minorEastAsia"/>
          <w:color w:val="auto"/>
          <w:sz w:val="24"/>
        </w:rPr>
      </w:pPr>
    </w:p>
    <w:p w14:paraId="2E0A870C">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asciiTheme="minorEastAsia" w:hAnsiTheme="minorEastAsia" w:eastAsiaTheme="minorEastAsia" w:cstheme="minorEastAsia"/>
          <w:b/>
          <w:color w:val="auto"/>
          <w:sz w:val="24"/>
        </w:rPr>
      </w:pPr>
      <w:bookmarkStart w:id="5" w:name="第一部分"/>
      <w:r>
        <w:rPr>
          <w:rFonts w:hint="eastAsia" w:asciiTheme="minorEastAsia" w:hAnsiTheme="minorEastAsia" w:eastAsiaTheme="minorEastAsia" w:cstheme="minorEastAsia"/>
          <w:b/>
          <w:color w:val="auto"/>
          <w:sz w:val="36"/>
          <w:szCs w:val="36"/>
        </w:rPr>
        <w:br w:type="page"/>
      </w:r>
      <w:bookmarkEnd w:id="4"/>
      <w:bookmarkEnd w:id="5"/>
      <w:bookmarkStart w:id="6" w:name="_Hlt74707423"/>
      <w:bookmarkEnd w:id="6"/>
      <w:bookmarkStart w:id="7" w:name="_Hlt74649545"/>
      <w:bookmarkEnd w:id="7"/>
      <w:bookmarkStart w:id="8" w:name="_Hlt74729822"/>
      <w:bookmarkEnd w:id="8"/>
      <w:bookmarkStart w:id="9" w:name="_Hlt74728647"/>
      <w:bookmarkEnd w:id="9"/>
      <w:bookmarkStart w:id="10" w:name="第二部分"/>
      <w:bookmarkStart w:id="11" w:name="_Toc91899870"/>
      <w:bookmarkStart w:id="12" w:name="_Toc91899871"/>
      <w:r>
        <w:rPr>
          <w:rFonts w:hint="eastAsia" w:asciiTheme="minorEastAsia" w:hAnsiTheme="minorEastAsia" w:eastAsiaTheme="minorEastAsia" w:cstheme="minorEastAsia"/>
          <w:b/>
          <w:color w:val="auto"/>
          <w:sz w:val="36"/>
          <w:szCs w:val="20"/>
        </w:rPr>
        <w:t>第一部分 竞争性磋商公告</w:t>
      </w:r>
    </w:p>
    <w:p w14:paraId="0BF64419">
      <w:pPr>
        <w:pBdr>
          <w:top w:val="single" w:color="auto" w:sz="4" w:space="1"/>
          <w:left w:val="single" w:color="auto" w:sz="4" w:space="4"/>
          <w:bottom w:val="single" w:color="auto" w:sz="4" w:space="1"/>
          <w:right w:val="single" w:color="auto" w:sz="4" w:space="4"/>
        </w:pBdr>
        <w:spacing w:line="440" w:lineRule="exact"/>
        <w:rPr>
          <w:rFonts w:ascii="宋体" w:hAnsi="宋体" w:cs="宋体"/>
          <w:color w:val="auto"/>
          <w:szCs w:val="21"/>
          <w:highlight w:val="none"/>
          <w:u w:val="single"/>
        </w:rPr>
      </w:pPr>
      <w:r>
        <w:rPr>
          <w:rFonts w:hint="eastAsia" w:ascii="宋体" w:hAnsi="宋体" w:cs="宋体"/>
          <w:color w:val="auto"/>
          <w:szCs w:val="21"/>
          <w:highlight w:val="none"/>
        </w:rPr>
        <w:t>项目概况</w:t>
      </w:r>
      <w:r>
        <w:rPr>
          <w:rFonts w:hint="eastAsia" w:ascii="宋体" w:hAnsi="宋体" w:cs="宋体"/>
          <w:color w:val="auto"/>
          <w:szCs w:val="21"/>
          <w:highlight w:val="none"/>
          <w:lang w:eastAsia="zh-CN"/>
        </w:rPr>
        <w:t>：奉化区莼湖街道奉松路与下横线交叉口东南侧停车场建设工程</w:t>
      </w:r>
      <w:r>
        <w:rPr>
          <w:rFonts w:hint="eastAsia" w:ascii="宋体" w:hAnsi="宋体" w:cs="宋体"/>
          <w:color w:val="auto"/>
          <w:szCs w:val="21"/>
          <w:highlight w:val="none"/>
        </w:rPr>
        <w:t>的潜在供应商应在</w:t>
      </w:r>
      <w:bookmarkStart w:id="13" w:name="OLE_LINK11"/>
      <w:r>
        <w:rPr>
          <w:rFonts w:hint="eastAsia" w:ascii="宋体" w:hAnsi="宋体" w:cs="宋体"/>
          <w:color w:val="auto"/>
          <w:szCs w:val="21"/>
          <w:highlight w:val="none"/>
        </w:rPr>
        <w:t>乐采云</w:t>
      </w:r>
      <w:bookmarkEnd w:id="13"/>
      <w:r>
        <w:rPr>
          <w:rFonts w:hint="eastAsia" w:ascii="宋体" w:hAnsi="宋体" w:cs="宋体"/>
          <w:color w:val="auto"/>
          <w:szCs w:val="21"/>
          <w:highlight w:val="none"/>
          <w:lang w:val="en-US" w:eastAsia="zh-CN"/>
        </w:rPr>
        <w:t>平台</w:t>
      </w:r>
      <w:r>
        <w:rPr>
          <w:rFonts w:hint="eastAsia" w:ascii="宋体" w:hAnsi="宋体" w:cs="宋体"/>
          <w:color w:val="auto"/>
          <w:szCs w:val="21"/>
          <w:highlight w:val="none"/>
        </w:rPr>
        <w:t>（</w:t>
      </w:r>
      <w:bookmarkStart w:id="14" w:name="OLE_LINK10"/>
      <w:r>
        <w:rPr>
          <w:rFonts w:ascii="宋体" w:hAnsi="宋体" w:cs="宋体"/>
          <w:color w:val="auto"/>
          <w:szCs w:val="21"/>
          <w:highlight w:val="none"/>
        </w:rPr>
        <w:fldChar w:fldCharType="begin"/>
      </w:r>
      <w:r>
        <w:rPr>
          <w:rFonts w:ascii="宋体" w:hAnsi="宋体" w:cs="宋体"/>
          <w:color w:val="auto"/>
          <w:szCs w:val="21"/>
          <w:highlight w:val="none"/>
        </w:rPr>
        <w:instrText xml:space="preserve"> HYPERLINK "https://www.lecaiyun.com/</w:instrText>
      </w:r>
      <w:r>
        <w:rPr>
          <w:rFonts w:hint="eastAsia" w:ascii="宋体" w:hAnsi="宋体" w:cs="宋体"/>
          <w:color w:val="auto"/>
          <w:szCs w:val="21"/>
          <w:highlight w:val="none"/>
        </w:rPr>
        <w:instrText xml:space="preserve">）获取（下载）采购文件，并于2024年0</w:instrText>
      </w:r>
      <w:r>
        <w:rPr>
          <w:rFonts w:hint="eastAsia" w:ascii="宋体" w:hAnsi="宋体" w:eastAsia="黑体" w:cs="宋体"/>
          <w:color w:val="auto"/>
          <w:szCs w:val="21"/>
          <w:highlight w:val="none"/>
        </w:rPr>
        <w:instrText xml:space="preserve">0</w:instrText>
      </w:r>
      <w:r>
        <w:rPr>
          <w:rFonts w:hint="eastAsia" w:ascii="宋体" w:hAnsi="宋体" w:cs="宋体"/>
          <w:color w:val="auto"/>
          <w:szCs w:val="21"/>
          <w:highlight w:val="none"/>
        </w:rPr>
        <w:instrText xml:space="preserve">月</w:instrText>
      </w:r>
      <w:r>
        <w:rPr>
          <w:rFonts w:hint="eastAsia" w:ascii="宋体" w:hAnsi="宋体" w:eastAsia="黑体" w:cs="宋体"/>
          <w:color w:val="auto"/>
          <w:szCs w:val="21"/>
          <w:highlight w:val="none"/>
        </w:rPr>
        <w:instrText xml:space="preserve">00</w:instrText>
      </w:r>
      <w:r>
        <w:rPr>
          <w:rFonts w:hint="eastAsia" w:ascii="宋体" w:hAnsi="宋体" w:cs="宋体"/>
          <w:color w:val="auto"/>
          <w:szCs w:val="21"/>
          <w:highlight w:val="none"/>
        </w:rPr>
        <w:instrText xml:space="preserve">日14点00分00秒</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Style w:val="31"/>
          <w:rFonts w:ascii="宋体" w:hAnsi="宋体" w:eastAsia="宋体" w:cs="宋体"/>
          <w:snapToGrid/>
          <w:color w:val="auto"/>
          <w:kern w:val="2"/>
          <w:sz w:val="21"/>
          <w:szCs w:val="21"/>
          <w:highlight w:val="none"/>
        </w:rPr>
        <w:t>https://www.lecaiyun.com/</w:t>
      </w:r>
      <w:bookmarkEnd w:id="14"/>
      <w:r>
        <w:rPr>
          <w:rStyle w:val="31"/>
          <w:rFonts w:hint="eastAsia" w:ascii="宋体" w:hAnsi="宋体" w:eastAsia="宋体" w:cs="宋体"/>
          <w:snapToGrid/>
          <w:color w:val="auto"/>
          <w:kern w:val="2"/>
          <w:sz w:val="21"/>
          <w:szCs w:val="21"/>
          <w:highlight w:val="none"/>
        </w:rPr>
        <w:t>）获取（下载）采购文件，并于202</w:t>
      </w:r>
      <w:r>
        <w:rPr>
          <w:rStyle w:val="31"/>
          <w:rFonts w:hint="eastAsia" w:ascii="宋体" w:hAnsi="宋体" w:cs="宋体"/>
          <w:snapToGrid/>
          <w:color w:val="auto"/>
          <w:kern w:val="2"/>
          <w:sz w:val="21"/>
          <w:szCs w:val="21"/>
          <w:highlight w:val="none"/>
          <w:lang w:val="en-US" w:eastAsia="zh-CN"/>
        </w:rPr>
        <w:t>5</w:t>
      </w:r>
      <w:r>
        <w:rPr>
          <w:rStyle w:val="31"/>
          <w:rFonts w:hint="eastAsia" w:ascii="宋体" w:hAnsi="宋体" w:eastAsia="宋体" w:cs="宋体"/>
          <w:snapToGrid/>
          <w:color w:val="auto"/>
          <w:kern w:val="2"/>
          <w:sz w:val="21"/>
          <w:szCs w:val="21"/>
          <w:highlight w:val="none"/>
        </w:rPr>
        <w:t>年</w:t>
      </w:r>
      <w:r>
        <w:rPr>
          <w:rStyle w:val="31"/>
          <w:rFonts w:hint="eastAsia" w:ascii="宋体" w:hAnsi="宋体" w:cs="宋体"/>
          <w:snapToGrid/>
          <w:color w:val="auto"/>
          <w:kern w:val="2"/>
          <w:sz w:val="21"/>
          <w:szCs w:val="21"/>
          <w:highlight w:val="none"/>
          <w:lang w:val="en-US" w:eastAsia="zh-CN"/>
        </w:rPr>
        <w:t>7</w:t>
      </w:r>
      <w:r>
        <w:rPr>
          <w:rStyle w:val="31"/>
          <w:rFonts w:hint="eastAsia" w:ascii="宋体" w:hAnsi="宋体" w:eastAsia="宋体" w:cs="宋体"/>
          <w:snapToGrid/>
          <w:color w:val="auto"/>
          <w:kern w:val="2"/>
          <w:sz w:val="21"/>
          <w:szCs w:val="21"/>
          <w:highlight w:val="none"/>
        </w:rPr>
        <w:t>月</w:t>
      </w:r>
      <w:r>
        <w:rPr>
          <w:rStyle w:val="31"/>
          <w:rFonts w:hint="eastAsia" w:ascii="宋体" w:hAnsi="宋体" w:cs="宋体"/>
          <w:snapToGrid/>
          <w:color w:val="auto"/>
          <w:kern w:val="2"/>
          <w:sz w:val="21"/>
          <w:szCs w:val="21"/>
          <w:highlight w:val="none"/>
          <w:lang w:val="en-US" w:eastAsia="zh-CN"/>
        </w:rPr>
        <w:t>23</w:t>
      </w:r>
      <w:r>
        <w:rPr>
          <w:rStyle w:val="31"/>
          <w:rFonts w:hint="eastAsia" w:ascii="宋体" w:hAnsi="宋体" w:eastAsia="宋体" w:cs="宋体"/>
          <w:snapToGrid/>
          <w:color w:val="auto"/>
          <w:kern w:val="2"/>
          <w:sz w:val="21"/>
          <w:szCs w:val="21"/>
          <w:highlight w:val="none"/>
        </w:rPr>
        <w:t>日</w:t>
      </w:r>
      <w:r>
        <w:rPr>
          <w:rStyle w:val="31"/>
          <w:rFonts w:hint="eastAsia" w:ascii="宋体" w:hAnsi="宋体" w:cs="宋体"/>
          <w:snapToGrid/>
          <w:color w:val="auto"/>
          <w:kern w:val="2"/>
          <w:sz w:val="21"/>
          <w:szCs w:val="21"/>
          <w:highlight w:val="none"/>
          <w:lang w:val="en-US" w:eastAsia="zh-CN"/>
        </w:rPr>
        <w:t>09</w:t>
      </w:r>
      <w:r>
        <w:rPr>
          <w:rStyle w:val="31"/>
          <w:rFonts w:hint="eastAsia" w:ascii="宋体" w:hAnsi="宋体" w:eastAsia="宋体" w:cs="宋体"/>
          <w:snapToGrid/>
          <w:color w:val="auto"/>
          <w:kern w:val="2"/>
          <w:sz w:val="21"/>
          <w:szCs w:val="21"/>
          <w:highlight w:val="none"/>
        </w:rPr>
        <w:t>点00分00秒</w:t>
      </w:r>
      <w:r>
        <w:rPr>
          <w:rFonts w:ascii="宋体" w:hAnsi="宋体" w:cs="宋体"/>
          <w:color w:val="auto"/>
          <w:szCs w:val="21"/>
          <w:highlight w:val="none"/>
        </w:rPr>
        <w:fldChar w:fldCharType="end"/>
      </w:r>
      <w:r>
        <w:rPr>
          <w:rFonts w:hint="eastAsia" w:ascii="宋体" w:hAnsi="宋体" w:cs="宋体"/>
          <w:bCs/>
          <w:color w:val="auto"/>
          <w:szCs w:val="21"/>
          <w:highlight w:val="none"/>
        </w:rPr>
        <w:t>（北京时间）前</w:t>
      </w:r>
      <w:r>
        <w:rPr>
          <w:rFonts w:hint="eastAsia" w:ascii="宋体" w:hAnsi="宋体" w:cs="宋体"/>
          <w:color w:val="auto"/>
          <w:szCs w:val="21"/>
          <w:highlight w:val="none"/>
        </w:rPr>
        <w:t>递交（上传）响应文件。</w:t>
      </w:r>
    </w:p>
    <w:p w14:paraId="4D00B4F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一、项目基本情况                                            </w:t>
      </w:r>
    </w:p>
    <w:p w14:paraId="0782AEFB">
      <w:pPr>
        <w:spacing w:line="440" w:lineRule="exact"/>
        <w:ind w:firstLine="422" w:firstLineChars="200"/>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项目编号：</w:t>
      </w:r>
      <w:r>
        <w:rPr>
          <w:rFonts w:hint="eastAsia" w:ascii="宋体" w:hAnsi="宋体" w:cs="宋体"/>
          <w:bCs/>
          <w:snapToGrid w:val="0"/>
          <w:color w:val="auto"/>
          <w:szCs w:val="21"/>
          <w:highlight w:val="none"/>
          <w:lang w:eastAsia="zh-CN"/>
        </w:rPr>
        <w:t>NBXK（2025）024C/FHGQZB(2025)240D</w:t>
      </w:r>
    </w:p>
    <w:p w14:paraId="30D0736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项目名称：</w:t>
      </w:r>
      <w:r>
        <w:rPr>
          <w:rFonts w:hint="eastAsia" w:ascii="宋体" w:hAnsi="宋体" w:cs="宋体"/>
          <w:bCs/>
          <w:snapToGrid w:val="0"/>
          <w:color w:val="auto"/>
          <w:szCs w:val="21"/>
          <w:highlight w:val="none"/>
          <w:lang w:eastAsia="zh-CN"/>
        </w:rPr>
        <w:t>奉化区莼湖街道奉松路与下横线交叉口东南侧停车场建设工程</w:t>
      </w:r>
    </w:p>
    <w:p w14:paraId="3B035283">
      <w:pPr>
        <w:spacing w:line="440" w:lineRule="exact"/>
        <w:ind w:firstLine="422" w:firstLineChars="200"/>
        <w:rPr>
          <w:rFonts w:hint="default" w:ascii="宋体" w:hAnsi="宋体" w:eastAsia="宋体" w:cs="宋体"/>
          <w:bCs/>
          <w:snapToGrid w:val="0"/>
          <w:color w:val="auto"/>
          <w:szCs w:val="21"/>
          <w:highlight w:val="none"/>
          <w:lang w:val="en-US" w:eastAsia="zh-CN"/>
        </w:rPr>
      </w:pPr>
      <w:r>
        <w:rPr>
          <w:rFonts w:hint="eastAsia" w:ascii="宋体" w:hAnsi="宋体" w:cs="宋体"/>
          <w:b/>
          <w:color w:val="auto"/>
          <w:szCs w:val="21"/>
          <w:highlight w:val="none"/>
        </w:rPr>
        <w:t>预算金额（元）：</w:t>
      </w:r>
      <w:r>
        <w:rPr>
          <w:rFonts w:hint="eastAsia" w:ascii="宋体" w:hAnsi="宋体" w:cs="宋体"/>
          <w:b w:val="0"/>
          <w:bCs/>
          <w:color w:val="auto"/>
          <w:szCs w:val="21"/>
          <w:highlight w:val="none"/>
          <w:lang w:val="en-US" w:eastAsia="zh-CN"/>
        </w:rPr>
        <w:t>2236583</w:t>
      </w:r>
    </w:p>
    <w:p w14:paraId="21377701">
      <w:pPr>
        <w:spacing w:line="440" w:lineRule="exact"/>
        <w:ind w:firstLine="422" w:firstLineChars="200"/>
        <w:rPr>
          <w:rFonts w:hint="default" w:ascii="宋体" w:hAnsi="宋体" w:eastAsia="宋体" w:cs="宋体"/>
          <w:color w:val="auto"/>
          <w:szCs w:val="21"/>
          <w:highlight w:val="none"/>
          <w:lang w:val="en-US" w:eastAsia="zh-CN"/>
        </w:rPr>
      </w:pPr>
      <w:r>
        <w:rPr>
          <w:rFonts w:hint="eastAsia" w:ascii="宋体" w:hAnsi="宋体" w:cs="宋体"/>
          <w:b/>
          <w:color w:val="auto"/>
          <w:szCs w:val="21"/>
          <w:highlight w:val="none"/>
        </w:rPr>
        <w:t>最高限价（元）：</w:t>
      </w:r>
      <w:r>
        <w:rPr>
          <w:rFonts w:hint="eastAsia" w:ascii="宋体" w:hAnsi="宋体" w:cs="宋体"/>
          <w:b w:val="0"/>
          <w:bCs/>
          <w:color w:val="auto"/>
          <w:szCs w:val="21"/>
          <w:highlight w:val="none"/>
          <w:lang w:val="en-US" w:eastAsia="zh-CN"/>
        </w:rPr>
        <w:t>2012925</w:t>
      </w:r>
      <w:r>
        <w:rPr>
          <w:rFonts w:hint="eastAsia" w:ascii="Cambria" w:hAnsi="Cambria" w:cs="Cambria"/>
          <w:color w:val="auto"/>
          <w:highlight w:val="none"/>
        </w:rPr>
        <w:t>，</w:t>
      </w:r>
      <w:r>
        <w:rPr>
          <w:rFonts w:hint="eastAsia" w:ascii="宋体" w:hAnsi="宋体" w:cs="宋体"/>
          <w:bCs/>
          <w:snapToGrid w:val="0"/>
          <w:color w:val="auto"/>
          <w:szCs w:val="21"/>
          <w:highlight w:val="none"/>
        </w:rPr>
        <w:t>最高综合</w:t>
      </w:r>
      <w:r>
        <w:rPr>
          <w:rFonts w:hint="eastAsia" w:ascii="宋体" w:hAnsi="宋体" w:cs="宋体"/>
          <w:bCs/>
          <w:snapToGrid w:val="0"/>
          <w:color w:val="auto"/>
          <w:szCs w:val="21"/>
          <w:highlight w:val="none"/>
          <w:lang w:eastAsia="zh-CN"/>
        </w:rPr>
        <w:t>折扣</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90</w:t>
      </w:r>
      <w:r>
        <w:rPr>
          <w:rFonts w:hint="eastAsia" w:ascii="宋体" w:hAnsi="宋体" w:cs="宋体"/>
          <w:bCs/>
          <w:snapToGrid w:val="0"/>
          <w:color w:val="auto"/>
          <w:szCs w:val="21"/>
          <w:highlight w:val="none"/>
          <w:lang w:eastAsia="zh-CN"/>
        </w:rPr>
        <w:t>%</w:t>
      </w:r>
      <w:r>
        <w:rPr>
          <w:rFonts w:hint="eastAsia" w:ascii="宋体" w:hAnsi="宋体" w:cs="宋体"/>
          <w:bCs/>
          <w:snapToGrid w:val="0"/>
          <w:color w:val="auto"/>
          <w:szCs w:val="21"/>
          <w:highlight w:val="none"/>
        </w:rPr>
        <w:t xml:space="preserve"> </w:t>
      </w:r>
    </w:p>
    <w:p w14:paraId="2A31B5FD">
      <w:pPr>
        <w:pStyle w:val="7"/>
        <w:spacing w:line="440" w:lineRule="exact"/>
        <w:ind w:firstLine="422" w:firstLineChars="200"/>
        <w:rPr>
          <w:rFonts w:hAnsi="宋体" w:cs="宋体"/>
          <w:bCs/>
          <w:color w:val="auto"/>
          <w:kern w:val="2"/>
          <w:sz w:val="21"/>
          <w:szCs w:val="21"/>
          <w:highlight w:val="none"/>
        </w:rPr>
      </w:pPr>
      <w:r>
        <w:rPr>
          <w:rFonts w:hint="eastAsia" w:hAnsi="宋体" w:cs="宋体"/>
          <w:b/>
          <w:color w:val="auto"/>
          <w:sz w:val="21"/>
          <w:szCs w:val="21"/>
          <w:highlight w:val="none"/>
        </w:rPr>
        <w:t>采购需求：</w:t>
      </w:r>
      <w:r>
        <w:rPr>
          <w:rFonts w:hint="eastAsia" w:hAnsi="宋体" w:cs="宋体"/>
          <w:bCs/>
          <w:color w:val="auto"/>
          <w:kern w:val="2"/>
          <w:sz w:val="21"/>
          <w:szCs w:val="21"/>
          <w:highlight w:val="none"/>
          <w:lang w:eastAsia="zh-CN"/>
        </w:rPr>
        <w:t>奉化区莼湖街道奉松路与下横线交叉口东南侧停车场建设工程</w:t>
      </w:r>
      <w:r>
        <w:rPr>
          <w:rFonts w:hint="eastAsia" w:hAnsi="宋体" w:cs="宋体"/>
          <w:bCs/>
          <w:color w:val="auto"/>
          <w:kern w:val="2"/>
          <w:sz w:val="21"/>
          <w:szCs w:val="21"/>
          <w:highlight w:val="none"/>
        </w:rPr>
        <w:t>，详见采购文件第三部分采购需求。</w:t>
      </w:r>
    </w:p>
    <w:p w14:paraId="38B6D4E3">
      <w:pPr>
        <w:pStyle w:val="50"/>
        <w:keepNext w:val="0"/>
        <w:keepLines w:val="0"/>
        <w:pageBreakBefore w:val="0"/>
        <w:widowControl/>
        <w:kinsoku/>
        <w:wordWrap/>
        <w:overflowPunct/>
        <w:topLinePunct w:val="0"/>
        <w:autoSpaceDE/>
        <w:autoSpaceDN/>
        <w:bidi w:val="0"/>
        <w:adjustRightInd/>
        <w:snapToGrid/>
        <w:spacing w:before="0" w:line="440" w:lineRule="exact"/>
        <w:ind w:firstLine="422"/>
        <w:textAlignment w:val="auto"/>
        <w:outlineLvl w:val="9"/>
        <w:rPr>
          <w:rFonts w:ascii="宋体" w:hAnsi="宋体" w:cs="宋体"/>
          <w:color w:val="auto"/>
          <w:sz w:val="21"/>
          <w:szCs w:val="21"/>
          <w:highlight w:val="none"/>
        </w:rPr>
      </w:pPr>
      <w:r>
        <w:rPr>
          <w:rFonts w:hint="eastAsia" w:ascii="宋体" w:hAnsi="宋体" w:cs="宋体"/>
          <w:b/>
          <w:color w:val="auto"/>
          <w:sz w:val="21"/>
          <w:szCs w:val="21"/>
          <w:highlight w:val="none"/>
        </w:rPr>
        <w:t>合同履约期限：</w:t>
      </w:r>
      <w:r>
        <w:rPr>
          <w:rFonts w:hint="eastAsia" w:ascii="宋体" w:hAnsi="宋体" w:cs="宋体"/>
          <w:snapToGrid w:val="0"/>
          <w:color w:val="auto"/>
          <w:kern w:val="28"/>
          <w:sz w:val="21"/>
          <w:szCs w:val="21"/>
          <w:highlight w:val="none"/>
        </w:rPr>
        <w:t>详见采购文件。</w:t>
      </w:r>
    </w:p>
    <w:p w14:paraId="203922BA">
      <w:pPr>
        <w:pStyle w:val="7"/>
        <w:spacing w:line="440" w:lineRule="exact"/>
        <w:ind w:firstLine="422" w:firstLineChars="200"/>
        <w:rPr>
          <w:rFonts w:hAnsi="宋体" w:cs="宋体"/>
          <w:b/>
          <w:color w:val="auto"/>
          <w:sz w:val="21"/>
          <w:szCs w:val="21"/>
          <w:highlight w:val="none"/>
        </w:rPr>
      </w:pPr>
      <w:r>
        <w:rPr>
          <w:rFonts w:hint="eastAsia" w:hAnsi="宋体" w:cs="宋体"/>
          <w:b/>
          <w:color w:val="auto"/>
          <w:sz w:val="21"/>
          <w:szCs w:val="21"/>
          <w:highlight w:val="none"/>
        </w:rPr>
        <w:t>本项目接受联合体：</w:t>
      </w:r>
      <w:r>
        <w:rPr>
          <w:rFonts w:hint="eastAsia" w:hAnsi="宋体" w:cs="宋体"/>
          <w:color w:val="auto"/>
          <w:kern w:val="0"/>
          <w:sz w:val="21"/>
          <w:szCs w:val="21"/>
          <w:highlight w:val="none"/>
        </w:rPr>
        <w:t>☐</w:t>
      </w:r>
      <w:r>
        <w:rPr>
          <w:rFonts w:hint="eastAsia" w:hAnsi="宋体" w:cs="宋体"/>
          <w:b/>
          <w:color w:val="auto"/>
          <w:sz w:val="21"/>
          <w:szCs w:val="21"/>
          <w:highlight w:val="none"/>
        </w:rPr>
        <w:t>是，</w:t>
      </w:r>
      <w:r>
        <w:rPr>
          <w:rFonts w:hint="eastAsia" w:hAnsi="宋体" w:cs="宋体"/>
          <w:color w:val="auto"/>
          <w:kern w:val="0"/>
          <w:sz w:val="21"/>
          <w:szCs w:val="21"/>
          <w:highlight w:val="none"/>
        </w:rPr>
        <w:t xml:space="preserve"> </w:t>
      </w:r>
      <w:r>
        <w:rPr>
          <w:rFonts w:hint="eastAsia" w:hAnsi="宋体" w:cs="宋体"/>
          <w:color w:val="auto"/>
          <w:kern w:val="0"/>
          <w:sz w:val="21"/>
          <w:szCs w:val="21"/>
          <w:highlight w:val="none"/>
        </w:rPr>
        <w:sym w:font="Wingdings" w:char="F0FE"/>
      </w:r>
      <w:r>
        <w:rPr>
          <w:rFonts w:hint="eastAsia" w:hAnsi="宋体" w:cs="宋体"/>
          <w:b/>
          <w:color w:val="auto"/>
          <w:sz w:val="21"/>
          <w:szCs w:val="21"/>
          <w:highlight w:val="none"/>
        </w:rPr>
        <w:t>否</w:t>
      </w:r>
      <w:r>
        <w:rPr>
          <w:rFonts w:hint="eastAsia" w:hAnsi="宋体" w:cs="宋体"/>
          <w:color w:val="auto"/>
          <w:kern w:val="0"/>
          <w:sz w:val="21"/>
          <w:szCs w:val="21"/>
          <w:highlight w:val="none"/>
        </w:rPr>
        <w:t>。</w:t>
      </w:r>
    </w:p>
    <w:p w14:paraId="786BDA90">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二、申请人的资格要求：</w:t>
      </w:r>
    </w:p>
    <w:p w14:paraId="2F294BA1">
      <w:pPr>
        <w:spacing w:line="440" w:lineRule="exact"/>
        <w:ind w:firstLine="420"/>
        <w:rPr>
          <w:rFonts w:ascii="宋体" w:hAnsi="宋体" w:cs="宋体"/>
          <w:snapToGrid w:val="0"/>
          <w:color w:val="auto"/>
          <w:kern w:val="28"/>
          <w:szCs w:val="21"/>
          <w:highlight w:val="none"/>
        </w:rPr>
      </w:pPr>
      <w:r>
        <w:rPr>
          <w:rFonts w:hint="eastAsia" w:ascii="宋体" w:hAnsi="宋体" w:cs="宋体"/>
          <w:snapToGrid w:val="0"/>
          <w:color w:val="auto"/>
          <w:kern w:val="28"/>
          <w:szCs w:val="21"/>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5AE99BE6">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snapToGrid w:val="0"/>
          <w:color w:val="auto"/>
          <w:kern w:val="28"/>
          <w:szCs w:val="21"/>
          <w:highlight w:val="none"/>
        </w:rPr>
        <w:t>2.落实政府采购政策需满足的资格要求：</w:t>
      </w:r>
      <w:r>
        <w:rPr>
          <w:rFonts w:hint="eastAsia" w:ascii="宋体" w:hAnsi="宋体" w:cs="宋体"/>
          <w:color w:val="auto"/>
          <w:szCs w:val="21"/>
          <w:highlight w:val="none"/>
        </w:rPr>
        <w:t>无；</w:t>
      </w:r>
    </w:p>
    <w:p w14:paraId="75BD699E">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3.本项目的特定资格要求：</w:t>
      </w:r>
    </w:p>
    <w:p w14:paraId="721615A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3.1供应商须具有</w:t>
      </w:r>
      <w:r>
        <w:rPr>
          <w:rFonts w:hint="eastAsia" w:ascii="宋体" w:hAnsi="宋体" w:cs="宋体"/>
          <w:color w:val="auto"/>
          <w:szCs w:val="21"/>
          <w:highlight w:val="none"/>
          <w:lang w:val="en-US" w:eastAsia="zh-CN"/>
        </w:rPr>
        <w:t>有效的</w:t>
      </w:r>
      <w:r>
        <w:rPr>
          <w:rFonts w:hint="eastAsia" w:ascii="宋体" w:hAnsi="宋体" w:cs="宋体"/>
          <w:color w:val="auto"/>
          <w:szCs w:val="21"/>
          <w:highlight w:val="none"/>
        </w:rPr>
        <w:t>市政公用工程施工总承包</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rPr>
        <w:t>级及以上资质；</w:t>
      </w:r>
    </w:p>
    <w:p w14:paraId="3BA99E0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3.2供应商须具有有效的建筑施工企业安全生产许可证。</w:t>
      </w:r>
    </w:p>
    <w:p w14:paraId="2659B8C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C5B349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三、获取采购文件 </w:t>
      </w:r>
    </w:p>
    <w:p w14:paraId="76B26668">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日</w:t>
      </w:r>
      <w:r>
        <w:rPr>
          <w:rFonts w:hint="eastAsia" w:ascii="宋体" w:hAnsi="宋体" w:cs="宋体"/>
          <w:color w:val="auto"/>
          <w:szCs w:val="21"/>
          <w:highlight w:val="none"/>
        </w:rPr>
        <w:t>至</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，每天上午00：00至12：00 ，下午12：00至23：59（北京时间）。</w:t>
      </w:r>
    </w:p>
    <w:p w14:paraId="6AD084E9">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地点（网址）：</w:t>
      </w:r>
      <w:r>
        <w:rPr>
          <w:rFonts w:hint="eastAsia" w:ascii="宋体" w:hAnsi="宋体" w:cs="宋体"/>
          <w:color w:val="auto"/>
          <w:szCs w:val="21"/>
          <w:highlight w:val="none"/>
        </w:rPr>
        <w:t>乐采云平台 （https://www.lecaiyun.com/）。</w:t>
      </w:r>
    </w:p>
    <w:p w14:paraId="732C2CE7">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方式：</w:t>
      </w:r>
      <w:r>
        <w:rPr>
          <w:rFonts w:hint="eastAsia" w:ascii="宋体" w:hAnsi="宋体" w:cs="宋体"/>
          <w:color w:val="auto"/>
          <w:szCs w:val="21"/>
          <w:highlight w:val="none"/>
        </w:rPr>
        <w:t xml:space="preserve">供应商登录乐采云平台https://www.lecaiyun.com/在线申请获取采购文件（进入“项目采购”应用，在获取采购文件菜单中选择项目，申请获取采购文件）。 </w:t>
      </w:r>
    </w:p>
    <w:p w14:paraId="561A512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售价（元）：</w:t>
      </w:r>
      <w:r>
        <w:rPr>
          <w:rFonts w:hint="eastAsia" w:ascii="宋体" w:hAnsi="宋体" w:cs="宋体"/>
          <w:color w:val="auto"/>
          <w:szCs w:val="21"/>
          <w:highlight w:val="none"/>
        </w:rPr>
        <w:t xml:space="preserve">0 </w:t>
      </w:r>
      <w:r>
        <w:rPr>
          <w:rFonts w:hint="eastAsia" w:ascii="宋体" w:hAnsi="宋体" w:cs="宋体"/>
          <w:color w:val="auto"/>
          <w:szCs w:val="21"/>
          <w:highlight w:val="none"/>
        </w:rPr>
        <w:tab/>
      </w:r>
    </w:p>
    <w:p w14:paraId="75A6FF8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四、首次提交响应文件截止时间、磋商时间和地点</w:t>
      </w:r>
    </w:p>
    <w:p w14:paraId="466AE3C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首次提交响应文件截止时间</w:t>
      </w:r>
      <w:r>
        <w:rPr>
          <w:rFonts w:hint="eastAsia" w:ascii="宋体" w:hAnsi="宋体" w:cs="宋体"/>
          <w:b/>
          <w:color w:val="auto"/>
          <w:szCs w:val="21"/>
          <w:highlight w:val="none"/>
        </w:rPr>
        <w:t>：</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23</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点00分</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（北京时间）。</w:t>
      </w:r>
    </w:p>
    <w:p w14:paraId="3E52543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提交响应文件地点（网址）：</w:t>
      </w:r>
      <w:r>
        <w:rPr>
          <w:rFonts w:hint="eastAsia" w:ascii="宋体" w:hAnsi="宋体" w:cs="宋体"/>
          <w:color w:val="auto"/>
          <w:szCs w:val="21"/>
          <w:highlight w:val="none"/>
        </w:rPr>
        <w:t>乐采云平台 （</w:t>
      </w:r>
      <w:bookmarkStart w:id="15" w:name="OLE_LINK40"/>
      <w:bookmarkStart w:id="16" w:name="OLE_LINK41"/>
      <w:r>
        <w:rPr>
          <w:rFonts w:hint="eastAsia" w:ascii="宋体" w:hAnsi="宋体" w:cs="宋体"/>
          <w:color w:val="auto"/>
          <w:szCs w:val="21"/>
          <w:highlight w:val="none"/>
        </w:rPr>
        <w:t>https://www.lecaiyun.com/</w:t>
      </w:r>
      <w:bookmarkEnd w:id="15"/>
      <w:bookmarkEnd w:id="16"/>
      <w:r>
        <w:rPr>
          <w:rFonts w:hint="eastAsia" w:ascii="宋体" w:hAnsi="宋体" w:cs="宋体"/>
          <w:color w:val="auto"/>
          <w:szCs w:val="21"/>
          <w:highlight w:val="none"/>
        </w:rPr>
        <w:t>）。</w:t>
      </w:r>
    </w:p>
    <w:p w14:paraId="6428D7BE">
      <w:pPr>
        <w:spacing w:line="440" w:lineRule="exact"/>
        <w:ind w:firstLine="422" w:firstLineChars="200"/>
        <w:rPr>
          <w:rFonts w:ascii="宋体" w:hAnsi="宋体" w:cs="宋体"/>
          <w:bCs/>
          <w:color w:val="auto"/>
          <w:szCs w:val="21"/>
          <w:highlight w:val="none"/>
          <w:u w:val="single"/>
        </w:rPr>
      </w:pPr>
      <w:r>
        <w:rPr>
          <w:rFonts w:hint="eastAsia" w:ascii="宋体" w:hAnsi="宋体" w:cs="宋体"/>
          <w:b/>
          <w:color w:val="auto"/>
          <w:szCs w:val="21"/>
          <w:highlight w:val="none"/>
        </w:rPr>
        <w:t>首次提交响应文件开启时间</w:t>
      </w:r>
      <w:r>
        <w:rPr>
          <w:rFonts w:hint="eastAsia" w:ascii="宋体" w:hAnsi="宋体" w:cs="宋体"/>
          <w:b/>
          <w:color w:val="auto"/>
          <w:szCs w:val="21"/>
          <w:highlight w:val="none"/>
        </w:rPr>
        <w:t>：</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23</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09</w:t>
      </w:r>
      <w:r>
        <w:rPr>
          <w:rFonts w:hint="eastAsia" w:ascii="宋体" w:hAnsi="宋体" w:cs="宋体"/>
          <w:color w:val="auto"/>
          <w:szCs w:val="21"/>
          <w:highlight w:val="none"/>
          <w:u w:val="single"/>
        </w:rPr>
        <w:t>点00分</w:t>
      </w:r>
      <w:r>
        <w:rPr>
          <w:rFonts w:hint="eastAsia" w:ascii="宋体" w:hAnsi="宋体" w:cs="宋体"/>
          <w:bCs/>
          <w:color w:val="auto"/>
          <w:szCs w:val="21"/>
          <w:highlight w:val="none"/>
        </w:rPr>
        <w:t>。</w:t>
      </w:r>
    </w:p>
    <w:p w14:paraId="4569609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首次提交响应文件开启地点（网址）：</w:t>
      </w:r>
      <w:bookmarkStart w:id="17" w:name="OLE_LINK39"/>
      <w:bookmarkStart w:id="18" w:name="OLE_LINK38"/>
      <w:r>
        <w:rPr>
          <w:rFonts w:hint="eastAsia" w:ascii="宋体" w:hAnsi="宋体" w:cs="宋体"/>
          <w:color w:val="auto"/>
          <w:szCs w:val="21"/>
          <w:highlight w:val="none"/>
        </w:rPr>
        <w:t>乐采云平台 （https://www.lecaiyun.com/）</w:t>
      </w:r>
      <w:bookmarkEnd w:id="17"/>
      <w:bookmarkEnd w:id="18"/>
      <w:r>
        <w:rPr>
          <w:rFonts w:hint="eastAsia" w:ascii="宋体" w:hAnsi="宋体" w:cs="宋体"/>
          <w:color w:val="auto"/>
          <w:szCs w:val="21"/>
          <w:highlight w:val="none"/>
        </w:rPr>
        <w:t>。</w:t>
      </w:r>
    </w:p>
    <w:p w14:paraId="2494866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首次提交响应文件开启地点（线下）：</w:t>
      </w:r>
      <w:r>
        <w:rPr>
          <w:rFonts w:hint="eastAsia" w:ascii="宋体" w:hAnsi="宋体" w:cs="宋体"/>
          <w:bCs/>
          <w:color w:val="auto"/>
          <w:szCs w:val="21"/>
          <w:highlight w:val="none"/>
        </w:rPr>
        <w:t>宁波市奉化区公共资源交易中</w:t>
      </w:r>
      <w:r>
        <w:rPr>
          <w:rFonts w:hint="eastAsia" w:ascii="宋体" w:hAnsi="宋体" w:cs="宋体"/>
          <w:bCs/>
          <w:color w:val="auto"/>
          <w:szCs w:val="21"/>
          <w:highlight w:val="none"/>
        </w:rPr>
        <w:t>心开标厅</w:t>
      </w:r>
      <w:r>
        <w:rPr>
          <w:rFonts w:hint="eastAsia" w:ascii="宋体" w:hAnsi="宋体" w:cs="宋体"/>
          <w:bCs/>
          <w:color w:val="auto"/>
          <w:szCs w:val="21"/>
          <w:highlight w:val="none"/>
          <w:u w:val="single"/>
          <w:lang w:val="en-US" w:eastAsia="zh-CN"/>
        </w:rPr>
        <w:t xml:space="preserve">  1  </w:t>
      </w:r>
      <w:r>
        <w:rPr>
          <w:rFonts w:hint="eastAsia" w:ascii="宋体" w:hAnsi="宋体" w:cs="宋体"/>
          <w:bCs/>
          <w:color w:val="auto"/>
          <w:szCs w:val="21"/>
          <w:highlight w:val="none"/>
        </w:rPr>
        <w:t>（宁波市奉化区大成东路277号4楼）</w:t>
      </w:r>
    </w:p>
    <w:p w14:paraId="1053A199">
      <w:pPr>
        <w:spacing w:line="440" w:lineRule="exact"/>
        <w:ind w:firstLine="422"/>
        <w:rPr>
          <w:rFonts w:ascii="宋体" w:hAnsi="宋体" w:cs="宋体"/>
          <w:color w:val="auto"/>
          <w:szCs w:val="21"/>
          <w:highlight w:val="none"/>
        </w:rPr>
      </w:pPr>
      <w:r>
        <w:rPr>
          <w:rFonts w:hint="eastAsia" w:ascii="宋体" w:hAnsi="宋体" w:cs="宋体"/>
          <w:b/>
          <w:color w:val="auto"/>
          <w:szCs w:val="21"/>
          <w:highlight w:val="none"/>
        </w:rPr>
        <w:t xml:space="preserve">五、公告期限 </w:t>
      </w:r>
    </w:p>
    <w:p w14:paraId="3916520F">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自本公告发布之日起</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个工作日。</w:t>
      </w:r>
    </w:p>
    <w:p w14:paraId="34D86ED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六、其他补充事宜</w:t>
      </w:r>
    </w:p>
    <w:p w14:paraId="499DFB21">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15个工作日内向同级采购监督管理部门投诉。</w:t>
      </w:r>
    </w:p>
    <w:p w14:paraId="77882F2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2.其他事项：（1）需要落实的政府采购政策：包括节约资源、保护环境、支持创新、促进中小企业发展等。详见采购文件的第二部分总则。</w:t>
      </w:r>
    </w:p>
    <w:p w14:paraId="76AD5AF3">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（2）电子交易的说明：①电子交易：本项目以数据电文形式，依托“乐采云平台 （https://www.lecaiyun.com/）”进行磋商活动，不接受纸质响应文件；②磋商准备：注册账号--点击“商家入驻”，进行政府采购供应商资料填写；申领CA数字证书---申领流程详见“浙江企业采购信息服务网-下载专区-电子交易客户端-CA驱动和申领流程”；安装“乐采云电子交易客户端”----前往“浙江企业采购信息服务网-下载专区-电子交易客户端</w:t>
      </w:r>
      <w:bookmarkStart w:id="19" w:name="OLE_LINK24"/>
      <w:bookmarkStart w:id="20" w:name="OLE_LINK23"/>
      <w:bookmarkStart w:id="21" w:name="OLE_LINK14"/>
      <w:r>
        <w:rPr>
          <w:rFonts w:hint="eastAsia" w:ascii="宋体" w:hAnsi="宋体" w:cs="宋体"/>
          <w:color w:val="auto"/>
          <w:szCs w:val="21"/>
          <w:highlight w:val="none"/>
        </w:rPr>
        <w:t>（</w:t>
      </w:r>
      <w:bookmarkStart w:id="22" w:name="OLE_LINK22"/>
      <w:r>
        <w:rPr>
          <w:rFonts w:hint="eastAsia" w:ascii="宋体" w:hAnsi="宋体" w:cs="宋体"/>
          <w:color w:val="auto"/>
          <w:szCs w:val="21"/>
          <w:highlight w:val="none"/>
        </w:rPr>
        <w:t>https://b.zhengcaiyun.cn/luban/category?parentId=550045&amp;childrenCode=qicaiCategory17&amp;utm=luban.luban-PC-39026.959-pc-websitegroup-navBar-front.8.ebdec73052c711ef9ade896d008b9248</w:t>
      </w:r>
      <w:bookmarkEnd w:id="22"/>
      <w:r>
        <w:rPr>
          <w:rFonts w:hint="eastAsia" w:ascii="宋体" w:hAnsi="宋体" w:cs="宋体"/>
          <w:color w:val="auto"/>
          <w:szCs w:val="21"/>
          <w:highlight w:val="none"/>
        </w:rPr>
        <w:t>）</w:t>
      </w:r>
      <w:bookmarkEnd w:id="19"/>
      <w:bookmarkEnd w:id="20"/>
      <w:bookmarkEnd w:id="21"/>
      <w:r>
        <w:rPr>
          <w:rFonts w:hint="eastAsia" w:ascii="宋体" w:hAnsi="宋体" w:cs="宋体"/>
          <w:color w:val="auto"/>
          <w:szCs w:val="21"/>
          <w:highlight w:val="none"/>
        </w:rPr>
        <w:t>”进行下载并安装；</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在磋商前应确保成为浙江企业采购信息服务网正式注册入库供应商，并完成CA数字证书办理。完成CA数字证书办理在资料齐全的情况下预计7个工作日左右，请各</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合理预估时间，及时办理。③采购文件的获取：使用账号登录或者使用CA登录乐采云平台；进入“项目采购”应用，在获取采购文件菜单中选择项目，获取采购文件；④响应文件的制作：在“乐采云电子交易客户端”中完成“填写基本信息”、“导入响应文件”、“标书关联”、“标书检查”、“电子签名”、“生成电子标书”等操作；⑤采购人、采购代理机构将依托乐采云平台完成本项目的电子交易活动，平台不接受未按上述方式获取采购文件的供应商进行磋商响应活动； ⑥对未按上述方式获取采购文件的供应商对该文件提出的质疑，采购人或采购代理机构将不予处理；⑦不提供采购文件纸质版；⑧响应文件的解密：</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按照平台提示和采购文件的规定在半小时内完成在线解密。⑨具体操作指南：详见乐采云平台“服务中心-帮助文档-项目采购-操作流程-电子招投标-政府采购项目电子交易管理操作指南-供应商”。</w:t>
      </w:r>
    </w:p>
    <w:p w14:paraId="19D97740">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（3）本《第一部分 竞争性磋商公告》中二、申请人的资格要求：第一条中的“重大税收违法案件当事人名单”即为“重大税收违法失信主体”。 </w:t>
      </w:r>
    </w:p>
    <w:p w14:paraId="1349D1BD">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七、对本次采购提出询问、质疑、投诉，请按以下方式联系</w:t>
      </w:r>
    </w:p>
    <w:p w14:paraId="314AD137">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1.采购人信息</w:t>
      </w:r>
    </w:p>
    <w:p w14:paraId="2736C57F">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宁波市奉化九峰城镇建设发展有限公司</w:t>
      </w:r>
    </w:p>
    <w:p w14:paraId="799CBF97">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地 址：宁波市奉化区莼湖街道横街28号</w:t>
      </w:r>
    </w:p>
    <w:p w14:paraId="34408702">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传 真：/</w:t>
      </w:r>
    </w:p>
    <w:p w14:paraId="4C93DF0C">
      <w:pPr>
        <w:spacing w:line="360" w:lineRule="auto"/>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李先生</w:t>
      </w:r>
    </w:p>
    <w:p w14:paraId="7955FC11">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项目联系方式：13777272155</w:t>
      </w:r>
    </w:p>
    <w:p w14:paraId="43EF300D">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2.采购代理机构信息            </w:t>
      </w:r>
    </w:p>
    <w:p w14:paraId="59342DA5">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宁波旭坤项目管理咨询有限公司</w:t>
      </w:r>
    </w:p>
    <w:p w14:paraId="3F13B530">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 xml:space="preserve">地 址：宁波市奉化区大成路1199号锋成科技大厦C幢403          </w:t>
      </w:r>
    </w:p>
    <w:p w14:paraId="65EBD889">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吴健</w:t>
      </w:r>
    </w:p>
    <w:p w14:paraId="5B4A443D">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项目联系方式：</w:t>
      </w:r>
      <w:r>
        <w:rPr>
          <w:rFonts w:hint="eastAsia" w:ascii="宋体" w:hAnsi="宋体" w:cs="宋体"/>
          <w:color w:val="auto"/>
          <w:szCs w:val="21"/>
          <w:highlight w:val="none"/>
          <w:lang w:val="en-US" w:eastAsia="zh-CN"/>
        </w:rPr>
        <w:t>18067339717</w:t>
      </w:r>
    </w:p>
    <w:p w14:paraId="556A47E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3.监督管理部门            </w:t>
      </w:r>
    </w:p>
    <w:p w14:paraId="6444B004">
      <w:pPr>
        <w:spacing w:line="360" w:lineRule="auto"/>
        <w:rPr>
          <w:rFonts w:hint="eastAsia" w:ascii="宋体" w:hAnsi="宋体" w:eastAsia="宋体" w:cs="宋体"/>
          <w:color w:val="auto"/>
          <w:szCs w:val="21"/>
          <w:highlight w:val="none"/>
        </w:rPr>
      </w:pPr>
      <w:r>
        <w:rPr>
          <w:rFonts w:hint="eastAsia" w:ascii="宋体" w:hAnsi="宋体" w:eastAsia="宋体" w:cs="宋体"/>
          <w:color w:val="FF0000"/>
          <w:szCs w:val="21"/>
          <w:highlight w:val="none"/>
        </w:rPr>
        <w:t xml:space="preserve"> </w:t>
      </w:r>
      <w:r>
        <w:rPr>
          <w:rFonts w:hint="eastAsia" w:ascii="宋体" w:hAnsi="宋体" w:eastAsia="宋体" w:cs="宋体"/>
          <w:color w:val="auto"/>
          <w:szCs w:val="21"/>
          <w:highlight w:val="none"/>
        </w:rPr>
        <w:t xml:space="preserve">   名    称：宁波市奉化区农商控股集团有限公司纪检监察(审计)部</w:t>
      </w:r>
    </w:p>
    <w:p w14:paraId="4B18539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地    址：宁波市奉化区岳林街道斗门北路298号</w:t>
      </w:r>
    </w:p>
    <w:p w14:paraId="119C576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联 系 人 ：黄女士  </w:t>
      </w:r>
    </w:p>
    <w:p w14:paraId="6310AE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监督投诉电话：13515884851</w:t>
      </w:r>
    </w:p>
    <w:p w14:paraId="4EA749A1">
      <w:pPr>
        <w:spacing w:line="360" w:lineRule="auto"/>
        <w:rPr>
          <w:rFonts w:ascii="宋体" w:hAnsi="宋体" w:cs="宋体"/>
          <w:color w:val="auto"/>
          <w:szCs w:val="21"/>
          <w:highlight w:val="none"/>
        </w:rPr>
      </w:pPr>
      <w:r>
        <w:rPr>
          <w:rFonts w:hint="eastAsia" w:ascii="宋体" w:hAnsi="宋体" w:eastAsia="宋体" w:cs="宋体"/>
          <w:color w:val="auto"/>
          <w:szCs w:val="21"/>
          <w:highlight w:val="none"/>
        </w:rPr>
        <w:t>若对项目采购电子交易</w:t>
      </w:r>
      <w:r>
        <w:rPr>
          <w:rFonts w:hint="eastAsia" w:ascii="宋体" w:hAnsi="宋体" w:cs="宋体"/>
          <w:color w:val="auto"/>
          <w:szCs w:val="21"/>
          <w:highlight w:val="none"/>
        </w:rPr>
        <w:t>系统操作有疑问，可登录乐采云（https://www.lecaiyun.com/），点击右侧咨询小采，获取采小蜜智能服务管家帮助，或拨打乐采云服务热线95763获取热线服务帮助。</w:t>
      </w:r>
    </w:p>
    <w:p w14:paraId="251E6429">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CA问题联系电话（人工）：汇信CA 400-888-4636；天谷CA 400-087-8198。</w:t>
      </w:r>
    </w:p>
    <w:p w14:paraId="25C05175">
      <w:pPr>
        <w:ind w:firstLine="723"/>
        <w:rPr>
          <w:rFonts w:asciiTheme="minorEastAsia" w:hAnsiTheme="minorEastAsia" w:eastAsiaTheme="minorEastAsia" w:cstheme="minorEastAsia"/>
          <w:b/>
          <w:color w:val="auto"/>
          <w:sz w:val="36"/>
          <w:szCs w:val="20"/>
          <w:highlight w:val="none"/>
        </w:rPr>
      </w:pPr>
      <w:r>
        <w:rPr>
          <w:rFonts w:asciiTheme="minorEastAsia" w:hAnsiTheme="minorEastAsia" w:eastAsiaTheme="minorEastAsia" w:cstheme="minorEastAsia"/>
          <w:b/>
          <w:color w:val="auto"/>
          <w:sz w:val="36"/>
          <w:szCs w:val="20"/>
          <w:highlight w:val="none"/>
        </w:rPr>
        <w:br w:type="page"/>
      </w:r>
    </w:p>
    <w:p w14:paraId="2880F199">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第二部分</w:t>
      </w:r>
      <w:bookmarkEnd w:id="10"/>
      <w:r>
        <w:rPr>
          <w:rFonts w:hint="eastAsia" w:asciiTheme="minorEastAsia" w:hAnsiTheme="minorEastAsia" w:eastAsiaTheme="minorEastAsia" w:cstheme="minorEastAsia"/>
          <w:b/>
          <w:color w:val="auto"/>
          <w:sz w:val="36"/>
          <w:szCs w:val="20"/>
        </w:rPr>
        <w:t xml:space="preserve"> 响应须知</w:t>
      </w:r>
      <w:bookmarkEnd w:id="11"/>
    </w:p>
    <w:p w14:paraId="2206BEB6">
      <w:pPr>
        <w:snapToGrid w:val="0"/>
        <w:spacing w:line="360" w:lineRule="auto"/>
        <w:ind w:firstLine="643"/>
        <w:jc w:val="center"/>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rPr>
        <w:t>前附表</w:t>
      </w:r>
    </w:p>
    <w:tbl>
      <w:tblPr>
        <w:tblStyle w:val="26"/>
        <w:tblW w:w="913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662"/>
      </w:tblGrid>
      <w:tr w14:paraId="47651A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0F4767AA">
            <w:pPr>
              <w:snapToGrid w:val="0"/>
              <w:spacing w:line="440" w:lineRule="exact"/>
              <w:jc w:val="center"/>
              <w:rPr>
                <w:rFonts w:ascii="宋体" w:hAnsi="宋体" w:cs="宋体"/>
                <w:b/>
                <w:color w:val="auto"/>
                <w:szCs w:val="21"/>
              </w:rPr>
            </w:pPr>
            <w:r>
              <w:rPr>
                <w:rFonts w:hint="eastAsia" w:ascii="宋体" w:hAnsi="宋体" w:cs="宋体"/>
                <w:b/>
                <w:color w:val="auto"/>
                <w:szCs w:val="21"/>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DE213EE">
            <w:pPr>
              <w:snapToGrid w:val="0"/>
              <w:spacing w:line="440" w:lineRule="exact"/>
              <w:jc w:val="center"/>
              <w:rPr>
                <w:rFonts w:ascii="宋体" w:hAnsi="宋体" w:cs="宋体"/>
                <w:b/>
                <w:color w:val="auto"/>
                <w:szCs w:val="21"/>
              </w:rPr>
            </w:pPr>
            <w:r>
              <w:rPr>
                <w:rFonts w:hint="eastAsia" w:ascii="宋体" w:hAnsi="宋体" w:cs="宋体"/>
                <w:b/>
                <w:color w:val="auto"/>
                <w:szCs w:val="21"/>
              </w:rPr>
              <w:t>事项</w:t>
            </w:r>
          </w:p>
        </w:tc>
        <w:tc>
          <w:tcPr>
            <w:tcW w:w="6662" w:type="dxa"/>
            <w:tcBorders>
              <w:top w:val="single" w:color="000000" w:sz="8" w:space="0"/>
              <w:left w:val="single" w:color="000000" w:sz="2" w:space="0"/>
              <w:bottom w:val="single" w:color="000000" w:sz="8" w:space="0"/>
              <w:right w:val="single" w:color="000000" w:sz="8" w:space="0"/>
            </w:tcBorders>
            <w:vAlign w:val="center"/>
          </w:tcPr>
          <w:p w14:paraId="66F38E96">
            <w:pPr>
              <w:snapToGrid w:val="0"/>
              <w:spacing w:line="440" w:lineRule="exact"/>
              <w:jc w:val="center"/>
              <w:rPr>
                <w:rFonts w:ascii="宋体" w:hAnsi="宋体" w:cs="宋体"/>
                <w:b/>
                <w:color w:val="auto"/>
                <w:szCs w:val="21"/>
              </w:rPr>
            </w:pPr>
            <w:r>
              <w:rPr>
                <w:rFonts w:hint="eastAsia" w:ascii="宋体" w:hAnsi="宋体" w:cs="宋体"/>
                <w:b/>
                <w:color w:val="auto"/>
                <w:szCs w:val="21"/>
              </w:rPr>
              <w:t>本项目的特别规定</w:t>
            </w:r>
          </w:p>
        </w:tc>
      </w:tr>
      <w:tr w14:paraId="7798D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72" w:hRule="atLeast"/>
          <w:tblHeader/>
        </w:trPr>
        <w:tc>
          <w:tcPr>
            <w:tcW w:w="629" w:type="dxa"/>
            <w:tcBorders>
              <w:top w:val="single" w:color="auto" w:sz="4" w:space="0"/>
              <w:left w:val="single" w:color="auto" w:sz="4" w:space="0"/>
              <w:bottom w:val="single" w:color="auto" w:sz="4" w:space="0"/>
              <w:right w:val="single" w:color="auto" w:sz="4" w:space="0"/>
            </w:tcBorders>
          </w:tcPr>
          <w:p w14:paraId="6A061CA8">
            <w:pPr>
              <w:snapToGrid w:val="0"/>
              <w:spacing w:line="440" w:lineRule="exact"/>
              <w:jc w:val="center"/>
              <w:rPr>
                <w:rFonts w:ascii="宋体" w:hAnsi="宋体" w:cs="宋体"/>
                <w:color w:val="auto"/>
                <w:szCs w:val="21"/>
              </w:rPr>
            </w:pPr>
          </w:p>
          <w:p w14:paraId="6BF54C0E">
            <w:pPr>
              <w:snapToGrid w:val="0"/>
              <w:spacing w:line="440" w:lineRule="exact"/>
              <w:jc w:val="center"/>
              <w:rPr>
                <w:rFonts w:ascii="宋体" w:hAnsi="宋体" w:cs="宋体"/>
                <w:color w:val="auto"/>
                <w:szCs w:val="21"/>
              </w:rPr>
            </w:pPr>
          </w:p>
          <w:p w14:paraId="4963AF28">
            <w:pPr>
              <w:snapToGrid w:val="0"/>
              <w:spacing w:line="440" w:lineRule="exact"/>
              <w:jc w:val="center"/>
              <w:rPr>
                <w:rFonts w:ascii="宋体" w:hAnsi="宋体" w:cs="宋体"/>
                <w:color w:val="auto"/>
                <w:szCs w:val="21"/>
              </w:rPr>
            </w:pPr>
          </w:p>
          <w:p w14:paraId="1A6BB438">
            <w:pPr>
              <w:snapToGrid w:val="0"/>
              <w:spacing w:line="440" w:lineRule="exact"/>
              <w:jc w:val="center"/>
              <w:rPr>
                <w:rFonts w:ascii="宋体" w:hAnsi="宋体" w:cs="宋体"/>
                <w:color w:val="auto"/>
                <w:szCs w:val="21"/>
              </w:rPr>
            </w:pPr>
          </w:p>
          <w:p w14:paraId="74F85614">
            <w:pPr>
              <w:snapToGrid w:val="0"/>
              <w:spacing w:line="440" w:lineRule="exact"/>
              <w:jc w:val="center"/>
              <w:rPr>
                <w:rFonts w:ascii="宋体" w:hAnsi="宋体" w:cs="宋体"/>
                <w:color w:val="auto"/>
                <w:szCs w:val="21"/>
              </w:rPr>
            </w:pPr>
          </w:p>
          <w:p w14:paraId="023ABA5A">
            <w:pPr>
              <w:snapToGrid w:val="0"/>
              <w:spacing w:line="440" w:lineRule="exact"/>
              <w:jc w:val="center"/>
              <w:rPr>
                <w:rFonts w:ascii="宋体" w:hAnsi="宋体" w:cs="宋体"/>
                <w:color w:val="auto"/>
                <w:szCs w:val="21"/>
              </w:rPr>
            </w:pPr>
            <w:r>
              <w:rPr>
                <w:rFonts w:hint="eastAsia" w:ascii="宋体" w:hAnsi="宋体" w:cs="宋体"/>
                <w:color w:val="auto"/>
                <w:szCs w:val="21"/>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7AE8A60D">
            <w:pPr>
              <w:snapToGrid w:val="0"/>
              <w:spacing w:line="440" w:lineRule="exact"/>
              <w:jc w:val="center"/>
              <w:rPr>
                <w:rFonts w:ascii="宋体" w:hAnsi="宋体" w:cs="宋体"/>
                <w:b/>
                <w:color w:val="auto"/>
                <w:szCs w:val="21"/>
              </w:rPr>
            </w:pPr>
            <w:r>
              <w:rPr>
                <w:rFonts w:hint="eastAsia" w:ascii="宋体" w:hAnsi="宋体" w:cs="宋体"/>
                <w:b/>
                <w:color w:val="auto"/>
                <w:szCs w:val="21"/>
              </w:rPr>
              <w:t>报价要求</w:t>
            </w:r>
          </w:p>
        </w:tc>
        <w:tc>
          <w:tcPr>
            <w:tcW w:w="6662" w:type="dxa"/>
            <w:tcBorders>
              <w:top w:val="single" w:color="000000" w:sz="8" w:space="0"/>
              <w:left w:val="single" w:color="000000" w:sz="2" w:space="0"/>
              <w:bottom w:val="single" w:color="000000" w:sz="8" w:space="0"/>
              <w:right w:val="single" w:color="000000" w:sz="8" w:space="0"/>
            </w:tcBorders>
            <w:vAlign w:val="center"/>
          </w:tcPr>
          <w:p w14:paraId="5E9D0F8E">
            <w:pPr>
              <w:snapToGrid w:val="0"/>
              <w:spacing w:line="440" w:lineRule="exact"/>
              <w:rPr>
                <w:rFonts w:ascii="宋体" w:hAnsi="宋体" w:cs="宋体"/>
                <w:b/>
                <w:color w:val="auto"/>
                <w:kern w:val="0"/>
                <w:szCs w:val="21"/>
                <w:lang w:val="zh-CN"/>
              </w:rPr>
            </w:pPr>
            <w:r>
              <w:rPr>
                <w:rFonts w:hint="eastAsia" w:ascii="宋体" w:hAnsi="宋体" w:cs="宋体"/>
                <w:color w:val="auto"/>
                <w:kern w:val="0"/>
                <w:szCs w:val="21"/>
                <w:lang w:val="zh-CN"/>
              </w:rPr>
              <w:t>有关本项目实施所需的所有费用（含税费）均计入报价。</w:t>
            </w:r>
            <w:r>
              <w:rPr>
                <w:rFonts w:hint="eastAsia" w:ascii="宋体" w:hAnsi="宋体" w:cs="宋体"/>
                <w:color w:val="auto"/>
                <w:szCs w:val="21"/>
              </w:rPr>
              <w:t>报价一览表是报价的唯一载体</w:t>
            </w:r>
            <w:r>
              <w:rPr>
                <w:rFonts w:hint="eastAsia" w:ascii="宋体" w:hAnsi="宋体" w:cs="宋体"/>
                <w:color w:val="auto"/>
                <w:kern w:val="0"/>
                <w:szCs w:val="21"/>
                <w:lang w:val="zh-CN"/>
              </w:rPr>
              <w:t>。</w:t>
            </w:r>
            <w:r>
              <w:rPr>
                <w:rFonts w:hint="eastAsia" w:ascii="宋体" w:hAnsi="宋体" w:cs="宋体"/>
                <w:b/>
                <w:color w:val="auto"/>
                <w:kern w:val="0"/>
                <w:szCs w:val="21"/>
                <w:lang w:val="zh-CN"/>
              </w:rPr>
              <w:t>响应文件中价格采用综合折扣报价，</w:t>
            </w:r>
            <w:r>
              <w:rPr>
                <w:rFonts w:hint="eastAsia" w:ascii="宋体" w:hAnsi="宋体" w:cs="宋体"/>
                <w:b/>
                <w:color w:val="auto"/>
                <w:kern w:val="0"/>
                <w:szCs w:val="21"/>
                <w:lang w:val="en-US" w:eastAsia="zh-CN"/>
              </w:rPr>
              <w:t>综合折扣四舍五入保留一位小数</w:t>
            </w:r>
            <w:r>
              <w:rPr>
                <w:rFonts w:hint="eastAsia" w:ascii="宋体" w:hAnsi="宋体" w:cs="宋体"/>
                <w:color w:val="auto"/>
                <w:kern w:val="0"/>
                <w:szCs w:val="21"/>
                <w:lang w:val="zh-CN"/>
              </w:rPr>
              <w:t>。</w:t>
            </w:r>
          </w:p>
          <w:p w14:paraId="1D1ACF4B">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响应报价出现下列情形的，响应无效：</w:t>
            </w:r>
          </w:p>
          <w:p w14:paraId="3C4439E8">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响应文件出现不是唯一的、有选择性响应报价的；</w:t>
            </w:r>
          </w:p>
          <w:p w14:paraId="18C20C44">
            <w:pPr>
              <w:snapToGrid w:val="0"/>
              <w:spacing w:line="440" w:lineRule="exact"/>
              <w:rPr>
                <w:rFonts w:ascii="宋体" w:hAnsi="宋体" w:cs="宋体"/>
                <w:color w:val="auto"/>
                <w:kern w:val="0"/>
                <w:szCs w:val="21"/>
                <w:lang w:val="zh-CN"/>
              </w:rPr>
            </w:pPr>
            <w:r>
              <w:rPr>
                <w:rFonts w:hint="eastAsia" w:ascii="宋体" w:hAnsi="宋体" w:cs="宋体"/>
                <w:b/>
                <w:color w:val="auto"/>
                <w:kern w:val="0"/>
                <w:szCs w:val="21"/>
                <w:lang w:val="zh-CN"/>
              </w:rPr>
              <w:t>响应报价超过采购文件中规定的最高综合折扣的；</w:t>
            </w:r>
          </w:p>
          <w:p w14:paraId="31E2ABED">
            <w:pPr>
              <w:spacing w:line="440" w:lineRule="exact"/>
              <w:rPr>
                <w:rFonts w:ascii="宋体" w:hAnsi="宋体" w:cs="宋体"/>
                <w:b/>
                <w:color w:val="auto"/>
                <w:szCs w:val="21"/>
              </w:rPr>
            </w:pPr>
            <w:r>
              <w:rPr>
                <w:rFonts w:hint="eastAsia" w:ascii="宋体" w:hAnsi="宋体" w:cs="宋体"/>
                <w:b/>
                <w:color w:val="auto"/>
                <w:kern w:val="0"/>
                <w:szCs w:val="21"/>
              </w:rPr>
              <w:t>报价明显低于其他通过符合性审查供应商的报价，有可能影响服务质量或者不能诚信履约的，未能按要求提供书面说明或者提交相关证明材料证明其报价合理性的</w:t>
            </w:r>
            <w:r>
              <w:rPr>
                <w:rFonts w:hint="eastAsia" w:ascii="宋体" w:hAnsi="宋体" w:cs="宋体"/>
                <w:b/>
                <w:color w:val="auto"/>
                <w:szCs w:val="21"/>
              </w:rPr>
              <w:t>;</w:t>
            </w:r>
          </w:p>
          <w:p w14:paraId="01433A88">
            <w:pPr>
              <w:spacing w:line="440" w:lineRule="exact"/>
              <w:rPr>
                <w:rFonts w:ascii="宋体" w:hAnsi="宋体" w:cs="宋体"/>
                <w:color w:val="auto"/>
                <w:szCs w:val="21"/>
              </w:rPr>
            </w:pPr>
            <w:r>
              <w:rPr>
                <w:rFonts w:hint="eastAsia" w:ascii="宋体" w:hAnsi="宋体" w:cs="宋体"/>
                <w:b/>
                <w:color w:val="auto"/>
                <w:kern w:val="0"/>
                <w:szCs w:val="21"/>
              </w:rPr>
              <w:t>供应商对根据修正原则修正后的报价不确认的</w:t>
            </w:r>
            <w:r>
              <w:rPr>
                <w:rFonts w:hint="eastAsia" w:ascii="宋体" w:hAnsi="宋体" w:cs="宋体"/>
                <w:b/>
                <w:color w:val="auto"/>
                <w:szCs w:val="21"/>
              </w:rPr>
              <w:t>。</w:t>
            </w:r>
          </w:p>
        </w:tc>
      </w:tr>
      <w:tr w14:paraId="16D8A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6BD825B">
            <w:pPr>
              <w:snapToGrid w:val="0"/>
              <w:spacing w:line="440" w:lineRule="exact"/>
              <w:jc w:val="center"/>
              <w:rPr>
                <w:rFonts w:ascii="宋体" w:hAnsi="宋体" w:cs="宋体"/>
                <w:color w:val="auto"/>
                <w:szCs w:val="21"/>
              </w:rPr>
            </w:pPr>
            <w:r>
              <w:rPr>
                <w:rFonts w:hint="eastAsia" w:ascii="宋体" w:hAnsi="宋体" w:cs="宋体"/>
                <w:color w:val="auto"/>
                <w:szCs w:val="21"/>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4CEA59A">
            <w:pPr>
              <w:snapToGrid w:val="0"/>
              <w:spacing w:line="440" w:lineRule="exact"/>
              <w:jc w:val="center"/>
              <w:rPr>
                <w:rFonts w:ascii="宋体" w:hAnsi="宋体" w:cs="宋体"/>
                <w:b/>
                <w:color w:val="auto"/>
                <w:szCs w:val="21"/>
              </w:rPr>
            </w:pPr>
            <w:r>
              <w:rPr>
                <w:rFonts w:hint="eastAsia" w:ascii="宋体" w:hAnsi="宋体" w:cs="宋体"/>
                <w:b/>
                <w:color w:val="auto"/>
                <w:szCs w:val="21"/>
              </w:rPr>
              <w:t>分包</w:t>
            </w:r>
          </w:p>
        </w:tc>
        <w:tc>
          <w:tcPr>
            <w:tcW w:w="6662" w:type="dxa"/>
            <w:tcBorders>
              <w:top w:val="single" w:color="000000" w:sz="8" w:space="0"/>
              <w:left w:val="single" w:color="000000" w:sz="2" w:space="0"/>
              <w:bottom w:val="single" w:color="000000" w:sz="8" w:space="0"/>
              <w:right w:val="single" w:color="000000" w:sz="8" w:space="0"/>
            </w:tcBorders>
            <w:vAlign w:val="center"/>
          </w:tcPr>
          <w:p w14:paraId="6D08722F">
            <w:pPr>
              <w:spacing w:line="440" w:lineRule="exact"/>
              <w:rPr>
                <w:rFonts w:ascii="宋体" w:hAnsi="宋体" w:cs="宋体"/>
                <w:color w:val="auto"/>
                <w:szCs w:val="21"/>
              </w:rPr>
            </w:pPr>
            <w:r>
              <w:rPr>
                <w:rFonts w:hint="eastAsia" w:ascii="宋体" w:hAnsi="宋体" w:cs="宋体"/>
                <w:color w:val="auto"/>
                <w:szCs w:val="21"/>
              </w:rPr>
              <w:t>不同意分包。</w:t>
            </w:r>
          </w:p>
        </w:tc>
      </w:tr>
      <w:tr w14:paraId="4937D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342"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D5C1307">
            <w:pPr>
              <w:snapToGrid w:val="0"/>
              <w:spacing w:line="440" w:lineRule="exact"/>
              <w:jc w:val="center"/>
              <w:rPr>
                <w:rFonts w:ascii="宋体" w:hAnsi="宋体" w:cs="宋体"/>
                <w:color w:val="auto"/>
                <w:szCs w:val="21"/>
              </w:rPr>
            </w:pPr>
            <w:r>
              <w:rPr>
                <w:rFonts w:hint="eastAsia" w:ascii="宋体" w:hAnsi="宋体" w:cs="宋体"/>
                <w:color w:val="auto"/>
                <w:szCs w:val="21"/>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A2F1215">
            <w:pPr>
              <w:snapToGrid w:val="0"/>
              <w:spacing w:line="440" w:lineRule="exact"/>
              <w:jc w:val="center"/>
              <w:rPr>
                <w:rFonts w:ascii="宋体" w:hAnsi="宋体" w:cs="宋体"/>
                <w:b/>
                <w:color w:val="auto"/>
                <w:szCs w:val="21"/>
              </w:rPr>
            </w:pPr>
            <w:r>
              <w:rPr>
                <w:rFonts w:hint="eastAsia" w:ascii="宋体" w:hAnsi="宋体" w:cs="宋体"/>
                <w:b/>
                <w:color w:val="auto"/>
                <w:szCs w:val="21"/>
              </w:rPr>
              <w:t>供应商应当提供的资格文件</w:t>
            </w:r>
          </w:p>
        </w:tc>
        <w:tc>
          <w:tcPr>
            <w:tcW w:w="6662" w:type="dxa"/>
            <w:tcBorders>
              <w:top w:val="single" w:color="000000" w:sz="8" w:space="0"/>
              <w:left w:val="single" w:color="000000" w:sz="2" w:space="0"/>
              <w:bottom w:val="single" w:color="000000" w:sz="8" w:space="0"/>
              <w:right w:val="single" w:color="000000" w:sz="8" w:space="0"/>
            </w:tcBorders>
            <w:vAlign w:val="center"/>
          </w:tcPr>
          <w:p w14:paraId="624C09A6">
            <w:pPr>
              <w:spacing w:line="440" w:lineRule="exact"/>
              <w:rPr>
                <w:rFonts w:ascii="宋体" w:hAnsi="宋体" w:cs="宋体"/>
                <w:color w:val="auto"/>
                <w:szCs w:val="21"/>
              </w:rPr>
            </w:pPr>
            <w:r>
              <w:rPr>
                <w:rFonts w:hint="eastAsia" w:ascii="宋体" w:hAnsi="宋体" w:cs="宋体"/>
                <w:color w:val="auto"/>
                <w:szCs w:val="21"/>
              </w:rPr>
              <w:t>资格证明文件：见采购文件第二部分9.1。</w:t>
            </w:r>
          </w:p>
          <w:p w14:paraId="79521CE9">
            <w:pPr>
              <w:spacing w:line="440" w:lineRule="exact"/>
              <w:rPr>
                <w:rFonts w:ascii="宋体" w:hAnsi="宋体" w:cs="宋体"/>
                <w:color w:val="auto"/>
                <w:kern w:val="0"/>
                <w:szCs w:val="21"/>
              </w:rPr>
            </w:pPr>
            <w:r>
              <w:rPr>
                <w:rFonts w:hint="eastAsia" w:ascii="宋体" w:hAnsi="宋体" w:cs="宋体"/>
                <w:color w:val="auto"/>
                <w:szCs w:val="21"/>
              </w:rPr>
              <w:t>资格证明文件不全的或者不符合采购文件标明的资格要求的</w:t>
            </w:r>
            <w:r>
              <w:rPr>
                <w:rFonts w:hint="eastAsia" w:ascii="宋体" w:hAnsi="宋体" w:cs="宋体"/>
                <w:color w:val="auto"/>
                <w:szCs w:val="21"/>
                <w:lang w:val="zh-CN"/>
              </w:rPr>
              <w:t>，视为供应商不具备采购文件中规定的资格要求，响应无效。</w:t>
            </w:r>
          </w:p>
        </w:tc>
      </w:tr>
      <w:tr w14:paraId="2C2CA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blHeader/>
        </w:trPr>
        <w:tc>
          <w:tcPr>
            <w:tcW w:w="629" w:type="dxa"/>
            <w:tcBorders>
              <w:top w:val="single" w:color="auto" w:sz="4" w:space="0"/>
              <w:left w:val="single" w:color="auto" w:sz="4" w:space="0"/>
              <w:bottom w:val="single" w:color="auto" w:sz="4" w:space="0"/>
              <w:right w:val="single" w:color="auto" w:sz="4" w:space="0"/>
            </w:tcBorders>
          </w:tcPr>
          <w:p w14:paraId="78EBF03F">
            <w:pPr>
              <w:snapToGrid w:val="0"/>
              <w:spacing w:line="440" w:lineRule="exact"/>
              <w:jc w:val="center"/>
              <w:rPr>
                <w:rFonts w:ascii="宋体" w:hAnsi="宋体" w:cs="宋体"/>
                <w:color w:val="auto"/>
                <w:szCs w:val="21"/>
              </w:rPr>
            </w:pPr>
            <w:r>
              <w:rPr>
                <w:rFonts w:hint="eastAsia" w:ascii="宋体" w:hAnsi="宋体" w:cs="宋体"/>
                <w:color w:val="auto"/>
                <w:szCs w:val="21"/>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29B3CA9">
            <w:pPr>
              <w:snapToGrid w:val="0"/>
              <w:spacing w:line="440" w:lineRule="exact"/>
              <w:jc w:val="center"/>
              <w:rPr>
                <w:rFonts w:ascii="宋体" w:hAnsi="宋体" w:cs="宋体"/>
                <w:b/>
                <w:color w:val="auto"/>
                <w:szCs w:val="21"/>
              </w:rPr>
            </w:pPr>
            <w:r>
              <w:rPr>
                <w:rFonts w:hint="eastAsia" w:ascii="宋体" w:hAnsi="宋体" w:cs="宋体"/>
                <w:b/>
                <w:color w:val="auto"/>
                <w:szCs w:val="21"/>
              </w:rPr>
              <w:t>现场考察</w:t>
            </w:r>
          </w:p>
        </w:tc>
        <w:tc>
          <w:tcPr>
            <w:tcW w:w="6662" w:type="dxa"/>
            <w:tcBorders>
              <w:top w:val="single" w:color="000000" w:sz="8" w:space="0"/>
              <w:left w:val="single" w:color="000000" w:sz="2" w:space="0"/>
              <w:bottom w:val="single" w:color="000000" w:sz="8" w:space="0"/>
              <w:right w:val="single" w:color="000000" w:sz="8" w:space="0"/>
            </w:tcBorders>
            <w:vAlign w:val="center"/>
          </w:tcPr>
          <w:p w14:paraId="1C48C0AF">
            <w:pPr>
              <w:spacing w:line="440" w:lineRule="exact"/>
              <w:rPr>
                <w:rFonts w:ascii="宋体" w:hAnsi="宋体" w:cs="宋体"/>
                <w:color w:val="auto"/>
                <w:szCs w:val="21"/>
              </w:rPr>
            </w:pPr>
            <w:r>
              <w:rPr>
                <w:rFonts w:hint="eastAsia" w:ascii="宋体" w:hAnsi="宋体" w:cs="宋体"/>
                <w:color w:val="auto"/>
                <w:szCs w:val="21"/>
              </w:rPr>
              <w:t>不组织</w:t>
            </w:r>
          </w:p>
        </w:tc>
      </w:tr>
      <w:tr w14:paraId="66443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2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832C18A">
            <w:pPr>
              <w:snapToGrid w:val="0"/>
              <w:spacing w:line="440" w:lineRule="exact"/>
              <w:jc w:val="center"/>
              <w:rPr>
                <w:rFonts w:ascii="宋体" w:hAnsi="宋体" w:cs="宋体"/>
                <w:color w:val="auto"/>
                <w:szCs w:val="21"/>
              </w:rPr>
            </w:pPr>
            <w:r>
              <w:rPr>
                <w:rFonts w:hint="eastAsia" w:ascii="宋体" w:hAnsi="宋体" w:cs="宋体"/>
                <w:color w:val="auto"/>
                <w:szCs w:val="21"/>
              </w:rPr>
              <w:t>5</w:t>
            </w:r>
          </w:p>
        </w:tc>
        <w:tc>
          <w:tcPr>
            <w:tcW w:w="1843" w:type="dxa"/>
            <w:tcBorders>
              <w:top w:val="single" w:color="000000" w:sz="8" w:space="0"/>
              <w:left w:val="single" w:color="000000" w:sz="2" w:space="0"/>
              <w:bottom w:val="single" w:color="000000" w:sz="8" w:space="0"/>
              <w:right w:val="single" w:color="000000" w:sz="8" w:space="0"/>
            </w:tcBorders>
            <w:vAlign w:val="center"/>
          </w:tcPr>
          <w:p w14:paraId="1AC8851C">
            <w:pPr>
              <w:snapToGrid w:val="0"/>
              <w:spacing w:line="440" w:lineRule="exact"/>
              <w:jc w:val="center"/>
              <w:rPr>
                <w:rFonts w:ascii="宋体" w:hAnsi="宋体" w:cs="宋体"/>
                <w:bCs/>
                <w:color w:val="auto"/>
                <w:szCs w:val="21"/>
              </w:rPr>
            </w:pPr>
            <w:r>
              <w:rPr>
                <w:rFonts w:hint="eastAsia" w:ascii="宋体" w:hAnsi="宋体" w:cs="宋体"/>
                <w:b/>
                <w:color w:val="auto"/>
                <w:szCs w:val="21"/>
              </w:rPr>
              <w:t>方案讲解演示</w:t>
            </w:r>
          </w:p>
        </w:tc>
        <w:tc>
          <w:tcPr>
            <w:tcW w:w="6662" w:type="dxa"/>
            <w:tcBorders>
              <w:top w:val="single" w:color="000000" w:sz="8" w:space="0"/>
              <w:left w:val="single" w:color="000000" w:sz="2" w:space="0"/>
              <w:bottom w:val="single" w:color="000000" w:sz="8" w:space="0"/>
              <w:right w:val="single" w:color="000000" w:sz="8" w:space="0"/>
            </w:tcBorders>
            <w:vAlign w:val="center"/>
          </w:tcPr>
          <w:p w14:paraId="7DA0ACB3">
            <w:pPr>
              <w:spacing w:line="440" w:lineRule="exact"/>
              <w:rPr>
                <w:rFonts w:ascii="宋体" w:hAnsi="宋体" w:cs="宋体"/>
                <w:color w:val="auto"/>
                <w:szCs w:val="21"/>
              </w:rPr>
            </w:pPr>
            <w:r>
              <w:rPr>
                <w:rFonts w:hint="eastAsia" w:ascii="宋体" w:hAnsi="宋体" w:cs="宋体"/>
                <w:color w:val="auto"/>
                <w:szCs w:val="21"/>
              </w:rPr>
              <w:t>不组织。</w:t>
            </w:r>
          </w:p>
        </w:tc>
      </w:tr>
      <w:tr w14:paraId="57F9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43C3DEB">
            <w:pPr>
              <w:snapToGrid w:val="0"/>
              <w:spacing w:line="440" w:lineRule="exact"/>
              <w:jc w:val="center"/>
              <w:rPr>
                <w:rFonts w:ascii="宋体" w:hAnsi="宋体" w:cs="宋体"/>
                <w:color w:val="auto"/>
                <w:szCs w:val="21"/>
              </w:rPr>
            </w:pPr>
            <w:r>
              <w:rPr>
                <w:rFonts w:hint="eastAsia" w:ascii="宋体" w:hAnsi="宋体" w:cs="宋体"/>
                <w:color w:val="auto"/>
                <w:szCs w:val="21"/>
              </w:rPr>
              <w:t>6</w:t>
            </w:r>
          </w:p>
        </w:tc>
        <w:tc>
          <w:tcPr>
            <w:tcW w:w="1843" w:type="dxa"/>
            <w:tcBorders>
              <w:top w:val="single" w:color="000000" w:sz="8" w:space="0"/>
              <w:left w:val="single" w:color="000000" w:sz="2" w:space="0"/>
              <w:bottom w:val="single" w:color="000000" w:sz="8" w:space="0"/>
              <w:right w:val="single" w:color="000000" w:sz="8" w:space="0"/>
            </w:tcBorders>
            <w:vAlign w:val="center"/>
          </w:tcPr>
          <w:p w14:paraId="61F005ED">
            <w:pPr>
              <w:snapToGrid w:val="0"/>
              <w:spacing w:line="440" w:lineRule="exact"/>
              <w:jc w:val="center"/>
              <w:rPr>
                <w:rFonts w:ascii="宋体" w:hAnsi="宋体" w:cs="宋体"/>
                <w:b/>
                <w:color w:val="auto"/>
                <w:szCs w:val="21"/>
              </w:rPr>
            </w:pPr>
            <w:r>
              <w:rPr>
                <w:rFonts w:hint="eastAsia" w:ascii="宋体" w:hAnsi="宋体" w:cs="宋体"/>
                <w:b/>
                <w:color w:val="auto"/>
                <w:szCs w:val="21"/>
              </w:rPr>
              <w:t>采购标的对应的中小企业划分标准所属行业</w:t>
            </w:r>
          </w:p>
        </w:tc>
        <w:tc>
          <w:tcPr>
            <w:tcW w:w="6662" w:type="dxa"/>
            <w:tcBorders>
              <w:top w:val="single" w:color="000000" w:sz="8" w:space="0"/>
              <w:left w:val="single" w:color="000000" w:sz="2" w:space="0"/>
              <w:bottom w:val="single" w:color="000000" w:sz="8" w:space="0"/>
              <w:right w:val="single" w:color="000000" w:sz="8" w:space="0"/>
            </w:tcBorders>
            <w:vAlign w:val="center"/>
          </w:tcPr>
          <w:p w14:paraId="0AAD3702">
            <w:pPr>
              <w:snapToGrid w:val="0"/>
              <w:spacing w:line="440" w:lineRule="exact"/>
              <w:rPr>
                <w:rFonts w:ascii="宋体" w:hAnsi="宋体" w:cs="宋体"/>
                <w:color w:val="auto"/>
                <w:kern w:val="0"/>
                <w:szCs w:val="21"/>
              </w:rPr>
            </w:pPr>
            <w:r>
              <w:rPr>
                <w:rFonts w:hint="eastAsia" w:ascii="宋体" w:hAnsi="宋体" w:cs="宋体"/>
                <w:color w:val="auto"/>
                <w:kern w:val="0"/>
                <w:szCs w:val="21"/>
              </w:rPr>
              <w:t>标的：</w:t>
            </w:r>
            <w:r>
              <w:rPr>
                <w:rFonts w:hint="eastAsia" w:ascii="宋体" w:hAnsi="宋体" w:cs="宋体"/>
                <w:bCs/>
                <w:snapToGrid w:val="0"/>
                <w:color w:val="auto"/>
                <w:szCs w:val="21"/>
                <w:u w:val="single"/>
                <w:lang w:eastAsia="zh-CN"/>
              </w:rPr>
              <w:t>奉化区莼湖街道奉松路与下横线交叉口东南侧停车场建设工程</w:t>
            </w:r>
            <w:r>
              <w:rPr>
                <w:rFonts w:hint="eastAsia" w:ascii="宋体" w:hAnsi="宋体" w:cs="宋体"/>
                <w:color w:val="auto"/>
                <w:kern w:val="0"/>
                <w:szCs w:val="21"/>
              </w:rPr>
              <w:t>，属于</w:t>
            </w:r>
            <w:r>
              <w:rPr>
                <w:rFonts w:hint="eastAsia" w:ascii="宋体" w:hAnsi="宋体" w:cs="宋体"/>
                <w:color w:val="auto"/>
                <w:kern w:val="0"/>
                <w:szCs w:val="21"/>
                <w:u w:val="single"/>
              </w:rPr>
              <w:t>建筑</w:t>
            </w:r>
            <w:r>
              <w:rPr>
                <w:rFonts w:hint="eastAsia" w:ascii="宋体" w:hAnsi="宋体" w:cs="宋体"/>
                <w:color w:val="auto"/>
                <w:kern w:val="0"/>
                <w:szCs w:val="21"/>
                <w:u w:val="single"/>
                <w:lang w:val="en-US" w:eastAsia="zh-CN"/>
              </w:rPr>
              <w:t>业</w:t>
            </w:r>
            <w:r>
              <w:rPr>
                <w:rFonts w:hint="eastAsia" w:ascii="宋体" w:hAnsi="宋体" w:cs="宋体"/>
                <w:color w:val="auto"/>
                <w:kern w:val="0"/>
                <w:szCs w:val="21"/>
              </w:rPr>
              <w:t>行业；</w:t>
            </w:r>
          </w:p>
        </w:tc>
      </w:tr>
      <w:tr w14:paraId="65AF9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60" w:hRule="atLeast"/>
          <w:tblHeader/>
        </w:trPr>
        <w:tc>
          <w:tcPr>
            <w:tcW w:w="629" w:type="dxa"/>
            <w:tcBorders>
              <w:top w:val="single" w:color="auto" w:sz="4" w:space="0"/>
              <w:left w:val="single" w:color="000000" w:sz="8" w:space="0"/>
              <w:right w:val="single" w:color="000000" w:sz="2" w:space="0"/>
            </w:tcBorders>
            <w:vAlign w:val="center"/>
          </w:tcPr>
          <w:p w14:paraId="20012503">
            <w:pPr>
              <w:snapToGrid w:val="0"/>
              <w:spacing w:line="440" w:lineRule="exact"/>
              <w:jc w:val="center"/>
              <w:rPr>
                <w:rFonts w:ascii="宋体" w:hAnsi="宋体" w:cs="宋体"/>
                <w:color w:val="auto"/>
                <w:szCs w:val="21"/>
              </w:rPr>
            </w:pPr>
            <w:r>
              <w:rPr>
                <w:rFonts w:hint="eastAsia" w:ascii="宋体" w:hAnsi="宋体" w:cs="宋体"/>
                <w:color w:val="auto"/>
                <w:szCs w:val="21"/>
              </w:rPr>
              <w:t>7</w:t>
            </w:r>
          </w:p>
        </w:tc>
        <w:tc>
          <w:tcPr>
            <w:tcW w:w="1843" w:type="dxa"/>
            <w:tcBorders>
              <w:top w:val="single" w:color="000000" w:sz="8" w:space="0"/>
              <w:left w:val="single" w:color="000000" w:sz="2" w:space="0"/>
              <w:right w:val="single" w:color="000000" w:sz="8" w:space="0"/>
            </w:tcBorders>
            <w:vAlign w:val="center"/>
          </w:tcPr>
          <w:p w14:paraId="6DA89EC1">
            <w:pPr>
              <w:snapToGrid w:val="0"/>
              <w:spacing w:line="440" w:lineRule="exact"/>
              <w:jc w:val="center"/>
              <w:rPr>
                <w:rFonts w:ascii="宋体" w:hAnsi="宋体" w:cs="宋体"/>
                <w:b/>
                <w:color w:val="auto"/>
                <w:szCs w:val="21"/>
              </w:rPr>
            </w:pPr>
            <w:r>
              <w:rPr>
                <w:rFonts w:hint="eastAsia" w:ascii="宋体" w:hAnsi="宋体" w:cs="宋体"/>
                <w:b/>
                <w:color w:val="auto"/>
                <w:szCs w:val="21"/>
              </w:rPr>
              <w:t>代理服务费</w:t>
            </w:r>
          </w:p>
        </w:tc>
        <w:tc>
          <w:tcPr>
            <w:tcW w:w="6662" w:type="dxa"/>
            <w:tcBorders>
              <w:top w:val="single" w:color="000000" w:sz="8" w:space="0"/>
              <w:left w:val="single" w:color="000000" w:sz="2" w:space="0"/>
              <w:bottom w:val="single" w:color="000000" w:sz="8" w:space="0"/>
              <w:right w:val="single" w:color="000000" w:sz="8" w:space="0"/>
            </w:tcBorders>
            <w:vAlign w:val="center"/>
          </w:tcPr>
          <w:p w14:paraId="7F10A03B">
            <w:pPr>
              <w:spacing w:line="440" w:lineRule="exact"/>
              <w:rPr>
                <w:rFonts w:hint="eastAsia" w:ascii="宋体" w:hAnsi="宋体" w:eastAsia="宋体" w:cs="宋体"/>
                <w:snapToGrid w:val="0"/>
                <w:color w:val="auto"/>
                <w:kern w:val="28"/>
                <w:szCs w:val="21"/>
                <w:lang w:val="en-US" w:eastAsia="zh-CN"/>
              </w:rPr>
            </w:pPr>
            <w:r>
              <w:rPr>
                <w:rFonts w:hint="eastAsia" w:ascii="宋体" w:hAnsi="宋体" w:eastAsia="宋体" w:cs="宋体"/>
                <w:snapToGrid w:val="0"/>
                <w:color w:val="auto"/>
                <w:kern w:val="28"/>
                <w:szCs w:val="21"/>
                <w:lang w:val="en-US" w:eastAsia="zh-CN"/>
              </w:rPr>
              <w:t>根据宁波市中介超市网中选标准收取中标服务费19137元。中标通知书发出后5个工作日内，中标人向采购代理机构支付中标服务费。</w:t>
            </w:r>
          </w:p>
        </w:tc>
      </w:tr>
    </w:tbl>
    <w:p w14:paraId="7CCD29DA">
      <w:pPr>
        <w:snapToGrid w:val="0"/>
        <w:spacing w:line="360" w:lineRule="auto"/>
        <w:ind w:firstLine="643"/>
        <w:jc w:val="center"/>
        <w:rPr>
          <w:rFonts w:asciiTheme="minorEastAsia" w:hAnsiTheme="minorEastAsia" w:eastAsiaTheme="minorEastAsia" w:cstheme="minorEastAsia"/>
          <w:b/>
          <w:color w:val="auto"/>
          <w:sz w:val="32"/>
          <w:szCs w:val="20"/>
        </w:rPr>
      </w:pPr>
    </w:p>
    <w:p w14:paraId="681AD10A">
      <w:pPr>
        <w:pStyle w:val="33"/>
        <w:rPr>
          <w:color w:val="auto"/>
        </w:rPr>
      </w:pPr>
      <w:r>
        <w:rPr>
          <w:color w:val="auto"/>
        </w:rPr>
        <w:br w:type="page"/>
      </w:r>
    </w:p>
    <w:bookmarkEnd w:id="12"/>
    <w:p w14:paraId="24A4A0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szCs w:val="20"/>
        </w:rPr>
      </w:pPr>
      <w:bookmarkStart w:id="23" w:name="_Toc164416483"/>
      <w:bookmarkStart w:id="24" w:name="第三部分"/>
      <w:bookmarkStart w:id="25" w:name="第四部分"/>
      <w:r>
        <w:rPr>
          <w:rFonts w:hint="eastAsia" w:asciiTheme="minorEastAsia" w:hAnsiTheme="minorEastAsia" w:eastAsiaTheme="minorEastAsia" w:cstheme="minorEastAsia"/>
          <w:b/>
          <w:color w:val="auto"/>
          <w:sz w:val="32"/>
          <w:szCs w:val="20"/>
        </w:rPr>
        <w:t>一、总则</w:t>
      </w:r>
    </w:p>
    <w:p w14:paraId="1D785620">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szCs w:val="21"/>
        </w:rPr>
        <w:t>适用范围</w:t>
      </w:r>
    </w:p>
    <w:p w14:paraId="10913A9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本竞争性磋商文件适用于该项目的采购、响应、响应文件开启、资格审查及信用信息查询、评审、成交供应商确定、合同、验收等行为（法律、法规另有规定的，从其规定）。</w:t>
      </w:r>
    </w:p>
    <w:p w14:paraId="59F23EE2">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szCs w:val="21"/>
        </w:rPr>
        <w:t>定义</w:t>
      </w:r>
    </w:p>
    <w:p w14:paraId="6146B21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 “采购人”系指竞争性磋商公告中载明的本项目的采购人。</w:t>
      </w:r>
    </w:p>
    <w:p w14:paraId="1D875F4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 “采购代理机构”系指竞争性磋商公告中载明的本项目的采购代理机构。</w:t>
      </w:r>
    </w:p>
    <w:p w14:paraId="0239CCC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 “</w:t>
      </w:r>
      <w:r>
        <w:rPr>
          <w:rFonts w:hint="eastAsia" w:asciiTheme="minorEastAsia" w:hAnsiTheme="minorEastAsia" w:eastAsiaTheme="minorEastAsia" w:cstheme="minorEastAsia"/>
          <w:color w:val="auto"/>
          <w:szCs w:val="21"/>
          <w:lang w:val="zh-CN"/>
        </w:rPr>
        <w:t>供应商</w:t>
      </w:r>
      <w:r>
        <w:rPr>
          <w:rFonts w:hint="eastAsia" w:asciiTheme="minorEastAsia" w:hAnsiTheme="minorEastAsia" w:eastAsiaTheme="minorEastAsia" w:cstheme="minorEastAsia"/>
          <w:color w:val="auto"/>
          <w:szCs w:val="21"/>
        </w:rPr>
        <w:t>”系指是指响应采购、参加磋商竞争的法人、其他组织或者自然人。</w:t>
      </w:r>
    </w:p>
    <w:p w14:paraId="52747B4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 “负责人”系指法人企业的法定负责人，或其他组织为法律、行政法规规定代表单位行使职权的主要负责人，或自然人本人。</w:t>
      </w:r>
    </w:p>
    <w:p w14:paraId="542D95D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2.5“电子签名”系指数据电文中以电子形式所含、所附用于识别签名人身份并表明签名人认可其中内容的数据；“公章”系指单位法定名称章。</w:t>
      </w:r>
    </w:p>
    <w:p w14:paraId="3CEBC8F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2.6“电子交易平台”是指本项目政府采购活动所依托的政府采购云平台（https://www.zcygov.cn/）。</w:t>
      </w:r>
    </w:p>
    <w:p w14:paraId="4D67477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2.7 “▲” 系指实质性要求条款，“</w:t>
      </w:r>
      <w:r>
        <w:rPr>
          <w:rFonts w:hint="eastAsia" w:ascii="MS Gothic" w:hAnsi="MS Gothic" w:eastAsia="MS Gothic" w:cs="MS Gothic"/>
          <w:color w:val="auto"/>
          <w:szCs w:val="21"/>
        </w:rPr>
        <w:t>☑</w:t>
      </w:r>
      <w:r>
        <w:rPr>
          <w:rFonts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t>” 系指适用本项目的要求，“☐” 系指不适用本项目的要求。</w:t>
      </w:r>
    </w:p>
    <w:p w14:paraId="2E595B2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3．</w:t>
      </w:r>
      <w:r>
        <w:rPr>
          <w:rFonts w:hint="eastAsia" w:asciiTheme="minorEastAsia" w:hAnsiTheme="minorEastAsia" w:eastAsiaTheme="minorEastAsia" w:cstheme="minorEastAsia"/>
          <w:b/>
          <w:color w:val="auto"/>
          <w:szCs w:val="21"/>
        </w:rPr>
        <w:t>采购项目需要落实的政府采购政策</w:t>
      </w:r>
    </w:p>
    <w:p w14:paraId="59DEA627">
      <w:pPr>
        <w:numPr>
          <w:ilvl w:val="1"/>
          <w:numId w:val="1"/>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本项目不允许采购进口产品。</w:t>
      </w:r>
    </w:p>
    <w:p w14:paraId="4638AF1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 支持绿色发展</w:t>
      </w:r>
    </w:p>
    <w:p w14:paraId="7B3F305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3.3支持中小企业发展</w:t>
      </w:r>
    </w:p>
    <w:p w14:paraId="01A5DFE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4BE930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符合中小企业划分标准的个体工商户，在政府采购活动中视同中小企业。</w:t>
      </w:r>
    </w:p>
    <w:p w14:paraId="7FA05FA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Cs/>
          <w:color w:val="auto"/>
          <w:szCs w:val="21"/>
        </w:rPr>
        <w:t>3.3.2</w:t>
      </w:r>
      <w:r>
        <w:rPr>
          <w:rFonts w:hint="eastAsia" w:asciiTheme="minorEastAsia" w:hAnsiTheme="minorEastAsia" w:eastAsiaTheme="minorEastAsia" w:cstheme="minorEastAsia"/>
          <w:color w:val="auto"/>
          <w:kern w:val="0"/>
          <w:szCs w:val="21"/>
        </w:rPr>
        <w:t>在政府采购活动中，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提供的货物、工程或者服务符合下列情形的，享受中小企业扶持政策：</w:t>
      </w:r>
    </w:p>
    <w:p w14:paraId="4B85B0B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3.3.2.1在货物采购项目中，货物由中小企业制造，即货物由中小企业生产且使用该中小企业商号或者注册商标；</w:t>
      </w:r>
    </w:p>
    <w:p w14:paraId="7800EBE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3.3.2.2在工程采购项目中，工程由中小企业承建，即工程施工单位为中小企业；</w:t>
      </w:r>
    </w:p>
    <w:p w14:paraId="753F69B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3.3.2.3在服务采购项目中，服务由中小企业承接，即提供服务的人员为中小企业依照《中华人民共和国劳动合同法》订立劳动合同的从业人员。</w:t>
      </w:r>
    </w:p>
    <w:p w14:paraId="6FF14BA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在货物采购项目中，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提供的货物既有中小企业制造货物，也有大型企业制造货物的，不享受中小企业扶持政策。</w:t>
      </w:r>
    </w:p>
    <w:p w14:paraId="646F5D3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以联合体形式参加政府采购活动，联合体各方均为中小企业的，联合体视同中小企业。其中，联合体各方均为小微企业的，联合体视同小微企业。</w:t>
      </w:r>
    </w:p>
    <w:p w14:paraId="188B7F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3.3.3对于未预留份额专门面向中小企业的政府采购货物或服务或工程项目，以及预留份额政府采购货物或服务项目中的非预留部分标项，对小型和微型企业的报价给予10%（工程项目为5%）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工程项目为 2%）的扣除，用扣除后的价格参加评审。组成联合体或者接受分包的小微企业与联合体内其他企业、分包企业之间存在直接控股、管理关系的，不享受价格扣除优惠政策。</w:t>
      </w:r>
    </w:p>
    <w:p w14:paraId="417D001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3.3.4符合《关于促进残疾人就业政府采购政策的通知》（财库〔2017〕141号）规定的条件并提供《残疾人福利性单位声明函》的残疾人福利性单位视同小型、微型企业；</w:t>
      </w:r>
    </w:p>
    <w:p w14:paraId="7B3D66A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6B4E2B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3.3.6可享受中小企业扶持政策的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应按照竞争性磋商文件格式要求提供《中小企业声明函》，</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提供的《中小企业声明函》与实际情况不符的，不享受中小企业扶持政策。声明内容不实的，属于提供虚假材料谋取中标、成交的，依法承担法律责任。</w:t>
      </w:r>
    </w:p>
    <w:p w14:paraId="34FED18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3.3.7中小企业享受扶持政策获得政府采购合同的，小微企业不得将合同分包给大中型企业，中型企业不得将合同分包给大型企业。</w:t>
      </w:r>
    </w:p>
    <w:p w14:paraId="0ACCC825">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4．</w:t>
      </w:r>
      <w:r>
        <w:rPr>
          <w:rFonts w:hint="eastAsia" w:asciiTheme="minorEastAsia" w:hAnsiTheme="minorEastAsia" w:eastAsiaTheme="minorEastAsia" w:cstheme="minorEastAsia"/>
          <w:b/>
          <w:color w:val="auto"/>
          <w:szCs w:val="21"/>
        </w:rPr>
        <w:t>特别说明</w:t>
      </w:r>
    </w:p>
    <w:p w14:paraId="7303BC8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4.1关于分公司磋商响应</w:t>
      </w:r>
    </w:p>
    <w:p w14:paraId="6FC3594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除银行、保险、石油石化、电力、电信等特殊行业外。法人的分支机构由于不能独立承担民事责任，不能以分支机构的身份参加政府采购，只能以法人身份参加。 </w:t>
      </w:r>
    </w:p>
    <w:p w14:paraId="6ACEACA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4.2关于知识产权</w:t>
      </w:r>
    </w:p>
    <w:p w14:paraId="2D174B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4.2.1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必须保证，采购人在中华人民共和国境内使用磋商响应货物、资料、技术、服务或其任何一部分时，享有不受限制的无偿使用权，如有第三方向采购人提出侵犯其专利权、商标权或其它知识产权的主张，该责任应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w:t>
      </w:r>
    </w:p>
    <w:p w14:paraId="73C9017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4.2.2 磋商报价应包含所有应向所有权人支付的专利权、商标权或其它知识产权的一切相关费用。</w:t>
      </w:r>
    </w:p>
    <w:p w14:paraId="0E42949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4.2.3 系统软件、通用软件必须是具有在中国境内的合法使用权或版权的正版软件，涉及到第三方提出侵权或知识产权的起诉及支付版税等费用由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承担所有责任及费用。</w:t>
      </w:r>
    </w:p>
    <w:p w14:paraId="0F8F3B1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的风险</w:t>
      </w:r>
    </w:p>
    <w:p w14:paraId="370A2DF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4.3.1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应详细阅读竞争性磋商文件中的全部内容和要求，按照竞争性磋商文件的要求提交响应文件，没有按照竞争性磋商文件要求提供响应文件和资料导致的风险由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承担,并对所提供的全部资料的真实性承担法律责任。</w:t>
      </w:r>
    </w:p>
    <w:p w14:paraId="30159AA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4.3.2 无论因何种原因导致本次采购活动终止致</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损失的，相关责任人均不承担任何责任。</w:t>
      </w:r>
    </w:p>
    <w:p w14:paraId="0CC0AC04">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5．</w:t>
      </w:r>
      <w:r>
        <w:rPr>
          <w:rFonts w:hint="eastAsia" w:asciiTheme="minorEastAsia" w:hAnsiTheme="minorEastAsia" w:eastAsiaTheme="minorEastAsia" w:cstheme="minorEastAsia"/>
          <w:b/>
          <w:color w:val="auto"/>
          <w:szCs w:val="21"/>
        </w:rPr>
        <w:t>询问、质疑、投诉</w:t>
      </w:r>
    </w:p>
    <w:p w14:paraId="44F650F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.1供应商询问</w:t>
      </w:r>
    </w:p>
    <w:p w14:paraId="0FD7C6E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BD5F4BB">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.2供应商质疑</w:t>
      </w:r>
    </w:p>
    <w:p w14:paraId="393C690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.1提出质疑的供应商应当是参与所质疑项目采购活动的供应商。潜在供应商已依法获取其可质疑的竞争性磋商文件的，可以对该文件提出质疑。</w:t>
      </w:r>
    </w:p>
    <w:p w14:paraId="0C5A599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2供应商认为竞争性磋商文件、采购过程和成交结果使自己的权益受到损害的，可以在知道或者应知其权益受到损害之日起七个工作日内，以书面形式向采购人或者采购代理机构提出质疑，否则，采购人或者采购代理机构不予受理：</w:t>
      </w:r>
    </w:p>
    <w:p w14:paraId="5B8F2BA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5.2.2.1对竞争性磋商文件提出质疑的，质疑期限为供应商获得竞争性磋商文件之日或者竞争性磋商文件公告期限届满之日起计算。</w:t>
      </w:r>
    </w:p>
    <w:p w14:paraId="2931366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5.2.2.2对采购过程提出质疑的，质疑期限为各采购程序环节结束之日起计算。</w:t>
      </w:r>
    </w:p>
    <w:p w14:paraId="52682F3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5.2.2.3对采购结果提出质疑的，质疑期限自采购结果公告期限届满之日起计算。</w:t>
      </w:r>
    </w:p>
    <w:p w14:paraId="57A486F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5.2.2.4对同一采购程序环节的质疑，供应商须一次性提出。</w:t>
      </w:r>
    </w:p>
    <w:p w14:paraId="2662722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w:t>
      </w:r>
      <w:r>
        <w:rPr>
          <w:rFonts w:hint="eastAsia" w:asciiTheme="minorEastAsia" w:hAnsiTheme="minorEastAsia" w:eastAsiaTheme="minorEastAsia" w:cstheme="minorEastAsia"/>
          <w:color w:val="auto"/>
          <w:szCs w:val="21"/>
        </w:rPr>
        <w:t>供应商提出质疑应当提交质疑函和必要的证明材料。质疑函应当包括下列内容：</w:t>
      </w:r>
    </w:p>
    <w:p w14:paraId="694972C3">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.2.3.1供应商的姓名或者名称、地址、邮编、联系人及联系电话；</w:t>
      </w:r>
    </w:p>
    <w:p w14:paraId="6A35460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.2.3.2质疑项目的名称、编号；</w:t>
      </w:r>
    </w:p>
    <w:p w14:paraId="1AD66D5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.2.3.3具体、明确的质疑事项和与质疑事项相关的请求；</w:t>
      </w:r>
    </w:p>
    <w:p w14:paraId="1F14588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.2.3.4事实依据；</w:t>
      </w:r>
    </w:p>
    <w:p w14:paraId="0904DAD4">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.2.3.5必要的法律依据；</w:t>
      </w:r>
    </w:p>
    <w:p w14:paraId="1129963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.2.3.6提出质疑的日期。</w:t>
      </w:r>
    </w:p>
    <w:p w14:paraId="1FB92CC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5.2.3.7对竞争性磋商文件提出质疑的需要提供在乐采云平台获取竞争性磋商文件的截图。</w:t>
      </w:r>
    </w:p>
    <w:p w14:paraId="1D316B0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供应商提交的质疑函需一式三份。供应商为自然人的，应当由本人签字；供应商为法人或者其他组织的，应当由法定代表人、主要负责人，或者其授权代表签字或者盖章，并加盖公章。</w:t>
      </w:r>
    </w:p>
    <w:p w14:paraId="5494C35B">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质疑函范本请到浙江企业采购信息服务网下载专区下载。</w:t>
      </w:r>
    </w:p>
    <w:p w14:paraId="222CDEB8">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.4采购人或者采购代理机构应当在收到供应商的书面质疑后七个工作日内作出答复，并以书面形式通知质疑供应商和其他与质疑处理结果有利害关系的政府采购当事人，但答复的内容不得涉及商业秘密。</w:t>
      </w:r>
    </w:p>
    <w:p w14:paraId="7CA99F2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.5询问或者质疑事项可能影响采购结果的，采购人应当暂停签订合同，已经签订合同的，应当中止履行合同。</w:t>
      </w:r>
    </w:p>
    <w:p w14:paraId="764C283C">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.3供应商投诉</w:t>
      </w:r>
    </w:p>
    <w:p w14:paraId="60008CD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5.3.1质疑供应商对采购人、采购代理机构的答复不满意或者采购人、采购代理机构未在规定的时间内作出答复的，可以在答复期满后十五个工作日内向监督管理部门提出投诉。</w:t>
      </w:r>
    </w:p>
    <w:p w14:paraId="28F88A6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供应商投诉的事项不得超出已质疑事项的范围，基于质疑答复内容提出的投诉事项除外。</w:t>
      </w:r>
    </w:p>
    <w:p w14:paraId="11B5806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5.3.3供应商投诉应当有明确的请求和必要的证明材料。</w:t>
      </w:r>
    </w:p>
    <w:p w14:paraId="5BCA16D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5.3.4以联合体形式参加采购活动的，其投诉应当由组成联合体的所有供应商共同提出。</w:t>
      </w:r>
    </w:p>
    <w:p w14:paraId="312170A1">
      <w:pPr>
        <w:spacing w:line="360" w:lineRule="auto"/>
        <w:ind w:firstLine="420" w:firstLineChars="200"/>
        <w:rPr>
          <w:color w:val="auto"/>
        </w:rPr>
      </w:pPr>
      <w:r>
        <w:rPr>
          <w:rFonts w:hint="eastAsia" w:asciiTheme="minorEastAsia" w:hAnsiTheme="minorEastAsia" w:eastAsiaTheme="minorEastAsia" w:cstheme="minorEastAsia"/>
          <w:color w:val="auto"/>
          <w:szCs w:val="21"/>
        </w:rPr>
        <w:t>5.3.5投诉人对</w:t>
      </w:r>
      <w:r>
        <w:rPr>
          <w:rFonts w:hint="eastAsia"/>
          <w:color w:val="auto"/>
        </w:rPr>
        <w:t>监督管理部门的投诉处理决定</w:t>
      </w:r>
      <w:r>
        <w:rPr>
          <w:rFonts w:hint="eastAsia" w:asciiTheme="minorEastAsia" w:hAnsiTheme="minorEastAsia" w:eastAsiaTheme="minorEastAsia" w:cstheme="minorEastAsia"/>
          <w:color w:val="auto"/>
          <w:szCs w:val="21"/>
        </w:rPr>
        <w:t>不服</w:t>
      </w:r>
      <w:r>
        <w:rPr>
          <w:rFonts w:hint="eastAsia"/>
          <w:color w:val="auto"/>
        </w:rPr>
        <w:t>或监督管理部门逾期未作处理的，可以向区国资管理中心反映。供应商或相关利害关系人在</w:t>
      </w:r>
      <w:r>
        <w:rPr>
          <w:rFonts w:hint="eastAsia" w:asciiTheme="minorEastAsia" w:hAnsiTheme="minorEastAsia" w:eastAsiaTheme="minorEastAsia" w:cstheme="minorEastAsia"/>
          <w:color w:val="auto"/>
          <w:szCs w:val="21"/>
        </w:rPr>
        <w:t>采购过程</w:t>
      </w:r>
      <w:r>
        <w:rPr>
          <w:rFonts w:hint="eastAsia"/>
          <w:color w:val="auto"/>
        </w:rPr>
        <w:t>中发现涉及违法违纪行为或造成国有资产损失的，可以向纪检监察部门和区国资管理中心</w:t>
      </w:r>
      <w:r>
        <w:rPr>
          <w:rFonts w:hint="eastAsia" w:asciiTheme="minorEastAsia" w:hAnsiTheme="minorEastAsia" w:eastAsiaTheme="minorEastAsia" w:cstheme="minorEastAsia"/>
          <w:color w:val="auto"/>
          <w:szCs w:val="21"/>
        </w:rPr>
        <w:t>反映</w:t>
      </w:r>
      <w:r>
        <w:rPr>
          <w:rFonts w:hint="eastAsia"/>
          <w:color w:val="auto"/>
        </w:rPr>
        <w:t>。举报违法行为，应提供有效线索和证明材料。</w:t>
      </w:r>
    </w:p>
    <w:p w14:paraId="0DD1A813">
      <w:pPr>
        <w:spacing w:line="360" w:lineRule="auto"/>
        <w:ind w:firstLine="420" w:firstLineChars="200"/>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color w:val="auto"/>
          <w:szCs w:val="21"/>
        </w:rPr>
        <w:t>投诉书范本请到浙江企业采购信息服务网下载专区下载。</w:t>
      </w:r>
      <w:r>
        <w:rPr>
          <w:rFonts w:hint="eastAsia" w:asciiTheme="minorEastAsia" w:hAnsiTheme="minorEastAsia" w:eastAsiaTheme="minorEastAsia" w:cstheme="minorEastAsia"/>
          <w:b/>
          <w:color w:val="auto"/>
          <w:sz w:val="32"/>
          <w:szCs w:val="20"/>
        </w:rPr>
        <w:t xml:space="preserve">   </w:t>
      </w:r>
    </w:p>
    <w:p w14:paraId="0F864E08">
      <w:pPr>
        <w:numPr>
          <w:ilvl w:val="0"/>
          <w:numId w:val="0"/>
        </w:numPr>
        <w:jc w:val="both"/>
        <w:rPr>
          <w:rFonts w:hint="eastAsia" w:asciiTheme="minorEastAsia" w:hAnsiTheme="minorEastAsia" w:eastAsiaTheme="minorEastAsia" w:cstheme="minorEastAsia"/>
          <w:b/>
          <w:color w:val="auto"/>
          <w:sz w:val="32"/>
          <w:szCs w:val="20"/>
        </w:rPr>
      </w:pPr>
    </w:p>
    <w:p w14:paraId="40C538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lang w:val="en-US" w:eastAsia="zh-CN"/>
        </w:rPr>
        <w:t>二、</w:t>
      </w:r>
      <w:r>
        <w:rPr>
          <w:rFonts w:hint="eastAsia" w:asciiTheme="minorEastAsia" w:hAnsiTheme="minorEastAsia" w:eastAsiaTheme="minorEastAsia" w:cstheme="minorEastAsia"/>
          <w:b/>
          <w:color w:val="auto"/>
          <w:sz w:val="32"/>
          <w:szCs w:val="20"/>
        </w:rPr>
        <w:t>竞争性磋商文件的构成、澄清、修改</w:t>
      </w:r>
    </w:p>
    <w:p w14:paraId="6836E676">
      <w:pPr>
        <w:numPr>
          <w:ilvl w:val="0"/>
          <w:numId w:val="0"/>
        </w:numPr>
        <w:jc w:val="both"/>
        <w:rPr>
          <w:rFonts w:hint="eastAsia" w:asciiTheme="minorEastAsia" w:hAnsiTheme="minorEastAsia" w:eastAsiaTheme="minorEastAsia" w:cstheme="minorEastAsia"/>
          <w:b/>
          <w:color w:val="auto"/>
          <w:sz w:val="32"/>
          <w:szCs w:val="20"/>
        </w:rPr>
      </w:pPr>
    </w:p>
    <w:p w14:paraId="6EEE299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6．</w:t>
      </w:r>
      <w:r>
        <w:rPr>
          <w:rFonts w:hint="eastAsia" w:asciiTheme="minorEastAsia" w:hAnsiTheme="minorEastAsia" w:eastAsiaTheme="minorEastAsia" w:cstheme="minorEastAsia"/>
          <w:b/>
          <w:color w:val="auto"/>
          <w:szCs w:val="21"/>
        </w:rPr>
        <w:t>竞争性磋商文件的构成</w:t>
      </w:r>
    </w:p>
    <w:p w14:paraId="505B1EF4">
      <w:pPr>
        <w:pStyle w:val="14"/>
        <w:rPr>
          <w:color w:val="auto"/>
        </w:rPr>
      </w:pPr>
      <w:r>
        <w:rPr>
          <w:rFonts w:hint="eastAsia"/>
          <w:color w:val="auto"/>
        </w:rPr>
        <w:t>6.1 竞争性磋商文件包括下列文件</w:t>
      </w:r>
      <w:r>
        <w:rPr>
          <w:rFonts w:hint="eastAsia"/>
          <w:bCs/>
          <w:color w:val="auto"/>
        </w:rPr>
        <w:t>及附件：</w:t>
      </w:r>
    </w:p>
    <w:p w14:paraId="3BF714D8">
      <w:pPr>
        <w:pStyle w:val="14"/>
        <w:rPr>
          <w:color w:val="auto"/>
        </w:rPr>
      </w:pPr>
      <w:r>
        <w:rPr>
          <w:rFonts w:hint="eastAsia"/>
          <w:color w:val="auto"/>
        </w:rPr>
        <w:t>6.1.1 竞争性磋商公告；</w:t>
      </w:r>
    </w:p>
    <w:p w14:paraId="4D81690F">
      <w:pPr>
        <w:pStyle w:val="14"/>
        <w:rPr>
          <w:color w:val="auto"/>
        </w:rPr>
      </w:pPr>
      <w:r>
        <w:rPr>
          <w:rFonts w:hint="eastAsia"/>
          <w:color w:val="auto"/>
        </w:rPr>
        <w:t xml:space="preserve">6.1.2 </w:t>
      </w:r>
      <w:r>
        <w:rPr>
          <w:rFonts w:hint="eastAsia"/>
          <w:color w:val="auto"/>
          <w:lang w:val="zh-CN"/>
        </w:rPr>
        <w:t>响应</w:t>
      </w:r>
      <w:r>
        <w:rPr>
          <w:rFonts w:hint="eastAsia"/>
          <w:color w:val="auto"/>
        </w:rPr>
        <w:t>须知；</w:t>
      </w:r>
    </w:p>
    <w:p w14:paraId="69F19F55">
      <w:pPr>
        <w:pStyle w:val="14"/>
        <w:rPr>
          <w:color w:val="auto"/>
        </w:rPr>
      </w:pPr>
      <w:r>
        <w:rPr>
          <w:rFonts w:hint="eastAsia"/>
          <w:color w:val="auto"/>
        </w:rPr>
        <w:t>6.1.3 采购需求；</w:t>
      </w:r>
    </w:p>
    <w:p w14:paraId="15AFAED0">
      <w:pPr>
        <w:pStyle w:val="14"/>
        <w:rPr>
          <w:color w:val="auto"/>
        </w:rPr>
      </w:pPr>
      <w:r>
        <w:rPr>
          <w:rFonts w:hint="eastAsia"/>
          <w:color w:val="auto"/>
        </w:rPr>
        <w:t>6.1.4 评审办法；</w:t>
      </w:r>
    </w:p>
    <w:p w14:paraId="7E6E2D7E">
      <w:pPr>
        <w:pStyle w:val="14"/>
        <w:rPr>
          <w:color w:val="auto"/>
        </w:rPr>
      </w:pPr>
      <w:r>
        <w:rPr>
          <w:rFonts w:hint="eastAsia"/>
          <w:color w:val="auto"/>
        </w:rPr>
        <w:t>6.1.5 拟签订的合同文本；</w:t>
      </w:r>
    </w:p>
    <w:p w14:paraId="413C6043">
      <w:pPr>
        <w:pStyle w:val="14"/>
        <w:rPr>
          <w:rFonts w:hint="eastAsia" w:ascii="宋体" w:eastAsia="宋体"/>
          <w:color w:val="auto"/>
        </w:rPr>
      </w:pPr>
      <w:r>
        <w:rPr>
          <w:rFonts w:hint="eastAsia" w:ascii="宋体" w:eastAsia="宋体"/>
          <w:color w:val="auto"/>
        </w:rPr>
        <w:t>6.1.6 应提交的有关格式范例。</w:t>
      </w:r>
    </w:p>
    <w:p w14:paraId="546A4954">
      <w:pPr>
        <w:pStyle w:val="14"/>
        <w:rPr>
          <w:rFonts w:hint="eastAsia" w:ascii="宋体" w:eastAsia="宋体"/>
          <w:color w:val="auto"/>
        </w:rPr>
      </w:pPr>
      <w:r>
        <w:rPr>
          <w:rFonts w:hint="eastAsia" w:ascii="宋体" w:eastAsia="宋体"/>
          <w:color w:val="auto"/>
        </w:rPr>
        <w:t>6.2</w:t>
      </w:r>
      <w:r>
        <w:rPr>
          <w:rFonts w:hint="eastAsia" w:ascii="宋体" w:eastAsia="宋体"/>
          <w:color w:val="auto"/>
          <w:lang w:val="en-US" w:eastAsia="zh-CN"/>
        </w:rPr>
        <w:t xml:space="preserve"> </w:t>
      </w:r>
      <w:r>
        <w:rPr>
          <w:rFonts w:hint="eastAsia" w:ascii="宋体" w:eastAsia="宋体"/>
          <w:color w:val="auto"/>
        </w:rPr>
        <w:t>与本项目有关的澄清或者修改的内容为竞争性磋商文件的组成部分。</w:t>
      </w:r>
    </w:p>
    <w:p w14:paraId="65FBB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7．</w:t>
      </w:r>
      <w:r>
        <w:rPr>
          <w:rFonts w:hint="eastAsia" w:asciiTheme="minorEastAsia" w:hAnsiTheme="minorEastAsia" w:eastAsiaTheme="minorEastAsia" w:cstheme="minorEastAsia"/>
          <w:b/>
          <w:color w:val="auto"/>
          <w:szCs w:val="21"/>
        </w:rPr>
        <w:t>竞争性磋商文件的澄清、修改</w:t>
      </w:r>
    </w:p>
    <w:p w14:paraId="2D224B1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 采购人对竞争性磋商文件进行必要的澄清或者修改的，在采购信息发布网站上发布更正公告。澄清或者修改的内容可能影响响应文件编制的，更正公告在响应截止时间至少5日前发出；不足5日的，顺延提交响应文件截止时间。</w:t>
      </w:r>
    </w:p>
    <w:p w14:paraId="40B1309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 更正公告为竞争性磋商文件的组成部分，一经在网站发布，视同已通知所有竞争性磋商文件的收受人，不再采用其它方式传达相关信息, 若因未能及时了解到上述网站上发布的相关信息而导致的一切后果自行承担。</w:t>
      </w:r>
    </w:p>
    <w:p w14:paraId="23EADE1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7.3 如更正公告有重新发布电子竞争性磋商文件的，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应下载最新发布的电子竞争性磋商文件制作响应文件。</w:t>
      </w:r>
    </w:p>
    <w:p w14:paraId="1B23C650">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7.4 已获取竞争性磋商文件的潜在</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，若有问题需要澄清，应于响应截止时间前，以书面形式向采购代理机构提出。</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在规定的时间内未对竞争性磋商文件提出疑问、质疑或要求澄清的，将视其为无异议。对竞争性磋商文件中描述有歧义或前后不一致的地方，磋商小组有权进行评判，但对同一条款的评判应适用于每个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w:t>
      </w:r>
    </w:p>
    <w:p w14:paraId="5B7497C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lang w:val="en-US" w:eastAsia="zh-CN"/>
        </w:rPr>
      </w:pPr>
      <w:r>
        <w:rPr>
          <w:rFonts w:hint="eastAsia" w:asciiTheme="minorEastAsia" w:hAnsiTheme="minorEastAsia" w:eastAsiaTheme="minorEastAsia" w:cstheme="minorEastAsia"/>
          <w:b/>
          <w:color w:val="auto"/>
          <w:sz w:val="32"/>
          <w:szCs w:val="20"/>
          <w:lang w:val="en-US" w:eastAsia="zh-CN"/>
        </w:rPr>
        <w:t>三、响应</w:t>
      </w:r>
    </w:p>
    <w:p w14:paraId="6C9DD0D9">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8．</w:t>
      </w:r>
      <w:r>
        <w:rPr>
          <w:rFonts w:hint="eastAsia" w:asciiTheme="minorEastAsia" w:hAnsiTheme="minorEastAsia" w:eastAsiaTheme="minorEastAsia" w:cstheme="minorEastAsia"/>
          <w:b/>
          <w:color w:val="auto"/>
          <w:szCs w:val="21"/>
        </w:rPr>
        <w:t>响应文件的语言</w:t>
      </w:r>
    </w:p>
    <w:p w14:paraId="1C15F9D9">
      <w:pPr>
        <w:autoSpaceDE w:val="0"/>
        <w:autoSpaceDN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响应文件及</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与采购有关的来往通知、函件和文件均应使用中文。</w:t>
      </w:r>
    </w:p>
    <w:p w14:paraId="0055F82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9．</w:t>
      </w:r>
      <w:r>
        <w:rPr>
          <w:rFonts w:hint="eastAsia" w:asciiTheme="minorEastAsia" w:hAnsiTheme="minorEastAsia" w:eastAsiaTheme="minorEastAsia" w:cstheme="minorEastAsia"/>
          <w:b/>
          <w:color w:val="auto"/>
          <w:szCs w:val="21"/>
        </w:rPr>
        <w:t>响应文件的组成</w:t>
      </w:r>
    </w:p>
    <w:p w14:paraId="4B7BB35D">
      <w:pPr>
        <w:snapToGrid w:val="0"/>
        <w:spacing w:line="360" w:lineRule="auto"/>
        <w:ind w:firstLine="422" w:firstLineChars="20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9.1 资格文件：</w:t>
      </w:r>
    </w:p>
    <w:p w14:paraId="5861325E">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9.1.1有效的企业法人营业执照（或事业法人登记证）、其他组织（个体工商户）的营业执照或者民办非企业单位登记证书；</w:t>
      </w:r>
    </w:p>
    <w:p w14:paraId="3642BEC9">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9.1.2符合参加采购活动应当具备的一般条件的承诺函(格式见第六部分)；</w:t>
      </w:r>
    </w:p>
    <w:p w14:paraId="7267CD7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9.1.3本项目的特定资格要求；</w:t>
      </w:r>
    </w:p>
    <w:p w14:paraId="45868766">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9.1.4其他资料（如有）。</w:t>
      </w:r>
    </w:p>
    <w:p w14:paraId="2A056603">
      <w:pPr>
        <w:snapToGrid w:val="0"/>
        <w:spacing w:line="360" w:lineRule="auto"/>
        <w:ind w:firstLine="422" w:firstLineChars="200"/>
        <w:rPr>
          <w:rFonts w:asciiTheme="minorEastAsia" w:hAnsiTheme="minorEastAsia" w:eastAsiaTheme="minorEastAsia" w:cstheme="minorEastAsia"/>
          <w:b/>
          <w:bCs/>
          <w:color w:val="auto"/>
          <w:szCs w:val="21"/>
          <w:lang w:val="zh-CN"/>
        </w:rPr>
      </w:pPr>
      <w:r>
        <w:rPr>
          <w:rFonts w:hint="eastAsia" w:asciiTheme="minorEastAsia" w:hAnsiTheme="minorEastAsia" w:eastAsiaTheme="minorEastAsia" w:cstheme="minorEastAsia"/>
          <w:b/>
          <w:bCs/>
          <w:color w:val="auto"/>
          <w:szCs w:val="21"/>
        </w:rPr>
        <w:t>9</w:t>
      </w:r>
      <w:r>
        <w:rPr>
          <w:rFonts w:hint="eastAsia" w:asciiTheme="minorEastAsia" w:hAnsiTheme="minorEastAsia" w:eastAsiaTheme="minorEastAsia" w:cstheme="minorEastAsia"/>
          <w:b/>
          <w:bCs/>
          <w:color w:val="auto"/>
          <w:szCs w:val="21"/>
          <w:lang w:val="zh-CN"/>
        </w:rPr>
        <w:t>.</w:t>
      </w:r>
      <w:r>
        <w:rPr>
          <w:rFonts w:hint="eastAsia" w:asciiTheme="minorEastAsia" w:hAnsiTheme="minorEastAsia" w:eastAsiaTheme="minorEastAsia" w:cstheme="minorEastAsia"/>
          <w:b/>
          <w:bCs/>
          <w:color w:val="auto"/>
          <w:szCs w:val="21"/>
        </w:rPr>
        <w:t>2</w:t>
      </w:r>
      <w:r>
        <w:rPr>
          <w:rFonts w:hint="eastAsia" w:asciiTheme="minorEastAsia" w:hAnsiTheme="minorEastAsia" w:eastAsiaTheme="minorEastAsia" w:cstheme="minorEastAsia"/>
          <w:b/>
          <w:bCs/>
          <w:color w:val="auto"/>
          <w:szCs w:val="21"/>
          <w:lang w:val="zh-CN"/>
        </w:rPr>
        <w:t xml:space="preserve"> </w:t>
      </w:r>
      <w:r>
        <w:rPr>
          <w:rFonts w:hint="eastAsia" w:asciiTheme="minorEastAsia" w:hAnsiTheme="minorEastAsia" w:eastAsiaTheme="minorEastAsia" w:cstheme="minorEastAsia"/>
          <w:b/>
          <w:bCs/>
          <w:color w:val="auto"/>
          <w:szCs w:val="21"/>
        </w:rPr>
        <w:t>商务技术</w:t>
      </w:r>
      <w:r>
        <w:rPr>
          <w:rFonts w:hint="eastAsia" w:asciiTheme="minorEastAsia" w:hAnsiTheme="minorEastAsia" w:eastAsiaTheme="minorEastAsia" w:cstheme="minorEastAsia"/>
          <w:b/>
          <w:bCs/>
          <w:color w:val="auto"/>
          <w:szCs w:val="21"/>
          <w:lang w:val="zh-CN"/>
        </w:rPr>
        <w:t>文件：</w:t>
      </w:r>
    </w:p>
    <w:p w14:paraId="685DA74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 评分索引表；</w:t>
      </w:r>
    </w:p>
    <w:p w14:paraId="599B475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9.2.2符合性自查表；</w:t>
      </w:r>
    </w:p>
    <w:p w14:paraId="75C9D35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9.2.3磋商函；</w:t>
      </w:r>
      <w:r>
        <w:rPr>
          <w:rFonts w:hint="eastAsia" w:asciiTheme="minorEastAsia" w:hAnsiTheme="minorEastAsia" w:eastAsiaTheme="minorEastAsia" w:cstheme="minorEastAsia"/>
          <w:color w:val="auto"/>
          <w:szCs w:val="21"/>
          <w:lang w:val="zh-CN"/>
        </w:rPr>
        <w:t xml:space="preserve"> </w:t>
      </w:r>
    </w:p>
    <w:p w14:paraId="4CFDF85C">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9.2.4 授权委托书或法定代表人（单位负责人、自然人本人）身份证明；</w:t>
      </w:r>
    </w:p>
    <w:p w14:paraId="75F76B3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9.2.5 供应商情况表；</w:t>
      </w:r>
    </w:p>
    <w:p w14:paraId="47B5469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9.2.6 距采购人最近或者能为本项目提供最优服务的网点情况表；</w:t>
      </w:r>
    </w:p>
    <w:p w14:paraId="513C339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2</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7 评标标准相应的商务技术资料；</w:t>
      </w:r>
    </w:p>
    <w:p w14:paraId="0A9E801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9.2.8 商务</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0B0B34C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9.2.9 技术</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6DFB9B3D">
      <w:pPr>
        <w:snapToGrid w:val="0"/>
        <w:spacing w:line="360" w:lineRule="auto"/>
        <w:ind w:firstLine="420" w:firstLineChars="200"/>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 xml:space="preserve">9.2.10 </w:t>
      </w:r>
      <w:r>
        <w:rPr>
          <w:rFonts w:hint="eastAsia" w:asciiTheme="minorEastAsia" w:hAnsiTheme="minorEastAsia" w:eastAsiaTheme="minorEastAsia" w:cstheme="minorEastAsia"/>
          <w:color w:val="auto"/>
          <w:szCs w:val="21"/>
        </w:rPr>
        <w:t>同类业绩情况一览表；</w:t>
      </w:r>
    </w:p>
    <w:p w14:paraId="535B59B0">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1</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Cs w:val="21"/>
          <w:lang w:val="zh-CN"/>
        </w:rPr>
        <w:t>采购供应商廉洁自律承诺书；</w:t>
      </w:r>
    </w:p>
    <w:p w14:paraId="33E92369">
      <w:pPr>
        <w:snapToGrid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其他资料（如有）。</w:t>
      </w:r>
    </w:p>
    <w:p w14:paraId="04DC7FBF">
      <w:pPr>
        <w:snapToGrid w:val="0"/>
        <w:spacing w:line="360" w:lineRule="auto"/>
        <w:ind w:firstLine="422" w:firstLineChars="200"/>
        <w:rPr>
          <w:rFonts w:asciiTheme="minorEastAsia" w:hAnsiTheme="minorEastAsia" w:eastAsiaTheme="minorEastAsia" w:cstheme="minorEastAsia"/>
          <w:b/>
          <w:bCs/>
          <w:color w:val="auto"/>
          <w:szCs w:val="21"/>
          <w:u w:val="single"/>
          <w:lang w:val="zh-CN"/>
        </w:rPr>
      </w:pPr>
      <w:r>
        <w:rPr>
          <w:rFonts w:hint="eastAsia" w:asciiTheme="minorEastAsia" w:hAnsiTheme="minorEastAsia" w:eastAsiaTheme="minorEastAsia" w:cstheme="minorEastAsia"/>
          <w:b/>
          <w:bCs/>
          <w:color w:val="auto"/>
          <w:kern w:val="0"/>
          <w:szCs w:val="21"/>
        </w:rPr>
        <w:t>9</w:t>
      </w:r>
      <w:r>
        <w:rPr>
          <w:rFonts w:hint="eastAsia" w:asciiTheme="minorEastAsia" w:hAnsiTheme="minorEastAsia" w:eastAsiaTheme="minorEastAsia" w:cstheme="minorEastAsia"/>
          <w:b/>
          <w:bCs/>
          <w:color w:val="auto"/>
          <w:kern w:val="0"/>
          <w:szCs w:val="21"/>
          <w:lang w:val="zh-CN"/>
        </w:rPr>
        <w:t>.</w:t>
      </w:r>
      <w:r>
        <w:rPr>
          <w:rFonts w:hint="eastAsia" w:asciiTheme="minorEastAsia" w:hAnsiTheme="minorEastAsia" w:eastAsiaTheme="minorEastAsia" w:cstheme="minorEastAsia"/>
          <w:b/>
          <w:bCs/>
          <w:color w:val="auto"/>
          <w:kern w:val="0"/>
          <w:szCs w:val="21"/>
        </w:rPr>
        <w:t xml:space="preserve">3 </w:t>
      </w:r>
      <w:r>
        <w:rPr>
          <w:rFonts w:hint="eastAsia" w:asciiTheme="minorEastAsia" w:hAnsiTheme="minorEastAsia" w:eastAsiaTheme="minorEastAsia" w:cstheme="minorEastAsia"/>
          <w:b/>
          <w:bCs/>
          <w:color w:val="auto"/>
          <w:szCs w:val="21"/>
        </w:rPr>
        <w:t xml:space="preserve">报价文件： </w:t>
      </w:r>
    </w:p>
    <w:p w14:paraId="3D5987B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9.3.1 报价一览表；</w:t>
      </w:r>
    </w:p>
    <w:p w14:paraId="0963306D">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9.3.2中小企业声明函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如有</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w:t>
      </w:r>
    </w:p>
    <w:p w14:paraId="5FCCE707">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9.3.3残疾人福利性单位声明函（如有）；</w:t>
      </w:r>
    </w:p>
    <w:p w14:paraId="4F12072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9.3.4 监狱企业的证明文件（如有）；</w:t>
      </w:r>
    </w:p>
    <w:p w14:paraId="4FC63E8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9.3.5政府采购统计基础信息表；</w:t>
      </w:r>
    </w:p>
    <w:p w14:paraId="7E8E526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9.3.6其他资料（如有）。</w:t>
      </w:r>
    </w:p>
    <w:p w14:paraId="37742998">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10．</w:t>
      </w:r>
      <w:r>
        <w:rPr>
          <w:rFonts w:hint="eastAsia" w:asciiTheme="minorEastAsia" w:hAnsiTheme="minorEastAsia" w:eastAsiaTheme="minorEastAsia" w:cstheme="minorEastAsia"/>
          <w:b/>
          <w:color w:val="auto"/>
          <w:szCs w:val="21"/>
        </w:rPr>
        <w:t>响应文件的编制</w:t>
      </w:r>
    </w:p>
    <w:p w14:paraId="40AAC83B">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.1响应文件分为资格文件、商务技术文件、报价文件三部分。各供应商在编制响应文件时请按照竞争性磋商文件第六部分规定的格式进行。</w:t>
      </w:r>
      <w:r>
        <w:rPr>
          <w:rFonts w:hint="eastAsia" w:asciiTheme="minorEastAsia" w:hAnsiTheme="minorEastAsia" w:eastAsiaTheme="minorEastAsia" w:cstheme="minorEastAsia"/>
          <w:color w:val="auto"/>
          <w:kern w:val="0"/>
          <w:szCs w:val="21"/>
        </w:rPr>
        <w:t>未有规定格式的资料，</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应自行编制，但至少须包含9.响应文件组成中的内容。</w:t>
      </w:r>
      <w:r>
        <w:rPr>
          <w:rFonts w:hint="eastAsia" w:asciiTheme="minorEastAsia" w:hAnsiTheme="minorEastAsia" w:eastAsiaTheme="minorEastAsia" w:cstheme="minorEastAsia"/>
          <w:color w:val="auto"/>
          <w:kern w:val="0"/>
          <w:szCs w:val="21"/>
          <w:lang w:val="zh-CN"/>
        </w:rPr>
        <w:t>混乱的编排导致响应文件被误读或磋商小组查找不到有效文件是供应商的风险。</w:t>
      </w:r>
    </w:p>
    <w:p w14:paraId="492BF6CA">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.2供应商进行电子投标应安装客户端软件—“乐采云电子交易客户端”，并按照竞争性磋商文件和电子交易平台的要求编制并加密响应文件。供应商未按规定加密的响应文件，电子交易平台将拒收并提示。</w:t>
      </w:r>
    </w:p>
    <w:p w14:paraId="3376AEA0">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.3使用“乐采云电子交易客户端”需要提前申领CA数字证书，申领流程请自行前往“浙江企业采购信息服务网-下载专区-电子交易客户端-CA驱动和申领流程”进行查阅。</w:t>
      </w:r>
    </w:p>
    <w:p w14:paraId="07526BAB">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11．</w:t>
      </w:r>
      <w:r>
        <w:rPr>
          <w:rFonts w:hint="eastAsia" w:asciiTheme="minorEastAsia" w:hAnsiTheme="minorEastAsia" w:eastAsiaTheme="minorEastAsia" w:cstheme="minorEastAsia"/>
          <w:b/>
          <w:color w:val="auto"/>
          <w:szCs w:val="21"/>
        </w:rPr>
        <w:t>投响应文件的签署、盖章</w:t>
      </w:r>
    </w:p>
    <w:p w14:paraId="09413256">
      <w:pPr>
        <w:pStyle w:val="50"/>
        <w:snapToGrid w:val="0"/>
        <w:spacing w:before="0"/>
        <w:ind w:firstLine="420"/>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11.1响应文件按照竞争性磋商文件第六部分格式要求进行签署、盖章。</w:t>
      </w:r>
      <w:r>
        <w:rPr>
          <w:rFonts w:hint="eastAsia" w:asciiTheme="minorEastAsia" w:hAnsiTheme="minorEastAsia" w:eastAsiaTheme="minorEastAsia" w:cstheme="minorEastAsia"/>
          <w:b/>
          <w:color w:val="auto"/>
          <w:sz w:val="21"/>
          <w:szCs w:val="21"/>
        </w:rPr>
        <w:t>▲供应商的响应文件未按照竞争性磋商文件要求签署、盖章的，其响应无效</w:t>
      </w:r>
      <w:r>
        <w:rPr>
          <w:rFonts w:hint="eastAsia" w:asciiTheme="minorEastAsia" w:hAnsiTheme="minorEastAsia" w:eastAsiaTheme="minorEastAsia" w:cstheme="minorEastAsia"/>
          <w:color w:val="auto"/>
          <w:sz w:val="21"/>
          <w:szCs w:val="21"/>
        </w:rPr>
        <w:t>。</w:t>
      </w:r>
    </w:p>
    <w:p w14:paraId="3CD33F1B">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11.2为确保网上操作合法、有效和安全，</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应当在响应截止时间前完成在“政府采购云平台”的身份认证，确保在电子投标过程中能够对相关数据电文进行加密和使用电子签名。</w:t>
      </w:r>
    </w:p>
    <w:p w14:paraId="5321DE58">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11.3竞争性磋商文件对响应文件签署、盖章的要求适用于电子签名。</w:t>
      </w:r>
    </w:p>
    <w:p w14:paraId="51847C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12．</w:t>
      </w:r>
      <w:r>
        <w:rPr>
          <w:rFonts w:hint="eastAsia" w:asciiTheme="minorEastAsia" w:hAnsiTheme="minorEastAsia" w:eastAsiaTheme="minorEastAsia" w:cstheme="minorEastAsia"/>
          <w:b/>
          <w:color w:val="auto"/>
          <w:szCs w:val="21"/>
        </w:rPr>
        <w:t>响应文件的提交、补充、修改、撤回</w:t>
      </w:r>
    </w:p>
    <w:p w14:paraId="53FF3404">
      <w:pPr>
        <w:pStyle w:val="5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 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递交的响应文件，电子交易平台将拒收。</w:t>
      </w:r>
    </w:p>
    <w:p w14:paraId="24BB3507">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12.2电子交易平台收到响应文件，将妥善保存并即时向供应商发出确认回执通知。在响应截止时间前，除供应商补充、修改或者撤回响应文件外，任何单位和个人不得解密或提取响应文件。</w:t>
      </w:r>
    </w:p>
    <w:p w14:paraId="34288F88">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12.3采购人、采购代理机构可以视情况延长响应文件提交的截止时间。在上述情况下，采购代理机构与</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以前在响应截止期方面的全部权利、责任和义务，将适用于延长至新的响应截止期。</w:t>
      </w:r>
    </w:p>
    <w:p w14:paraId="7981E4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13．</w:t>
      </w:r>
      <w:r>
        <w:rPr>
          <w:rFonts w:hint="eastAsia" w:asciiTheme="minorEastAsia" w:hAnsiTheme="minorEastAsia" w:eastAsiaTheme="minorEastAsia" w:cstheme="minorEastAsia"/>
          <w:b/>
          <w:color w:val="auto"/>
          <w:szCs w:val="21"/>
        </w:rPr>
        <w:t>响应有效期</w:t>
      </w:r>
    </w:p>
    <w:p w14:paraId="2CE353C8">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响应有效期为从提交响应文件的截止之日起90天。▲</w:t>
      </w:r>
      <w:r>
        <w:rPr>
          <w:rFonts w:hint="eastAsia" w:asciiTheme="minorEastAsia" w:hAnsiTheme="minorEastAsia" w:eastAsiaTheme="minorEastAsia" w:cstheme="minorEastAsia"/>
          <w:b/>
          <w:color w:val="auto"/>
          <w:szCs w:val="21"/>
        </w:rPr>
        <w:t>供应商的响应文件中承诺的响应有效期少于竞争性磋商文件中载明的响应有效期的，响应无效。</w:t>
      </w:r>
    </w:p>
    <w:p w14:paraId="2F498E9F">
      <w:pPr>
        <w:pStyle w:val="50"/>
        <w:spacing w:before="0"/>
        <w:ind w:firstLine="0" w:firstLineChars="0"/>
        <w:jc w:val="center"/>
        <w:rPr>
          <w:rFonts w:hint="eastAsia" w:asciiTheme="minorEastAsia" w:hAnsiTheme="minorEastAsia" w:eastAsiaTheme="minorEastAsia" w:cstheme="minorEastAsia"/>
          <w:b/>
          <w:color w:val="auto"/>
          <w:sz w:val="32"/>
        </w:rPr>
      </w:pPr>
    </w:p>
    <w:p w14:paraId="3086B7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四、响应文件开启、资格审查与信用信息查询</w:t>
      </w:r>
    </w:p>
    <w:p w14:paraId="331CADB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14．</w:t>
      </w:r>
      <w:r>
        <w:rPr>
          <w:rFonts w:hint="eastAsia" w:asciiTheme="minorEastAsia" w:hAnsiTheme="minorEastAsia" w:eastAsiaTheme="minorEastAsia" w:cstheme="minorEastAsia"/>
          <w:b/>
          <w:color w:val="auto"/>
          <w:szCs w:val="21"/>
        </w:rPr>
        <w:t xml:space="preserve">响应文件开启 </w:t>
      </w:r>
    </w:p>
    <w:p w14:paraId="5B02473F">
      <w:pPr>
        <w:pStyle w:val="45"/>
        <w:spacing w:before="0" w:line="360" w:lineRule="auto"/>
        <w:ind w:left="0" w:firstLine="420" w:firstLineChars="2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14.1采购代理机构按照竞争性磋商文件规定的时间通过电子交易平台组织响应文件开启，所有</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均应当准时在线参加。</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不足3家的，不得开启响应文件。</w:t>
      </w:r>
    </w:p>
    <w:p w14:paraId="7EB2D563">
      <w:pPr>
        <w:pStyle w:val="45"/>
        <w:spacing w:before="0" w:line="360" w:lineRule="auto"/>
        <w:ind w:left="0" w:firstLine="210" w:firstLineChars="1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14.2开启响应文件时，电子交易平台按响应文件开启时间自动提取所有响应文件。采购代理机构依托电子交易平台发起开始解密指令，</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按照平台提示和竞争性磋商文件的规定在半小时内完成在线解密。</w:t>
      </w:r>
    </w:p>
    <w:p w14:paraId="19956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15．</w:t>
      </w:r>
      <w:r>
        <w:rPr>
          <w:rFonts w:hint="eastAsia" w:asciiTheme="minorEastAsia" w:hAnsiTheme="minorEastAsia" w:eastAsiaTheme="minorEastAsia" w:cstheme="minorEastAsia"/>
          <w:b/>
          <w:color w:val="auto"/>
          <w:szCs w:val="21"/>
        </w:rPr>
        <w:t>资格审查</w:t>
      </w:r>
    </w:p>
    <w:p w14:paraId="54A1DF9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15.1</w:t>
      </w:r>
      <w:r>
        <w:rPr>
          <w:rFonts w:hint="eastAsia" w:asciiTheme="minorEastAsia" w:hAnsiTheme="minorEastAsia" w:eastAsiaTheme="minorEastAsia" w:cstheme="minorEastAsia"/>
          <w:color w:val="auto"/>
          <w:sz w:val="21"/>
          <w:szCs w:val="21"/>
        </w:rPr>
        <w:t>响应文件开启</w:t>
      </w:r>
      <w:r>
        <w:rPr>
          <w:rFonts w:hint="eastAsia" w:asciiTheme="minorEastAsia" w:hAnsiTheme="minorEastAsia" w:eastAsiaTheme="minorEastAsia" w:cstheme="minorEastAsia"/>
          <w:color w:val="auto"/>
          <w:kern w:val="0"/>
          <w:sz w:val="21"/>
          <w:szCs w:val="21"/>
        </w:rPr>
        <w:t>后，采购人或采购代理机构依据法律法规和</w:t>
      </w:r>
      <w:r>
        <w:rPr>
          <w:rFonts w:hint="eastAsia" w:asciiTheme="minorEastAsia" w:hAnsiTheme="minorEastAsia" w:eastAsiaTheme="minorEastAsia" w:cstheme="minorEastAsia"/>
          <w:color w:val="auto"/>
          <w:sz w:val="21"/>
          <w:szCs w:val="21"/>
        </w:rPr>
        <w:t>竞争性磋商</w:t>
      </w:r>
      <w:r>
        <w:rPr>
          <w:rFonts w:hint="eastAsia" w:asciiTheme="minorEastAsia" w:hAnsiTheme="minorEastAsia" w:eastAsiaTheme="minorEastAsia" w:cstheme="minorEastAsia"/>
          <w:color w:val="auto"/>
          <w:kern w:val="0"/>
          <w:sz w:val="21"/>
          <w:szCs w:val="21"/>
        </w:rPr>
        <w:t>文件的规定，对供应商的资格条件进行审查。</w:t>
      </w:r>
    </w:p>
    <w:p w14:paraId="53659B51">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2对未通过资格审查的供应商，采购人或采购代理机构告知其未通过的原因。</w:t>
      </w:r>
    </w:p>
    <w:p w14:paraId="50E84990">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3合格供应商不足3家的，不再评审，但符合《政府采购竞争性磋商采购方式管理暂行办法》第二十一条第三款和《财政部关于政府采购竞争性磋商采购方式管理暂行办法有关问题的补充通知》规定的情形，采购活动可以继续进行。</w:t>
      </w:r>
    </w:p>
    <w:p w14:paraId="735C22DD">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16．</w:t>
      </w:r>
      <w:r>
        <w:rPr>
          <w:rFonts w:hint="eastAsia" w:asciiTheme="minorEastAsia" w:hAnsiTheme="minorEastAsia" w:eastAsiaTheme="minorEastAsia" w:cstheme="minorEastAsia"/>
          <w:b/>
          <w:color w:val="auto"/>
          <w:szCs w:val="21"/>
        </w:rPr>
        <w:t>信用信息查询</w:t>
      </w:r>
    </w:p>
    <w:p w14:paraId="3004C156">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16.1信用信息查询渠道及截止时间：采购代理机构将通过“信用中国”网站(www.creditchina.gov.cn)、中国政府采购网(www.ccgp.gov.cn)渠道查询供应商响应截止时间当天的信用记录。</w:t>
      </w:r>
    </w:p>
    <w:p w14:paraId="0B6566AA">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16.2信用信息的使用规则：经查询列入失信被执行人名单、重大税收违法案件当事人名单、政府采购严重违法失信行为记录名单的</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将被拒绝参与采购活动。</w:t>
      </w:r>
    </w:p>
    <w:p w14:paraId="61AC079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五、评审</w:t>
      </w:r>
    </w:p>
    <w:p w14:paraId="53A43A8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bookmarkStart w:id="26" w:name="_Toc91899903"/>
      <w:r>
        <w:rPr>
          <w:rFonts w:hint="default" w:asciiTheme="minorEastAsia" w:hAnsiTheme="minorEastAsia" w:eastAsiaTheme="minorEastAsia" w:cstheme="minorEastAsia"/>
          <w:b/>
          <w:color w:val="auto"/>
          <w:kern w:val="2"/>
          <w:sz w:val="21"/>
          <w:szCs w:val="21"/>
          <w:lang w:val="en-US" w:eastAsia="zh-CN" w:bidi="ar-SA"/>
        </w:rPr>
        <w:t>17．</w:t>
      </w:r>
      <w:r>
        <w:rPr>
          <w:rFonts w:hint="eastAsia" w:asciiTheme="minorEastAsia" w:hAnsiTheme="minorEastAsia" w:eastAsiaTheme="minorEastAsia" w:cstheme="minorEastAsia"/>
          <w:b/>
          <w:color w:val="auto"/>
          <w:szCs w:val="21"/>
        </w:rPr>
        <w:t>磋商小组</w:t>
      </w:r>
    </w:p>
    <w:p w14:paraId="6F95D89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17.1 本次采购依法组建磋商小组。磋商小组由采购人代表和评审专家组成，评审专家从专家库随机抽取。</w:t>
      </w:r>
    </w:p>
    <w:p w14:paraId="7175953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17.2 评审原则。磋商小组必须遵循公平、公正、客观、科学的原则和规定的程序进行评审；评审依据为竞争性磋商文件和响应文件；评审人员应独立评审，不得带有任何倾向性和启发性影响他人评审；任何单位和个人不得干扰、影响评标的正常进行；磋商小组及有关工作人员不得私下与供应商接触，不得向外界透露任何与评审有关的内容。</w:t>
      </w:r>
    </w:p>
    <w:p w14:paraId="2C07CC1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 评审专家有下列情形之一的，应主动提出回避，采购当事人也可以要求该评审专家回避：</w:t>
      </w:r>
    </w:p>
    <w:p w14:paraId="617BBDA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17.3.1 参加采购活动前3年内与供应商存在劳动关系；</w:t>
      </w:r>
    </w:p>
    <w:p w14:paraId="46F5D2A7">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17.3.2 参加采购活动前3年内担任供应商的董事、监事；</w:t>
      </w:r>
    </w:p>
    <w:p w14:paraId="1D66759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17.3.3 参加采购活动前3年内是供应商的控股股东或者实际控制人；</w:t>
      </w:r>
    </w:p>
    <w:p w14:paraId="3270A4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17.3.4 与供应商的法定代表人或者负责人有夫妻、直系血亲、三代以内旁系血亲或者近姻亲关系；</w:t>
      </w:r>
    </w:p>
    <w:p w14:paraId="58B6A7F8">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17.3.5 与供应商有其他可能影响采购活动公平、公正进行的关系。</w:t>
      </w:r>
    </w:p>
    <w:p w14:paraId="4031C3D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17.3.6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62FE4976">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17.4 磋商小组判断响应文件的有效性、合格性和响应情况，仅依据供应商所递交一切文件的真实表述，不受与本项目无直接关联的外部信息、传言而影响自身的专业判断。</w:t>
      </w:r>
    </w:p>
    <w:p w14:paraId="34F11BDE">
      <w:pPr>
        <w:pStyle w:val="50"/>
        <w:spacing w:before="0"/>
        <w:ind w:firstLine="420"/>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color w:val="auto"/>
          <w:kern w:val="0"/>
          <w:sz w:val="21"/>
          <w:szCs w:val="21"/>
        </w:rPr>
        <w:t>17.5 评委依法独立评审，并对评审意见承担个人责任。评委对需要共同认定的事项存在争议的，按照少数服从多数的原则做出结论。持不同意见的评委应当在评审报告上签署不同意见并说明理由，否则视为同意。</w:t>
      </w:r>
    </w:p>
    <w:p w14:paraId="7BB2A375">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left="0" w:leftChars="0" w:firstLine="442" w:firstLineChars="200"/>
        <w:jc w:val="left"/>
        <w:textAlignment w:val="auto"/>
        <w:outlineLvl w:val="1"/>
        <w:rPr>
          <w:rFonts w:hint="eastAsia" w:asciiTheme="minorEastAsia" w:hAnsiTheme="minorEastAsia" w:eastAsiaTheme="minorEastAsia" w:cstheme="minorEastAsia"/>
          <w:b/>
          <w:color w:val="auto"/>
          <w:sz w:val="22"/>
          <w:szCs w:val="22"/>
          <w:highlight w:val="none"/>
          <w:lang w:val="en-US" w:eastAsia="zh-CN"/>
        </w:rPr>
      </w:pPr>
      <w:r>
        <w:rPr>
          <w:rFonts w:hint="default" w:asciiTheme="minorEastAsia" w:hAnsiTheme="minorEastAsia" w:eastAsiaTheme="minorEastAsia" w:cstheme="minorEastAsia"/>
          <w:b/>
          <w:color w:val="auto"/>
          <w:kern w:val="2"/>
          <w:sz w:val="22"/>
          <w:szCs w:val="22"/>
          <w:lang w:val="en-US" w:eastAsia="zh-CN" w:bidi="ar-SA"/>
        </w:rPr>
        <w:t>1</w:t>
      </w:r>
      <w:r>
        <w:rPr>
          <w:rFonts w:hint="eastAsia" w:asciiTheme="minorEastAsia" w:hAnsiTheme="minorEastAsia" w:eastAsiaTheme="minorEastAsia" w:cstheme="minorEastAsia"/>
          <w:b/>
          <w:color w:val="auto"/>
          <w:kern w:val="2"/>
          <w:sz w:val="22"/>
          <w:szCs w:val="22"/>
          <w:lang w:val="en-US" w:eastAsia="zh-CN" w:bidi="ar-SA"/>
        </w:rPr>
        <w:t>8</w:t>
      </w:r>
      <w:r>
        <w:rPr>
          <w:rFonts w:hint="default" w:asciiTheme="minorEastAsia" w:hAnsiTheme="minorEastAsia" w:eastAsiaTheme="minorEastAsia" w:cstheme="minorEastAsia"/>
          <w:b/>
          <w:color w:val="auto"/>
          <w:kern w:val="2"/>
          <w:sz w:val="22"/>
          <w:szCs w:val="22"/>
          <w:lang w:val="en-US" w:eastAsia="zh-CN" w:bidi="ar-SA"/>
        </w:rPr>
        <w:t>．</w:t>
      </w:r>
      <w:r>
        <w:rPr>
          <w:rFonts w:hint="eastAsia" w:asciiTheme="minorEastAsia" w:hAnsiTheme="minorEastAsia" w:eastAsiaTheme="minorEastAsia" w:cstheme="minorEastAsia"/>
          <w:b/>
          <w:color w:val="auto"/>
          <w:sz w:val="22"/>
          <w:szCs w:val="22"/>
          <w:highlight w:val="none"/>
          <w:lang w:val="en-US" w:eastAsia="zh-CN"/>
        </w:rPr>
        <w:t>评标</w:t>
      </w:r>
    </w:p>
    <w:p w14:paraId="21575E0B">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磋商小组将根据竞争性磋商文件和有关规定，履行评标工作职责，并按照评标方法及评分标准，全面衡量各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对竞争性磋商文件的响应情况。对实质上响应竞争性磋商文件的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，按照评审因素的量化指标推荐综合得分排名第一的为中标候选人。</w:t>
      </w:r>
    </w:p>
    <w:p w14:paraId="539112EF">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得分相同的，按投标报价由低到高顺序排列。得分且投标报价相同的，投标文件满足招标文件全部实质性要求，且按照评审因素的量化指标评审得分最高的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为排名第一的中标候选人。</w:t>
      </w:r>
    </w:p>
    <w:p w14:paraId="25065C06">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详见招标文件第四部分评标办法。</w:t>
      </w:r>
    </w:p>
    <w:p w14:paraId="5796103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六、成交</w:t>
      </w:r>
    </w:p>
    <w:p w14:paraId="665905D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kern w:val="2"/>
          <w:sz w:val="21"/>
          <w:szCs w:val="21"/>
          <w:lang w:val="en-US" w:eastAsia="zh-CN" w:bidi="ar-SA"/>
        </w:rPr>
        <w:t>9</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确定成交供应商</w:t>
      </w:r>
    </w:p>
    <w:p w14:paraId="47023FE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采购人在收到评审报告后5个工作日内，从评审报告提出的成交候选供应商中，按照排序由高到低的原则确定成交供应商。采购人逾期未确定成交供应商且不提出异议的，视为确定评审报告提出的排序第一的供应商为成交供应商。</w:t>
      </w:r>
    </w:p>
    <w:p w14:paraId="60B9A911">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kern w:val="2"/>
          <w:sz w:val="21"/>
          <w:szCs w:val="21"/>
          <w:lang w:val="en-US" w:eastAsia="zh-CN" w:bidi="ar-SA"/>
        </w:rPr>
        <w:t>20</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成交通知与成交结果公告</w:t>
      </w:r>
    </w:p>
    <w:p w14:paraId="758CDC5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.1自成交供应商确定之日起2个工作日内，采购代理机构通过电子交易平台向成交供应商发出成交通知书，同时编制发布采购结果公告。采购代理机构也可以以纸质形式进行成交通知。</w:t>
      </w:r>
    </w:p>
    <w:p w14:paraId="5E74AE3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2成交结果公告内容包括采购人及其委托的采购代理机构的名称、地址、联系方式，项目名称和项目编号，成交人名称、地址和成交金额，主要成交标的的名称、规格型号、数量、单价、服务要求，开标记录、成交公告期限以及评审专家名单</w:t>
      </w:r>
      <w:r>
        <w:rPr>
          <w:rFonts w:hint="eastAsia" w:asciiTheme="minorEastAsia" w:hAnsiTheme="minorEastAsia" w:eastAsiaTheme="minorEastAsia" w:cstheme="minorEastAsia"/>
          <w:b/>
          <w:bCs/>
          <w:color w:val="auto"/>
          <w:kern w:val="0"/>
          <w:sz w:val="21"/>
          <w:szCs w:val="21"/>
        </w:rPr>
        <w:t>。</w:t>
      </w:r>
    </w:p>
    <w:p w14:paraId="720EC3F1">
      <w:pPr>
        <w:pStyle w:val="5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.3公告期限为1个工作日。</w:t>
      </w:r>
    </w:p>
    <w:p w14:paraId="2FC10D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七、合同授予</w:t>
      </w:r>
    </w:p>
    <w:p w14:paraId="2B5CC4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1</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合同授予</w:t>
      </w:r>
    </w:p>
    <w:p w14:paraId="6C4ECF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合同主要条款详见第五部分拟签订的合同文本。</w:t>
      </w:r>
    </w:p>
    <w:p w14:paraId="7D431E2C">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2</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合同的签订</w:t>
      </w:r>
    </w:p>
    <w:p w14:paraId="522C9EB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.1 采购人与成交供应商应当通过电子交易平台在成交通知书发出之日起30日内，按照竞争性磋商文件及成交供应商的响应文件确定的事项签订采购合同，并在合同签订之日起2个工作日内依法发布合同公告。</w:t>
      </w:r>
    </w:p>
    <w:p w14:paraId="7581DE0F">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zh-CN"/>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lang w:val="zh-CN"/>
        </w:rPr>
        <w:t>.2成交供应商按规定的日期、时间、地点，由法定代表人或其授权代表与采购人代表签订合同。如成交人为联合体的，由联合体成员各方法定代表人或其授权代表与采购人代表签订合同。</w:t>
      </w:r>
    </w:p>
    <w:p w14:paraId="314BED1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.3如签订合同并生效后，供应商无故拒绝或延期，除按照合同条款处理外，列入不良行为记录名单，并给予通报。</w:t>
      </w:r>
    </w:p>
    <w:p w14:paraId="6FDC36AD">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.4</w:t>
      </w:r>
      <w:r>
        <w:rPr>
          <w:rFonts w:hint="eastAsia" w:asciiTheme="minorEastAsia" w:hAnsiTheme="minorEastAsia" w:eastAsiaTheme="minorEastAsia" w:cstheme="minorEastAsia"/>
          <w:color w:val="auto"/>
          <w:kern w:val="0"/>
          <w:sz w:val="21"/>
          <w:szCs w:val="21"/>
          <w:lang w:val="zh-CN"/>
        </w:rPr>
        <w:t>成交</w:t>
      </w:r>
      <w:r>
        <w:rPr>
          <w:rFonts w:hint="eastAsia" w:asciiTheme="minorEastAsia" w:hAnsiTheme="minorEastAsia" w:eastAsiaTheme="minorEastAsia" w:cstheme="minorEastAsia"/>
          <w:color w:val="auto"/>
          <w:kern w:val="0"/>
          <w:sz w:val="21"/>
          <w:szCs w:val="21"/>
        </w:rPr>
        <w:t>供应商拒绝与采购人签订合同的，列入不良行为记录名单，采购人、采购代理机构重新开展采购活动。</w:t>
      </w:r>
    </w:p>
    <w:p w14:paraId="1D75B185">
      <w:pPr>
        <w:numPr>
          <w:ilvl w:val="0"/>
          <w:numId w:val="0"/>
        </w:numPr>
        <w:adjustRightInd w:val="0"/>
        <w:snapToGrid w:val="0"/>
        <w:spacing w:beforeLines="50" w:line="360" w:lineRule="auto"/>
        <w:ind w:left="0" w:leftChars="0" w:firstLine="422" w:firstLineChars="200"/>
        <w:outlineLvl w:val="1"/>
        <w:rPr>
          <w:rFonts w:hint="default" w:asciiTheme="minorEastAsia" w:hAnsiTheme="minorEastAsia" w:eastAsiaTheme="minorEastAsia" w:cstheme="minorEastAsia"/>
          <w:b/>
          <w:color w:val="auto"/>
          <w:kern w:val="2"/>
          <w:sz w:val="21"/>
          <w:szCs w:val="21"/>
          <w:lang w:val="en-US" w:eastAsia="zh-CN" w:bidi="ar-SA"/>
        </w:rPr>
      </w:pPr>
      <w:r>
        <w:rPr>
          <w:rFonts w:hint="eastAsia" w:asciiTheme="minorEastAsia" w:hAnsiTheme="minorEastAsia" w:eastAsiaTheme="minorEastAsia" w:cstheme="minorEastAsia"/>
          <w:b/>
          <w:color w:val="auto"/>
          <w:kern w:val="2"/>
          <w:sz w:val="21"/>
          <w:szCs w:val="21"/>
          <w:lang w:val="en-US" w:eastAsia="zh-CN" w:bidi="ar-SA"/>
        </w:rPr>
        <w:t>23.履约保证金</w:t>
      </w:r>
    </w:p>
    <w:p w14:paraId="5FA16A1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拟签订的合同文本要求</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供应商提交履约保证金的，</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供应商应当以支票、汇票、本票或者银行、保险公司出具的保函等非现金形式提交。履约保证金的数额不得超过采购合同金额的1%。鼓励和支持</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供应商以银行、保险公司出具的保函形式提供履约保证金。采购人不得拒收履约保函。</w:t>
      </w:r>
    </w:p>
    <w:p w14:paraId="6B0ADC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八、电子交易活动的中止</w:t>
      </w:r>
    </w:p>
    <w:p w14:paraId="6A9E929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4</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电子交易活动的中止</w:t>
      </w:r>
    </w:p>
    <w:p w14:paraId="4EC5B86F">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采购过程中出现以下情形，导致电子交易平台无法正常运行，或者无法保证电子交易的公平、公正和安全时，采购代理机构可中止电子交易活动：</w:t>
      </w:r>
    </w:p>
    <w:p w14:paraId="38F5689F">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.1电子交易平台发生故障而无法登录访问的； </w:t>
      </w:r>
    </w:p>
    <w:p w14:paraId="587705F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.2电子交易平台应用或数据库出现错误，不能进行正常操作的；</w:t>
      </w:r>
    </w:p>
    <w:p w14:paraId="4D2B6B2A">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.3电子交易平台发现严重安全漏洞，有潜在泄密危险的；</w:t>
      </w:r>
    </w:p>
    <w:p w14:paraId="0D01F4D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.4病毒发作导致不能进行正常操作的； </w:t>
      </w:r>
    </w:p>
    <w:p w14:paraId="6CA2D2ED">
      <w:pPr>
        <w:pStyle w:val="50"/>
        <w:snapToGrid w:val="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.5其他无法保证电子交易的公平、公正和安全的情况。</w:t>
      </w:r>
    </w:p>
    <w:p w14:paraId="43324F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九、验收</w:t>
      </w:r>
    </w:p>
    <w:p w14:paraId="0AF87D13">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5</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验收</w:t>
      </w:r>
    </w:p>
    <w:bookmarkEnd w:id="23"/>
    <w:bookmarkEnd w:id="24"/>
    <w:bookmarkEnd w:id="26"/>
    <w:p w14:paraId="2F83AEC3">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EDA3B2B">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2严格按照采购合同开展履约验收。采购人成立验收小组（为社会公众提供的公共服务项目验收时，验收小组成员必须包含部分服务对象），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B4C6B5">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3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监管部门。</w:t>
      </w:r>
      <w:r>
        <w:rPr>
          <w:rFonts w:hint="eastAsia" w:asciiTheme="minorEastAsia" w:hAnsiTheme="minorEastAsia" w:eastAsiaTheme="minorEastAsia" w:cstheme="minorEastAsia"/>
          <w:color w:val="auto"/>
          <w:kern w:val="0"/>
          <w:szCs w:val="21"/>
        </w:rPr>
        <w:br w:type="page"/>
      </w:r>
    </w:p>
    <w:p w14:paraId="7C8D576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第三部分   采购需求</w:t>
      </w:r>
    </w:p>
    <w:p w14:paraId="2A914F51">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eastAsia" w:ascii="宋体" w:hAnsi="宋体" w:cs="宋体"/>
          <w:b/>
          <w:color w:val="auto"/>
          <w:szCs w:val="21"/>
          <w:lang w:val="en-US" w:eastAsia="zh-CN"/>
        </w:rPr>
      </w:pPr>
      <w:bookmarkStart w:id="27" w:name="_Hlk128151554"/>
      <w:r>
        <w:rPr>
          <w:rFonts w:hint="eastAsia" w:ascii="宋体" w:hAnsi="宋体" w:cs="宋体"/>
          <w:b/>
          <w:color w:val="auto"/>
          <w:szCs w:val="21"/>
          <w:lang w:val="en-US" w:eastAsia="zh-CN"/>
        </w:rPr>
        <w:t>一、项目概况</w:t>
      </w:r>
    </w:p>
    <w:p w14:paraId="47B89F51">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1、采购范围：对奉化区莼湖街道奉松路与下横线交叉口东南侧停车场建设工程。</w:t>
      </w:r>
    </w:p>
    <w:p w14:paraId="2E281CCB">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highlight w:val="yellow"/>
          <w:lang w:val="en-US" w:eastAsia="zh-CN"/>
        </w:rPr>
      </w:pPr>
      <w:r>
        <w:rPr>
          <w:rFonts w:hint="eastAsia" w:ascii="宋体" w:hAnsi="宋体" w:cs="宋体"/>
          <w:b w:val="0"/>
          <w:bCs/>
          <w:color w:val="auto"/>
          <w:szCs w:val="21"/>
          <w:lang w:val="en-US" w:eastAsia="zh-CN"/>
        </w:rPr>
        <w:t>2、预算金额/最高限价/最高综合折扣</w:t>
      </w:r>
      <w:r>
        <w:rPr>
          <w:rFonts w:hint="eastAsia" w:ascii="宋体" w:hAnsi="宋体" w:eastAsia="宋体" w:cs="宋体"/>
          <w:b w:val="0"/>
          <w:bCs/>
          <w:color w:val="auto"/>
          <w:szCs w:val="21"/>
          <w:lang w:val="en-US" w:eastAsia="zh-CN"/>
        </w:rPr>
        <w:t>：2236583</w:t>
      </w:r>
      <w:r>
        <w:rPr>
          <w:rFonts w:hint="eastAsia" w:ascii="宋体" w:hAnsi="宋体" w:cs="宋体"/>
          <w:b w:val="0"/>
          <w:bCs/>
          <w:color w:val="auto"/>
          <w:szCs w:val="21"/>
          <w:lang w:val="en-US" w:eastAsia="zh-CN"/>
        </w:rPr>
        <w:t>元/</w:t>
      </w:r>
      <w:r>
        <w:rPr>
          <w:rFonts w:hint="eastAsia" w:ascii="宋体" w:hAnsi="宋体" w:eastAsia="宋体" w:cs="宋体"/>
          <w:b w:val="0"/>
          <w:bCs/>
          <w:color w:val="auto"/>
          <w:szCs w:val="21"/>
          <w:lang w:val="en-US" w:eastAsia="zh-CN"/>
        </w:rPr>
        <w:t>2012925</w:t>
      </w:r>
      <w:r>
        <w:rPr>
          <w:rFonts w:hint="eastAsia" w:ascii="宋体" w:hAnsi="宋体" w:cs="宋体"/>
          <w:b w:val="0"/>
          <w:bCs/>
          <w:color w:val="auto"/>
          <w:szCs w:val="21"/>
          <w:lang w:val="en-US" w:eastAsia="zh-CN"/>
        </w:rPr>
        <w:t>元</w:t>
      </w:r>
      <w:r>
        <w:rPr>
          <w:rFonts w:hint="eastAsia" w:ascii="宋体" w:hAnsi="宋体" w:cs="宋体"/>
          <w:b w:val="0"/>
          <w:bCs/>
          <w:color w:val="auto"/>
          <w:szCs w:val="21"/>
          <w:highlight w:val="none"/>
          <w:lang w:val="en-US" w:eastAsia="zh-CN"/>
        </w:rPr>
        <w:t>/</w:t>
      </w:r>
      <w:r>
        <w:rPr>
          <w:rFonts w:hint="eastAsia" w:ascii="宋体" w:hAnsi="宋体" w:eastAsia="宋体" w:cs="宋体"/>
          <w:b w:val="0"/>
          <w:bCs/>
          <w:color w:val="auto"/>
          <w:szCs w:val="21"/>
          <w:highlight w:val="none"/>
          <w:lang w:val="en-US" w:eastAsia="zh-CN"/>
        </w:rPr>
        <w:t>90%</w:t>
      </w:r>
    </w:p>
    <w:p w14:paraId="14DF0980">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3、资金来源：自有资金</w:t>
      </w:r>
      <w:bookmarkStart w:id="465" w:name="_GoBack"/>
      <w:bookmarkEnd w:id="465"/>
    </w:p>
    <w:p w14:paraId="0130259F">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4、图纸及清单：详见附件：图纸、工程量清单。</w:t>
      </w:r>
    </w:p>
    <w:p w14:paraId="5E9C31C4">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default" w:ascii="宋体" w:hAnsi="宋体" w:eastAsia="宋体" w:cs="宋体"/>
          <w:b/>
          <w:color w:val="auto"/>
          <w:szCs w:val="21"/>
          <w:lang w:val="en-US" w:eastAsia="zh-CN"/>
        </w:rPr>
      </w:pPr>
      <w:r>
        <w:rPr>
          <w:rFonts w:hint="eastAsia" w:ascii="宋体" w:hAnsi="宋体" w:cs="宋体"/>
          <w:b/>
          <w:color w:val="auto"/>
          <w:szCs w:val="21"/>
          <w:lang w:val="en-US" w:eastAsia="zh-CN"/>
        </w:rPr>
        <w:t>二、技术条款要求</w:t>
      </w:r>
    </w:p>
    <w:p w14:paraId="670E57D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1、技术参数及标准</w:t>
      </w:r>
    </w:p>
    <w:p w14:paraId="0530D7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依据设计施工图纸和工程量清单要求，本工程项目的材料、设备、施工必须达到现行中华人民共和国及省、市、行业的一切有关法规、规范的要求。</w:t>
      </w:r>
    </w:p>
    <w:p w14:paraId="6E66F44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2、服务内容及标准</w:t>
      </w:r>
    </w:p>
    <w:p w14:paraId="6895EFC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完成本项目工程量清单、施工图纸以及采购人要求范围内的所有工作并达到合格标准；</w:t>
      </w:r>
    </w:p>
    <w:p w14:paraId="6130F5C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3、安全要求</w:t>
      </w:r>
    </w:p>
    <w:p w14:paraId="66EDD69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（1）施工过程中，施工单位须做好安全防护工作，保证施工人员和过往行人、车辆的安全，由此产生的安全责任及费用均由施工单位负责。</w:t>
      </w:r>
    </w:p>
    <w:p w14:paraId="22B2D62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施工期间，施工单位应做好防火、防盗等措施，减少对周边建筑物、构筑物、地下管线的影响及扰民现象的产生，绝不影响采购人日常工作，做好安全防护工作，文明施工，保证项目的顺利推进；否则由此造成的不良结果所导致工期拖延、质量影响及一切经济损失和纠纷调解等后果均由施工单位负责，与采购人无关。</w:t>
      </w:r>
    </w:p>
    <w:p w14:paraId="7D946B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（3）施工单位必须为其施工人员投保人员工伤保险和建设工程一切险，费用自理。施工期间，发生的一切工伤事故均由施工单位自负，采购人概不负责。  </w:t>
      </w:r>
    </w:p>
    <w:p w14:paraId="673E303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4、环保要求</w:t>
      </w:r>
    </w:p>
    <w:p w14:paraId="5E70234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要求施工单位制定详实的施工方案，确保在工程施工期间有效控制现场的扬尘、噪音、水、光等污染，按规范要求处置各类废弃物。</w:t>
      </w:r>
    </w:p>
    <w:p w14:paraId="2322486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5、安全文明施工要求</w:t>
      </w:r>
    </w:p>
    <w:p w14:paraId="30A90942">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合同履行期间必须保证施工单位（含所有参与本项目的人员）、项目所在地及第三方的安全，做到文明施工、规范施工。期间若发生安全责任事故或被相关部门查处的，一切责任及经济赔偿由施工单位承担，由此给采购人造成损失的，由施工单位予以赔偿。</w:t>
      </w:r>
    </w:p>
    <w:p w14:paraId="11F219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工程其他要求</w:t>
      </w:r>
    </w:p>
    <w:p w14:paraId="38001FB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（1）供应商应按照磋商文件要求响应，供应商应将产品及材料的品牌、产地、规格、技术参数</w:t>
      </w:r>
      <w:r>
        <w:rPr>
          <w:rFonts w:hint="eastAsia" w:ascii="宋体" w:hAnsi="宋体" w:eastAsia="宋体" w:cs="宋体"/>
          <w:bCs/>
          <w:color w:val="auto"/>
          <w:sz w:val="21"/>
          <w:szCs w:val="21"/>
          <w:highlight w:val="none"/>
          <w:lang w:eastAsia="zh-CN"/>
        </w:rPr>
        <w:t>详实</w:t>
      </w:r>
      <w:r>
        <w:rPr>
          <w:rFonts w:hint="eastAsia" w:ascii="宋体" w:hAnsi="宋体" w:eastAsia="宋体" w:cs="宋体"/>
          <w:bCs/>
          <w:color w:val="auto"/>
          <w:sz w:val="21"/>
          <w:szCs w:val="21"/>
          <w:highlight w:val="none"/>
        </w:rPr>
        <w:t>体现在响应文件中。</w:t>
      </w:r>
    </w:p>
    <w:p w14:paraId="008BC0A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（2）成交供应商不得将承包工程转包和个人挂靠，施工中如发现转包、挂靠及其他违约行为的，采购人将没收其履约保证金，并终止合同。由此造成的损失均由成交供应商自行承担。</w:t>
      </w:r>
    </w:p>
    <w:p w14:paraId="4C5DFA9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（3）除采购人提供外，所有材料、设备均由成交供应商负责采购、运输和保管并承担相应费用。成交供应商应对其采购的材料和设备负责，要求如下：</w:t>
      </w:r>
    </w:p>
    <w:p w14:paraId="371B9FC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1）成交供应商在定购产品及材料前，其品牌和质量应与响应文件相符，经采购人书面确认后方可采购。如采用不合格、劣质、假冒品牌的材料和设备，一经发现，采购人有权制止使用，并</w:t>
      </w:r>
      <w:r>
        <w:rPr>
          <w:rFonts w:hint="eastAsia" w:ascii="宋体" w:hAnsi="宋体" w:eastAsia="宋体" w:cs="宋体"/>
          <w:bCs/>
          <w:color w:val="auto"/>
          <w:sz w:val="21"/>
          <w:szCs w:val="21"/>
          <w:highlight w:val="none"/>
          <w:lang w:val="en-US" w:eastAsia="zh-CN"/>
        </w:rPr>
        <w:t>按合同约定</w:t>
      </w:r>
      <w:r>
        <w:rPr>
          <w:rFonts w:hint="eastAsia" w:ascii="宋体" w:hAnsi="宋体" w:eastAsia="宋体" w:cs="宋体"/>
          <w:bCs/>
          <w:color w:val="auto"/>
          <w:sz w:val="21"/>
          <w:szCs w:val="21"/>
          <w:highlight w:val="none"/>
        </w:rPr>
        <w:t>处以违约金，从履约保证金中扣除，情节严重的可解除合同并追究赔偿。无论采购人是否发现或制止，采用不合格、劣质、假冒品牌的材料和设备造成的一切后果由成交供应商承担。</w:t>
      </w:r>
    </w:p>
    <w:p w14:paraId="4CEFB9E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2）成交供应商未按要求确定产品及材料，以次充好或使用假冒伪劣产品的，必须承担工程的返工损失和工期及质量违约责任。</w:t>
      </w:r>
    </w:p>
    <w:p w14:paraId="6A522ED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3）主要设备或者材料进场安装前，应由采购人代表或其委托的第三方机构进行初验，确认无误后方可进场施工。</w:t>
      </w:r>
    </w:p>
    <w:p w14:paraId="562AE89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）如采购人对成交供应商提供的产品及材料质量存在异议，由采购人委托第三方进行检测。如检测结果合格，检测费用由采购人承担；检测结果不合格，费用则由成交供应商负责。</w:t>
      </w:r>
    </w:p>
    <w:p w14:paraId="3019716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应做好原有设施的保护工作。在拆除原有设施时，按顺序记好次序，整齐堆放，并有专员对原有设施进行看护。在恢复安装时，保证原有设施的性能依旧完好并无破损的情况，如发生原有设施损坏、无法照常工作的，须照价赔偿并负责修复，直至其性能达到采购人要求。</w:t>
      </w:r>
    </w:p>
    <w:p w14:paraId="12B5761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成交供应商进场后对划定的施工区域内原已建成的各类管线加强保护，并对场地内原有生活垃圾、杂物、建筑垃圾等由成交供应商负责清理外运，费用包含在施工组织措施费及</w:t>
      </w:r>
      <w:r>
        <w:rPr>
          <w:rFonts w:hint="eastAsia" w:ascii="宋体" w:hAnsi="宋体" w:cs="宋体"/>
          <w:bCs/>
          <w:color w:val="auto"/>
          <w:sz w:val="21"/>
          <w:szCs w:val="21"/>
          <w:highlight w:val="none"/>
          <w:lang w:eastAsia="zh-CN"/>
        </w:rPr>
        <w:t>合同价款</w:t>
      </w:r>
      <w:r>
        <w:rPr>
          <w:rFonts w:hint="eastAsia" w:ascii="宋体" w:hAnsi="宋体" w:eastAsia="宋体" w:cs="宋体"/>
          <w:bCs/>
          <w:color w:val="auto"/>
          <w:sz w:val="21"/>
          <w:szCs w:val="21"/>
          <w:highlight w:val="none"/>
        </w:rPr>
        <w:t>中。成交供应商必须负责实施地点的产品保护和清洁工作，直至验收合格、正常运行并交付采购人为止。在项目实施过程中，如建筑结构或其它设备被损坏，成交供应商将负责修理或赔偿损失。</w:t>
      </w:r>
    </w:p>
    <w:p w14:paraId="104D45D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成交供应商必须及时支付民工工资，如因民工工资纠纷对采购人造成负面影响的，采购人有权对成交供应商处以一定的经济处罚。</w:t>
      </w:r>
    </w:p>
    <w:p w14:paraId="60776275">
      <w:pPr>
        <w:keepNext w:val="0"/>
        <w:keepLines w:val="0"/>
        <w:pageBreakBefore w:val="0"/>
        <w:widowControl/>
        <w:tabs>
          <w:tab w:val="left" w:pos="4915"/>
        </w:tabs>
        <w:kinsoku/>
        <w:wordWrap/>
        <w:overflowPunct/>
        <w:topLinePunct w:val="0"/>
        <w:autoSpaceDE/>
        <w:autoSpaceDN/>
        <w:bidi w:val="0"/>
        <w:spacing w:line="360" w:lineRule="auto"/>
        <w:ind w:firstLine="422"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
          <w:color w:val="auto"/>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项目班子配备：</w:t>
      </w:r>
      <w:r>
        <w:rPr>
          <w:rFonts w:hint="eastAsia" w:ascii="宋体" w:hAnsi="宋体" w:eastAsia="宋体" w:cs="宋体"/>
          <w:bCs/>
          <w:color w:val="auto"/>
          <w:sz w:val="21"/>
          <w:szCs w:val="21"/>
          <w:highlight w:val="none"/>
          <w:lang w:val="en-US" w:eastAsia="zh-CN"/>
        </w:rPr>
        <w:t>施工单位须按规定配备足够的项目组成员，其中</w:t>
      </w:r>
      <w:r>
        <w:rPr>
          <w:rFonts w:hint="eastAsia" w:ascii="宋体" w:hAnsi="宋体" w:cs="宋体"/>
          <w:bCs/>
          <w:color w:val="auto"/>
          <w:sz w:val="21"/>
          <w:szCs w:val="21"/>
          <w:highlight w:val="none"/>
          <w:lang w:val="en-US" w:eastAsia="zh-CN"/>
        </w:rPr>
        <w:t>：</w:t>
      </w:r>
    </w:p>
    <w:p w14:paraId="2694FF8E">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Times New Roman" w:hAnsi="Times New Roman" w:cs="宋体"/>
          <w:color w:val="auto"/>
          <w:szCs w:val="21"/>
          <w:highlight w:val="none"/>
        </w:rPr>
      </w:pPr>
      <w:r>
        <w:rPr>
          <w:rFonts w:hint="eastAsia" w:ascii="宋体" w:hAnsi="宋体" w:cs="宋体"/>
          <w:bCs/>
          <w:color w:val="auto"/>
          <w:sz w:val="21"/>
          <w:szCs w:val="21"/>
          <w:highlight w:val="none"/>
          <w:lang w:val="en-US" w:eastAsia="zh-CN"/>
        </w:rPr>
        <w:t>1）</w:t>
      </w:r>
      <w:r>
        <w:rPr>
          <w:rFonts w:hint="eastAsia" w:cs="宋体"/>
          <w:color w:val="auto"/>
          <w:szCs w:val="21"/>
          <w:highlight w:val="none"/>
        </w:rPr>
        <w:t>项目负责人</w:t>
      </w:r>
      <w:r>
        <w:rPr>
          <w:rFonts w:hint="eastAsia" w:ascii="宋体" w:hAnsi="宋体" w:eastAsia="宋体" w:cs="宋体"/>
          <w:color w:val="auto"/>
          <w:kern w:val="0"/>
          <w:sz w:val="21"/>
          <w:szCs w:val="21"/>
          <w:highlight w:val="none"/>
        </w:rPr>
        <w:t>1名</w:t>
      </w:r>
      <w:r>
        <w:rPr>
          <w:rFonts w:hint="eastAsia" w:cs="宋体"/>
          <w:color w:val="auto"/>
          <w:szCs w:val="21"/>
          <w:highlight w:val="none"/>
        </w:rPr>
        <w:t>：具</w:t>
      </w:r>
      <w:r>
        <w:rPr>
          <w:rFonts w:hint="eastAsia" w:ascii="Times New Roman" w:hAnsi="Times New Roman" w:cs="宋体"/>
          <w:color w:val="auto"/>
          <w:szCs w:val="21"/>
          <w:highlight w:val="none"/>
        </w:rPr>
        <w:t>有</w:t>
      </w:r>
      <w:r>
        <w:rPr>
          <w:rFonts w:hint="eastAsia" w:ascii="Times New Roman" w:hAnsi="Times New Roman" w:cs="宋体"/>
          <w:color w:val="auto"/>
          <w:szCs w:val="21"/>
          <w:highlight w:val="none"/>
          <w:lang w:val="en-US" w:eastAsia="zh-CN"/>
        </w:rPr>
        <w:t>市政公用工程专业</w:t>
      </w:r>
      <w:r>
        <w:rPr>
          <w:rFonts w:hint="eastAsia" w:ascii="Times New Roman" w:hAnsi="Times New Roman" w:cs="宋体"/>
          <w:color w:val="auto"/>
          <w:szCs w:val="21"/>
          <w:highlight w:val="none"/>
        </w:rPr>
        <w:t>注册建造师贰级及以上证书，并具有有效的</w:t>
      </w:r>
      <w:r>
        <w:rPr>
          <w:rFonts w:hint="eastAsia" w:cs="宋体"/>
          <w:color w:val="auto"/>
          <w:szCs w:val="21"/>
          <w:highlight w:val="none"/>
        </w:rPr>
        <w:t>《安全生产考核合格证书》</w:t>
      </w:r>
      <w:r>
        <w:rPr>
          <w:rFonts w:hint="eastAsia" w:ascii="Times New Roman" w:hAnsi="Times New Roman" w:cs="宋体"/>
          <w:color w:val="auto"/>
          <w:szCs w:val="21"/>
          <w:highlight w:val="none"/>
        </w:rPr>
        <w:t>（B证）；</w:t>
      </w:r>
    </w:p>
    <w:p w14:paraId="79BCCE4B">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2）技术负责人1名，要求具有市政相关专业工程师及以上职称；</w:t>
      </w:r>
    </w:p>
    <w:p w14:paraId="061783C9">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3）安全员1名，要求具备安全生产考核合格证（C证）；</w:t>
      </w:r>
    </w:p>
    <w:p w14:paraId="439A59D5">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4）施工员1名，要求施工员岗位证书（培训合格证）；</w:t>
      </w:r>
    </w:p>
    <w:p w14:paraId="49DAC25A">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5）质量员1名，具备质量员岗位证书（培训合格证）。</w:t>
      </w:r>
    </w:p>
    <w:p w14:paraId="2F83F2E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有关事项说明：详见“</w:t>
      </w:r>
      <w:r>
        <w:rPr>
          <w:rFonts w:hint="eastAsia" w:ascii="宋体" w:hAnsi="宋体" w:cs="宋体"/>
          <w:bCs/>
          <w:color w:val="auto"/>
          <w:sz w:val="21"/>
          <w:szCs w:val="21"/>
          <w:highlight w:val="none"/>
          <w:lang w:val="en-US" w:eastAsia="zh-CN"/>
        </w:rPr>
        <w:t>招标控制价</w:t>
      </w:r>
      <w:r>
        <w:rPr>
          <w:rFonts w:hint="eastAsia" w:ascii="宋体" w:hAnsi="宋体" w:eastAsia="宋体" w:cs="宋体"/>
          <w:bCs/>
          <w:color w:val="auto"/>
          <w:sz w:val="21"/>
          <w:szCs w:val="21"/>
          <w:highlight w:val="none"/>
        </w:rPr>
        <w:t>编制说明”</w:t>
      </w:r>
      <w:r>
        <w:rPr>
          <w:rFonts w:hint="eastAsia" w:ascii="宋体" w:hAnsi="宋体" w:eastAsia="宋体" w:cs="宋体"/>
          <w:bCs/>
          <w:color w:val="auto"/>
          <w:sz w:val="21"/>
          <w:szCs w:val="21"/>
          <w:highlight w:val="none"/>
          <w:lang w:eastAsia="zh-CN"/>
        </w:rPr>
        <w:t>。</w:t>
      </w:r>
    </w:p>
    <w:p w14:paraId="6025EA53">
      <w:pPr>
        <w:keepNext w:val="0"/>
        <w:keepLines w:val="0"/>
        <w:pageBreakBefore w:val="0"/>
        <w:widowControl/>
        <w:kinsoku/>
        <w:wordWrap/>
        <w:overflowPunct/>
        <w:topLinePunct w:val="0"/>
        <w:autoSpaceDE/>
        <w:autoSpaceDN/>
        <w:bidi w:val="0"/>
        <w:textAlignment w:val="auto"/>
        <w:outlineLvl w:val="9"/>
        <w:rPr>
          <w:rFonts w:hint="eastAsia" w:ascii="宋体" w:hAnsi="宋体" w:cs="宋体"/>
          <w:b/>
          <w:color w:val="auto"/>
          <w:szCs w:val="21"/>
          <w:lang w:val="en-US" w:eastAsia="zh-CN"/>
        </w:rPr>
      </w:pPr>
      <w:r>
        <w:rPr>
          <w:rFonts w:hint="eastAsia" w:ascii="宋体" w:hAnsi="宋体" w:cs="宋体"/>
          <w:b/>
          <w:color w:val="auto"/>
          <w:szCs w:val="21"/>
          <w:lang w:val="en-US" w:eastAsia="zh-CN"/>
        </w:rPr>
        <w:br w:type="page"/>
      </w:r>
    </w:p>
    <w:p w14:paraId="2AAA7FA2">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ascii="宋体" w:hAnsi="宋体" w:cs="宋体"/>
          <w:b/>
          <w:color w:val="auto"/>
          <w:szCs w:val="21"/>
        </w:rPr>
      </w:pPr>
      <w:r>
        <w:rPr>
          <w:rFonts w:hint="eastAsia" w:ascii="宋体" w:hAnsi="宋体" w:cs="宋体"/>
          <w:b/>
          <w:color w:val="auto"/>
          <w:szCs w:val="21"/>
          <w:lang w:val="en-US" w:eastAsia="zh-CN"/>
        </w:rPr>
        <w:t>三、</w:t>
      </w:r>
      <w:r>
        <w:rPr>
          <w:rFonts w:hint="eastAsia" w:ascii="宋体" w:hAnsi="宋体" w:cs="宋体"/>
          <w:b/>
          <w:color w:val="auto"/>
          <w:szCs w:val="21"/>
        </w:rPr>
        <w:t>商务条款要求表</w:t>
      </w:r>
    </w:p>
    <w:bookmarkEnd w:id="27"/>
    <w:tbl>
      <w:tblPr>
        <w:tblStyle w:val="26"/>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9046"/>
      </w:tblGrid>
      <w:tr w14:paraId="7CF1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5ED339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9046" w:type="dxa"/>
            <w:vAlign w:val="center"/>
          </w:tcPr>
          <w:p w14:paraId="1CB9C8F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r>
      <w:tr w14:paraId="1AAB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 w:type="dxa"/>
            <w:vAlign w:val="center"/>
          </w:tcPr>
          <w:p w14:paraId="41EC6CB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9046" w:type="dxa"/>
            <w:vAlign w:val="center"/>
          </w:tcPr>
          <w:p w14:paraId="43A495B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履约保证金：签约合同金额的1%，电汇、银行支票、银行保函、保险公司担保等形式。于签订合同的同时缴纳给采购人，项目竣工验收后退回。</w:t>
            </w:r>
          </w:p>
        </w:tc>
      </w:tr>
      <w:tr w14:paraId="7C1C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62" w:type="dxa"/>
            <w:vAlign w:val="center"/>
          </w:tcPr>
          <w:p w14:paraId="762F7216">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9046" w:type="dxa"/>
            <w:vAlign w:val="center"/>
          </w:tcPr>
          <w:p w14:paraId="77539AB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质量等级要求：达到国家和行业施工验收规范一次性验收合格</w:t>
            </w:r>
          </w:p>
          <w:p w14:paraId="42C24C9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安全等级要求：合格</w:t>
            </w:r>
          </w:p>
        </w:tc>
      </w:tr>
      <w:tr w14:paraId="7D7C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62" w:type="dxa"/>
            <w:vAlign w:val="center"/>
          </w:tcPr>
          <w:p w14:paraId="315A66A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9046" w:type="dxa"/>
            <w:vAlign w:val="center"/>
          </w:tcPr>
          <w:p w14:paraId="3C3F8AC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r>
      <w:tr w14:paraId="2896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962" w:type="dxa"/>
            <w:vAlign w:val="center"/>
          </w:tcPr>
          <w:p w14:paraId="01C308E1">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9046" w:type="dxa"/>
            <w:vAlign w:val="center"/>
          </w:tcPr>
          <w:p w14:paraId="494B27C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4DB7BB43">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r>
      <w:tr w14:paraId="2F9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62" w:type="dxa"/>
            <w:vAlign w:val="center"/>
          </w:tcPr>
          <w:p w14:paraId="3D23A85B">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9046" w:type="dxa"/>
            <w:vAlign w:val="center"/>
          </w:tcPr>
          <w:p w14:paraId="03619BD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施工工期：</w:t>
            </w:r>
            <w:r>
              <w:rPr>
                <w:rFonts w:hint="eastAsia" w:ascii="宋体" w:hAnsi="宋体" w:cs="宋体"/>
                <w:bCs/>
                <w:color w:val="auto"/>
                <w:szCs w:val="21"/>
                <w:highlight w:val="none"/>
                <w:lang w:val="en-US" w:eastAsia="zh-CN"/>
              </w:rPr>
              <w:t>15日历天</w:t>
            </w:r>
            <w:r>
              <w:rPr>
                <w:rFonts w:hint="eastAsia" w:ascii="宋体" w:hAnsi="宋体" w:eastAsia="宋体" w:cs="宋体"/>
                <w:bCs/>
                <w:color w:val="auto"/>
                <w:szCs w:val="21"/>
                <w:highlight w:val="none"/>
              </w:rPr>
              <w:t>；</w:t>
            </w:r>
          </w:p>
        </w:tc>
      </w:tr>
      <w:tr w14:paraId="1DC0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vAlign w:val="center"/>
          </w:tcPr>
          <w:p w14:paraId="7FF3D684">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9046" w:type="dxa"/>
            <w:vAlign w:val="center"/>
          </w:tcPr>
          <w:p w14:paraId="5CF7CA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报价方式：采用综合</w:t>
            </w:r>
            <w:r>
              <w:rPr>
                <w:rFonts w:hint="eastAsia" w:ascii="宋体" w:hAnsi="宋体" w:cs="宋体"/>
                <w:bCs/>
                <w:color w:val="auto"/>
                <w:szCs w:val="21"/>
                <w:lang w:eastAsia="zh-CN"/>
              </w:rPr>
              <w:t>折扣</w:t>
            </w:r>
            <w:r>
              <w:rPr>
                <w:rFonts w:hint="eastAsia" w:ascii="宋体" w:hAnsi="宋体" w:cs="宋体"/>
                <w:bCs/>
                <w:color w:val="auto"/>
                <w:szCs w:val="21"/>
              </w:rPr>
              <w:t>方式进行报价，同时</w:t>
            </w:r>
            <w:r>
              <w:rPr>
                <w:rFonts w:hint="eastAsia" w:ascii="宋体" w:hAnsi="宋体" w:cs="宋体"/>
                <w:bCs/>
                <w:color w:val="auto"/>
                <w:szCs w:val="21"/>
                <w:lang w:eastAsia="zh-CN"/>
              </w:rPr>
              <w:t>折扣</w:t>
            </w:r>
            <w:r>
              <w:rPr>
                <w:rFonts w:hint="eastAsia" w:ascii="宋体" w:hAnsi="宋体" w:cs="宋体"/>
                <w:bCs/>
                <w:color w:val="auto"/>
                <w:szCs w:val="21"/>
              </w:rPr>
              <w:t>不得高于</w:t>
            </w:r>
            <w:r>
              <w:rPr>
                <w:rFonts w:hint="eastAsia" w:ascii="宋体" w:hAnsi="宋体" w:cs="宋体"/>
                <w:bCs/>
                <w:color w:val="auto"/>
                <w:szCs w:val="21"/>
                <w:lang w:val="en-US" w:eastAsia="zh-CN"/>
              </w:rPr>
              <w:t>90</w:t>
            </w:r>
            <w:r>
              <w:rPr>
                <w:rFonts w:hint="eastAsia" w:ascii="宋体" w:hAnsi="宋体" w:cs="宋体"/>
                <w:bCs/>
                <w:color w:val="auto"/>
                <w:szCs w:val="21"/>
                <w:lang w:eastAsia="zh-CN"/>
              </w:rPr>
              <w:t>%</w:t>
            </w:r>
            <w:r>
              <w:rPr>
                <w:rFonts w:hint="eastAsia" w:ascii="宋体" w:hAnsi="宋体" w:cs="宋体"/>
                <w:bCs/>
                <w:color w:val="auto"/>
                <w:szCs w:val="21"/>
              </w:rPr>
              <w:t>。</w:t>
            </w:r>
          </w:p>
          <w:p w14:paraId="20DF14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本项目为单价合同，</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tc>
      </w:tr>
      <w:tr w14:paraId="197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1C84516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9046" w:type="dxa"/>
            <w:vAlign w:val="center"/>
          </w:tcPr>
          <w:p w14:paraId="506DB7E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本项目签约合同价</w:t>
            </w:r>
            <w:r>
              <w:rPr>
                <w:rFonts w:hint="eastAsia" w:ascii="宋体" w:hAnsi="宋体" w:cs="宋体"/>
                <w:bCs/>
                <w:color w:val="auto"/>
                <w:szCs w:val="21"/>
                <w:lang w:val="en-US" w:eastAsia="zh-CN"/>
              </w:rPr>
              <w:t>款</w:t>
            </w:r>
            <w:r>
              <w:rPr>
                <w:rFonts w:hint="eastAsia" w:ascii="宋体" w:hAnsi="宋体" w:cs="宋体"/>
                <w:bCs/>
                <w:color w:val="auto"/>
                <w:szCs w:val="21"/>
              </w:rPr>
              <w:t>计算公式：</w:t>
            </w:r>
            <w:r>
              <w:rPr>
                <w:rFonts w:hint="eastAsia" w:ascii="宋体" w:hAnsi="宋体" w:cs="宋体"/>
                <w:bCs/>
                <w:color w:val="auto"/>
                <w:szCs w:val="21"/>
                <w:highlight w:val="none"/>
              </w:rPr>
              <w:t>（预算金额-暂定价）*成交综合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r>
              <w:rPr>
                <w:rFonts w:hint="eastAsia" w:ascii="宋体" w:hAnsi="宋体" w:cs="宋体"/>
                <w:bCs/>
                <w:color w:val="auto"/>
                <w:szCs w:val="21"/>
              </w:rPr>
              <w:t>。</w:t>
            </w:r>
          </w:p>
        </w:tc>
      </w:tr>
      <w:tr w14:paraId="7486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029A10F">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9046" w:type="dxa"/>
            <w:vAlign w:val="center"/>
          </w:tcPr>
          <w:p w14:paraId="504E814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lang w:eastAsia="zh-CN"/>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r>
    </w:tbl>
    <w:p w14:paraId="7870383C">
      <w:pPr>
        <w:rPr>
          <w:rFonts w:asciiTheme="minorEastAsia" w:hAnsiTheme="minorEastAsia" w:eastAsiaTheme="minorEastAsia" w:cstheme="minorEastAsia"/>
          <w:color w:val="auto"/>
        </w:rPr>
      </w:pPr>
    </w:p>
    <w:p w14:paraId="5125F972">
      <w:pPr>
        <w:ind w:firstLine="723"/>
        <w:jc w:val="center"/>
        <w:rPr>
          <w:rFonts w:asciiTheme="minorEastAsia" w:hAnsiTheme="minorEastAsia" w:eastAsiaTheme="minorEastAsia" w:cstheme="minorEastAsia"/>
          <w:b/>
          <w:color w:val="auto"/>
          <w:sz w:val="36"/>
          <w:szCs w:val="36"/>
        </w:rPr>
      </w:pPr>
    </w:p>
    <w:p w14:paraId="264D815D">
      <w:pPr>
        <w:ind w:firstLine="723"/>
        <w:jc w:val="center"/>
        <w:rPr>
          <w:rFonts w:asciiTheme="minorEastAsia" w:hAnsiTheme="minorEastAsia" w:eastAsiaTheme="minorEastAsia" w:cstheme="minorEastAsia"/>
          <w:b/>
          <w:color w:val="auto"/>
          <w:sz w:val="36"/>
          <w:szCs w:val="36"/>
        </w:rPr>
      </w:pPr>
    </w:p>
    <w:p w14:paraId="056EF78D">
      <w:pPr>
        <w:ind w:firstLine="723"/>
        <w:jc w:val="center"/>
        <w:rPr>
          <w:rFonts w:asciiTheme="minorEastAsia" w:hAnsiTheme="minorEastAsia" w:eastAsiaTheme="minorEastAsia" w:cstheme="minorEastAsia"/>
          <w:b/>
          <w:color w:val="auto"/>
          <w:sz w:val="36"/>
          <w:szCs w:val="36"/>
        </w:rPr>
      </w:pPr>
    </w:p>
    <w:p w14:paraId="03FAB087">
      <w:pPr>
        <w:ind w:firstLine="723"/>
        <w:jc w:val="center"/>
        <w:rPr>
          <w:rFonts w:asciiTheme="minorEastAsia" w:hAnsiTheme="minorEastAsia" w:eastAsiaTheme="minorEastAsia" w:cstheme="minorEastAsia"/>
          <w:b/>
          <w:color w:val="auto"/>
          <w:sz w:val="36"/>
          <w:szCs w:val="36"/>
        </w:rPr>
      </w:pPr>
    </w:p>
    <w:p w14:paraId="527DA8FF">
      <w:pPr>
        <w:ind w:firstLine="723"/>
        <w:jc w:val="center"/>
        <w:rPr>
          <w:rFonts w:asciiTheme="minorEastAsia" w:hAnsiTheme="minorEastAsia" w:eastAsiaTheme="minorEastAsia" w:cstheme="minorEastAsia"/>
          <w:b/>
          <w:color w:val="auto"/>
          <w:sz w:val="36"/>
          <w:szCs w:val="36"/>
        </w:rPr>
      </w:pPr>
    </w:p>
    <w:p w14:paraId="561077B8">
      <w:pPr>
        <w:ind w:firstLine="723"/>
        <w:jc w:val="center"/>
        <w:rPr>
          <w:rFonts w:asciiTheme="minorEastAsia" w:hAnsiTheme="minorEastAsia" w:eastAsiaTheme="minorEastAsia" w:cstheme="minorEastAsia"/>
          <w:b/>
          <w:color w:val="auto"/>
          <w:sz w:val="36"/>
          <w:szCs w:val="36"/>
        </w:rPr>
      </w:pPr>
    </w:p>
    <w:p w14:paraId="780D490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rPr>
        <w:t xml:space="preserve">第四部分   </w:t>
      </w:r>
      <w:bookmarkStart w:id="28" w:name="_Toc184308100"/>
      <w:bookmarkEnd w:id="28"/>
      <w:bookmarkStart w:id="29" w:name="_Toc184313293"/>
      <w:bookmarkEnd w:id="29"/>
      <w:bookmarkStart w:id="30" w:name="_Toc184310344"/>
      <w:bookmarkEnd w:id="30"/>
      <w:bookmarkStart w:id="31" w:name="_Toc184313281"/>
      <w:bookmarkEnd w:id="31"/>
      <w:bookmarkStart w:id="32" w:name="_Toc184312117"/>
      <w:bookmarkEnd w:id="32"/>
      <w:bookmarkStart w:id="33" w:name="_Toc184313253"/>
      <w:bookmarkEnd w:id="33"/>
      <w:bookmarkStart w:id="34" w:name="_Toc184314466"/>
      <w:bookmarkEnd w:id="34"/>
      <w:bookmarkStart w:id="35" w:name="_Toc184314427"/>
      <w:bookmarkEnd w:id="35"/>
      <w:bookmarkStart w:id="36" w:name="_Toc184312139"/>
      <w:bookmarkEnd w:id="36"/>
      <w:bookmarkStart w:id="37" w:name="_Toc184312074"/>
      <w:bookmarkEnd w:id="37"/>
      <w:bookmarkStart w:id="38" w:name="_Toc184310283"/>
      <w:bookmarkEnd w:id="38"/>
      <w:bookmarkStart w:id="39" w:name="_Toc184313279"/>
      <w:bookmarkEnd w:id="39"/>
      <w:bookmarkStart w:id="40" w:name="_Toc184314421"/>
      <w:bookmarkEnd w:id="40"/>
      <w:bookmarkStart w:id="41" w:name="_Toc184314445"/>
      <w:bookmarkEnd w:id="41"/>
      <w:bookmarkStart w:id="42" w:name="_Toc184308057"/>
      <w:bookmarkEnd w:id="42"/>
      <w:bookmarkStart w:id="43" w:name="_Toc184308103"/>
      <w:bookmarkEnd w:id="43"/>
      <w:bookmarkStart w:id="44" w:name="_Toc184310328"/>
      <w:bookmarkEnd w:id="44"/>
      <w:bookmarkStart w:id="45" w:name="_Toc184312116"/>
      <w:bookmarkEnd w:id="45"/>
      <w:bookmarkStart w:id="46" w:name="_Toc184314411"/>
      <w:bookmarkEnd w:id="46"/>
      <w:bookmarkStart w:id="47" w:name="_Toc184313283"/>
      <w:bookmarkEnd w:id="47"/>
      <w:bookmarkStart w:id="48" w:name="_Toc184308084"/>
      <w:bookmarkEnd w:id="48"/>
      <w:bookmarkStart w:id="49" w:name="_Toc184308075"/>
      <w:bookmarkEnd w:id="49"/>
      <w:bookmarkStart w:id="50" w:name="_Toc184308053"/>
      <w:bookmarkEnd w:id="50"/>
      <w:bookmarkStart w:id="51" w:name="_Toc184313247"/>
      <w:bookmarkEnd w:id="51"/>
      <w:bookmarkStart w:id="52" w:name="_Toc184314460"/>
      <w:bookmarkEnd w:id="52"/>
      <w:bookmarkStart w:id="53" w:name="_Toc184313239"/>
      <w:bookmarkEnd w:id="53"/>
      <w:bookmarkStart w:id="54" w:name="_Toc184312083"/>
      <w:bookmarkEnd w:id="54"/>
      <w:bookmarkStart w:id="55" w:name="_Toc184314455"/>
      <w:bookmarkEnd w:id="55"/>
      <w:bookmarkStart w:id="56" w:name="_Toc184314465"/>
      <w:bookmarkEnd w:id="56"/>
      <w:bookmarkStart w:id="57" w:name="_Toc184308085"/>
      <w:bookmarkEnd w:id="57"/>
      <w:bookmarkStart w:id="58" w:name="_Toc184308069"/>
      <w:bookmarkEnd w:id="58"/>
      <w:bookmarkStart w:id="59" w:name="_Toc184308051"/>
      <w:bookmarkEnd w:id="59"/>
      <w:bookmarkStart w:id="60" w:name="_Toc184312127"/>
      <w:bookmarkEnd w:id="60"/>
      <w:bookmarkStart w:id="61" w:name="_Toc184313303"/>
      <w:bookmarkEnd w:id="61"/>
      <w:bookmarkStart w:id="62" w:name="_Toc184312131"/>
      <w:bookmarkEnd w:id="62"/>
      <w:bookmarkStart w:id="63" w:name="_Toc184312122"/>
      <w:bookmarkEnd w:id="63"/>
      <w:bookmarkStart w:id="64" w:name="_Toc184313299"/>
      <w:bookmarkEnd w:id="64"/>
      <w:bookmarkStart w:id="65" w:name="_Toc184308072"/>
      <w:bookmarkEnd w:id="65"/>
      <w:bookmarkStart w:id="66" w:name="_Toc184308087"/>
      <w:bookmarkEnd w:id="66"/>
      <w:bookmarkStart w:id="67" w:name="_Toc184313277"/>
      <w:bookmarkEnd w:id="67"/>
      <w:bookmarkStart w:id="68" w:name="_Toc184310278"/>
      <w:bookmarkEnd w:id="68"/>
      <w:bookmarkStart w:id="69" w:name="_Toc184310331"/>
      <w:bookmarkEnd w:id="69"/>
      <w:bookmarkStart w:id="70" w:name="_Toc184312138"/>
      <w:bookmarkEnd w:id="70"/>
      <w:bookmarkStart w:id="71" w:name="_Toc184310304"/>
      <w:bookmarkEnd w:id="71"/>
      <w:bookmarkStart w:id="72" w:name="_Toc184313271"/>
      <w:bookmarkEnd w:id="72"/>
      <w:bookmarkStart w:id="73" w:name="_Toc184308074"/>
      <w:bookmarkEnd w:id="73"/>
      <w:bookmarkStart w:id="74" w:name="_Toc184312124"/>
      <w:bookmarkEnd w:id="74"/>
      <w:bookmarkStart w:id="75" w:name="_Toc184308096"/>
      <w:bookmarkEnd w:id="75"/>
      <w:bookmarkStart w:id="76" w:name="_Toc184308062"/>
      <w:bookmarkEnd w:id="76"/>
      <w:bookmarkStart w:id="77" w:name="_Toc184313289"/>
      <w:bookmarkEnd w:id="77"/>
      <w:bookmarkStart w:id="78" w:name="_Toc184310313"/>
      <w:bookmarkEnd w:id="78"/>
      <w:bookmarkStart w:id="79" w:name="_Toc184312090"/>
      <w:bookmarkEnd w:id="79"/>
      <w:bookmarkStart w:id="80" w:name="_Toc184313286"/>
      <w:bookmarkEnd w:id="80"/>
      <w:bookmarkStart w:id="81" w:name="_Toc184308095"/>
      <w:bookmarkEnd w:id="81"/>
      <w:bookmarkStart w:id="82" w:name="_Toc184313249"/>
      <w:bookmarkEnd w:id="82"/>
      <w:bookmarkStart w:id="83" w:name="_Toc184308050"/>
      <w:bookmarkEnd w:id="83"/>
      <w:bookmarkStart w:id="84" w:name="_Toc184310332"/>
      <w:bookmarkEnd w:id="84"/>
      <w:bookmarkStart w:id="85" w:name="_Toc184313298"/>
      <w:bookmarkEnd w:id="85"/>
      <w:bookmarkStart w:id="86" w:name="_Toc184313243"/>
      <w:bookmarkEnd w:id="86"/>
      <w:bookmarkStart w:id="87" w:name="_Toc184313291"/>
      <w:bookmarkEnd w:id="87"/>
      <w:bookmarkStart w:id="88" w:name="_Toc184310319"/>
      <w:bookmarkEnd w:id="88"/>
      <w:bookmarkStart w:id="89" w:name="_Toc184312126"/>
      <w:bookmarkEnd w:id="89"/>
      <w:bookmarkStart w:id="90" w:name="_Toc184313272"/>
      <w:bookmarkEnd w:id="90"/>
      <w:bookmarkStart w:id="91" w:name="_Toc184312100"/>
      <w:bookmarkEnd w:id="91"/>
      <w:bookmarkStart w:id="92" w:name="_Toc184313245"/>
      <w:bookmarkEnd w:id="92"/>
      <w:bookmarkStart w:id="93" w:name="_Toc184310290"/>
      <w:bookmarkEnd w:id="93"/>
      <w:bookmarkStart w:id="94" w:name="_Toc184313257"/>
      <w:bookmarkEnd w:id="94"/>
      <w:bookmarkStart w:id="95" w:name="_Toc184314416"/>
      <w:bookmarkEnd w:id="95"/>
      <w:bookmarkStart w:id="96" w:name="_Toc184308039"/>
      <w:bookmarkEnd w:id="96"/>
      <w:bookmarkStart w:id="97" w:name="_Toc184308049"/>
      <w:bookmarkEnd w:id="97"/>
      <w:bookmarkStart w:id="98" w:name="_Toc184312112"/>
      <w:bookmarkEnd w:id="98"/>
      <w:bookmarkStart w:id="99" w:name="_Toc184312137"/>
      <w:bookmarkEnd w:id="99"/>
      <w:bookmarkStart w:id="100" w:name="_Toc184313255"/>
      <w:bookmarkEnd w:id="100"/>
      <w:bookmarkStart w:id="101" w:name="_Toc184312105"/>
      <w:bookmarkEnd w:id="101"/>
      <w:bookmarkStart w:id="102" w:name="_Toc184312125"/>
      <w:bookmarkEnd w:id="102"/>
      <w:bookmarkStart w:id="103" w:name="_Toc184313256"/>
      <w:bookmarkEnd w:id="103"/>
      <w:bookmarkStart w:id="104" w:name="_Toc184310299"/>
      <w:bookmarkEnd w:id="104"/>
      <w:bookmarkStart w:id="105" w:name="_Toc184310337"/>
      <w:bookmarkEnd w:id="105"/>
      <w:bookmarkStart w:id="106" w:name="_Toc184310281"/>
      <w:bookmarkEnd w:id="106"/>
      <w:bookmarkStart w:id="107" w:name="_Toc184310323"/>
      <w:bookmarkEnd w:id="107"/>
      <w:bookmarkStart w:id="108" w:name="_Toc184310315"/>
      <w:bookmarkEnd w:id="108"/>
      <w:bookmarkStart w:id="109" w:name="_Toc184312075"/>
      <w:bookmarkEnd w:id="109"/>
      <w:bookmarkStart w:id="110" w:name="_Toc184312123"/>
      <w:bookmarkEnd w:id="110"/>
      <w:bookmarkStart w:id="111" w:name="_Toc184314419"/>
      <w:bookmarkEnd w:id="111"/>
      <w:bookmarkStart w:id="112" w:name="_Toc184308082"/>
      <w:bookmarkEnd w:id="112"/>
      <w:bookmarkStart w:id="113" w:name="_Toc184308043"/>
      <w:bookmarkEnd w:id="113"/>
      <w:bookmarkStart w:id="114" w:name="_Toc184312133"/>
      <w:bookmarkEnd w:id="114"/>
      <w:bookmarkStart w:id="115" w:name="_Toc184314443"/>
      <w:bookmarkEnd w:id="115"/>
      <w:bookmarkStart w:id="116" w:name="_Toc184313275"/>
      <w:bookmarkEnd w:id="116"/>
      <w:bookmarkStart w:id="117" w:name="_Toc184310276"/>
      <w:bookmarkEnd w:id="117"/>
      <w:bookmarkStart w:id="118" w:name="_Toc184314425"/>
      <w:bookmarkEnd w:id="118"/>
      <w:bookmarkStart w:id="119" w:name="_Toc184314479"/>
      <w:bookmarkEnd w:id="119"/>
      <w:bookmarkStart w:id="120" w:name="_Toc184310336"/>
      <w:bookmarkEnd w:id="120"/>
      <w:bookmarkStart w:id="121" w:name="_Toc184310286"/>
      <w:bookmarkEnd w:id="121"/>
      <w:bookmarkStart w:id="122" w:name="_Toc184314428"/>
      <w:bookmarkEnd w:id="122"/>
      <w:bookmarkStart w:id="123" w:name="_Toc184308078"/>
      <w:bookmarkEnd w:id="123"/>
      <w:bookmarkStart w:id="124" w:name="_Toc184308098"/>
      <w:bookmarkEnd w:id="124"/>
      <w:bookmarkStart w:id="125" w:name="_Toc184308040"/>
      <w:bookmarkEnd w:id="125"/>
      <w:bookmarkStart w:id="126" w:name="_Toc184312129"/>
      <w:bookmarkEnd w:id="126"/>
      <w:bookmarkStart w:id="127" w:name="_Toc184312120"/>
      <w:bookmarkEnd w:id="127"/>
      <w:bookmarkStart w:id="128" w:name="_Toc184308041"/>
      <w:bookmarkEnd w:id="128"/>
      <w:bookmarkStart w:id="129" w:name="_Toc184313309"/>
      <w:bookmarkEnd w:id="129"/>
      <w:bookmarkStart w:id="130" w:name="_Toc184310298"/>
      <w:bookmarkEnd w:id="130"/>
      <w:bookmarkStart w:id="131" w:name="_Toc184314481"/>
      <w:bookmarkEnd w:id="131"/>
      <w:bookmarkStart w:id="132" w:name="_Toc184314413"/>
      <w:bookmarkEnd w:id="132"/>
      <w:bookmarkStart w:id="133" w:name="_Toc184312121"/>
      <w:bookmarkEnd w:id="133"/>
      <w:bookmarkStart w:id="134" w:name="_Toc184312069"/>
      <w:bookmarkEnd w:id="134"/>
      <w:bookmarkStart w:id="135" w:name="_Toc184308102"/>
      <w:bookmarkEnd w:id="135"/>
      <w:bookmarkStart w:id="136" w:name="_Toc184310284"/>
      <w:bookmarkEnd w:id="136"/>
      <w:bookmarkStart w:id="137" w:name="_Toc184314424"/>
      <w:bookmarkEnd w:id="137"/>
      <w:bookmarkStart w:id="138" w:name="_Toc184312104"/>
      <w:bookmarkEnd w:id="138"/>
      <w:bookmarkStart w:id="139" w:name="_Toc184310297"/>
      <w:bookmarkEnd w:id="139"/>
      <w:bookmarkStart w:id="140" w:name="_Toc184314449"/>
      <w:bookmarkEnd w:id="140"/>
      <w:bookmarkStart w:id="141" w:name="_Toc184313305"/>
      <w:bookmarkEnd w:id="141"/>
      <w:bookmarkStart w:id="142" w:name="_Toc184308105"/>
      <w:bookmarkEnd w:id="142"/>
      <w:bookmarkStart w:id="143" w:name="_Toc184314474"/>
      <w:bookmarkEnd w:id="143"/>
      <w:bookmarkStart w:id="144" w:name="_Toc184313252"/>
      <w:bookmarkEnd w:id="144"/>
      <w:bookmarkStart w:id="145" w:name="_Toc184313273"/>
      <w:bookmarkEnd w:id="145"/>
      <w:bookmarkStart w:id="146" w:name="_Toc184313246"/>
      <w:bookmarkEnd w:id="146"/>
      <w:bookmarkStart w:id="147" w:name="_Toc184312132"/>
      <w:bookmarkEnd w:id="147"/>
      <w:bookmarkStart w:id="148" w:name="_Toc184314472"/>
      <w:bookmarkEnd w:id="148"/>
      <w:bookmarkStart w:id="149" w:name="_Toc184310320"/>
      <w:bookmarkEnd w:id="149"/>
      <w:bookmarkStart w:id="150" w:name="_Toc184313285"/>
      <w:bookmarkEnd w:id="150"/>
      <w:bookmarkStart w:id="151" w:name="_Toc184312113"/>
      <w:bookmarkEnd w:id="151"/>
      <w:bookmarkStart w:id="152" w:name="_Toc184308108"/>
      <w:bookmarkEnd w:id="152"/>
      <w:bookmarkStart w:id="153" w:name="_Toc184313254"/>
      <w:bookmarkEnd w:id="153"/>
      <w:bookmarkStart w:id="154" w:name="_Toc184314414"/>
      <w:bookmarkEnd w:id="154"/>
      <w:bookmarkStart w:id="155" w:name="_Toc184308101"/>
      <w:bookmarkEnd w:id="155"/>
      <w:bookmarkStart w:id="156" w:name="_Toc184314470"/>
      <w:bookmarkEnd w:id="156"/>
      <w:bookmarkStart w:id="157" w:name="_Toc184310287"/>
      <w:bookmarkEnd w:id="157"/>
      <w:bookmarkStart w:id="158" w:name="_Toc184313296"/>
      <w:bookmarkEnd w:id="158"/>
      <w:bookmarkStart w:id="159" w:name="_Toc184314464"/>
      <w:bookmarkEnd w:id="159"/>
      <w:bookmarkStart w:id="160" w:name="_Toc184308071"/>
      <w:bookmarkEnd w:id="160"/>
      <w:bookmarkStart w:id="161" w:name="_Toc184314448"/>
      <w:bookmarkEnd w:id="161"/>
      <w:bookmarkStart w:id="162" w:name="_Toc184314422"/>
      <w:bookmarkEnd w:id="162"/>
      <w:bookmarkStart w:id="163" w:name="_Toc184310312"/>
      <w:bookmarkEnd w:id="163"/>
      <w:bookmarkStart w:id="164" w:name="_Toc184314435"/>
      <w:bookmarkEnd w:id="164"/>
      <w:bookmarkStart w:id="165" w:name="_Toc184312111"/>
      <w:bookmarkEnd w:id="165"/>
      <w:bookmarkStart w:id="166" w:name="_Toc184308067"/>
      <w:bookmarkEnd w:id="166"/>
      <w:bookmarkStart w:id="167" w:name="_Toc184308059"/>
      <w:bookmarkEnd w:id="167"/>
      <w:bookmarkStart w:id="168" w:name="_Toc184310327"/>
      <w:bookmarkEnd w:id="168"/>
      <w:bookmarkStart w:id="169" w:name="_Toc184313268"/>
      <w:bookmarkEnd w:id="169"/>
      <w:bookmarkStart w:id="170" w:name="_Toc184313262"/>
      <w:bookmarkEnd w:id="170"/>
      <w:bookmarkStart w:id="171" w:name="_Toc184308088"/>
      <w:bookmarkEnd w:id="171"/>
      <w:bookmarkStart w:id="172" w:name="_Toc184310335"/>
      <w:bookmarkEnd w:id="172"/>
      <w:bookmarkStart w:id="173" w:name="_Toc184314438"/>
      <w:bookmarkEnd w:id="173"/>
      <w:bookmarkStart w:id="174" w:name="_Toc184310330"/>
      <w:bookmarkEnd w:id="174"/>
      <w:bookmarkStart w:id="175" w:name="_Toc184310308"/>
      <w:bookmarkEnd w:id="175"/>
      <w:bookmarkStart w:id="176" w:name="_Toc184314476"/>
      <w:bookmarkEnd w:id="176"/>
      <w:bookmarkStart w:id="177" w:name="_Toc184314423"/>
      <w:bookmarkEnd w:id="177"/>
      <w:bookmarkStart w:id="178" w:name="_Toc184308097"/>
      <w:bookmarkEnd w:id="178"/>
      <w:bookmarkStart w:id="179" w:name="_Toc184314467"/>
      <w:bookmarkEnd w:id="179"/>
      <w:bookmarkStart w:id="180" w:name="_Toc184314477"/>
      <w:bookmarkEnd w:id="180"/>
      <w:bookmarkStart w:id="181" w:name="_Toc184313241"/>
      <w:bookmarkEnd w:id="181"/>
      <w:bookmarkStart w:id="182" w:name="_Toc184308042"/>
      <w:bookmarkEnd w:id="182"/>
      <w:bookmarkStart w:id="183" w:name="_Toc184312098"/>
      <w:bookmarkEnd w:id="183"/>
      <w:bookmarkStart w:id="184" w:name="_Toc184312130"/>
      <w:bookmarkEnd w:id="184"/>
      <w:bookmarkStart w:id="185" w:name="_Toc184312079"/>
      <w:bookmarkEnd w:id="185"/>
      <w:bookmarkStart w:id="186" w:name="_Toc184313302"/>
      <w:bookmarkEnd w:id="186"/>
      <w:bookmarkStart w:id="187" w:name="_Toc184314415"/>
      <w:bookmarkEnd w:id="187"/>
      <w:bookmarkStart w:id="188" w:name="_Toc184314429"/>
      <w:bookmarkEnd w:id="188"/>
      <w:bookmarkStart w:id="189" w:name="_Toc184312071"/>
      <w:bookmarkEnd w:id="189"/>
      <w:bookmarkStart w:id="190" w:name="_Toc184312097"/>
      <w:bookmarkEnd w:id="190"/>
      <w:bookmarkStart w:id="191" w:name="_Toc184314469"/>
      <w:bookmarkEnd w:id="191"/>
      <w:bookmarkStart w:id="192" w:name="_Toc184312089"/>
      <w:bookmarkEnd w:id="192"/>
      <w:bookmarkStart w:id="193" w:name="_Toc184312070"/>
      <w:bookmarkEnd w:id="193"/>
      <w:bookmarkStart w:id="194" w:name="_Toc184308036"/>
      <w:bookmarkEnd w:id="194"/>
      <w:bookmarkStart w:id="195" w:name="_Toc184313238"/>
      <w:bookmarkEnd w:id="195"/>
      <w:bookmarkStart w:id="196" w:name="_Toc184312119"/>
      <w:bookmarkEnd w:id="196"/>
      <w:bookmarkStart w:id="197" w:name="_Toc184308091"/>
      <w:bookmarkEnd w:id="197"/>
      <w:bookmarkStart w:id="198" w:name="_Toc184308086"/>
      <w:bookmarkEnd w:id="198"/>
      <w:bookmarkStart w:id="199" w:name="_Toc184310273"/>
      <w:bookmarkEnd w:id="199"/>
      <w:bookmarkStart w:id="200" w:name="_Toc184314473"/>
      <w:bookmarkEnd w:id="200"/>
      <w:bookmarkStart w:id="201" w:name="_Toc184314410"/>
      <w:bookmarkEnd w:id="201"/>
      <w:bookmarkStart w:id="202" w:name="_Toc184313282"/>
      <w:bookmarkEnd w:id="202"/>
      <w:bookmarkStart w:id="203" w:name="_Toc184313280"/>
      <w:bookmarkEnd w:id="203"/>
      <w:bookmarkStart w:id="204" w:name="_Toc184310302"/>
      <w:bookmarkEnd w:id="204"/>
      <w:bookmarkStart w:id="205" w:name="_Toc184314471"/>
      <w:bookmarkEnd w:id="205"/>
      <w:bookmarkStart w:id="206" w:name="_Toc184312072"/>
      <w:bookmarkEnd w:id="206"/>
      <w:bookmarkStart w:id="207" w:name="_Toc184310340"/>
      <w:bookmarkEnd w:id="207"/>
      <w:bookmarkStart w:id="208" w:name="_Toc184313267"/>
      <w:bookmarkEnd w:id="208"/>
      <w:bookmarkStart w:id="209" w:name="_Toc184314454"/>
      <w:bookmarkEnd w:id="209"/>
      <w:bookmarkStart w:id="210" w:name="_Toc184310300"/>
      <w:bookmarkEnd w:id="210"/>
      <w:bookmarkStart w:id="211" w:name="_Toc184313266"/>
      <w:bookmarkEnd w:id="211"/>
      <w:bookmarkStart w:id="212" w:name="_Toc184312091"/>
      <w:bookmarkEnd w:id="212"/>
      <w:bookmarkStart w:id="213" w:name="_Toc184308046"/>
      <w:bookmarkEnd w:id="213"/>
      <w:bookmarkStart w:id="214" w:name="_Toc184312092"/>
      <w:bookmarkEnd w:id="214"/>
      <w:bookmarkStart w:id="215" w:name="_Toc184314462"/>
      <w:bookmarkEnd w:id="215"/>
      <w:bookmarkStart w:id="216" w:name="_Toc184312118"/>
      <w:bookmarkEnd w:id="216"/>
      <w:bookmarkStart w:id="217" w:name="_Toc184308090"/>
      <w:bookmarkEnd w:id="217"/>
      <w:bookmarkStart w:id="218" w:name="_Toc184314439"/>
      <w:bookmarkEnd w:id="218"/>
      <w:bookmarkStart w:id="219" w:name="_Toc184308104"/>
      <w:bookmarkEnd w:id="219"/>
      <w:bookmarkStart w:id="220" w:name="_Toc184308106"/>
      <w:bookmarkEnd w:id="220"/>
      <w:bookmarkStart w:id="221" w:name="_Toc184314451"/>
      <w:bookmarkEnd w:id="221"/>
      <w:bookmarkStart w:id="222" w:name="_Toc184314480"/>
      <w:bookmarkEnd w:id="222"/>
      <w:bookmarkStart w:id="223" w:name="_Toc184308061"/>
      <w:bookmarkEnd w:id="223"/>
      <w:bookmarkStart w:id="224" w:name="_Toc184313300"/>
      <w:bookmarkEnd w:id="224"/>
      <w:bookmarkStart w:id="225" w:name="_Toc184310279"/>
      <w:bookmarkEnd w:id="225"/>
      <w:bookmarkStart w:id="226" w:name="_Toc184310321"/>
      <w:bookmarkEnd w:id="226"/>
      <w:bookmarkStart w:id="227" w:name="_Toc184308083"/>
      <w:bookmarkEnd w:id="227"/>
      <w:bookmarkStart w:id="228" w:name="_Toc184314426"/>
      <w:bookmarkEnd w:id="228"/>
      <w:bookmarkStart w:id="229" w:name="_Toc184308093"/>
      <w:bookmarkEnd w:id="229"/>
      <w:bookmarkStart w:id="230" w:name="_Toc184308079"/>
      <w:bookmarkEnd w:id="230"/>
      <w:bookmarkStart w:id="231" w:name="_Toc184314447"/>
      <w:bookmarkEnd w:id="231"/>
      <w:bookmarkStart w:id="232" w:name="_Toc184313301"/>
      <w:bookmarkEnd w:id="232"/>
      <w:bookmarkStart w:id="233" w:name="_Toc184314432"/>
      <w:bookmarkEnd w:id="233"/>
      <w:bookmarkStart w:id="234" w:name="_Toc184310306"/>
      <w:bookmarkEnd w:id="234"/>
      <w:bookmarkStart w:id="235" w:name="_Toc184312082"/>
      <w:bookmarkEnd w:id="235"/>
      <w:bookmarkStart w:id="236" w:name="_Toc184310339"/>
      <w:bookmarkEnd w:id="236"/>
      <w:bookmarkStart w:id="237" w:name="_Toc184313240"/>
      <w:bookmarkEnd w:id="237"/>
      <w:bookmarkStart w:id="238" w:name="_Toc184310293"/>
      <w:bookmarkEnd w:id="238"/>
      <w:bookmarkStart w:id="239" w:name="_Toc184314461"/>
      <w:bookmarkEnd w:id="239"/>
      <w:bookmarkStart w:id="240" w:name="_Toc184312077"/>
      <w:bookmarkEnd w:id="240"/>
      <w:bookmarkStart w:id="241" w:name="_Toc184314450"/>
      <w:bookmarkEnd w:id="241"/>
      <w:bookmarkStart w:id="242" w:name="_Toc184313297"/>
      <w:bookmarkEnd w:id="242"/>
      <w:bookmarkStart w:id="243" w:name="_Toc184313306"/>
      <w:bookmarkEnd w:id="243"/>
      <w:bookmarkStart w:id="244" w:name="_Toc184312093"/>
      <w:bookmarkEnd w:id="244"/>
      <w:bookmarkStart w:id="245" w:name="_Toc184308048"/>
      <w:bookmarkEnd w:id="245"/>
      <w:bookmarkStart w:id="246" w:name="_Toc184308081"/>
      <w:bookmarkEnd w:id="246"/>
      <w:bookmarkStart w:id="247" w:name="_Toc184312088"/>
      <w:bookmarkEnd w:id="247"/>
      <w:bookmarkStart w:id="248" w:name="_Toc184312080"/>
      <w:bookmarkEnd w:id="248"/>
      <w:bookmarkStart w:id="249" w:name="_Toc184314482"/>
      <w:bookmarkEnd w:id="249"/>
      <w:bookmarkStart w:id="250" w:name="_Toc184310282"/>
      <w:bookmarkEnd w:id="250"/>
      <w:bookmarkStart w:id="251" w:name="_Toc184314452"/>
      <w:bookmarkEnd w:id="251"/>
      <w:bookmarkStart w:id="252" w:name="_Toc184310275"/>
      <w:bookmarkEnd w:id="252"/>
      <w:bookmarkStart w:id="253" w:name="_Toc184308055"/>
      <w:bookmarkEnd w:id="253"/>
      <w:bookmarkStart w:id="254" w:name="_Toc184314446"/>
      <w:bookmarkEnd w:id="254"/>
      <w:bookmarkStart w:id="255" w:name="_Toc184308077"/>
      <w:bookmarkEnd w:id="255"/>
      <w:bookmarkStart w:id="256" w:name="_Toc184313258"/>
      <w:bookmarkEnd w:id="256"/>
      <w:bookmarkStart w:id="257" w:name="_Toc184314475"/>
      <w:bookmarkEnd w:id="257"/>
      <w:bookmarkStart w:id="258" w:name="_Toc184313248"/>
      <w:bookmarkEnd w:id="258"/>
      <w:bookmarkStart w:id="259" w:name="_Toc184313263"/>
      <w:bookmarkEnd w:id="259"/>
      <w:bookmarkStart w:id="260" w:name="_Toc184314458"/>
      <w:bookmarkEnd w:id="260"/>
      <w:bookmarkStart w:id="261" w:name="_Toc184312095"/>
      <w:bookmarkEnd w:id="261"/>
      <w:bookmarkStart w:id="262" w:name="_Toc184310325"/>
      <w:bookmarkEnd w:id="262"/>
      <w:bookmarkStart w:id="263" w:name="_Toc184308037"/>
      <w:bookmarkEnd w:id="263"/>
      <w:bookmarkStart w:id="264" w:name="_Toc184310295"/>
      <w:bookmarkEnd w:id="264"/>
      <w:bookmarkStart w:id="265" w:name="_Toc184314436"/>
      <w:bookmarkEnd w:id="265"/>
      <w:bookmarkStart w:id="266" w:name="_Toc184308058"/>
      <w:bookmarkEnd w:id="266"/>
      <w:bookmarkStart w:id="267" w:name="_Toc184308052"/>
      <w:bookmarkEnd w:id="267"/>
      <w:bookmarkStart w:id="268" w:name="_Toc184308107"/>
      <w:bookmarkEnd w:id="268"/>
      <w:bookmarkStart w:id="269" w:name="_Toc184312087"/>
      <w:bookmarkEnd w:id="269"/>
      <w:bookmarkStart w:id="270" w:name="_Toc184308065"/>
      <w:bookmarkEnd w:id="270"/>
      <w:bookmarkStart w:id="271" w:name="_Toc184313310"/>
      <w:bookmarkEnd w:id="271"/>
      <w:bookmarkStart w:id="272" w:name="_Toc184314442"/>
      <w:bookmarkEnd w:id="272"/>
      <w:bookmarkStart w:id="273" w:name="_Toc184314459"/>
      <w:bookmarkEnd w:id="273"/>
      <w:bookmarkStart w:id="274" w:name="_Toc184312115"/>
      <w:bookmarkEnd w:id="274"/>
      <w:bookmarkStart w:id="275" w:name="_Toc184310333"/>
      <w:bookmarkEnd w:id="275"/>
      <w:bookmarkStart w:id="276" w:name="_Toc184312102"/>
      <w:bookmarkEnd w:id="276"/>
      <w:bookmarkStart w:id="277" w:name="_Toc184312067"/>
      <w:bookmarkEnd w:id="277"/>
      <w:bookmarkStart w:id="278" w:name="_Toc184313244"/>
      <w:bookmarkEnd w:id="278"/>
      <w:bookmarkStart w:id="279" w:name="_Toc184313265"/>
      <w:bookmarkEnd w:id="279"/>
      <w:bookmarkStart w:id="280" w:name="_Toc184310341"/>
      <w:bookmarkEnd w:id="280"/>
      <w:bookmarkStart w:id="281" w:name="_Toc184314434"/>
      <w:bookmarkEnd w:id="281"/>
      <w:bookmarkStart w:id="282" w:name="_Toc184308080"/>
      <w:bookmarkEnd w:id="282"/>
      <w:bookmarkStart w:id="283" w:name="_Toc184314441"/>
      <w:bookmarkEnd w:id="283"/>
      <w:bookmarkStart w:id="284" w:name="_Toc184308092"/>
      <w:bookmarkEnd w:id="284"/>
      <w:bookmarkStart w:id="285" w:name="_Toc184312103"/>
      <w:bookmarkEnd w:id="285"/>
      <w:bookmarkStart w:id="286" w:name="_Toc184310324"/>
      <w:bookmarkEnd w:id="286"/>
      <w:bookmarkStart w:id="287" w:name="_Toc184310272"/>
      <w:bookmarkEnd w:id="287"/>
      <w:bookmarkStart w:id="288" w:name="_Toc184312106"/>
      <w:bookmarkEnd w:id="288"/>
      <w:bookmarkStart w:id="289" w:name="_Toc184313259"/>
      <w:bookmarkEnd w:id="289"/>
      <w:bookmarkStart w:id="290" w:name="_Toc184314412"/>
      <w:bookmarkEnd w:id="290"/>
      <w:bookmarkStart w:id="291" w:name="_Toc184313261"/>
      <w:bookmarkEnd w:id="291"/>
      <w:bookmarkStart w:id="292" w:name="_Toc184308068"/>
      <w:bookmarkEnd w:id="292"/>
      <w:bookmarkStart w:id="293" w:name="_Toc184310314"/>
      <w:bookmarkEnd w:id="293"/>
      <w:bookmarkStart w:id="294" w:name="_Toc184314420"/>
      <w:bookmarkEnd w:id="294"/>
      <w:bookmarkStart w:id="295" w:name="_Toc184314453"/>
      <w:bookmarkEnd w:id="295"/>
      <w:bookmarkStart w:id="296" w:name="_Toc184314418"/>
      <w:bookmarkEnd w:id="296"/>
      <w:bookmarkStart w:id="297" w:name="_Toc184313251"/>
      <w:bookmarkEnd w:id="297"/>
      <w:bookmarkStart w:id="298" w:name="_Toc184312086"/>
      <w:bookmarkEnd w:id="298"/>
      <w:bookmarkStart w:id="299" w:name="_Toc184313269"/>
      <w:bookmarkEnd w:id="299"/>
      <w:bookmarkStart w:id="300" w:name="_Toc184313292"/>
      <w:bookmarkEnd w:id="300"/>
      <w:bookmarkStart w:id="301" w:name="_Toc184312099"/>
      <w:bookmarkEnd w:id="301"/>
      <w:bookmarkStart w:id="302" w:name="_Toc184308054"/>
      <w:bookmarkEnd w:id="302"/>
      <w:bookmarkStart w:id="303" w:name="_Toc184314463"/>
      <w:bookmarkEnd w:id="303"/>
      <w:bookmarkStart w:id="304" w:name="_Toc184313294"/>
      <w:bookmarkEnd w:id="304"/>
      <w:bookmarkStart w:id="305" w:name="_Toc184310342"/>
      <w:bookmarkEnd w:id="305"/>
      <w:bookmarkStart w:id="306" w:name="_Toc184308099"/>
      <w:bookmarkEnd w:id="306"/>
      <w:bookmarkStart w:id="307" w:name="_Toc184313276"/>
      <w:bookmarkEnd w:id="307"/>
      <w:bookmarkStart w:id="308" w:name="_Toc184308064"/>
      <w:bookmarkEnd w:id="308"/>
      <w:bookmarkStart w:id="309" w:name="_Toc184312085"/>
      <w:bookmarkEnd w:id="309"/>
      <w:bookmarkStart w:id="310" w:name="_Toc184312135"/>
      <w:bookmarkEnd w:id="310"/>
      <w:bookmarkStart w:id="311" w:name="_Toc184313242"/>
      <w:bookmarkEnd w:id="311"/>
      <w:bookmarkStart w:id="312" w:name="_Toc184313288"/>
      <w:bookmarkEnd w:id="312"/>
      <w:bookmarkStart w:id="313" w:name="_Toc184308038"/>
      <w:bookmarkEnd w:id="313"/>
      <w:bookmarkStart w:id="314" w:name="_Toc184308073"/>
      <w:bookmarkEnd w:id="314"/>
      <w:bookmarkStart w:id="315" w:name="_Toc184308060"/>
      <w:bookmarkEnd w:id="315"/>
      <w:bookmarkStart w:id="316" w:name="_Toc184308066"/>
      <w:bookmarkEnd w:id="316"/>
      <w:bookmarkStart w:id="317" w:name="_Toc184312078"/>
      <w:bookmarkEnd w:id="317"/>
      <w:bookmarkStart w:id="318" w:name="_Toc184313287"/>
      <w:bookmarkEnd w:id="318"/>
      <w:bookmarkStart w:id="319" w:name="_Toc184308070"/>
      <w:bookmarkEnd w:id="319"/>
      <w:bookmarkStart w:id="320" w:name="_Toc184308047"/>
      <w:bookmarkEnd w:id="320"/>
      <w:bookmarkStart w:id="321" w:name="_Toc184312096"/>
      <w:bookmarkEnd w:id="321"/>
      <w:bookmarkStart w:id="322" w:name="_Toc184310303"/>
      <w:bookmarkEnd w:id="322"/>
      <w:bookmarkStart w:id="323" w:name="_Toc184314440"/>
      <w:bookmarkEnd w:id="323"/>
      <w:bookmarkStart w:id="324" w:name="_Toc184310288"/>
      <w:bookmarkEnd w:id="324"/>
      <w:bookmarkStart w:id="325" w:name="_Toc184313304"/>
      <w:bookmarkEnd w:id="325"/>
      <w:bookmarkStart w:id="326" w:name="_Toc184310280"/>
      <w:bookmarkEnd w:id="326"/>
      <w:bookmarkStart w:id="327" w:name="_Toc184314456"/>
      <w:bookmarkEnd w:id="327"/>
      <w:bookmarkStart w:id="328" w:name="_Toc184312081"/>
      <w:bookmarkEnd w:id="328"/>
      <w:bookmarkStart w:id="329" w:name="_Toc184308063"/>
      <w:bookmarkEnd w:id="329"/>
      <w:bookmarkStart w:id="330" w:name="_Toc184313250"/>
      <w:bookmarkEnd w:id="330"/>
      <w:bookmarkStart w:id="331" w:name="_Toc184312128"/>
      <w:bookmarkEnd w:id="331"/>
      <w:bookmarkStart w:id="332" w:name="_Toc184310296"/>
      <w:bookmarkEnd w:id="332"/>
      <w:bookmarkStart w:id="333" w:name="_Toc184310310"/>
      <w:bookmarkEnd w:id="333"/>
      <w:bookmarkStart w:id="334" w:name="_Toc184314457"/>
      <w:bookmarkEnd w:id="334"/>
      <w:bookmarkStart w:id="335" w:name="_Toc184312101"/>
      <w:bookmarkEnd w:id="335"/>
      <w:bookmarkStart w:id="336" w:name="_Toc184310291"/>
      <w:bookmarkEnd w:id="336"/>
      <w:bookmarkStart w:id="337" w:name="_Toc184310318"/>
      <w:bookmarkEnd w:id="337"/>
      <w:bookmarkStart w:id="338" w:name="_Toc184308089"/>
      <w:bookmarkEnd w:id="338"/>
      <w:bookmarkStart w:id="339" w:name="_Toc184310316"/>
      <w:bookmarkEnd w:id="339"/>
      <w:bookmarkStart w:id="340" w:name="_Toc184310311"/>
      <w:bookmarkEnd w:id="340"/>
      <w:bookmarkStart w:id="341" w:name="_Toc184312094"/>
      <w:bookmarkEnd w:id="341"/>
      <w:bookmarkStart w:id="342" w:name="_Toc184312109"/>
      <w:bookmarkEnd w:id="342"/>
      <w:bookmarkStart w:id="343" w:name="_Toc184313290"/>
      <w:bookmarkEnd w:id="343"/>
      <w:bookmarkStart w:id="344" w:name="_Toc184308056"/>
      <w:bookmarkEnd w:id="344"/>
      <w:bookmarkStart w:id="345" w:name="_Toc184312084"/>
      <w:bookmarkEnd w:id="345"/>
      <w:bookmarkStart w:id="346" w:name="_Toc184314430"/>
      <w:bookmarkEnd w:id="346"/>
      <w:bookmarkStart w:id="347" w:name="_Toc184310294"/>
      <w:bookmarkEnd w:id="347"/>
      <w:bookmarkStart w:id="348" w:name="_Toc184312110"/>
      <w:bookmarkEnd w:id="348"/>
      <w:bookmarkStart w:id="349" w:name="_Toc184310334"/>
      <w:bookmarkEnd w:id="349"/>
      <w:bookmarkStart w:id="350" w:name="_Toc184314437"/>
      <w:bookmarkEnd w:id="350"/>
      <w:bookmarkStart w:id="351" w:name="_Toc184310277"/>
      <w:bookmarkEnd w:id="351"/>
      <w:bookmarkStart w:id="352" w:name="_Toc184312107"/>
      <w:bookmarkEnd w:id="352"/>
      <w:bookmarkStart w:id="353" w:name="_Toc184310292"/>
      <w:bookmarkEnd w:id="353"/>
      <w:bookmarkStart w:id="354" w:name="_Toc184312136"/>
      <w:bookmarkEnd w:id="354"/>
      <w:bookmarkStart w:id="355" w:name="_Toc184314431"/>
      <w:bookmarkEnd w:id="355"/>
      <w:bookmarkStart w:id="356" w:name="_Toc184312114"/>
      <w:bookmarkEnd w:id="356"/>
      <w:bookmarkStart w:id="357" w:name="_Toc184310317"/>
      <w:bookmarkEnd w:id="357"/>
      <w:bookmarkStart w:id="358" w:name="_Toc184314468"/>
      <w:bookmarkEnd w:id="358"/>
      <w:bookmarkStart w:id="359" w:name="_Toc184314417"/>
      <w:bookmarkEnd w:id="359"/>
      <w:bookmarkStart w:id="360" w:name="_Toc184308045"/>
      <w:bookmarkEnd w:id="360"/>
      <w:bookmarkStart w:id="361" w:name="_Toc184310307"/>
      <w:bookmarkEnd w:id="361"/>
      <w:bookmarkStart w:id="362" w:name="_Toc184310329"/>
      <w:bookmarkEnd w:id="362"/>
      <w:bookmarkStart w:id="363" w:name="_Toc184310343"/>
      <w:bookmarkEnd w:id="363"/>
      <w:bookmarkStart w:id="364" w:name="_Toc184313264"/>
      <w:bookmarkEnd w:id="364"/>
      <w:bookmarkStart w:id="365" w:name="_Toc184312076"/>
      <w:bookmarkEnd w:id="365"/>
      <w:bookmarkStart w:id="366" w:name="_Toc184310326"/>
      <w:bookmarkEnd w:id="366"/>
      <w:bookmarkStart w:id="367" w:name="_Toc184308094"/>
      <w:bookmarkEnd w:id="367"/>
      <w:bookmarkStart w:id="368" w:name="_Toc184312068"/>
      <w:bookmarkEnd w:id="368"/>
      <w:bookmarkStart w:id="369" w:name="_Toc184308076"/>
      <w:bookmarkEnd w:id="369"/>
      <w:bookmarkStart w:id="370" w:name="_Toc184313278"/>
      <w:bookmarkEnd w:id="370"/>
      <w:bookmarkStart w:id="371" w:name="_Toc184313307"/>
      <w:bookmarkEnd w:id="371"/>
      <w:bookmarkStart w:id="372" w:name="_Toc184312073"/>
      <w:bookmarkEnd w:id="372"/>
      <w:bookmarkStart w:id="373" w:name="_Toc184314433"/>
      <w:bookmarkEnd w:id="373"/>
      <w:bookmarkStart w:id="374" w:name="_Toc184314444"/>
      <w:bookmarkEnd w:id="374"/>
      <w:bookmarkStart w:id="375" w:name="_Toc184310301"/>
      <w:bookmarkEnd w:id="375"/>
      <w:bookmarkStart w:id="376" w:name="_Toc184312134"/>
      <w:bookmarkEnd w:id="376"/>
      <w:bookmarkStart w:id="377" w:name="_Toc184310289"/>
      <w:bookmarkEnd w:id="377"/>
      <w:bookmarkStart w:id="378" w:name="_Toc184313274"/>
      <w:bookmarkEnd w:id="378"/>
      <w:bookmarkStart w:id="379" w:name="_Toc184313295"/>
      <w:bookmarkEnd w:id="379"/>
      <w:bookmarkStart w:id="380" w:name="_Toc184313270"/>
      <w:bookmarkEnd w:id="380"/>
      <w:bookmarkStart w:id="381" w:name="_Toc184310309"/>
      <w:bookmarkEnd w:id="381"/>
      <w:bookmarkStart w:id="382" w:name="_Toc184313260"/>
      <w:bookmarkEnd w:id="382"/>
      <w:bookmarkStart w:id="383" w:name="_Toc184314478"/>
      <w:bookmarkEnd w:id="383"/>
      <w:bookmarkStart w:id="384" w:name="_Toc184308044"/>
      <w:bookmarkEnd w:id="384"/>
      <w:bookmarkStart w:id="385" w:name="_Toc184310322"/>
      <w:bookmarkEnd w:id="385"/>
      <w:bookmarkStart w:id="386" w:name="_Toc184313284"/>
      <w:bookmarkEnd w:id="386"/>
      <w:bookmarkStart w:id="387" w:name="_Toc184310274"/>
      <w:bookmarkEnd w:id="387"/>
      <w:bookmarkStart w:id="388" w:name="_Toc184313308"/>
      <w:bookmarkEnd w:id="388"/>
      <w:bookmarkStart w:id="389" w:name="_Toc184310338"/>
      <w:bookmarkEnd w:id="389"/>
      <w:bookmarkStart w:id="390" w:name="_Toc184310285"/>
      <w:bookmarkEnd w:id="390"/>
      <w:bookmarkStart w:id="391" w:name="_Toc184312108"/>
      <w:bookmarkEnd w:id="391"/>
      <w:bookmarkStart w:id="392" w:name="_Toc184310305"/>
      <w:bookmarkEnd w:id="392"/>
      <w:r>
        <w:rPr>
          <w:rFonts w:hint="eastAsia" w:asciiTheme="minorEastAsia" w:hAnsiTheme="minorEastAsia" w:eastAsiaTheme="minorEastAsia" w:cstheme="minorEastAsia"/>
          <w:b/>
          <w:color w:val="auto"/>
          <w:sz w:val="36"/>
          <w:szCs w:val="20"/>
        </w:rPr>
        <w:t>评审办法</w:t>
      </w:r>
    </w:p>
    <w:p w14:paraId="0DDF079A">
      <w:pPr>
        <w:snapToGrid w:val="0"/>
        <w:spacing w:line="360" w:lineRule="auto"/>
        <w:ind w:firstLine="643"/>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b/>
          <w:color w:val="auto"/>
          <w:sz w:val="32"/>
          <w:szCs w:val="20"/>
        </w:rPr>
        <w:t>评审办法前附表</w:t>
      </w:r>
    </w:p>
    <w:tbl>
      <w:tblPr>
        <w:tblStyle w:val="26"/>
        <w:tblW w:w="95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224"/>
        <w:gridCol w:w="7528"/>
      </w:tblGrid>
      <w:tr w14:paraId="30778D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Align w:val="center"/>
          </w:tcPr>
          <w:p w14:paraId="225ADA38">
            <w:pPr>
              <w:spacing w:line="360" w:lineRule="auto"/>
              <w:rPr>
                <w:color w:val="auto"/>
                <w:szCs w:val="21"/>
              </w:rPr>
            </w:pPr>
          </w:p>
        </w:tc>
        <w:tc>
          <w:tcPr>
            <w:tcW w:w="1224" w:type="dxa"/>
            <w:vAlign w:val="center"/>
          </w:tcPr>
          <w:p w14:paraId="20A84874">
            <w:pPr>
              <w:spacing w:line="360" w:lineRule="auto"/>
              <w:jc w:val="center"/>
              <w:rPr>
                <w:color w:val="auto"/>
                <w:szCs w:val="21"/>
              </w:rPr>
            </w:pPr>
            <w:r>
              <w:rPr>
                <w:rFonts w:hint="eastAsia"/>
                <w:color w:val="auto"/>
              </w:rPr>
              <w:t>项目</w:t>
            </w:r>
          </w:p>
        </w:tc>
        <w:tc>
          <w:tcPr>
            <w:tcW w:w="7528" w:type="dxa"/>
            <w:vAlign w:val="center"/>
          </w:tcPr>
          <w:p w14:paraId="37FF5FE8">
            <w:pPr>
              <w:tabs>
                <w:tab w:val="left" w:pos="4915"/>
              </w:tabs>
              <w:spacing w:line="360" w:lineRule="auto"/>
              <w:jc w:val="center"/>
              <w:rPr>
                <w:color w:val="auto"/>
                <w:szCs w:val="21"/>
              </w:rPr>
            </w:pPr>
            <w:r>
              <w:rPr>
                <w:rFonts w:hint="eastAsia"/>
                <w:color w:val="auto"/>
              </w:rPr>
              <w:t>评分细则</w:t>
            </w:r>
          </w:p>
        </w:tc>
      </w:tr>
      <w:tr w14:paraId="16445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restart"/>
            <w:vAlign w:val="center"/>
          </w:tcPr>
          <w:p w14:paraId="5CFC9872">
            <w:pPr>
              <w:spacing w:line="360" w:lineRule="auto"/>
              <w:rPr>
                <w:color w:val="auto"/>
                <w:szCs w:val="21"/>
              </w:rPr>
            </w:pPr>
            <w:r>
              <w:rPr>
                <w:rFonts w:hint="eastAsia"/>
                <w:color w:val="auto"/>
                <w:szCs w:val="21"/>
                <w:lang w:val="en-US" w:eastAsia="zh-CN"/>
              </w:rPr>
              <w:t>商务技术</w:t>
            </w:r>
            <w:r>
              <w:rPr>
                <w:rFonts w:hint="eastAsia"/>
                <w:color w:val="auto"/>
                <w:szCs w:val="21"/>
              </w:rPr>
              <w:t>部分65</w:t>
            </w:r>
            <w:r>
              <w:rPr>
                <w:color w:val="auto"/>
                <w:szCs w:val="21"/>
              </w:rPr>
              <w:t>分</w:t>
            </w:r>
          </w:p>
        </w:tc>
        <w:tc>
          <w:tcPr>
            <w:tcW w:w="1224" w:type="dxa"/>
            <w:vAlign w:val="center"/>
          </w:tcPr>
          <w:p w14:paraId="4BD07D75">
            <w:pPr>
              <w:spacing w:line="360" w:lineRule="auto"/>
              <w:jc w:val="center"/>
              <w:rPr>
                <w:color w:val="auto"/>
                <w:szCs w:val="21"/>
              </w:rPr>
            </w:pPr>
            <w:r>
              <w:rPr>
                <w:rFonts w:hint="eastAsia"/>
                <w:color w:val="auto"/>
                <w:szCs w:val="21"/>
              </w:rPr>
              <w:t>项目主要</w:t>
            </w:r>
            <w:r>
              <w:rPr>
                <w:color w:val="auto"/>
                <w:szCs w:val="21"/>
              </w:rPr>
              <w:t>技术</w:t>
            </w:r>
            <w:r>
              <w:rPr>
                <w:rFonts w:hint="eastAsia"/>
                <w:color w:val="auto"/>
                <w:szCs w:val="21"/>
              </w:rPr>
              <w:t>要求</w:t>
            </w:r>
          </w:p>
          <w:p w14:paraId="59020CBD">
            <w:pPr>
              <w:spacing w:line="360" w:lineRule="auto"/>
              <w:jc w:val="center"/>
              <w:rPr>
                <w:color w:val="auto"/>
                <w:szCs w:val="21"/>
              </w:rPr>
            </w:pPr>
            <w:r>
              <w:rPr>
                <w:color w:val="auto"/>
                <w:szCs w:val="21"/>
              </w:rPr>
              <w:t>响应情况</w:t>
            </w:r>
          </w:p>
          <w:p w14:paraId="473BF890">
            <w:pPr>
              <w:spacing w:line="360" w:lineRule="auto"/>
              <w:jc w:val="center"/>
              <w:rPr>
                <w:color w:val="auto"/>
                <w:szCs w:val="21"/>
              </w:rPr>
            </w:pPr>
            <w:r>
              <w:rPr>
                <w:color w:val="auto"/>
                <w:szCs w:val="21"/>
              </w:rPr>
              <w:t>（</w:t>
            </w:r>
            <w:r>
              <w:rPr>
                <w:rFonts w:hint="eastAsia"/>
                <w:color w:val="auto"/>
                <w:szCs w:val="21"/>
                <w:lang w:val="en-US" w:eastAsia="zh-CN"/>
              </w:rPr>
              <w:t>6</w:t>
            </w:r>
            <w:r>
              <w:rPr>
                <w:color w:val="auto"/>
                <w:szCs w:val="21"/>
              </w:rPr>
              <w:t>分）</w:t>
            </w:r>
          </w:p>
        </w:tc>
        <w:tc>
          <w:tcPr>
            <w:tcW w:w="7528" w:type="dxa"/>
            <w:vAlign w:val="center"/>
          </w:tcPr>
          <w:p w14:paraId="23EBFDF3">
            <w:pPr>
              <w:tabs>
                <w:tab w:val="left" w:pos="4915"/>
              </w:tabs>
              <w:spacing w:line="360" w:lineRule="auto"/>
              <w:rPr>
                <w:rFonts w:cs="宋体"/>
                <w:color w:val="auto"/>
                <w:szCs w:val="21"/>
              </w:rPr>
            </w:pPr>
            <w:r>
              <w:rPr>
                <w:rFonts w:hint="eastAsia" w:cs="宋体"/>
                <w:color w:val="auto"/>
                <w:szCs w:val="21"/>
              </w:rPr>
              <w:t>1、项目技术要求响应情况（</w:t>
            </w:r>
            <w:r>
              <w:rPr>
                <w:rFonts w:hint="eastAsia" w:cs="宋体"/>
                <w:color w:val="auto"/>
                <w:szCs w:val="21"/>
                <w:lang w:val="en-US" w:eastAsia="zh-CN"/>
              </w:rPr>
              <w:t>6</w:t>
            </w:r>
            <w:r>
              <w:rPr>
                <w:rFonts w:hint="eastAsia" w:cs="宋体"/>
                <w:color w:val="auto"/>
                <w:szCs w:val="21"/>
              </w:rPr>
              <w:t>分）</w:t>
            </w:r>
          </w:p>
          <w:p w14:paraId="39CB9E8E">
            <w:pPr>
              <w:tabs>
                <w:tab w:val="left" w:pos="4915"/>
              </w:tabs>
              <w:spacing w:line="360" w:lineRule="auto"/>
              <w:rPr>
                <w:color w:val="auto"/>
                <w:szCs w:val="21"/>
              </w:rPr>
            </w:pPr>
            <w:r>
              <w:rPr>
                <w:rFonts w:hint="eastAsia" w:cs="宋体"/>
                <w:color w:val="auto"/>
                <w:szCs w:val="21"/>
              </w:rPr>
              <w:t>响应文件对采购文件“第三部分采购需求”的响应情况：全部满足采购文件要求的得</w:t>
            </w:r>
            <w:r>
              <w:rPr>
                <w:rFonts w:hint="eastAsia" w:cs="宋体"/>
                <w:color w:val="auto"/>
                <w:szCs w:val="21"/>
                <w:lang w:val="en-US" w:eastAsia="zh-CN"/>
              </w:rPr>
              <w:t>6</w:t>
            </w:r>
            <w:r>
              <w:rPr>
                <w:rFonts w:hint="eastAsia" w:cs="宋体"/>
                <w:color w:val="auto"/>
                <w:szCs w:val="21"/>
              </w:rPr>
              <w:t>分，非实质性要求的每负偏离一项扣</w:t>
            </w:r>
            <w:r>
              <w:rPr>
                <w:rFonts w:hint="eastAsia" w:cs="宋体"/>
                <w:color w:val="auto"/>
                <w:szCs w:val="21"/>
                <w:lang w:val="en-US" w:eastAsia="zh-CN"/>
              </w:rPr>
              <w:t>1</w:t>
            </w:r>
            <w:r>
              <w:rPr>
                <w:rFonts w:hint="eastAsia" w:cs="宋体"/>
                <w:color w:val="auto"/>
                <w:szCs w:val="21"/>
              </w:rPr>
              <w:t>分。</w:t>
            </w:r>
            <w:r>
              <w:rPr>
                <w:rFonts w:hint="eastAsia" w:cs="宋体"/>
                <w:color w:val="auto"/>
                <w:szCs w:val="21"/>
                <w:lang w:val="en-US" w:eastAsia="zh-CN"/>
              </w:rPr>
              <w:t>非实质性要求负偏离超过6项（含6项）的，作无效响应文件处理，</w:t>
            </w:r>
            <w:r>
              <w:rPr>
                <w:rFonts w:hint="eastAsia" w:cs="宋体"/>
                <w:color w:val="auto"/>
                <w:szCs w:val="21"/>
              </w:rPr>
              <w:t>标</w:t>
            </w:r>
            <w:r>
              <w:rPr>
                <w:rFonts w:hint="eastAsia" w:cs="宋体"/>
                <w:color w:val="auto"/>
                <w:szCs w:val="21"/>
                <w:lang w:eastAsia="zh-CN"/>
              </w:rPr>
              <w:t>“</w:t>
            </w:r>
            <w:r>
              <w:rPr>
                <w:rFonts w:hint="eastAsia" w:cs="宋体"/>
                <w:color w:val="auto"/>
                <w:szCs w:val="21"/>
              </w:rPr>
              <w:t>▲</w:t>
            </w:r>
            <w:r>
              <w:rPr>
                <w:rFonts w:hint="eastAsia" w:cs="宋体"/>
                <w:color w:val="auto"/>
                <w:szCs w:val="21"/>
                <w:lang w:eastAsia="zh-CN"/>
              </w:rPr>
              <w:t>”</w:t>
            </w:r>
            <w:r>
              <w:rPr>
                <w:rFonts w:hint="eastAsia" w:cs="宋体"/>
                <w:color w:val="auto"/>
                <w:szCs w:val="21"/>
              </w:rPr>
              <w:t>条款的有任一</w:t>
            </w:r>
            <w:r>
              <w:rPr>
                <w:rFonts w:hint="eastAsia" w:cs="宋体"/>
                <w:color w:val="auto"/>
                <w:szCs w:val="21"/>
                <w:lang w:val="en-US" w:eastAsia="zh-CN"/>
              </w:rPr>
              <w:t>项</w:t>
            </w:r>
            <w:r>
              <w:rPr>
                <w:rFonts w:hint="eastAsia" w:cs="宋体"/>
                <w:color w:val="auto"/>
                <w:szCs w:val="21"/>
              </w:rPr>
              <w:t>负偏离的作无效响应文件处理。</w:t>
            </w:r>
          </w:p>
        </w:tc>
      </w:tr>
      <w:tr w14:paraId="71F979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74F3DFEF">
            <w:pPr>
              <w:spacing w:line="360" w:lineRule="auto"/>
              <w:rPr>
                <w:color w:val="auto"/>
                <w:szCs w:val="21"/>
              </w:rPr>
            </w:pPr>
          </w:p>
        </w:tc>
        <w:tc>
          <w:tcPr>
            <w:tcW w:w="1224" w:type="dxa"/>
            <w:vMerge w:val="restart"/>
            <w:vAlign w:val="center"/>
          </w:tcPr>
          <w:p w14:paraId="2DE53755">
            <w:pPr>
              <w:spacing w:line="360" w:lineRule="auto"/>
              <w:jc w:val="center"/>
              <w:rPr>
                <w:color w:val="auto"/>
                <w:szCs w:val="21"/>
              </w:rPr>
            </w:pPr>
            <w:r>
              <w:rPr>
                <w:rFonts w:hint="eastAsia"/>
                <w:color w:val="auto"/>
                <w:szCs w:val="21"/>
              </w:rPr>
              <w:t>施工组织方案</w:t>
            </w:r>
          </w:p>
          <w:p w14:paraId="5577FDE0">
            <w:pPr>
              <w:spacing w:line="360" w:lineRule="auto"/>
              <w:jc w:val="center"/>
              <w:rPr>
                <w:color w:val="auto"/>
                <w:szCs w:val="21"/>
              </w:rPr>
            </w:pPr>
            <w:r>
              <w:rPr>
                <w:color w:val="auto"/>
                <w:szCs w:val="21"/>
              </w:rPr>
              <w:t>（</w:t>
            </w:r>
            <w:r>
              <w:rPr>
                <w:rFonts w:hint="eastAsia"/>
                <w:color w:val="auto"/>
                <w:szCs w:val="21"/>
              </w:rPr>
              <w:t>3</w:t>
            </w:r>
            <w:r>
              <w:rPr>
                <w:rFonts w:hint="eastAsia"/>
                <w:color w:val="auto"/>
                <w:szCs w:val="21"/>
                <w:lang w:val="en-US" w:eastAsia="zh-CN"/>
              </w:rPr>
              <w:t>6</w:t>
            </w:r>
            <w:r>
              <w:rPr>
                <w:color w:val="auto"/>
                <w:szCs w:val="21"/>
              </w:rPr>
              <w:t>分）</w:t>
            </w:r>
          </w:p>
        </w:tc>
        <w:tc>
          <w:tcPr>
            <w:tcW w:w="7528" w:type="dxa"/>
            <w:vAlign w:val="center"/>
          </w:tcPr>
          <w:p w14:paraId="0FEECEA8">
            <w:pPr>
              <w:numPr>
                <w:ilvl w:val="0"/>
                <w:numId w:val="0"/>
              </w:numPr>
              <w:tabs>
                <w:tab w:val="left" w:pos="4915"/>
              </w:tabs>
              <w:spacing w:line="360" w:lineRule="auto"/>
              <w:rPr>
                <w:rFonts w:cs="宋体"/>
                <w:color w:val="auto"/>
                <w:szCs w:val="21"/>
              </w:rPr>
            </w:pPr>
            <w:r>
              <w:rPr>
                <w:rFonts w:ascii="Calibri" w:hAnsi="Calibri" w:eastAsia="宋体" w:cs="宋体"/>
                <w:color w:val="auto"/>
                <w:kern w:val="2"/>
                <w:sz w:val="21"/>
                <w:szCs w:val="21"/>
                <w:lang w:val="en-US" w:eastAsia="zh-CN" w:bidi="ar-SA"/>
              </w:rPr>
              <w:t>2、</w:t>
            </w:r>
            <w:r>
              <w:rPr>
                <w:rFonts w:hint="eastAsia" w:cs="宋体"/>
                <w:color w:val="auto"/>
                <w:szCs w:val="21"/>
              </w:rPr>
              <w:t>项目背景调查（5分）</w:t>
            </w:r>
          </w:p>
          <w:p w14:paraId="6279EFDC">
            <w:pPr>
              <w:tabs>
                <w:tab w:val="left" w:pos="4915"/>
              </w:tabs>
              <w:spacing w:line="360" w:lineRule="auto"/>
              <w:rPr>
                <w:rFonts w:cs="宋体"/>
                <w:color w:val="auto"/>
                <w:szCs w:val="21"/>
              </w:rPr>
            </w:pPr>
            <w:r>
              <w:rPr>
                <w:rFonts w:hint="eastAsia" w:cs="宋体"/>
                <w:color w:val="auto"/>
                <w:szCs w:val="21"/>
              </w:rPr>
              <w:t>评委对供应商根据目前项目情况所进行的调查和分析进行综合评议：方案完全符合本项目需求、调查充分、分析全面的得5分；方案能满足项目的主体需求，调查不够充分、分析不够全面的得3分；方案有明显缺漏项或没有针对性，难以保证满足项目实施的得1分。未提供不得分。</w:t>
            </w:r>
          </w:p>
        </w:tc>
      </w:tr>
      <w:tr w14:paraId="5FC62A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640AB056">
            <w:pPr>
              <w:spacing w:line="360" w:lineRule="auto"/>
              <w:rPr>
                <w:color w:val="auto"/>
                <w:szCs w:val="21"/>
              </w:rPr>
            </w:pPr>
          </w:p>
        </w:tc>
        <w:tc>
          <w:tcPr>
            <w:tcW w:w="1224" w:type="dxa"/>
            <w:vMerge w:val="continue"/>
            <w:vAlign w:val="center"/>
          </w:tcPr>
          <w:p w14:paraId="0777BAAE">
            <w:pPr>
              <w:spacing w:line="360" w:lineRule="auto"/>
              <w:rPr>
                <w:color w:val="auto"/>
                <w:szCs w:val="21"/>
              </w:rPr>
            </w:pPr>
          </w:p>
        </w:tc>
        <w:tc>
          <w:tcPr>
            <w:tcW w:w="7528" w:type="dxa"/>
            <w:vAlign w:val="center"/>
          </w:tcPr>
          <w:p w14:paraId="43EDBF92">
            <w:pPr>
              <w:tabs>
                <w:tab w:val="left" w:pos="4915"/>
              </w:tabs>
              <w:spacing w:line="360" w:lineRule="auto"/>
              <w:rPr>
                <w:rFonts w:cs="宋体"/>
                <w:color w:val="auto"/>
                <w:szCs w:val="21"/>
              </w:rPr>
            </w:pPr>
            <w:r>
              <w:rPr>
                <w:rFonts w:hint="eastAsia" w:cs="宋体"/>
                <w:color w:val="auto"/>
                <w:szCs w:val="21"/>
              </w:rPr>
              <w:t>3、施工组织方案实施（5分）</w:t>
            </w:r>
          </w:p>
          <w:p w14:paraId="4BCE4D86">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整体施工组织方案进行综合评议：方案完全符合本项目需求、工程关键节点分析准确、把控得当的得5分；方案能满足项目的主体需求，工程关键节点把控不够明确的得3分；方案有明显缺漏项或没有针对性，难以保证满足项目实施的得1分。未提供不得分。</w:t>
            </w:r>
          </w:p>
        </w:tc>
      </w:tr>
      <w:tr w14:paraId="47B793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1158F76F">
            <w:pPr>
              <w:spacing w:line="360" w:lineRule="auto"/>
              <w:rPr>
                <w:color w:val="auto"/>
                <w:szCs w:val="21"/>
              </w:rPr>
            </w:pPr>
          </w:p>
        </w:tc>
        <w:tc>
          <w:tcPr>
            <w:tcW w:w="1224" w:type="dxa"/>
            <w:vMerge w:val="continue"/>
            <w:vAlign w:val="center"/>
          </w:tcPr>
          <w:p w14:paraId="570FBA99">
            <w:pPr>
              <w:spacing w:line="360" w:lineRule="auto"/>
              <w:rPr>
                <w:color w:val="auto"/>
                <w:szCs w:val="21"/>
              </w:rPr>
            </w:pPr>
          </w:p>
        </w:tc>
        <w:tc>
          <w:tcPr>
            <w:tcW w:w="7528" w:type="dxa"/>
            <w:vAlign w:val="center"/>
          </w:tcPr>
          <w:p w14:paraId="105BEAFC">
            <w:pPr>
              <w:tabs>
                <w:tab w:val="left" w:pos="4915"/>
              </w:tabs>
              <w:spacing w:line="360" w:lineRule="auto"/>
              <w:rPr>
                <w:rFonts w:cs="宋体"/>
                <w:color w:val="auto"/>
                <w:szCs w:val="21"/>
              </w:rPr>
            </w:pPr>
            <w:r>
              <w:rPr>
                <w:rFonts w:hint="eastAsia" w:cs="宋体"/>
                <w:color w:val="auto"/>
                <w:szCs w:val="21"/>
              </w:rPr>
              <w:t>4、工程质量保证措施（5分）</w:t>
            </w:r>
          </w:p>
          <w:p w14:paraId="22AD657D">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工程质量保证措施进行综合评议：各项保证措施有力、符合行业规范、符合本项目需求的得5分；措施上有部分非主体内容的欠缺，尚不影响履约的得3分；措施上有主体内容的缺项或缺少具体有效的保证措施，难以保证满足项目需求的得1分。未提供不得分。</w:t>
            </w:r>
          </w:p>
        </w:tc>
      </w:tr>
      <w:tr w14:paraId="31ABA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4EF46C90">
            <w:pPr>
              <w:spacing w:line="360" w:lineRule="auto"/>
              <w:rPr>
                <w:color w:val="auto"/>
                <w:szCs w:val="21"/>
              </w:rPr>
            </w:pPr>
          </w:p>
        </w:tc>
        <w:tc>
          <w:tcPr>
            <w:tcW w:w="1224" w:type="dxa"/>
            <w:vMerge w:val="continue"/>
            <w:vAlign w:val="center"/>
          </w:tcPr>
          <w:p w14:paraId="6620D00A">
            <w:pPr>
              <w:spacing w:line="360" w:lineRule="auto"/>
              <w:rPr>
                <w:color w:val="auto"/>
                <w:szCs w:val="21"/>
              </w:rPr>
            </w:pPr>
          </w:p>
        </w:tc>
        <w:tc>
          <w:tcPr>
            <w:tcW w:w="7528" w:type="dxa"/>
            <w:vAlign w:val="center"/>
          </w:tcPr>
          <w:p w14:paraId="050DC0F8">
            <w:pPr>
              <w:tabs>
                <w:tab w:val="left" w:pos="4915"/>
              </w:tabs>
              <w:spacing w:line="360" w:lineRule="auto"/>
              <w:rPr>
                <w:rFonts w:cs="宋体"/>
                <w:color w:val="auto"/>
                <w:szCs w:val="21"/>
              </w:rPr>
            </w:pPr>
            <w:r>
              <w:rPr>
                <w:rFonts w:hint="eastAsia" w:cs="宋体"/>
                <w:color w:val="auto"/>
                <w:szCs w:val="21"/>
              </w:rPr>
              <w:t>5、施工进度管理与控制（</w:t>
            </w:r>
            <w:r>
              <w:rPr>
                <w:rFonts w:hint="eastAsia" w:cs="宋体"/>
                <w:color w:val="auto"/>
                <w:szCs w:val="21"/>
                <w:lang w:val="en-US" w:eastAsia="zh-CN"/>
              </w:rPr>
              <w:t>6</w:t>
            </w:r>
            <w:r>
              <w:rPr>
                <w:rFonts w:hint="eastAsia" w:cs="宋体"/>
                <w:color w:val="auto"/>
                <w:szCs w:val="21"/>
              </w:rPr>
              <w:t>分）</w:t>
            </w:r>
          </w:p>
          <w:p w14:paraId="3A8CEA9A">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施工进度管理与控制进行综合评议：进度计划安排得当、各时间节点明确、项目工期有有效保障的得</w:t>
            </w:r>
            <w:r>
              <w:rPr>
                <w:rFonts w:hint="eastAsia" w:cs="宋体"/>
                <w:color w:val="auto"/>
                <w:szCs w:val="21"/>
                <w:lang w:val="en-US" w:eastAsia="zh-CN"/>
              </w:rPr>
              <w:t>6</w:t>
            </w:r>
            <w:r>
              <w:rPr>
                <w:rFonts w:hint="eastAsia" w:cs="宋体"/>
                <w:color w:val="auto"/>
                <w:szCs w:val="21"/>
              </w:rPr>
              <w:t>分；进度安排尚能满足项目需求、部分时间节点不够明确或存在前松后紧的得3分；进度安排存在明显不合理之处、或时间节点混乱、难以保障项目工期的得1分。未提供不得分。</w:t>
            </w:r>
          </w:p>
        </w:tc>
      </w:tr>
      <w:tr w14:paraId="20F7A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399A3234">
            <w:pPr>
              <w:spacing w:line="360" w:lineRule="auto"/>
              <w:rPr>
                <w:color w:val="auto"/>
                <w:szCs w:val="21"/>
              </w:rPr>
            </w:pPr>
          </w:p>
        </w:tc>
        <w:tc>
          <w:tcPr>
            <w:tcW w:w="1224" w:type="dxa"/>
            <w:vMerge w:val="continue"/>
            <w:vAlign w:val="center"/>
          </w:tcPr>
          <w:p w14:paraId="178D502D">
            <w:pPr>
              <w:spacing w:line="360" w:lineRule="auto"/>
              <w:rPr>
                <w:color w:val="auto"/>
                <w:szCs w:val="21"/>
              </w:rPr>
            </w:pPr>
          </w:p>
        </w:tc>
        <w:tc>
          <w:tcPr>
            <w:tcW w:w="7528" w:type="dxa"/>
            <w:vAlign w:val="center"/>
          </w:tcPr>
          <w:p w14:paraId="604F4942">
            <w:pPr>
              <w:tabs>
                <w:tab w:val="left" w:pos="4915"/>
              </w:tabs>
              <w:spacing w:line="360" w:lineRule="auto"/>
              <w:rPr>
                <w:rFonts w:cs="宋体"/>
                <w:color w:val="auto"/>
                <w:szCs w:val="21"/>
              </w:rPr>
            </w:pPr>
            <w:r>
              <w:rPr>
                <w:rFonts w:hint="eastAsia" w:cs="宋体"/>
                <w:color w:val="auto"/>
                <w:szCs w:val="21"/>
              </w:rPr>
              <w:t>6、安全生产、文明施工措施（5分）</w:t>
            </w:r>
          </w:p>
          <w:p w14:paraId="1B062B46">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安全生产、文明施工措施进行综合评议并打分：对施工噪音、施工震动、施工扬尘等防治措施具体有效、符合本项目需求的得5分；措施上存在细节部分欠缺，尚不影响履约的得3分；措施有缺项或缺少有效防治手段，难以保证项目实施的得1分。未提供不得分。</w:t>
            </w:r>
          </w:p>
        </w:tc>
      </w:tr>
      <w:tr w14:paraId="42840F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26D910AD">
            <w:pPr>
              <w:spacing w:line="360" w:lineRule="auto"/>
              <w:rPr>
                <w:color w:val="auto"/>
                <w:szCs w:val="21"/>
              </w:rPr>
            </w:pPr>
          </w:p>
        </w:tc>
        <w:tc>
          <w:tcPr>
            <w:tcW w:w="1224" w:type="dxa"/>
            <w:vMerge w:val="continue"/>
            <w:vAlign w:val="center"/>
          </w:tcPr>
          <w:p w14:paraId="3C516DAA">
            <w:pPr>
              <w:spacing w:line="360" w:lineRule="auto"/>
              <w:rPr>
                <w:color w:val="auto"/>
                <w:szCs w:val="21"/>
              </w:rPr>
            </w:pPr>
          </w:p>
        </w:tc>
        <w:tc>
          <w:tcPr>
            <w:tcW w:w="7528" w:type="dxa"/>
            <w:vAlign w:val="center"/>
          </w:tcPr>
          <w:p w14:paraId="71D9554A">
            <w:pPr>
              <w:tabs>
                <w:tab w:val="left" w:pos="4915"/>
              </w:tabs>
              <w:spacing w:line="360" w:lineRule="auto"/>
              <w:rPr>
                <w:rFonts w:cs="宋体"/>
                <w:color w:val="auto"/>
                <w:szCs w:val="21"/>
              </w:rPr>
            </w:pPr>
            <w:r>
              <w:rPr>
                <w:rFonts w:hint="eastAsia" w:cs="宋体"/>
                <w:color w:val="auto"/>
                <w:szCs w:val="21"/>
              </w:rPr>
              <w:t>7、环保管理体系和措施（5分）</w:t>
            </w:r>
          </w:p>
          <w:p w14:paraId="26A0297F">
            <w:pPr>
              <w:tabs>
                <w:tab w:val="left" w:pos="4915"/>
              </w:tabs>
              <w:spacing w:line="360" w:lineRule="auto"/>
              <w:rPr>
                <w:rFonts w:hint="eastAsia"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环保管理体系和措施进行综合评议：环保管理体系健全有效、措施具体细致、符合本项目需求的得5分；体系及措施上有部分欠缺，但尚不影响实施的得3分；体系及措施有明显缺漏项，或过于笼统无法保证项目实施的得1分。未提供不得分。</w:t>
            </w:r>
          </w:p>
        </w:tc>
      </w:tr>
      <w:tr w14:paraId="5C7D4F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7" w:hRule="atLeast"/>
        </w:trPr>
        <w:tc>
          <w:tcPr>
            <w:tcW w:w="748" w:type="dxa"/>
            <w:vMerge w:val="continue"/>
            <w:vAlign w:val="center"/>
          </w:tcPr>
          <w:p w14:paraId="1579132C">
            <w:pPr>
              <w:spacing w:line="360" w:lineRule="auto"/>
              <w:rPr>
                <w:color w:val="auto"/>
                <w:szCs w:val="21"/>
              </w:rPr>
            </w:pPr>
          </w:p>
        </w:tc>
        <w:tc>
          <w:tcPr>
            <w:tcW w:w="1224" w:type="dxa"/>
            <w:vMerge w:val="continue"/>
            <w:vAlign w:val="center"/>
          </w:tcPr>
          <w:p w14:paraId="34C6B186">
            <w:pPr>
              <w:spacing w:line="360" w:lineRule="auto"/>
              <w:rPr>
                <w:color w:val="auto"/>
                <w:szCs w:val="21"/>
              </w:rPr>
            </w:pPr>
          </w:p>
        </w:tc>
        <w:tc>
          <w:tcPr>
            <w:tcW w:w="7528" w:type="dxa"/>
            <w:vAlign w:val="center"/>
          </w:tcPr>
          <w:p w14:paraId="0CFAAFDC">
            <w:pPr>
              <w:tabs>
                <w:tab w:val="left" w:pos="4915"/>
              </w:tabs>
              <w:spacing w:line="360" w:lineRule="auto"/>
              <w:rPr>
                <w:rFonts w:hint="eastAsia" w:cs="宋体"/>
                <w:color w:val="auto"/>
                <w:szCs w:val="21"/>
                <w:lang w:val="en-US" w:eastAsia="zh-CN"/>
              </w:rPr>
            </w:pPr>
            <w:r>
              <w:rPr>
                <w:rFonts w:hint="eastAsia" w:cs="宋体"/>
                <w:color w:val="auto"/>
                <w:szCs w:val="21"/>
                <w:lang w:val="en-US" w:eastAsia="zh-CN"/>
              </w:rPr>
              <w:t>8、工程</w:t>
            </w:r>
            <w:r>
              <w:rPr>
                <w:rFonts w:hint="eastAsia" w:cs="宋体"/>
                <w:color w:val="auto"/>
                <w:szCs w:val="21"/>
              </w:rPr>
              <w:t>重难点分析及解决</w:t>
            </w:r>
            <w:r>
              <w:rPr>
                <w:rFonts w:hint="eastAsia" w:cs="宋体"/>
                <w:color w:val="auto"/>
                <w:szCs w:val="21"/>
                <w:lang w:val="en-US" w:eastAsia="zh-CN"/>
              </w:rPr>
              <w:t>方</w:t>
            </w:r>
            <w:r>
              <w:rPr>
                <w:rFonts w:hint="eastAsia" w:cs="宋体"/>
                <w:color w:val="auto"/>
                <w:szCs w:val="21"/>
              </w:rPr>
              <w:t>案（</w:t>
            </w:r>
            <w:r>
              <w:rPr>
                <w:rFonts w:hint="eastAsia" w:cs="宋体"/>
                <w:color w:val="auto"/>
                <w:szCs w:val="21"/>
                <w:lang w:val="en-US" w:eastAsia="zh-CN"/>
              </w:rPr>
              <w:t>5</w:t>
            </w:r>
            <w:r>
              <w:rPr>
                <w:rFonts w:hint="eastAsia" w:cs="宋体"/>
                <w:color w:val="auto"/>
                <w:szCs w:val="21"/>
              </w:rPr>
              <w:t>分）</w:t>
            </w:r>
          </w:p>
          <w:p w14:paraId="1EF3DCC6">
            <w:pPr>
              <w:tabs>
                <w:tab w:val="left" w:pos="4915"/>
              </w:tabs>
              <w:spacing w:line="360" w:lineRule="auto"/>
              <w:rPr>
                <w:rFonts w:hint="eastAsia" w:cs="宋体"/>
                <w:color w:val="auto"/>
                <w:szCs w:val="21"/>
                <w:lang w:val="en-US" w:eastAsia="zh-CN"/>
              </w:rPr>
            </w:pPr>
            <w:r>
              <w:rPr>
                <w:rFonts w:hint="eastAsia" w:cs="宋体"/>
                <w:color w:val="auto"/>
                <w:szCs w:val="21"/>
              </w:rPr>
              <w:t>评委对</w:t>
            </w:r>
            <w:r>
              <w:rPr>
                <w:rFonts w:hint="eastAsia" w:cs="宋体"/>
                <w:color w:val="auto"/>
                <w:szCs w:val="21"/>
                <w:lang w:val="en-US" w:eastAsia="zh-CN"/>
              </w:rPr>
              <w:t>供应商提供</w:t>
            </w:r>
            <w:r>
              <w:rPr>
                <w:rFonts w:hint="eastAsia" w:cs="宋体"/>
                <w:color w:val="auto"/>
                <w:szCs w:val="21"/>
              </w:rPr>
              <w:t>的重难点分析及解决方案</w:t>
            </w:r>
            <w:r>
              <w:rPr>
                <w:rFonts w:hint="eastAsia" w:cs="宋体"/>
                <w:color w:val="auto"/>
                <w:szCs w:val="21"/>
                <w:lang w:val="en-US" w:eastAsia="zh-CN"/>
              </w:rPr>
              <w:t>进行评议：</w:t>
            </w:r>
            <w:r>
              <w:rPr>
                <w:rFonts w:hint="eastAsia" w:cs="宋体"/>
                <w:color w:val="auto"/>
                <w:szCs w:val="21"/>
              </w:rPr>
              <w:t>重</w:t>
            </w:r>
            <w:r>
              <w:rPr>
                <w:rFonts w:hint="eastAsia" w:cs="宋体"/>
                <w:color w:val="auto"/>
                <w:szCs w:val="21"/>
                <w:lang w:val="en-US" w:eastAsia="zh-CN"/>
              </w:rPr>
              <w:t>难点分析内容</w:t>
            </w:r>
            <w:r>
              <w:rPr>
                <w:rFonts w:hint="eastAsia" w:cs="宋体"/>
                <w:color w:val="auto"/>
                <w:szCs w:val="21"/>
              </w:rPr>
              <w:t>详细、科学、合理</w:t>
            </w:r>
            <w:r>
              <w:rPr>
                <w:rFonts w:hint="eastAsia" w:cs="宋体"/>
                <w:color w:val="auto"/>
                <w:szCs w:val="21"/>
                <w:lang w:eastAsia="zh-CN"/>
              </w:rPr>
              <w:t>，</w:t>
            </w:r>
            <w:r>
              <w:rPr>
                <w:rFonts w:hint="eastAsia" w:cs="宋体"/>
                <w:color w:val="auto"/>
                <w:szCs w:val="21"/>
              </w:rPr>
              <w:t>解决措施</w:t>
            </w:r>
            <w:r>
              <w:rPr>
                <w:rFonts w:hint="eastAsia" w:cs="宋体"/>
                <w:color w:val="auto"/>
                <w:szCs w:val="21"/>
                <w:lang w:val="en-US" w:eastAsia="zh-CN"/>
              </w:rPr>
              <w:t>完善且</w:t>
            </w:r>
            <w:r>
              <w:rPr>
                <w:rFonts w:hint="eastAsia" w:cs="宋体"/>
                <w:color w:val="auto"/>
                <w:szCs w:val="21"/>
              </w:rPr>
              <w:t>具有较强的操作性</w:t>
            </w:r>
            <w:r>
              <w:rPr>
                <w:rFonts w:hint="eastAsia" w:cs="宋体"/>
                <w:color w:val="auto"/>
                <w:szCs w:val="21"/>
                <w:lang w:val="en-US" w:eastAsia="zh-CN"/>
              </w:rPr>
              <w:t>得5分；</w:t>
            </w:r>
            <w:r>
              <w:rPr>
                <w:rFonts w:hint="eastAsia" w:cs="宋体"/>
                <w:color w:val="auto"/>
                <w:szCs w:val="21"/>
              </w:rPr>
              <w:t>重</w:t>
            </w:r>
            <w:r>
              <w:rPr>
                <w:rFonts w:hint="eastAsia" w:cs="宋体"/>
                <w:color w:val="auto"/>
                <w:szCs w:val="21"/>
                <w:lang w:val="en-US" w:eastAsia="zh-CN"/>
              </w:rPr>
              <w:t>难点分析内容细节部分欠缺，</w:t>
            </w:r>
            <w:r>
              <w:rPr>
                <w:rFonts w:hint="eastAsia" w:cs="宋体"/>
                <w:color w:val="auto"/>
                <w:szCs w:val="21"/>
              </w:rPr>
              <w:t>解决措施</w:t>
            </w:r>
            <w:r>
              <w:rPr>
                <w:rFonts w:hint="eastAsia" w:cs="宋体"/>
                <w:color w:val="auto"/>
                <w:szCs w:val="21"/>
                <w:lang w:val="en-US" w:eastAsia="zh-CN"/>
              </w:rPr>
              <w:t>操作性一般的得3分；</w:t>
            </w:r>
            <w:r>
              <w:rPr>
                <w:rFonts w:hint="eastAsia" w:cs="宋体"/>
                <w:color w:val="auto"/>
                <w:szCs w:val="21"/>
              </w:rPr>
              <w:t>重</w:t>
            </w:r>
            <w:r>
              <w:rPr>
                <w:rFonts w:hint="eastAsia" w:cs="宋体"/>
                <w:color w:val="auto"/>
                <w:szCs w:val="21"/>
                <w:lang w:val="en-US" w:eastAsia="zh-CN"/>
              </w:rPr>
              <w:t>难点分析内容有明显的不合理处、操作性差难以保证项目实施的得1分。未提供</w:t>
            </w:r>
            <w:r>
              <w:rPr>
                <w:rFonts w:hint="eastAsia" w:cs="宋体"/>
                <w:color w:val="auto"/>
                <w:szCs w:val="21"/>
              </w:rPr>
              <w:t>不得分</w:t>
            </w:r>
            <w:r>
              <w:rPr>
                <w:rFonts w:hint="eastAsia" w:cs="宋体"/>
                <w:color w:val="auto"/>
                <w:szCs w:val="21"/>
                <w:lang w:eastAsia="zh-CN"/>
              </w:rPr>
              <w:t>。</w:t>
            </w:r>
          </w:p>
        </w:tc>
      </w:tr>
      <w:tr w14:paraId="075F04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748" w:type="dxa"/>
            <w:vMerge w:val="continue"/>
            <w:vAlign w:val="center"/>
          </w:tcPr>
          <w:p w14:paraId="2C621C68">
            <w:pPr>
              <w:spacing w:line="360" w:lineRule="auto"/>
              <w:rPr>
                <w:color w:val="auto"/>
                <w:szCs w:val="21"/>
              </w:rPr>
            </w:pPr>
          </w:p>
        </w:tc>
        <w:tc>
          <w:tcPr>
            <w:tcW w:w="1224" w:type="dxa"/>
            <w:vAlign w:val="center"/>
          </w:tcPr>
          <w:p w14:paraId="321790EF">
            <w:pPr>
              <w:spacing w:line="360" w:lineRule="auto"/>
              <w:jc w:val="center"/>
              <w:rPr>
                <w:color w:val="auto"/>
                <w:szCs w:val="21"/>
              </w:rPr>
            </w:pPr>
            <w:r>
              <w:rPr>
                <w:rFonts w:hint="eastAsia"/>
                <w:color w:val="auto"/>
                <w:szCs w:val="21"/>
              </w:rPr>
              <w:t>项目团队（</w:t>
            </w:r>
            <w:r>
              <w:rPr>
                <w:rFonts w:hint="eastAsia"/>
                <w:color w:val="auto"/>
                <w:szCs w:val="21"/>
                <w:lang w:val="en-US" w:eastAsia="zh-CN"/>
              </w:rPr>
              <w:t>6</w:t>
            </w:r>
            <w:r>
              <w:rPr>
                <w:rFonts w:hint="eastAsia"/>
                <w:color w:val="auto"/>
                <w:szCs w:val="21"/>
              </w:rPr>
              <w:t>分）</w:t>
            </w:r>
          </w:p>
        </w:tc>
        <w:tc>
          <w:tcPr>
            <w:tcW w:w="7528" w:type="dxa"/>
            <w:vAlign w:val="center"/>
          </w:tcPr>
          <w:p w14:paraId="67DE9DDB">
            <w:pPr>
              <w:tabs>
                <w:tab w:val="left" w:pos="4915"/>
              </w:tabs>
              <w:spacing w:line="360" w:lineRule="auto"/>
              <w:rPr>
                <w:rFonts w:cs="宋体"/>
                <w:color w:val="auto"/>
                <w:szCs w:val="21"/>
              </w:rPr>
            </w:pPr>
            <w:r>
              <w:rPr>
                <w:rFonts w:hint="eastAsia" w:cs="宋体"/>
                <w:color w:val="auto"/>
                <w:szCs w:val="21"/>
                <w:lang w:val="en-US" w:eastAsia="zh-CN"/>
              </w:rPr>
              <w:t>9</w:t>
            </w:r>
            <w:r>
              <w:rPr>
                <w:rFonts w:hint="eastAsia" w:cs="宋体"/>
                <w:color w:val="auto"/>
                <w:szCs w:val="21"/>
              </w:rPr>
              <w:t>、其他施工人员配备（</w:t>
            </w:r>
            <w:r>
              <w:rPr>
                <w:rFonts w:hint="eastAsia" w:cs="宋体"/>
                <w:color w:val="auto"/>
                <w:szCs w:val="21"/>
                <w:lang w:val="en-US" w:eastAsia="zh-CN"/>
              </w:rPr>
              <w:t>6</w:t>
            </w:r>
            <w:r>
              <w:rPr>
                <w:rFonts w:hint="eastAsia" w:cs="宋体"/>
                <w:color w:val="auto"/>
                <w:szCs w:val="21"/>
              </w:rPr>
              <w:t>分）</w:t>
            </w:r>
          </w:p>
          <w:p w14:paraId="13EC7F25">
            <w:pPr>
              <w:tabs>
                <w:tab w:val="left" w:pos="4915"/>
              </w:tabs>
              <w:spacing w:line="360" w:lineRule="auto"/>
              <w:rPr>
                <w:rFonts w:cs="宋体"/>
                <w:color w:val="auto"/>
                <w:szCs w:val="21"/>
              </w:rPr>
            </w:pPr>
            <w:r>
              <w:rPr>
                <w:rFonts w:hint="eastAsia" w:cs="宋体"/>
                <w:color w:val="auto"/>
                <w:szCs w:val="21"/>
              </w:rPr>
              <w:t>评委对其他施工人员配备进行综合评议：人员配置满足项目需求、人员经过规范的上岗前培训并考试合格的得</w:t>
            </w:r>
            <w:r>
              <w:rPr>
                <w:rFonts w:hint="eastAsia" w:cs="宋体"/>
                <w:color w:val="auto"/>
                <w:szCs w:val="21"/>
                <w:lang w:val="en-US" w:eastAsia="zh-CN"/>
              </w:rPr>
              <w:t>6</w:t>
            </w:r>
            <w:r>
              <w:rPr>
                <w:rFonts w:hint="eastAsia" w:cs="宋体"/>
                <w:color w:val="auto"/>
                <w:szCs w:val="21"/>
              </w:rPr>
              <w:t>分；人员配置满足项目需求的、上岗培训不足的得3分；人员配置难以满足项目需求、或未经上岗前培训的得1分。未提供不得分。</w:t>
            </w:r>
          </w:p>
        </w:tc>
      </w:tr>
      <w:tr w14:paraId="0F3218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748" w:type="dxa"/>
            <w:vMerge w:val="continue"/>
            <w:vAlign w:val="center"/>
          </w:tcPr>
          <w:p w14:paraId="4EFC962A">
            <w:pPr>
              <w:spacing w:line="360" w:lineRule="auto"/>
              <w:rPr>
                <w:color w:val="auto"/>
                <w:szCs w:val="21"/>
              </w:rPr>
            </w:pPr>
          </w:p>
        </w:tc>
        <w:tc>
          <w:tcPr>
            <w:tcW w:w="1224" w:type="dxa"/>
            <w:vAlign w:val="center"/>
          </w:tcPr>
          <w:p w14:paraId="152A2ACD">
            <w:pPr>
              <w:spacing w:line="360" w:lineRule="auto"/>
              <w:rPr>
                <w:rFonts w:cs="Calibri"/>
                <w:color w:val="auto"/>
                <w:szCs w:val="21"/>
              </w:rPr>
            </w:pPr>
            <w:r>
              <w:rPr>
                <w:rFonts w:hint="eastAsia" w:cs="Calibri"/>
                <w:color w:val="auto"/>
                <w:szCs w:val="21"/>
              </w:rPr>
              <w:t>售后服务方案（</w:t>
            </w:r>
            <w:r>
              <w:rPr>
                <w:rFonts w:hint="eastAsia" w:cs="Calibri"/>
                <w:color w:val="auto"/>
                <w:szCs w:val="21"/>
                <w:lang w:val="en-US" w:eastAsia="zh-CN"/>
              </w:rPr>
              <w:t>6</w:t>
            </w:r>
            <w:r>
              <w:rPr>
                <w:rFonts w:hint="eastAsia" w:cs="Calibri"/>
                <w:color w:val="auto"/>
                <w:szCs w:val="21"/>
              </w:rPr>
              <w:t>分）</w:t>
            </w:r>
          </w:p>
        </w:tc>
        <w:tc>
          <w:tcPr>
            <w:tcW w:w="7528" w:type="dxa"/>
            <w:vAlign w:val="center"/>
          </w:tcPr>
          <w:p w14:paraId="5F06B256">
            <w:pPr>
              <w:tabs>
                <w:tab w:val="left" w:pos="4915"/>
              </w:tabs>
              <w:spacing w:line="360" w:lineRule="auto"/>
              <w:rPr>
                <w:rFonts w:cs="宋体"/>
                <w:color w:val="auto"/>
                <w:szCs w:val="21"/>
              </w:rPr>
            </w:pPr>
            <w:r>
              <w:rPr>
                <w:rFonts w:hint="eastAsia" w:cs="Calibri"/>
                <w:color w:val="auto"/>
                <w:szCs w:val="21"/>
                <w:lang w:val="en-US" w:eastAsia="zh-CN"/>
              </w:rPr>
              <w:t>10</w:t>
            </w:r>
            <w:r>
              <w:rPr>
                <w:rFonts w:hint="eastAsia" w:cs="Calibri"/>
                <w:color w:val="auto"/>
                <w:szCs w:val="21"/>
              </w:rPr>
              <w:t>、售后服务方案</w:t>
            </w:r>
            <w:r>
              <w:rPr>
                <w:rFonts w:hint="eastAsia" w:cs="宋体"/>
                <w:color w:val="auto"/>
                <w:szCs w:val="21"/>
              </w:rPr>
              <w:t>（</w:t>
            </w:r>
            <w:r>
              <w:rPr>
                <w:rFonts w:hint="eastAsia" w:cs="宋体"/>
                <w:color w:val="auto"/>
                <w:szCs w:val="21"/>
                <w:lang w:val="en-US" w:eastAsia="zh-CN"/>
              </w:rPr>
              <w:t>6</w:t>
            </w:r>
            <w:r>
              <w:rPr>
                <w:rFonts w:hint="eastAsia" w:cs="宋体"/>
                <w:color w:val="auto"/>
                <w:szCs w:val="21"/>
              </w:rPr>
              <w:t>分）</w:t>
            </w:r>
          </w:p>
          <w:p w14:paraId="6D2167B5">
            <w:pPr>
              <w:spacing w:line="360" w:lineRule="auto"/>
              <w:rPr>
                <w:rFonts w:cs="宋体"/>
                <w:color w:val="auto"/>
                <w:szCs w:val="21"/>
              </w:rPr>
            </w:pPr>
            <w:r>
              <w:rPr>
                <w:rFonts w:hint="eastAsia" w:cs="宋体"/>
                <w:color w:val="auto"/>
                <w:szCs w:val="21"/>
              </w:rPr>
              <w:t>评委对售后服务方案进行综合评议：服务保障体系完备、方案内容完全符合本项目需求得</w:t>
            </w:r>
            <w:r>
              <w:rPr>
                <w:rFonts w:hint="eastAsia" w:cs="宋体"/>
                <w:color w:val="auto"/>
                <w:szCs w:val="21"/>
                <w:lang w:val="en-US" w:eastAsia="zh-CN"/>
              </w:rPr>
              <w:t>6</w:t>
            </w:r>
            <w:r>
              <w:rPr>
                <w:rFonts w:hint="eastAsia" w:cs="宋体"/>
                <w:color w:val="auto"/>
                <w:szCs w:val="21"/>
              </w:rPr>
              <w:t>分；有服务保障体系但部分内容有欠缺、但尚不影响履约得</w:t>
            </w:r>
            <w:r>
              <w:rPr>
                <w:rFonts w:hint="eastAsia" w:cs="宋体"/>
                <w:color w:val="auto"/>
                <w:szCs w:val="21"/>
                <w:lang w:val="en-US" w:eastAsia="zh-CN"/>
              </w:rPr>
              <w:t>3</w:t>
            </w:r>
            <w:r>
              <w:rPr>
                <w:rFonts w:hint="eastAsia" w:cs="宋体"/>
                <w:color w:val="auto"/>
                <w:szCs w:val="21"/>
              </w:rPr>
              <w:t>分；方案内容存在明显缺漏项、不符合规范的得1分。未提供不得分。</w:t>
            </w:r>
          </w:p>
        </w:tc>
      </w:tr>
      <w:tr w14:paraId="1E5F2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48" w:type="dxa"/>
            <w:vMerge w:val="continue"/>
            <w:vAlign w:val="center"/>
          </w:tcPr>
          <w:p w14:paraId="4C4A4948">
            <w:pPr>
              <w:spacing w:line="360" w:lineRule="auto"/>
              <w:rPr>
                <w:color w:val="auto"/>
                <w:szCs w:val="21"/>
              </w:rPr>
            </w:pPr>
          </w:p>
        </w:tc>
        <w:tc>
          <w:tcPr>
            <w:tcW w:w="1224" w:type="dxa"/>
            <w:vAlign w:val="center"/>
          </w:tcPr>
          <w:p w14:paraId="2C6C5D33">
            <w:pPr>
              <w:tabs>
                <w:tab w:val="left" w:pos="4915"/>
              </w:tabs>
              <w:spacing w:line="360" w:lineRule="auto"/>
              <w:rPr>
                <w:rFonts w:cs="Calibri"/>
                <w:color w:val="auto"/>
                <w:szCs w:val="21"/>
              </w:rPr>
            </w:pPr>
            <w:r>
              <w:rPr>
                <w:rFonts w:hint="eastAsia" w:cs="Calibri"/>
                <w:color w:val="auto"/>
                <w:szCs w:val="21"/>
              </w:rPr>
              <w:t>突发性事件应急预案（</w:t>
            </w:r>
            <w:r>
              <w:rPr>
                <w:rFonts w:hint="eastAsia" w:cs="Calibri"/>
                <w:color w:val="auto"/>
                <w:szCs w:val="21"/>
                <w:lang w:val="en-US" w:eastAsia="zh-CN"/>
              </w:rPr>
              <w:t>5</w:t>
            </w:r>
            <w:r>
              <w:rPr>
                <w:rFonts w:hint="eastAsia" w:cs="Calibri"/>
                <w:color w:val="auto"/>
                <w:szCs w:val="21"/>
              </w:rPr>
              <w:t>分）</w:t>
            </w:r>
          </w:p>
        </w:tc>
        <w:tc>
          <w:tcPr>
            <w:tcW w:w="7528" w:type="dxa"/>
            <w:vAlign w:val="center"/>
          </w:tcPr>
          <w:p w14:paraId="63EF23FF">
            <w:pPr>
              <w:spacing w:line="360" w:lineRule="auto"/>
              <w:rPr>
                <w:color w:val="auto"/>
                <w:szCs w:val="21"/>
              </w:rPr>
            </w:pPr>
            <w:r>
              <w:rPr>
                <w:rFonts w:hint="eastAsia" w:cs="宋体"/>
                <w:color w:val="auto"/>
                <w:szCs w:val="21"/>
              </w:rPr>
              <w:t>1</w:t>
            </w:r>
            <w:r>
              <w:rPr>
                <w:rFonts w:hint="eastAsia" w:cs="宋体"/>
                <w:color w:val="auto"/>
                <w:szCs w:val="21"/>
                <w:lang w:val="en-US" w:eastAsia="zh-CN"/>
              </w:rPr>
              <w:t>1</w:t>
            </w:r>
            <w:r>
              <w:rPr>
                <w:rFonts w:hint="eastAsia" w:cs="宋体"/>
                <w:color w:val="auto"/>
                <w:szCs w:val="21"/>
              </w:rPr>
              <w:t>、评委对突发性事件应急预案进行综合评议：应急预案内容完全符合本项目需求、应急保障体系完备得</w:t>
            </w:r>
            <w:r>
              <w:rPr>
                <w:rFonts w:hint="eastAsia" w:cs="宋体"/>
                <w:color w:val="auto"/>
                <w:szCs w:val="21"/>
                <w:lang w:val="en-US" w:eastAsia="zh-CN"/>
              </w:rPr>
              <w:t>5</w:t>
            </w:r>
            <w:r>
              <w:rPr>
                <w:rFonts w:hint="eastAsia" w:cs="宋体"/>
                <w:color w:val="auto"/>
                <w:szCs w:val="21"/>
              </w:rPr>
              <w:t>分；预案有部分非主体内容的欠缺，尚不影响实施的得</w:t>
            </w:r>
            <w:r>
              <w:rPr>
                <w:rFonts w:hint="eastAsia" w:cs="宋体"/>
                <w:color w:val="auto"/>
                <w:szCs w:val="21"/>
                <w:lang w:val="en-US" w:eastAsia="zh-CN"/>
              </w:rPr>
              <w:t>3</w:t>
            </w:r>
            <w:r>
              <w:rPr>
                <w:rFonts w:hint="eastAsia" w:cs="宋体"/>
                <w:color w:val="auto"/>
                <w:szCs w:val="21"/>
              </w:rPr>
              <w:t>分；预案不全或过于笼统，难以保证项目实施的1分。未提供不得分。</w:t>
            </w:r>
          </w:p>
        </w:tc>
      </w:tr>
      <w:tr w14:paraId="03185A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48" w:type="dxa"/>
            <w:vMerge w:val="continue"/>
            <w:vAlign w:val="center"/>
          </w:tcPr>
          <w:p w14:paraId="0F0943F9">
            <w:pPr>
              <w:spacing w:line="360" w:lineRule="auto"/>
              <w:rPr>
                <w:color w:val="auto"/>
                <w:szCs w:val="21"/>
              </w:rPr>
            </w:pPr>
          </w:p>
        </w:tc>
        <w:tc>
          <w:tcPr>
            <w:tcW w:w="1224" w:type="dxa"/>
            <w:vAlign w:val="center"/>
          </w:tcPr>
          <w:p w14:paraId="60DD208C">
            <w:pPr>
              <w:tabs>
                <w:tab w:val="left" w:pos="4915"/>
              </w:tabs>
              <w:spacing w:line="360" w:lineRule="auto"/>
              <w:rPr>
                <w:rFonts w:hint="eastAsia" w:cs="Calibri"/>
                <w:color w:val="auto"/>
                <w:szCs w:val="21"/>
              </w:rPr>
            </w:pPr>
            <w:r>
              <w:rPr>
                <w:rFonts w:hint="eastAsia" w:cs="Calibri"/>
                <w:color w:val="auto"/>
                <w:szCs w:val="21"/>
              </w:rPr>
              <w:t>合理化建议（</w:t>
            </w:r>
            <w:r>
              <w:rPr>
                <w:rFonts w:hint="eastAsia" w:cs="Calibri"/>
                <w:color w:val="auto"/>
                <w:szCs w:val="21"/>
                <w:lang w:val="en-US" w:eastAsia="zh-CN"/>
              </w:rPr>
              <w:t>3</w:t>
            </w:r>
            <w:r>
              <w:rPr>
                <w:rFonts w:hint="eastAsia" w:cs="Calibri"/>
                <w:color w:val="auto"/>
                <w:szCs w:val="21"/>
              </w:rPr>
              <w:t>分）</w:t>
            </w:r>
          </w:p>
        </w:tc>
        <w:tc>
          <w:tcPr>
            <w:tcW w:w="7528" w:type="dxa"/>
            <w:vAlign w:val="center"/>
          </w:tcPr>
          <w:p w14:paraId="28BECC99">
            <w:pPr>
              <w:tabs>
                <w:tab w:val="left" w:pos="4915"/>
              </w:tabs>
              <w:spacing w:line="360" w:lineRule="auto"/>
              <w:rPr>
                <w:rFonts w:hint="eastAsia" w:cs="Calibri"/>
                <w:color w:val="auto"/>
                <w:szCs w:val="21"/>
                <w:lang w:val="en-US" w:eastAsia="zh-CN"/>
              </w:rPr>
            </w:pPr>
            <w:r>
              <w:rPr>
                <w:rFonts w:hint="eastAsia" w:cs="Calibri"/>
                <w:color w:val="auto"/>
                <w:szCs w:val="21"/>
                <w:lang w:val="en-US" w:eastAsia="zh-CN"/>
              </w:rPr>
              <w:t>12、根据供应商提出的针对本项目的合理化建议进行评议（3分）</w:t>
            </w:r>
          </w:p>
          <w:p w14:paraId="50C0E9F0">
            <w:pPr>
              <w:tabs>
                <w:tab w:val="left" w:pos="4915"/>
              </w:tabs>
              <w:spacing w:line="360" w:lineRule="auto"/>
              <w:rPr>
                <w:rFonts w:hint="default" w:cs="Calibri"/>
                <w:color w:val="auto"/>
                <w:szCs w:val="21"/>
                <w:lang w:val="en-US" w:eastAsia="zh-CN"/>
              </w:rPr>
            </w:pPr>
            <w:r>
              <w:rPr>
                <w:rFonts w:hint="eastAsia" w:cs="Calibri"/>
                <w:color w:val="auto"/>
                <w:szCs w:val="21"/>
                <w:lang w:val="en-US" w:eastAsia="zh-CN"/>
              </w:rPr>
              <w:t>提出的建议具有实际意义，评委认为可以采纳的，每项得1分；评委认为建议需要改进的，每项得0.5分；最高得3分，未提供的得0分。与本项目履约无关的建议不予认可。</w:t>
            </w:r>
          </w:p>
        </w:tc>
      </w:tr>
      <w:tr w14:paraId="39C4E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748" w:type="dxa"/>
            <w:vMerge w:val="continue"/>
            <w:vAlign w:val="center"/>
          </w:tcPr>
          <w:p w14:paraId="15CE5A71">
            <w:pPr>
              <w:spacing w:line="360" w:lineRule="auto"/>
              <w:rPr>
                <w:color w:val="auto"/>
                <w:szCs w:val="21"/>
              </w:rPr>
            </w:pPr>
          </w:p>
        </w:tc>
        <w:tc>
          <w:tcPr>
            <w:tcW w:w="1224" w:type="dxa"/>
            <w:vAlign w:val="center"/>
          </w:tcPr>
          <w:p w14:paraId="71D0E2B4">
            <w:pPr>
              <w:spacing w:line="360" w:lineRule="auto"/>
              <w:jc w:val="center"/>
              <w:rPr>
                <w:color w:val="auto"/>
                <w:szCs w:val="21"/>
              </w:rPr>
            </w:pPr>
            <w:r>
              <w:rPr>
                <w:rFonts w:hint="eastAsia"/>
                <w:color w:val="auto"/>
                <w:szCs w:val="21"/>
              </w:rPr>
              <w:t>业绩（</w:t>
            </w:r>
            <w:r>
              <w:rPr>
                <w:rFonts w:hint="eastAsia"/>
                <w:color w:val="auto"/>
                <w:szCs w:val="21"/>
                <w:lang w:val="en-US" w:eastAsia="zh-CN"/>
              </w:rPr>
              <w:t>2</w:t>
            </w:r>
            <w:r>
              <w:rPr>
                <w:rFonts w:hint="eastAsia"/>
                <w:color w:val="auto"/>
                <w:szCs w:val="21"/>
              </w:rPr>
              <w:t>分）</w:t>
            </w:r>
          </w:p>
        </w:tc>
        <w:tc>
          <w:tcPr>
            <w:tcW w:w="7528" w:type="dxa"/>
            <w:vAlign w:val="center"/>
          </w:tcPr>
          <w:p w14:paraId="788005E6">
            <w:pPr>
              <w:spacing w:line="360" w:lineRule="auto"/>
              <w:rPr>
                <w:color w:val="auto"/>
                <w:szCs w:val="21"/>
              </w:rPr>
            </w:pPr>
            <w:r>
              <w:rPr>
                <w:rFonts w:hint="eastAsia"/>
                <w:color w:val="auto"/>
                <w:szCs w:val="21"/>
                <w:lang w:val="en-US" w:eastAsia="zh-CN"/>
              </w:rPr>
              <w:t>13</w:t>
            </w:r>
            <w:r>
              <w:rPr>
                <w:rFonts w:hint="eastAsia"/>
                <w:color w:val="auto"/>
                <w:szCs w:val="21"/>
              </w:rPr>
              <w:t>、</w:t>
            </w:r>
            <w:r>
              <w:rPr>
                <w:rFonts w:hint="eastAsia" w:ascii="宋体" w:hAnsi="宋体"/>
                <w:bCs/>
                <w:color w:val="auto"/>
                <w:szCs w:val="21"/>
              </w:rPr>
              <w:t>供应商自</w:t>
            </w:r>
            <w:r>
              <w:rPr>
                <w:rFonts w:hint="eastAsia" w:ascii="宋体" w:hAnsi="宋体"/>
                <w:bCs/>
                <w:color w:val="auto"/>
                <w:szCs w:val="21"/>
                <w:lang w:val="en-US" w:eastAsia="zh-CN"/>
              </w:rPr>
              <w:t>2022</w:t>
            </w:r>
            <w:r>
              <w:rPr>
                <w:rFonts w:hint="eastAsia" w:ascii="宋体" w:hAnsi="宋体"/>
                <w:bCs/>
                <w:color w:val="auto"/>
                <w:szCs w:val="21"/>
              </w:rPr>
              <w:t>年1月1日</w:t>
            </w:r>
            <w:r>
              <w:rPr>
                <w:rFonts w:hint="eastAsia" w:ascii="宋体" w:hAnsi="宋体"/>
                <w:bCs/>
                <w:color w:val="auto"/>
                <w:szCs w:val="21"/>
                <w:lang w:eastAsia="zh-CN"/>
              </w:rPr>
              <w:t>（</w:t>
            </w:r>
            <w:r>
              <w:rPr>
                <w:rFonts w:hint="eastAsia" w:ascii="宋体" w:hAnsi="宋体"/>
                <w:bCs/>
                <w:color w:val="auto"/>
                <w:szCs w:val="21"/>
                <w:lang w:val="en-US" w:eastAsia="zh-CN"/>
              </w:rPr>
              <w:t>以合同签订时间为准</w:t>
            </w:r>
            <w:r>
              <w:rPr>
                <w:rFonts w:hint="eastAsia" w:ascii="宋体" w:hAnsi="宋体"/>
                <w:bCs/>
                <w:color w:val="auto"/>
                <w:szCs w:val="21"/>
                <w:lang w:eastAsia="zh-CN"/>
              </w:rPr>
              <w:t>）</w:t>
            </w:r>
            <w:r>
              <w:rPr>
                <w:rFonts w:hint="eastAsia" w:ascii="宋体" w:hAnsi="宋体"/>
                <w:bCs/>
                <w:color w:val="auto"/>
                <w:szCs w:val="21"/>
              </w:rPr>
              <w:t>以</w:t>
            </w:r>
            <w:r>
              <w:rPr>
                <w:rFonts w:hint="eastAsia" w:ascii="宋体" w:hAnsi="宋体"/>
                <w:bCs/>
                <w:color w:val="auto"/>
                <w:szCs w:val="21"/>
                <w:lang w:val="en-US" w:eastAsia="zh-CN"/>
              </w:rPr>
              <w:t>来</w:t>
            </w:r>
            <w:r>
              <w:rPr>
                <w:rFonts w:hint="eastAsia" w:ascii="宋体" w:hAnsi="宋体"/>
                <w:bCs/>
                <w:color w:val="auto"/>
                <w:szCs w:val="21"/>
              </w:rPr>
              <w:t>承担过</w:t>
            </w:r>
            <w:r>
              <w:rPr>
                <w:rFonts w:hint="eastAsia" w:ascii="宋体" w:hAnsi="宋体"/>
                <w:bCs/>
                <w:color w:val="auto"/>
                <w:szCs w:val="21"/>
                <w:highlight w:val="none"/>
                <w:lang w:val="en-US" w:eastAsia="zh-CN"/>
              </w:rPr>
              <w:t>市政</w:t>
            </w:r>
            <w:r>
              <w:rPr>
                <w:rFonts w:hint="eastAsia" w:ascii="宋体" w:hAnsi="宋体"/>
                <w:bCs/>
                <w:color w:val="auto"/>
                <w:szCs w:val="21"/>
                <w:highlight w:val="none"/>
              </w:rPr>
              <w:t>工程</w:t>
            </w:r>
            <w:r>
              <w:rPr>
                <w:rFonts w:hint="eastAsia" w:ascii="宋体" w:hAnsi="宋体"/>
                <w:bCs/>
                <w:color w:val="auto"/>
                <w:szCs w:val="21"/>
              </w:rPr>
              <w:t>类项目的，每提供一个项目业绩合同得</w:t>
            </w:r>
            <w:r>
              <w:rPr>
                <w:rFonts w:hint="eastAsia" w:ascii="宋体" w:hAnsi="宋体"/>
                <w:bCs/>
                <w:color w:val="auto"/>
                <w:szCs w:val="21"/>
                <w:lang w:val="en-US" w:eastAsia="zh-CN"/>
              </w:rPr>
              <w:t>1</w:t>
            </w:r>
            <w:r>
              <w:rPr>
                <w:rFonts w:hint="eastAsia" w:ascii="宋体" w:hAnsi="宋体"/>
                <w:bCs/>
                <w:color w:val="auto"/>
                <w:szCs w:val="21"/>
              </w:rPr>
              <w:t>分，最高得</w:t>
            </w:r>
            <w:r>
              <w:rPr>
                <w:rFonts w:hint="eastAsia" w:ascii="宋体" w:hAnsi="宋体"/>
                <w:bCs/>
                <w:color w:val="auto"/>
                <w:szCs w:val="21"/>
                <w:lang w:val="en-US" w:eastAsia="zh-CN"/>
              </w:rPr>
              <w:t>2</w:t>
            </w:r>
            <w:r>
              <w:rPr>
                <w:rFonts w:hint="eastAsia" w:ascii="宋体" w:hAnsi="宋体"/>
                <w:bCs/>
                <w:color w:val="auto"/>
                <w:szCs w:val="21"/>
              </w:rPr>
              <w:t>分。（注：需提供中标（成交）通知（确认）书</w:t>
            </w:r>
            <w:r>
              <w:rPr>
                <w:rFonts w:hint="eastAsia" w:ascii="宋体" w:hAnsi="宋体"/>
                <w:bCs/>
                <w:color w:val="auto"/>
                <w:szCs w:val="21"/>
                <w:lang w:val="en-US" w:eastAsia="zh-CN"/>
              </w:rPr>
              <w:t>或</w:t>
            </w:r>
            <w:r>
              <w:rPr>
                <w:rFonts w:hint="eastAsia" w:ascii="宋体" w:hAnsi="宋体"/>
                <w:bCs/>
                <w:color w:val="auto"/>
                <w:szCs w:val="21"/>
              </w:rPr>
              <w:t>施工合同复印件，未提供</w:t>
            </w:r>
            <w:r>
              <w:rPr>
                <w:rFonts w:hint="eastAsia" w:ascii="宋体" w:hAnsi="宋体"/>
                <w:bCs/>
                <w:color w:val="auto"/>
                <w:szCs w:val="21"/>
                <w:lang w:val="en-US" w:eastAsia="zh-CN"/>
              </w:rPr>
              <w:t>的</w:t>
            </w:r>
            <w:r>
              <w:rPr>
                <w:rFonts w:hint="eastAsia" w:ascii="宋体" w:hAnsi="宋体"/>
                <w:bCs/>
                <w:color w:val="auto"/>
                <w:szCs w:val="21"/>
              </w:rPr>
              <w:t>不得分。）</w:t>
            </w:r>
          </w:p>
        </w:tc>
      </w:tr>
      <w:tr w14:paraId="0495B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2939D232">
            <w:pPr>
              <w:spacing w:line="360" w:lineRule="auto"/>
              <w:rPr>
                <w:color w:val="auto"/>
                <w:szCs w:val="21"/>
              </w:rPr>
            </w:pPr>
          </w:p>
        </w:tc>
        <w:tc>
          <w:tcPr>
            <w:tcW w:w="1224" w:type="dxa"/>
            <w:vAlign w:val="center"/>
          </w:tcPr>
          <w:p w14:paraId="65C7A164">
            <w:pPr>
              <w:spacing w:line="360" w:lineRule="auto"/>
              <w:jc w:val="center"/>
              <w:rPr>
                <w:color w:val="auto"/>
                <w:szCs w:val="21"/>
              </w:rPr>
            </w:pPr>
            <w:r>
              <w:rPr>
                <w:rFonts w:hint="eastAsia" w:hAnsi="宋体" w:cs="Calibri"/>
                <w:color w:val="auto"/>
                <w:szCs w:val="21"/>
              </w:rPr>
              <w:t>政策性加分（1分）</w:t>
            </w:r>
          </w:p>
        </w:tc>
        <w:tc>
          <w:tcPr>
            <w:tcW w:w="7528" w:type="dxa"/>
            <w:vAlign w:val="center"/>
          </w:tcPr>
          <w:p w14:paraId="08678BE9">
            <w:pPr>
              <w:spacing w:line="360" w:lineRule="auto"/>
              <w:rPr>
                <w:rFonts w:ascii="Times New Roman" w:hAnsi="Times New Roman"/>
                <w:color w:val="auto"/>
                <w:szCs w:val="21"/>
              </w:rPr>
            </w:pPr>
            <w:r>
              <w:rPr>
                <w:rFonts w:hint="eastAsia"/>
                <w:color w:val="auto"/>
                <w:szCs w:val="21"/>
                <w:lang w:val="en-US" w:eastAsia="zh-CN"/>
              </w:rPr>
              <w:t>14</w:t>
            </w:r>
            <w:r>
              <w:rPr>
                <w:rFonts w:hint="eastAsia"/>
                <w:color w:val="auto"/>
                <w:szCs w:val="21"/>
              </w:rPr>
              <w:t>、</w:t>
            </w:r>
            <w:r>
              <w:rPr>
                <w:rFonts w:hint="eastAsia" w:ascii="Times New Roman" w:hAnsi="Times New Roman"/>
                <w:color w:val="auto"/>
                <w:szCs w:val="21"/>
              </w:rPr>
              <w:t>供应商是国家认定的少数民族地区企业的加1分。</w:t>
            </w:r>
          </w:p>
          <w:p w14:paraId="6472619E">
            <w:pPr>
              <w:spacing w:line="360" w:lineRule="auto"/>
              <w:rPr>
                <w:color w:val="auto"/>
                <w:szCs w:val="21"/>
              </w:rPr>
            </w:pPr>
            <w:r>
              <w:rPr>
                <w:rFonts w:hint="eastAsia" w:ascii="Times New Roman" w:hAnsi="Times New Roman"/>
                <w:color w:val="auto"/>
                <w:szCs w:val="21"/>
              </w:rPr>
              <w:t>提供证明文件复印件并加盖公章。</w:t>
            </w:r>
          </w:p>
        </w:tc>
      </w:tr>
      <w:tr w14:paraId="6B4CA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48" w:type="dxa"/>
            <w:vAlign w:val="center"/>
          </w:tcPr>
          <w:p w14:paraId="189C20AF">
            <w:pPr>
              <w:spacing w:line="360" w:lineRule="auto"/>
              <w:rPr>
                <w:color w:val="auto"/>
                <w:szCs w:val="21"/>
              </w:rPr>
            </w:pPr>
            <w:r>
              <w:rPr>
                <w:color w:val="auto"/>
                <w:szCs w:val="21"/>
              </w:rPr>
              <w:t>价格</w:t>
            </w:r>
            <w:r>
              <w:rPr>
                <w:rFonts w:hint="eastAsia"/>
                <w:color w:val="auto"/>
                <w:szCs w:val="21"/>
              </w:rPr>
              <w:t>部分35</w:t>
            </w:r>
            <w:r>
              <w:rPr>
                <w:color w:val="auto"/>
                <w:szCs w:val="21"/>
              </w:rPr>
              <w:t>分</w:t>
            </w:r>
          </w:p>
        </w:tc>
        <w:tc>
          <w:tcPr>
            <w:tcW w:w="1224" w:type="dxa"/>
            <w:vAlign w:val="center"/>
          </w:tcPr>
          <w:p w14:paraId="437DD4F5">
            <w:pPr>
              <w:spacing w:line="360" w:lineRule="auto"/>
              <w:jc w:val="center"/>
              <w:rPr>
                <w:color w:val="auto"/>
                <w:szCs w:val="21"/>
              </w:rPr>
            </w:pPr>
            <w:r>
              <w:rPr>
                <w:color w:val="auto"/>
                <w:szCs w:val="21"/>
              </w:rPr>
              <w:t>磋商报价（</w:t>
            </w:r>
            <w:r>
              <w:rPr>
                <w:rFonts w:hint="eastAsia"/>
                <w:color w:val="auto"/>
                <w:szCs w:val="21"/>
              </w:rPr>
              <w:t>35</w:t>
            </w:r>
            <w:r>
              <w:rPr>
                <w:color w:val="auto"/>
                <w:szCs w:val="21"/>
              </w:rPr>
              <w:t>分）</w:t>
            </w:r>
          </w:p>
        </w:tc>
        <w:tc>
          <w:tcPr>
            <w:tcW w:w="7528" w:type="dxa"/>
            <w:vAlign w:val="center"/>
          </w:tcPr>
          <w:p w14:paraId="437FD8E7">
            <w:pPr>
              <w:spacing w:line="360" w:lineRule="auto"/>
              <w:rPr>
                <w:rFonts w:ascii="Times New Roman" w:hAnsi="Times New Roman"/>
                <w:color w:val="auto"/>
                <w:szCs w:val="21"/>
              </w:rPr>
            </w:pPr>
            <w:r>
              <w:rPr>
                <w:rFonts w:hint="eastAsia" w:ascii="Times New Roman" w:hAnsi="Times New Roman"/>
                <w:color w:val="auto"/>
                <w:szCs w:val="21"/>
              </w:rPr>
              <w:t>满足磋商文件要求且参与评审的最终综合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最低的价格为磋商基准价，其价格分为满分。其他供应商的价格分统一按照下列公式计算：</w:t>
            </w:r>
          </w:p>
          <w:p w14:paraId="2DBBBD72">
            <w:pPr>
              <w:spacing w:line="360" w:lineRule="auto"/>
              <w:rPr>
                <w:color w:val="auto"/>
              </w:rPr>
            </w:pPr>
            <w:r>
              <w:rPr>
                <w:rFonts w:hint="eastAsia"/>
                <w:color w:val="auto"/>
                <w:lang w:val="zh-CN"/>
              </w:rPr>
              <w:t>参与评审价格=</w:t>
            </w:r>
            <w:r>
              <w:rPr>
                <w:rFonts w:hint="eastAsia" w:ascii="Times New Roman" w:hAnsi="Times New Roman"/>
                <w:color w:val="auto"/>
                <w:szCs w:val="21"/>
              </w:rPr>
              <w:t>磋商报价</w:t>
            </w:r>
            <w:r>
              <w:rPr>
                <w:rFonts w:hint="eastAsia"/>
                <w:color w:val="auto"/>
                <w:lang w:val="zh-CN"/>
              </w:rPr>
              <w:t>×（1-小微企业价格扣除优惠值5%）</w:t>
            </w:r>
          </w:p>
          <w:p w14:paraId="0FA2A751">
            <w:pPr>
              <w:spacing w:line="360" w:lineRule="auto"/>
              <w:rPr>
                <w:rFonts w:ascii="Times New Roman" w:hAnsi="Times New Roman"/>
                <w:color w:val="auto"/>
                <w:szCs w:val="21"/>
              </w:rPr>
            </w:pPr>
            <w:r>
              <w:rPr>
                <w:rFonts w:hint="eastAsia" w:ascii="Times New Roman" w:hAnsi="Times New Roman"/>
                <w:color w:val="auto"/>
                <w:szCs w:val="21"/>
              </w:rPr>
              <w:t>磋商报价得分=（磋商基准价/参与评审的最终综合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w:t>
            </w:r>
            <w:r>
              <w:rPr>
                <w:rFonts w:hint="eastAsia" w:ascii="Times New Roman" w:hAnsi="Times New Roman"/>
                <w:color w:val="auto"/>
                <w:szCs w:val="21"/>
                <w:lang w:val="en-US" w:eastAsia="zh-CN"/>
              </w:rPr>
              <w:t>35</w:t>
            </w:r>
          </w:p>
        </w:tc>
      </w:tr>
    </w:tbl>
    <w:p w14:paraId="3871DC58">
      <w:pPr>
        <w:snapToGrid w:val="0"/>
        <w:spacing w:line="440" w:lineRule="exact"/>
        <w:ind w:firstLine="422" w:firstLineChars="200"/>
        <w:rPr>
          <w:rFonts w:asciiTheme="minorEastAsia" w:hAnsiTheme="minorEastAsia" w:eastAsiaTheme="minorEastAsia" w:cstheme="minorEastAsia"/>
          <w:b/>
          <w:color w:val="auto"/>
          <w:kern w:val="0"/>
          <w:szCs w:val="21"/>
          <w:lang w:val="zh-CN"/>
        </w:rPr>
      </w:pPr>
      <w:r>
        <w:rPr>
          <w:rFonts w:hint="eastAsia" w:asciiTheme="minorEastAsia" w:hAnsiTheme="minorEastAsia" w:eastAsiaTheme="minorEastAsia" w:cstheme="minorEastAsia"/>
          <w:b/>
          <w:color w:val="auto"/>
          <w:szCs w:val="21"/>
        </w:rPr>
        <w:t>备注：</w:t>
      </w:r>
      <w:r>
        <w:rPr>
          <w:rFonts w:hint="eastAsia" w:asciiTheme="minorEastAsia" w:hAnsiTheme="minorEastAsia" w:eastAsiaTheme="minorEastAsia" w:cstheme="minorEastAsia"/>
          <w:color w:val="auto"/>
          <w:kern w:val="0"/>
          <w:szCs w:val="21"/>
          <w:lang w:val="zh-CN"/>
        </w:rPr>
        <w:t>供应商编制响应文件（商务技术文件部分）时，建议按此目录（序号和内容）提供评标标准相应的商务技术资料。</w:t>
      </w:r>
    </w:p>
    <w:p w14:paraId="0A008210">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p>
    <w:p w14:paraId="2975E1D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一、评审方法</w:t>
      </w:r>
    </w:p>
    <w:bookmarkEnd w:id="25"/>
    <w:p w14:paraId="20B484AE">
      <w:pPr>
        <w:spacing w:line="360" w:lineRule="auto"/>
        <w:ind w:firstLine="413" w:firstLineChars="196"/>
        <w:rPr>
          <w:rFonts w:asciiTheme="minorEastAsia" w:hAnsiTheme="minorEastAsia" w:eastAsiaTheme="minorEastAsia" w:cstheme="minorEastAsia"/>
          <w:color w:val="auto"/>
          <w:kern w:val="0"/>
          <w:szCs w:val="21"/>
        </w:rPr>
      </w:pPr>
      <w:bookmarkStart w:id="393" w:name="第五部分"/>
      <w:bookmarkStart w:id="394" w:name="_Toc86217003"/>
      <w:r>
        <w:rPr>
          <w:rFonts w:hint="eastAsia" w:asciiTheme="minorEastAsia" w:hAnsiTheme="minorEastAsia" w:eastAsiaTheme="minorEastAsia" w:cstheme="minorEastAsia"/>
          <w:b/>
          <w:color w:val="auto"/>
          <w:kern w:val="0"/>
          <w:szCs w:val="21"/>
        </w:rPr>
        <w:t>1.本项目采用综合评分法。</w:t>
      </w:r>
      <w:r>
        <w:rPr>
          <w:rFonts w:hint="eastAsia" w:asciiTheme="minorEastAsia" w:hAnsiTheme="minorEastAsia" w:eastAsiaTheme="minorEastAsia" w:cstheme="minorEastAsia"/>
          <w:color w:val="auto"/>
          <w:kern w:val="0"/>
          <w:szCs w:val="21"/>
        </w:rPr>
        <w:t>综合评分法，是指响应文件满足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文件全部实质性要求，且按照评审因素的量化指标评审得分最高的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为成交候选供应商的评标方法。</w:t>
      </w:r>
    </w:p>
    <w:p w14:paraId="732B8025">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二、评审标准</w:t>
      </w:r>
    </w:p>
    <w:p w14:paraId="4374F2E9">
      <w:pPr>
        <w:spacing w:line="360" w:lineRule="auto"/>
        <w:ind w:firstLine="413" w:firstLineChars="196"/>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2.</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b/>
          <w:color w:val="auto"/>
          <w:szCs w:val="21"/>
        </w:rPr>
        <w:t>评审标准：</w:t>
      </w:r>
      <w:r>
        <w:rPr>
          <w:rFonts w:hint="eastAsia" w:asciiTheme="minorEastAsia" w:hAnsiTheme="minorEastAsia" w:eastAsiaTheme="minorEastAsia" w:cstheme="minorEastAsia"/>
          <w:color w:val="auto"/>
          <w:kern w:val="0"/>
          <w:szCs w:val="21"/>
        </w:rPr>
        <w:t>见评审办法前附表。</w:t>
      </w:r>
    </w:p>
    <w:p w14:paraId="554C3C7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三、评审程序</w:t>
      </w:r>
    </w:p>
    <w:p w14:paraId="334BBAA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3.1 符合性审查。</w:t>
      </w:r>
      <w:r>
        <w:rPr>
          <w:rFonts w:hint="eastAsia" w:asciiTheme="minorEastAsia" w:hAnsiTheme="minorEastAsia" w:eastAsiaTheme="minorEastAsia" w:cstheme="minorEastAsia"/>
          <w:color w:val="auto"/>
          <w:kern w:val="0"/>
          <w:szCs w:val="21"/>
        </w:rPr>
        <w:t>磋商小组应当对符合资格的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的响应文件进行符合性审查，以确定其是否满足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文件的实质性要求。不满足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文件的实质性要求的，响应无效。</w:t>
      </w:r>
    </w:p>
    <w:p w14:paraId="1D8E8A0C">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3.2磋商</w:t>
      </w:r>
    </w:p>
    <w:p w14:paraId="49B1DA6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3.2.1磋商小组所有成员应集中与单一供应商分别进行磋商，并给予所有有效供应商平等的磋商机会。在磋商过程中，如有需要，可以对采购文件的“</w:t>
      </w:r>
      <w:r>
        <w:rPr>
          <w:rFonts w:hint="eastAsia" w:asciiTheme="minorEastAsia" w:hAnsiTheme="minorEastAsia" w:eastAsiaTheme="minorEastAsia" w:cstheme="minorEastAsia"/>
          <w:b/>
          <w:bCs/>
          <w:color w:val="auto"/>
          <w:kern w:val="0"/>
          <w:szCs w:val="21"/>
        </w:rPr>
        <w:t>项目需求的技术、服务条款”以及“合同条款”进行实质性变动</w:t>
      </w:r>
      <w:r>
        <w:rPr>
          <w:rFonts w:hint="eastAsia" w:asciiTheme="minorEastAsia" w:hAnsiTheme="minorEastAsia" w:eastAsiaTheme="minorEastAsia" w:cstheme="minorEastAsia"/>
          <w:color w:val="auto"/>
          <w:kern w:val="0"/>
          <w:szCs w:val="21"/>
        </w:rPr>
        <w:t>，如有实质性变动需经采购人代表现场签字确认，磋商小组将采购文件变更通知在线发给各有效供应商，供应商根据变更通知的要求作响应文件的补充文件，该补充文件是响应文件的组成部分，具有相应的法律效力。</w:t>
      </w:r>
    </w:p>
    <w:p w14:paraId="506E1F7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3.2.2</w:t>
      </w:r>
      <w:r>
        <w:rPr>
          <w:rFonts w:hint="eastAsia" w:asciiTheme="minorEastAsia" w:hAnsiTheme="minorEastAsia" w:eastAsiaTheme="minorEastAsia" w:cstheme="minorEastAsia"/>
          <w:b/>
          <w:bCs/>
          <w:color w:val="auto"/>
          <w:kern w:val="0"/>
          <w:szCs w:val="21"/>
        </w:rPr>
        <w:t>各有效供应商在规定时间内在线提交第二次报价（即最终报价），磋商小组以第二次报价（即最终报价）作为价格评议的标准</w:t>
      </w:r>
      <w:r>
        <w:rPr>
          <w:rFonts w:hint="eastAsia" w:asciiTheme="minorEastAsia" w:hAnsiTheme="minorEastAsia" w:eastAsiaTheme="minorEastAsia" w:cstheme="minorEastAsia"/>
          <w:color w:val="auto"/>
          <w:kern w:val="0"/>
          <w:szCs w:val="21"/>
        </w:rPr>
        <w:t>。已提交响应文件的供应商，在提交最终报价之前，可以根据磋商情况退出磋商。</w:t>
      </w:r>
      <w:r>
        <w:rPr>
          <w:rFonts w:hint="eastAsia" w:asciiTheme="minorEastAsia" w:hAnsiTheme="minorEastAsia" w:eastAsiaTheme="minorEastAsia" w:cstheme="minorEastAsia"/>
          <w:b/>
          <w:bCs/>
          <w:color w:val="auto"/>
          <w:kern w:val="0"/>
          <w:szCs w:val="21"/>
        </w:rPr>
        <w:t>未在规定时间内在线提交第二次报价（即最终报价）视为</w:t>
      </w:r>
      <w:r>
        <w:rPr>
          <w:rFonts w:hint="eastAsia" w:asciiTheme="minorEastAsia" w:hAnsiTheme="minorEastAsia" w:eastAsiaTheme="minorEastAsia" w:cstheme="minorEastAsia"/>
          <w:b/>
          <w:bCs/>
          <w:color w:val="auto"/>
          <w:kern w:val="0"/>
          <w:szCs w:val="21"/>
          <w:lang w:val="en-US" w:eastAsia="zh-CN"/>
        </w:rPr>
        <w:t>自动退出磋商</w:t>
      </w:r>
      <w:r>
        <w:rPr>
          <w:rFonts w:hint="eastAsia" w:asciiTheme="minorEastAsia" w:hAnsiTheme="minorEastAsia" w:eastAsiaTheme="minorEastAsia" w:cstheme="minorEastAsia"/>
          <w:b/>
          <w:bCs/>
          <w:color w:val="auto"/>
          <w:kern w:val="0"/>
          <w:szCs w:val="21"/>
        </w:rPr>
        <w:t>。</w:t>
      </w:r>
    </w:p>
    <w:p w14:paraId="7BC5EC8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3.2.3经磋商确定最终采购需求和提交最后报价的供应商后，由磋商小组采用综合评分法对提交最后报价的供应商的响应文件和最后报价进行综合评分。</w:t>
      </w:r>
    </w:p>
    <w:p w14:paraId="433CF36F">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3.3 商务技术评审。</w:t>
      </w:r>
      <w:r>
        <w:rPr>
          <w:rFonts w:hint="eastAsia" w:asciiTheme="minorEastAsia" w:hAnsiTheme="minorEastAsia" w:eastAsiaTheme="minorEastAsia" w:cstheme="minorEastAsia"/>
          <w:color w:val="auto"/>
          <w:kern w:val="0"/>
          <w:szCs w:val="21"/>
        </w:rPr>
        <w:t>磋商小组应当按照</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文件中规定的评标方法和标准，对符合性审查合格的响应文件进行商务和技术评估。</w:t>
      </w:r>
    </w:p>
    <w:p w14:paraId="72A216C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3.4 汇总商务技术得分。</w:t>
      </w:r>
      <w:r>
        <w:rPr>
          <w:rFonts w:hint="eastAsia" w:asciiTheme="minorEastAsia" w:hAnsiTheme="minorEastAsia" w:eastAsiaTheme="minorEastAsia" w:cstheme="minorEastAsia"/>
          <w:color w:val="auto"/>
          <w:kern w:val="0"/>
          <w:szCs w:val="21"/>
        </w:rPr>
        <w:t>磋商小组各成员应当独立对每个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的商务和技术文件进行评价，并汇总商务技术得分情况。</w:t>
      </w:r>
    </w:p>
    <w:p w14:paraId="276ABEF2">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3.5 报价评审。</w:t>
      </w:r>
    </w:p>
    <w:p w14:paraId="6EFCC4EA">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磋商小组对供应商提交的报价进行评审。</w:t>
      </w:r>
    </w:p>
    <w:p w14:paraId="452C1E3E">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3.5.1响应文件报价出现前后不一致的，按照下列规定修正：</w:t>
      </w:r>
    </w:p>
    <w:p w14:paraId="5644812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3.5.1.1电子交易平台生成的开标记录表(报价表)内容与响应文件中报价一览表(报价表)不一致的，以响应文件中报价一览表(报价表)为准；</w:t>
      </w:r>
    </w:p>
    <w:p w14:paraId="29F22CA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3.5.1.2响应文件中报价一览表(报价表)内容与响应文件中相应内容不一致的，以报价一览表(报价表)为准；</w:t>
      </w:r>
    </w:p>
    <w:p w14:paraId="5FF6688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3.5.1.3 大写金额和小写金额不一致的，以大写金额为准;</w:t>
      </w:r>
    </w:p>
    <w:p w14:paraId="2903740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3.5.1.4 单价金额小数点或者百分比有明显错位的，以报价一览表的总价为准，并修改单价;</w:t>
      </w:r>
    </w:p>
    <w:p w14:paraId="0D118D3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3.5.1.5同时出现两种以上不一致的，按照3.5.1规定的顺序修正。修正后的报价经</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确认后产生约束力。</w:t>
      </w:r>
    </w:p>
    <w:p w14:paraId="6A94AD83">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3.5.2响应文件出现不是唯一的、有选择性磋商报价的，响应无效。</w:t>
      </w:r>
    </w:p>
    <w:p w14:paraId="51441C25">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3.5.3磋商报价超过</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文件中规定的预算金额或者最高限价的，响应无效。</w:t>
      </w:r>
    </w:p>
    <w:p w14:paraId="570E26A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3.5.4磋商小组认为</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的报价明显低于其他通过符合性审查</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的报价，有可能影响产品质量或者不能诚信履约的，应当要求其在30分钟内提供书面说明，必要时提交相关证明材料;</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不能证明其报价合理性的，磋商小组应当将其作为无效响应处理。</w:t>
      </w:r>
    </w:p>
    <w:p w14:paraId="1DAABB3B">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3.6</w:t>
      </w:r>
      <w:r>
        <w:rPr>
          <w:rFonts w:hint="eastAsia" w:asciiTheme="minorEastAsia" w:hAnsiTheme="minorEastAsia" w:eastAsiaTheme="minorEastAsia" w:cstheme="minorEastAsia"/>
          <w:b/>
          <w:bCs/>
          <w:color w:val="auto"/>
          <w:kern w:val="0"/>
          <w:szCs w:val="21"/>
        </w:rPr>
        <w:t>综合评议。</w:t>
      </w:r>
      <w:r>
        <w:rPr>
          <w:rFonts w:hint="eastAsia" w:asciiTheme="minorEastAsia" w:hAnsiTheme="minorEastAsia" w:eastAsiaTheme="minorEastAsia" w:cstheme="minorEastAsia"/>
          <w:color w:val="auto"/>
          <w:kern w:val="0"/>
          <w:szCs w:val="21"/>
        </w:rPr>
        <w:t>评分汇总（汇总各评委的评分，计算所有评委评出的总分的算术平均值作为供应商的综合得分）；按综合得分从高到低排序。</w:t>
      </w:r>
    </w:p>
    <w:p w14:paraId="7C21E0D0">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3.7</w:t>
      </w:r>
      <w:r>
        <w:rPr>
          <w:rFonts w:hint="eastAsia" w:asciiTheme="minorEastAsia" w:hAnsiTheme="minorEastAsia" w:eastAsiaTheme="minorEastAsia" w:cstheme="minorEastAsia"/>
          <w:b/>
          <w:bCs/>
          <w:color w:val="auto"/>
          <w:kern w:val="0"/>
          <w:szCs w:val="21"/>
        </w:rPr>
        <w:t>磋商小组根据综合评分情况</w:t>
      </w:r>
      <w:r>
        <w:rPr>
          <w:rFonts w:hint="eastAsia" w:asciiTheme="minorEastAsia" w:hAnsiTheme="minorEastAsia" w:eastAsiaTheme="minorEastAsia" w:cstheme="minorEastAsia"/>
          <w:color w:val="auto"/>
          <w:kern w:val="0"/>
          <w:szCs w:val="21"/>
        </w:rPr>
        <w:t>，按照评审得分由高到低顺序推荐3名成交候选供应商。评审得分相同的，按照最后报价由低到高的顺序推荐。评审得分且最后报价相同的，按照技术指标优劣顺序推荐。</w:t>
      </w:r>
    </w:p>
    <w:p w14:paraId="71F2BB67">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3.8编写评标报告。</w:t>
      </w:r>
      <w:r>
        <w:rPr>
          <w:rFonts w:hint="eastAsia" w:asciiTheme="minorEastAsia" w:hAnsiTheme="minorEastAsia" w:eastAsiaTheme="minorEastAsia" w:cstheme="minorEastAsia"/>
          <w:color w:val="auto"/>
          <w:kern w:val="0"/>
          <w:szCs w:val="21"/>
        </w:rPr>
        <w:t>根据全体磋商小组成员签字的原始评审记录和评审结果编写评审报告，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839E3AF">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四、评审中的其他事项</w:t>
      </w:r>
    </w:p>
    <w:p w14:paraId="2980A00E">
      <w:pPr>
        <w:pStyle w:val="50"/>
        <w:spacing w:before="0"/>
        <w:ind w:firstLine="422"/>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4.1响应澄清、说明或者补正。</w:t>
      </w:r>
      <w:r>
        <w:rPr>
          <w:rFonts w:hint="eastAsia" w:asciiTheme="minorEastAsia" w:hAnsiTheme="minorEastAsia" w:eastAsiaTheme="minorEastAsia" w:cstheme="minorEastAsia"/>
          <w:color w:val="auto"/>
          <w:kern w:val="0"/>
          <w:sz w:val="21"/>
          <w:szCs w:val="21"/>
        </w:rPr>
        <w:t>对于响应文件中含义不明确、同类问题表述不一致或者有明显文字和计算错误的内容需要</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作出必要的澄清、说明或者补正的，磋商小组和</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通过电子交易平台交换数据电文，</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提交使用电子签名的相关数据电文或通过平台上传加盖公章的扫描件。给予</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提交澄清、说明或补正的时间不得少于半小时，</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已经明确表示澄清说明或补正完毕的除外。</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的澄清、说明或者补正不得超出响应文件的范围或者改变响应文件的实质性内容。</w:t>
      </w:r>
    </w:p>
    <w:p w14:paraId="06283D43">
      <w:pPr>
        <w:pStyle w:val="12"/>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4.2响应无效的情形。</w:t>
      </w:r>
    </w:p>
    <w:p w14:paraId="463BC93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4.2.1 没有响应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文件实质性要求的响应将被视为无效响应。</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不得通过修正或撤销不合要求的偏离或保留从而使其磋商响应成为实质上响应的磋商，但经磋商小组认定属于</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疏忽、笔误所造成的差错，可允许其在评标结束之前进行修改或者补正（可以是复印件、传真件等，原件必须加盖单位公章）。修改或者补正响应文件必须以书面形式进行，并应在成交结果公告之前查核原件。限期内不补正或经补正后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文件要求的，应认定其响应无效。</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修改、补正响应文件后，不影响磋商小组对其响应文件所作的评价和评分结果。</w:t>
      </w:r>
    </w:p>
    <w:p w14:paraId="7E8B624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 在电子开评标时，如发现下列情形之一的，将被视为无效响应文件：</w:t>
      </w:r>
    </w:p>
    <w:p w14:paraId="07C7B39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4.2.2.1电子</w:t>
      </w:r>
      <w:r>
        <w:rPr>
          <w:rFonts w:hint="eastAsia" w:asciiTheme="minorEastAsia" w:hAnsiTheme="minorEastAsia" w:eastAsiaTheme="minorEastAsia" w:cstheme="minorEastAsia"/>
          <w:color w:val="auto"/>
          <w:kern w:val="0"/>
          <w:szCs w:val="21"/>
          <w:lang w:eastAsia="zh-CN"/>
        </w:rPr>
        <w:t>磋商响应文件</w:t>
      </w:r>
      <w:r>
        <w:rPr>
          <w:rFonts w:hint="eastAsia" w:asciiTheme="minorEastAsia" w:hAnsiTheme="minorEastAsia" w:eastAsiaTheme="minorEastAsia" w:cstheme="minorEastAsia"/>
          <w:color w:val="auto"/>
          <w:kern w:val="0"/>
          <w:szCs w:val="21"/>
        </w:rPr>
        <w:t>解密失败的；</w:t>
      </w:r>
    </w:p>
    <w:p w14:paraId="07AF413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4.2.2.2响应文件未按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文件要求加密、签字、盖章的；</w:t>
      </w:r>
    </w:p>
    <w:p w14:paraId="10C8709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 在资格审查、符合性审查和商务评审时，如发现下列情形之一的，将被视为无效响应文件：</w:t>
      </w:r>
    </w:p>
    <w:p w14:paraId="7579DF4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4.2.3.1 资格证明文件不全的或者不符合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文件标明的资格要求的；</w:t>
      </w:r>
    </w:p>
    <w:p w14:paraId="25B8D1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4.2.3.2 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文件要求签署、盖章的；</w:t>
      </w:r>
    </w:p>
    <w:p w14:paraId="1A33CCF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4.2.3.3 响应代表人未能出具身份证明或身份证明与法定代表授权委托书不符的。</w:t>
      </w:r>
    </w:p>
    <w:p w14:paraId="113F417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4.2.3.4 响应文件格式不规范、项目不齐全或者内容虚假的；</w:t>
      </w:r>
    </w:p>
    <w:p w14:paraId="7E99DED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4.2.3.5 响应文件的实质性内容未使用中文表述、意思表述不明确、前后矛盾或者使用计量单位不符合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文件要求的（经磋商小组认定并允许其当场更正的笔误除外）；</w:t>
      </w:r>
    </w:p>
    <w:p w14:paraId="6101531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4.2.3.6 响应有效期、交货时间、质保期等商务条款不能满足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w:t>
      </w:r>
    </w:p>
    <w:p w14:paraId="4D1BF0F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4.2.3.7 带“▲”的条款不能满足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文件要求、未实质性响应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文件要求或者响应文件有采购人不能接受的附加条件的；</w:t>
      </w:r>
    </w:p>
    <w:p w14:paraId="2CB0BFB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4.2.3.8 单位负责人为同一人或者存在直接控股、管理关系的不同供应商参加同一合同项下的采购活动的；</w:t>
      </w:r>
    </w:p>
    <w:p w14:paraId="1C1B59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4.2.3.9 为采购项目提供整体设计、规范编制或者项目管理、监理、检测等服务的供应商参加该采购项目的其他采购活动的；</w:t>
      </w:r>
    </w:p>
    <w:p w14:paraId="0416230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4.3.在技术评审时，如发现下列情形之一的，将被视为无效响应文件：</w:t>
      </w:r>
    </w:p>
    <w:p w14:paraId="3D4AB9F8">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4.3.1未提供或未如实提供磋商货物的技术参数，或者响应文件标明的响应或偏离与事实不符或虚假响应的；</w:t>
      </w:r>
    </w:p>
    <w:p w14:paraId="0218A56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4.3.2 明显不符合竞争性磋商文件要求的规格型号、质量标准，或者与竞争性磋商文件中标“▲”的技术指标、主要功能项目发生实质性偏离的；</w:t>
      </w:r>
    </w:p>
    <w:p w14:paraId="002B8DB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4.3.3 允许偏离的技术、性能指标或辅助功能项目发生负偏离达</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项（</w:t>
      </w:r>
      <w:r>
        <w:rPr>
          <w:rFonts w:hint="eastAsia" w:asciiTheme="minorEastAsia" w:hAnsiTheme="minorEastAsia" w:eastAsiaTheme="minorEastAsia" w:cstheme="minorEastAsia"/>
          <w:color w:val="auto"/>
          <w:kern w:val="0"/>
          <w:szCs w:val="21"/>
          <w:lang w:val="en-US" w:eastAsia="zh-CN"/>
        </w:rPr>
        <w:t>不</w:t>
      </w:r>
      <w:r>
        <w:rPr>
          <w:rFonts w:hint="eastAsia" w:asciiTheme="minorEastAsia" w:hAnsiTheme="minorEastAsia" w:eastAsiaTheme="minorEastAsia" w:cstheme="minorEastAsia"/>
          <w:color w:val="auto"/>
          <w:kern w:val="0"/>
          <w:szCs w:val="21"/>
        </w:rPr>
        <w:t>含）以上的；</w:t>
      </w:r>
    </w:p>
    <w:p w14:paraId="3FE6132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4.3.4 技术方案不明确，存在一个或一个以上备选（替代）技术方案的；</w:t>
      </w:r>
    </w:p>
    <w:p w14:paraId="38AF80E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4.3.5 与其他参加本次磋商</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的响应文件（技术文件）的文字表述内容差错相同2处以上的；</w:t>
      </w:r>
    </w:p>
    <w:p w14:paraId="4E5C26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4.3.6 采购人拟采购的产品属于政府强制采购的节能产品品目清单范围的，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未按竞争性磋商文件要求提供国家确定的认证机构出具的、处于有效期之内的节能产品认证证书的。</w:t>
      </w:r>
    </w:p>
    <w:p w14:paraId="12A6A2E0">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 在报价评审时，如发现下列情形之一的，响应文件将被视为无效：</w:t>
      </w:r>
    </w:p>
    <w:p w14:paraId="7AB058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4.4.1 未采用人民币报价或者未按照竞争性磋商文件标明的币种报价的；</w:t>
      </w:r>
    </w:p>
    <w:p w14:paraId="10C73A6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4.4.2 报价超过</w:t>
      </w:r>
      <w:r>
        <w:rPr>
          <w:rFonts w:hint="eastAsia" w:ascii="宋体" w:hAnsi="宋体" w:cs="宋体"/>
          <w:bCs/>
          <w:snapToGrid w:val="0"/>
          <w:color w:val="auto"/>
          <w:szCs w:val="21"/>
        </w:rPr>
        <w:t>最高综合</w:t>
      </w:r>
      <w:r>
        <w:rPr>
          <w:rFonts w:hint="eastAsia" w:ascii="宋体" w:hAnsi="宋体" w:cs="宋体"/>
          <w:bCs/>
          <w:snapToGrid w:val="0"/>
          <w:color w:val="auto"/>
          <w:szCs w:val="21"/>
          <w:lang w:eastAsia="zh-CN"/>
        </w:rPr>
        <w:t>折扣</w:t>
      </w:r>
      <w:r>
        <w:rPr>
          <w:rFonts w:hint="eastAsia" w:ascii="宋体" w:hAnsi="宋体" w:cs="宋体"/>
          <w:bCs/>
          <w:snapToGrid w:val="0"/>
          <w:color w:val="auto"/>
          <w:szCs w:val="21"/>
        </w:rPr>
        <w:t>的</w:t>
      </w:r>
      <w:r>
        <w:rPr>
          <w:rFonts w:hint="eastAsia" w:asciiTheme="minorEastAsia" w:hAnsiTheme="minorEastAsia" w:eastAsiaTheme="minorEastAsia" w:cstheme="minorEastAsia"/>
          <w:color w:val="auto"/>
          <w:kern w:val="0"/>
          <w:szCs w:val="21"/>
        </w:rPr>
        <w:t>；</w:t>
      </w:r>
    </w:p>
    <w:p w14:paraId="1E426EF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4.4.3 磋商报价具有选择性的；</w:t>
      </w:r>
    </w:p>
    <w:p w14:paraId="67CE686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4.4.4 磋商报价中出现缺项、漏项或被磋商小组认定为有可能影响产品质量或者不能诚信履约的且不能在合理的时间内证明其报价合理性的；</w:t>
      </w:r>
    </w:p>
    <w:p w14:paraId="1B397B5D">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4.4.5供应商对根据修正原则修正后的报价不确认的。</w:t>
      </w:r>
    </w:p>
    <w:p w14:paraId="3F4A302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4.5其他无效情形：</w:t>
      </w:r>
    </w:p>
    <w:p w14:paraId="3A9E08D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4.5.1 不同</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的响应文件出自同一终端设备或在相同Internet主机分配地址（相同IP地址）进行网上报名、磋商的；</w:t>
      </w:r>
    </w:p>
    <w:p w14:paraId="5AED23D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4.5.2 法律、法规、规章（适用本市的）及省级以上规范性文件（适用本市的）规定的其他无效情形。</w:t>
      </w:r>
    </w:p>
    <w:p w14:paraId="0CFF5DD8">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szCs w:val="21"/>
        </w:rPr>
        <w:t>5.采购终止的情形。</w:t>
      </w:r>
      <w:r>
        <w:rPr>
          <w:rFonts w:hint="eastAsia" w:asciiTheme="minorEastAsia" w:hAnsiTheme="minorEastAsia" w:eastAsiaTheme="minorEastAsia" w:cstheme="minorEastAsia"/>
          <w:color w:val="auto"/>
          <w:kern w:val="0"/>
          <w:szCs w:val="21"/>
        </w:rPr>
        <w:t>在本项目磋商采购中，出现下列情形之一的，应当终止竞争性磋商采购活动，发布项目终止公告并说明原因，重新开展采购活动：</w:t>
      </w:r>
    </w:p>
    <w:p w14:paraId="090B04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5.1因情况变化，不再符合规定的竞争性磋商采购方式适用情形的；</w:t>
      </w:r>
    </w:p>
    <w:p w14:paraId="55F7CB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5.2出现影响采购公正的违法、违规行为的；</w:t>
      </w:r>
    </w:p>
    <w:p w14:paraId="1D5E270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5.3除《政府采购竞争性磋商采购方式管理暂行办法》第二十一条第三款和《财政部关于政府采购竞争性磋商采购方式管理暂行办法有关问题的补充通知》规定的情形外，在采购过程中符合要求的供应商或者报价未超过采购预算的供应商不足3家的。</w:t>
      </w:r>
    </w:p>
    <w:p w14:paraId="7BB58A6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5.4电子交易平台无法正常运行，无法保证电子交易的公平、公正和安全的情况。</w:t>
      </w:r>
    </w:p>
    <w:p w14:paraId="544B4AFA">
      <w:pPr>
        <w:pStyle w:val="12"/>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6.修改竞争性磋商文件，重新组织采购活动。</w:t>
      </w:r>
      <w:r>
        <w:rPr>
          <w:rFonts w:hint="eastAsia" w:asciiTheme="minorEastAsia" w:hAnsiTheme="minorEastAsia" w:eastAsiaTheme="minorEastAsia" w:cstheme="minorEastAsia"/>
          <w:color w:val="auto"/>
          <w:sz w:val="21"/>
          <w:szCs w:val="21"/>
        </w:rPr>
        <w:t>磋商小组发现竞争性磋商文件存在歧义、重大缺陷导致评标工作无法进行，或者竞争性磋商文件内容违反国家有关强制性规定的，将停止评标工作，并与采购人、采购代理机构沟通并作书面记录。采购人、采购代理机构确认后，将修改竞争性磋商文件，重新组织采购活动。</w:t>
      </w:r>
    </w:p>
    <w:p w14:paraId="30B9777C">
      <w:pPr>
        <w:pStyle w:val="12"/>
        <w:adjustRightInd w:val="0"/>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7.重新开展采购。</w:t>
      </w:r>
      <w:r>
        <w:rPr>
          <w:rFonts w:hint="eastAsia" w:asciiTheme="minorEastAsia" w:hAnsiTheme="minorEastAsia" w:eastAsiaTheme="minorEastAsia" w:cstheme="minorEastAsia"/>
          <w:color w:val="auto"/>
          <w:sz w:val="21"/>
          <w:szCs w:val="21"/>
        </w:rPr>
        <w:t>有政府采购法第七十一条、第七十二条规定的违法行为之一，影响或者可能影响中标、成交结果的，依照下列规定处理：</w:t>
      </w:r>
    </w:p>
    <w:p w14:paraId="3189CC0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7.1未确定成交或者成交人的，终止本次采购活动，重新开展采购活动。</w:t>
      </w:r>
    </w:p>
    <w:p w14:paraId="4552C5A5">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7.2已确定成交或者成交人但尚未签订采购合同的，成交或者成交结果无效，重新开展采购活动。</w:t>
      </w:r>
    </w:p>
    <w:p w14:paraId="5A93F77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7.3采购合同已签订但尚未履行的，撤销合同，重新开展采购活动。</w:t>
      </w:r>
    </w:p>
    <w:p w14:paraId="40D362E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7.4采购合同已经履行，给采购人、供应商造成损失的，由责任人承担赔偿责任。</w:t>
      </w:r>
    </w:p>
    <w:p w14:paraId="5621672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7.5采购当事人有其他违反采购法</w:t>
      </w:r>
      <w:r>
        <w:rPr>
          <w:rFonts w:hint="eastAsia" w:asciiTheme="minorEastAsia" w:hAnsiTheme="minorEastAsia" w:eastAsiaTheme="minorEastAsia" w:cstheme="minorEastAsia"/>
          <w:color w:val="auto"/>
          <w:kern w:val="0"/>
          <w:sz w:val="21"/>
          <w:szCs w:val="21"/>
        </w:rPr>
        <w:t>或者政府采购法实施条例等法律法规规定</w:t>
      </w:r>
      <w:r>
        <w:rPr>
          <w:rFonts w:hint="eastAsia" w:asciiTheme="minorEastAsia" w:hAnsiTheme="minorEastAsia" w:eastAsiaTheme="minorEastAsia" w:cstheme="minorEastAsia"/>
          <w:color w:val="auto"/>
          <w:sz w:val="21"/>
          <w:szCs w:val="21"/>
        </w:rPr>
        <w:t>的行为，经改正后仍然影响或者可能影响中标、成交结果或者依法被认定为中标、成交无效的，依照7.1-7.4规定处理。</w:t>
      </w:r>
    </w:p>
    <w:p w14:paraId="5E3FA8F8">
      <w:pPr>
        <w:spacing w:line="360" w:lineRule="auto"/>
        <w:ind w:firstLine="723"/>
        <w:rPr>
          <w:rFonts w:asciiTheme="minorEastAsia" w:hAnsiTheme="minorEastAsia" w:eastAsiaTheme="minorEastAsia" w:cstheme="minorEastAsia"/>
          <w:b/>
          <w:color w:val="auto"/>
          <w:sz w:val="36"/>
          <w:szCs w:val="36"/>
        </w:rPr>
      </w:pPr>
    </w:p>
    <w:p w14:paraId="2163FD44">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lang w:val="en-US" w:eastAsia="zh-CN"/>
        </w:rPr>
        <w:t xml:space="preserve">第五部分  </w:t>
      </w:r>
      <w:r>
        <w:rPr>
          <w:rFonts w:hint="eastAsia" w:asciiTheme="minorEastAsia" w:hAnsiTheme="minorEastAsia" w:eastAsiaTheme="minorEastAsia" w:cstheme="minorEastAsia"/>
          <w:b/>
          <w:color w:val="auto"/>
          <w:sz w:val="36"/>
          <w:szCs w:val="20"/>
        </w:rPr>
        <w:t>合同文本（工程类）</w:t>
      </w:r>
    </w:p>
    <w:p w14:paraId="0D1A5888">
      <w:pPr>
        <w:pStyle w:val="51"/>
        <w:ind w:left="0" w:leftChars="0" w:firstLine="0" w:firstLineChars="0"/>
        <w:rPr>
          <w:rFonts w:asciiTheme="minorEastAsia" w:hAnsiTheme="minorEastAsia" w:eastAsiaTheme="minorEastAsia" w:cstheme="minorEastAsia"/>
          <w:color w:val="auto"/>
          <w:szCs w:val="24"/>
        </w:rPr>
      </w:pPr>
    </w:p>
    <w:p w14:paraId="1994E1DD">
      <w:pPr>
        <w:pStyle w:val="51"/>
        <w:rPr>
          <w:rFonts w:asciiTheme="minorEastAsia" w:hAnsiTheme="minorEastAsia" w:eastAsiaTheme="minorEastAsia" w:cstheme="minorEastAsia"/>
          <w:color w:val="auto"/>
          <w:szCs w:val="24"/>
        </w:rPr>
      </w:pPr>
    </w:p>
    <w:p w14:paraId="6684C742">
      <w:pPr>
        <w:pStyle w:val="51"/>
        <w:ind w:left="0" w:leftChars="0" w:firstLine="0" w:firstLineChars="0"/>
        <w:rPr>
          <w:rFonts w:asciiTheme="minorEastAsia" w:hAnsiTheme="minorEastAsia" w:eastAsiaTheme="minorEastAsia" w:cstheme="minorEastAsia"/>
          <w:color w:val="auto"/>
          <w:szCs w:val="24"/>
        </w:rPr>
      </w:pPr>
    </w:p>
    <w:p w14:paraId="60F30FE0">
      <w:pPr>
        <w:spacing w:before="120" w:line="360" w:lineRule="auto"/>
        <w:ind w:firstLine="480"/>
        <w:rPr>
          <w:rFonts w:asciiTheme="minorEastAsia" w:hAnsiTheme="minorEastAsia" w:eastAsiaTheme="minorEastAsia" w:cstheme="minorEastAsia"/>
          <w:color w:val="auto"/>
          <w:sz w:val="24"/>
        </w:rPr>
      </w:pPr>
    </w:p>
    <w:p w14:paraId="011BC87A">
      <w:pPr>
        <w:keepNext w:val="0"/>
        <w:keepLines w:val="0"/>
        <w:pageBreakBefore w:val="0"/>
        <w:widowControl/>
        <w:kinsoku/>
        <w:wordWrap/>
        <w:overflowPunct/>
        <w:topLinePunct w:val="0"/>
        <w:autoSpaceDE/>
        <w:autoSpaceDN/>
        <w:bidi w:val="0"/>
        <w:adjustRightInd/>
        <w:snapToGrid/>
        <w:spacing w:before="120" w:line="360" w:lineRule="auto"/>
        <w:ind w:firstLine="480" w:firstLineChars="200"/>
        <w:textAlignment w:val="auto"/>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u w:val="single"/>
          <w:lang w:eastAsia="zh-CN"/>
        </w:rPr>
        <w:t>奉化区莼湖街道奉松路与下横线交叉口东南侧停车场建设工程</w:t>
      </w:r>
    </w:p>
    <w:p w14:paraId="22FC375A">
      <w:pPr>
        <w:pStyle w:val="43"/>
        <w:spacing w:before="120"/>
        <w:ind w:firstLine="480"/>
        <w:rPr>
          <w:rFonts w:asciiTheme="minorEastAsia" w:hAnsiTheme="minorEastAsia" w:eastAsiaTheme="minorEastAsia" w:cstheme="minorEastAsia"/>
          <w:color w:val="auto"/>
          <w:szCs w:val="24"/>
        </w:rPr>
      </w:pPr>
    </w:p>
    <w:p w14:paraId="7ECF5260">
      <w:pPr>
        <w:pStyle w:val="43"/>
        <w:spacing w:before="120"/>
        <w:ind w:firstLine="480"/>
        <w:rPr>
          <w:rFonts w:asciiTheme="minorEastAsia" w:hAnsiTheme="minorEastAsia" w:eastAsiaTheme="minorEastAsia" w:cstheme="minorEastAsia"/>
          <w:color w:val="auto"/>
          <w:szCs w:val="24"/>
        </w:rPr>
      </w:pPr>
    </w:p>
    <w:p w14:paraId="6FB4F735">
      <w:pPr>
        <w:spacing w:line="360" w:lineRule="auto"/>
        <w:ind w:firstLine="480"/>
        <w:rPr>
          <w:rFonts w:asciiTheme="minorEastAsia" w:hAnsiTheme="minorEastAsia" w:eastAsiaTheme="minorEastAsia" w:cstheme="minorEastAsia"/>
          <w:color w:val="auto"/>
          <w:sz w:val="24"/>
        </w:rPr>
      </w:pPr>
    </w:p>
    <w:p w14:paraId="4E56A8C1">
      <w:pPr>
        <w:spacing w:before="120" w:line="600" w:lineRule="auto"/>
        <w:ind w:left="960" w:firstLine="720" w:firstLineChars="300"/>
        <w:rPr>
          <w:rFonts w:hint="default" w:asciiTheme="minorEastAsia" w:hAnsiTheme="minorEastAsia" w:eastAsiaTheme="minorEastAsia" w:cstheme="minorEastAsia"/>
          <w:color w:val="auto"/>
          <w:sz w:val="24"/>
          <w:u w:val="single"/>
          <w:lang w:val="en-US" w:eastAsia="zh-CN"/>
        </w:rPr>
      </w:pPr>
      <w:r>
        <w:rPr>
          <w:rFonts w:hint="eastAsia" w:asciiTheme="minorEastAsia" w:hAnsiTheme="minorEastAsia" w:eastAsiaTheme="minorEastAsia" w:cstheme="minorEastAsia"/>
          <w:color w:val="auto"/>
          <w:sz w:val="24"/>
        </w:rPr>
        <w:t>甲方：</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 xml:space="preserve">    </w:t>
      </w:r>
    </w:p>
    <w:p w14:paraId="7095DEC8">
      <w:pPr>
        <w:spacing w:before="120" w:line="600" w:lineRule="auto"/>
        <w:ind w:left="960" w:firstLine="720" w:firstLineChars="3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乙方：</w:t>
      </w:r>
      <w:r>
        <w:rPr>
          <w:rFonts w:hint="eastAsia" w:asciiTheme="minorEastAsia" w:hAnsiTheme="minorEastAsia" w:eastAsiaTheme="minorEastAsia" w:cstheme="minorEastAsia"/>
          <w:color w:val="auto"/>
          <w:sz w:val="24"/>
          <w:u w:val="single"/>
        </w:rPr>
        <w:t xml:space="preserve">                                       </w:t>
      </w:r>
    </w:p>
    <w:p w14:paraId="053346CD">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签订地：</w:t>
      </w:r>
      <w:r>
        <w:rPr>
          <w:rFonts w:hint="eastAsia" w:asciiTheme="minorEastAsia" w:hAnsiTheme="minorEastAsia" w:eastAsiaTheme="minorEastAsia" w:cstheme="minorEastAsia"/>
          <w:color w:val="auto"/>
          <w:sz w:val="24"/>
          <w:u w:val="single"/>
        </w:rPr>
        <w:t xml:space="preserve">                                     </w:t>
      </w:r>
    </w:p>
    <w:p w14:paraId="63DDCD9A">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14:paraId="728F592D">
      <w:pPr>
        <w:keepNext w:val="0"/>
        <w:keepLines w:val="0"/>
        <w:pageBreakBefore w:val="0"/>
        <w:widowControl/>
        <w:kinsoku/>
        <w:wordWrap/>
        <w:overflowPunct/>
        <w:topLinePunct w:val="0"/>
        <w:autoSpaceDE/>
        <w:autoSpaceDN/>
        <w:bidi w:val="0"/>
        <w:adjustRightInd/>
        <w:snapToGrid/>
        <w:spacing w:line="360" w:lineRule="auto"/>
        <w:ind w:firstLine="482"/>
        <w:jc w:val="center"/>
        <w:textAlignment w:val="auto"/>
        <w:outlineLvl w:val="9"/>
        <w:rPr>
          <w:rFonts w:ascii="宋体" w:hAnsi="宋体" w:cs="宋体"/>
          <w:color w:val="auto"/>
          <w:sz w:val="30"/>
          <w:szCs w:val="30"/>
        </w:rPr>
      </w:pPr>
      <w:r>
        <w:rPr>
          <w:rFonts w:hint="eastAsia" w:asciiTheme="minorEastAsia" w:hAnsiTheme="minorEastAsia" w:eastAsiaTheme="minorEastAsia" w:cstheme="minorEastAsia"/>
          <w:color w:val="auto"/>
          <w:sz w:val="24"/>
          <w:u w:val="single"/>
          <w:lang w:val="zh-CN"/>
        </w:rPr>
        <w:br w:type="page"/>
      </w:r>
      <w:r>
        <w:rPr>
          <w:rFonts w:hint="eastAsia" w:ascii="宋体" w:hAnsi="宋体" w:cs="宋体"/>
          <w:color w:val="auto"/>
          <w:sz w:val="30"/>
          <w:szCs w:val="30"/>
        </w:rPr>
        <w:t>第一部分  协 议 书</w:t>
      </w:r>
    </w:p>
    <w:p w14:paraId="197A981D">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发包人（</w:t>
      </w:r>
      <w:r>
        <w:rPr>
          <w:rFonts w:hint="eastAsia" w:ascii="宋体" w:hAnsi="宋体" w:cs="宋体"/>
          <w:color w:val="auto"/>
          <w:szCs w:val="21"/>
          <w:lang w:eastAsia="zh-CN"/>
        </w:rPr>
        <w:t>发包人</w:t>
      </w:r>
      <w:r>
        <w:rPr>
          <w:rFonts w:hint="eastAsia" w:ascii="宋体" w:hAnsi="宋体" w:cs="宋体"/>
          <w:color w:val="auto"/>
          <w:szCs w:val="21"/>
        </w:rPr>
        <w:t>）：</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u w:val="single"/>
        </w:rPr>
        <w:t xml:space="preserve"> </w:t>
      </w:r>
    </w:p>
    <w:p w14:paraId="71AB1E2B">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承包人（</w:t>
      </w:r>
      <w:r>
        <w:rPr>
          <w:rFonts w:hint="eastAsia" w:ascii="宋体" w:hAnsi="宋体" w:cs="宋体"/>
          <w:color w:val="auto"/>
          <w:szCs w:val="21"/>
          <w:lang w:eastAsia="zh-CN"/>
        </w:rPr>
        <w:t>承包人</w:t>
      </w:r>
      <w:r>
        <w:rPr>
          <w:rFonts w:hint="eastAsia" w:ascii="宋体" w:hAnsi="宋体" w:cs="宋体"/>
          <w:color w:val="auto"/>
          <w:szCs w:val="21"/>
        </w:rPr>
        <w:t>）：</w:t>
      </w:r>
      <w:r>
        <w:rPr>
          <w:rFonts w:hint="eastAsia" w:ascii="宋体" w:hAnsi="宋体" w:cs="宋体"/>
          <w:color w:val="auto"/>
          <w:szCs w:val="21"/>
          <w:u w:val="single"/>
        </w:rPr>
        <w:t xml:space="preserve">                                    </w:t>
      </w:r>
    </w:p>
    <w:p w14:paraId="58596EBF">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依照《中华人民共和国民法典》、《中华人民共和国建筑法》及其他有关法律、行政法规、遵循平等、自愿、公平和诚实信用的原则，发包人和承包人本着平等互利的原则，根据交易须知和成交确认书，按下述条款和条件签署本合同。</w:t>
      </w:r>
    </w:p>
    <w:p w14:paraId="2968A940">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一、工程概况</w:t>
      </w:r>
    </w:p>
    <w:p w14:paraId="6DD24DAC">
      <w:pPr>
        <w:pageBreakBefore w:val="0"/>
        <w:widowControl/>
        <w:kinsoku/>
        <w:wordWrap/>
        <w:overflowPunct/>
        <w:topLinePunct w:val="0"/>
        <w:bidi w:val="0"/>
        <w:spacing w:line="360" w:lineRule="auto"/>
        <w:ind w:left="1529" w:leftChars="228" w:hanging="1050" w:hangingChars="500"/>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工程名称：</w:t>
      </w:r>
      <w:r>
        <w:rPr>
          <w:rFonts w:hint="eastAsia" w:ascii="宋体" w:hAnsi="宋体" w:cs="宋体"/>
          <w:color w:val="auto"/>
          <w:szCs w:val="21"/>
          <w:u w:val="single"/>
          <w:lang w:eastAsia="zh-CN"/>
        </w:rPr>
        <w:t>奉化区莼湖街道奉松路与下横线交叉口东南侧停车场建设工程</w:t>
      </w:r>
    </w:p>
    <w:p w14:paraId="6D2512CA">
      <w:pPr>
        <w:pageBreakBefore w:val="0"/>
        <w:widowControl/>
        <w:kinsoku/>
        <w:wordWrap/>
        <w:overflowPunct/>
        <w:topLinePunct w:val="0"/>
        <w:bidi w:val="0"/>
        <w:spacing w:line="360" w:lineRule="auto"/>
        <w:ind w:left="1529" w:leftChars="228" w:hanging="1050" w:hangingChars="500"/>
        <w:textAlignment w:val="auto"/>
        <w:outlineLvl w:val="9"/>
        <w:rPr>
          <w:rFonts w:ascii="宋体" w:hAnsi="宋体" w:cs="宋体"/>
          <w:color w:val="auto"/>
          <w:szCs w:val="21"/>
          <w:u w:val="single"/>
        </w:rPr>
      </w:pPr>
      <w:r>
        <w:rPr>
          <w:rFonts w:hint="eastAsia" w:ascii="宋体" w:hAnsi="宋体" w:cs="宋体"/>
          <w:color w:val="auto"/>
          <w:szCs w:val="21"/>
        </w:rPr>
        <w:t>工程地点：</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宁波市奉化区</w:t>
      </w:r>
      <w:r>
        <w:rPr>
          <w:rFonts w:hint="eastAsia" w:ascii="宋体" w:hAnsi="宋体" w:cs="宋体"/>
          <w:color w:val="auto"/>
          <w:szCs w:val="21"/>
          <w:u w:val="single"/>
        </w:rPr>
        <w:t xml:space="preserve"> </w:t>
      </w:r>
    </w:p>
    <w:p w14:paraId="2DDF3C9E">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工程内容：</w:t>
      </w:r>
      <w:r>
        <w:rPr>
          <w:rFonts w:hint="eastAsia" w:ascii="宋体" w:hAnsi="宋体" w:cs="宋体"/>
          <w:color w:val="auto"/>
          <w:szCs w:val="21"/>
          <w:u w:val="single"/>
          <w:lang w:val="en-US" w:eastAsia="zh-CN"/>
        </w:rPr>
        <w:t>详见图纸及工程量清单</w:t>
      </w:r>
    </w:p>
    <w:p w14:paraId="6EB4ACA9">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工程立项批准文号：</w:t>
      </w:r>
      <w:r>
        <w:rPr>
          <w:rFonts w:hint="eastAsia" w:ascii="宋体" w:hAnsi="宋体" w:cs="宋体"/>
          <w:color w:val="auto"/>
          <w:szCs w:val="21"/>
          <w:u w:val="single"/>
          <w:lang w:val="en-US" w:eastAsia="zh-CN"/>
        </w:rPr>
        <w:t xml:space="preserve">                   </w:t>
      </w:r>
    </w:p>
    <w:p w14:paraId="1E3A171D">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资金来源：</w:t>
      </w:r>
      <w:r>
        <w:rPr>
          <w:rFonts w:hint="eastAsia" w:ascii="宋体" w:hAnsi="宋体" w:cs="宋体"/>
          <w:color w:val="auto"/>
          <w:szCs w:val="21"/>
          <w:u w:val="single"/>
          <w:lang w:val="en-US" w:eastAsia="zh-CN"/>
        </w:rPr>
        <w:t>自有资金</w:t>
      </w:r>
    </w:p>
    <w:p w14:paraId="03F7CFB8">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二、工程承包范围</w:t>
      </w:r>
    </w:p>
    <w:p w14:paraId="71B0042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u w:val="single"/>
        </w:rPr>
      </w:pPr>
      <w:r>
        <w:rPr>
          <w:rFonts w:hint="eastAsia" w:ascii="宋体" w:hAnsi="宋体" w:cs="宋体"/>
          <w:color w:val="auto"/>
          <w:szCs w:val="21"/>
        </w:rPr>
        <w:t>承包范围</w:t>
      </w:r>
      <w:r>
        <w:rPr>
          <w:rFonts w:hint="eastAsia" w:ascii="宋体" w:hAnsi="宋体" w:cs="宋体"/>
          <w:color w:val="auto"/>
          <w:szCs w:val="21"/>
          <w:u w:val="single"/>
        </w:rPr>
        <w:t>：本工程位于莼湖街道奉松路与下横线交叉口东南侧停车场，该工程用地面积11760平方米，现状为荒地，主要建设内容为将场地平整铺设碎石路面，新建一个435个小型停车位停车场，场地设置2个12米宽出入口（安装道闸），现状围墙全部拆除新建透空围墙，整个场地配套监控、路灯设施等</w:t>
      </w:r>
      <w:r>
        <w:rPr>
          <w:rFonts w:hint="eastAsia" w:ascii="宋体" w:hAnsi="宋体" w:cs="宋体"/>
          <w:color w:val="auto"/>
          <w:szCs w:val="21"/>
          <w:highlight w:val="none"/>
          <w:u w:val="none"/>
        </w:rPr>
        <w:t>。</w:t>
      </w:r>
    </w:p>
    <w:p w14:paraId="0D98904F">
      <w:pPr>
        <w:pStyle w:val="66"/>
        <w:pageBreakBefore w:val="0"/>
        <w:widowControl/>
        <w:kinsoku/>
        <w:wordWrap/>
        <w:overflowPunct/>
        <w:topLinePunct w:val="0"/>
        <w:bidi w:val="0"/>
        <w:spacing w:line="360" w:lineRule="auto"/>
        <w:ind w:firstLine="420" w:firstLineChars="200"/>
        <w:textAlignment w:val="auto"/>
        <w:outlineLvl w:val="9"/>
        <w:rPr>
          <w:rFonts w:cs="宋体"/>
          <w:color w:val="auto"/>
          <w:sz w:val="21"/>
          <w:szCs w:val="21"/>
        </w:rPr>
      </w:pPr>
      <w:r>
        <w:rPr>
          <w:rFonts w:hint="eastAsia" w:cs="宋体"/>
          <w:color w:val="auto"/>
          <w:sz w:val="21"/>
          <w:szCs w:val="21"/>
        </w:rPr>
        <w:t>三、合同工期</w:t>
      </w:r>
    </w:p>
    <w:p w14:paraId="355A717D">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日(具体以监理开工令为准)</w:t>
      </w:r>
    </w:p>
    <w:p w14:paraId="3B2BB507">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合同工期总日历天数：</w:t>
      </w:r>
      <w:r>
        <w:rPr>
          <w:rFonts w:hint="eastAsia" w:ascii="宋体" w:hAnsi="宋体" w:cs="宋体"/>
          <w:color w:val="auto"/>
          <w:szCs w:val="21"/>
          <w:highlight w:val="none"/>
          <w:u w:val="single"/>
          <w:lang w:val="en-US" w:eastAsia="zh-CN"/>
        </w:rPr>
        <w:t>15日历天</w:t>
      </w:r>
      <w:r>
        <w:rPr>
          <w:rFonts w:hint="eastAsia" w:ascii="宋体" w:hAnsi="宋体" w:cs="宋体"/>
          <w:color w:val="auto"/>
          <w:szCs w:val="21"/>
          <w:highlight w:val="none"/>
        </w:rPr>
        <w:t>。</w:t>
      </w:r>
    </w:p>
    <w:p w14:paraId="552789E1">
      <w:pPr>
        <w:pageBreakBefore w:val="0"/>
        <w:widowControl/>
        <w:kinsoku/>
        <w:wordWrap/>
        <w:overflowPunct/>
        <w:topLinePunct w:val="0"/>
        <w:bidi w:val="0"/>
        <w:spacing w:line="360" w:lineRule="auto"/>
        <w:ind w:firstLine="403" w:firstLineChars="192"/>
        <w:textAlignment w:val="auto"/>
        <w:outlineLvl w:val="9"/>
        <w:rPr>
          <w:rFonts w:ascii="宋体" w:hAnsi="宋体" w:cs="宋体"/>
          <w:b/>
          <w:color w:val="auto"/>
          <w:szCs w:val="21"/>
        </w:rPr>
      </w:pPr>
      <w:r>
        <w:rPr>
          <w:rFonts w:hint="eastAsia" w:ascii="宋体" w:hAnsi="宋体" w:cs="宋体"/>
          <w:color w:val="auto"/>
          <w:szCs w:val="21"/>
        </w:rPr>
        <w:t>若实际开工日期由于</w:t>
      </w:r>
      <w:r>
        <w:rPr>
          <w:rFonts w:hint="eastAsia" w:ascii="宋体" w:hAnsi="宋体" w:cs="宋体"/>
          <w:color w:val="auto"/>
          <w:szCs w:val="21"/>
          <w:lang w:eastAsia="zh-CN"/>
        </w:rPr>
        <w:t>发包人</w:t>
      </w:r>
      <w:r>
        <w:rPr>
          <w:rFonts w:hint="eastAsia" w:ascii="宋体" w:hAnsi="宋体" w:cs="宋体"/>
          <w:color w:val="auto"/>
          <w:szCs w:val="21"/>
        </w:rPr>
        <w:t>原因或不可抗力因素造成滞后,则以</w:t>
      </w:r>
      <w:r>
        <w:rPr>
          <w:rFonts w:hint="eastAsia" w:ascii="宋体" w:hAnsi="宋体" w:cs="宋体"/>
          <w:color w:val="auto"/>
          <w:szCs w:val="21"/>
          <w:lang w:eastAsia="zh-CN"/>
        </w:rPr>
        <w:t>发包人</w:t>
      </w:r>
      <w:r>
        <w:rPr>
          <w:rFonts w:hint="eastAsia" w:ascii="宋体" w:hAnsi="宋体" w:cs="宋体"/>
          <w:color w:val="auto"/>
          <w:szCs w:val="21"/>
        </w:rPr>
        <w:t>正式批准的实际开工之日为准。</w:t>
      </w:r>
    </w:p>
    <w:p w14:paraId="7EE0CCEA">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四、质量与安全要求</w:t>
      </w:r>
    </w:p>
    <w:p w14:paraId="366CB802">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1、达到国家和行业施工验收规范一次性验收合格。</w:t>
      </w:r>
    </w:p>
    <w:p w14:paraId="448B19FA">
      <w:pPr>
        <w:pageBreakBefore w:val="0"/>
        <w:widowControl/>
        <w:kinsoku/>
        <w:wordWrap/>
        <w:overflowPunct/>
        <w:topLinePunct w:val="0"/>
        <w:bidi w:val="0"/>
        <w:spacing w:line="360" w:lineRule="auto"/>
        <w:ind w:firstLine="457" w:firstLineChars="218"/>
        <w:textAlignment w:val="auto"/>
        <w:outlineLvl w:val="9"/>
        <w:rPr>
          <w:rFonts w:ascii="宋体" w:hAnsi="宋体" w:cs="宋体"/>
          <w:color w:val="auto"/>
          <w:szCs w:val="21"/>
        </w:rPr>
      </w:pPr>
      <w:r>
        <w:rPr>
          <w:rFonts w:hint="eastAsia" w:ascii="宋体" w:hAnsi="宋体" w:cs="宋体"/>
          <w:color w:val="auto"/>
          <w:szCs w:val="21"/>
        </w:rPr>
        <w:t>2、工程安全要求：合格。</w:t>
      </w:r>
    </w:p>
    <w:p w14:paraId="20F6C450">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五、合同价款</w:t>
      </w:r>
    </w:p>
    <w:p w14:paraId="0AD0001B">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金额（大写）：</w:t>
      </w:r>
      <w:r>
        <w:rPr>
          <w:rFonts w:hint="eastAsia" w:ascii="宋体" w:hAnsi="宋体" w:cs="宋体"/>
          <w:color w:val="auto"/>
          <w:szCs w:val="21"/>
          <w:u w:val="single"/>
        </w:rPr>
        <w:t xml:space="preserve">                   </w:t>
      </w:r>
      <w:r>
        <w:rPr>
          <w:rFonts w:hint="eastAsia" w:ascii="宋体" w:hAnsi="宋体" w:cs="宋体"/>
          <w:color w:val="auto"/>
          <w:szCs w:val="21"/>
        </w:rPr>
        <w:t>元整 ，</w:t>
      </w:r>
      <w:r>
        <w:rPr>
          <w:rFonts w:hint="eastAsia" w:ascii="宋体" w:hAnsi="宋体" w:cs="宋体"/>
          <w:color w:val="auto"/>
          <w:spacing w:val="14"/>
          <w:szCs w:val="21"/>
        </w:rPr>
        <w:t>￥:</w:t>
      </w:r>
      <w:r>
        <w:rPr>
          <w:rFonts w:hint="eastAsia" w:ascii="宋体" w:hAnsi="宋体" w:cs="宋体"/>
          <w:color w:val="auto"/>
          <w:szCs w:val="21"/>
          <w:u w:val="single"/>
        </w:rPr>
        <w:t xml:space="preserve">            </w:t>
      </w:r>
      <w:r>
        <w:rPr>
          <w:rFonts w:hint="eastAsia" w:ascii="宋体" w:hAnsi="宋体" w:cs="宋体"/>
          <w:color w:val="auto"/>
          <w:szCs w:val="21"/>
        </w:rPr>
        <w:t>元。综合</w:t>
      </w:r>
      <w:r>
        <w:rPr>
          <w:rFonts w:hint="eastAsia" w:ascii="宋体" w:hAnsi="宋体" w:cs="宋体"/>
          <w:color w:val="auto"/>
          <w:szCs w:val="21"/>
          <w:lang w:eastAsia="zh-CN"/>
        </w:rPr>
        <w:t>折扣</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0ECE4659">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u w:val="single"/>
        </w:rPr>
      </w:pPr>
      <w:r>
        <w:rPr>
          <w:rFonts w:hint="eastAsia" w:ascii="宋体" w:hAnsi="宋体" w:cs="宋体"/>
          <w:color w:val="auto"/>
          <w:szCs w:val="21"/>
        </w:rPr>
        <w:t>合同价格类型：</w:t>
      </w:r>
      <w:r>
        <w:rPr>
          <w:rFonts w:hint="eastAsia" w:ascii="宋体" w:hAnsi="宋体" w:cs="宋体"/>
          <w:color w:val="auto"/>
          <w:szCs w:val="21"/>
          <w:u w:val="single"/>
        </w:rPr>
        <w:t>单价合同</w:t>
      </w:r>
      <w:r>
        <w:rPr>
          <w:rFonts w:hint="eastAsia" w:ascii="宋体" w:hAnsi="宋体" w:cs="宋体"/>
          <w:color w:val="auto"/>
          <w:szCs w:val="21"/>
          <w:u w:val="single"/>
          <w:lang w:eastAsia="zh-CN"/>
        </w:rPr>
        <w:t>，</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p w14:paraId="07624A46">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六、组成合同的文件</w:t>
      </w:r>
    </w:p>
    <w:p w14:paraId="34BB320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组成本合同的文件包括：</w:t>
      </w:r>
    </w:p>
    <w:p w14:paraId="08617DA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1、本协议书</w:t>
      </w:r>
    </w:p>
    <w:p w14:paraId="79047B3A">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2、成交确认书</w:t>
      </w:r>
    </w:p>
    <w:p w14:paraId="3C229F6B">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3、本合同专用条款及其附件</w:t>
      </w:r>
    </w:p>
    <w:p w14:paraId="04B8E95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4、交易公告及其附件</w:t>
      </w:r>
    </w:p>
    <w:p w14:paraId="7354B0A9">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5、本合同通用条款</w:t>
      </w:r>
    </w:p>
    <w:p w14:paraId="7DB07D7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6、标准、规范及有关技术文件</w:t>
      </w:r>
    </w:p>
    <w:p w14:paraId="123F6747">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7、图纸</w:t>
      </w:r>
    </w:p>
    <w:p w14:paraId="6AE9B801">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8、工程量清单或预算书</w:t>
      </w:r>
    </w:p>
    <w:p w14:paraId="03C750DB">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双方有关工程的洽商、变更等书面协议或文件视为本合同的组成部分。</w:t>
      </w:r>
    </w:p>
    <w:p w14:paraId="2561E53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七</w:t>
      </w:r>
      <w:r>
        <w:rPr>
          <w:rFonts w:hint="eastAsia" w:ascii="宋体" w:hAnsi="宋体" w:cs="宋体"/>
          <w:b/>
          <w:color w:val="auto"/>
          <w:szCs w:val="21"/>
        </w:rPr>
        <w:t>、</w:t>
      </w:r>
      <w:r>
        <w:rPr>
          <w:rFonts w:hint="eastAsia" w:ascii="宋体" w:hAnsi="宋体" w:cs="宋体"/>
          <w:color w:val="auto"/>
          <w:szCs w:val="21"/>
        </w:rPr>
        <w:t>本协议书中有关词语含义与本合同第二部分《通用条款》中分别赋予它们的定义相同。</w:t>
      </w:r>
    </w:p>
    <w:p w14:paraId="37173E73">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八、承包人向发包人承诺按照合同约定进行施工、竣工并在质量保修期内承担工程质量保修责任。</w:t>
      </w:r>
    </w:p>
    <w:p w14:paraId="363724C9">
      <w:pPr>
        <w:pageBreakBefore w:val="0"/>
        <w:widowControl/>
        <w:kinsoku/>
        <w:wordWrap/>
        <w:overflowPunct/>
        <w:topLinePunct w:val="0"/>
        <w:bidi w:val="0"/>
        <w:spacing w:line="440" w:lineRule="exact"/>
        <w:ind w:firstLine="420" w:firstLineChars="200"/>
        <w:textAlignment w:val="auto"/>
        <w:outlineLvl w:val="9"/>
        <w:rPr>
          <w:rFonts w:ascii="宋体" w:hAnsi="宋体" w:cs="宋体"/>
          <w:b/>
          <w:color w:val="auto"/>
          <w:szCs w:val="21"/>
        </w:rPr>
      </w:pPr>
      <w:r>
        <w:rPr>
          <w:rFonts w:hint="eastAsia" w:ascii="宋体" w:hAnsi="宋体" w:cs="宋体"/>
          <w:color w:val="auto"/>
          <w:szCs w:val="21"/>
        </w:rPr>
        <w:t>九、发包人向承包人承诺按照合同约定的期限和方式支付合同价款及其他应当支付的款项。</w:t>
      </w:r>
    </w:p>
    <w:p w14:paraId="3D550B75">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十、合同生效</w:t>
      </w:r>
    </w:p>
    <w:p w14:paraId="591158B9">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合同订立时间：</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67F643C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合同订立地点：宁波市奉化区 </w:t>
      </w:r>
    </w:p>
    <w:p w14:paraId="08E1F29D">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本合同双方约定</w:t>
      </w:r>
      <w:r>
        <w:rPr>
          <w:rFonts w:hint="eastAsia" w:ascii="宋体" w:hAnsi="宋体" w:cs="宋体"/>
          <w:color w:val="auto"/>
          <w:szCs w:val="21"/>
          <w:u w:val="single"/>
        </w:rPr>
        <w:t>加盖双方单位印章并经法定代表人或其委托代理人签字，并按约定提供履约担保</w:t>
      </w:r>
      <w:r>
        <w:rPr>
          <w:rFonts w:hint="eastAsia" w:ascii="宋体" w:hAnsi="宋体" w:cs="宋体"/>
          <w:color w:val="auto"/>
          <w:szCs w:val="21"/>
        </w:rPr>
        <w:t>后生效。</w:t>
      </w:r>
    </w:p>
    <w:p w14:paraId="3590B7D4">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十一、合同份数</w:t>
      </w:r>
    </w:p>
    <w:p w14:paraId="11F5EF08">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olor w:val="auto"/>
          <w:szCs w:val="21"/>
        </w:rPr>
        <w:t>本合同一式陆份，发包方贰份，承包方肆份。</w:t>
      </w:r>
    </w:p>
    <w:p w14:paraId="6B218A5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p>
    <w:p w14:paraId="087A581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承包人(公章)：</w:t>
      </w:r>
      <w:r>
        <w:rPr>
          <w:rFonts w:hint="eastAsia" w:ascii="宋体" w:hAnsi="宋体" w:cs="宋体"/>
          <w:color w:val="auto"/>
          <w:kern w:val="0"/>
          <w:szCs w:val="21"/>
        </w:rPr>
        <w:t xml:space="preserve">              </w:t>
      </w:r>
    </w:p>
    <w:p w14:paraId="7BA83CF3">
      <w:pPr>
        <w:pageBreakBefore w:val="0"/>
        <w:widowControl/>
        <w:kinsoku/>
        <w:wordWrap/>
        <w:overflowPunct/>
        <w:topLinePunct w:val="0"/>
        <w:autoSpaceDE w:val="0"/>
        <w:autoSpaceDN w:val="0"/>
        <w:bidi w:val="0"/>
        <w:adjustRightInd w:val="0"/>
        <w:spacing w:line="380" w:lineRule="exact"/>
        <w:ind w:firstLine="1470" w:firstLineChars="700"/>
        <w:textAlignment w:val="auto"/>
        <w:outlineLvl w:val="9"/>
        <w:rPr>
          <w:rFonts w:ascii="宋体" w:hAnsi="宋体" w:cs="宋体"/>
          <w:color w:val="auto"/>
          <w:kern w:val="0"/>
          <w:szCs w:val="21"/>
          <w:lang w:val="zh-CN"/>
        </w:rPr>
      </w:pPr>
    </w:p>
    <w:p w14:paraId="32308AB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地址：          </w:t>
      </w:r>
    </w:p>
    <w:p w14:paraId="39BE0E4E">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58A4DF2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p>
    <w:p w14:paraId="69B4041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委托代理人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委托代理人</w:t>
      </w:r>
      <w:r>
        <w:rPr>
          <w:rFonts w:hint="eastAsia" w:ascii="宋体" w:hAnsi="宋体" w:cs="宋体"/>
          <w:color w:val="auto"/>
          <w:kern w:val="0"/>
          <w:szCs w:val="21"/>
        </w:rPr>
        <w:t>：</w:t>
      </w:r>
    </w:p>
    <w:p w14:paraId="61153C23">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电话：</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电话：</w:t>
      </w:r>
      <w:r>
        <w:rPr>
          <w:rFonts w:hint="eastAsia" w:ascii="宋体" w:hAnsi="宋体" w:cs="宋体"/>
          <w:color w:val="auto"/>
          <w:kern w:val="0"/>
          <w:szCs w:val="21"/>
        </w:rPr>
        <w:t xml:space="preserve"> </w:t>
      </w:r>
    </w:p>
    <w:p w14:paraId="35EE9B69">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rFonts w:ascii="宋体" w:hAnsi="宋体" w:cs="宋体"/>
          <w:color w:val="auto"/>
          <w:kern w:val="0"/>
          <w:szCs w:val="21"/>
        </w:rPr>
      </w:pPr>
      <w:r>
        <w:rPr>
          <w:rFonts w:hint="eastAsia" w:ascii="宋体" w:hAnsi="宋体" w:cs="宋体"/>
          <w:color w:val="auto"/>
          <w:kern w:val="0"/>
          <w:szCs w:val="21"/>
          <w:lang w:val="zh-CN"/>
        </w:rPr>
        <w:t>开户银行：</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开户银行：</w:t>
      </w:r>
      <w:r>
        <w:rPr>
          <w:rFonts w:hint="eastAsia" w:ascii="宋体" w:hAnsi="宋体" w:cs="宋体"/>
          <w:color w:val="auto"/>
          <w:kern w:val="0"/>
          <w:szCs w:val="21"/>
        </w:rPr>
        <w:t xml:space="preserve">    </w:t>
      </w:r>
    </w:p>
    <w:p w14:paraId="184F34F7">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color w:val="auto"/>
          <w:szCs w:val="21"/>
        </w:rPr>
      </w:pPr>
      <w:r>
        <w:rPr>
          <w:rFonts w:hint="eastAsia" w:ascii="宋体" w:hAnsi="宋体" w:cs="宋体"/>
          <w:color w:val="auto"/>
          <w:kern w:val="0"/>
          <w:szCs w:val="21"/>
          <w:lang w:val="zh-CN"/>
        </w:rPr>
        <w:t>账号：</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 xml:space="preserve">账号： </w:t>
      </w:r>
      <w:r>
        <w:rPr>
          <w:rFonts w:hint="eastAsia" w:ascii="宋体" w:hAnsi="宋体" w:cs="宋体"/>
          <w:color w:val="auto"/>
          <w:kern w:val="0"/>
          <w:szCs w:val="21"/>
        </w:rPr>
        <w:t xml:space="preserve">           </w:t>
      </w:r>
    </w:p>
    <w:p w14:paraId="6672ECF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7A4EB64C">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37AAF76">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583E30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8332089">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8BC72B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9BD6101">
      <w:pPr>
        <w:pageBreakBefore w:val="0"/>
        <w:widowControl/>
        <w:kinsoku/>
        <w:wordWrap/>
        <w:overflowPunct/>
        <w:topLinePunct w:val="0"/>
        <w:bidi w:val="0"/>
        <w:textAlignment w:val="auto"/>
        <w:outlineLvl w:val="9"/>
        <w:rPr>
          <w:rFonts w:hint="eastAsia" w:ascii="宋体" w:hAnsi="宋体" w:cs="宋体"/>
          <w:b/>
          <w:bCs/>
          <w:color w:val="auto"/>
          <w:szCs w:val="21"/>
        </w:rPr>
      </w:pPr>
      <w:r>
        <w:rPr>
          <w:rFonts w:hint="eastAsia" w:ascii="宋体" w:hAnsi="宋体" w:cs="宋体"/>
          <w:b/>
          <w:bCs/>
          <w:color w:val="auto"/>
          <w:szCs w:val="21"/>
        </w:rPr>
        <w:br w:type="page"/>
      </w:r>
    </w:p>
    <w:p w14:paraId="4559DBFA">
      <w:pPr>
        <w:pageBreakBefore w:val="0"/>
        <w:widowControl/>
        <w:kinsoku/>
        <w:wordWrap/>
        <w:overflowPunct/>
        <w:topLinePunct w:val="0"/>
        <w:bidi w:val="0"/>
        <w:spacing w:line="360" w:lineRule="auto"/>
        <w:ind w:firstLine="422"/>
        <w:jc w:val="center"/>
        <w:textAlignment w:val="auto"/>
        <w:outlineLvl w:val="9"/>
        <w:rPr>
          <w:rFonts w:ascii="宋体" w:hAnsi="宋体" w:cs="宋体"/>
          <w:b/>
          <w:color w:val="auto"/>
          <w:szCs w:val="21"/>
        </w:rPr>
      </w:pPr>
      <w:r>
        <w:rPr>
          <w:rFonts w:hint="eastAsia" w:ascii="宋体" w:hAnsi="宋体" w:cs="宋体"/>
          <w:b/>
          <w:bCs/>
          <w:color w:val="auto"/>
          <w:szCs w:val="21"/>
        </w:rPr>
        <w:t>第二部分</w:t>
      </w:r>
      <w:r>
        <w:rPr>
          <w:rFonts w:hint="eastAsia" w:ascii="宋体" w:hAnsi="宋体" w:cs="宋体"/>
          <w:b/>
          <w:color w:val="auto"/>
          <w:szCs w:val="21"/>
        </w:rPr>
        <w:t xml:space="preserve"> 通用合同条款</w:t>
      </w:r>
    </w:p>
    <w:p w14:paraId="7A76BC6D">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r>
        <w:rPr>
          <w:rFonts w:hint="eastAsia" w:ascii="宋体" w:hAnsi="宋体"/>
          <w:color w:val="auto"/>
          <w:kern w:val="0"/>
          <w:szCs w:val="21"/>
        </w:rPr>
        <w:t>通用合同条款直接引用建市[2017]214号“住房城乡建设部、工商总局关于印发建设工程施工合同（示范文本）的通知”附件《建设工程施工合同（示范文本）（GF-2017-0201）第二部分“通用合同条款”内容。</w:t>
      </w:r>
    </w:p>
    <w:p w14:paraId="1288BBF5">
      <w:pPr>
        <w:pageBreakBefore w:val="0"/>
        <w:widowControl/>
        <w:kinsoku/>
        <w:wordWrap/>
        <w:overflowPunct/>
        <w:topLinePunct w:val="0"/>
        <w:bidi w:val="0"/>
        <w:spacing w:before="120" w:line="360" w:lineRule="auto"/>
        <w:ind w:firstLine="422"/>
        <w:jc w:val="center"/>
        <w:textAlignment w:val="auto"/>
        <w:outlineLvl w:val="9"/>
        <w:rPr>
          <w:rFonts w:ascii="宋体" w:hAnsi="宋体" w:cs="宋体"/>
          <w:color w:val="auto"/>
          <w:sz w:val="21"/>
          <w:szCs w:val="21"/>
        </w:rPr>
      </w:pPr>
      <w:bookmarkStart w:id="395" w:name="_Toc364853223"/>
      <w:r>
        <w:rPr>
          <w:rFonts w:hint="eastAsia" w:ascii="宋体" w:hAnsi="宋体" w:cs="宋体"/>
          <w:color w:val="auto"/>
          <w:sz w:val="21"/>
          <w:szCs w:val="21"/>
        </w:rPr>
        <w:t>第三部分 专用合同条款</w:t>
      </w:r>
      <w:bookmarkEnd w:id="395"/>
    </w:p>
    <w:p w14:paraId="73D2126C">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bookmarkStart w:id="396" w:name="_Toc364853224"/>
      <w:r>
        <w:rPr>
          <w:rFonts w:hint="eastAsia" w:ascii="宋体" w:hAnsi="宋体"/>
          <w:color w:val="auto"/>
          <w:kern w:val="0"/>
          <w:szCs w:val="21"/>
        </w:rPr>
        <w:t>以下主要专用合同条款根据建市[2017]214号“住房城乡建设部、工商总局关于印发建设工程施工合同（示范文本）的通知”附件《建设工程施工合同（示范文本）（GF-2017-0201）第三部分“专用合同条款”的格式与内容确定，除</w:t>
      </w:r>
      <w:r>
        <w:rPr>
          <w:rFonts w:hint="eastAsia" w:ascii="宋体" w:hAnsi="宋体"/>
          <w:color w:val="auto"/>
          <w:kern w:val="0"/>
          <w:szCs w:val="21"/>
          <w:lang w:val="en-US" w:eastAsia="zh-CN"/>
        </w:rPr>
        <w:t>发包人</w:t>
      </w:r>
      <w:r>
        <w:rPr>
          <w:rFonts w:hint="eastAsia" w:ascii="宋体" w:hAnsi="宋体"/>
          <w:color w:val="auto"/>
          <w:kern w:val="0"/>
          <w:szCs w:val="21"/>
        </w:rPr>
        <w:t>和</w:t>
      </w:r>
      <w:r>
        <w:rPr>
          <w:rFonts w:hint="eastAsia" w:ascii="宋体" w:hAnsi="宋体"/>
          <w:color w:val="auto"/>
          <w:kern w:val="0"/>
          <w:szCs w:val="21"/>
          <w:lang w:val="en-US" w:eastAsia="zh-CN"/>
        </w:rPr>
        <w:t>承包</w:t>
      </w:r>
      <w:r>
        <w:rPr>
          <w:rFonts w:hint="eastAsia" w:ascii="宋体" w:hAnsi="宋体"/>
          <w:color w:val="auto"/>
          <w:kern w:val="0"/>
          <w:szCs w:val="21"/>
        </w:rPr>
        <w:t>人在合同谈判期间有补充约定外，本合同的专用合同条款按以下条款执行。</w:t>
      </w:r>
    </w:p>
    <w:p w14:paraId="625746A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 一般约定</w:t>
      </w:r>
      <w:bookmarkEnd w:id="396"/>
    </w:p>
    <w:p w14:paraId="282F40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 xml:space="preserve">1.3 法律 </w:t>
      </w:r>
    </w:p>
    <w:p w14:paraId="1A22E4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适用于合同的其他规范性文件：浙江省、宁波市有关工程建设的法规、规章及规范性文件。</w:t>
      </w:r>
    </w:p>
    <w:p w14:paraId="7DA3C28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 标准和规范</w:t>
      </w:r>
    </w:p>
    <w:p w14:paraId="51D1632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1.4.1适用于工程的标准规范包括：浙江省、宁波市工程建设相关的施工及验收规范和标准</w:t>
      </w:r>
      <w:r>
        <w:rPr>
          <w:rFonts w:hint="eastAsia" w:ascii="宋体" w:hAnsi="宋体" w:cs="宋体"/>
          <w:color w:val="auto"/>
          <w:szCs w:val="21"/>
          <w:lang w:eastAsia="zh-CN"/>
        </w:rPr>
        <w:t>，在合同签署生效后，如果上述标准规范及文件作了修改或颁布实施新的规范标准，则承包人应遵守上述修改后或颁布的规范标准</w:t>
      </w:r>
      <w:r>
        <w:rPr>
          <w:rFonts w:hint="eastAsia" w:ascii="宋体" w:hAnsi="宋体" w:cs="宋体"/>
          <w:color w:val="auto"/>
          <w:szCs w:val="21"/>
        </w:rPr>
        <w:t>。</w:t>
      </w:r>
    </w:p>
    <w:p w14:paraId="561A4A2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 合同文件的优先顺序</w:t>
      </w:r>
    </w:p>
    <w:p w14:paraId="33EDF3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合同文件的优先解释顺序执行通用条款。</w:t>
      </w:r>
    </w:p>
    <w:p w14:paraId="4753D96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 图纸和承包人文件</w:t>
      </w:r>
      <w:r>
        <w:rPr>
          <w:rFonts w:hint="eastAsia" w:hAnsi="宋体" w:cs="宋体"/>
          <w:color w:val="auto"/>
          <w:sz w:val="21"/>
          <w:szCs w:val="21"/>
        </w:rPr>
        <w:tab/>
      </w:r>
    </w:p>
    <w:p w14:paraId="452A04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1.6.1图纸的提供</w:t>
      </w:r>
    </w:p>
    <w:p w14:paraId="1D84922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lang w:val="en-US" w:eastAsia="zh-CN"/>
        </w:rPr>
        <w:t>项目开工前7天内</w:t>
      </w:r>
      <w:r>
        <w:rPr>
          <w:rFonts w:hint="eastAsia" w:ascii="宋体" w:hAnsi="宋体" w:cs="宋体"/>
          <w:color w:val="auto"/>
          <w:szCs w:val="21"/>
        </w:rPr>
        <w:t>；</w:t>
      </w:r>
    </w:p>
    <w:p w14:paraId="197208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发包人向承包人提供图纸的数量：一式五套；</w:t>
      </w:r>
    </w:p>
    <w:p w14:paraId="0BF10F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发包人向承包人提供图纸的内容：工程承包范围内的各专业工程。</w:t>
      </w:r>
    </w:p>
    <w:p w14:paraId="0C59532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1.6.4 承包人文件</w:t>
      </w:r>
    </w:p>
    <w:p w14:paraId="3DAFA6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需要由承包人提供的文件，包括：施工组织设计、工程进度计划、专项施工方案、加工图、大样图、协调配合图等；</w:t>
      </w:r>
    </w:p>
    <w:p w14:paraId="3CD8A90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承包人提供的文件的期限为：施工组织设计、工程进度计划在工程开工前7天，其他文件在相应专项工程或部位施工前7天；</w:t>
      </w:r>
    </w:p>
    <w:p w14:paraId="76EFE45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承包人提供的文件的数量为：一式五套；</w:t>
      </w:r>
    </w:p>
    <w:p w14:paraId="0EE99F1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1.6.5 现场图纸准备</w:t>
      </w:r>
    </w:p>
    <w:p w14:paraId="6D0FBA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关于现场图纸准备的约定：承包人在施工现场保存至少一套完整的图纸和承包人文件。</w:t>
      </w:r>
    </w:p>
    <w:p w14:paraId="258D4FA6">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1.7联络</w:t>
      </w:r>
    </w:p>
    <w:p w14:paraId="3AE2DD2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1.7.1发包人和承包人应当在通用条款规定的时间内将与合同有关的通知、批准、证明、证书、指示、指令、要求、请求、同意、意见、确定和决定等书面函件送达对方当事人。</w:t>
      </w:r>
    </w:p>
    <w:p w14:paraId="72000E3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1.7.2发包人接收文件的地点：</w:t>
      </w:r>
      <w:r>
        <w:rPr>
          <w:rFonts w:hint="eastAsia" w:ascii="宋体" w:hAnsi="宋体" w:cs="宋体"/>
          <w:color w:val="auto"/>
          <w:szCs w:val="21"/>
          <w:u w:val="single"/>
        </w:rPr>
        <w:t>发包人驻项目办公所在地</w:t>
      </w:r>
      <w:r>
        <w:rPr>
          <w:rFonts w:hint="eastAsia" w:ascii="宋体" w:hAnsi="宋体" w:cs="宋体"/>
          <w:color w:val="auto"/>
          <w:szCs w:val="21"/>
        </w:rPr>
        <w:t>；</w:t>
      </w:r>
    </w:p>
    <w:p w14:paraId="38C945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发包人指定的接收人为：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70FD82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3DC0BC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667A5EF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66A34CD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17C0F13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1.10 交通运输</w:t>
      </w:r>
    </w:p>
    <w:p w14:paraId="6B24E8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1.10.1 出入现场的权利：执行通用条款。</w:t>
      </w:r>
    </w:p>
    <w:p w14:paraId="5FEE4CE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1.10.3 关于场外交通和场内交通边界的约定：</w:t>
      </w:r>
      <w:r>
        <w:rPr>
          <w:rFonts w:hint="eastAsia" w:ascii="宋体" w:hAnsi="宋体" w:cs="宋体"/>
          <w:color w:val="auto"/>
          <w:szCs w:val="21"/>
          <w:u w:val="single"/>
        </w:rPr>
        <w:t xml:space="preserve">   无   </w:t>
      </w:r>
      <w:r>
        <w:rPr>
          <w:rFonts w:hint="eastAsia" w:ascii="宋体" w:hAnsi="宋体" w:cs="宋体"/>
          <w:color w:val="auto"/>
          <w:szCs w:val="21"/>
        </w:rPr>
        <w:t>。</w:t>
      </w:r>
    </w:p>
    <w:p w14:paraId="38B2D06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1.10.4 超大件和超重件的运输</w:t>
      </w:r>
    </w:p>
    <w:p w14:paraId="6602771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 xml:space="preserve">承担。 </w:t>
      </w:r>
    </w:p>
    <w:p w14:paraId="3888728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 知识产权</w:t>
      </w:r>
    </w:p>
    <w:p w14:paraId="4A112AD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关于本合同的知识产权、使用及使用费用约定：执行通用条款。</w:t>
      </w:r>
    </w:p>
    <w:p w14:paraId="62C26F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1.13工程量清单错误的修正</w:t>
      </w:r>
    </w:p>
    <w:p w14:paraId="7D2F9B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397" w:name="_Toc364853225"/>
      <w:r>
        <w:rPr>
          <w:rFonts w:hint="eastAsia" w:ascii="宋体" w:hAnsi="宋体" w:cs="宋体"/>
          <w:color w:val="auto"/>
          <w:szCs w:val="21"/>
        </w:rPr>
        <w:t>允许对下列工程量清单的错误进行调整：（1）工程量清单存在缺项、漏项；（2）任一招标工程量清单项目的工程量有偏差；（3）未按照国家现行计量规范强制性规定计量。</w:t>
      </w:r>
    </w:p>
    <w:p w14:paraId="5457D53E">
      <w:pPr>
        <w:pageBreakBefore w:val="0"/>
        <w:widowControl/>
        <w:kinsoku/>
        <w:wordWrap/>
        <w:overflowPunct/>
        <w:topLinePunct w:val="0"/>
        <w:bidi w:val="0"/>
        <w:spacing w:line="240" w:lineRule="auto"/>
        <w:ind w:firstLine="422"/>
        <w:textAlignment w:val="auto"/>
        <w:outlineLvl w:val="9"/>
        <w:rPr>
          <w:rFonts w:ascii="宋体" w:hAnsi="宋体" w:cs="宋体"/>
          <w:color w:val="auto"/>
          <w:sz w:val="21"/>
          <w:szCs w:val="21"/>
        </w:rPr>
      </w:pPr>
      <w:r>
        <w:rPr>
          <w:rFonts w:hint="eastAsia" w:ascii="宋体" w:hAnsi="宋体" w:cs="宋体"/>
          <w:color w:val="auto"/>
          <w:sz w:val="21"/>
          <w:szCs w:val="21"/>
        </w:rPr>
        <w:t>2. 发包人</w:t>
      </w:r>
      <w:bookmarkEnd w:id="397"/>
    </w:p>
    <w:p w14:paraId="1E15D9E6">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2.2 发包人代表</w:t>
      </w:r>
    </w:p>
    <w:p w14:paraId="63E556B3">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发包人代表姓名：</w:t>
      </w:r>
      <w:r>
        <w:rPr>
          <w:rFonts w:hint="eastAsia" w:ascii="宋体" w:hAnsi="宋体" w:eastAsia="宋体" w:cs="宋体"/>
          <w:color w:val="auto"/>
          <w:sz w:val="21"/>
          <w:szCs w:val="21"/>
          <w:u w:val="single"/>
        </w:rPr>
        <w:t xml:space="preserve">                     </w:t>
      </w:r>
    </w:p>
    <w:p w14:paraId="02B146D8">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身份证号码：</w:t>
      </w:r>
      <w:r>
        <w:rPr>
          <w:rFonts w:hint="eastAsia" w:ascii="宋体" w:hAnsi="宋体" w:eastAsia="宋体" w:cs="宋体"/>
          <w:color w:val="auto"/>
          <w:sz w:val="21"/>
          <w:szCs w:val="21"/>
          <w:u w:val="single"/>
        </w:rPr>
        <w:t xml:space="preserve">                          </w:t>
      </w:r>
    </w:p>
    <w:p w14:paraId="00789602">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xml:space="preserve">：                            </w:t>
      </w:r>
    </w:p>
    <w:p w14:paraId="1FAE14DF">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发包人对发包人代表的授权范围如下：代表发包人履行发包人对工程建设管理的权利和义务，签发（或会签）各项工程联系单，对承包人、监理人有监督、协调的权利。工程价款洽商、索赔事项的处理、合同的变更等事项，由发包人代表在监理人的配合下完成，但最终需经发包人同意。</w:t>
      </w:r>
    </w:p>
    <w:p w14:paraId="609978AC">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2.5 资金来源证明及支付担保</w:t>
      </w:r>
    </w:p>
    <w:p w14:paraId="647A8D03">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bookmarkStart w:id="398" w:name="_Toc364853226"/>
      <w:r>
        <w:rPr>
          <w:rFonts w:hint="eastAsia" w:ascii="宋体" w:hAnsi="宋体" w:eastAsia="宋体" w:cs="宋体"/>
          <w:color w:val="auto"/>
          <w:szCs w:val="21"/>
        </w:rPr>
        <w:t>按《宁波市房屋建筑和市政基础设施工程担保管理办法（试行）》规定，发包人</w:t>
      </w:r>
      <w:r>
        <w:rPr>
          <w:rFonts w:hint="eastAsia" w:ascii="宋体" w:hAnsi="宋体" w:eastAsia="宋体" w:cs="宋体"/>
          <w:color w:val="auto"/>
          <w:kern w:val="0"/>
          <w:szCs w:val="21"/>
          <w:u w:val="single"/>
        </w:rPr>
        <w:t xml:space="preserve">不需 </w:t>
      </w:r>
      <w:r>
        <w:rPr>
          <w:rFonts w:hint="eastAsia" w:ascii="宋体" w:hAnsi="宋体" w:eastAsia="宋体" w:cs="宋体"/>
          <w:color w:val="auto"/>
          <w:szCs w:val="21"/>
        </w:rPr>
        <w:t>向承包人提供合同款的支付担保。</w:t>
      </w:r>
    </w:p>
    <w:p w14:paraId="4563F0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3. 承包人</w:t>
      </w:r>
      <w:bookmarkEnd w:id="398"/>
    </w:p>
    <w:p w14:paraId="76DD0B9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3.1 承包人的一般义务</w:t>
      </w:r>
    </w:p>
    <w:p w14:paraId="0925D557">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kern w:val="0"/>
          <w:szCs w:val="21"/>
        </w:rPr>
        <w:t>（9）</w:t>
      </w:r>
      <w:r>
        <w:rPr>
          <w:rFonts w:hint="eastAsia" w:ascii="宋体" w:hAnsi="宋体" w:cs="宋体"/>
          <w:color w:val="auto"/>
          <w:szCs w:val="21"/>
        </w:rPr>
        <w:t>承包人应在具备竣工验收合格条件后2个月内按宁波市奉化区城建档案归档要求向发包人提交竣工资料，至少包括纸质及电子资料各</w:t>
      </w:r>
      <w:r>
        <w:rPr>
          <w:rFonts w:hint="eastAsia" w:ascii="宋体" w:hAnsi="宋体" w:cs="宋体"/>
          <w:color w:val="auto"/>
          <w:szCs w:val="21"/>
          <w:lang w:val="en-US" w:eastAsia="zh-CN"/>
        </w:rPr>
        <w:t>5</w:t>
      </w:r>
      <w:r>
        <w:rPr>
          <w:rFonts w:hint="eastAsia" w:ascii="宋体" w:hAnsi="宋体" w:cs="宋体"/>
          <w:color w:val="auto"/>
          <w:szCs w:val="21"/>
        </w:rPr>
        <w:t>套，为此产生的费用由承包人承担。</w:t>
      </w:r>
    </w:p>
    <w:p w14:paraId="1ADFFAAF">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（10）承包人应履行的其他义务：严格执行建筑节能相关法律法规，在施工过程中资源，杜绝浪费。</w:t>
      </w:r>
    </w:p>
    <w:p w14:paraId="3499A1B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（11）自行解决因采取施工措施须借用的红线外临时用地。承包人在退还周边配套项目</w:t>
      </w:r>
      <w:r>
        <w:rPr>
          <w:rFonts w:hint="eastAsia" w:ascii="宋体" w:hAnsi="宋体" w:cs="宋体"/>
          <w:color w:val="auto"/>
          <w:szCs w:val="21"/>
          <w:lang w:val="en-US" w:eastAsia="zh-CN"/>
        </w:rPr>
        <w:t>使</w:t>
      </w:r>
      <w:r>
        <w:rPr>
          <w:rFonts w:hint="eastAsia" w:ascii="宋体" w:hAnsi="宋体" w:cs="宋体"/>
          <w:color w:val="auto"/>
          <w:szCs w:val="21"/>
        </w:rPr>
        <w:t>用过的临时用地前应恢复该临时用地原有的使用功能，如因承包人撤离前未按要求进行恢复或未达到使用标准，将由发包人委托第三方对其进行恢复,所产生的费用将从应付给承包人的任何款项中扣除。</w:t>
      </w:r>
    </w:p>
    <w:p w14:paraId="4A5380F0">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lang w:eastAsia="zh-CN"/>
        </w:rPr>
      </w:pPr>
      <w:r>
        <w:rPr>
          <w:rFonts w:hint="eastAsia" w:ascii="宋体" w:hAnsi="宋体" w:cs="宋体"/>
          <w:color w:val="auto"/>
          <w:szCs w:val="21"/>
        </w:rPr>
        <w:t>（12）承包人在实际开工前向监理人提供有关人员的上岗证及有关设备的年检合格证</w:t>
      </w:r>
      <w:r>
        <w:rPr>
          <w:rFonts w:hint="eastAsia" w:ascii="宋体" w:hAnsi="宋体" w:cs="宋体"/>
          <w:color w:val="auto"/>
          <w:szCs w:val="21"/>
          <w:lang w:eastAsia="zh-CN"/>
        </w:rPr>
        <w:t>。</w:t>
      </w:r>
    </w:p>
    <w:p w14:paraId="047E2FE2">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（13）承包人应根据工程实际情况配备供电设备，费用已包含在合同价</w:t>
      </w:r>
      <w:r>
        <w:rPr>
          <w:rFonts w:hint="eastAsia" w:ascii="宋体" w:hAnsi="宋体" w:cs="宋体"/>
          <w:color w:val="auto"/>
          <w:szCs w:val="21"/>
          <w:lang w:val="en-US" w:eastAsia="zh-CN"/>
        </w:rPr>
        <w:t>款</w:t>
      </w:r>
      <w:r>
        <w:rPr>
          <w:rFonts w:hint="eastAsia" w:ascii="宋体" w:hAnsi="宋体" w:cs="宋体"/>
          <w:color w:val="auto"/>
          <w:szCs w:val="21"/>
        </w:rPr>
        <w:t>中，不得因停电影响施工。水、电装表由承包人负责，费用已包含在合同价</w:t>
      </w:r>
      <w:r>
        <w:rPr>
          <w:rFonts w:hint="eastAsia" w:ascii="宋体" w:hAnsi="宋体" w:cs="宋体"/>
          <w:color w:val="auto"/>
          <w:szCs w:val="21"/>
          <w:lang w:val="en-US" w:eastAsia="zh-CN"/>
        </w:rPr>
        <w:t>款</w:t>
      </w:r>
      <w:r>
        <w:rPr>
          <w:rFonts w:hint="eastAsia" w:ascii="宋体" w:hAnsi="宋体" w:cs="宋体"/>
          <w:color w:val="auto"/>
          <w:szCs w:val="21"/>
        </w:rPr>
        <w:t>中，电讯设备由承包人自行解决，费用由承包人自理，施工期间的用水、用电的日常管理与费用由承包人自行负责。前述用水、用电发生的设备采购及安装费、相应材料费、材料设备折旧费等费用由承包人自理，发包人不另行支付，设备材料的产权归承包人，使用过程中的保管、安全等费用由承包人自行负责，与发包人无涉。承包人应充分考虑工程进度，注意维护相关设备，不得因停水、停电影响施工。</w:t>
      </w:r>
    </w:p>
    <w:p w14:paraId="078F184A">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（14）承包人应协调并处理好与工程所在地地方政府、附近有关单位、附近居民的关系，做好与周边和谐共建工作。</w:t>
      </w:r>
    </w:p>
    <w:p w14:paraId="734A2C7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（15）涉及周边地块开发，应妥善处理好与相应主管部门的关系，事先与相关主管部门协调，妥善处理因工程交叉、衔接规划等因素所引起的干扰问题</w:t>
      </w:r>
    </w:p>
    <w:p w14:paraId="222502E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6</w:t>
      </w:r>
      <w:r>
        <w:rPr>
          <w:rFonts w:hint="eastAsia" w:ascii="宋体" w:hAnsi="宋体" w:cs="宋体"/>
          <w:color w:val="auto"/>
          <w:szCs w:val="21"/>
        </w:rPr>
        <w:t>）在施工过程中与公安、市政、环保、排污排水、交通、治安、绿化、卫生、工程所在地相关部门方面的关系由承包人自己处理并承担相应的费用。</w:t>
      </w:r>
    </w:p>
    <w:p w14:paraId="58CBB520">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7</w:t>
      </w:r>
      <w:r>
        <w:rPr>
          <w:rFonts w:hint="eastAsia" w:ascii="宋体" w:hAnsi="宋体" w:cs="宋体"/>
          <w:color w:val="auto"/>
          <w:szCs w:val="21"/>
        </w:rPr>
        <w:t>）承包人须无条件配合发包人和上级部门对本项目的各项检查落实工作。</w:t>
      </w:r>
    </w:p>
    <w:p w14:paraId="49E240A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8</w:t>
      </w:r>
      <w:r>
        <w:rPr>
          <w:rFonts w:hint="eastAsia" w:ascii="宋体" w:hAnsi="宋体" w:cs="宋体"/>
          <w:color w:val="auto"/>
          <w:szCs w:val="21"/>
        </w:rPr>
        <w:t>）承包人在竣工验收前现场应达到以下要求：多余材料、半成品、自有设备撤离现场、所有临时设施全部拆除，并清理完毕，费用由承包人自理。</w:t>
      </w:r>
    </w:p>
    <w:p w14:paraId="3C6D638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（19）承包人提供的办公和生活房屋及设施应满足发包人、项目管理和监理人有关人员的工作需要，费用包含在合同价款中（包括办公用设施、电话、网络资源及空调，由承包人负责实施）。</w:t>
      </w:r>
    </w:p>
    <w:p w14:paraId="2B29445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（20）保证施工现场清洁符合环境卫生管理的有关规定。</w:t>
      </w:r>
    </w:p>
    <w:p w14:paraId="468AD6ED">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3.2 项目经理</w:t>
      </w:r>
    </w:p>
    <w:p w14:paraId="5716B37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项目经理姓名：</w:t>
      </w:r>
      <w:r>
        <w:rPr>
          <w:rFonts w:hint="eastAsia" w:hAnsi="宋体" w:cs="宋体"/>
          <w:color w:val="auto"/>
          <w:sz w:val="21"/>
          <w:szCs w:val="21"/>
          <w:u w:val="single"/>
        </w:rPr>
        <w:t xml:space="preserve">                      </w:t>
      </w:r>
    </w:p>
    <w:p w14:paraId="7C4D66E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77C98E5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554223AC">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安全员姓名：</w:t>
      </w:r>
      <w:r>
        <w:rPr>
          <w:rFonts w:hint="eastAsia" w:hAnsi="宋体" w:cs="宋体"/>
          <w:color w:val="auto"/>
          <w:sz w:val="21"/>
          <w:szCs w:val="21"/>
          <w:u w:val="single"/>
        </w:rPr>
        <w:t xml:space="preserve">                      </w:t>
      </w:r>
    </w:p>
    <w:p w14:paraId="6F58787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36573CC1">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3115D0D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3.2.1承包人委派的项目</w:t>
      </w:r>
      <w:r>
        <w:rPr>
          <w:rFonts w:hint="eastAsia" w:ascii="宋体" w:hAnsi="宋体" w:cs="宋体"/>
          <w:color w:val="auto"/>
          <w:szCs w:val="21"/>
        </w:rPr>
        <w:t>经理</w:t>
      </w:r>
      <w:r>
        <w:rPr>
          <w:rFonts w:hint="eastAsia" w:ascii="宋体" w:hAnsi="宋体" w:cs="宋体"/>
          <w:color w:val="auto"/>
          <w:kern w:val="0"/>
          <w:szCs w:val="21"/>
        </w:rPr>
        <w:t>及其执业行为应遵守通用条款约定，违反约定的，按本专用条款约定，承担违约责任。</w:t>
      </w:r>
    </w:p>
    <w:p w14:paraId="667D444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项目经理必须与承包人所承诺的人员一致，并在根据本合同约定的开工日期前到任。项目经理不得违反本市建设行政主管部门对项目经理的管理规定。未经发包人书面许可，承包人不得更换项目经理。承包人项目经理以及项目管理机构关键岗位人员的姓名、职称、身份证号、执业资格证书号、注册证书号、执业印章号、安全生产考核合格证书号等资料应当在合同协议书中载明。</w:t>
      </w:r>
    </w:p>
    <w:p w14:paraId="34AE4C0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（2）承包人对项目经理的授权范围如下：在承</w:t>
      </w:r>
      <w:r>
        <w:rPr>
          <w:rFonts w:hint="eastAsia" w:ascii="宋体" w:hAnsi="宋体" w:cs="宋体"/>
          <w:color w:val="auto"/>
          <w:kern w:val="0"/>
          <w:szCs w:val="21"/>
        </w:rPr>
        <w:t>包人授权范围内履行承包人的职权，对工程建设的质量、安全、工期以及工程造价控制负责，所有上报给发包人的文件均需项目经理签字。</w:t>
      </w:r>
    </w:p>
    <w:p w14:paraId="72BFB6C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（3）承包人未提交劳动合同，以及没有为项目经理缴纳社会保险证明的违约责任：发包人有权解除合同，由此造成的费用增加和工期延误损失均由承包人承担。</w:t>
      </w:r>
    </w:p>
    <w:p w14:paraId="7FC29ED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（4）关于项目经理每月在施工现场的时间要求：每月在施工现场时间不得少于</w:t>
      </w:r>
      <w:r>
        <w:rPr>
          <w:rFonts w:hint="eastAsia" w:ascii="宋体" w:hAnsi="宋体" w:cs="宋体"/>
          <w:color w:val="auto"/>
          <w:kern w:val="0"/>
          <w:szCs w:val="21"/>
          <w:highlight w:val="none"/>
          <w:u w:val="single"/>
        </w:rPr>
        <w:t xml:space="preserve"> 25</w:t>
      </w:r>
      <w:r>
        <w:rPr>
          <w:rFonts w:hint="eastAsia" w:ascii="宋体" w:hAnsi="宋体" w:cs="宋体"/>
          <w:color w:val="auto"/>
          <w:kern w:val="0"/>
          <w:szCs w:val="21"/>
          <w:highlight w:val="none"/>
        </w:rPr>
        <w:t>天，每天工作时间不得少于</w:t>
      </w:r>
      <w:r>
        <w:rPr>
          <w:rFonts w:hint="eastAsia" w:ascii="宋体" w:hAnsi="宋体" w:cs="宋体"/>
          <w:color w:val="auto"/>
          <w:kern w:val="0"/>
          <w:szCs w:val="21"/>
          <w:highlight w:val="none"/>
          <w:u w:val="single"/>
        </w:rPr>
        <w:t xml:space="preserve"> 8 </w:t>
      </w:r>
      <w:r>
        <w:rPr>
          <w:rFonts w:hint="eastAsia" w:ascii="宋体" w:hAnsi="宋体" w:cs="宋体"/>
          <w:color w:val="auto"/>
          <w:kern w:val="0"/>
          <w:szCs w:val="21"/>
          <w:highlight w:val="none"/>
        </w:rPr>
        <w:t>小时，且重要工程例会及验收环节等必须由项目经理参加</w:t>
      </w:r>
      <w:r>
        <w:rPr>
          <w:rFonts w:hint="eastAsia" w:ascii="宋体" w:hAnsi="宋体" w:cs="宋体"/>
          <w:color w:val="auto"/>
          <w:kern w:val="0"/>
          <w:szCs w:val="21"/>
          <w:highlight w:val="none"/>
          <w:lang w:eastAsia="zh-CN"/>
        </w:rPr>
        <w:t>，否则发包人有权按缺勤处理。每少一天处违约金</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1</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元。重要会议未参加的，按</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5</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元/次进行处罚。</w:t>
      </w:r>
    </w:p>
    <w:p w14:paraId="21A3A9F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lang w:eastAsia="zh-CN"/>
        </w:rPr>
        <w:t>违约金从“未履行项目经理及主要施工管理人员到场承诺限额”中扣除，该项限额不足时，发包人有权向承包人追偿。</w:t>
      </w:r>
    </w:p>
    <w:p w14:paraId="1128C04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（5）项目经理未经批准，擅自离开施工现场的违约责任：处违约金</w:t>
      </w:r>
      <w:r>
        <w:rPr>
          <w:rFonts w:hint="eastAsia" w:ascii="宋体" w:hAnsi="宋体" w:cs="宋体"/>
          <w:color w:val="auto"/>
          <w:kern w:val="0"/>
          <w:szCs w:val="21"/>
          <w:u w:val="single"/>
        </w:rPr>
        <w:t>1000</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w:t>
      </w:r>
    </w:p>
    <w:p w14:paraId="6DF08F7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发包人对项目经理擅自离开施工现场的违约处理，应根据监理人对项目经理的考勤结果进行。</w:t>
      </w:r>
    </w:p>
    <w:p w14:paraId="6BB2085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3.2.3 承包人擅自更换项目经理的违约责任：处违约金</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2</w:t>
      </w:r>
      <w:r>
        <w:rPr>
          <w:rFonts w:hint="eastAsia" w:ascii="宋体" w:hAnsi="宋体" w:cs="宋体"/>
          <w:color w:val="auto"/>
          <w:kern w:val="0"/>
          <w:szCs w:val="21"/>
          <w:u w:val="single"/>
        </w:rPr>
        <w:t xml:space="preserve">0000 </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元/次，违约金从前附表中承诺的“未履行项目经理及主要施工管理人员到场承诺违约金限额”中扣除，该项限额不足时，发包人有权向承包人追偿，且有权拒绝接受其擅自更换的项目经理。</w:t>
      </w:r>
    </w:p>
    <w:p w14:paraId="73AD3AD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3.2.4 承包人无正当理由拒绝更换项目经理的违约责任：发包人认为项目经理无法履行职责的，应提供相关证明材料，并签发《整改通知书》，承包人在收到《整改通知书》后仍无改善的，发包人有权要求承包人更换项目经理。承包人无正当理由拒绝更换的，发包人可以一次性扣除承包人前附表中承诺的“未履行项目经理及主要施工管理人员到场承诺违约金限额”。情节严重的，发包人有权解除合同，由此造成的一切损失由承包人承担。</w:t>
      </w:r>
    </w:p>
    <w:p w14:paraId="7488047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3.3 承包人人员</w:t>
      </w:r>
    </w:p>
    <w:p w14:paraId="6713AE0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3.3.1 承包人应接到开工通知后7天内提交与</w:t>
      </w:r>
      <w:r>
        <w:rPr>
          <w:rFonts w:hint="eastAsia" w:ascii="宋体" w:hAnsi="宋体" w:cs="宋体"/>
          <w:color w:val="auto"/>
          <w:szCs w:val="21"/>
          <w:lang w:val="en-US" w:eastAsia="zh-CN"/>
        </w:rPr>
        <w:t>磋商</w:t>
      </w:r>
      <w:r>
        <w:rPr>
          <w:rFonts w:hint="eastAsia" w:ascii="宋体" w:hAnsi="宋体" w:cs="宋体"/>
          <w:color w:val="auto"/>
          <w:szCs w:val="21"/>
        </w:rPr>
        <w:t>时所承诺的人员一致的</w:t>
      </w:r>
      <w:r>
        <w:rPr>
          <w:rFonts w:hint="eastAsia" w:ascii="宋体" w:hAnsi="宋体" w:cs="宋体"/>
          <w:color w:val="auto"/>
          <w:kern w:val="0"/>
          <w:szCs w:val="21"/>
        </w:rPr>
        <w:t>项目管理机构及施工现场管理人员安排报告。</w:t>
      </w:r>
    </w:p>
    <w:p w14:paraId="0BC67A9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3.3.3 承包人无正当理由拒绝撤换主要施工管理人员的违约责任：发包人认为主要施工管理人员（指技术负责人、安全员、施工员、质量员）无法履行职责的，应提供相关证明材料，并签发《整改通知书》。承包人在收到《整改通知书》后仍无改善的，发包人有权要求承包人更换管理人员。承包人无正当理由拒绝更换的，发包人可以一次性扣除承包人前附表中承诺中的“未履行项目经理及主要施工管理人员到场承诺违约金限额”。</w:t>
      </w:r>
    </w:p>
    <w:p w14:paraId="19FA8AE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3.3.4 承包人主要施工管理人员离开施工现场的批准要求：安全员、施工员每月在施工管理现场不得少于25天，其他主要施工管理人员每月在施工管理现场不得少于15天，有特殊情况少于上述时间的，批准要求按通用条款执行。</w:t>
      </w:r>
    </w:p>
    <w:p w14:paraId="66F8788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3.3.5 承包人擅自更换主要施工管理人员的违约责任：处违约金5000元/人/次，违约金从前附表中承诺的“未履行项目经理及主要施工管理人员到场承诺违约金限额”中扣除，该项限额不足时，发包人有权向承包人追偿，且有权拒绝接受其擅自更换的主要施工管理人员。</w:t>
      </w:r>
    </w:p>
    <w:p w14:paraId="1912394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承包人主要施工管理人员擅自离开施工现场的违约责任：处违约金</w:t>
      </w:r>
      <w:r>
        <w:rPr>
          <w:rFonts w:hint="eastAsia" w:ascii="宋体" w:hAnsi="宋体" w:cs="宋体"/>
          <w:color w:val="auto"/>
          <w:kern w:val="0"/>
          <w:szCs w:val="21"/>
          <w:lang w:val="en-US" w:eastAsia="zh-CN"/>
        </w:rPr>
        <w:t>1</w:t>
      </w:r>
      <w:r>
        <w:rPr>
          <w:rFonts w:hint="eastAsia" w:ascii="宋体" w:hAnsi="宋体" w:cs="宋体"/>
          <w:color w:val="auto"/>
          <w:kern w:val="0"/>
          <w:szCs w:val="21"/>
        </w:rPr>
        <w:t>000元/人/次，违约金从前附表中承诺的“未履行项目经理及主要施工管理人员到场承诺违约金限额”中扣除，该项限额不足时，发包人有权向承包人追偿。</w:t>
      </w:r>
    </w:p>
    <w:p w14:paraId="79AFCC7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3.5 分包</w:t>
      </w:r>
    </w:p>
    <w:p w14:paraId="02144F11">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bCs/>
          <w:color w:val="auto"/>
          <w:kern w:val="0"/>
          <w:sz w:val="21"/>
          <w:szCs w:val="21"/>
        </w:rPr>
      </w:pPr>
      <w:r>
        <w:rPr>
          <w:rFonts w:hint="eastAsia" w:hAnsi="宋体" w:cs="宋体"/>
          <w:b w:val="0"/>
          <w:bCs/>
          <w:color w:val="auto"/>
          <w:kern w:val="0"/>
          <w:sz w:val="21"/>
          <w:szCs w:val="21"/>
        </w:rPr>
        <w:t>不允许。</w:t>
      </w:r>
    </w:p>
    <w:p w14:paraId="0D092E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3.6 工程照管与成品、半成品保护</w:t>
      </w:r>
    </w:p>
    <w:p w14:paraId="061E49F6">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工程照管与成品、半成品保护有关约定：执行通用条款。</w:t>
      </w:r>
    </w:p>
    <w:p w14:paraId="6801ED6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399" w:name="_Toc364853227"/>
      <w:r>
        <w:rPr>
          <w:rFonts w:hint="eastAsia" w:hAnsi="宋体" w:cs="宋体"/>
          <w:color w:val="auto"/>
          <w:sz w:val="21"/>
          <w:szCs w:val="21"/>
        </w:rPr>
        <w:t>3.7 履约担保</w:t>
      </w:r>
    </w:p>
    <w:p w14:paraId="779E0663">
      <w:pPr>
        <w:pStyle w:val="67"/>
        <w:pageBreakBefore w:val="0"/>
        <w:widowControl/>
        <w:kinsoku/>
        <w:wordWrap/>
        <w:overflowPunct/>
        <w:topLinePunct w:val="0"/>
        <w:bidi w:val="0"/>
        <w:spacing w:before="120" w:line="450" w:lineRule="exact"/>
        <w:ind w:left="105" w:hanging="105" w:hangingChars="50"/>
        <w:textAlignment w:val="auto"/>
        <w:outlineLvl w:val="9"/>
        <w:rPr>
          <w:rFonts w:hAnsi="宋体" w:cs="宋体"/>
          <w:b w:val="0"/>
          <w:color w:val="auto"/>
          <w:kern w:val="0"/>
          <w:sz w:val="21"/>
          <w:szCs w:val="21"/>
        </w:rPr>
      </w:pPr>
      <w:r>
        <w:rPr>
          <w:rFonts w:hint="eastAsia" w:hAnsi="宋体" w:cs="宋体"/>
          <w:b w:val="0"/>
          <w:color w:val="auto"/>
          <w:kern w:val="0"/>
          <w:sz w:val="21"/>
          <w:szCs w:val="21"/>
        </w:rPr>
        <w:t>（1）承包人提供的履约担保形式为</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 xml:space="preserve">（ A、履约保函；/  B、履约保证金电汇、/  C、银行支票、/ D、银行保函、/  E、保险公司担保）。                </w:t>
      </w:r>
    </w:p>
    <w:p w14:paraId="08F9D922">
      <w:pPr>
        <w:pStyle w:val="67"/>
        <w:pageBreakBefore w:val="0"/>
        <w:widowControl/>
        <w:kinsoku/>
        <w:wordWrap/>
        <w:overflowPunct/>
        <w:topLinePunct w:val="0"/>
        <w:bidi w:val="0"/>
        <w:spacing w:before="120" w:line="450" w:lineRule="exact"/>
        <w:ind w:left="554" w:leftChars="114" w:hanging="315" w:hangingChars="150"/>
        <w:textAlignment w:val="auto"/>
        <w:outlineLvl w:val="9"/>
        <w:rPr>
          <w:rFonts w:hAnsi="宋体" w:cs="宋体"/>
          <w:b w:val="0"/>
          <w:color w:val="auto"/>
          <w:kern w:val="0"/>
          <w:sz w:val="21"/>
          <w:szCs w:val="21"/>
        </w:rPr>
      </w:pPr>
      <w:r>
        <w:rPr>
          <w:rFonts w:hint="eastAsia" w:hAnsi="宋体" w:cs="宋体"/>
          <w:b w:val="0"/>
          <w:color w:val="auto"/>
          <w:kern w:val="0"/>
          <w:sz w:val="21"/>
          <w:szCs w:val="21"/>
        </w:rPr>
        <w:t>①提供履约保证金的，承包人在签订合同的同时向发包人提交合同价款的</w:t>
      </w:r>
      <w:r>
        <w:rPr>
          <w:rFonts w:hint="eastAsia" w:hAnsi="宋体" w:cs="宋体"/>
          <w:b w:val="0"/>
          <w:color w:val="auto"/>
          <w:kern w:val="0"/>
          <w:sz w:val="21"/>
          <w:szCs w:val="21"/>
          <w:lang w:val="en-US" w:eastAsia="zh-CN"/>
        </w:rPr>
        <w:t>1</w:t>
      </w:r>
      <w:r>
        <w:rPr>
          <w:rFonts w:hint="eastAsia" w:hAnsi="宋体" w:cs="宋体"/>
          <w:b w:val="0"/>
          <w:color w:val="auto"/>
          <w:kern w:val="0"/>
          <w:sz w:val="21"/>
          <w:szCs w:val="21"/>
        </w:rPr>
        <w:t>%（即</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元）的履约保证金；</w:t>
      </w:r>
    </w:p>
    <w:p w14:paraId="40FD327F">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（2）履约担保期限自合同生效之日起至发包人签认并由监理人向承包人出具工程接收证书之日止。</w:t>
      </w:r>
    </w:p>
    <w:p w14:paraId="2A149243">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3）承包人与履约担保有关的任何利息或其它类似的费用或者收益由承包人承担；因承包人原因或其他承包人应承担责任的事由导致工期延长的，继续提供履约担保所增加的费用由承包人承担；非承包人原因导致工期延长的，继续提供履约担保所增加的费用由发包人承担。</w:t>
      </w:r>
    </w:p>
    <w:p w14:paraId="63A4F47E">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（4）</w:t>
      </w:r>
      <w:r>
        <w:rPr>
          <w:rFonts w:hint="eastAsia" w:hAnsi="宋体" w:cs="宋体"/>
          <w:b w:val="0"/>
          <w:color w:val="auto"/>
          <w:kern w:val="0"/>
          <w:sz w:val="21"/>
          <w:szCs w:val="21"/>
          <w:lang w:val="en-US" w:eastAsia="zh-CN"/>
        </w:rPr>
        <w:t>履约保证金形式的</w:t>
      </w:r>
      <w:r>
        <w:rPr>
          <w:rFonts w:hint="eastAsia" w:hAnsi="宋体" w:cs="宋体"/>
          <w:b w:val="0"/>
          <w:color w:val="auto"/>
          <w:kern w:val="0"/>
          <w:sz w:val="21"/>
          <w:szCs w:val="21"/>
        </w:rPr>
        <w:t>履约担保在工程竣工验收合格后28天内予以退还。</w:t>
      </w:r>
    </w:p>
    <w:p w14:paraId="4A90908B">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4. 监理人</w:t>
      </w:r>
      <w:bookmarkEnd w:id="399"/>
    </w:p>
    <w:p w14:paraId="3DE21076">
      <w:pPr>
        <w:pageBreakBefore w:val="0"/>
        <w:widowControl/>
        <w:kinsoku/>
        <w:wordWrap/>
        <w:overflowPunct/>
        <w:topLinePunct w:val="0"/>
        <w:bidi w:val="0"/>
        <w:snapToGrid w:val="0"/>
        <w:spacing w:line="450" w:lineRule="exact"/>
        <w:ind w:firstLine="422"/>
        <w:textAlignment w:val="auto"/>
        <w:outlineLvl w:val="9"/>
        <w:rPr>
          <w:rFonts w:hAnsi="宋体" w:cs="宋体"/>
          <w:color w:val="auto"/>
          <w:sz w:val="21"/>
          <w:szCs w:val="21"/>
        </w:rPr>
      </w:pPr>
      <w:r>
        <w:rPr>
          <w:rFonts w:hint="eastAsia" w:ascii="宋体" w:hAnsi="宋体" w:eastAsia="宋体" w:cs="宋体"/>
          <w:b/>
          <w:color w:val="auto"/>
          <w:szCs w:val="21"/>
        </w:rPr>
        <w:t>4.1监理人的一</w:t>
      </w:r>
      <w:r>
        <w:rPr>
          <w:rFonts w:hint="eastAsia" w:hAnsi="宋体" w:cs="宋体"/>
          <w:color w:val="auto"/>
          <w:sz w:val="21"/>
          <w:szCs w:val="21"/>
        </w:rPr>
        <w:t>般规定</w:t>
      </w:r>
    </w:p>
    <w:p w14:paraId="10C849FD">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关于监理人的监理内容：工程建设监理合同授予监理人的权利。</w:t>
      </w:r>
    </w:p>
    <w:p w14:paraId="4B83D0E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 xml:space="preserve">关于监理人的监理权限：涉及费用、工期、图纸更改等工程变更指令和付款、暂停工程施工指令的下达权需取得发包人书面批准方可执行。 </w:t>
      </w:r>
    </w:p>
    <w:p w14:paraId="44C1EFB5">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关于监理人在施工现场的办公场所、生活场所的提供和费用承担的约定：执行通用条款。</w:t>
      </w:r>
    </w:p>
    <w:p w14:paraId="44ECEA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4.4 商定或确定</w:t>
      </w:r>
    </w:p>
    <w:p w14:paraId="68623B9F">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0" w:name="_Toc364853228"/>
      <w:r>
        <w:rPr>
          <w:rFonts w:hint="eastAsia" w:ascii="宋体" w:hAnsi="宋体" w:cs="宋体"/>
          <w:color w:val="auto"/>
          <w:kern w:val="0"/>
          <w:szCs w:val="21"/>
        </w:rPr>
        <w:t>当合同当事人对需要商定或确定的事项不能达成一致时，总监理工程师应按照合同约定作出公正确定，应在合同当事人会商之日起 7 天内提供书面确定意见。</w:t>
      </w:r>
    </w:p>
    <w:p w14:paraId="0F8E1C43">
      <w:pPr>
        <w:pageBreakBefore w:val="0"/>
        <w:widowControl/>
        <w:kinsoku/>
        <w:wordWrap/>
        <w:overflowPunct/>
        <w:topLinePunct w:val="0"/>
        <w:bidi w:val="0"/>
        <w:spacing w:line="450" w:lineRule="exact"/>
        <w:ind w:firstLine="314" w:firstLineChars="149"/>
        <w:textAlignment w:val="auto"/>
        <w:outlineLvl w:val="9"/>
        <w:rPr>
          <w:rFonts w:ascii="宋体" w:hAnsi="宋体" w:cs="宋体"/>
          <w:b/>
          <w:color w:val="auto"/>
          <w:kern w:val="0"/>
          <w:szCs w:val="21"/>
        </w:rPr>
      </w:pPr>
      <w:r>
        <w:rPr>
          <w:rFonts w:hint="eastAsia" w:ascii="宋体" w:hAnsi="宋体" w:cs="宋体"/>
          <w:b/>
          <w:color w:val="auto"/>
          <w:szCs w:val="21"/>
        </w:rPr>
        <w:t>5. 工程质量</w:t>
      </w:r>
      <w:bookmarkEnd w:id="400"/>
    </w:p>
    <w:p w14:paraId="1D652AE8">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 质量要求:</w:t>
      </w:r>
      <w:r>
        <w:rPr>
          <w:rFonts w:hint="eastAsia" w:ascii="宋体" w:hAnsi="宋体" w:cs="宋体"/>
          <w:color w:val="auto"/>
          <w:kern w:val="0"/>
          <w:szCs w:val="21"/>
          <w:u w:val="single"/>
        </w:rPr>
        <w:t>达到国家和行业施工验收规范一次性验收合格</w:t>
      </w:r>
    </w:p>
    <w:p w14:paraId="344E826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5.1.1 特殊质量标准和要求：</w:t>
      </w:r>
      <w:r>
        <w:rPr>
          <w:rFonts w:hint="eastAsia" w:ascii="宋体" w:hAnsi="宋体" w:cs="宋体"/>
          <w:color w:val="auto"/>
          <w:kern w:val="0"/>
          <w:szCs w:val="21"/>
          <w:u w:val="single"/>
        </w:rPr>
        <w:t xml:space="preserve">     无   </w:t>
      </w:r>
      <w:r>
        <w:rPr>
          <w:rFonts w:hint="eastAsia" w:ascii="宋体" w:hAnsi="宋体" w:cs="宋体"/>
          <w:color w:val="auto"/>
          <w:kern w:val="0"/>
          <w:szCs w:val="21"/>
        </w:rPr>
        <w:t>。</w:t>
      </w:r>
    </w:p>
    <w:p w14:paraId="39429332">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color w:val="auto"/>
          <w:sz w:val="21"/>
          <w:szCs w:val="21"/>
        </w:rPr>
      </w:pPr>
      <w:r>
        <w:rPr>
          <w:rFonts w:hint="eastAsia" w:hAnsi="宋体" w:cs="宋体"/>
          <w:b w:val="0"/>
          <w:color w:val="auto"/>
          <w:sz w:val="21"/>
          <w:szCs w:val="21"/>
        </w:rPr>
        <w:t>5.3 隐蔽工程检查</w:t>
      </w:r>
    </w:p>
    <w:p w14:paraId="38341D3C">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1" w:name="_Toc364853229"/>
      <w:r>
        <w:rPr>
          <w:rFonts w:hint="eastAsia" w:ascii="宋体" w:hAnsi="宋体" w:cs="宋体"/>
          <w:color w:val="auto"/>
          <w:kern w:val="0"/>
          <w:szCs w:val="21"/>
        </w:rPr>
        <w:t>5.3.2承包人提前通知监理人隐蔽工程检查的期限的约定：承包人应在共同检查前</w:t>
      </w:r>
      <w:r>
        <w:rPr>
          <w:rFonts w:hint="eastAsia" w:ascii="宋体" w:hAnsi="宋体" w:cs="宋体"/>
          <w:color w:val="auto"/>
          <w:kern w:val="0"/>
          <w:szCs w:val="21"/>
          <w:u w:val="single"/>
        </w:rPr>
        <w:t xml:space="preserve">24 </w:t>
      </w:r>
      <w:r>
        <w:rPr>
          <w:rFonts w:hint="eastAsia" w:ascii="宋体" w:hAnsi="宋体" w:cs="宋体"/>
          <w:color w:val="auto"/>
          <w:kern w:val="0"/>
          <w:szCs w:val="21"/>
        </w:rPr>
        <w:t>小时书面通知监理人检查。</w:t>
      </w:r>
    </w:p>
    <w:p w14:paraId="272FC14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监理人不能按时进行检查时，应提前</w:t>
      </w:r>
      <w:r>
        <w:rPr>
          <w:rFonts w:hint="eastAsia" w:ascii="宋体" w:hAnsi="宋体" w:cs="宋体"/>
          <w:color w:val="auto"/>
          <w:kern w:val="0"/>
          <w:szCs w:val="21"/>
          <w:u w:val="single"/>
        </w:rPr>
        <w:t xml:space="preserve">  24 </w:t>
      </w:r>
      <w:r>
        <w:rPr>
          <w:rFonts w:hint="eastAsia" w:ascii="宋体" w:hAnsi="宋体" w:cs="宋体"/>
          <w:color w:val="auto"/>
          <w:kern w:val="0"/>
          <w:szCs w:val="21"/>
        </w:rPr>
        <w:t>小时提交书面延期要求。延期最长不得超过：</w:t>
      </w:r>
      <w:r>
        <w:rPr>
          <w:rFonts w:hint="eastAsia" w:ascii="宋体" w:hAnsi="宋体" w:cs="宋体"/>
          <w:color w:val="auto"/>
          <w:kern w:val="0"/>
          <w:szCs w:val="21"/>
          <w:u w:val="single"/>
        </w:rPr>
        <w:t xml:space="preserve"> 48</w:t>
      </w:r>
      <w:r>
        <w:rPr>
          <w:rFonts w:hint="eastAsia" w:ascii="宋体" w:hAnsi="宋体" w:cs="宋体"/>
          <w:color w:val="auto"/>
          <w:kern w:val="0"/>
          <w:szCs w:val="21"/>
        </w:rPr>
        <w:t>小时。</w:t>
      </w:r>
    </w:p>
    <w:p w14:paraId="5508365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6. 安全文明施工与环境保护</w:t>
      </w:r>
      <w:bookmarkEnd w:id="401"/>
    </w:p>
    <w:p w14:paraId="49D7B4B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2" w:name="_Toc364853230"/>
      <w:r>
        <w:rPr>
          <w:rFonts w:hint="eastAsia" w:ascii="宋体" w:hAnsi="宋体" w:cs="宋体"/>
          <w:color w:val="auto"/>
          <w:szCs w:val="21"/>
        </w:rPr>
        <w:t>6.1安全文明施工</w:t>
      </w:r>
    </w:p>
    <w:p w14:paraId="1814C50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 项目安全生产的达标目标及相应事项的约定：合格。</w:t>
      </w:r>
    </w:p>
    <w:p w14:paraId="18A15DF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施工期间由于承包人违反安全操作规范，发生重大死亡及其它事故，发包人将根据事故的严重程度对承包人予以处罚；被政府部门处罚的，承包人承担一切责任。</w:t>
      </w:r>
    </w:p>
    <w:p w14:paraId="5585D1A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6.1.1.1 承包方未履行安全文明施工发生以下情况之一的，视为承包方未履行安全生产文明施工违约，承包方须支付合同价款的1% ：</w:t>
      </w:r>
    </w:p>
    <w:p w14:paraId="0839B22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(1)未达到合同要求的安全等级要求（安全等级以宁波市奉化区住房和城乡建设局文件和上级文件为准）；</w:t>
      </w:r>
    </w:p>
    <w:p w14:paraId="55FF2E7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（2）在施工期间，施工单位发生事故等级为一般事故及以上生产安全责任事故（事故等级和责任按按国务院第493号令和行政部门的事故调查报告认定）；</w:t>
      </w:r>
    </w:p>
    <w:p w14:paraId="28799EB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6.1.1.2在施工期间，发现承包方现场管理混乱的，每发现一次扣除合同价款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4268B0F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6.1.1.3承包方对安全隐患整改不力，对发包方、监理单位及上级部门提出的安全隐患整改不到位的，每发现一次扣合同价款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7479DC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注：以上（6.1.1.2和6.1.1.3）条款出现累计三次及以上相同问题或情况的，除执行上述条款约定的扣款外，还须另行扣除合同价款</w:t>
      </w:r>
      <w:r>
        <w:rPr>
          <w:rFonts w:hint="eastAsia" w:ascii="宋体" w:hAnsi="宋体" w:cs="宋体"/>
          <w:color w:val="auto"/>
          <w:szCs w:val="21"/>
          <w:lang w:val="en-US" w:eastAsia="zh-CN"/>
        </w:rPr>
        <w:t>2000元</w:t>
      </w:r>
      <w:r>
        <w:rPr>
          <w:rFonts w:hint="eastAsia" w:ascii="宋体" w:hAnsi="宋体" w:cs="宋体"/>
          <w:color w:val="auto"/>
          <w:szCs w:val="21"/>
        </w:rPr>
        <w:t>。</w:t>
      </w:r>
    </w:p>
    <w:p w14:paraId="3A22CF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6.1.4 关于治安保卫的特别约定：执行通用条款。</w:t>
      </w:r>
    </w:p>
    <w:p w14:paraId="7615A3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6.1.5文明施工应按《宁波市建设工程文明施工管理规定》文件要求执行。</w:t>
      </w:r>
    </w:p>
    <w:p w14:paraId="21185C7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6.1.6 关于安全文明施工费相关约定：市区一般工程考虑。</w:t>
      </w:r>
    </w:p>
    <w:p w14:paraId="5E37B64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 工期和进度</w:t>
      </w:r>
      <w:bookmarkEnd w:id="402"/>
    </w:p>
    <w:p w14:paraId="7E907C4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7.1 施工组织设计</w:t>
      </w:r>
    </w:p>
    <w:p w14:paraId="1C4262B3">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7.1.1 合同当事人约定的施工组织设计应包括的其他内容：</w:t>
      </w:r>
      <w:r>
        <w:rPr>
          <w:rFonts w:hint="eastAsia" w:ascii="宋体" w:hAnsi="宋体" w:cs="宋体"/>
          <w:color w:val="auto"/>
          <w:kern w:val="0"/>
          <w:szCs w:val="21"/>
          <w:u w:val="single"/>
        </w:rPr>
        <w:t>各分部分项施工方案与技术措施、工程进度管理体系与措施、工程质量管理体系与措施、安全生产文明施工管理体系与措施、环境保护管理体系与措施等</w:t>
      </w:r>
      <w:r>
        <w:rPr>
          <w:rFonts w:hint="eastAsia" w:ascii="宋体" w:hAnsi="宋体" w:cs="宋体"/>
          <w:color w:val="auto"/>
          <w:kern w:val="0"/>
          <w:szCs w:val="21"/>
        </w:rPr>
        <w:t>。</w:t>
      </w:r>
    </w:p>
    <w:p w14:paraId="0116C567">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7.1.2 施工组织设计的提交和修改：按通用条款约定执行。</w:t>
      </w:r>
    </w:p>
    <w:p w14:paraId="6E6124D6">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7.2 施工进度计划</w:t>
      </w:r>
    </w:p>
    <w:p w14:paraId="28639986">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施工进度计划的编制和修订：按通用条款约定执行。</w:t>
      </w:r>
    </w:p>
    <w:p w14:paraId="6FE79329">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7.3 开工</w:t>
      </w:r>
    </w:p>
    <w:p w14:paraId="6D30AA5A">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7.3.1 开工准备</w:t>
      </w:r>
    </w:p>
    <w:p w14:paraId="386C4F0B">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关于承包人提交工程开工报审表的期限：按第7.1款[施工组织设计]约定的时间。</w:t>
      </w:r>
    </w:p>
    <w:p w14:paraId="3B72C40F">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关于发包人应完成的其他开工准备工作及期限：在第7.3.2项[开工通知]载明的开工日期前7天获得开工所需的各项行政审批和许可手续。</w:t>
      </w:r>
    </w:p>
    <w:p w14:paraId="6EE61F8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关于承包人应完成的其他开工准备工作及期限： 在第7.3.2项[开工通知]载明的开工日期前7天签订材料、工程设备、周转材料等的采购合同，确定劳动力、材料、机械的进场安排。</w:t>
      </w:r>
    </w:p>
    <w:p w14:paraId="7E49C5A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7.3.2 开工通知</w:t>
      </w:r>
    </w:p>
    <w:p w14:paraId="011E031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因发包人原因造成监理人未能在通用条款规定的期限内发出开工通知的，承包人有权提出价格调整要求，或者解除合同。</w:t>
      </w:r>
    </w:p>
    <w:p w14:paraId="0D96CB6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7.4 测量放线</w:t>
      </w:r>
    </w:p>
    <w:p w14:paraId="38C32BF3">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7.4.1 发包人通过监理人向承包人提供测量基准点、基准线和水准点及其书面资料的期限：不得晚于在第7.3.2项[开工通知]载明的开工日期前7天。</w:t>
      </w:r>
    </w:p>
    <w:p w14:paraId="61689EB5">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7.5 工期延误</w:t>
      </w:r>
    </w:p>
    <w:p w14:paraId="18CBDA9C">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b w:val="0"/>
          <w:color w:val="auto"/>
          <w:sz w:val="21"/>
          <w:szCs w:val="21"/>
        </w:rPr>
      </w:pPr>
      <w:r>
        <w:rPr>
          <w:rFonts w:hint="eastAsia" w:hAnsi="宋体" w:cs="宋体"/>
          <w:color w:val="auto"/>
          <w:sz w:val="21"/>
          <w:szCs w:val="21"/>
        </w:rPr>
        <w:t xml:space="preserve">7.5.1 </w:t>
      </w:r>
      <w:r>
        <w:rPr>
          <w:rFonts w:hint="eastAsia" w:hAnsi="宋体" w:cs="宋体"/>
          <w:b w:val="0"/>
          <w:color w:val="auto"/>
          <w:sz w:val="21"/>
          <w:szCs w:val="21"/>
        </w:rPr>
        <w:t>因发包人原因导致工期延误</w:t>
      </w:r>
    </w:p>
    <w:p w14:paraId="2EC03EFD">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color w:val="auto"/>
          <w:sz w:val="21"/>
          <w:szCs w:val="21"/>
        </w:rPr>
      </w:pPr>
      <w:r>
        <w:rPr>
          <w:rFonts w:hint="eastAsia" w:hAnsi="宋体" w:cs="宋体"/>
          <w:b w:val="0"/>
          <w:color w:val="auto"/>
          <w:sz w:val="21"/>
          <w:szCs w:val="21"/>
        </w:rPr>
        <w:t>（7）因发包人原因导致工期延误的其他情形：</w:t>
      </w:r>
      <w:r>
        <w:rPr>
          <w:rFonts w:hint="eastAsia" w:hAnsi="宋体" w:cs="宋体"/>
          <w:b w:val="0"/>
          <w:color w:val="auto"/>
          <w:sz w:val="21"/>
          <w:szCs w:val="21"/>
          <w:u w:val="single"/>
        </w:rPr>
        <w:t xml:space="preserve">  无  </w:t>
      </w:r>
      <w:r>
        <w:rPr>
          <w:rFonts w:hint="eastAsia" w:hAnsi="宋体" w:cs="宋体"/>
          <w:b w:val="0"/>
          <w:color w:val="auto"/>
          <w:sz w:val="21"/>
          <w:szCs w:val="21"/>
        </w:rPr>
        <w:t>。</w:t>
      </w:r>
    </w:p>
    <w:p w14:paraId="51B99BF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7.5.2 因承包人原因导致工期延误</w:t>
      </w:r>
    </w:p>
    <w:p w14:paraId="6F8B859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因承包人原因造成工期延误，逾期竣工违约金为</w:t>
      </w:r>
      <w:r>
        <w:rPr>
          <w:rFonts w:hint="eastAsia" w:ascii="宋体" w:hAnsi="宋体" w:cs="宋体"/>
          <w:color w:val="auto"/>
          <w:kern w:val="0"/>
          <w:szCs w:val="21"/>
          <w:u w:val="single"/>
        </w:rPr>
        <w:t>1000</w:t>
      </w:r>
      <w:r>
        <w:rPr>
          <w:rFonts w:hint="eastAsia" w:ascii="宋体" w:hAnsi="宋体" w:cs="宋体"/>
          <w:color w:val="auto"/>
          <w:kern w:val="0"/>
          <w:szCs w:val="21"/>
        </w:rPr>
        <w:t>元/天。</w:t>
      </w:r>
    </w:p>
    <w:p w14:paraId="2F27FFE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因承包人原因造成工期延误，逾期竣工违约金的上限为合同价款的</w:t>
      </w:r>
      <w:r>
        <w:rPr>
          <w:rFonts w:hint="eastAsia" w:ascii="宋体" w:hAnsi="宋体" w:cs="宋体"/>
          <w:color w:val="auto"/>
          <w:kern w:val="0"/>
          <w:szCs w:val="21"/>
          <w:u w:val="single"/>
        </w:rPr>
        <w:t xml:space="preserve"> 2 </w:t>
      </w:r>
      <w:r>
        <w:rPr>
          <w:rFonts w:hint="eastAsia" w:ascii="宋体" w:hAnsi="宋体" w:cs="宋体"/>
          <w:color w:val="auto"/>
          <w:kern w:val="0"/>
          <w:szCs w:val="21"/>
        </w:rPr>
        <w:t>%。</w:t>
      </w:r>
    </w:p>
    <w:p w14:paraId="2F2808B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7.6 不利物质条件</w:t>
      </w:r>
    </w:p>
    <w:p w14:paraId="00E39CE2">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不利物质条件的其他情形和有关约定：地勘资料未设计的地下管道、地雷、岩层等，但不包括气候条件。</w:t>
      </w:r>
    </w:p>
    <w:p w14:paraId="1B8ECEC0">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7.7异常恶劣的气候条件</w:t>
      </w:r>
    </w:p>
    <w:p w14:paraId="32977C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发包人和承包人同意以下情形视为异常恶劣的气候条件：</w:t>
      </w:r>
    </w:p>
    <w:p w14:paraId="259A64B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（1）12小时内降雨量达到50mm以上；</w:t>
      </w:r>
    </w:p>
    <w:p w14:paraId="6CAA3009">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（2）风速达到8级及以上的热带风暴（或台风）；</w:t>
      </w:r>
    </w:p>
    <w:p w14:paraId="74883715">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（3）日最高气温超过38度或低于零下10度；</w:t>
      </w:r>
    </w:p>
    <w:p w14:paraId="5E7376C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（4）造成工程损坏的冰雹和12小时内降雪量达到4mm及以上的大雪灾害。</w:t>
      </w:r>
    </w:p>
    <w:p w14:paraId="60EF17C1">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（5）政府有关部门通知停工的其它恶劣气候条件。</w:t>
      </w:r>
    </w:p>
    <w:p w14:paraId="023EE70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7.9 提前竣工的奖励</w:t>
      </w:r>
    </w:p>
    <w:p w14:paraId="26B36CD5">
      <w:pPr>
        <w:pageBreakBefore w:val="0"/>
        <w:widowControl/>
        <w:kinsoku/>
        <w:wordWrap/>
        <w:overflowPunct/>
        <w:topLinePunct w:val="0"/>
        <w:autoSpaceDE w:val="0"/>
        <w:autoSpaceDN w:val="0"/>
        <w:bidi w:val="0"/>
        <w:adjustRightInd w:val="0"/>
        <w:spacing w:line="450" w:lineRule="exact"/>
        <w:ind w:left="630" w:leftChars="200" w:hanging="210" w:hangingChars="100"/>
        <w:textAlignment w:val="auto"/>
        <w:outlineLvl w:val="9"/>
        <w:rPr>
          <w:rFonts w:ascii="宋体" w:hAnsi="宋体" w:cs="宋体"/>
          <w:color w:val="auto"/>
          <w:kern w:val="0"/>
          <w:szCs w:val="21"/>
        </w:rPr>
      </w:pPr>
      <w:r>
        <w:rPr>
          <w:rFonts w:hint="eastAsia" w:ascii="宋体" w:hAnsi="宋体" w:cs="宋体"/>
          <w:color w:val="auto"/>
          <w:kern w:val="0"/>
          <w:szCs w:val="21"/>
        </w:rPr>
        <w:t>7.9.2 提前竣工的奖励：提前竣工奖励为</w:t>
      </w:r>
      <w:r>
        <w:rPr>
          <w:rFonts w:hint="eastAsia" w:ascii="宋体" w:hAnsi="宋体" w:cs="宋体"/>
          <w:color w:val="auto"/>
          <w:kern w:val="0"/>
          <w:szCs w:val="21"/>
          <w:u w:val="single"/>
        </w:rPr>
        <w:t xml:space="preserve">  0 </w:t>
      </w:r>
      <w:r>
        <w:rPr>
          <w:rFonts w:hint="eastAsia" w:ascii="宋体" w:hAnsi="宋体" w:cs="宋体"/>
          <w:color w:val="auto"/>
          <w:kern w:val="0"/>
          <w:szCs w:val="21"/>
        </w:rPr>
        <w:t>元/天。</w:t>
      </w:r>
      <w:bookmarkStart w:id="403" w:name="_Toc364853231"/>
    </w:p>
    <w:p w14:paraId="25B70B4F">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8. 材料与设备</w:t>
      </w:r>
      <w:bookmarkEnd w:id="403"/>
    </w:p>
    <w:p w14:paraId="0B72D512">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 xml:space="preserve"> 8.2承包人采购材料与工程设备</w:t>
      </w:r>
    </w:p>
    <w:p w14:paraId="0E3B81D9">
      <w:pPr>
        <w:pStyle w:val="67"/>
        <w:pageBreakBefore w:val="0"/>
        <w:widowControl/>
        <w:kinsoku/>
        <w:wordWrap/>
        <w:overflowPunct/>
        <w:topLinePunct w:val="0"/>
        <w:bidi w:val="0"/>
        <w:spacing w:before="120" w:line="450" w:lineRule="exact"/>
        <w:ind w:firstLine="420"/>
        <w:textAlignment w:val="auto"/>
        <w:outlineLvl w:val="9"/>
        <w:rPr>
          <w:rFonts w:hAnsi="宋体" w:cs="宋体"/>
          <w:b w:val="0"/>
          <w:color w:val="auto"/>
          <w:sz w:val="21"/>
          <w:szCs w:val="21"/>
        </w:rPr>
      </w:pPr>
      <w:r>
        <w:rPr>
          <w:rFonts w:hint="eastAsia" w:hAnsi="宋体" w:cs="宋体"/>
          <w:b w:val="0"/>
          <w:color w:val="auto"/>
          <w:sz w:val="21"/>
          <w:szCs w:val="21"/>
        </w:rPr>
        <w:t>承包人负责采购材料、工程设备的，应按照设计和有关标准要求采购，并提供产品合格证明及出厂证明，对材料、工程设备质量负责。</w:t>
      </w:r>
    </w:p>
    <w:p w14:paraId="47CD3D4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8.4材料与工程设备的保管与使用</w:t>
      </w:r>
    </w:p>
    <w:p w14:paraId="320516F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w:t>
      </w:r>
      <w:bookmarkStart w:id="404" w:name="_Toc292559878"/>
      <w:bookmarkStart w:id="405" w:name="_Toc292559373"/>
      <w:r>
        <w:rPr>
          <w:rFonts w:hint="eastAsia" w:ascii="宋体" w:hAnsi="宋体" w:cs="宋体"/>
          <w:color w:val="auto"/>
          <w:kern w:val="0"/>
          <w:szCs w:val="21"/>
        </w:rPr>
        <w:t>.4.1保管费用承担：执行通用条款。</w:t>
      </w:r>
      <w:bookmarkEnd w:id="404"/>
      <w:bookmarkEnd w:id="405"/>
    </w:p>
    <w:p w14:paraId="386CAC3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8.8 施工设备和临时设施</w:t>
      </w:r>
    </w:p>
    <w:p w14:paraId="524212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8.8.1 承包人提供的施工设备和临时设施</w:t>
      </w:r>
    </w:p>
    <w:p w14:paraId="2858286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关于修建临时设施费用承担的约定：执行通用条款。</w:t>
      </w:r>
      <w:bookmarkStart w:id="406" w:name="_Toc364853232"/>
    </w:p>
    <w:bookmarkEnd w:id="406"/>
    <w:p w14:paraId="3D22AD69">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07" w:name="_Toc364853233"/>
      <w:r>
        <w:rPr>
          <w:rFonts w:hint="eastAsia" w:ascii="宋体" w:hAnsi="宋体" w:eastAsia="宋体" w:cs="宋体"/>
          <w:b/>
          <w:color w:val="auto"/>
          <w:szCs w:val="21"/>
        </w:rPr>
        <w:t>10. 变更</w:t>
      </w:r>
    </w:p>
    <w:p w14:paraId="028CB5C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10.1变更的范围</w:t>
      </w:r>
    </w:p>
    <w:p w14:paraId="49D7AE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合同双方当事人约定：合同履行过程中发生以下情形时，应按照本条约定进行合同变更。</w:t>
      </w:r>
    </w:p>
    <w:p w14:paraId="14B9F227">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1）、法律法规以及政府主管部门的政策性调整；</w:t>
      </w:r>
    </w:p>
    <w:p w14:paraId="24A08F2C">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2）、增加或减少合同中任何工作，或追加额外的工作；</w:t>
      </w:r>
    </w:p>
    <w:p w14:paraId="32AA7165">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3）、取消合同中任何工作，但转由他人实施的工作除外；</w:t>
      </w:r>
    </w:p>
    <w:p w14:paraId="63F384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4)、改变合同中任何工作的质量标准或其他特性；</w:t>
      </w:r>
    </w:p>
    <w:p w14:paraId="642C11AA">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5)、改变工程的基线、标高、位置和尺寸；</w:t>
      </w:r>
    </w:p>
    <w:p w14:paraId="085A1E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6)、改变工程的时间安排或实施顺序。</w:t>
      </w:r>
    </w:p>
    <w:p w14:paraId="4A702B5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10.4 变更估价</w:t>
      </w:r>
    </w:p>
    <w:p w14:paraId="06E106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 变更估价原则</w:t>
      </w:r>
    </w:p>
    <w:p w14:paraId="2E50CCC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10.4.1.1 关于变更估价的约定：</w:t>
      </w:r>
    </w:p>
    <w:p w14:paraId="1171DB5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（1）工程预算书有相同项目的，按照相同项目单价结合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认定；</w:t>
      </w:r>
    </w:p>
    <w:p w14:paraId="5DD025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（2）工程预算书中无相同项目，但有类似项目的，参照类似项目单价结合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若有二个及以上类似项目且单价不一致的，参照单价较低的类似项目单价）按以下原则计算确定：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02CEBA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（3）变更导致实际完成的变更工程量与工程预算书中列明的该项目工程量的变化幅度增加或减少15%以上的，其增加或减少超过15%以上部分工程量的相应单价由承包人根据本工程计价依据并结合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后提出综合单价，经监理人及发包人或其委托的咨询单位工程师确认，作为结算依据。</w:t>
      </w:r>
    </w:p>
    <w:p w14:paraId="26684DC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（4）工程预算书中无相同项目及类似项目单价的，由承包人根据实际完成的工程内容、规定的工程取费类别、本工程计价依据并结合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提出综合单价，经签证方式确定的材料、设备价格不作下浮。</w:t>
      </w:r>
    </w:p>
    <w:p w14:paraId="6DB0F5F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10.4.1.2 关于变更措施项目费的约定：</w:t>
      </w:r>
    </w:p>
    <w:p w14:paraId="4516326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分部分项工程量清单非承包人原因的工程变更，造成施工组织设计或施工方案变更，以及分部分项工程量变化，引起措施项目数量、内容发生变化，应调整措施项目费。其中采用综合单价计价的措施项目，根据发承包双方确认的工程量和根据结算办法第10.4.1.1条款约定原则计算的单价提出措施费；采用以“项”计价的措施项目，根据工程量清单中的措施项目和金额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或发承包双方确认调整后的措施项目和金额计算。</w:t>
      </w:r>
    </w:p>
    <w:p w14:paraId="6CA0053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（1）原措施项目费中已有的措施项目，按原措施项目费的组价方法调整。</w:t>
      </w:r>
    </w:p>
    <w:p w14:paraId="02E677F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（2）原措施费没有的措施项目，承包人根据实际措施项目内容、规定的工程取费类别、现行计价依据并结合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后提出措施费。</w:t>
      </w:r>
    </w:p>
    <w:p w14:paraId="3ACE0F4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10.4.1.3 关于其他项目费变更的约定：</w:t>
      </w:r>
    </w:p>
    <w:p w14:paraId="4418B9E0">
      <w:pPr>
        <w:pageBreakBefore w:val="0"/>
        <w:widowControl/>
        <w:kinsoku/>
        <w:wordWrap/>
        <w:overflowPunct/>
        <w:topLinePunct w:val="0"/>
        <w:bidi w:val="0"/>
        <w:spacing w:line="450" w:lineRule="exact"/>
        <w:ind w:firstLine="420" w:firstLineChars="200"/>
        <w:textAlignment w:val="auto"/>
        <w:outlineLvl w:val="9"/>
        <w:rPr>
          <w:color w:val="auto"/>
        </w:rPr>
      </w:pPr>
      <w:r>
        <w:rPr>
          <w:rFonts w:hint="eastAsia" w:ascii="宋体" w:hAnsi="宋体" w:cs="宋体"/>
          <w:color w:val="auto"/>
          <w:kern w:val="0"/>
          <w:szCs w:val="21"/>
        </w:rPr>
        <w:t>（1）承包人应发包人要求完成合同以外的项目、工作，或者发生应由发包人承担责任的事件，承包人应按合同约定的时间、程序向发包人提出费用或责任事件确认的书面资料，办理现场签证。现场签证作为其竣工结算的依据。发包人在现场签证时涉及工程量、价、费等内容的，按合同约定的时间，由具备工程计价资格的人员核对，并详细、明确签署相应意见，否则视为认同承包人提出的内容及金额。</w:t>
      </w:r>
    </w:p>
    <w:p w14:paraId="1CC6EA2F">
      <w:pPr>
        <w:pageBreakBefore w:val="0"/>
        <w:widowControl/>
        <w:kinsoku/>
        <w:wordWrap/>
        <w:overflowPunct/>
        <w:topLinePunct w:val="0"/>
        <w:bidi w:val="0"/>
        <w:spacing w:line="450" w:lineRule="exact"/>
        <w:ind w:right="105" w:rightChars="50" w:firstLine="420" w:firstLineChars="200"/>
        <w:textAlignment w:val="auto"/>
        <w:outlineLvl w:val="9"/>
        <w:rPr>
          <w:rFonts w:ascii="宋体" w:hAnsi="宋体" w:cs="宋体"/>
          <w:color w:val="auto"/>
          <w:szCs w:val="21"/>
          <w:highlight w:val="none"/>
        </w:rPr>
      </w:pPr>
      <w:r>
        <w:rPr>
          <w:rFonts w:hint="eastAsia" w:ascii="宋体" w:hAnsi="宋体"/>
          <w:color w:val="auto"/>
          <w:szCs w:val="21"/>
          <w:highlight w:val="none"/>
        </w:rPr>
        <w:t>10.4.1.4</w:t>
      </w:r>
      <w:r>
        <w:rPr>
          <w:rFonts w:hint="eastAsia" w:ascii="宋体" w:hAnsi="宋体" w:cs="宋体"/>
          <w:color w:val="auto"/>
          <w:szCs w:val="21"/>
          <w:highlight w:val="none"/>
        </w:rPr>
        <w:t>计价依据：</w:t>
      </w:r>
      <w:r>
        <w:rPr>
          <w:rFonts w:hint="eastAsia" w:ascii="宋体" w:hAnsi="宋体" w:cs="宋体"/>
          <w:color w:val="auto"/>
          <w:kern w:val="0"/>
          <w:szCs w:val="21"/>
          <w:highlight w:val="none"/>
        </w:rPr>
        <w:t xml:space="preserve">                                                                                                                                                                                               </w:t>
      </w:r>
    </w:p>
    <w:p w14:paraId="60C49D65">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一、编制的依据</w:t>
      </w:r>
      <w:r>
        <w:rPr>
          <w:rFonts w:hint="eastAsia" w:ascii="宋体" w:hAnsi="宋体" w:cs="宋体"/>
          <w:color w:val="auto"/>
          <w:szCs w:val="21"/>
          <w:highlight w:val="none"/>
        </w:rPr>
        <w:t>：</w:t>
      </w:r>
    </w:p>
    <w:p w14:paraId="66AAAC3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房屋建筑与装饰工程工程量计算规范》（GB50854-2013）、《通用安装工程工程量计算规范》（GB50856-2013）、《市政工程工程量计算规范》（GB50857-2013）、《建设工程工程量清单计价规范》（GB50500-2013）、《浙江省建设工程计价规则》（2018版）、《浙江省房屋建筑与装饰工程预算定额》（2018版）、《浙江省通用安装工程预算定额》（2018版）、《浙江省市政工程预算定额》（2018版）、《浙江省施工机械台班费用定额》（2018版）、省市造价文件及其他相关造价依据等。</w:t>
      </w:r>
    </w:p>
    <w:p w14:paraId="5FFD82C2">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二、编制原则及办法</w:t>
      </w:r>
    </w:p>
    <w:p w14:paraId="3D092AB9">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1.人工市场信息价按《宁波市建设工程造价信息》2025年6月信息价计入。</w:t>
      </w:r>
    </w:p>
    <w:p w14:paraId="7169A70B">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2.材料信息价格按照《宁波市建设工程造价信息》2025年6月刊信息价计取，计取顺序依次为奉化区、宁波市，《宁波市建设工程造价信息》没有的价格按照《浙江造价信息》2025年6月刊信息价计取，无信息价材料按照市场询价计取。</w:t>
      </w:r>
    </w:p>
    <w:p w14:paraId="4FBF4C87">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3.企业管理费及利润取费：围墙部分按房屋建筑及构筑物工程中值计取；弱电、电气部分按水、电、暖通、消防、智能、自控及通信安装工程中值计取；停车场部分按道路、排水、河道护岸、水处理构筑物及城市综合管廊、生活垃圾处理工程中值计取。</w:t>
      </w:r>
    </w:p>
    <w:p w14:paraId="0A54F88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4.组织措施费取费：施工组织措施费费率均按中值计入（其中安全文明施工费按“市区工程”计入，不计入提前竣工增加费、二次搬运费、创标化工地增加费、行车、行人干扰增加费，计入冬雨季施工增加费）。</w:t>
      </w:r>
    </w:p>
    <w:p w14:paraId="3A58C2BE">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5.规费：《浙江省建设工程计价规则》（2018版）相应专业工程标准费率的30%计取。</w:t>
      </w:r>
    </w:p>
    <w:p w14:paraId="14FC9563">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6.安责险差额：依据《关于印发宁波市房屋建筑与市政基础设施工程安全生产责任保险费用计取的通知》（建管〔2024〕12号）文件计。</w:t>
      </w:r>
    </w:p>
    <w:p w14:paraId="0E6B19B7">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7.税金：按《关于增值税调整后我省建设工程计价依据增值税税率及有关计价调整的通知》（浙建建发[2019]92号）文件按9%计入。</w:t>
      </w:r>
    </w:p>
    <w:p w14:paraId="7FF36D8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b w:val="0"/>
          <w:bCs/>
          <w:color w:val="auto"/>
          <w:kern w:val="0"/>
          <w:szCs w:val="21"/>
        </w:rPr>
      </w:pPr>
      <w:r>
        <w:rPr>
          <w:rFonts w:hint="eastAsia" w:ascii="宋体" w:hAnsi="宋体" w:cs="宋体"/>
          <w:b w:val="0"/>
          <w:bCs/>
          <w:color w:val="auto"/>
          <w:kern w:val="0"/>
          <w:szCs w:val="21"/>
          <w:highlight w:val="none"/>
          <w:lang w:eastAsia="zh-CN"/>
        </w:rPr>
        <w:t>发包人</w:t>
      </w:r>
      <w:r>
        <w:rPr>
          <w:rFonts w:hint="eastAsia" w:ascii="宋体" w:hAnsi="宋体" w:cs="宋体"/>
          <w:b w:val="0"/>
          <w:bCs/>
          <w:color w:val="auto"/>
          <w:kern w:val="0"/>
          <w:szCs w:val="21"/>
          <w:highlight w:val="none"/>
        </w:rPr>
        <w:t>签证的联系单含（技术联系单、施工联系单、价格签证单）作为工程调整的依据，</w:t>
      </w:r>
      <w:r>
        <w:rPr>
          <w:rFonts w:hint="eastAsia" w:ascii="宋体" w:hAnsi="宋体" w:cs="宋体"/>
          <w:b w:val="0"/>
          <w:bCs/>
          <w:color w:val="auto"/>
          <w:kern w:val="0"/>
          <w:szCs w:val="21"/>
        </w:rPr>
        <w:t>联系单下浮率按</w:t>
      </w:r>
      <w:r>
        <w:rPr>
          <w:rFonts w:hint="eastAsia" w:ascii="宋体" w:hAnsi="宋体" w:cs="宋体"/>
          <w:b w:val="0"/>
          <w:bCs/>
          <w:color w:val="auto"/>
          <w:kern w:val="0"/>
          <w:szCs w:val="21"/>
          <w:u w:val="single"/>
          <w:lang w:val="en-US" w:eastAsia="zh-CN"/>
        </w:rPr>
        <w:t xml:space="preserve"> 1-</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综合折扣</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 xml:space="preserve"> </w:t>
      </w:r>
      <w:r>
        <w:rPr>
          <w:rFonts w:hint="eastAsia" w:ascii="宋体" w:hAnsi="宋体" w:cs="宋体"/>
          <w:b w:val="0"/>
          <w:bCs/>
          <w:color w:val="auto"/>
          <w:kern w:val="0"/>
          <w:szCs w:val="21"/>
        </w:rPr>
        <w:t>计取。</w:t>
      </w:r>
    </w:p>
    <w:p w14:paraId="62C4161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11. 价格调整</w:t>
      </w:r>
      <w:bookmarkEnd w:id="407"/>
    </w:p>
    <w:p w14:paraId="4A5A1E4C">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11.1 市场价格波动引起的调整</w:t>
      </w:r>
    </w:p>
    <w:p w14:paraId="72034075">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11.1.1 合同当事人约定：实际施工期内不作调整。</w:t>
      </w:r>
    </w:p>
    <w:p w14:paraId="0B9BE5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11.2 法律变化引起的调整</w:t>
      </w:r>
    </w:p>
    <w:p w14:paraId="6AC94E2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8" w:name="_Toc364853234"/>
      <w:r>
        <w:rPr>
          <w:rFonts w:hint="eastAsia" w:ascii="宋体" w:hAnsi="宋体" w:cs="宋体"/>
          <w:color w:val="auto"/>
          <w:szCs w:val="21"/>
        </w:rPr>
        <w:t>合同当事人关于本条的补充约定：</w:t>
      </w:r>
    </w:p>
    <w:p w14:paraId="2DA8626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（1）本条所称的法律包括法律、法规、规章及规范性文件。</w:t>
      </w:r>
    </w:p>
    <w:p w14:paraId="63E227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（2）国有投资项目应按本省建设行政主管部门或其授权工程造价管理机构发布的规定调整合同价款。</w:t>
      </w:r>
    </w:p>
    <w:p w14:paraId="08591F08">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12. 合同价格、计量与支付</w:t>
      </w:r>
      <w:bookmarkEnd w:id="408"/>
    </w:p>
    <w:p w14:paraId="3161A9F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409" w:name="_Toc292559916"/>
      <w:bookmarkStart w:id="410" w:name="_Toc267251461"/>
      <w:bookmarkStart w:id="411" w:name="_Toc292559411"/>
      <w:bookmarkStart w:id="412" w:name="_Toc296346707"/>
      <w:bookmarkStart w:id="413" w:name="_Toc296891246"/>
      <w:bookmarkStart w:id="414" w:name="_Toc296944545"/>
      <w:bookmarkStart w:id="415" w:name="_Toc296891034"/>
      <w:bookmarkStart w:id="416" w:name="_Toc297120506"/>
      <w:bookmarkStart w:id="417" w:name="_Toc297048392"/>
      <w:bookmarkStart w:id="418" w:name="_Toc296503206"/>
      <w:bookmarkStart w:id="419" w:name="_Toc296347205"/>
      <w:bookmarkStart w:id="420" w:name="_Toc297216212"/>
      <w:bookmarkStart w:id="421" w:name="_Toc303539160"/>
      <w:bookmarkStart w:id="422" w:name="_Toc300935003"/>
      <w:bookmarkStart w:id="423" w:name="_Toc297123553"/>
      <w:bookmarkStart w:id="424" w:name="_Toc304295580"/>
      <w:bookmarkStart w:id="425" w:name="_Toc312678041"/>
      <w:r>
        <w:rPr>
          <w:rFonts w:hint="eastAsia" w:hAnsi="宋体" w:cs="宋体"/>
          <w:color w:val="auto"/>
          <w:sz w:val="21"/>
          <w:szCs w:val="21"/>
        </w:rPr>
        <w:t>12.1 合</w:t>
      </w:r>
      <w:bookmarkEnd w:id="409"/>
      <w:bookmarkEnd w:id="410"/>
      <w:bookmarkEnd w:id="411"/>
      <w:r>
        <w:rPr>
          <w:rFonts w:hint="eastAsia" w:hAnsi="宋体" w:cs="宋体"/>
          <w:color w:val="auto"/>
          <w:sz w:val="21"/>
          <w:szCs w:val="21"/>
        </w:rPr>
        <w:t>同价</w:t>
      </w:r>
      <w:bookmarkEnd w:id="412"/>
      <w:bookmarkEnd w:id="413"/>
      <w:bookmarkEnd w:id="414"/>
      <w:bookmarkEnd w:id="415"/>
      <w:bookmarkEnd w:id="416"/>
      <w:bookmarkEnd w:id="417"/>
      <w:bookmarkEnd w:id="418"/>
      <w:bookmarkEnd w:id="419"/>
      <w:r>
        <w:rPr>
          <w:rFonts w:hint="eastAsia" w:hAnsi="宋体" w:cs="宋体"/>
          <w:color w:val="auto"/>
          <w:sz w:val="21"/>
          <w:szCs w:val="21"/>
        </w:rPr>
        <w:t>格形式</w:t>
      </w:r>
    </w:p>
    <w:bookmarkEnd w:id="420"/>
    <w:bookmarkEnd w:id="421"/>
    <w:bookmarkEnd w:id="422"/>
    <w:bookmarkEnd w:id="423"/>
    <w:bookmarkEnd w:id="424"/>
    <w:bookmarkEnd w:id="425"/>
    <w:p w14:paraId="24ADEB80">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kern w:val="0"/>
          <w:szCs w:val="21"/>
        </w:rPr>
      </w:pPr>
      <w:r>
        <w:rPr>
          <w:rFonts w:hint="eastAsia" w:ascii="宋体" w:hAnsi="宋体" w:cs="宋体"/>
          <w:b/>
          <w:color w:val="auto"/>
          <w:kern w:val="0"/>
          <w:szCs w:val="21"/>
        </w:rPr>
        <w:t>本合同采用合同当事人签订的合同协议书中约定的价格形式，即：单价合同。</w:t>
      </w:r>
    </w:p>
    <w:p w14:paraId="6AE424B5">
      <w:pPr>
        <w:pageBreakBefore w:val="0"/>
        <w:widowControl/>
        <w:kinsoku/>
        <w:wordWrap/>
        <w:overflowPunct/>
        <w:topLinePunct w:val="0"/>
        <w:bidi w:val="0"/>
        <w:spacing w:line="450" w:lineRule="exact"/>
        <w:ind w:firstLine="422" w:firstLineChars="200"/>
        <w:textAlignment w:val="auto"/>
        <w:outlineLvl w:val="9"/>
        <w:rPr>
          <w:rFonts w:hAnsi="宋体" w:cs="宋体"/>
          <w:color w:val="auto"/>
          <w:szCs w:val="21"/>
        </w:rPr>
      </w:pPr>
      <w:r>
        <w:rPr>
          <w:rFonts w:hint="eastAsia" w:ascii="宋体" w:hAnsi="宋体" w:cs="宋体"/>
          <w:b/>
          <w:color w:val="auto"/>
          <w:kern w:val="0"/>
          <w:szCs w:val="21"/>
        </w:rPr>
        <w:t>结算子项单价的确定：以发包人确定的工程预算书中相应子项综合单价结合综合</w:t>
      </w:r>
      <w:r>
        <w:rPr>
          <w:rFonts w:hint="eastAsia" w:ascii="宋体" w:hAnsi="宋体" w:cs="宋体"/>
          <w:b/>
          <w:color w:val="auto"/>
          <w:kern w:val="0"/>
          <w:szCs w:val="21"/>
          <w:lang w:eastAsia="zh-CN"/>
        </w:rPr>
        <w:t>折扣</w:t>
      </w:r>
      <w:r>
        <w:rPr>
          <w:rFonts w:hint="eastAsia" w:ascii="宋体" w:hAnsi="宋体" w:cs="宋体"/>
          <w:b/>
          <w:color w:val="auto"/>
          <w:kern w:val="0"/>
          <w:szCs w:val="21"/>
        </w:rPr>
        <w:t xml:space="preserve">确定。工程量按实际工程量计算。 </w:t>
      </w:r>
      <w:r>
        <w:rPr>
          <w:rFonts w:hint="eastAsia" w:ascii="宋体" w:hAnsi="宋体" w:cs="宋体"/>
          <w:color w:val="auto"/>
          <w:kern w:val="0"/>
          <w:szCs w:val="21"/>
        </w:rPr>
        <w:t xml:space="preserve"> </w:t>
      </w:r>
      <w:r>
        <w:rPr>
          <w:rFonts w:hint="eastAsia" w:hAnsi="宋体" w:cs="宋体"/>
          <w:color w:val="auto"/>
          <w:szCs w:val="21"/>
        </w:rPr>
        <w:t xml:space="preserve">  </w:t>
      </w:r>
    </w:p>
    <w:p w14:paraId="6B78E71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12.2 预付款</w:t>
      </w:r>
    </w:p>
    <w:p w14:paraId="76A51D3E">
      <w:pPr>
        <w:pStyle w:val="14"/>
        <w:pageBreakBefore w:val="0"/>
        <w:widowControl/>
        <w:kinsoku/>
        <w:wordWrap/>
        <w:overflowPunct/>
        <w:topLinePunct w:val="0"/>
        <w:bidi w:val="0"/>
        <w:textAlignment w:val="auto"/>
        <w:outlineLvl w:val="9"/>
        <w:rPr>
          <w:color w:val="auto"/>
          <w:highlight w:val="none"/>
        </w:rPr>
      </w:pPr>
      <w:r>
        <w:rPr>
          <w:rFonts w:hint="eastAsia"/>
          <w:color w:val="auto"/>
          <w:highlight w:val="none"/>
        </w:rPr>
        <w:t>本</w:t>
      </w:r>
      <w:r>
        <w:rPr>
          <w:rFonts w:hint="eastAsia"/>
          <w:color w:val="auto"/>
          <w:highlight w:val="none"/>
          <w:lang w:val="en-US" w:eastAsia="zh-CN"/>
        </w:rPr>
        <w:t>项目</w:t>
      </w:r>
      <w:r>
        <w:rPr>
          <w:rFonts w:hint="eastAsia"/>
          <w:color w:val="auto"/>
          <w:highlight w:val="none"/>
        </w:rPr>
        <w:t>不提供预付款。</w:t>
      </w:r>
    </w:p>
    <w:p w14:paraId="1462A08B">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12.3 计量</w:t>
      </w:r>
    </w:p>
    <w:p w14:paraId="1EA7E870">
      <w:pPr>
        <w:pStyle w:val="14"/>
        <w:pageBreakBefore w:val="0"/>
        <w:widowControl/>
        <w:kinsoku/>
        <w:wordWrap/>
        <w:overflowPunct/>
        <w:topLinePunct w:val="0"/>
        <w:bidi w:val="0"/>
        <w:textAlignment w:val="auto"/>
        <w:outlineLvl w:val="9"/>
        <w:rPr>
          <w:color w:val="auto"/>
        </w:rPr>
      </w:pPr>
      <w:r>
        <w:rPr>
          <w:rFonts w:hint="eastAsia"/>
          <w:color w:val="auto"/>
        </w:rPr>
        <w:t>关于工程量计算原则约定：按现行的工程量计算规则执行。</w:t>
      </w:r>
    </w:p>
    <w:p w14:paraId="5CFA6716">
      <w:pPr>
        <w:pStyle w:val="14"/>
        <w:pageBreakBefore w:val="0"/>
        <w:widowControl/>
        <w:kinsoku/>
        <w:wordWrap/>
        <w:overflowPunct/>
        <w:topLinePunct w:val="0"/>
        <w:bidi w:val="0"/>
        <w:textAlignment w:val="auto"/>
        <w:outlineLvl w:val="9"/>
        <w:rPr>
          <w:color w:val="auto"/>
        </w:rPr>
      </w:pPr>
      <w:r>
        <w:rPr>
          <w:rFonts w:hint="eastAsia"/>
          <w:color w:val="auto"/>
        </w:rPr>
        <w:t>关于计量周期及本合同计量方式和程序的约定：执行通用条款。</w:t>
      </w:r>
    </w:p>
    <w:p w14:paraId="6978A09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12.4 工程进度款支付</w:t>
      </w:r>
    </w:p>
    <w:p w14:paraId="26D0FEB1">
      <w:pPr>
        <w:pageBreakBefore w:val="0"/>
        <w:widowControl/>
        <w:kinsoku/>
        <w:wordWrap/>
        <w:overflowPunct/>
        <w:topLinePunct w:val="0"/>
        <w:bidi w:val="0"/>
        <w:snapToGrid w:val="0"/>
        <w:spacing w:line="450" w:lineRule="exact"/>
        <w:ind w:firstLine="420"/>
        <w:textAlignment w:val="auto"/>
        <w:outlineLvl w:val="9"/>
        <w:rPr>
          <w:rFonts w:hint="eastAsia" w:hAnsi="宋体" w:cs="宋体"/>
          <w:color w:val="auto"/>
          <w:sz w:val="22"/>
          <w:szCs w:val="22"/>
          <w:highlight w:val="none"/>
          <w:u w:val="single"/>
        </w:rPr>
      </w:pPr>
      <w:r>
        <w:rPr>
          <w:rFonts w:hint="eastAsia" w:ascii="宋体" w:hAnsi="宋体" w:cs="宋体"/>
          <w:color w:val="auto"/>
          <w:szCs w:val="21"/>
        </w:rPr>
        <w:t>关于付款周期、进度款支付程序和方法的约定</w:t>
      </w:r>
      <w:bookmarkStart w:id="426" w:name="_Toc364853235"/>
      <w:r>
        <w:rPr>
          <w:rFonts w:hint="eastAsia" w:ascii="宋体" w:hAnsi="宋体" w:cs="宋体"/>
          <w:color w:val="auto"/>
          <w:szCs w:val="21"/>
        </w:rPr>
        <w:t>：</w:t>
      </w:r>
      <w:r>
        <w:rPr>
          <w:rFonts w:hint="eastAsia" w:hAnsi="宋体" w:cs="宋体"/>
          <w:color w:val="auto"/>
          <w:sz w:val="22"/>
          <w:szCs w:val="22"/>
          <w:highlight w:val="none"/>
          <w:u w:val="single"/>
        </w:rPr>
        <w:t>工程竣工验收合格</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后支付至合同价款的85%</w:t>
      </w:r>
      <w:r>
        <w:rPr>
          <w:rFonts w:hint="eastAsia" w:hAnsi="宋体" w:cs="宋体"/>
          <w:color w:val="auto"/>
          <w:sz w:val="22"/>
          <w:szCs w:val="22"/>
          <w:highlight w:val="none"/>
          <w:u w:val="single"/>
          <w:lang w:val="en-US" w:eastAsia="zh-CN"/>
        </w:rPr>
        <w:t>即【     】元</w:t>
      </w:r>
      <w:r>
        <w:rPr>
          <w:rFonts w:hint="eastAsia" w:hAnsi="宋体" w:cs="宋体"/>
          <w:color w:val="auto"/>
          <w:sz w:val="22"/>
          <w:szCs w:val="22"/>
          <w:highlight w:val="none"/>
          <w:u w:val="single"/>
        </w:rPr>
        <w:t>；待竣工结算经</w:t>
      </w:r>
      <w:r>
        <w:rPr>
          <w:rFonts w:hint="eastAsia" w:hAnsi="宋体" w:cs="宋体"/>
          <w:color w:val="auto"/>
          <w:sz w:val="22"/>
          <w:szCs w:val="22"/>
          <w:highlight w:val="none"/>
          <w:u w:val="single"/>
          <w:lang w:eastAsia="zh-CN"/>
        </w:rPr>
        <w:t>发包人</w:t>
      </w:r>
      <w:r>
        <w:rPr>
          <w:rFonts w:hint="eastAsia" w:hAnsi="宋体" w:cs="宋体"/>
          <w:color w:val="auto"/>
          <w:sz w:val="22"/>
          <w:szCs w:val="22"/>
          <w:highlight w:val="none"/>
          <w:u w:val="single"/>
        </w:rPr>
        <w:t>委托的造价咨询机构审核</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后支付至结算审核价款的98.5%，余款在</w:t>
      </w:r>
      <w:r>
        <w:rPr>
          <w:rFonts w:hint="eastAsia" w:hAnsi="宋体" w:cs="宋体"/>
          <w:color w:val="auto"/>
          <w:sz w:val="22"/>
          <w:szCs w:val="22"/>
          <w:highlight w:val="none"/>
          <w:u w:val="single"/>
          <w:lang w:val="en-US" w:eastAsia="zh-CN"/>
        </w:rPr>
        <w:t>工程缺陷责任期满</w:t>
      </w:r>
      <w:r>
        <w:rPr>
          <w:rFonts w:hint="eastAsia" w:hAnsi="宋体" w:cs="宋体"/>
          <w:color w:val="auto"/>
          <w:sz w:val="22"/>
          <w:szCs w:val="22"/>
          <w:highlight w:val="none"/>
          <w:u w:val="single"/>
        </w:rPr>
        <w:t>后付清。</w:t>
      </w:r>
    </w:p>
    <w:p w14:paraId="3FFA032C">
      <w:pPr>
        <w:pageBreakBefore w:val="0"/>
        <w:widowControl/>
        <w:kinsoku/>
        <w:wordWrap/>
        <w:overflowPunct/>
        <w:topLinePunct w:val="0"/>
        <w:bidi w:val="0"/>
        <w:snapToGrid w:val="0"/>
        <w:spacing w:line="450" w:lineRule="exact"/>
        <w:ind w:firstLine="420"/>
        <w:textAlignment w:val="auto"/>
        <w:outlineLvl w:val="9"/>
        <w:rPr>
          <w:rFonts w:hint="eastAsia" w:ascii="宋体" w:hAnsi="宋体" w:eastAsia="宋体" w:cs="宋体"/>
          <w:b/>
          <w:bCs w:val="0"/>
          <w:color w:val="auto"/>
          <w:szCs w:val="21"/>
          <w:highlight w:val="none"/>
          <w:u w:val="single"/>
          <w:lang w:val="en-US" w:eastAsia="zh-CN"/>
        </w:rPr>
      </w:pPr>
      <w:r>
        <w:rPr>
          <w:rFonts w:hint="eastAsia" w:ascii="宋体" w:hAnsi="宋体" w:cs="宋体"/>
          <w:bCs/>
          <w:color w:val="auto"/>
          <w:szCs w:val="21"/>
          <w:highlight w:val="none"/>
          <w:lang w:val="en-US" w:eastAsia="zh-CN"/>
        </w:rPr>
        <w:t>注：</w:t>
      </w:r>
      <w:r>
        <w:rPr>
          <w:rFonts w:hint="eastAsia" w:ascii="宋体" w:hAnsi="宋体" w:cs="宋体"/>
          <w:bCs/>
          <w:color w:val="auto"/>
          <w:szCs w:val="21"/>
          <w:highlight w:val="none"/>
        </w:rPr>
        <w:t>每次付款前，</w:t>
      </w:r>
      <w:r>
        <w:rPr>
          <w:rFonts w:hint="eastAsia" w:ascii="宋体" w:hAnsi="宋体" w:cs="宋体"/>
          <w:bCs/>
          <w:color w:val="auto"/>
          <w:szCs w:val="21"/>
          <w:highlight w:val="none"/>
          <w:lang w:val="en-US" w:eastAsia="zh-CN"/>
        </w:rPr>
        <w:t>承包人</w:t>
      </w:r>
      <w:r>
        <w:rPr>
          <w:rFonts w:hint="eastAsia" w:ascii="宋体" w:hAnsi="宋体" w:cs="宋体"/>
          <w:bCs/>
          <w:color w:val="auto"/>
          <w:szCs w:val="21"/>
          <w:highlight w:val="none"/>
        </w:rPr>
        <w:t>需向</w:t>
      </w:r>
      <w:r>
        <w:rPr>
          <w:rFonts w:hint="eastAsia" w:ascii="宋体" w:hAnsi="宋体" w:cs="宋体"/>
          <w:bCs/>
          <w:color w:val="auto"/>
          <w:szCs w:val="21"/>
          <w:highlight w:val="none"/>
          <w:lang w:val="en-US" w:eastAsia="zh-CN"/>
        </w:rPr>
        <w:t>发包人</w:t>
      </w:r>
      <w:r>
        <w:rPr>
          <w:rFonts w:hint="eastAsia" w:ascii="宋体" w:hAnsi="宋体" w:cs="宋体"/>
          <w:bCs/>
          <w:color w:val="auto"/>
          <w:szCs w:val="21"/>
          <w:highlight w:val="none"/>
        </w:rPr>
        <w:t>开具合法足额的增值税发票。</w:t>
      </w:r>
    </w:p>
    <w:p w14:paraId="6871C7E6">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szCs w:val="21"/>
        </w:rPr>
      </w:pPr>
      <w:r>
        <w:rPr>
          <w:rFonts w:hint="eastAsia" w:ascii="宋体" w:hAnsi="宋体" w:cs="宋体"/>
          <w:b/>
          <w:color w:val="auto"/>
          <w:szCs w:val="21"/>
        </w:rPr>
        <w:t>13. 验收和工程试车</w:t>
      </w:r>
      <w:bookmarkEnd w:id="426"/>
    </w:p>
    <w:p w14:paraId="59F2DE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13.1 分部分项工程验收</w:t>
      </w:r>
    </w:p>
    <w:p w14:paraId="49D1C51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13.1.2 监理人不能按时进行验收时，应提前</w:t>
      </w:r>
      <w:r>
        <w:rPr>
          <w:rFonts w:hint="eastAsia" w:ascii="宋体" w:hAnsi="宋体" w:cs="宋体"/>
          <w:color w:val="auto"/>
          <w:szCs w:val="21"/>
          <w:u w:val="single"/>
        </w:rPr>
        <w:t xml:space="preserve"> 24 </w:t>
      </w:r>
      <w:r>
        <w:rPr>
          <w:rFonts w:hint="eastAsia" w:ascii="宋体" w:hAnsi="宋体" w:cs="宋体"/>
          <w:color w:val="auto"/>
          <w:szCs w:val="21"/>
        </w:rPr>
        <w:t>小时提交书面延期要求，但延期不能超过48小时。</w:t>
      </w:r>
    </w:p>
    <w:p w14:paraId="4F5183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13.2 竣工验收</w:t>
      </w:r>
    </w:p>
    <w:p w14:paraId="11416AD9">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13.2.2 竣工验收程序</w:t>
      </w:r>
    </w:p>
    <w:p w14:paraId="05E8AB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关于竣工验收程序的约定：执行通用条款。</w:t>
      </w:r>
    </w:p>
    <w:p w14:paraId="1DA672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发包人不按照本项约定组织竣工验收、颁发工程接收证书的违约金的计算方法：执行通用条款。</w:t>
      </w:r>
    </w:p>
    <w:p w14:paraId="66E7380D">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13.2.5　移交、接收全部与部分工程</w:t>
      </w:r>
    </w:p>
    <w:p w14:paraId="2641716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承包人向发包人移交工程的期限：在颁发工程接收证书后</w:t>
      </w:r>
      <w:r>
        <w:rPr>
          <w:rFonts w:hint="eastAsia" w:ascii="宋体" w:hAnsi="宋体" w:cs="宋体"/>
          <w:color w:val="auto"/>
          <w:szCs w:val="21"/>
          <w:u w:val="single"/>
        </w:rPr>
        <w:t xml:space="preserve">7 </w:t>
      </w:r>
      <w:r>
        <w:rPr>
          <w:rFonts w:hint="eastAsia" w:ascii="宋体" w:hAnsi="宋体" w:cs="宋体"/>
          <w:color w:val="auto"/>
          <w:szCs w:val="21"/>
        </w:rPr>
        <w:t>天内完成工程的移交。</w:t>
      </w:r>
    </w:p>
    <w:p w14:paraId="1660EFB5">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发包人无正当理由未按本合同约定接收全部或部分工程的，除承担自应接收工程</w:t>
      </w:r>
      <w:r>
        <w:rPr>
          <w:rFonts w:hint="eastAsia" w:ascii="宋体" w:hAnsi="宋体" w:cs="宋体"/>
          <w:color w:val="auto"/>
          <w:szCs w:val="21"/>
        </w:rPr>
        <w:t>之日起的工程照管、成本保护、保管等与工程有关的各项费用外，应当按本专用条款约定的</w:t>
      </w:r>
      <w:r>
        <w:rPr>
          <w:rFonts w:hint="eastAsia" w:ascii="宋体" w:hAnsi="宋体" w:cs="宋体"/>
          <w:color w:val="auto"/>
          <w:kern w:val="0"/>
          <w:szCs w:val="21"/>
        </w:rPr>
        <w:t>提前竣工奖励的5倍标准</w:t>
      </w:r>
      <w:r>
        <w:rPr>
          <w:rFonts w:hint="eastAsia" w:ascii="宋体" w:hAnsi="宋体" w:cs="宋体"/>
          <w:color w:val="auto"/>
          <w:szCs w:val="21"/>
        </w:rPr>
        <w:t>向承包人支付逾期接收工程的违约金。</w:t>
      </w:r>
    </w:p>
    <w:p w14:paraId="5ECD9DC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承包人无正当理由未按时移交工程的，除承担自应接收工程之日起的工程照管、成本保护、保管等与工程有关的各项费用外，应当按本合同约定的工期延误赔偿标准的5倍向发</w:t>
      </w:r>
      <w:r>
        <w:rPr>
          <w:rFonts w:hint="eastAsia" w:ascii="宋体" w:hAnsi="宋体" w:cs="宋体"/>
          <w:color w:val="auto"/>
          <w:szCs w:val="21"/>
        </w:rPr>
        <w:t>包人支付逾期移交工程的违约金。</w:t>
      </w:r>
    </w:p>
    <w:p w14:paraId="4A2436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13.3 工程试车</w:t>
      </w:r>
    </w:p>
    <w:p w14:paraId="4BAD2BC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13.3.1 关于试车程序及费用的约定：执行通用条款。</w:t>
      </w:r>
    </w:p>
    <w:p w14:paraId="49026BD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13.3.3　关于投料试车相关事项的约定：执行通用条款。</w:t>
      </w:r>
    </w:p>
    <w:p w14:paraId="0C492D9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13.6 竣工退场</w:t>
      </w:r>
    </w:p>
    <w:p w14:paraId="64EF0F26">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13.6.1 竣工退场</w:t>
      </w:r>
    </w:p>
    <w:p w14:paraId="5E33A8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承包人应当在发包人颁发工程接收证书后</w:t>
      </w:r>
      <w:r>
        <w:rPr>
          <w:rFonts w:hint="eastAsia" w:ascii="宋体" w:hAnsi="宋体" w:cs="宋体"/>
          <w:color w:val="auto"/>
          <w:szCs w:val="21"/>
          <w:u w:val="single"/>
        </w:rPr>
        <w:t>14</w:t>
      </w:r>
      <w:r>
        <w:rPr>
          <w:rFonts w:hint="eastAsia" w:ascii="宋体" w:hAnsi="宋体" w:cs="宋体"/>
          <w:color w:val="auto"/>
          <w:kern w:val="0"/>
          <w:szCs w:val="21"/>
        </w:rPr>
        <w:t>天</w:t>
      </w:r>
      <w:r>
        <w:rPr>
          <w:rFonts w:hint="eastAsia" w:ascii="宋体" w:hAnsi="宋体" w:cs="宋体"/>
          <w:color w:val="auto"/>
          <w:szCs w:val="21"/>
        </w:rPr>
        <w:t>内完成竣工退场，逾期未完成的，按通用条款执行。</w:t>
      </w:r>
    </w:p>
    <w:p w14:paraId="0FB634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27" w:name="_Toc364853236"/>
      <w:r>
        <w:rPr>
          <w:rFonts w:hint="eastAsia" w:ascii="宋体" w:hAnsi="宋体" w:eastAsia="宋体" w:cs="宋体"/>
          <w:b/>
          <w:color w:val="auto"/>
          <w:szCs w:val="21"/>
        </w:rPr>
        <w:t>14. 竣工结算</w:t>
      </w:r>
      <w:bookmarkEnd w:id="427"/>
    </w:p>
    <w:p w14:paraId="48B8749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14.1 竣工结算申请</w:t>
      </w:r>
    </w:p>
    <w:p w14:paraId="685E7F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承包人应当在工程竣工验收合格后</w:t>
      </w:r>
      <w:r>
        <w:rPr>
          <w:rFonts w:hint="eastAsia" w:ascii="宋体" w:hAnsi="宋体" w:cs="宋体"/>
          <w:color w:val="auto"/>
          <w:szCs w:val="21"/>
          <w:u w:val="single"/>
        </w:rPr>
        <w:t>　28　</w:t>
      </w:r>
      <w:r>
        <w:rPr>
          <w:rFonts w:hint="eastAsia" w:ascii="宋体" w:hAnsi="宋体" w:cs="宋体"/>
          <w:color w:val="auto"/>
          <w:kern w:val="0"/>
          <w:szCs w:val="21"/>
        </w:rPr>
        <w:t>天</w:t>
      </w:r>
      <w:r>
        <w:rPr>
          <w:rFonts w:hint="eastAsia" w:ascii="宋体" w:hAnsi="宋体" w:cs="宋体"/>
          <w:color w:val="auto"/>
          <w:szCs w:val="21"/>
        </w:rPr>
        <w:t>内向发包人或其委托的工程造价咨询人提交竣工结算申请单及其完整的结算资料3份。</w:t>
      </w:r>
    </w:p>
    <w:p w14:paraId="0ADD39B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或其委托的工程造价咨询人对竣工结算申请单有异议或者结算资料不符合要求的，有权要求承包进行修正和提供补充资料，但应当出具书面的意见。承包人应当按照发包人或其委托的工程造价咨询人出具的书面意见提交修正后的竣工结算申请单或结算资料，竣工结算申请的时间从提交修正后的竣工结算申请单或结算资料起计算。</w:t>
      </w:r>
    </w:p>
    <w:p w14:paraId="12F2F200">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竣工结算申请单应包括的内容：按通用条款执行。</w:t>
      </w:r>
    </w:p>
    <w:p w14:paraId="4DC9829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14.2 竣工结算审核</w:t>
      </w:r>
    </w:p>
    <w:p w14:paraId="79C3B8A3">
      <w:pPr>
        <w:pStyle w:val="68"/>
        <w:pageBreakBefore w:val="0"/>
        <w:widowControl/>
        <w:kinsoku/>
        <w:wordWrap/>
        <w:overflowPunct/>
        <w:topLinePunct w:val="0"/>
        <w:bidi w:val="0"/>
        <w:adjustRightInd w:val="0"/>
        <w:spacing w:line="450" w:lineRule="exact"/>
        <w:ind w:firstLine="420" w:firstLineChars="200"/>
        <w:textAlignment w:val="auto"/>
        <w:outlineLvl w:val="9"/>
        <w:rPr>
          <w:rFonts w:hAnsi="宋体" w:eastAsia="宋体" w:cs="宋体"/>
          <w:color w:val="auto"/>
          <w:sz w:val="21"/>
          <w:szCs w:val="21"/>
        </w:rPr>
      </w:pPr>
      <w:r>
        <w:rPr>
          <w:rFonts w:hint="eastAsia" w:hAnsi="宋体" w:eastAsia="宋体" w:cs="宋体"/>
          <w:color w:val="auto"/>
          <w:sz w:val="21"/>
          <w:szCs w:val="21"/>
        </w:rPr>
        <w:t>14.2.1 竣工结算审核</w:t>
      </w:r>
    </w:p>
    <w:p w14:paraId="49A43BD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（1）发包人在收到承包人完整的竣工结算审核申请资料后，应在28天内及时提交发包人指定的第三方结算审核单位审核，发包人指定的第三方结算审核单位出具结算审核报告后，发包人应在</w:t>
      </w:r>
      <w:r>
        <w:rPr>
          <w:rFonts w:hint="eastAsia" w:ascii="宋体" w:hAnsi="宋体" w:cs="宋体"/>
          <w:color w:val="auto"/>
          <w:szCs w:val="21"/>
          <w:lang w:val="en-US" w:eastAsia="zh-CN"/>
        </w:rPr>
        <w:t>28</w:t>
      </w:r>
      <w:r>
        <w:rPr>
          <w:rFonts w:hint="eastAsia" w:ascii="宋体" w:hAnsi="宋体" w:cs="宋体"/>
          <w:color w:val="auto"/>
          <w:szCs w:val="21"/>
        </w:rPr>
        <w:t>天内签发竣工付款证书。</w:t>
      </w:r>
    </w:p>
    <w:p w14:paraId="60FCFF5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发包人在收到承包人提交的竣工结算申请单后</w:t>
      </w:r>
      <w:r>
        <w:rPr>
          <w:rFonts w:hint="eastAsia" w:ascii="宋体" w:hAnsi="宋体" w:cs="宋体"/>
          <w:color w:val="auto"/>
          <w:szCs w:val="21"/>
          <w:u w:val="single"/>
        </w:rPr>
        <w:t>　28　</w:t>
      </w:r>
      <w:r>
        <w:rPr>
          <w:rFonts w:hint="eastAsia" w:ascii="宋体" w:hAnsi="宋体" w:cs="宋体"/>
          <w:color w:val="auto"/>
          <w:szCs w:val="21"/>
        </w:rPr>
        <w:t>天未提出异议或者未出具结算报告的，视为发包人认可承包人提交的竣工结算申请单，逾期，视为已签发竣工付款证书。</w:t>
      </w:r>
    </w:p>
    <w:p w14:paraId="22B77D1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（2）发包人应在签发竣工付款证书后</w:t>
      </w:r>
      <w:r>
        <w:rPr>
          <w:rFonts w:hint="eastAsia" w:ascii="宋体" w:hAnsi="宋体" w:cs="宋体"/>
          <w:color w:val="auto"/>
          <w:szCs w:val="21"/>
          <w:u w:val="single"/>
        </w:rPr>
        <w:t>　7　</w:t>
      </w:r>
      <w:r>
        <w:rPr>
          <w:rFonts w:hint="eastAsia" w:ascii="宋体" w:hAnsi="宋体" w:cs="宋体"/>
          <w:color w:val="auto"/>
          <w:szCs w:val="21"/>
        </w:rPr>
        <w:t>天内，完成对承包人的竣工付款。发包人逾期支付的违约责任按通用条款执行。</w:t>
      </w:r>
    </w:p>
    <w:p w14:paraId="715019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承包人对发包人签发的竣工付款证书有异议的内容，应在收到竣工付款证书后7天内提出，按照第20条[争议解决]约定处理。无异议部分，发包人应签发临时竣工付款证书，并按第（2）项约定完成付款；承包人逾期未提出异议的，视为认可发包人的审核结果。</w:t>
      </w:r>
    </w:p>
    <w:p w14:paraId="49C063D7">
      <w:pPr>
        <w:pageBreakBefore w:val="0"/>
        <w:widowControl/>
        <w:kinsoku/>
        <w:wordWrap/>
        <w:overflowPunct/>
        <w:topLinePunct w:val="0"/>
        <w:bidi w:val="0"/>
        <w:spacing w:line="450" w:lineRule="exact"/>
        <w:ind w:firstLine="525" w:firstLineChars="250"/>
        <w:textAlignment w:val="auto"/>
        <w:outlineLvl w:val="9"/>
        <w:rPr>
          <w:rFonts w:ascii="宋体" w:hAnsi="宋体" w:cs="宋体"/>
          <w:color w:val="auto"/>
          <w:szCs w:val="21"/>
        </w:rPr>
      </w:pPr>
      <w:r>
        <w:rPr>
          <w:rFonts w:hint="eastAsia" w:ascii="宋体" w:hAnsi="宋体" w:cs="宋体"/>
          <w:color w:val="auto"/>
          <w:szCs w:val="21"/>
        </w:rPr>
        <w:t>（4）委托中介机构进行竣工结算审核时发生追加费，其费用由承包方承担。结算追加费执行浙价服【2009】84号标准，结合奉化财政局规定执行。</w:t>
      </w:r>
    </w:p>
    <w:p w14:paraId="3B0D478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（5）关于承包人收款账户的约定：执行通用条款。</w:t>
      </w:r>
    </w:p>
    <w:p w14:paraId="00812A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14.4 最终结清</w:t>
      </w:r>
    </w:p>
    <w:p w14:paraId="49B14EF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28" w:name="_Toc364853237"/>
      <w:r>
        <w:rPr>
          <w:rFonts w:hint="eastAsia" w:ascii="宋体" w:hAnsi="宋体" w:cs="宋体"/>
          <w:color w:val="auto"/>
          <w:szCs w:val="21"/>
        </w:rPr>
        <w:t>14.4.1 最终结清申请单</w:t>
      </w:r>
    </w:p>
    <w:p w14:paraId="25F0FB2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（1）承包人应在缺陷责任期终止证书颁发后7天内提交3份最终结清申请单，并提供相关证明材料。最终结清申请单应列明质量保证金、应扣除的质量保证金、缺陷责任期内发生的增减费用。</w:t>
      </w:r>
    </w:p>
    <w:p w14:paraId="04D4516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（2）发包人对最终结清申请单内容有异议的，有权要求承包人进行修正和提供补充资料，但应当出具书面意见。承包人应当按照发包人的书面意见提交修正后的最终结清申请单。</w:t>
      </w:r>
    </w:p>
    <w:p w14:paraId="6E0A08F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14.4.2 最终结清证书和支付</w:t>
      </w:r>
    </w:p>
    <w:p w14:paraId="26F2BF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（1）发包人应在收到承包人提交的最终结清申请单后</w:t>
      </w:r>
      <w:r>
        <w:rPr>
          <w:rFonts w:hint="eastAsia" w:ascii="宋体" w:hAnsi="宋体" w:cs="宋体"/>
          <w:color w:val="auto"/>
          <w:szCs w:val="21"/>
          <w:u w:val="single"/>
        </w:rPr>
        <w:t>14</w:t>
      </w:r>
      <w:r>
        <w:rPr>
          <w:rFonts w:hint="eastAsia" w:ascii="宋体" w:hAnsi="宋体" w:cs="宋体"/>
          <w:color w:val="auto"/>
          <w:szCs w:val="21"/>
        </w:rPr>
        <w:t>天内完成审批并向承包人颁发最终结清证书。发包人逾期未完成审批，又未提出修改意见的，视为发包人同意承包人提交的最终结清申请单并已颁发最终结清证书 。</w:t>
      </w:r>
    </w:p>
    <w:p w14:paraId="2AB3078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（2）发包人应在颁发最终结清证书后</w:t>
      </w:r>
      <w:r>
        <w:rPr>
          <w:rFonts w:hint="eastAsia" w:ascii="宋体" w:hAnsi="宋体" w:cs="宋体"/>
          <w:color w:val="auto"/>
          <w:szCs w:val="21"/>
          <w:u w:val="single"/>
        </w:rPr>
        <w:t>　7　</w:t>
      </w:r>
      <w:r>
        <w:rPr>
          <w:rFonts w:hint="eastAsia" w:ascii="宋体" w:hAnsi="宋体" w:cs="宋体"/>
          <w:color w:val="auto"/>
          <w:kern w:val="0"/>
          <w:szCs w:val="21"/>
        </w:rPr>
        <w:t>天</w:t>
      </w:r>
      <w:r>
        <w:rPr>
          <w:rFonts w:hint="eastAsia" w:ascii="宋体" w:hAnsi="宋体" w:cs="宋体"/>
          <w:color w:val="auto"/>
          <w:szCs w:val="21"/>
        </w:rPr>
        <w:t>内完成支付。发包人逾期支付的违约责任按通用条款执行。</w:t>
      </w:r>
    </w:p>
    <w:p w14:paraId="6DF910BD">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15. 缺陷责任期与保修</w:t>
      </w:r>
      <w:bookmarkEnd w:id="428"/>
    </w:p>
    <w:p w14:paraId="4440C90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15.2缺陷责任期</w:t>
      </w:r>
    </w:p>
    <w:p w14:paraId="2E6534F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15.2.1 本合同缺陷责任期为</w:t>
      </w:r>
      <w:r>
        <w:rPr>
          <w:rFonts w:hint="eastAsia" w:ascii="宋体" w:hAnsi="宋体" w:cs="宋体"/>
          <w:color w:val="auto"/>
          <w:szCs w:val="21"/>
          <w:u w:val="single"/>
        </w:rPr>
        <w:t>12</w:t>
      </w:r>
      <w:r>
        <w:rPr>
          <w:rFonts w:hint="eastAsia" w:ascii="宋体" w:hAnsi="宋体" w:cs="宋体"/>
          <w:color w:val="auto"/>
          <w:szCs w:val="21"/>
        </w:rPr>
        <w:t>个月。</w:t>
      </w:r>
    </w:p>
    <w:p w14:paraId="31166B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工程竣工验收合格后，因承包人原因导致的缺陷使工程或或某项主要设备不能按原定目的使用的，发包人有权在原缺陷责任期届满前要求施工承包人延长缺陷责任期，延长的缺陷责任期为</w:t>
      </w:r>
      <w:r>
        <w:rPr>
          <w:rFonts w:hint="eastAsia" w:ascii="宋体" w:hAnsi="宋体" w:cs="宋体"/>
          <w:color w:val="auto"/>
          <w:szCs w:val="21"/>
          <w:u w:val="single"/>
        </w:rPr>
        <w:t xml:space="preserve">　12  </w:t>
      </w:r>
      <w:r>
        <w:rPr>
          <w:rFonts w:hint="eastAsia" w:ascii="宋体" w:hAnsi="宋体" w:cs="宋体"/>
          <w:color w:val="auto"/>
          <w:szCs w:val="21"/>
        </w:rPr>
        <w:t>个月。</w:t>
      </w:r>
    </w:p>
    <w:p w14:paraId="27BC5F3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15.3 质量保证担保</w:t>
      </w:r>
    </w:p>
    <w:p w14:paraId="01684DA7">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（1）质量担保形式为：保证金/保险/银行保函/担保保函。</w:t>
      </w:r>
    </w:p>
    <w:p w14:paraId="5CEA06A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① 质量保证采用非保证金形式的，承包人最迟在缺陷责任期开始前 7 日将向发包人提供。缺陷责任期延长的，承包人最迟应在原缺陷责任期届满之日前 14 天向发包人提交延长缺陷责任期的质量保证金保函或顺延原保函的有效期截止时间，否则发包人有权向第三方担保人提出索赔。</w:t>
      </w:r>
    </w:p>
    <w:p w14:paraId="55EA0BD3">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② 采用质量保证金的，在工程竣工结算时发包人在合同尾款中一次性扣留。</w:t>
      </w:r>
    </w:p>
    <w:p w14:paraId="12C62E7B">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（2）质量担保期限与第 15.2 款约定的缺陷责任期保持一致。</w:t>
      </w:r>
    </w:p>
    <w:p w14:paraId="0596DBF4">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（3）质量保证金额度为结算价款的</w:t>
      </w:r>
      <w:r>
        <w:rPr>
          <w:rFonts w:hint="eastAsia" w:hAnsi="宋体" w:cs="宋体"/>
          <w:b w:val="0"/>
          <w:color w:val="auto"/>
          <w:sz w:val="21"/>
          <w:szCs w:val="21"/>
          <w:u w:val="single"/>
        </w:rPr>
        <w:t xml:space="preserve"> 1.5%</w:t>
      </w:r>
      <w:r>
        <w:rPr>
          <w:rFonts w:hint="eastAsia" w:hAnsi="宋体" w:cs="宋体"/>
          <w:b w:val="0"/>
          <w:color w:val="auto"/>
          <w:sz w:val="21"/>
          <w:szCs w:val="21"/>
        </w:rPr>
        <w:t>。</w:t>
      </w:r>
    </w:p>
    <w:p w14:paraId="61BD5F4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（4）承包人与质量保证担保有关的任何利息或其它类似的费用或者收益由承包人承担；因承包人原因导致缺陷责任期延长的，继续提供质量保证担保所增加的费用由承包人承担。</w:t>
      </w:r>
    </w:p>
    <w:p w14:paraId="477C9F0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15.4保修</w:t>
      </w:r>
    </w:p>
    <w:p w14:paraId="60903D3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bookmarkStart w:id="429" w:name="_Toc364853238"/>
      <w:r>
        <w:rPr>
          <w:rFonts w:hint="eastAsia" w:ascii="宋体" w:hAnsi="宋体" w:cs="宋体"/>
          <w:color w:val="auto"/>
          <w:kern w:val="0"/>
          <w:szCs w:val="21"/>
        </w:rPr>
        <w:t>15.4.1 保修责任</w:t>
      </w:r>
    </w:p>
    <w:p w14:paraId="5932DA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工程保修期为：按现行国家有关规定执行（具体详见本章附件 1“工程质量保修书”）。</w:t>
      </w:r>
    </w:p>
    <w:p w14:paraId="322C363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15.4.3 修复通知</w:t>
      </w:r>
    </w:p>
    <w:p w14:paraId="00136BA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合同当事人约定：承包人收到保修通知并到达工程现场的合理时间为48小时内（含48小时）。</w:t>
      </w:r>
    </w:p>
    <w:p w14:paraId="22A14DE4">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16. 违约</w:t>
      </w:r>
      <w:bookmarkEnd w:id="429"/>
    </w:p>
    <w:p w14:paraId="6C864B6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16.1 发包人违约</w:t>
      </w:r>
    </w:p>
    <w:p w14:paraId="1218E8B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16.1.1发包人违约的情形按通用条款确定。</w:t>
      </w:r>
    </w:p>
    <w:p w14:paraId="1A5FB9E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16.1.2 发包人违约的责任</w:t>
      </w:r>
    </w:p>
    <w:p w14:paraId="42C845E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发包人应承担其违约承包人增加的费用和（或）延误工期，并支付承包人合理的利润。</w:t>
      </w:r>
    </w:p>
    <w:p w14:paraId="76A6EE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16.1.3  关于发包人违约解除合同的约定：执行通用条款。</w:t>
      </w:r>
    </w:p>
    <w:p w14:paraId="755F89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16.2 承包人违约</w:t>
      </w:r>
    </w:p>
    <w:p w14:paraId="7DB545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30" w:name="_Toc364853239"/>
      <w:r>
        <w:rPr>
          <w:rFonts w:hint="eastAsia" w:ascii="宋体" w:hAnsi="宋体" w:cs="宋体"/>
          <w:color w:val="auto"/>
          <w:szCs w:val="21"/>
        </w:rPr>
        <w:t>16.2.1 承包人违约的情形按通用条款确定。</w:t>
      </w:r>
    </w:p>
    <w:p w14:paraId="63E5C76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16.2.2承包人违约的责任</w:t>
      </w:r>
    </w:p>
    <w:p w14:paraId="02C097B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承包人违约责任的承担方式和计算方法：</w:t>
      </w:r>
    </w:p>
    <w:p w14:paraId="759FEBFF">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 xml:space="preserve">（1）未达到承诺的施工工期的，承担逾期竣工违约金为 </w:t>
      </w:r>
      <w:r>
        <w:rPr>
          <w:rFonts w:hint="eastAsia" w:ascii="宋体" w:hAnsi="宋体" w:cs="宋体"/>
          <w:color w:val="auto"/>
          <w:szCs w:val="21"/>
          <w:lang w:val="en-US" w:eastAsia="zh-CN"/>
        </w:rPr>
        <w:t>1</w:t>
      </w:r>
      <w:r>
        <w:rPr>
          <w:rFonts w:hint="eastAsia" w:ascii="宋体" w:hAnsi="宋体" w:cs="宋体"/>
          <w:color w:val="auto"/>
          <w:szCs w:val="21"/>
        </w:rPr>
        <w:t>000 元/天，逾期竣工违约金的限额为</w:t>
      </w:r>
      <w:r>
        <w:rPr>
          <w:rFonts w:hint="eastAsia" w:ascii="宋体"/>
          <w:color w:val="auto"/>
          <w:szCs w:val="21"/>
        </w:rPr>
        <w:t>合同价款的</w:t>
      </w:r>
      <w:r>
        <w:rPr>
          <w:rFonts w:hint="eastAsia" w:ascii="宋体"/>
          <w:color w:val="auto"/>
          <w:szCs w:val="21"/>
          <w:u w:val="single"/>
        </w:rPr>
        <w:t xml:space="preserve"> 2 </w:t>
      </w:r>
      <w:r>
        <w:rPr>
          <w:rFonts w:hint="eastAsia" w:ascii="宋体"/>
          <w:color w:val="auto"/>
          <w:szCs w:val="21"/>
        </w:rPr>
        <w:t>%</w:t>
      </w:r>
      <w:r>
        <w:rPr>
          <w:rFonts w:hint="eastAsia" w:ascii="宋体" w:hAnsi="宋体" w:cs="宋体"/>
          <w:color w:val="auto"/>
          <w:szCs w:val="21"/>
        </w:rPr>
        <w:t>。</w:t>
      </w:r>
    </w:p>
    <w:p w14:paraId="54519153">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（2）未达到承诺的质量标准的，承担违约金限额为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597C1A3C">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（3）未履行项目经理及主要施工管理人员到场要求违约金限额为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3D60EBF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（4）未履行按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配备施工所需的主要机械设备承诺的，承担违约金限额为</w:t>
      </w:r>
      <w:r>
        <w:rPr>
          <w:rFonts w:hint="eastAsia" w:ascii="宋体"/>
          <w:color w:val="auto"/>
          <w:szCs w:val="21"/>
        </w:rPr>
        <w:t>合同价款的</w:t>
      </w:r>
      <w:r>
        <w:rPr>
          <w:rFonts w:hint="eastAsia" w:ascii="宋体"/>
          <w:color w:val="auto"/>
          <w:szCs w:val="21"/>
          <w:u w:val="single"/>
        </w:rPr>
        <w:t>1</w:t>
      </w:r>
      <w:r>
        <w:rPr>
          <w:rFonts w:hint="eastAsia" w:ascii="宋体"/>
          <w:color w:val="auto"/>
          <w:szCs w:val="21"/>
        </w:rPr>
        <w:t>%</w:t>
      </w:r>
      <w:r>
        <w:rPr>
          <w:rFonts w:hint="eastAsia" w:ascii="宋体" w:hAnsi="宋体" w:cs="宋体"/>
          <w:color w:val="auto"/>
          <w:szCs w:val="21"/>
        </w:rPr>
        <w:t>；</w:t>
      </w:r>
    </w:p>
    <w:p w14:paraId="3E212B5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配备施工所需的主要机械设备承诺，经监理人和发包人认定影响施工质量或工期或安全等的，监理人和发包人将签发《整改通知书》，承包人收到《整改通知书》后仍未整改到位的，发包人有权扣除其未履行按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配备施工所需的主要机械设备承诺违约金。</w:t>
      </w:r>
    </w:p>
    <w:p w14:paraId="375498A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（5）未履行安全文明施工等级承诺的，承担违约金限额为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2FE72497">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承包人在施工过程中未按相关标准履行工程的安全、质量、文明等的，同一事项被发包人、监理人单位发现，第一次警告;第二次及以上的，每发现一次扣罚 20000 元。</w:t>
      </w:r>
    </w:p>
    <w:p w14:paraId="313F8D4D">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承包人应承担其违约行为及纠正其违约行为而增加的费用和（或）延误的工期。延误工期的，根据实际延误的时间，按本合同约定的工期延误赔偿标准向发包人支付违约金；延误超过 56 天的，按本合同约定的工期延误赔偿标准两倍支付违约金；逾期竣工违约金不足时，发包人有权向承包人追偿。</w:t>
      </w:r>
    </w:p>
    <w:p w14:paraId="56E9E49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注：若承包人存在上述情形给发包人造成的损失超出相应的</w:t>
      </w:r>
      <w:r>
        <w:rPr>
          <w:rFonts w:hint="eastAsia" w:ascii="宋体" w:hAnsi="宋体" w:cs="宋体"/>
          <w:color w:val="auto"/>
          <w:szCs w:val="21"/>
          <w:lang w:val="en-US" w:eastAsia="zh-CN"/>
        </w:rPr>
        <w:t>限额</w:t>
      </w:r>
      <w:r>
        <w:rPr>
          <w:rFonts w:hint="eastAsia" w:ascii="宋体" w:hAnsi="宋体" w:cs="宋体"/>
          <w:color w:val="auto"/>
          <w:szCs w:val="21"/>
        </w:rPr>
        <w:t>的，发包人有权向承包人追偿。</w:t>
      </w:r>
    </w:p>
    <w:p w14:paraId="7785668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16.2.3 关于因承包人违约解除合同的约定：执行通用条款。</w:t>
      </w:r>
    </w:p>
    <w:p w14:paraId="4AE78102">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约定：产生的费用未超过承包人应承担的违约赔偿限额的，由承包人承担；产生的费用超出承包人应承担的违约赔偿限额部分，由发包人承担。</w:t>
      </w:r>
    </w:p>
    <w:p w14:paraId="1A6CD43C">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17. 不可抗力</w:t>
      </w:r>
      <w:bookmarkEnd w:id="430"/>
      <w:r>
        <w:rPr>
          <w:rFonts w:hint="eastAsia" w:ascii="宋体" w:hAnsi="宋体" w:eastAsia="宋体" w:cs="宋体"/>
          <w:b/>
          <w:color w:val="auto"/>
          <w:szCs w:val="21"/>
        </w:rPr>
        <w:t xml:space="preserve"> </w:t>
      </w:r>
    </w:p>
    <w:p w14:paraId="2D5A3659">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17.1 不可抗力的确认</w:t>
      </w:r>
    </w:p>
    <w:p w14:paraId="23168D9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除通用合同条款约定的不可抗力事件之外，视为不可抗力的其他情形：火灾、洪水、罢工、政府征用、政府禁止令等。</w:t>
      </w:r>
    </w:p>
    <w:p w14:paraId="39C3DE5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17.4 因不可抗力解除合同</w:t>
      </w:r>
    </w:p>
    <w:p w14:paraId="461D7C4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bookmarkStart w:id="431" w:name="_Toc364853240"/>
      <w:r>
        <w:rPr>
          <w:rFonts w:hint="eastAsia" w:ascii="宋体" w:hAnsi="宋体" w:cs="宋体"/>
          <w:color w:val="auto"/>
          <w:kern w:val="0"/>
          <w:szCs w:val="21"/>
        </w:rPr>
        <w:t>合同解除后，发包人应在商定或确定发包人应支付款项后28天内完成款项的支付。</w:t>
      </w:r>
    </w:p>
    <w:p w14:paraId="748AADA7">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18. 保险</w:t>
      </w:r>
      <w:bookmarkEnd w:id="431"/>
    </w:p>
    <w:p w14:paraId="7CBBECE4">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18.1 工程保险</w:t>
      </w:r>
    </w:p>
    <w:p w14:paraId="3B495F53">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关于工程保险的特别约定：</w:t>
      </w:r>
      <w:r>
        <w:rPr>
          <w:rFonts w:hint="eastAsia" w:ascii="宋体" w:hAnsi="宋体" w:cs="宋体"/>
          <w:color w:val="auto"/>
          <w:szCs w:val="21"/>
        </w:rPr>
        <w:t>执行通用条款</w:t>
      </w:r>
      <w:r>
        <w:rPr>
          <w:rFonts w:hint="eastAsia" w:ascii="宋体" w:hAnsi="宋体" w:cs="宋体"/>
          <w:color w:val="auto"/>
          <w:kern w:val="0"/>
          <w:szCs w:val="21"/>
        </w:rPr>
        <w:t>。</w:t>
      </w:r>
    </w:p>
    <w:p w14:paraId="7DA9BC37">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18.3 其他保险</w:t>
      </w:r>
    </w:p>
    <w:p w14:paraId="051C634B">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关于其他保险的约定：除第三者责任险外，保险费用由被保险人承担。</w:t>
      </w:r>
    </w:p>
    <w:p w14:paraId="143A8D3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w:t>
      </w:r>
      <w:r>
        <w:rPr>
          <w:rFonts w:hint="eastAsia" w:ascii="宋体" w:hAnsi="宋体" w:cs="宋体"/>
          <w:color w:val="auto"/>
          <w:kern w:val="0"/>
          <w:szCs w:val="21"/>
          <w:u w:val="single"/>
        </w:rPr>
        <w:t xml:space="preserve">  应当 </w:t>
      </w:r>
      <w:r>
        <w:rPr>
          <w:rFonts w:hint="eastAsia" w:ascii="宋体" w:hAnsi="宋体" w:cs="宋体"/>
          <w:color w:val="auto"/>
          <w:kern w:val="0"/>
          <w:szCs w:val="21"/>
        </w:rPr>
        <w:t>为其施工设备等办理财产保险。</w:t>
      </w:r>
    </w:p>
    <w:p w14:paraId="7CC7A69A">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18.7 通知义务</w:t>
      </w:r>
    </w:p>
    <w:p w14:paraId="0A5DB87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关于变更保险合同时的通知义务的约定：执行通用条款。</w:t>
      </w:r>
      <w:bookmarkStart w:id="432" w:name="_Toc364853241"/>
    </w:p>
    <w:p w14:paraId="549DD5B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20. 争议解决</w:t>
      </w:r>
      <w:bookmarkEnd w:id="432"/>
    </w:p>
    <w:p w14:paraId="3C295C2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20.3 争议评审</w:t>
      </w:r>
    </w:p>
    <w:p w14:paraId="5E6E65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合同当事人</w:t>
      </w:r>
      <w:r>
        <w:rPr>
          <w:rFonts w:hint="eastAsia" w:ascii="宋体" w:hAnsi="宋体" w:cs="宋体"/>
          <w:color w:val="auto"/>
          <w:kern w:val="0"/>
          <w:szCs w:val="21"/>
          <w:u w:val="single"/>
        </w:rPr>
        <w:t xml:space="preserve">   不同意  </w:t>
      </w:r>
      <w:r>
        <w:rPr>
          <w:rFonts w:hint="eastAsia" w:ascii="宋体" w:hAnsi="宋体" w:cs="宋体"/>
          <w:color w:val="auto"/>
          <w:kern w:val="0"/>
          <w:szCs w:val="21"/>
        </w:rPr>
        <w:t xml:space="preserve">将工程争议提交争议评审小组决定。  </w:t>
      </w:r>
    </w:p>
    <w:p w14:paraId="79C98D31">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20.4仲裁或诉讼</w:t>
      </w:r>
    </w:p>
    <w:p w14:paraId="02D50A92">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kern w:val="0"/>
          <w:szCs w:val="21"/>
        </w:rPr>
      </w:pPr>
      <w:r>
        <w:rPr>
          <w:rFonts w:hint="eastAsia" w:ascii="宋体" w:hAnsi="宋体" w:cs="宋体"/>
          <w:color w:val="auto"/>
          <w:kern w:val="0"/>
          <w:szCs w:val="21"/>
        </w:rPr>
        <w:t>因合同及合同有关事项发生的争议，向</w:t>
      </w:r>
      <w:r>
        <w:rPr>
          <w:rFonts w:hint="eastAsia" w:ascii="宋体" w:hAnsi="宋体" w:cs="宋体"/>
          <w:color w:val="auto"/>
          <w:kern w:val="0"/>
          <w:szCs w:val="21"/>
          <w:u w:val="single"/>
        </w:rPr>
        <w:t>宁波市奉化区</w:t>
      </w:r>
      <w:r>
        <w:rPr>
          <w:rFonts w:hint="eastAsia" w:ascii="宋体" w:hAnsi="宋体" w:cs="宋体"/>
          <w:color w:val="auto"/>
          <w:kern w:val="0"/>
          <w:szCs w:val="21"/>
        </w:rPr>
        <w:t>人民法院起诉。</w:t>
      </w:r>
    </w:p>
    <w:p w14:paraId="29AC681A">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kern w:val="0"/>
          <w:szCs w:val="21"/>
        </w:rPr>
      </w:pPr>
      <w:r>
        <w:rPr>
          <w:rFonts w:hint="eastAsia" w:ascii="宋体" w:hAnsi="宋体" w:eastAsia="宋体" w:cs="宋体"/>
          <w:b/>
          <w:color w:val="auto"/>
          <w:szCs w:val="21"/>
        </w:rPr>
        <w:t>21.其他条款</w:t>
      </w:r>
    </w:p>
    <w:p w14:paraId="487F129E">
      <w:pPr>
        <w:pageBreakBefore w:val="0"/>
        <w:widowControl/>
        <w:kinsoku/>
        <w:wordWrap/>
        <w:overflowPunct/>
        <w:topLinePunct w:val="0"/>
        <w:bidi w:val="0"/>
        <w:spacing w:line="360" w:lineRule="auto"/>
        <w:ind w:firstLine="482" w:firstLineChars="200"/>
        <w:jc w:val="center"/>
        <w:textAlignment w:val="auto"/>
        <w:outlineLvl w:val="9"/>
        <w:rPr>
          <w:rFonts w:ascii="宋体" w:hAnsi="宋体" w:cs="宋体"/>
          <w:b/>
          <w:bCs/>
          <w:color w:val="auto"/>
          <w:szCs w:val="21"/>
        </w:rPr>
      </w:pPr>
      <w:r>
        <w:rPr>
          <w:rFonts w:hint="eastAsia" w:asciiTheme="minorEastAsia" w:hAnsiTheme="minorEastAsia" w:eastAsiaTheme="minorEastAsia" w:cstheme="minorEastAsia"/>
          <w:b/>
          <w:color w:val="auto"/>
          <w:sz w:val="24"/>
        </w:rPr>
        <w:br w:type="page"/>
      </w:r>
      <w:r>
        <w:rPr>
          <w:rFonts w:hint="eastAsia" w:ascii="宋体" w:hAnsi="宋体" w:cs="宋体"/>
          <w:b/>
          <w:bCs/>
          <w:color w:val="auto"/>
          <w:szCs w:val="21"/>
        </w:rPr>
        <w:t>第四部分  附件</w:t>
      </w:r>
    </w:p>
    <w:p w14:paraId="3E6F6F7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p>
    <w:p w14:paraId="77B1033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专用合同条款附件：</w:t>
      </w:r>
    </w:p>
    <w:p w14:paraId="41796977">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附件1：工程质量保修书</w:t>
      </w:r>
    </w:p>
    <w:p w14:paraId="4AA875FE">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附件2：安全生产合同</w:t>
      </w:r>
    </w:p>
    <w:p w14:paraId="01742F6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附件3：工程项目廉政合同</w:t>
      </w:r>
    </w:p>
    <w:p w14:paraId="4EAE67F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附件4：承包人用于本工程施工的机械设备表</w:t>
      </w:r>
    </w:p>
    <w:p w14:paraId="18F84C8E">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附件5：承包人主要施工管理人员表</w:t>
      </w:r>
    </w:p>
    <w:p w14:paraId="54A1853A">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DEBD7B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108399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DB2675B">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F2DAF9">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6586583">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473D8B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6489C74E">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F8C04B1">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50F3E2">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05D4E7A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EE5020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ED2496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0494E4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3B1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190CA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353D73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B472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0C18B5B">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95B91D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7A7006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B9CA05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1DA73D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93AE31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14D2B7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77955A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7A2A893">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33" w:name="_Toc296503226"/>
      <w:bookmarkStart w:id="434" w:name="_Toc296891054"/>
      <w:bookmarkStart w:id="435" w:name="_Toc296347225"/>
      <w:bookmarkStart w:id="436" w:name="_Toc296346727"/>
      <w:bookmarkStart w:id="437" w:name="_Toc296944565"/>
      <w:bookmarkStart w:id="438" w:name="_Toc267261693"/>
      <w:bookmarkStart w:id="439" w:name="_Toc296891266"/>
      <w:r>
        <w:rPr>
          <w:rFonts w:hint="eastAsia" w:ascii="宋体" w:hAnsi="宋体" w:cs="宋体"/>
          <w:b/>
          <w:color w:val="auto"/>
          <w:szCs w:val="21"/>
        </w:rPr>
        <w:t>件1：</w:t>
      </w:r>
      <w:bookmarkEnd w:id="433"/>
      <w:bookmarkEnd w:id="434"/>
      <w:bookmarkEnd w:id="435"/>
      <w:bookmarkEnd w:id="436"/>
      <w:bookmarkEnd w:id="437"/>
      <w:bookmarkEnd w:id="438"/>
      <w:bookmarkEnd w:id="439"/>
      <w:r>
        <w:rPr>
          <w:rFonts w:hint="eastAsia" w:ascii="宋体" w:hAnsi="宋体" w:cs="宋体"/>
          <w:b/>
          <w:color w:val="auto"/>
          <w:szCs w:val="21"/>
        </w:rPr>
        <w:t xml:space="preserve">    </w:t>
      </w:r>
    </w:p>
    <w:p w14:paraId="2D155722">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工程质量保修书</w:t>
      </w:r>
    </w:p>
    <w:p w14:paraId="5C1E7906">
      <w:pPr>
        <w:pageBreakBefore w:val="0"/>
        <w:widowControl/>
        <w:kinsoku/>
        <w:wordWrap/>
        <w:overflowPunct/>
        <w:topLinePunct w:val="0"/>
        <w:bidi w:val="0"/>
        <w:spacing w:line="360" w:lineRule="auto"/>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 xml:space="preserve">    发包人（全称）：</w:t>
      </w:r>
      <w:r>
        <w:rPr>
          <w:rFonts w:hint="eastAsia" w:ascii="宋体" w:hAnsi="宋体" w:cs="宋体"/>
          <w:color w:val="auto"/>
          <w:szCs w:val="21"/>
          <w:u w:val="single"/>
          <w:lang w:eastAsia="zh-CN"/>
        </w:rPr>
        <w:t>宁波市奉化九峰城镇建设发展有限公司</w:t>
      </w:r>
    </w:p>
    <w:p w14:paraId="2E853CAA">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42A4C3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发包人和承包人根据《中华人民共和国建筑法》和《建设工程质量管理条例》，经协商一致就</w:t>
      </w:r>
      <w:r>
        <w:rPr>
          <w:rFonts w:hint="eastAsia" w:ascii="宋体" w:hAnsi="宋体" w:cs="宋体"/>
          <w:color w:val="auto"/>
          <w:szCs w:val="21"/>
          <w:u w:val="single"/>
          <w:lang w:eastAsia="zh-CN"/>
        </w:rPr>
        <w:t>奉化区莼湖街道奉松路与下横线交叉口东南侧停车场建设工程</w:t>
      </w:r>
      <w:r>
        <w:rPr>
          <w:rFonts w:hint="eastAsia" w:ascii="宋体" w:hAnsi="宋体" w:cs="宋体"/>
          <w:color w:val="auto"/>
          <w:szCs w:val="21"/>
        </w:rPr>
        <w:t>质量保修书。</w:t>
      </w:r>
    </w:p>
    <w:p w14:paraId="7FC3A99D">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一、工程质量保修范围和内容</w:t>
      </w:r>
    </w:p>
    <w:p w14:paraId="33596FFF">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承包人在质量保修期内，按照有关法律规定和合同约定，承担工程质量保修责任。</w:t>
      </w:r>
    </w:p>
    <w:p w14:paraId="4BAB2943">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质量保修范围</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p>
    <w:p w14:paraId="1DC1C992">
      <w:pPr>
        <w:pStyle w:val="66"/>
        <w:pageBreakBefore w:val="0"/>
        <w:widowControl/>
        <w:kinsoku/>
        <w:wordWrap/>
        <w:overflowPunct/>
        <w:topLinePunct w:val="0"/>
        <w:bidi w:val="0"/>
        <w:spacing w:line="360" w:lineRule="auto"/>
        <w:ind w:firstLine="422" w:firstLineChars="200"/>
        <w:textAlignment w:val="auto"/>
        <w:outlineLvl w:val="9"/>
        <w:rPr>
          <w:rFonts w:cs="宋体"/>
          <w:b/>
          <w:color w:val="auto"/>
          <w:sz w:val="21"/>
          <w:szCs w:val="21"/>
        </w:rPr>
      </w:pPr>
      <w:r>
        <w:rPr>
          <w:rFonts w:hint="eastAsia" w:cs="宋体"/>
          <w:b/>
          <w:color w:val="auto"/>
          <w:sz w:val="21"/>
          <w:szCs w:val="21"/>
        </w:rPr>
        <w:t>二、质量保修期</w:t>
      </w:r>
    </w:p>
    <w:p w14:paraId="1329728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rPr>
      </w:pPr>
      <w:r>
        <w:rPr>
          <w:rFonts w:hint="eastAsia" w:ascii="宋体" w:hAnsi="宋体" w:cs="宋体"/>
          <w:color w:val="auto"/>
          <w:szCs w:val="21"/>
          <w:highlight w:val="none"/>
        </w:rPr>
        <w:t>根据《建设工程质量管理条例》及有关规定，工程的质量保修期如下：</w:t>
      </w:r>
    </w:p>
    <w:p w14:paraId="22040C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1．地基基础工程和主体结构工程为设计文件规定的工程合理使用年限；</w:t>
      </w:r>
    </w:p>
    <w:p w14:paraId="7B676C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49D327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14:paraId="1EDE28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4．电气管线、给排水管道、设备安装工程为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3446B7C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．给排水设施、道路等配套工程为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213E26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ascii="宋体" w:hAnsi="宋体" w:cs="宋体"/>
          <w:b/>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．其他项目保修期限约定如下：</w:t>
      </w:r>
      <w:r>
        <w:rPr>
          <w:rFonts w:hint="eastAsia" w:ascii="宋体" w:hAnsi="宋体" w:cs="宋体"/>
          <w:color w:val="auto"/>
          <w:szCs w:val="21"/>
          <w:highlight w:val="none"/>
          <w:lang w:val="en-US" w:eastAsia="zh-CN"/>
        </w:rPr>
        <w:t>除上述约定以外的内容保修期为2年。</w:t>
      </w:r>
      <w:r>
        <w:rPr>
          <w:rFonts w:hint="eastAsia" w:ascii="宋体" w:hAnsi="宋体" w:cs="宋体"/>
          <w:color w:val="auto"/>
          <w:szCs w:val="21"/>
          <w:highlight w:val="none"/>
        </w:rPr>
        <w:t xml:space="preserve"> </w:t>
      </w:r>
    </w:p>
    <w:p w14:paraId="47FA2587">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三、缺陷责任期</w:t>
      </w:r>
    </w:p>
    <w:p w14:paraId="442FD26D">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w:t>
      </w:r>
      <w:r>
        <w:rPr>
          <w:rFonts w:hint="eastAsia" w:ascii="宋体" w:hAnsi="宋体" w:cs="宋体"/>
          <w:color w:val="auto"/>
          <w:szCs w:val="21"/>
        </w:rPr>
        <w:t>个月，缺陷责任期</w:t>
      </w:r>
      <w:r>
        <w:rPr>
          <w:rFonts w:hint="eastAsia" w:ascii="宋体" w:hAnsi="宋体" w:cs="宋体"/>
          <w:bCs/>
          <w:color w:val="auto"/>
          <w:szCs w:val="21"/>
        </w:rPr>
        <w:t>自工程接受证书中写明的全部工程完工日开始算起（发包人提前验收并签发接受证书的单位工程和部分工程，若未投入正常使用，其缺陷责任期亦按全部工程的完工日开始起算）</w:t>
      </w:r>
      <w:r>
        <w:rPr>
          <w:rFonts w:hint="eastAsia" w:ascii="宋体" w:hAnsi="宋体" w:cs="宋体"/>
          <w:color w:val="auto"/>
          <w:szCs w:val="21"/>
        </w:rPr>
        <w:t>。</w:t>
      </w:r>
    </w:p>
    <w:p w14:paraId="56FC3B76">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缺陷责任期终止后，发包人在完成最终结清后应退还承包人的质量保证金保函或剩余的质量保证金。</w:t>
      </w:r>
    </w:p>
    <w:p w14:paraId="62CA0EC8">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四、质量保修责任</w:t>
      </w:r>
    </w:p>
    <w:p w14:paraId="79D1E903">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451C3E0D">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3743738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24CB9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b/>
          <w:color w:val="auto"/>
          <w:szCs w:val="21"/>
        </w:rPr>
      </w:pPr>
      <w:r>
        <w:rPr>
          <w:rFonts w:hint="eastAsia" w:ascii="宋体" w:hAnsi="宋体" w:cs="宋体"/>
          <w:color w:val="auto"/>
          <w:szCs w:val="21"/>
        </w:rPr>
        <w:t>4．质量保修完成后，由发包人组织验收。</w:t>
      </w:r>
    </w:p>
    <w:p w14:paraId="15B25A85">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五、保修费用</w:t>
      </w:r>
    </w:p>
    <w:p w14:paraId="69916D79">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保修费用由造成质量缺陷的责任方承担。</w:t>
      </w:r>
    </w:p>
    <w:p w14:paraId="3C6EB522">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u w:val="single"/>
        </w:rPr>
      </w:pPr>
      <w:r>
        <w:rPr>
          <w:rFonts w:hint="eastAsia" w:ascii="宋体" w:hAnsi="宋体" w:cs="宋体"/>
          <w:b/>
          <w:color w:val="auto"/>
          <w:szCs w:val="21"/>
        </w:rPr>
        <w:t>六、双方约定的其他工程质量保修事项：</w:t>
      </w:r>
      <w:r>
        <w:rPr>
          <w:rFonts w:hint="eastAsia" w:ascii="宋体" w:hAnsi="宋体" w:cs="宋体"/>
          <w:b/>
          <w:color w:val="auto"/>
          <w:szCs w:val="21"/>
          <w:u w:val="single"/>
        </w:rPr>
        <w:t xml:space="preserve">    /    </w:t>
      </w:r>
      <w:r>
        <w:rPr>
          <w:rFonts w:hint="eastAsia" w:ascii="宋体" w:hAnsi="宋体" w:cs="宋体"/>
          <w:color w:val="auto"/>
          <w:szCs w:val="21"/>
        </w:rPr>
        <w:t>。</w:t>
      </w:r>
    </w:p>
    <w:p w14:paraId="555FBD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60C3384D">
      <w:pPr>
        <w:pageBreakBefore w:val="0"/>
        <w:widowControl/>
        <w:kinsoku/>
        <w:wordWrap/>
        <w:overflowPunct/>
        <w:topLinePunct w:val="0"/>
        <w:bidi w:val="0"/>
        <w:spacing w:line="360" w:lineRule="auto"/>
        <w:ind w:firstLine="420"/>
        <w:textAlignment w:val="auto"/>
        <w:outlineLvl w:val="9"/>
        <w:rPr>
          <w:rFonts w:ascii="宋体" w:hAnsi="宋体" w:cs="宋体"/>
          <w:color w:val="auto"/>
          <w:szCs w:val="21"/>
        </w:rPr>
      </w:pPr>
    </w:p>
    <w:p w14:paraId="402DF1D8">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pacing w:val="14"/>
          <w:szCs w:val="21"/>
          <w:u w:val="single"/>
          <w:lang w:val="en-US" w:eastAsia="zh-CN"/>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承包人(公章):</w:t>
      </w:r>
      <w:r>
        <w:rPr>
          <w:rFonts w:hint="eastAsia" w:ascii="宋体" w:hAnsi="宋体" w:cs="宋体"/>
          <w:color w:val="auto"/>
          <w:szCs w:val="21"/>
          <w:u w:val="single"/>
        </w:rPr>
        <w:t xml:space="preserve">                </w:t>
      </w:r>
    </w:p>
    <w:p w14:paraId="754DC437">
      <w:pPr>
        <w:pageBreakBefore w:val="0"/>
        <w:widowControl/>
        <w:kinsoku/>
        <w:wordWrap/>
        <w:overflowPunct/>
        <w:topLinePunct w:val="0"/>
        <w:bidi w:val="0"/>
        <w:spacing w:line="560" w:lineRule="exact"/>
        <w:textAlignment w:val="auto"/>
        <w:outlineLvl w:val="9"/>
        <w:rPr>
          <w:rFonts w:ascii="宋体" w:hAnsi="宋体" w:cs="宋体"/>
          <w:color w:val="auto"/>
          <w:kern w:val="0"/>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地址：</w:t>
      </w:r>
      <w:r>
        <w:rPr>
          <w:rFonts w:hint="eastAsia" w:ascii="宋体" w:hAnsi="宋体" w:cs="宋体"/>
          <w:color w:val="auto"/>
          <w:szCs w:val="21"/>
          <w:u w:val="single"/>
        </w:rPr>
        <w:t xml:space="preserve">                      </w:t>
      </w:r>
    </w:p>
    <w:p w14:paraId="4B7749CE">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21B0B3BB">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2559AF68">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656E2436">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20810E9C">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开户银行：</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开户银行：</w:t>
      </w:r>
      <w:r>
        <w:rPr>
          <w:rFonts w:hint="eastAsia" w:ascii="宋体" w:hAnsi="宋体" w:cs="宋体"/>
          <w:color w:val="auto"/>
          <w:szCs w:val="21"/>
        </w:rPr>
        <w:t xml:space="preserve">                       </w:t>
      </w:r>
    </w:p>
    <w:p w14:paraId="21463C23">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账号：</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账号： </w:t>
      </w:r>
      <w:r>
        <w:rPr>
          <w:rFonts w:hint="eastAsia" w:ascii="宋体" w:hAnsi="宋体" w:cs="宋体"/>
          <w:color w:val="auto"/>
          <w:szCs w:val="21"/>
        </w:rPr>
        <w:t xml:space="preserve">                         </w:t>
      </w:r>
    </w:p>
    <w:p w14:paraId="5DFED22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926BC7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7E2465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EB2F90A">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514D059F">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01C2E226">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49D5BB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11687097">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6F4DE018">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bookmarkStart w:id="440" w:name="_Toc315695461"/>
      <w:bookmarkStart w:id="441" w:name="_Toc315695235"/>
      <w:bookmarkStart w:id="442" w:name="_Toc360114130"/>
      <w:bookmarkStart w:id="443" w:name="_Toc358876721"/>
      <w:bookmarkStart w:id="444" w:name="_Toc359567922"/>
    </w:p>
    <w:p w14:paraId="44F118B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944D13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6B2193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BFC2B26">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FE37C8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5AB2C1AA">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A6D0E1A">
      <w:pPr>
        <w:pageBreakBefore w:val="0"/>
        <w:widowControl/>
        <w:kinsoku/>
        <w:wordWrap/>
        <w:overflowPunct/>
        <w:topLinePunct w:val="0"/>
        <w:bidi w:val="0"/>
        <w:ind w:firstLine="422"/>
        <w:textAlignment w:val="auto"/>
        <w:outlineLvl w:val="9"/>
        <w:rPr>
          <w:rFonts w:ascii="宋体" w:hAnsi="宋体" w:cs="宋体"/>
          <w:b/>
          <w:bCs/>
          <w:color w:val="auto"/>
          <w:szCs w:val="21"/>
        </w:rPr>
      </w:pPr>
      <w:r>
        <w:rPr>
          <w:rFonts w:ascii="宋体" w:hAnsi="宋体" w:cs="宋体"/>
          <w:b/>
          <w:bCs/>
          <w:color w:val="auto"/>
          <w:szCs w:val="21"/>
        </w:rPr>
        <w:br w:type="page"/>
      </w:r>
    </w:p>
    <w:p w14:paraId="6E16385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bCs/>
          <w:color w:val="auto"/>
          <w:szCs w:val="21"/>
        </w:rPr>
        <w:t xml:space="preserve">附件2：                       </w:t>
      </w:r>
      <w:r>
        <w:rPr>
          <w:rFonts w:hint="eastAsia" w:ascii="宋体" w:hAnsi="宋体" w:cs="宋体"/>
          <w:b/>
          <w:color w:val="auto"/>
          <w:szCs w:val="21"/>
        </w:rPr>
        <w:t>安全生产合同</w:t>
      </w:r>
    </w:p>
    <w:p w14:paraId="35365FFF">
      <w:pPr>
        <w:pageBreakBefore w:val="0"/>
        <w:widowControl/>
        <w:kinsoku/>
        <w:wordWrap/>
        <w:overflowPunct/>
        <w:topLinePunct w:val="0"/>
        <w:bidi w:val="0"/>
        <w:spacing w:line="360" w:lineRule="auto"/>
        <w:ind w:firstLine="420" w:firstLineChars="200"/>
        <w:textAlignment w:val="auto"/>
        <w:outlineLvl w:val="9"/>
        <w:rPr>
          <w:rFonts w:ascii="宋体" w:hAnsi="宋体" w:cs="宋体"/>
          <w:bCs/>
          <w:color w:val="auto"/>
          <w:szCs w:val="21"/>
          <w:u w:val="single"/>
        </w:rPr>
      </w:pPr>
      <w:r>
        <w:rPr>
          <w:rFonts w:hint="eastAsia" w:ascii="宋体" w:hAnsi="宋体" w:cs="宋体"/>
          <w:color w:val="auto"/>
          <w:szCs w:val="21"/>
        </w:rPr>
        <w:t>为在</w:t>
      </w:r>
      <w:r>
        <w:rPr>
          <w:rFonts w:hint="eastAsia" w:ascii="宋体" w:hAnsi="宋体" w:cs="宋体"/>
          <w:color w:val="auto"/>
          <w:szCs w:val="21"/>
          <w:u w:val="single"/>
          <w:lang w:eastAsia="zh-CN"/>
        </w:rPr>
        <w:t>奉化区莼湖街道奉松路与下横线交叉口东南侧停车场建设工程</w:t>
      </w:r>
      <w:r>
        <w:rPr>
          <w:rFonts w:hint="eastAsia" w:ascii="宋体" w:hAnsi="宋体" w:cs="宋体"/>
          <w:color w:val="auto"/>
          <w:szCs w:val="21"/>
        </w:rPr>
        <w:t>（项目名称）施工合同的实施过程中创造安全、高效的施工环境，切实搞好本项目的安全管理工作，本项目发包人</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rPr>
        <w:t>（发包人名称，以下简称“发包人”）与</w:t>
      </w:r>
      <w:r>
        <w:rPr>
          <w:rFonts w:hint="eastAsia" w:ascii="宋体" w:hAnsi="宋体" w:cs="宋体"/>
          <w:color w:val="auto"/>
          <w:szCs w:val="21"/>
          <w:u w:val="single"/>
        </w:rPr>
        <w:t xml:space="preserve">               （</w:t>
      </w:r>
      <w:r>
        <w:rPr>
          <w:rFonts w:hint="eastAsia" w:ascii="宋体" w:hAnsi="宋体" w:cs="宋体"/>
          <w:color w:val="auto"/>
          <w:szCs w:val="21"/>
        </w:rPr>
        <w:t>承包人名称，以下简称“承包人”）特此签订安全生产合同：</w:t>
      </w:r>
    </w:p>
    <w:p w14:paraId="7E57A42D">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1.发包人职责</w:t>
      </w:r>
    </w:p>
    <w:p w14:paraId="3C1CB9A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（1）严格遵守国家有关安全生产的法律法规，认真执行工程承包合同中的有关安全要求。</w:t>
      </w:r>
    </w:p>
    <w:p w14:paraId="4D13534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（2）按照“安全第一、预防为主”和坚持“管生产必须管安全”的原则进行安全生产管理，做到生产与安全工作同时计划、布置、检查、总结和评比。</w:t>
      </w:r>
    </w:p>
    <w:p w14:paraId="1673894B">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（3）重要的安全设施必须坚持与主体工程“三同时”的原则，即：同时设计、审批，同时施工，同时验收，投入使用。</w:t>
      </w:r>
    </w:p>
    <w:p w14:paraId="02B14AF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（4）定期召开安全生产调度会，及时传达中央及地方有关安全生产的精神。</w:t>
      </w:r>
    </w:p>
    <w:p w14:paraId="41B6E54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（5）组织对承包人施工现场安全生产检查，监督承包人及时处理发现的各种安全隐患。</w:t>
      </w:r>
    </w:p>
    <w:p w14:paraId="49D8EC52">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2.承包人职责</w:t>
      </w:r>
    </w:p>
    <w:p w14:paraId="18227163">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（1）严格遵守《中华人民共和国安全生产法》、《建设工程安全生产管理条例》等国家有关安全生产的法律法规有关安全生产的规定。认真执行工程承包合同中的有关安全要求。</w:t>
      </w:r>
    </w:p>
    <w:p w14:paraId="033A205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A38CE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680BB3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（4）承包人在任何时候都应采取各种合理的预防措施，防止其员工发生任何违法、违禁、暴力或妨碍治安的行为。</w:t>
      </w:r>
    </w:p>
    <w:p w14:paraId="3171B53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1EE7F7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66B4EA9">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（7）操作人员上岗，必须按规定穿戴防护用品。施工负责人和安全检查员应随时检查劳动防护用品的穿戴情况，不按规定穿戴防护用品的人员不得上岗。</w:t>
      </w:r>
    </w:p>
    <w:p w14:paraId="4FF6D19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（8）所有施工机具设备和高空作业的设备均应定期检查，并有安全员的签字记录，保证其经常处于完好状态；不合格的机具、设备和劳动保护用品严禁使用：</w:t>
      </w:r>
    </w:p>
    <w:p w14:paraId="266A4FE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（9）施工中采用新技术、新工艺、新设备、新材料时，必须制定相应的安全技术措施，施工现场必须具有相关的安全标志牌。</w:t>
      </w:r>
    </w:p>
    <w:p w14:paraId="299F8CF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92C5AF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3.违约责任</w:t>
      </w:r>
    </w:p>
    <w:p w14:paraId="7FD9643C">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如因发包人或承包人违约造成安全事故，将依法追究责任。</w:t>
      </w:r>
    </w:p>
    <w:p w14:paraId="1FB1D9E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4.本合同由双方法定代表人或其授权的代理人签署并加盖单位章后生效，全部工程竣工验收后失效。</w:t>
      </w:r>
    </w:p>
    <w:p w14:paraId="3ED4CB8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w:t>
      </w:r>
      <w:r>
        <w:rPr>
          <w:rFonts w:hint="eastAsia" w:ascii="宋体" w:hAnsi="宋体"/>
          <w:color w:val="auto"/>
          <w:szCs w:val="21"/>
        </w:rPr>
        <w:t>本合同一式陆份，甲、乙双方各执贰份，招标代理机构壹份，归档壹份。</w:t>
      </w:r>
    </w:p>
    <w:p w14:paraId="40EE7180">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lang w:val="zh-CN"/>
        </w:rPr>
      </w:pPr>
      <w:r>
        <w:rPr>
          <w:rFonts w:hint="eastAsia" w:ascii="宋体" w:hAnsi="宋体" w:cs="宋体"/>
          <w:color w:val="auto"/>
          <w:szCs w:val="21"/>
        </w:rPr>
        <w:t>发包人：（盖章）</w:t>
      </w:r>
      <w:r>
        <w:rPr>
          <w:rFonts w:hint="eastAsia" w:ascii="宋体" w:hAnsi="宋体" w:cs="宋体"/>
          <w:color w:val="auto"/>
          <w:szCs w:val="21"/>
          <w:u w:val="single"/>
          <w:lang w:val="en-US" w:eastAsia="zh-CN"/>
        </w:rPr>
        <w:t xml:space="preserve">               </w:t>
      </w:r>
      <w:r>
        <w:rPr>
          <w:rFonts w:hint="eastAsia" w:ascii="宋体" w:hAnsi="宋体" w:cs="宋体"/>
          <w:color w:val="auto"/>
          <w:spacing w:val="14"/>
          <w:szCs w:val="21"/>
          <w:u w:val="single"/>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w:t>
      </w:r>
      <w:r>
        <w:rPr>
          <w:rFonts w:hint="eastAsia" w:ascii="宋体" w:hAnsi="宋体" w:cs="宋体"/>
          <w:color w:val="auto"/>
          <w:szCs w:val="21"/>
          <w:u w:val="single"/>
        </w:rPr>
        <w:t xml:space="preserve">                  （</w:t>
      </w:r>
      <w:r>
        <w:rPr>
          <w:rFonts w:hint="eastAsia" w:ascii="宋体" w:hAnsi="宋体" w:cs="宋体"/>
          <w:color w:val="auto"/>
          <w:szCs w:val="21"/>
        </w:rPr>
        <w:t>盖章</w:t>
      </w:r>
      <w:r>
        <w:rPr>
          <w:rFonts w:hint="eastAsia" w:ascii="宋体" w:hAnsi="宋体" w:cs="宋体"/>
          <w:color w:val="auto"/>
          <w:szCs w:val="21"/>
          <w:u w:val="single"/>
        </w:rPr>
        <w:t>）</w:t>
      </w:r>
    </w:p>
    <w:p w14:paraId="650B334D">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 xml:space="preserve">        </w:t>
      </w:r>
    </w:p>
    <w:p w14:paraId="52467A1B">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法定代表人或                       法定代表人或</w:t>
      </w:r>
    </w:p>
    <w:p w14:paraId="2DAAD618">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其委托代理人：</w:t>
      </w:r>
      <w:r>
        <w:rPr>
          <w:rFonts w:hint="eastAsia" w:ascii="宋体" w:hAnsi="宋体" w:cs="宋体"/>
          <w:color w:val="auto"/>
          <w:szCs w:val="21"/>
          <w:u w:val="single"/>
        </w:rPr>
        <w:t xml:space="preserve">           </w:t>
      </w:r>
      <w:r>
        <w:rPr>
          <w:rFonts w:hint="eastAsia" w:ascii="宋体" w:hAnsi="宋体" w:cs="宋体"/>
          <w:color w:val="auto"/>
          <w:szCs w:val="21"/>
        </w:rPr>
        <w:t>（签字）  其委托代理人：</w:t>
      </w:r>
      <w:r>
        <w:rPr>
          <w:rFonts w:hint="eastAsia" w:ascii="宋体" w:hAnsi="宋体" w:cs="宋体"/>
          <w:color w:val="auto"/>
          <w:szCs w:val="21"/>
          <w:u w:val="single"/>
        </w:rPr>
        <w:t xml:space="preserve">                </w:t>
      </w:r>
      <w:r>
        <w:rPr>
          <w:rFonts w:hint="eastAsia" w:ascii="宋体" w:hAnsi="宋体" w:cs="宋体"/>
          <w:color w:val="auto"/>
          <w:szCs w:val="21"/>
        </w:rPr>
        <w:t>（签字）</w:t>
      </w:r>
    </w:p>
    <w:p w14:paraId="12B86C14">
      <w:pPr>
        <w:pageBreakBefore w:val="0"/>
        <w:widowControl/>
        <w:kinsoku/>
        <w:wordWrap/>
        <w:overflowPunct/>
        <w:topLinePunct w:val="0"/>
        <w:bidi w:val="0"/>
        <w:spacing w:line="420" w:lineRule="exact"/>
        <w:ind w:left="840"/>
        <w:textAlignment w:val="auto"/>
        <w:outlineLvl w:val="9"/>
        <w:rPr>
          <w:rFonts w:ascii="宋体" w:hAnsi="宋体" w:cs="宋体"/>
          <w:color w:val="auto"/>
          <w:szCs w:val="21"/>
        </w:rPr>
      </w:pPr>
    </w:p>
    <w:p w14:paraId="6B27A42E">
      <w:pPr>
        <w:pageBreakBefore w:val="0"/>
        <w:widowControl/>
        <w:kinsoku/>
        <w:wordWrap/>
        <w:overflowPunct/>
        <w:topLinePunct w:val="0"/>
        <w:bidi w:val="0"/>
        <w:spacing w:line="420" w:lineRule="exact"/>
        <w:ind w:left="840" w:leftChars="400" w:firstLine="315" w:firstLineChars="150"/>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A23C02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362B4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51A1823">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869AC7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EE6459">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18CD9EC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62CE19C5">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3E2200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E50480F">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38855B3">
      <w:pPr>
        <w:pageBreakBefore w:val="0"/>
        <w:widowControl/>
        <w:kinsoku/>
        <w:wordWrap/>
        <w:overflowPunct/>
        <w:topLinePunct w:val="0"/>
        <w:bidi w:val="0"/>
        <w:spacing w:line="360" w:lineRule="auto"/>
        <w:ind w:firstLine="422"/>
        <w:textAlignment w:val="auto"/>
        <w:outlineLvl w:val="9"/>
        <w:rPr>
          <w:rFonts w:hint="eastAsia" w:ascii="宋体" w:hAnsi="宋体" w:cs="宋体"/>
          <w:b/>
          <w:bCs/>
          <w:color w:val="auto"/>
          <w:szCs w:val="21"/>
        </w:rPr>
        <w:sectPr>
          <w:headerReference r:id="rId4" w:type="first"/>
          <w:footerReference r:id="rId6" w:type="first"/>
          <w:headerReference r:id="rId3" w:type="default"/>
          <w:footerReference r:id="rId5" w:type="default"/>
          <w:pgSz w:w="11906" w:h="16838"/>
          <w:pgMar w:top="1276" w:right="1418" w:bottom="1247" w:left="1418" w:header="851" w:footer="992" w:gutter="0"/>
          <w:cols w:space="720" w:num="1"/>
          <w:titlePg/>
          <w:docGrid w:linePitch="312" w:charSpace="0"/>
        </w:sectPr>
      </w:pPr>
    </w:p>
    <w:p w14:paraId="2258433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lang w:val="zh-CN"/>
        </w:rPr>
      </w:pPr>
      <w:r>
        <w:rPr>
          <w:rFonts w:hint="eastAsia" w:ascii="宋体" w:hAnsi="宋体" w:cs="宋体"/>
          <w:b/>
          <w:bCs/>
          <w:color w:val="auto"/>
          <w:szCs w:val="21"/>
        </w:rPr>
        <w:t xml:space="preserve">附件3：                   </w:t>
      </w:r>
      <w:r>
        <w:rPr>
          <w:rFonts w:hint="eastAsia" w:ascii="宋体" w:hAnsi="宋体" w:cs="宋体"/>
          <w:b/>
          <w:color w:val="auto"/>
          <w:szCs w:val="21"/>
          <w:lang w:val="zh-CN"/>
        </w:rPr>
        <w:t>工程项目廉政合同</w:t>
      </w:r>
      <w:bookmarkEnd w:id="440"/>
      <w:bookmarkEnd w:id="441"/>
      <w:bookmarkEnd w:id="442"/>
      <w:bookmarkEnd w:id="443"/>
      <w:bookmarkEnd w:id="444"/>
    </w:p>
    <w:p w14:paraId="2130FBBA">
      <w:pPr>
        <w:pageBreakBefore w:val="0"/>
        <w:widowControl/>
        <w:kinsoku/>
        <w:wordWrap/>
        <w:overflowPunct/>
        <w:topLinePunct w:val="0"/>
        <w:bidi w:val="0"/>
        <w:spacing w:before="100" w:beforeAutospacing="1" w:after="100" w:afterAutospacing="1"/>
        <w:ind w:firstLine="420" w:firstLineChars="200"/>
        <w:textAlignment w:val="auto"/>
        <w:outlineLvl w:val="9"/>
        <w:rPr>
          <w:rFonts w:hint="eastAsia" w:ascii="宋体" w:hAnsi="宋体" w:eastAsia="宋体" w:cs="宋体"/>
          <w:color w:val="auto"/>
          <w:kern w:val="0"/>
          <w:szCs w:val="21"/>
          <w:u w:val="single"/>
          <w:lang w:eastAsia="zh-CN"/>
        </w:rPr>
      </w:pPr>
      <w:r>
        <w:rPr>
          <w:rFonts w:hint="eastAsia" w:ascii="宋体" w:hAnsi="宋体" w:cs="宋体"/>
          <w:color w:val="auto"/>
          <w:kern w:val="0"/>
          <w:szCs w:val="21"/>
          <w:lang w:val="zh-CN"/>
        </w:rPr>
        <w:t>工程项目名称：</w:t>
      </w:r>
      <w:r>
        <w:rPr>
          <w:rFonts w:hint="eastAsia" w:ascii="宋体" w:hAnsi="宋体" w:cs="宋体"/>
          <w:color w:val="auto"/>
          <w:szCs w:val="21"/>
          <w:u w:val="single"/>
          <w:lang w:eastAsia="zh-CN"/>
        </w:rPr>
        <w:t>奉化区莼湖街道奉松路与下横线交叉口东南侧停车场建设工程</w:t>
      </w:r>
    </w:p>
    <w:p w14:paraId="7E5B6EE2">
      <w:pPr>
        <w:pageBreakBefore w:val="0"/>
        <w:widowControl/>
        <w:kinsoku/>
        <w:wordWrap/>
        <w:overflowPunct/>
        <w:topLinePunct w:val="0"/>
        <w:bidi w:val="0"/>
        <w:spacing w:before="100" w:beforeAutospacing="1" w:after="100" w:afterAutospacing="1" w:line="240" w:lineRule="exact"/>
        <w:ind w:firstLine="420" w:firstLineChars="200"/>
        <w:textAlignment w:val="auto"/>
        <w:outlineLvl w:val="9"/>
        <w:rPr>
          <w:rFonts w:ascii="宋体" w:hAnsi="宋体" w:cs="宋体"/>
          <w:color w:val="auto"/>
          <w:kern w:val="0"/>
          <w:szCs w:val="21"/>
          <w:u w:val="single"/>
          <w:lang w:val="zh-CN"/>
        </w:rPr>
      </w:pPr>
      <w:r>
        <w:rPr>
          <w:rFonts w:hint="eastAsia" w:ascii="宋体" w:hAnsi="宋体" w:cs="宋体"/>
          <w:color w:val="auto"/>
          <w:kern w:val="0"/>
          <w:szCs w:val="21"/>
          <w:lang w:val="zh-CN"/>
        </w:rPr>
        <w:t>发包人名称(以下称发包人)：</w:t>
      </w:r>
      <w:r>
        <w:rPr>
          <w:rFonts w:hint="eastAsia" w:ascii="宋体" w:hAnsi="宋体" w:cs="宋体"/>
          <w:color w:val="auto"/>
          <w:kern w:val="0"/>
          <w:szCs w:val="21"/>
          <w:u w:val="single"/>
          <w:lang w:val="zh-CN"/>
        </w:rPr>
        <w:t xml:space="preserve">宁波市奉化九峰城镇建设发展有限公司 </w:t>
      </w:r>
    </w:p>
    <w:p w14:paraId="752E913D">
      <w:pPr>
        <w:pageBreakBefore w:val="0"/>
        <w:widowControl/>
        <w:kinsoku/>
        <w:wordWrap/>
        <w:overflowPunct/>
        <w:topLinePunct w:val="0"/>
        <w:autoSpaceDE w:val="0"/>
        <w:autoSpaceDN w:val="0"/>
        <w:bidi w:val="0"/>
        <w:adjustRightInd w:val="0"/>
        <w:spacing w:line="240" w:lineRule="exact"/>
        <w:ind w:firstLine="420" w:firstLineChars="200"/>
        <w:textAlignment w:val="auto"/>
        <w:outlineLvl w:val="9"/>
        <w:rPr>
          <w:rFonts w:ascii="宋体" w:hAnsi="宋体" w:cs="宋体"/>
          <w:color w:val="auto"/>
          <w:kern w:val="0"/>
          <w:szCs w:val="21"/>
          <w:u w:val="single"/>
        </w:rPr>
      </w:pPr>
      <w:r>
        <w:rPr>
          <w:rFonts w:hint="eastAsia" w:ascii="宋体" w:hAnsi="宋体" w:cs="宋体"/>
          <w:color w:val="auto"/>
          <w:kern w:val="0"/>
          <w:szCs w:val="21"/>
          <w:lang w:val="zh-CN"/>
        </w:rPr>
        <w:t>承包人名称(以下称承包人)：</w:t>
      </w:r>
      <w:r>
        <w:rPr>
          <w:rFonts w:hint="eastAsia" w:ascii="宋体" w:hAnsi="宋体" w:cs="宋体"/>
          <w:color w:val="auto"/>
          <w:szCs w:val="21"/>
          <w:u w:val="single"/>
        </w:rPr>
        <w:t xml:space="preserve">                                 </w:t>
      </w:r>
    </w:p>
    <w:p w14:paraId="2CD4C46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为加强工程建设中的廉政建设，规范工程项目承包、发包双方的各项活动，防止发生各种谋取不正当利益的违法违纪行为，保护国家、集体和当事人的合法权益，根据国家有关工程建设的法律法规和廉政建设规定，特订立本廉政合同。    </w:t>
      </w:r>
    </w:p>
    <w:p w14:paraId="7BBD825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第一条  甲乙双方的权利和义务    </w:t>
      </w:r>
    </w:p>
    <w:p w14:paraId="0489938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(一)严格遵守国家关于市场准入、勘测设计、施工监理、招标询价、工程施工、设备安装和市场经营活动等有关法律法规和相关政策，以及廉政建设的各项规定。    </w:t>
      </w:r>
    </w:p>
    <w:p w14:paraId="0F1EDC0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(二)严格执行本项目发包承包双方签订的 (施工合同、监理合同、勘测设计合同、采购合同、代理合同等)合同，自觉按合同办事。    </w:t>
      </w:r>
    </w:p>
    <w:p w14:paraId="7D115BB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    </w:t>
      </w:r>
    </w:p>
    <w:p w14:paraId="476D311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建立健全廉政制度，开展廉政教育，设立廉政告示牌，公布举报电话，监督违法违纪行为。发现对方在业务活动中有违反本合同行为的，有及时提醒对方纠正的权利和义务。情节严重的，有向有关部门举报、建议给予处理并要求告知处理结果的权利。    </w:t>
      </w:r>
    </w:p>
    <w:p w14:paraId="6E6836F2">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第二条  发包人的责任    </w:t>
      </w:r>
    </w:p>
    <w:p w14:paraId="6A4C8C0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发包人的负责人和从事该工程项目的工作人员，在工程项目的事前、事中、事后应遵守以下规定：    </w:t>
      </w:r>
    </w:p>
    <w:p w14:paraId="5B89BEF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(一)不以任何理由向承包人索要或接受回扣、礼金、有价证券、贵重物品和好处费、感谢费等；不在承包人报销应由发包人或个人支付的费用。    </w:t>
      </w:r>
    </w:p>
    <w:p w14:paraId="435E957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(二)不参加承包人安排的宴请及其他消费活动；不接受承包人提供的通讯工具、交通工具、高档办公用品等。    </w:t>
      </w:r>
    </w:p>
    <w:p w14:paraId="586A826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(三)不要求、暗示和接受承包人为个人装修住房、为配偶子女的工作安排以及本人或亲属旅游、出国(境)等提供方便。    </w:t>
      </w:r>
    </w:p>
    <w:p w14:paraId="6694399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(四)配偶、子女不得从事与承包人承包工程有关的设备材料供应、工程分包、劳务等经济活动。    </w:t>
      </w:r>
    </w:p>
    <w:p w14:paraId="70275AEE">
      <w:pPr>
        <w:pageBreakBefore w:val="0"/>
        <w:widowControl/>
        <w:kinsoku/>
        <w:wordWrap/>
        <w:overflowPunct/>
        <w:topLinePunct w:val="0"/>
        <w:autoSpaceDE w:val="0"/>
        <w:autoSpaceDN w:val="0"/>
        <w:bidi w:val="0"/>
        <w:adjustRightInd w:val="0"/>
        <w:spacing w:line="380" w:lineRule="exact"/>
        <w:ind w:firstLine="315" w:firstLineChars="15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（五)不以任何理由向承包人推荐分包人或要求承包人购买项目合同规定以外的材料、设备和服务等。</w:t>
      </w:r>
    </w:p>
    <w:p w14:paraId="1934306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第三条  承包人的责任</w:t>
      </w:r>
    </w:p>
    <w:p w14:paraId="0DEF771A">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承包人应与发包人保持正常的业务交往，按照有关法律法规和程序开展业务活动，严格执行工程建设的有关方针、政策，尤其是有关强制性标准和规范，并遵守以下规定：    </w:t>
      </w:r>
    </w:p>
    <w:p w14:paraId="73A97C8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(一)不以任何理由向发包人及其工作人员行贿或赠送礼金、有价证券、贵重物品。    </w:t>
      </w:r>
    </w:p>
    <w:p w14:paraId="7B82E559">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(二)不以任何名义为发包人及其工作人员报销应由对方支付的费用。    </w:t>
      </w:r>
    </w:p>
    <w:p w14:paraId="570BD96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(三)不以任何理由宴请发包人工作人员或安排其他消费活动。    </w:t>
      </w:r>
    </w:p>
    <w:p w14:paraId="7E66B33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(四)不为发包人和工作人员购置或提供通讯工具、交通工具、高档办公用品和装修住房等。 </w:t>
      </w:r>
    </w:p>
    <w:p w14:paraId="0607FA4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第四条  违约责任 </w:t>
      </w:r>
    </w:p>
    <w:p w14:paraId="2BDAA84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发包人工作人员有违反本合同第一、二条责任行为的，按照管理权限，依据有关规定予以处理；涉嫌犯罪的，移交司法机关追究刑事责任；给承包人造成经济损失的，应予赔偿。符合不良行为记录、公示规定的，进行不良行为记录、公示。    </w:t>
      </w:r>
    </w:p>
    <w:p w14:paraId="7A5E580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承包人工作人员有违反本合同第一、二条责任行为的，按照管理权限，依据有关规定予以处理；涉嫌犯罪的，移交司法机关追究刑事责任；给发包人造成经济损失的，应予赔偿。符合不良行为记录、公示规定的，进行不良行为记录、公示。    </w:t>
      </w:r>
    </w:p>
    <w:p w14:paraId="6BDA2D7D">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(三)承包人如将部分辅助项目分包的，承包人有责任向分包人交待本合同的具体内容，并严格执行本合同之规定，分包人如有违反上述责任行为的，承包人将承担连带责任。    </w:t>
      </w:r>
    </w:p>
    <w:p w14:paraId="12D3631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第五条  双方约定：在自觉履行合同的同时，由甲、乙双方的监督单位负责对本合同履行情况进行监督检查。</w:t>
      </w:r>
    </w:p>
    <w:p w14:paraId="61EA989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第六条  本合同作为</w:t>
      </w:r>
      <w:r>
        <w:rPr>
          <w:rFonts w:hint="eastAsia" w:ascii="宋体" w:hAnsi="宋体" w:cs="宋体"/>
          <w:color w:val="auto"/>
          <w:szCs w:val="21"/>
          <w:u w:val="single"/>
          <w:lang w:eastAsia="zh-CN"/>
        </w:rPr>
        <w:t>奉化区莼湖街道奉松路与下横线交叉口东南侧停车场建设工程</w:t>
      </w:r>
      <w:r>
        <w:rPr>
          <w:rFonts w:hint="eastAsia" w:ascii="宋体" w:hAnsi="宋体" w:cs="宋体"/>
          <w:color w:val="auto"/>
          <w:kern w:val="0"/>
          <w:szCs w:val="21"/>
          <w:lang w:val="zh-CN"/>
        </w:rPr>
        <w:t>签订工程施工合同的附件，与主合同具有同等法律效力。</w:t>
      </w:r>
    </w:p>
    <w:p w14:paraId="15FDEBB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甲乙双方签署后立即生效。</w:t>
      </w:r>
    </w:p>
    <w:p w14:paraId="6E30EB46">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第七条  本合同的有效期为双方签署之日起至该工程项目竣工验收合格时止。    </w:t>
      </w:r>
    </w:p>
    <w:p w14:paraId="5430D94B">
      <w:pPr>
        <w:pageBreakBefore w:val="0"/>
        <w:widowControl/>
        <w:kinsoku/>
        <w:wordWrap/>
        <w:overflowPunct/>
        <w:topLinePunct w:val="0"/>
        <w:bidi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第八条  </w:t>
      </w:r>
      <w:r>
        <w:rPr>
          <w:rFonts w:hint="eastAsia" w:ascii="宋体" w:hAnsi="宋体"/>
          <w:color w:val="auto"/>
          <w:szCs w:val="21"/>
        </w:rPr>
        <w:t>本合同一式陆份，甲、乙双方各执贰份，招标代理机构壹份，归档壹份。</w:t>
      </w:r>
    </w:p>
    <w:p w14:paraId="55C3997D">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szCs w:val="21"/>
        </w:rPr>
      </w:pPr>
      <w:r>
        <w:rPr>
          <w:rFonts w:hint="eastAsia" w:ascii="宋体" w:hAnsi="宋体" w:cs="宋体"/>
          <w:color w:val="auto"/>
          <w:szCs w:val="21"/>
          <w:lang w:eastAsia="zh-CN"/>
        </w:rPr>
        <w:t>发包人</w:t>
      </w:r>
      <w:r>
        <w:rPr>
          <w:rFonts w:hint="eastAsia" w:ascii="宋体" w:hAnsi="宋体" w:cs="宋体"/>
          <w:color w:val="auto"/>
          <w:szCs w:val="21"/>
        </w:rPr>
        <w:t xml:space="preserve">(盖章)：               </w:t>
      </w:r>
      <w:r>
        <w:rPr>
          <w:rFonts w:hint="eastAsia" w:ascii="宋体" w:hAnsi="宋体" w:cs="宋体"/>
          <w:color w:val="auto"/>
          <w:kern w:val="0"/>
          <w:szCs w:val="21"/>
          <w:lang w:val="zh-CN"/>
        </w:rPr>
        <w:tab/>
      </w:r>
      <w:r>
        <w:rPr>
          <w:rFonts w:hint="eastAsia" w:ascii="宋体" w:hAnsi="宋体" w:cs="宋体"/>
          <w:color w:val="auto"/>
          <w:kern w:val="0"/>
          <w:szCs w:val="21"/>
        </w:rPr>
        <w:t xml:space="preserve">       </w:t>
      </w:r>
      <w:r>
        <w:rPr>
          <w:rFonts w:hint="eastAsia" w:ascii="宋体" w:hAnsi="宋体" w:cs="宋体"/>
          <w:color w:val="auto"/>
          <w:szCs w:val="21"/>
          <w:lang w:eastAsia="zh-CN"/>
        </w:rPr>
        <w:t>承包人</w:t>
      </w:r>
      <w:r>
        <w:rPr>
          <w:rFonts w:hint="eastAsia" w:ascii="宋体" w:hAnsi="宋体" w:cs="宋体"/>
          <w:color w:val="auto"/>
          <w:szCs w:val="21"/>
        </w:rPr>
        <w:t>(盖章)：</w:t>
      </w:r>
    </w:p>
    <w:p w14:paraId="25990A3F">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3ABF4A13">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szCs w:val="21"/>
          <w:lang w:val="en-US" w:eastAsia="zh-CN"/>
        </w:rPr>
        <w:t xml:space="preserve">                           </w:t>
      </w:r>
      <w:r>
        <w:rPr>
          <w:rFonts w:hint="eastAsia" w:ascii="宋体" w:hAnsi="宋体" w:cs="宋体"/>
          <w:color w:val="auto"/>
          <w:kern w:val="0"/>
          <w:szCs w:val="21"/>
        </w:rPr>
        <w:t>地址：</w:t>
      </w:r>
    </w:p>
    <w:p w14:paraId="3AB3818D">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4370838B">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电话：</w:t>
      </w:r>
      <w:r>
        <w:rPr>
          <w:rFonts w:hint="eastAsia" w:ascii="宋体" w:hAnsi="宋体" w:cs="宋体"/>
          <w:color w:val="auto"/>
          <w:szCs w:val="21"/>
          <w:lang w:val="en-US" w:eastAsia="zh-CN"/>
        </w:rPr>
        <w:t xml:space="preserve">                             </w:t>
      </w:r>
      <w:r>
        <w:rPr>
          <w:rFonts w:hint="eastAsia" w:ascii="宋体" w:hAnsi="宋体" w:cs="宋体"/>
          <w:color w:val="auto"/>
          <w:szCs w:val="21"/>
        </w:rPr>
        <w:t>电话：</w:t>
      </w:r>
    </w:p>
    <w:p w14:paraId="6AA97F02">
      <w:pPr>
        <w:pageBreakBefore w:val="0"/>
        <w:widowControl/>
        <w:tabs>
          <w:tab w:val="left" w:pos="5385"/>
        </w:tabs>
        <w:kinsoku/>
        <w:wordWrap/>
        <w:overflowPunct/>
        <w:topLinePunct w:val="0"/>
        <w:bidi w:val="0"/>
        <w:spacing w:line="400" w:lineRule="exact"/>
        <w:ind w:firstLine="840" w:firstLineChars="400"/>
        <w:textAlignment w:val="auto"/>
        <w:outlineLvl w:val="9"/>
        <w:rPr>
          <w:rFonts w:ascii="宋体" w:hAnsi="宋体" w:cs="宋体"/>
          <w:color w:val="auto"/>
          <w:szCs w:val="21"/>
        </w:rPr>
      </w:pPr>
      <w:r>
        <w:rPr>
          <w:rFonts w:hint="eastAsia" w:ascii="宋体" w:hAnsi="宋体" w:cs="宋体"/>
          <w:color w:val="auto"/>
          <w:szCs w:val="21"/>
        </w:rPr>
        <w:t>年 月  日</w:t>
      </w:r>
      <w:r>
        <w:rPr>
          <w:rFonts w:hint="eastAsia" w:ascii="宋体" w:hAnsi="宋体" w:cs="宋体"/>
          <w:color w:val="auto"/>
          <w:szCs w:val="21"/>
        </w:rPr>
        <w:tab/>
      </w:r>
      <w:r>
        <w:rPr>
          <w:rFonts w:hint="eastAsia" w:ascii="宋体" w:hAnsi="宋体" w:cs="宋体"/>
          <w:color w:val="auto"/>
          <w:szCs w:val="21"/>
        </w:rPr>
        <w:t>年 月   日</w:t>
      </w:r>
    </w:p>
    <w:p w14:paraId="2063A37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29145B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484FD6">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C7F94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BB7AE25">
      <w:pPr>
        <w:pageBreakBefore w:val="0"/>
        <w:widowControl/>
        <w:kinsoku/>
        <w:wordWrap/>
        <w:overflowPunct/>
        <w:topLinePunct w:val="0"/>
        <w:bidi w:val="0"/>
        <w:ind w:firstLine="422"/>
        <w:textAlignment w:val="auto"/>
        <w:outlineLvl w:val="9"/>
        <w:rPr>
          <w:rFonts w:ascii="宋体" w:hAnsi="宋体" w:cs="宋体"/>
          <w:b/>
          <w:color w:val="auto"/>
          <w:szCs w:val="21"/>
        </w:rPr>
      </w:pPr>
    </w:p>
    <w:p w14:paraId="36988D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C397501">
      <w:pPr>
        <w:pStyle w:val="33"/>
        <w:pageBreakBefore w:val="0"/>
        <w:widowControl/>
        <w:kinsoku/>
        <w:wordWrap/>
        <w:overflowPunct/>
        <w:topLinePunct w:val="0"/>
        <w:bidi w:val="0"/>
        <w:textAlignment w:val="auto"/>
        <w:outlineLvl w:val="9"/>
        <w:rPr>
          <w:color w:val="auto"/>
        </w:rPr>
      </w:pPr>
    </w:p>
    <w:p w14:paraId="768404A4">
      <w:pPr>
        <w:pStyle w:val="33"/>
        <w:pageBreakBefore w:val="0"/>
        <w:widowControl/>
        <w:kinsoku/>
        <w:wordWrap/>
        <w:overflowPunct/>
        <w:topLinePunct w:val="0"/>
        <w:bidi w:val="0"/>
        <w:textAlignment w:val="auto"/>
        <w:outlineLvl w:val="9"/>
        <w:rPr>
          <w:color w:val="auto"/>
        </w:rPr>
      </w:pPr>
    </w:p>
    <w:p w14:paraId="7A6219DC">
      <w:pPr>
        <w:pageBreakBefore w:val="0"/>
        <w:widowControl/>
        <w:kinsoku/>
        <w:wordWrap/>
        <w:overflowPunct/>
        <w:topLinePunct w:val="0"/>
        <w:bidi w:val="0"/>
        <w:textAlignment w:val="auto"/>
        <w:outlineLvl w:val="9"/>
        <w:rPr>
          <w:rFonts w:hint="eastAsia" w:ascii="宋体" w:hAnsi="宋体" w:cs="宋体"/>
          <w:b/>
          <w:color w:val="auto"/>
          <w:szCs w:val="21"/>
        </w:rPr>
      </w:pPr>
      <w:r>
        <w:rPr>
          <w:rFonts w:hint="eastAsia" w:ascii="宋体" w:hAnsi="宋体" w:cs="宋体"/>
          <w:b/>
          <w:color w:val="auto"/>
          <w:szCs w:val="21"/>
        </w:rPr>
        <w:br w:type="page"/>
      </w:r>
    </w:p>
    <w:p w14:paraId="6F5F96C8">
      <w:pPr>
        <w:pageBreakBefore w:val="0"/>
        <w:widowControl/>
        <w:tabs>
          <w:tab w:val="left" w:pos="210"/>
        </w:tabs>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45" w:name="_Toc296347226"/>
      <w:bookmarkStart w:id="446" w:name="_Toc296944566"/>
      <w:bookmarkStart w:id="447" w:name="_Toc296891055"/>
      <w:bookmarkStart w:id="448" w:name="_Toc296503227"/>
      <w:bookmarkStart w:id="449" w:name="_Toc296891267"/>
      <w:bookmarkStart w:id="450" w:name="_Toc267261698"/>
      <w:bookmarkStart w:id="451" w:name="_Toc296346728"/>
      <w:r>
        <w:rPr>
          <w:rFonts w:hint="eastAsia" w:ascii="宋体" w:hAnsi="宋体" w:cs="宋体"/>
          <w:b/>
          <w:color w:val="auto"/>
          <w:szCs w:val="21"/>
        </w:rPr>
        <w:t>件4：</w:t>
      </w:r>
    </w:p>
    <w:bookmarkEnd w:id="445"/>
    <w:bookmarkEnd w:id="446"/>
    <w:bookmarkEnd w:id="447"/>
    <w:bookmarkEnd w:id="448"/>
    <w:bookmarkEnd w:id="449"/>
    <w:bookmarkEnd w:id="450"/>
    <w:bookmarkEnd w:id="451"/>
    <w:p w14:paraId="0CEB1EFC">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承包人用于本工程施工的机械设备表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1"/>
        <w:gridCol w:w="1549"/>
        <w:gridCol w:w="1001"/>
        <w:gridCol w:w="718"/>
        <w:gridCol w:w="794"/>
        <w:gridCol w:w="920"/>
        <w:gridCol w:w="1334"/>
        <w:gridCol w:w="920"/>
        <w:gridCol w:w="828"/>
      </w:tblGrid>
      <w:tr w14:paraId="27689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81" w:type="dxa"/>
            <w:tcBorders>
              <w:top w:val="single" w:color="auto" w:sz="12" w:space="0"/>
              <w:bottom w:val="double" w:color="auto" w:sz="6" w:space="0"/>
            </w:tcBorders>
            <w:vAlign w:val="center"/>
          </w:tcPr>
          <w:p w14:paraId="263C2F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序号</w:t>
            </w:r>
          </w:p>
        </w:tc>
        <w:tc>
          <w:tcPr>
            <w:tcW w:w="1549" w:type="dxa"/>
            <w:tcBorders>
              <w:top w:val="single" w:color="auto" w:sz="12" w:space="0"/>
              <w:bottom w:val="double" w:color="auto" w:sz="6" w:space="0"/>
            </w:tcBorders>
            <w:vAlign w:val="center"/>
          </w:tcPr>
          <w:p w14:paraId="0EBE447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机械或</w:t>
            </w:r>
          </w:p>
          <w:p w14:paraId="2BDBDE8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设备名称</w:t>
            </w:r>
          </w:p>
        </w:tc>
        <w:tc>
          <w:tcPr>
            <w:tcW w:w="1001" w:type="dxa"/>
            <w:tcBorders>
              <w:top w:val="single" w:color="auto" w:sz="12" w:space="0"/>
              <w:bottom w:val="double" w:color="auto" w:sz="6" w:space="0"/>
            </w:tcBorders>
            <w:vAlign w:val="center"/>
          </w:tcPr>
          <w:p w14:paraId="27264DD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规格</w:t>
            </w:r>
          </w:p>
          <w:p w14:paraId="1FDAD7C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型号</w:t>
            </w:r>
          </w:p>
        </w:tc>
        <w:tc>
          <w:tcPr>
            <w:tcW w:w="718" w:type="dxa"/>
            <w:tcBorders>
              <w:top w:val="single" w:color="auto" w:sz="12" w:space="0"/>
              <w:bottom w:val="double" w:color="auto" w:sz="6" w:space="0"/>
            </w:tcBorders>
            <w:vAlign w:val="center"/>
          </w:tcPr>
          <w:p w14:paraId="1EBCC46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数量</w:t>
            </w:r>
          </w:p>
        </w:tc>
        <w:tc>
          <w:tcPr>
            <w:tcW w:w="794" w:type="dxa"/>
            <w:tcBorders>
              <w:top w:val="single" w:color="auto" w:sz="12" w:space="0"/>
              <w:bottom w:val="double" w:color="auto" w:sz="6" w:space="0"/>
            </w:tcBorders>
            <w:vAlign w:val="center"/>
          </w:tcPr>
          <w:p w14:paraId="15BC4AE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产地</w:t>
            </w:r>
          </w:p>
        </w:tc>
        <w:tc>
          <w:tcPr>
            <w:tcW w:w="920" w:type="dxa"/>
            <w:tcBorders>
              <w:top w:val="single" w:color="auto" w:sz="12" w:space="0"/>
              <w:bottom w:val="double" w:color="auto" w:sz="6" w:space="0"/>
            </w:tcBorders>
            <w:vAlign w:val="center"/>
          </w:tcPr>
          <w:p w14:paraId="0EC15F6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制造</w:t>
            </w:r>
          </w:p>
          <w:p w14:paraId="2D1A910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年份</w:t>
            </w:r>
          </w:p>
        </w:tc>
        <w:tc>
          <w:tcPr>
            <w:tcW w:w="1334" w:type="dxa"/>
            <w:tcBorders>
              <w:top w:val="single" w:color="auto" w:sz="12" w:space="0"/>
              <w:bottom w:val="double" w:color="auto" w:sz="6" w:space="0"/>
            </w:tcBorders>
            <w:vAlign w:val="center"/>
          </w:tcPr>
          <w:p w14:paraId="365272C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额定功率(kW)</w:t>
            </w:r>
          </w:p>
        </w:tc>
        <w:tc>
          <w:tcPr>
            <w:tcW w:w="920" w:type="dxa"/>
            <w:tcBorders>
              <w:top w:val="single" w:color="auto" w:sz="12" w:space="0"/>
              <w:bottom w:val="double" w:color="auto" w:sz="6" w:space="0"/>
            </w:tcBorders>
            <w:vAlign w:val="center"/>
          </w:tcPr>
          <w:p w14:paraId="1D60FB5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生产</w:t>
            </w:r>
          </w:p>
          <w:p w14:paraId="3E20B77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能力</w:t>
            </w:r>
          </w:p>
        </w:tc>
        <w:tc>
          <w:tcPr>
            <w:tcW w:w="828" w:type="dxa"/>
            <w:tcBorders>
              <w:top w:val="single" w:color="auto" w:sz="12" w:space="0"/>
              <w:bottom w:val="double" w:color="auto" w:sz="6" w:space="0"/>
            </w:tcBorders>
            <w:vAlign w:val="center"/>
          </w:tcPr>
          <w:p w14:paraId="7E93C29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备注</w:t>
            </w:r>
          </w:p>
        </w:tc>
      </w:tr>
      <w:tr w14:paraId="6A05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double" w:color="auto" w:sz="6" w:space="0"/>
              <w:bottom w:val="single" w:color="auto" w:sz="6" w:space="0"/>
            </w:tcBorders>
            <w:vAlign w:val="center"/>
          </w:tcPr>
          <w:p w14:paraId="7783F5E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w:t>
            </w:r>
          </w:p>
        </w:tc>
        <w:tc>
          <w:tcPr>
            <w:tcW w:w="1549" w:type="dxa"/>
            <w:tcBorders>
              <w:top w:val="double" w:color="auto" w:sz="6" w:space="0"/>
              <w:bottom w:val="single" w:color="auto" w:sz="6" w:space="0"/>
            </w:tcBorders>
            <w:vAlign w:val="center"/>
          </w:tcPr>
          <w:p w14:paraId="1A961A8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double" w:color="auto" w:sz="6" w:space="0"/>
              <w:bottom w:val="single" w:color="auto" w:sz="6" w:space="0"/>
            </w:tcBorders>
            <w:vAlign w:val="center"/>
          </w:tcPr>
          <w:p w14:paraId="58CC327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double" w:color="auto" w:sz="6" w:space="0"/>
              <w:bottom w:val="single" w:color="auto" w:sz="6" w:space="0"/>
            </w:tcBorders>
            <w:vAlign w:val="bottom"/>
          </w:tcPr>
          <w:p w14:paraId="4C6AFCB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double" w:color="auto" w:sz="6" w:space="0"/>
              <w:bottom w:val="single" w:color="auto" w:sz="6" w:space="0"/>
            </w:tcBorders>
            <w:vAlign w:val="center"/>
          </w:tcPr>
          <w:p w14:paraId="0A25B81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tcBorders>
              <w:top w:val="double" w:color="auto" w:sz="6" w:space="0"/>
              <w:bottom w:val="single" w:color="auto" w:sz="6" w:space="0"/>
            </w:tcBorders>
            <w:vAlign w:val="center"/>
          </w:tcPr>
          <w:p w14:paraId="1622EE2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1334" w:type="dxa"/>
            <w:tcBorders>
              <w:top w:val="double" w:color="auto" w:sz="6" w:space="0"/>
              <w:bottom w:val="single" w:color="auto" w:sz="6" w:space="0"/>
            </w:tcBorders>
            <w:vAlign w:val="bottom"/>
          </w:tcPr>
          <w:p w14:paraId="7436E73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double" w:color="auto" w:sz="6" w:space="0"/>
              <w:bottom w:val="single" w:color="auto" w:sz="6" w:space="0"/>
            </w:tcBorders>
            <w:vAlign w:val="center"/>
          </w:tcPr>
          <w:p w14:paraId="30181FF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double" w:color="auto" w:sz="6" w:space="0"/>
              <w:bottom w:val="single" w:color="auto" w:sz="6" w:space="0"/>
            </w:tcBorders>
            <w:vAlign w:val="center"/>
          </w:tcPr>
          <w:p w14:paraId="21768F7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92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nil"/>
            </w:tcBorders>
            <w:vAlign w:val="center"/>
          </w:tcPr>
          <w:p w14:paraId="5EEE97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w:t>
            </w:r>
          </w:p>
        </w:tc>
        <w:tc>
          <w:tcPr>
            <w:tcW w:w="1549" w:type="dxa"/>
            <w:tcBorders>
              <w:top w:val="nil"/>
            </w:tcBorders>
            <w:vAlign w:val="center"/>
          </w:tcPr>
          <w:p w14:paraId="7259D8C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nil"/>
            </w:tcBorders>
            <w:vAlign w:val="center"/>
          </w:tcPr>
          <w:p w14:paraId="2855A85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nil"/>
            </w:tcBorders>
            <w:vAlign w:val="bottom"/>
          </w:tcPr>
          <w:p w14:paraId="5C95AB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nil"/>
            </w:tcBorders>
            <w:vAlign w:val="center"/>
          </w:tcPr>
          <w:p w14:paraId="281714C9">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tcBorders>
              <w:top w:val="nil"/>
            </w:tcBorders>
            <w:vAlign w:val="center"/>
          </w:tcPr>
          <w:p w14:paraId="51C6DAB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tcBorders>
              <w:top w:val="nil"/>
            </w:tcBorders>
            <w:vAlign w:val="bottom"/>
          </w:tcPr>
          <w:p w14:paraId="2DB20F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nil"/>
            </w:tcBorders>
            <w:vAlign w:val="center"/>
          </w:tcPr>
          <w:p w14:paraId="43F28B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nil"/>
            </w:tcBorders>
            <w:vAlign w:val="center"/>
          </w:tcPr>
          <w:p w14:paraId="66785F1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B266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94E3C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3</w:t>
            </w:r>
          </w:p>
        </w:tc>
        <w:tc>
          <w:tcPr>
            <w:tcW w:w="1549" w:type="dxa"/>
            <w:vAlign w:val="center"/>
          </w:tcPr>
          <w:p w14:paraId="3E5520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78C73C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6C7CC0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585040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DE8F920">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7D2C7A6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6136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4C4DB4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1487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CD9CE9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4</w:t>
            </w:r>
          </w:p>
        </w:tc>
        <w:tc>
          <w:tcPr>
            <w:tcW w:w="1549" w:type="dxa"/>
            <w:vAlign w:val="center"/>
          </w:tcPr>
          <w:p w14:paraId="3B212AC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FD68547">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053B0A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05DCFBF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372493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8C30E1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8683E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299B0C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5CE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0B233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5</w:t>
            </w:r>
          </w:p>
        </w:tc>
        <w:tc>
          <w:tcPr>
            <w:tcW w:w="1549" w:type="dxa"/>
            <w:vAlign w:val="center"/>
          </w:tcPr>
          <w:p w14:paraId="75CD8FE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F862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076496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34C833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20B9DE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4BF5C7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405F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171FFBA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2929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23D1D21B">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6</w:t>
            </w:r>
          </w:p>
        </w:tc>
        <w:tc>
          <w:tcPr>
            <w:tcW w:w="1549" w:type="dxa"/>
            <w:vAlign w:val="center"/>
          </w:tcPr>
          <w:p w14:paraId="15A6156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61C7E4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1AC447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744DF1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709542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21208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09043AD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6B7791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2662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8CF00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7</w:t>
            </w:r>
          </w:p>
        </w:tc>
        <w:tc>
          <w:tcPr>
            <w:tcW w:w="1549" w:type="dxa"/>
            <w:vAlign w:val="center"/>
          </w:tcPr>
          <w:p w14:paraId="7E2FCAB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C123CF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10A6F9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352B95">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5E2362B">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622D1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8D8D3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5A5024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76AE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52F8D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8</w:t>
            </w:r>
          </w:p>
        </w:tc>
        <w:tc>
          <w:tcPr>
            <w:tcW w:w="1549" w:type="dxa"/>
            <w:vAlign w:val="center"/>
          </w:tcPr>
          <w:p w14:paraId="43AE9FB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1C92A8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5D54FF6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B6995F">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0C261B7">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B730F9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3DBAB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B189D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CDE2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38C9D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9</w:t>
            </w:r>
          </w:p>
        </w:tc>
        <w:tc>
          <w:tcPr>
            <w:tcW w:w="1549" w:type="dxa"/>
            <w:vAlign w:val="center"/>
          </w:tcPr>
          <w:p w14:paraId="4388D3C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605801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585271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47F297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04917F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FD908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AB8CD4A">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707916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A843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B7E678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549" w:type="dxa"/>
            <w:vAlign w:val="center"/>
          </w:tcPr>
          <w:p w14:paraId="299538B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0663C7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D51AF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BC70CB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A99A16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EA9E4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93050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19FA24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C722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C0904D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11</w:t>
            </w:r>
          </w:p>
        </w:tc>
        <w:tc>
          <w:tcPr>
            <w:tcW w:w="1549" w:type="dxa"/>
            <w:vAlign w:val="center"/>
          </w:tcPr>
          <w:p w14:paraId="4415AF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E530E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696B7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252AD106">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FEE7A7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3D169A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5428FCE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226A836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D6DB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B301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12</w:t>
            </w:r>
          </w:p>
        </w:tc>
        <w:tc>
          <w:tcPr>
            <w:tcW w:w="1549" w:type="dxa"/>
            <w:vAlign w:val="center"/>
          </w:tcPr>
          <w:p w14:paraId="4F8D011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922C222">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01F07C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A817E0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FA0DA9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4251F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7E292FB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0887CD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C6F3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C3263C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13</w:t>
            </w:r>
          </w:p>
        </w:tc>
        <w:tc>
          <w:tcPr>
            <w:tcW w:w="1549" w:type="dxa"/>
            <w:vAlign w:val="center"/>
          </w:tcPr>
          <w:p w14:paraId="35C8A7D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912EF9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FF5029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5E64A9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7BFB90D">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8F67A6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C6CDF9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5CA5246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57C1D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13E77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14</w:t>
            </w:r>
          </w:p>
        </w:tc>
        <w:tc>
          <w:tcPr>
            <w:tcW w:w="1549" w:type="dxa"/>
            <w:vAlign w:val="center"/>
          </w:tcPr>
          <w:p w14:paraId="3C79A99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71FECD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4AEB0E1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DEDB48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D123FA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87AF60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2FCE2A8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0CBD3A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1C5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7F18CD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15</w:t>
            </w:r>
          </w:p>
        </w:tc>
        <w:tc>
          <w:tcPr>
            <w:tcW w:w="1549" w:type="dxa"/>
            <w:vAlign w:val="center"/>
          </w:tcPr>
          <w:p w14:paraId="174EA54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0326B3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C31B03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88F66F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562682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FE8D7D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E1BEA71">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A678A78">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72C1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A29ACA8">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16</w:t>
            </w:r>
          </w:p>
        </w:tc>
        <w:tc>
          <w:tcPr>
            <w:tcW w:w="1549" w:type="dxa"/>
            <w:vAlign w:val="center"/>
          </w:tcPr>
          <w:p w14:paraId="15AAD5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260A96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209CAFC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F907AE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vAlign w:val="center"/>
          </w:tcPr>
          <w:p w14:paraId="72063F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2C639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360FE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4B6D1EA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969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3BFF1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17</w:t>
            </w:r>
          </w:p>
        </w:tc>
        <w:tc>
          <w:tcPr>
            <w:tcW w:w="1549" w:type="dxa"/>
            <w:vAlign w:val="center"/>
          </w:tcPr>
          <w:p w14:paraId="391F613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71F1B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8F015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CF31B27">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6B333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908E6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63684EB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534220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4CFEA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96DD37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18</w:t>
            </w:r>
          </w:p>
        </w:tc>
        <w:tc>
          <w:tcPr>
            <w:tcW w:w="1549" w:type="dxa"/>
            <w:vAlign w:val="center"/>
          </w:tcPr>
          <w:p w14:paraId="5A92E90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5489D29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B7BF25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9B9EA3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62A7C6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783E48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432C5A42">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AA6AEC5">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F0EA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3FD3C1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19</w:t>
            </w:r>
          </w:p>
        </w:tc>
        <w:tc>
          <w:tcPr>
            <w:tcW w:w="1549" w:type="dxa"/>
            <w:vAlign w:val="center"/>
          </w:tcPr>
          <w:p w14:paraId="1B44853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8D309F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279D70B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2C810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83A12A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24FBC85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0FB2DB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34C890A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D1D3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8B515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20</w:t>
            </w:r>
          </w:p>
        </w:tc>
        <w:tc>
          <w:tcPr>
            <w:tcW w:w="1549" w:type="dxa"/>
            <w:vAlign w:val="center"/>
          </w:tcPr>
          <w:p w14:paraId="329259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5E690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9D7BD0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AA723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6F52FF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17DDEB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819B20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8BF846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bl>
    <w:p w14:paraId="635DA5C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52" w:name="_Toc296891056"/>
      <w:bookmarkStart w:id="453" w:name="_Toc296891268"/>
      <w:bookmarkStart w:id="454" w:name="_Toc267261699"/>
      <w:bookmarkStart w:id="455" w:name="_Toc296503228"/>
      <w:bookmarkStart w:id="456" w:name="_Toc296346729"/>
      <w:bookmarkStart w:id="457" w:name="_Toc296347227"/>
      <w:bookmarkStart w:id="458" w:name="_Toc296944567"/>
      <w:r>
        <w:rPr>
          <w:rFonts w:hint="eastAsia" w:ascii="宋体" w:hAnsi="宋体" w:cs="宋体"/>
          <w:b/>
          <w:color w:val="auto"/>
          <w:szCs w:val="21"/>
        </w:rPr>
        <w:t>件5：</w:t>
      </w:r>
    </w:p>
    <w:bookmarkEnd w:id="452"/>
    <w:bookmarkEnd w:id="453"/>
    <w:bookmarkEnd w:id="454"/>
    <w:bookmarkEnd w:id="455"/>
    <w:bookmarkEnd w:id="456"/>
    <w:bookmarkEnd w:id="457"/>
    <w:bookmarkEnd w:id="458"/>
    <w:p w14:paraId="09E658EA">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承包人主要施工管理人员表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89"/>
        <w:gridCol w:w="1279"/>
        <w:gridCol w:w="1022"/>
        <w:gridCol w:w="1022"/>
        <w:gridCol w:w="3833"/>
      </w:tblGrid>
      <w:tr w14:paraId="3A2D2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12" w:space="0"/>
              <w:bottom w:val="double" w:color="auto" w:sz="6" w:space="0"/>
            </w:tcBorders>
            <w:vAlign w:val="center"/>
          </w:tcPr>
          <w:p w14:paraId="46058E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名    称</w:t>
            </w:r>
          </w:p>
        </w:tc>
        <w:tc>
          <w:tcPr>
            <w:tcW w:w="1279" w:type="dxa"/>
            <w:tcBorders>
              <w:top w:val="single" w:color="auto" w:sz="12" w:space="0"/>
              <w:bottom w:val="double" w:color="auto" w:sz="6" w:space="0"/>
            </w:tcBorders>
            <w:vAlign w:val="center"/>
          </w:tcPr>
          <w:p w14:paraId="56C619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姓名</w:t>
            </w:r>
          </w:p>
        </w:tc>
        <w:tc>
          <w:tcPr>
            <w:tcW w:w="1022" w:type="dxa"/>
            <w:tcBorders>
              <w:top w:val="single" w:color="auto" w:sz="12" w:space="0"/>
              <w:bottom w:val="double" w:color="auto" w:sz="6" w:space="0"/>
            </w:tcBorders>
            <w:vAlign w:val="center"/>
          </w:tcPr>
          <w:p w14:paraId="1BBD8C2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职务</w:t>
            </w:r>
          </w:p>
        </w:tc>
        <w:tc>
          <w:tcPr>
            <w:tcW w:w="1022" w:type="dxa"/>
            <w:tcBorders>
              <w:top w:val="single" w:color="auto" w:sz="12" w:space="0"/>
              <w:bottom w:val="double" w:color="auto" w:sz="6" w:space="0"/>
            </w:tcBorders>
            <w:vAlign w:val="center"/>
          </w:tcPr>
          <w:p w14:paraId="23B7655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职称</w:t>
            </w:r>
          </w:p>
        </w:tc>
        <w:tc>
          <w:tcPr>
            <w:tcW w:w="3833" w:type="dxa"/>
            <w:tcBorders>
              <w:top w:val="single" w:color="auto" w:sz="12" w:space="0"/>
              <w:bottom w:val="double" w:color="auto" w:sz="6" w:space="0"/>
            </w:tcBorders>
            <w:vAlign w:val="center"/>
          </w:tcPr>
          <w:p w14:paraId="7F67DD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主要资历、经验及承担过的项目</w:t>
            </w:r>
          </w:p>
        </w:tc>
      </w:tr>
      <w:tr w14:paraId="08E7B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8845" w:type="dxa"/>
            <w:gridSpan w:val="5"/>
            <w:tcBorders>
              <w:top w:val="double" w:color="auto" w:sz="6" w:space="0"/>
              <w:bottom w:val="single" w:color="auto" w:sz="6" w:space="0"/>
            </w:tcBorders>
            <w:vAlign w:val="center"/>
          </w:tcPr>
          <w:p w14:paraId="138501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一、总部人员</w:t>
            </w:r>
          </w:p>
        </w:tc>
      </w:tr>
      <w:tr w14:paraId="329AB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0063D9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项目主管</w:t>
            </w:r>
          </w:p>
        </w:tc>
        <w:tc>
          <w:tcPr>
            <w:tcW w:w="1279" w:type="dxa"/>
            <w:tcBorders>
              <w:top w:val="nil"/>
            </w:tcBorders>
            <w:vAlign w:val="center"/>
          </w:tcPr>
          <w:p w14:paraId="1186D4B9">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A7850D3">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E160BE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top w:val="nil"/>
            </w:tcBorders>
            <w:vAlign w:val="center"/>
          </w:tcPr>
          <w:p w14:paraId="5C9C9BE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ADC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nil"/>
            </w:tcBorders>
            <w:vAlign w:val="center"/>
          </w:tcPr>
          <w:p w14:paraId="1DC1510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1BDE2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32F8FA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261EF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44D67A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D75A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59E750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423733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293289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AA8EF5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3634AD4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808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nil"/>
              <w:bottom w:val="nil"/>
            </w:tcBorders>
            <w:vAlign w:val="center"/>
          </w:tcPr>
          <w:p w14:paraId="63173E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7B9850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5B2A9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49B01E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35309E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3C087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8845" w:type="dxa"/>
            <w:gridSpan w:val="5"/>
            <w:tcBorders>
              <w:top w:val="single" w:color="auto" w:sz="6" w:space="0"/>
              <w:bottom w:val="single" w:color="auto" w:sz="6" w:space="0"/>
            </w:tcBorders>
            <w:vAlign w:val="center"/>
          </w:tcPr>
          <w:p w14:paraId="2BDE33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二、现场人员</w:t>
            </w:r>
          </w:p>
        </w:tc>
      </w:tr>
      <w:tr w14:paraId="212C8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B43A9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项目经理</w:t>
            </w:r>
          </w:p>
        </w:tc>
        <w:tc>
          <w:tcPr>
            <w:tcW w:w="1279" w:type="dxa"/>
            <w:vAlign w:val="center"/>
          </w:tcPr>
          <w:p w14:paraId="26F388E8">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D20A36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69E66D7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8CAF2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BE4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1" w:hRule="atLeast"/>
          <w:jc w:val="center"/>
        </w:trPr>
        <w:tc>
          <w:tcPr>
            <w:tcW w:w="1689" w:type="dxa"/>
            <w:tcBorders>
              <w:top w:val="single" w:color="auto" w:sz="6" w:space="0"/>
              <w:bottom w:val="single" w:color="auto" w:sz="6" w:space="0"/>
            </w:tcBorders>
            <w:vAlign w:val="center"/>
          </w:tcPr>
          <w:p w14:paraId="052C17C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技术负责人</w:t>
            </w:r>
          </w:p>
        </w:tc>
        <w:tc>
          <w:tcPr>
            <w:tcW w:w="1279" w:type="dxa"/>
            <w:vAlign w:val="center"/>
          </w:tcPr>
          <w:p w14:paraId="2834589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5B83EC7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4AB17EC0">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50276A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88E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453141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施工管理</w:t>
            </w:r>
          </w:p>
        </w:tc>
        <w:tc>
          <w:tcPr>
            <w:tcW w:w="1279" w:type="dxa"/>
            <w:vAlign w:val="center"/>
          </w:tcPr>
          <w:p w14:paraId="16B541C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B66FF0E">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F60B331">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22ABB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6ACA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2ED099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质量管理</w:t>
            </w:r>
          </w:p>
        </w:tc>
        <w:tc>
          <w:tcPr>
            <w:tcW w:w="1279" w:type="dxa"/>
            <w:vAlign w:val="center"/>
          </w:tcPr>
          <w:p w14:paraId="4C6387E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0C44959F">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D25763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13161B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38E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B18ED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安全管理</w:t>
            </w:r>
          </w:p>
        </w:tc>
        <w:tc>
          <w:tcPr>
            <w:tcW w:w="1279" w:type="dxa"/>
            <w:vAlign w:val="center"/>
          </w:tcPr>
          <w:p w14:paraId="78F20C74">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ED100F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DC81752">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65F6395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95AF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5E2D24B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AD19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A0B225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9EB54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D26E08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328F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F9415F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525BE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7213A2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9CC462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CD835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4D5A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1272D89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D2C912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FA2F0D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548605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DA14AC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6200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restart"/>
            <w:tcBorders>
              <w:top w:val="single" w:color="auto" w:sz="6" w:space="0"/>
            </w:tcBorders>
            <w:vAlign w:val="center"/>
          </w:tcPr>
          <w:p w14:paraId="3339764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6AC2955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E48999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F001E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2259F1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D02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004A8BB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nil"/>
            </w:tcBorders>
            <w:vAlign w:val="center"/>
          </w:tcPr>
          <w:p w14:paraId="62AB37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6C2504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4CE1B81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nil"/>
            </w:tcBorders>
            <w:vAlign w:val="center"/>
          </w:tcPr>
          <w:p w14:paraId="4017EED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0E3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139C2ED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D9CFF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50D51F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408C4F2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53FFF3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2E9C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35B4BF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47C9A5C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EBD9FE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D97F0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BF5E1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242A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653821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A547B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34354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DFBFB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E8DE7A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B66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tcBorders>
              <w:bottom w:val="single" w:color="auto" w:sz="12" w:space="0"/>
            </w:tcBorders>
            <w:vAlign w:val="center"/>
          </w:tcPr>
          <w:p w14:paraId="1FEB646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single" w:color="auto" w:sz="12" w:space="0"/>
            </w:tcBorders>
            <w:vAlign w:val="center"/>
          </w:tcPr>
          <w:p w14:paraId="684D624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20F53EE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76D4B8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single" w:color="auto" w:sz="12" w:space="0"/>
            </w:tcBorders>
            <w:vAlign w:val="center"/>
          </w:tcPr>
          <w:p w14:paraId="0E520D7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bl>
    <w:p w14:paraId="1DA2CA18">
      <w:pPr>
        <w:ind w:firstLine="482"/>
        <w:rPr>
          <w:rFonts w:asciiTheme="minorEastAsia" w:hAnsiTheme="minorEastAsia" w:eastAsiaTheme="minorEastAsia" w:cstheme="minorEastAsia"/>
          <w:b/>
          <w:color w:val="auto"/>
          <w:sz w:val="24"/>
        </w:rPr>
      </w:pPr>
    </w:p>
    <w:p w14:paraId="419D1B0D">
      <w:pPr>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6A4BED71">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lang w:val="en-US" w:eastAsia="zh-CN"/>
        </w:rPr>
      </w:pPr>
      <w:r>
        <w:rPr>
          <w:rFonts w:hint="eastAsia" w:asciiTheme="minorEastAsia" w:hAnsiTheme="minorEastAsia" w:eastAsiaTheme="minorEastAsia" w:cstheme="minorEastAsia"/>
          <w:b/>
          <w:color w:val="auto"/>
          <w:sz w:val="36"/>
          <w:szCs w:val="20"/>
          <w:lang w:val="en-US" w:eastAsia="zh-CN"/>
        </w:rPr>
        <w:t>第六部分</w:t>
      </w:r>
      <w:bookmarkEnd w:id="393"/>
      <w:r>
        <w:rPr>
          <w:rFonts w:hint="eastAsia" w:asciiTheme="minorEastAsia" w:hAnsiTheme="minorEastAsia" w:eastAsiaTheme="minorEastAsia" w:cstheme="minorEastAsia"/>
          <w:b/>
          <w:color w:val="auto"/>
          <w:sz w:val="36"/>
          <w:szCs w:val="20"/>
          <w:lang w:val="en-US" w:eastAsia="zh-CN"/>
        </w:rPr>
        <w:t xml:space="preserve"> </w:t>
      </w:r>
      <w:bookmarkEnd w:id="394"/>
      <w:r>
        <w:rPr>
          <w:rFonts w:hint="eastAsia" w:asciiTheme="minorEastAsia" w:hAnsiTheme="minorEastAsia" w:eastAsiaTheme="minorEastAsia" w:cstheme="minorEastAsia"/>
          <w:b/>
          <w:color w:val="auto"/>
          <w:sz w:val="36"/>
          <w:szCs w:val="20"/>
          <w:lang w:val="en-US" w:eastAsia="zh-CN"/>
        </w:rPr>
        <w:t>应提交的有关格式范例</w:t>
      </w:r>
    </w:p>
    <w:p w14:paraId="4D36176B">
      <w:pPr>
        <w:spacing w:line="360" w:lineRule="auto"/>
        <w:ind w:firstLine="723"/>
        <w:jc w:val="center"/>
        <w:outlineLvl w:val="0"/>
        <w:rPr>
          <w:rFonts w:asciiTheme="minorEastAsia" w:hAnsiTheme="minorEastAsia" w:eastAsiaTheme="minorEastAsia" w:cstheme="minorEastAsia"/>
          <w:b/>
          <w:color w:val="auto"/>
          <w:kern w:val="0"/>
          <w:sz w:val="36"/>
          <w:szCs w:val="36"/>
        </w:rPr>
      </w:pPr>
    </w:p>
    <w:p w14:paraId="51CD9DA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资格文件部分</w:t>
      </w:r>
    </w:p>
    <w:p w14:paraId="55A39B8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03E317E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0EC059A5">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有效的企业法人营业执照（或事业法人登记证）、其他组织（个体工商户）的营业执照或者民办非企业单位登记证书；</w:t>
      </w:r>
    </w:p>
    <w:p w14:paraId="2E43153C">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符合参加采购活动应当具备的一般条件的承诺函；</w:t>
      </w:r>
    </w:p>
    <w:p w14:paraId="1D5236BE">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 本项目的特定资格要求。</w:t>
      </w:r>
    </w:p>
    <w:p w14:paraId="01C49416">
      <w:pPr>
        <w:pStyle w:val="34"/>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12B76406">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01CAAAD8">
      <w:pPr>
        <w:keepNext w:val="0"/>
        <w:keepLines w:val="0"/>
        <w:pageBreakBefore w:val="0"/>
        <w:kinsoku/>
        <w:overflowPunct/>
        <w:topLinePunct w:val="0"/>
        <w:bidi w:val="0"/>
        <w:jc w:val="center"/>
        <w:textAlignment w:val="auto"/>
        <w:outlineLvl w:val="9"/>
        <w:rPr>
          <w:rFonts w:hint="eastAsia" w:asciiTheme="minorEastAsia" w:hAnsiTheme="minorEastAsia" w:eastAsiaTheme="minorEastAsia" w:cstheme="minorEastAsia"/>
          <w:b/>
          <w:color w:val="auto"/>
          <w:kern w:val="0"/>
          <w:sz w:val="32"/>
          <w:szCs w:val="32"/>
          <w:lang w:val="en-US" w:eastAsia="zh-CN"/>
        </w:rPr>
      </w:pPr>
      <w:r>
        <w:rPr>
          <w:rFonts w:hint="eastAsia" w:asciiTheme="minorEastAsia" w:hAnsiTheme="minorEastAsia" w:eastAsiaTheme="minorEastAsia" w:cstheme="minorEastAsia"/>
          <w:b/>
          <w:color w:val="auto"/>
          <w:kern w:val="0"/>
          <w:sz w:val="32"/>
          <w:szCs w:val="32"/>
          <w:lang w:val="en-US" w:eastAsia="zh-CN"/>
        </w:rPr>
        <w:t>一、有效的企业法人营业执照（或事业法人登记证）、其他组织（个体工商户）的营业执照或者民办非企业单位登记证书</w:t>
      </w:r>
      <w:r>
        <w:rPr>
          <w:rFonts w:hint="eastAsia" w:asciiTheme="minorEastAsia" w:hAnsiTheme="minorEastAsia" w:eastAsiaTheme="minorEastAsia" w:cstheme="minorEastAsia"/>
          <w:b/>
          <w:color w:val="auto"/>
          <w:kern w:val="0"/>
          <w:sz w:val="32"/>
          <w:szCs w:val="32"/>
          <w:lang w:val="en-US" w:eastAsia="zh-CN"/>
        </w:rPr>
        <w:br w:type="page"/>
      </w:r>
    </w:p>
    <w:p w14:paraId="0A6A526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rPr>
        <w:t>二</w:t>
      </w:r>
      <w:r>
        <w:rPr>
          <w:rFonts w:hint="eastAsia" w:asciiTheme="minorEastAsia" w:hAnsiTheme="minorEastAsia" w:eastAsiaTheme="minorEastAsia" w:cstheme="minorEastAsia"/>
          <w:b/>
          <w:color w:val="auto"/>
          <w:kern w:val="0"/>
          <w:sz w:val="32"/>
          <w:szCs w:val="32"/>
        </w:rPr>
        <w:t>、 符合参加采购活动应当具备的一般条件的承诺函</w:t>
      </w:r>
    </w:p>
    <w:p w14:paraId="3BCEE0B2">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u w:val="single"/>
        </w:rPr>
      </w:pPr>
    </w:p>
    <w:p w14:paraId="5DB4E1CF">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17EBA44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我方参与</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采购活动，郑重承诺：</w:t>
      </w:r>
    </w:p>
    <w:p w14:paraId="70751E65">
      <w:pPr>
        <w:keepNext w:val="0"/>
        <w:keepLines w:val="0"/>
        <w:pageBreakBefore w:val="0"/>
        <w:kinsoku/>
        <w:overflowPunct/>
        <w:topLinePunct w:val="0"/>
        <w:bidi w:val="0"/>
        <w:snapToGrid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（一）具备《中华人民共和国政府采购法》第二十二条第一款规定的条件：</w:t>
      </w:r>
    </w:p>
    <w:p w14:paraId="32562804">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1.具有独立承担民事责任的能力；</w:t>
      </w:r>
    </w:p>
    <w:p w14:paraId="603D1C0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2.具有良好的商业信誉和健全的财务会计制度； </w:t>
      </w:r>
    </w:p>
    <w:p w14:paraId="2FA7F2D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3.具有履行合同所必需的设备和专业技术能力；</w:t>
      </w:r>
    </w:p>
    <w:p w14:paraId="02C9DF0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4.有依法缴纳税收和社会保障资金的良好记录；</w:t>
      </w:r>
    </w:p>
    <w:p w14:paraId="7FA3DBF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5.参加政府采购活动前三年内，在经营活动中没有重大违法记录；</w:t>
      </w:r>
    </w:p>
    <w:p w14:paraId="1558034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6.具有法律、行政法规规定的其他条件。</w:t>
      </w:r>
    </w:p>
    <w:p w14:paraId="14F72E6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（二）未被信用中国（www.creditchina.gov.cn)、中国政府采购网（www.ccgp.gov.cn）列入失信被执行人、重大税收违法失信主体、政府采购严重违法失信行为记录名单。</w:t>
      </w:r>
    </w:p>
    <w:p w14:paraId="2212014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（三）不存在以下情况：</w:t>
      </w:r>
    </w:p>
    <w:p w14:paraId="54913EB7">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1.单位负责人为同一人或者存在直接控股、管理关系的不同供应商参加同一合同项下的采购活动的；</w:t>
      </w:r>
    </w:p>
    <w:p w14:paraId="3B73CE9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2.为采购项目提供整体设计、规范编制或者项目管理、监理、检测等服务后再参加该采购项目的其他采购活动的。</w:t>
      </w:r>
    </w:p>
    <w:p w14:paraId="50C9D9D6">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17BB8391">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0F89D813">
      <w:pPr>
        <w:keepNext w:val="0"/>
        <w:keepLines w:val="0"/>
        <w:pageBreakBefore w:val="0"/>
        <w:kinsoku/>
        <w:overflowPunct/>
        <w:topLinePunct w:val="0"/>
        <w:bidi w:val="0"/>
        <w:spacing w:line="360" w:lineRule="auto"/>
        <w:ind w:right="420" w:firstLine="5250" w:firstLineChars="25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法定代表人（签名或印章）：     </w:t>
      </w:r>
    </w:p>
    <w:p w14:paraId="2C0EF008">
      <w:pPr>
        <w:keepNext w:val="0"/>
        <w:keepLines w:val="0"/>
        <w:pageBreakBefore w:val="0"/>
        <w:kinsoku/>
        <w:overflowPunct/>
        <w:topLinePunct w:val="0"/>
        <w:bidi w:val="0"/>
        <w:spacing w:line="360" w:lineRule="auto"/>
        <w:ind w:right="420" w:firstLine="5460" w:firstLineChars="2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 xml:space="preserve">）：   </w:t>
      </w:r>
    </w:p>
    <w:p w14:paraId="239458DD">
      <w:pPr>
        <w:keepNext w:val="0"/>
        <w:keepLines w:val="0"/>
        <w:pageBreakBefore w:val="0"/>
        <w:kinsoku/>
        <w:overflowPunct/>
        <w:topLinePunct w:val="0"/>
        <w:bidi w:val="0"/>
        <w:spacing w:line="360" w:lineRule="auto"/>
        <w:ind w:right="420" w:firstLine="5355" w:firstLineChars="255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年    月    日</w:t>
      </w:r>
    </w:p>
    <w:p w14:paraId="5DF6C30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41C16B7">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657C7BE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t>三、本项目的特定资格要求</w:t>
      </w:r>
    </w:p>
    <w:p w14:paraId="5B30552C">
      <w:pPr>
        <w:keepNext w:val="0"/>
        <w:keepLines w:val="0"/>
        <w:pageBreakBefore w:val="0"/>
        <w:kinsoku/>
        <w:overflowPunct/>
        <w:topLinePunct w:val="0"/>
        <w:bidi w:val="0"/>
        <w:spacing w:line="360" w:lineRule="auto"/>
        <w:ind w:firstLine="480"/>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（根据竞争性磋商公告本项目的特定资格要求提供相应的材料；未要求的，无需提供）</w:t>
      </w:r>
    </w:p>
    <w:p w14:paraId="0EADF40C">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1A8D996">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428F5D2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28454C79">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742348F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36ACF474">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47BF422">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108FAF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96BE31C">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0BD88DF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A191D08">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F745E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507447A5">
      <w:pPr>
        <w:keepNext w:val="0"/>
        <w:keepLines w:val="0"/>
        <w:pageBreakBefore w:val="0"/>
        <w:kinsoku/>
        <w:overflowPunct/>
        <w:topLinePunct w:val="0"/>
        <w:bidi w:val="0"/>
        <w:spacing w:line="360" w:lineRule="auto"/>
        <w:ind w:firstLine="723"/>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br w:type="page"/>
      </w:r>
    </w:p>
    <w:p w14:paraId="6B83762F">
      <w:pPr>
        <w:keepNext w:val="0"/>
        <w:keepLines w:val="0"/>
        <w:pageBreakBefore w:val="0"/>
        <w:kinsoku/>
        <w:overflowPunct/>
        <w:topLinePunct w:val="0"/>
        <w:bidi w:val="0"/>
        <w:spacing w:line="360" w:lineRule="auto"/>
        <w:ind w:right="420"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商务技术文件部分</w:t>
      </w:r>
    </w:p>
    <w:p w14:paraId="52EA5E3C">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color w:val="auto"/>
          <w:kern w:val="0"/>
          <w:sz w:val="24"/>
        </w:rPr>
      </w:pPr>
    </w:p>
    <w:p w14:paraId="4D50AA6B">
      <w:pPr>
        <w:keepNext w:val="0"/>
        <w:keepLines w:val="0"/>
        <w:pageBreakBefore w:val="0"/>
        <w:kinsoku/>
        <w:overflowPunct/>
        <w:topLinePunct w:val="0"/>
        <w:bidi w:val="0"/>
        <w:spacing w:line="360" w:lineRule="auto"/>
        <w:ind w:left="3990" w:leftChars="1900" w:firstLine="562"/>
        <w:textAlignment w:val="auto"/>
        <w:outlineLvl w:val="9"/>
        <w:rPr>
          <w:rFonts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目 录</w:t>
      </w:r>
    </w:p>
    <w:p w14:paraId="19BC8DC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1评分索引表；</w:t>
      </w:r>
    </w:p>
    <w:p w14:paraId="463CC08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符合性自查表；</w:t>
      </w:r>
    </w:p>
    <w:p w14:paraId="3095B35C">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 磋商函； </w:t>
      </w:r>
    </w:p>
    <w:p w14:paraId="17021E4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4授权委托书或法定代表人（单位负责人、自然人本人）身份证明；；</w:t>
      </w:r>
    </w:p>
    <w:p w14:paraId="474CA11B">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 供应商情况表；</w:t>
      </w:r>
    </w:p>
    <w:p w14:paraId="3C879994">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 距采购人最近或者能为本项目提供最优服务的网点情况表；</w:t>
      </w:r>
    </w:p>
    <w:p w14:paraId="56B3167F">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 评审标准相应的商务技术资料；</w:t>
      </w:r>
    </w:p>
    <w:p w14:paraId="7F8D14C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 商务</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0432F241">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 技术</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1DFB5B69">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10 </w:t>
      </w:r>
      <w:r>
        <w:rPr>
          <w:rFonts w:hint="eastAsia" w:asciiTheme="minorEastAsia" w:hAnsiTheme="minorEastAsia" w:eastAsiaTheme="minorEastAsia" w:cstheme="minorEastAsia"/>
          <w:color w:val="auto"/>
          <w:sz w:val="28"/>
          <w:szCs w:val="28"/>
        </w:rPr>
        <w:t>同类业绩情况一览表；</w:t>
      </w:r>
    </w:p>
    <w:p w14:paraId="2173EA2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zh-CN"/>
        </w:rPr>
        <w:t>采购供应商廉洁自律承诺书；</w:t>
      </w:r>
    </w:p>
    <w:p w14:paraId="1589E70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其他资料。</w:t>
      </w:r>
    </w:p>
    <w:p w14:paraId="3B24D33C">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color w:val="auto"/>
          <w:kern w:val="0"/>
          <w:sz w:val="24"/>
        </w:rPr>
        <w:br w:type="page"/>
      </w:r>
    </w:p>
    <w:p w14:paraId="5A252C7A">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cs="仿宋" w:asciiTheme="majorEastAsia" w:hAnsiTheme="majorEastAsia" w:eastAsiaTheme="majorEastAsia"/>
          <w:b/>
          <w:color w:val="auto"/>
          <w:kern w:val="0"/>
          <w:sz w:val="32"/>
          <w:szCs w:val="32"/>
        </w:rPr>
      </w:pPr>
      <w:r>
        <w:rPr>
          <w:rFonts w:hint="eastAsia" w:cs="仿宋" w:asciiTheme="majorEastAsia" w:hAnsiTheme="majorEastAsia" w:eastAsiaTheme="majorEastAsia"/>
          <w:b/>
          <w:color w:val="auto"/>
          <w:kern w:val="0"/>
          <w:sz w:val="32"/>
          <w:szCs w:val="32"/>
          <w:lang w:val="en-US" w:eastAsia="zh-CN" w:bidi="ar-SA"/>
        </w:rPr>
        <w:t>一、</w:t>
      </w:r>
      <w:r>
        <w:rPr>
          <w:rFonts w:hint="eastAsia" w:cs="仿宋" w:asciiTheme="majorEastAsia" w:hAnsiTheme="majorEastAsia" w:eastAsiaTheme="majorEastAsia"/>
          <w:b/>
          <w:color w:val="auto"/>
          <w:kern w:val="0"/>
          <w:sz w:val="32"/>
          <w:szCs w:val="32"/>
        </w:rPr>
        <w:t>评分索引表</w:t>
      </w:r>
    </w:p>
    <w:p w14:paraId="6DE0C6DF">
      <w:pPr>
        <w:keepNext w:val="0"/>
        <w:keepLines w:val="0"/>
        <w:pageBreakBefore w:val="0"/>
        <w:kinsoku/>
        <w:overflowPunct/>
        <w:topLinePunct w:val="0"/>
        <w:bidi w:val="0"/>
        <w:snapToGrid w:val="0"/>
        <w:spacing w:before="50" w:after="50"/>
        <w:ind w:firstLine="482"/>
        <w:textAlignment w:val="auto"/>
        <w:outlineLvl w:val="9"/>
        <w:rPr>
          <w:rFonts w:ascii="宋体" w:hAnsi="宋体"/>
          <w:b/>
          <w:color w:val="auto"/>
          <w:sz w:val="24"/>
        </w:rPr>
      </w:pPr>
    </w:p>
    <w:tbl>
      <w:tblPr>
        <w:tblStyle w:val="2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8"/>
        <w:gridCol w:w="5819"/>
        <w:gridCol w:w="1627"/>
      </w:tblGrid>
      <w:tr w14:paraId="4CD5F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1F52A748">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序号</w:t>
            </w:r>
          </w:p>
        </w:tc>
        <w:tc>
          <w:tcPr>
            <w:tcW w:w="5819" w:type="dxa"/>
            <w:tcBorders>
              <w:top w:val="single" w:color="auto" w:sz="4" w:space="0"/>
              <w:left w:val="single" w:color="auto" w:sz="4" w:space="0"/>
              <w:bottom w:val="single" w:color="auto" w:sz="4" w:space="0"/>
              <w:right w:val="single" w:color="auto" w:sz="4" w:space="0"/>
            </w:tcBorders>
            <w:vAlign w:val="center"/>
          </w:tcPr>
          <w:p w14:paraId="0736FBC0">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评分标准</w:t>
            </w:r>
          </w:p>
        </w:tc>
        <w:tc>
          <w:tcPr>
            <w:tcW w:w="1627" w:type="dxa"/>
            <w:tcBorders>
              <w:top w:val="single" w:color="auto" w:sz="4" w:space="0"/>
              <w:left w:val="single" w:color="auto" w:sz="4" w:space="0"/>
              <w:bottom w:val="single" w:color="auto" w:sz="4" w:space="0"/>
              <w:right w:val="single" w:color="auto" w:sz="4" w:space="0"/>
            </w:tcBorders>
            <w:vAlign w:val="center"/>
          </w:tcPr>
          <w:p w14:paraId="31C66FD2">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页码</w:t>
            </w:r>
          </w:p>
        </w:tc>
      </w:tr>
      <w:tr w14:paraId="07B35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27710254">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1</w:t>
            </w:r>
          </w:p>
        </w:tc>
        <w:tc>
          <w:tcPr>
            <w:tcW w:w="5819" w:type="dxa"/>
            <w:tcBorders>
              <w:top w:val="single" w:color="auto" w:sz="4" w:space="0"/>
              <w:left w:val="single" w:color="auto" w:sz="4" w:space="0"/>
              <w:right w:val="single" w:color="auto" w:sz="4" w:space="0"/>
            </w:tcBorders>
            <w:vAlign w:val="center"/>
          </w:tcPr>
          <w:p w14:paraId="63FBF21F">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（报价除外）</w:t>
            </w:r>
          </w:p>
        </w:tc>
        <w:tc>
          <w:tcPr>
            <w:tcW w:w="1627" w:type="dxa"/>
            <w:tcBorders>
              <w:top w:val="single" w:color="auto" w:sz="4" w:space="0"/>
              <w:left w:val="single" w:color="auto" w:sz="4" w:space="0"/>
              <w:right w:val="single" w:color="auto" w:sz="4" w:space="0"/>
            </w:tcBorders>
            <w:vAlign w:val="center"/>
          </w:tcPr>
          <w:p w14:paraId="4E23BAF1">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5A706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6C9083A">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2</w:t>
            </w:r>
          </w:p>
        </w:tc>
        <w:tc>
          <w:tcPr>
            <w:tcW w:w="5819" w:type="dxa"/>
            <w:tcBorders>
              <w:top w:val="single" w:color="auto" w:sz="4" w:space="0"/>
              <w:left w:val="single" w:color="auto" w:sz="4" w:space="0"/>
              <w:right w:val="single" w:color="auto" w:sz="4" w:space="0"/>
            </w:tcBorders>
            <w:vAlign w:val="center"/>
          </w:tcPr>
          <w:p w14:paraId="2C0250C2">
            <w:pPr>
              <w:keepNext w:val="0"/>
              <w:keepLines w:val="0"/>
              <w:pageBreakBefore w:val="0"/>
              <w:kinsoku/>
              <w:overflowPunct/>
              <w:topLinePunct w:val="0"/>
              <w:bidi w:val="0"/>
              <w:ind w:firstLine="480"/>
              <w:jc w:val="center"/>
              <w:textAlignment w:val="auto"/>
              <w:outlineLvl w:val="9"/>
              <w:rPr>
                <w:rFonts w:ascii="宋体" w:hAnsi="宋体" w:cs="宋体"/>
                <w:color w:val="auto"/>
                <w:kern w:val="0"/>
                <w:sz w:val="24"/>
              </w:rPr>
            </w:pPr>
          </w:p>
        </w:tc>
        <w:tc>
          <w:tcPr>
            <w:tcW w:w="1627" w:type="dxa"/>
            <w:tcBorders>
              <w:top w:val="single" w:color="auto" w:sz="4" w:space="0"/>
              <w:left w:val="single" w:color="auto" w:sz="4" w:space="0"/>
              <w:right w:val="single" w:color="auto" w:sz="4" w:space="0"/>
            </w:tcBorders>
            <w:vAlign w:val="center"/>
          </w:tcPr>
          <w:p w14:paraId="36920645">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F9BB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5CA98CB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0AE41BE">
            <w:pPr>
              <w:keepNext w:val="0"/>
              <w:keepLines w:val="0"/>
              <w:pageBreakBefore w:val="0"/>
              <w:kinsoku/>
              <w:overflowPunct/>
              <w:topLinePunct w:val="0"/>
              <w:bidi w:val="0"/>
              <w:ind w:left="55" w:leftChars="26" w:firstLine="480"/>
              <w:textAlignment w:val="auto"/>
              <w:outlineLvl w:val="9"/>
              <w:rPr>
                <w:rFonts w:ascii="宋体" w:hAnsi="宋体" w:cs="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4097048">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BA77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32263F7D">
            <w:pPr>
              <w:keepNext w:val="0"/>
              <w:keepLines w:val="0"/>
              <w:pageBreakBefore w:val="0"/>
              <w:kinsoku/>
              <w:overflowPunct/>
              <w:topLinePunct w:val="0"/>
              <w:bidi w:val="0"/>
              <w:ind w:firstLine="482"/>
              <w:textAlignment w:val="auto"/>
              <w:outlineLvl w:val="9"/>
              <w:rPr>
                <w:rFonts w:ascii="宋体" w:hAnsi="宋体"/>
                <w:b/>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07504BB6">
            <w:pPr>
              <w:pStyle w:val="20"/>
              <w:keepNext w:val="0"/>
              <w:keepLines w:val="0"/>
              <w:pageBreakBefore w:val="0"/>
              <w:kinsoku/>
              <w:overflowPunct/>
              <w:topLinePunct w:val="0"/>
              <w:bidi w:val="0"/>
              <w:ind w:firstLine="321"/>
              <w:textAlignment w:val="auto"/>
              <w:outlineLvl w:val="9"/>
              <w:rPr>
                <w:rFonts w:ascii="宋体"/>
                <w:b/>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19EBB7A8">
            <w:pPr>
              <w:pStyle w:val="20"/>
              <w:keepNext w:val="0"/>
              <w:keepLines w:val="0"/>
              <w:pageBreakBefore w:val="0"/>
              <w:kinsoku/>
              <w:overflowPunct/>
              <w:topLinePunct w:val="0"/>
              <w:bidi w:val="0"/>
              <w:ind w:firstLine="321"/>
              <w:jc w:val="center"/>
              <w:textAlignment w:val="auto"/>
              <w:outlineLvl w:val="9"/>
              <w:rPr>
                <w:rFonts w:ascii="宋体"/>
                <w:b/>
                <w:color w:val="auto"/>
              </w:rPr>
            </w:pPr>
          </w:p>
        </w:tc>
      </w:tr>
      <w:tr w14:paraId="171A5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438CF6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35BD511">
            <w:pPr>
              <w:keepNext w:val="0"/>
              <w:keepLines w:val="0"/>
              <w:pageBreakBefore w:val="0"/>
              <w:kinsoku/>
              <w:overflowPunct/>
              <w:topLinePunct w:val="0"/>
              <w:bidi w:val="0"/>
              <w:spacing w:line="320" w:lineRule="exact"/>
              <w:ind w:firstLine="480"/>
              <w:textAlignment w:val="auto"/>
              <w:outlineLvl w:val="9"/>
              <w:rPr>
                <w:rFonts w:ascii="宋体" w:hAnsi="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08A3D3F">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860F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CF9B4E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D09857D">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F51F502">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56713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6AA28987">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644609F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C201038">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754FB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47426CA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88F3A57">
            <w:pPr>
              <w:pStyle w:val="20"/>
              <w:keepNext w:val="0"/>
              <w:keepLines w:val="0"/>
              <w:pageBreakBefore w:val="0"/>
              <w:kinsoku/>
              <w:overflowPunct/>
              <w:topLinePunct w:val="0"/>
              <w:bidi w:val="0"/>
              <w:ind w:firstLine="320"/>
              <w:textAlignment w:val="auto"/>
              <w:outlineLvl w:val="9"/>
              <w:rPr>
                <w:rFonts w:ascii="宋体"/>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32EC7435">
            <w:pPr>
              <w:keepNext w:val="0"/>
              <w:keepLines w:val="0"/>
              <w:pageBreakBefore w:val="0"/>
              <w:kinsoku/>
              <w:overflowPunct/>
              <w:topLinePunct w:val="0"/>
              <w:bidi w:val="0"/>
              <w:ind w:firstLine="482"/>
              <w:jc w:val="center"/>
              <w:textAlignment w:val="auto"/>
              <w:outlineLvl w:val="9"/>
              <w:rPr>
                <w:rFonts w:ascii="宋体" w:hAnsi="宋体"/>
                <w:b/>
                <w:color w:val="auto"/>
                <w:sz w:val="24"/>
              </w:rPr>
            </w:pPr>
          </w:p>
        </w:tc>
      </w:tr>
      <w:tr w14:paraId="4B372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7AB9836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F8F4EF1">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3A70A03">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3A737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6F8E85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8D23804">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5FA7DE1D">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D79C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0624F431">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620E6D9">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right w:val="single" w:color="auto" w:sz="4" w:space="0"/>
            </w:tcBorders>
            <w:vAlign w:val="center"/>
          </w:tcPr>
          <w:p w14:paraId="5EA2FA74">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bl>
    <w:p w14:paraId="21C12FDA">
      <w:pPr>
        <w:keepNext w:val="0"/>
        <w:keepLines w:val="0"/>
        <w:pageBreakBefore w:val="0"/>
        <w:kinsoku/>
        <w:overflowPunct/>
        <w:topLinePunct w:val="0"/>
        <w:bidi w:val="0"/>
        <w:snapToGrid w:val="0"/>
        <w:spacing w:line="360" w:lineRule="auto"/>
        <w:ind w:firstLine="480"/>
        <w:textAlignment w:val="auto"/>
        <w:outlineLvl w:val="9"/>
        <w:rPr>
          <w:rFonts w:cs="仿宋" w:asciiTheme="majorEastAsia" w:hAnsiTheme="majorEastAsia" w:eastAsiaTheme="majorEastAsia"/>
          <w:color w:val="auto"/>
          <w:kern w:val="0"/>
          <w:sz w:val="24"/>
        </w:rPr>
      </w:pPr>
    </w:p>
    <w:p w14:paraId="338A8895">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r>
        <w:rPr>
          <w:rFonts w:asciiTheme="minorEastAsia" w:hAnsiTheme="minorEastAsia" w:eastAsiaTheme="minorEastAsia" w:cstheme="minorEastAsia"/>
          <w:b/>
          <w:color w:val="auto"/>
          <w:kern w:val="0"/>
          <w:sz w:val="32"/>
          <w:szCs w:val="32"/>
        </w:rPr>
        <w:br w:type="page"/>
      </w:r>
    </w:p>
    <w:p w14:paraId="4BDABABF">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p>
    <w:p w14:paraId="1BB2E516">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bidi="ar-SA"/>
        </w:rPr>
        <w:t>二、</w:t>
      </w:r>
      <w:r>
        <w:rPr>
          <w:rFonts w:hint="eastAsia" w:asciiTheme="minorEastAsia" w:hAnsiTheme="minorEastAsia" w:eastAsiaTheme="minorEastAsia" w:cstheme="minorEastAsia"/>
          <w:b/>
          <w:color w:val="auto"/>
          <w:kern w:val="0"/>
          <w:sz w:val="32"/>
          <w:szCs w:val="32"/>
        </w:rPr>
        <w:t>符合性自查表</w:t>
      </w:r>
    </w:p>
    <w:tbl>
      <w:tblPr>
        <w:tblStyle w:val="26"/>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261"/>
        <w:gridCol w:w="2809"/>
        <w:gridCol w:w="1443"/>
        <w:gridCol w:w="1658"/>
      </w:tblGrid>
      <w:tr w14:paraId="0593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7" w:type="dxa"/>
            <w:vAlign w:val="center"/>
          </w:tcPr>
          <w:p w14:paraId="09E4ED15">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序号</w:t>
            </w:r>
          </w:p>
        </w:tc>
        <w:tc>
          <w:tcPr>
            <w:tcW w:w="3261" w:type="dxa"/>
            <w:vAlign w:val="center"/>
          </w:tcPr>
          <w:p w14:paraId="44FAAAF3">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实质性要求</w:t>
            </w:r>
          </w:p>
        </w:tc>
        <w:tc>
          <w:tcPr>
            <w:tcW w:w="2809" w:type="dxa"/>
            <w:vAlign w:val="center"/>
          </w:tcPr>
          <w:p w14:paraId="5E5F75B4">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需要提供的符合性审查资料</w:t>
            </w:r>
          </w:p>
        </w:tc>
        <w:tc>
          <w:tcPr>
            <w:tcW w:w="1443" w:type="dxa"/>
            <w:vAlign w:val="center"/>
          </w:tcPr>
          <w:p w14:paraId="6978B87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自查结论</w:t>
            </w:r>
          </w:p>
        </w:tc>
        <w:tc>
          <w:tcPr>
            <w:tcW w:w="1658" w:type="dxa"/>
            <w:vAlign w:val="center"/>
          </w:tcPr>
          <w:p w14:paraId="7A84B9BF">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响应文件中的</w:t>
            </w:r>
          </w:p>
          <w:p w14:paraId="0BA11D21">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页码位置</w:t>
            </w:r>
          </w:p>
        </w:tc>
      </w:tr>
      <w:tr w14:paraId="3E06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01F8EFF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3261" w:type="dxa"/>
            <w:vAlign w:val="center"/>
          </w:tcPr>
          <w:p w14:paraId="163A47F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响应文件按照采购文件要求签署、盖章。</w:t>
            </w:r>
          </w:p>
        </w:tc>
        <w:tc>
          <w:tcPr>
            <w:tcW w:w="2809" w:type="dxa"/>
            <w:vAlign w:val="center"/>
          </w:tcPr>
          <w:p w14:paraId="30B2C58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需要使用电子签名或者签字盖章的响应文件的组成部分</w:t>
            </w:r>
          </w:p>
        </w:tc>
        <w:tc>
          <w:tcPr>
            <w:tcW w:w="1443" w:type="dxa"/>
            <w:vAlign w:val="center"/>
          </w:tcPr>
          <w:p w14:paraId="5E79BF3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2418A0C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15329B8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p>
          <w:p w14:paraId="7EE981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4238F5F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784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2E90A91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3261" w:type="dxa"/>
            <w:vAlign w:val="center"/>
          </w:tcPr>
          <w:p w14:paraId="32FA055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响应文件中承诺的响应有效期不少于采购文件中载明的响应有效期。</w:t>
            </w:r>
          </w:p>
        </w:tc>
        <w:tc>
          <w:tcPr>
            <w:tcW w:w="2809" w:type="dxa"/>
            <w:vAlign w:val="center"/>
          </w:tcPr>
          <w:p w14:paraId="0838FFB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磋商函</w:t>
            </w:r>
          </w:p>
        </w:tc>
        <w:tc>
          <w:tcPr>
            <w:tcW w:w="1443" w:type="dxa"/>
            <w:vAlign w:val="center"/>
          </w:tcPr>
          <w:p w14:paraId="308F648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19B236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23BDB307">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392C1C7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5758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707" w:type="dxa"/>
            <w:vAlign w:val="center"/>
          </w:tcPr>
          <w:p w14:paraId="731E7F82">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3261" w:type="dxa"/>
            <w:vAlign w:val="center"/>
          </w:tcPr>
          <w:p w14:paraId="118575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响应文件满足采购文件的其它实质性要求。</w:t>
            </w:r>
          </w:p>
        </w:tc>
        <w:tc>
          <w:tcPr>
            <w:tcW w:w="2809" w:type="dxa"/>
            <w:vAlign w:val="center"/>
          </w:tcPr>
          <w:p w14:paraId="6110FEE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采购文件其它实质性要求相应的材料（“▲” 系指实质性要求条款，采购文件无其它实质性要求的，无需提供）</w:t>
            </w:r>
          </w:p>
        </w:tc>
        <w:tc>
          <w:tcPr>
            <w:tcW w:w="1443" w:type="dxa"/>
            <w:vAlign w:val="center"/>
          </w:tcPr>
          <w:p w14:paraId="3431848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C2BA98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CA05BA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8039B0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40C7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485C97FB">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w:t>
            </w:r>
          </w:p>
        </w:tc>
        <w:tc>
          <w:tcPr>
            <w:tcW w:w="3261" w:type="dxa"/>
            <w:vAlign w:val="center"/>
          </w:tcPr>
          <w:p w14:paraId="2B1F424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响应文件没有采购文件中规定的其它无效响应条款的。</w:t>
            </w:r>
          </w:p>
        </w:tc>
        <w:tc>
          <w:tcPr>
            <w:tcW w:w="2809" w:type="dxa"/>
            <w:vAlign w:val="center"/>
          </w:tcPr>
          <w:p w14:paraId="5C7C549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0CA864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D7CB00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0CFCA0D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7A9A75A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14C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0C0DA2D3">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w:t>
            </w:r>
          </w:p>
        </w:tc>
        <w:tc>
          <w:tcPr>
            <w:tcW w:w="3261" w:type="dxa"/>
            <w:vAlign w:val="center"/>
          </w:tcPr>
          <w:p w14:paraId="66B0D9E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按有关法律、法规、规章不属于响应无效的。</w:t>
            </w:r>
          </w:p>
        </w:tc>
        <w:tc>
          <w:tcPr>
            <w:tcW w:w="2809" w:type="dxa"/>
            <w:vAlign w:val="center"/>
          </w:tcPr>
          <w:p w14:paraId="4A826F3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175D824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5A71162">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BAB61E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9B04AB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bl>
    <w:p w14:paraId="5D009172">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24"/>
        </w:rPr>
        <w:t xml:space="preserve">备注：供应商自查表将作为供应商有效性审查的重要内容之一，供应商必须严格按照其内容及序列要求在响应文件中对应如实提供，对资格性证明文件的任何缺漏和不符合项将会直接导致响应无效！ </w:t>
      </w:r>
    </w:p>
    <w:p w14:paraId="66788AA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kern w:val="0"/>
          <w:sz w:val="32"/>
          <w:szCs w:val="32"/>
        </w:rPr>
        <w:br w:type="page"/>
      </w:r>
      <w:r>
        <w:rPr>
          <w:rFonts w:hint="eastAsia" w:asciiTheme="minorEastAsia" w:hAnsiTheme="minorEastAsia" w:eastAsiaTheme="minorEastAsia" w:cstheme="minorEastAsia"/>
          <w:b/>
          <w:color w:val="auto"/>
          <w:kern w:val="0"/>
          <w:sz w:val="32"/>
          <w:szCs w:val="32"/>
          <w:lang w:val="en-US" w:eastAsia="zh-CN"/>
        </w:rPr>
        <w:t>三、</w:t>
      </w:r>
      <w:r>
        <w:rPr>
          <w:rFonts w:hint="eastAsia" w:asciiTheme="minorEastAsia" w:hAnsiTheme="minorEastAsia" w:eastAsiaTheme="minorEastAsia" w:cstheme="minorEastAsia"/>
          <w:b/>
          <w:color w:val="auto"/>
          <w:kern w:val="0"/>
          <w:sz w:val="32"/>
          <w:szCs w:val="32"/>
        </w:rPr>
        <w:t>磋商</w:t>
      </w:r>
      <w:r>
        <w:rPr>
          <w:rFonts w:hint="eastAsia" w:asciiTheme="minorEastAsia" w:hAnsiTheme="minorEastAsia" w:eastAsiaTheme="minorEastAsia" w:cstheme="minorEastAsia"/>
          <w:b/>
          <w:color w:val="auto"/>
          <w:sz w:val="32"/>
          <w:szCs w:val="32"/>
        </w:rPr>
        <w:t>函</w:t>
      </w:r>
    </w:p>
    <w:p w14:paraId="23056238">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71CDFEF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我方参加你方组织的</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采购活动，并对此项目进行磋商响应。为此：</w:t>
      </w:r>
    </w:p>
    <w:p w14:paraId="0173F4E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1.我方承诺响应有效期从提交响应文件的截止之日起</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天（不少于90天）</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z w:val="24"/>
        </w:rPr>
        <w:t>本响应文件在响应有效期满之前均具有约束力。</w:t>
      </w:r>
    </w:p>
    <w:p w14:paraId="753127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2.我方的响应文件包括以下内容：</w:t>
      </w:r>
    </w:p>
    <w:p w14:paraId="53A3893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2.1资格文件：</w:t>
      </w:r>
    </w:p>
    <w:p w14:paraId="75460DFA">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2.1.1有效的企业法人营业执照（或事业法人登记证）、其他组织（个体工商户）的营业执照或者民办非企业单位登记证书；</w:t>
      </w:r>
    </w:p>
    <w:p w14:paraId="03530FEE">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2.1.2符合参加采购活动应当具备的一般条件的承诺函；</w:t>
      </w:r>
    </w:p>
    <w:p w14:paraId="4330649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2.1.3落实政府采购政策需满足的资格要求（如有）；</w:t>
      </w:r>
    </w:p>
    <w:p w14:paraId="6A7EF66F">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2.1.4联合协议（如有）；</w:t>
      </w:r>
    </w:p>
    <w:p w14:paraId="31AD3E26">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2.1.</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本项目的特定资格要求（如有）。</w:t>
      </w:r>
    </w:p>
    <w:p w14:paraId="2438B8C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 xml:space="preserve"> </w:t>
      </w:r>
      <w:r>
        <w:rPr>
          <w:rFonts w:hint="eastAsia" w:asciiTheme="minorEastAsia" w:hAnsiTheme="minorEastAsia" w:eastAsiaTheme="minorEastAsia" w:cstheme="minorEastAsia"/>
          <w:color w:val="auto"/>
          <w:sz w:val="24"/>
        </w:rPr>
        <w:t>商务技术</w:t>
      </w:r>
      <w:r>
        <w:rPr>
          <w:rFonts w:hint="eastAsia" w:asciiTheme="minorEastAsia" w:hAnsiTheme="minorEastAsia" w:eastAsiaTheme="minorEastAsia" w:cstheme="minorEastAsia"/>
          <w:color w:val="auto"/>
          <w:sz w:val="24"/>
          <w:lang w:val="zh-CN"/>
        </w:rPr>
        <w:t>文件：</w:t>
      </w:r>
    </w:p>
    <w:p w14:paraId="117443A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2.2.1 符合性自查表；</w:t>
      </w:r>
    </w:p>
    <w:p w14:paraId="23BD257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z w:val="24"/>
        </w:rPr>
        <w:t>2.2.2 磋商函；</w:t>
      </w:r>
      <w:r>
        <w:rPr>
          <w:rFonts w:hint="eastAsia" w:asciiTheme="minorEastAsia" w:hAnsiTheme="minorEastAsia" w:eastAsiaTheme="minorEastAsia" w:cstheme="minorEastAsia"/>
          <w:color w:val="auto"/>
          <w:sz w:val="24"/>
          <w:lang w:val="zh-CN"/>
        </w:rPr>
        <w:t xml:space="preserve"> </w:t>
      </w:r>
    </w:p>
    <w:p w14:paraId="346684E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2.2.3 授权委托书</w:t>
      </w:r>
      <w:r>
        <w:rPr>
          <w:rFonts w:hint="eastAsia" w:asciiTheme="minorEastAsia" w:hAnsiTheme="minorEastAsia" w:eastAsiaTheme="minorEastAsia" w:cstheme="minorEastAsia"/>
          <w:color w:val="auto"/>
          <w:sz w:val="24"/>
          <w:lang w:val="en-US" w:eastAsia="zh-CN"/>
        </w:rPr>
        <w:t>/法定代表人身份证明</w:t>
      </w:r>
      <w:r>
        <w:rPr>
          <w:rFonts w:hint="eastAsia" w:asciiTheme="minorEastAsia" w:hAnsiTheme="minorEastAsia" w:eastAsiaTheme="minorEastAsia" w:cstheme="minorEastAsia"/>
          <w:color w:val="auto"/>
          <w:sz w:val="24"/>
        </w:rPr>
        <w:t>；</w:t>
      </w:r>
    </w:p>
    <w:p w14:paraId="1B8D2280">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2.2.4 供应商情况表；</w:t>
      </w:r>
    </w:p>
    <w:p w14:paraId="207499BC">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2.2.5 距采购人最近或者能为本项目提供最优服务的网点情况表；</w:t>
      </w:r>
    </w:p>
    <w:p w14:paraId="7ADA8ADD">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2.2.6 评审标准相应的商务技术资料；</w:t>
      </w:r>
    </w:p>
    <w:p w14:paraId="71CB8F1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7 商务</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5E7F14E7">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8 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0362F91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9 同类业绩情况一览表；</w:t>
      </w:r>
    </w:p>
    <w:p w14:paraId="5F0A5E39">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2.2.10</w:t>
      </w:r>
      <w:r>
        <w:rPr>
          <w:rFonts w:hint="eastAsia" w:asciiTheme="minorEastAsia" w:hAnsiTheme="minorEastAsia" w:eastAsiaTheme="minorEastAsia" w:cstheme="minorEastAsia"/>
          <w:color w:val="auto"/>
          <w:sz w:val="24"/>
          <w:lang w:val="zh-CN"/>
        </w:rPr>
        <w:t>采购供应商廉洁自律承诺书</w:t>
      </w:r>
    </w:p>
    <w:p w14:paraId="75594E0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2.2.1</w:t>
      </w: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 xml:space="preserve"> 其他资料。</w:t>
      </w:r>
    </w:p>
    <w:p w14:paraId="2FF1BC46">
      <w:pPr>
        <w:keepNext w:val="0"/>
        <w:keepLines w:val="0"/>
        <w:pageBreakBefore w:val="0"/>
        <w:kinsoku/>
        <w:overflowPunct/>
        <w:topLinePunct w:val="0"/>
        <w:bidi w:val="0"/>
        <w:snapToGrid w:val="0"/>
        <w:spacing w:line="360" w:lineRule="auto"/>
        <w:ind w:firstLine="720" w:firstLineChars="3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3报价文件</w:t>
      </w:r>
    </w:p>
    <w:p w14:paraId="1E490F9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2.3.1 报价一览表；</w:t>
      </w:r>
    </w:p>
    <w:p w14:paraId="69B17957">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 xml:space="preserve"> 中小企业声明函（如有）；</w:t>
      </w:r>
    </w:p>
    <w:p w14:paraId="1EF90BF8">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 xml:space="preserve"> 残疾人福利性单位声明函（如有）；</w:t>
      </w:r>
    </w:p>
    <w:p w14:paraId="38223DE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 xml:space="preserve"> 监狱企业的证明文件（如有）；</w:t>
      </w:r>
    </w:p>
    <w:p w14:paraId="06C4B42A">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 xml:space="preserve"> 采购统计基础信息表。</w:t>
      </w:r>
    </w:p>
    <w:p w14:paraId="5585A40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3.我方承诺除商务技术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列出的偏离外，我方响应采购文件的全部要求。</w:t>
      </w:r>
    </w:p>
    <w:p w14:paraId="309C3A6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4.如我方成交，我方承诺：</w:t>
      </w:r>
    </w:p>
    <w:p w14:paraId="3910D31B">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4.1在收到成交通知书后，在成交通知书规定的期限内与你方签订合同； </w:t>
      </w:r>
    </w:p>
    <w:p w14:paraId="02F23356">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4.2在签订合同时不向你方提出附加条件； </w:t>
      </w:r>
    </w:p>
    <w:p w14:paraId="34F22A0A">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4.3按照采购文件要求提交履约保证金； </w:t>
      </w:r>
    </w:p>
    <w:p w14:paraId="576B4512">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4.4在合同约定的期限内完成合同规定的全部义务。 </w:t>
      </w:r>
    </w:p>
    <w:p w14:paraId="155E1D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5.其他补充说明： </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 xml:space="preserve"> 。</w:t>
      </w:r>
    </w:p>
    <w:p w14:paraId="227C492A">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30F8C4D">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7FBE34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法定代表人（签名或印章）：     </w:t>
      </w:r>
    </w:p>
    <w:p w14:paraId="5EA94C0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sz w:val="24"/>
        </w:rPr>
        <w:t xml:space="preserve">）：   </w:t>
      </w:r>
    </w:p>
    <w:p w14:paraId="11A9403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年    月    日</w:t>
      </w:r>
    </w:p>
    <w:p w14:paraId="6EB7635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p>
    <w:p w14:paraId="03128BF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p>
    <w:p w14:paraId="554C8F9D">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bookmarkStart w:id="459" w:name="_Toc488936100"/>
      <w:bookmarkStart w:id="460" w:name="_Toc110393361"/>
      <w:bookmarkStart w:id="461" w:name="_Toc225223761"/>
      <w:bookmarkStart w:id="462" w:name="_Toc14746861"/>
      <w:bookmarkStart w:id="463" w:name="_Toc479927873"/>
      <w:bookmarkStart w:id="464" w:name="_Toc483379796"/>
    </w:p>
    <w:p w14:paraId="5E500BC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四、</w:t>
      </w:r>
      <w:r>
        <w:rPr>
          <w:rFonts w:hint="eastAsia" w:asciiTheme="minorEastAsia" w:hAnsiTheme="minorEastAsia" w:eastAsiaTheme="minorEastAsia" w:cstheme="minorEastAsia"/>
          <w:b/>
          <w:color w:val="auto"/>
          <w:kern w:val="0"/>
          <w:sz w:val="32"/>
          <w:szCs w:val="32"/>
          <w:lang w:val="zh-CN"/>
        </w:rPr>
        <w:t>授权委托书</w:t>
      </w:r>
    </w:p>
    <w:p w14:paraId="58C62061">
      <w:pPr>
        <w:keepNext w:val="0"/>
        <w:keepLines w:val="0"/>
        <w:pageBreakBefore w:val="0"/>
        <w:kinsoku/>
        <w:overflowPunct/>
        <w:topLinePunct w:val="0"/>
        <w:bidi w:val="0"/>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法定代表人身份证明</w:t>
      </w:r>
    </w:p>
    <w:p w14:paraId="094B397D">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Cs/>
          <w:color w:val="auto"/>
          <w:sz w:val="24"/>
          <w:highlight w:val="none"/>
          <w:lang w:eastAsia="zh-CN"/>
        </w:rPr>
      </w:pPr>
    </w:p>
    <w:p w14:paraId="1A7A2FA6">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
          <w:color w:val="auto"/>
          <w:sz w:val="24"/>
          <w:highlight w:val="none"/>
        </w:rPr>
      </w:pPr>
    </w:p>
    <w:p w14:paraId="08B06A5B">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p>
    <w:p w14:paraId="330E4B53">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单位性质：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1B5A9B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14:paraId="329DA148">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8FCD8D1">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C2E547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性别：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周岁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3A69466">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67E16DF7">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名称）的法定代表人。</w:t>
      </w:r>
    </w:p>
    <w:p w14:paraId="5F4D1411">
      <w:pPr>
        <w:keepNext w:val="0"/>
        <w:keepLines w:val="0"/>
        <w:pageBreakBefore w:val="0"/>
        <w:kinsoku/>
        <w:overflowPunct/>
        <w:topLinePunct w:val="0"/>
        <w:bidi w:val="0"/>
        <w:spacing w:line="480" w:lineRule="auto"/>
        <w:ind w:firstLine="840" w:firstLineChars="4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12518F13">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5F582CC1">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7D48B768">
      <w:pPr>
        <w:keepNext w:val="0"/>
        <w:keepLines w:val="0"/>
        <w:pageBreakBefore w:val="0"/>
        <w:kinsoku/>
        <w:wordWrap w:val="0"/>
        <w:overflowPunct/>
        <w:topLinePunct w:val="0"/>
        <w:bidi w:val="0"/>
        <w:spacing w:line="360" w:lineRule="auto"/>
        <w:jc w:val="righ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（电子签章或公章）</w:t>
      </w:r>
    </w:p>
    <w:p w14:paraId="43554A8E">
      <w:pPr>
        <w:keepNext w:val="0"/>
        <w:keepLines w:val="0"/>
        <w:pageBreakBefore w:val="0"/>
        <w:kinsoku/>
        <w:overflowPunct/>
        <w:topLinePunct w:val="0"/>
        <w:bidi w:val="0"/>
        <w:spacing w:line="360" w:lineRule="auto"/>
        <w:ind w:firstLine="4515" w:firstLineChars="2150"/>
        <w:textAlignment w:val="auto"/>
        <w:outlineLvl w:val="9"/>
        <w:rPr>
          <w:rFonts w:hint="eastAsia" w:ascii="宋体" w:hAnsi="宋体" w:eastAsia="宋体" w:cs="宋体"/>
          <w:color w:val="auto"/>
          <w:szCs w:val="21"/>
          <w:highlight w:val="none"/>
          <w:u w:val="single"/>
        </w:rPr>
      </w:pPr>
    </w:p>
    <w:p w14:paraId="3BAB2F91">
      <w:pPr>
        <w:keepNext w:val="0"/>
        <w:keepLines w:val="0"/>
        <w:pageBreakBefore w:val="0"/>
        <w:kinsoku/>
        <w:overflowPunct/>
        <w:topLinePunct w:val="0"/>
        <w:bidi w:val="0"/>
        <w:spacing w:line="360" w:lineRule="auto"/>
        <w:ind w:firstLine="3675" w:firstLineChars="17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96A2FFE">
      <w:pPr>
        <w:keepNext w:val="0"/>
        <w:keepLines w:val="0"/>
        <w:pageBreakBefore w:val="0"/>
        <w:kinsoku/>
        <w:overflowPunct/>
        <w:topLinePunct w:val="0"/>
        <w:bidi w:val="0"/>
        <w:spacing w:line="360" w:lineRule="auto"/>
        <w:textAlignment w:val="auto"/>
        <w:outlineLvl w:val="9"/>
        <w:rPr>
          <w:rFonts w:hint="eastAsia" w:ascii="宋体" w:hAnsi="宋体" w:eastAsia="宋体" w:cs="宋体"/>
          <w:color w:val="auto"/>
          <w:sz w:val="24"/>
          <w:highlight w:val="none"/>
        </w:rPr>
      </w:pPr>
    </w:p>
    <w:p w14:paraId="52092643">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31CB899E">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790B8CF0">
      <w:pPr>
        <w:keepNext w:val="0"/>
        <w:keepLines w:val="0"/>
        <w:pageBreakBefore w:val="0"/>
        <w:kinsoku/>
        <w:overflowPunct/>
        <w:topLinePunct w:val="0"/>
        <w:bidi w:val="0"/>
        <w:spacing w:line="360" w:lineRule="auto"/>
        <w:jc w:val="left"/>
        <w:textAlignment w:val="auto"/>
        <w:outlineLvl w:val="9"/>
        <w:rPr>
          <w:rFonts w:hint="eastAsia" w:ascii="宋体" w:hAnsi="宋体" w:eastAsia="宋体" w:cs="宋体"/>
          <w:color w:val="auto"/>
          <w:kern w:val="0"/>
          <w:sz w:val="24"/>
          <w:highlight w:val="none"/>
          <w:lang w:val="zh-CN"/>
        </w:rPr>
      </w:pPr>
      <w:r>
        <w:rPr>
          <w:rFonts w:hint="eastAsia" w:ascii="宋体" w:hAnsi="宋体" w:eastAsia="宋体" w:cs="宋体"/>
          <w:b/>
          <w:color w:val="auto"/>
          <w:szCs w:val="21"/>
          <w:highlight w:val="none"/>
        </w:rPr>
        <w:t>附法定代表人身份证复印件（正反面）：</w:t>
      </w:r>
    </w:p>
    <w:p w14:paraId="0B40347F">
      <w:pPr>
        <w:keepNext w:val="0"/>
        <w:keepLines w:val="0"/>
        <w:pageBreakBefore w:val="0"/>
        <w:kinsoku/>
        <w:overflowPunct/>
        <w:topLinePunct w:val="0"/>
        <w:bidi w:val="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2A770F25">
      <w:pPr>
        <w:keepNext w:val="0"/>
        <w:keepLines w:val="0"/>
        <w:pageBreakBefore w:val="0"/>
        <w:kinsoku/>
        <w:overflowPunct/>
        <w:topLinePunct w:val="0"/>
        <w:bidi w:val="0"/>
        <w:spacing w:line="440" w:lineRule="exact"/>
        <w:ind w:firstLine="480"/>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4"/>
        </w:rPr>
        <w:t xml:space="preserve">                    </w:t>
      </w:r>
      <w:r>
        <w:rPr>
          <w:rFonts w:hint="eastAsia" w:asciiTheme="minorEastAsia" w:hAnsiTheme="minorEastAsia" w:eastAsiaTheme="minorEastAsia" w:cstheme="minorEastAsia"/>
          <w:b/>
          <w:color w:val="auto"/>
          <w:sz w:val="32"/>
          <w:szCs w:val="32"/>
        </w:rPr>
        <w:t>法定代表人授权委托书</w:t>
      </w:r>
    </w:p>
    <w:p w14:paraId="2BBB56E0">
      <w:pPr>
        <w:keepNext w:val="0"/>
        <w:keepLines w:val="0"/>
        <w:pageBreakBefore w:val="0"/>
        <w:kinsoku/>
        <w:overflowPunct/>
        <w:topLinePunct w:val="0"/>
        <w:bidi w:val="0"/>
        <w:spacing w:line="440" w:lineRule="exact"/>
        <w:ind w:firstLine="48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Cs/>
          <w:color w:val="auto"/>
          <w:sz w:val="24"/>
        </w:rPr>
        <w:t>（法定代表人来参加磋商采购活动的，此表不用）</w:t>
      </w:r>
    </w:p>
    <w:p w14:paraId="283A6093">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Cs/>
          <w:color w:val="auto"/>
          <w:sz w:val="24"/>
        </w:rPr>
      </w:pPr>
    </w:p>
    <w:p w14:paraId="344949E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（采购单位名称）</w:t>
      </w:r>
      <w:r>
        <w:rPr>
          <w:rFonts w:hint="eastAsia" w:asciiTheme="minorEastAsia" w:hAnsiTheme="minorEastAsia" w:eastAsiaTheme="minorEastAsia" w:cstheme="minorEastAsia"/>
          <w:b/>
          <w:bCs/>
          <w:color w:val="auto"/>
          <w:szCs w:val="21"/>
        </w:rPr>
        <w:t xml:space="preserve"> </w:t>
      </w:r>
      <w:r>
        <w:rPr>
          <w:rFonts w:hint="eastAsia" w:asciiTheme="minorEastAsia" w:hAnsiTheme="minorEastAsia" w:eastAsiaTheme="minorEastAsia" w:cstheme="minorEastAsia"/>
          <w:color w:val="auto"/>
          <w:szCs w:val="21"/>
        </w:rPr>
        <w:t>：</w:t>
      </w:r>
    </w:p>
    <w:p w14:paraId="4CA748CA">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（姓名）系</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（供应商名称）的法定代表人，现授权委托本单位在职职工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（姓名）以我方的名义参加</w:t>
      </w:r>
      <w:r>
        <w:rPr>
          <w:rFonts w:hint="eastAsia" w:asciiTheme="minorEastAsia" w:hAnsiTheme="minorEastAsia" w:eastAsiaTheme="minorEastAsia" w:cstheme="minorEastAsia"/>
          <w:color w:val="auto"/>
          <w:szCs w:val="21"/>
          <w:u w:val="single"/>
        </w:rPr>
        <w:t xml:space="preserve">                       采购 </w:t>
      </w:r>
      <w:r>
        <w:rPr>
          <w:rFonts w:hint="eastAsia" w:asciiTheme="minorEastAsia" w:hAnsiTheme="minorEastAsia" w:eastAsiaTheme="minorEastAsia" w:cstheme="minorEastAsia"/>
          <w:color w:val="auto"/>
          <w:szCs w:val="21"/>
        </w:rPr>
        <w:t>项目的磋商采购活动，并代表我方全权办理针对上述项目的磋商、评审、签约等具体事务和签署相关文件。</w:t>
      </w:r>
    </w:p>
    <w:p w14:paraId="6EF0B200">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我方对被授权人的签名事项负全部责任。</w:t>
      </w:r>
    </w:p>
    <w:p w14:paraId="30F136F8">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在撤销授权的书面通知以前，本授权书一直有效。被授权人在授权书有效期内签署的所有文件不因授权的撤销而失效。</w:t>
      </w:r>
    </w:p>
    <w:p w14:paraId="1E7F6102">
      <w:pPr>
        <w:keepNext w:val="0"/>
        <w:keepLines w:val="0"/>
        <w:pageBreakBefore w:val="0"/>
        <w:kinsoku/>
        <w:overflowPunct/>
        <w:topLinePunct w:val="0"/>
        <w:bidi w:val="0"/>
        <w:snapToGrid w:val="0"/>
        <w:spacing w:line="360" w:lineRule="auto"/>
        <w:ind w:firstLine="42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被授权人无转委托权，特此委托。</w:t>
      </w:r>
    </w:p>
    <w:p w14:paraId="154E1056">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040817A0">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20227FF7">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被授权人签名或印章：</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法定代表人签名或印章：</w:t>
      </w:r>
      <w:r>
        <w:rPr>
          <w:rFonts w:hint="eastAsia" w:asciiTheme="minorEastAsia" w:hAnsiTheme="minorEastAsia" w:eastAsiaTheme="minorEastAsia" w:cstheme="minorEastAsia"/>
          <w:color w:val="auto"/>
          <w:szCs w:val="21"/>
          <w:u w:val="single"/>
        </w:rPr>
        <w:t xml:space="preserve">          </w:t>
      </w:r>
    </w:p>
    <w:p w14:paraId="17DC1D51">
      <w:pPr>
        <w:keepNext w:val="0"/>
        <w:keepLines w:val="0"/>
        <w:pageBreakBefore w:val="0"/>
        <w:kinsoku/>
        <w:overflowPunct/>
        <w:topLinePunct w:val="0"/>
        <w:bidi w:val="0"/>
        <w:snapToGrid w:val="0"/>
        <w:spacing w:line="360" w:lineRule="auto"/>
        <w:ind w:firstLine="840" w:firstLineChars="4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职务：</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职务：</w:t>
      </w:r>
      <w:r>
        <w:rPr>
          <w:rFonts w:hint="eastAsia" w:asciiTheme="minorEastAsia" w:hAnsiTheme="minorEastAsia" w:eastAsiaTheme="minorEastAsia" w:cstheme="minorEastAsia"/>
          <w:color w:val="auto"/>
          <w:szCs w:val="21"/>
          <w:u w:val="single"/>
        </w:rPr>
        <w:t xml:space="preserve">           </w:t>
      </w:r>
    </w:p>
    <w:p w14:paraId="2F0312B4">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被授权人身份证号码：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14:paraId="2088665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p>
    <w:p w14:paraId="39396962">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534B2797">
      <w:pPr>
        <w:keepNext w:val="0"/>
        <w:keepLines w:val="0"/>
        <w:pageBreakBefore w:val="0"/>
        <w:kinsoku/>
        <w:overflowPunct/>
        <w:topLinePunct w:val="0"/>
        <w:bidi w:val="0"/>
        <w:spacing w:line="360" w:lineRule="auto"/>
        <w:ind w:firstLine="4830" w:firstLineChars="23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w:t>
      </w:r>
    </w:p>
    <w:p w14:paraId="4F371218">
      <w:pPr>
        <w:keepNext w:val="0"/>
        <w:keepLines w:val="0"/>
        <w:pageBreakBefore w:val="0"/>
        <w:kinsoku/>
        <w:overflowPunct/>
        <w:topLinePunct w:val="0"/>
        <w:bidi w:val="0"/>
        <w:spacing w:line="360" w:lineRule="auto"/>
        <w:ind w:firstLine="1260" w:firstLineChars="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w:t>
      </w:r>
    </w:p>
    <w:p w14:paraId="05657CC7">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29C17E5C">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7DA0A7C9">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附：法定代表人身份证复印件（正反面）、授权代表身份证复印件（正反面）：</w:t>
      </w:r>
    </w:p>
    <w:p w14:paraId="3E992924">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359F338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b/>
          <w:color w:val="auto"/>
          <w:kern w:val="0"/>
          <w:sz w:val="32"/>
          <w:szCs w:val="32"/>
          <w:lang w:val="zh-CN"/>
        </w:rPr>
        <w:t xml:space="preserve">      </w:t>
      </w:r>
      <w:r>
        <w:rPr>
          <w:rFonts w:hint="eastAsia" w:asciiTheme="minorEastAsia" w:hAnsiTheme="minorEastAsia" w:eastAsiaTheme="minorEastAsia" w:cstheme="minorEastAsia"/>
          <w:b/>
          <w:color w:val="auto"/>
          <w:kern w:val="0"/>
          <w:sz w:val="32"/>
          <w:szCs w:val="32"/>
        </w:rPr>
        <w:t xml:space="preserve"> </w:t>
      </w:r>
    </w:p>
    <w:p w14:paraId="120931C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五、</w:t>
      </w:r>
      <w:r>
        <w:rPr>
          <w:rFonts w:hint="eastAsia" w:asciiTheme="minorEastAsia" w:hAnsiTheme="minorEastAsia" w:eastAsiaTheme="minorEastAsia" w:cstheme="minorEastAsia"/>
          <w:b/>
          <w:color w:val="auto"/>
          <w:kern w:val="0"/>
          <w:sz w:val="32"/>
          <w:szCs w:val="32"/>
          <w:lang w:val="zh-CN"/>
        </w:rPr>
        <w:t>供应商基本情况</w:t>
      </w:r>
      <w:bookmarkEnd w:id="459"/>
      <w:bookmarkEnd w:id="460"/>
      <w:bookmarkEnd w:id="461"/>
      <w:bookmarkEnd w:id="462"/>
      <w:bookmarkEnd w:id="463"/>
      <w:bookmarkEnd w:id="464"/>
      <w:r>
        <w:rPr>
          <w:rFonts w:hint="eastAsia" w:asciiTheme="minorEastAsia" w:hAnsiTheme="minorEastAsia" w:eastAsiaTheme="minorEastAsia" w:cstheme="minorEastAsia"/>
          <w:b/>
          <w:color w:val="auto"/>
          <w:kern w:val="0"/>
          <w:sz w:val="32"/>
          <w:szCs w:val="32"/>
          <w:lang w:val="zh-CN"/>
        </w:rPr>
        <w:t>表</w:t>
      </w:r>
    </w:p>
    <w:tbl>
      <w:tblPr>
        <w:tblStyle w:val="26"/>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1936"/>
        <w:gridCol w:w="873"/>
        <w:gridCol w:w="1786"/>
        <w:gridCol w:w="1200"/>
        <w:gridCol w:w="1852"/>
      </w:tblGrid>
      <w:tr w14:paraId="2D4D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954C8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供应商名称</w:t>
            </w:r>
          </w:p>
        </w:tc>
        <w:tc>
          <w:tcPr>
            <w:tcW w:w="7647" w:type="dxa"/>
            <w:gridSpan w:val="5"/>
            <w:vAlign w:val="center"/>
          </w:tcPr>
          <w:p w14:paraId="375B58C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90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2B42E8D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注册地址</w:t>
            </w:r>
          </w:p>
        </w:tc>
        <w:tc>
          <w:tcPr>
            <w:tcW w:w="2809" w:type="dxa"/>
            <w:gridSpan w:val="2"/>
            <w:vAlign w:val="center"/>
          </w:tcPr>
          <w:p w14:paraId="4DD7319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594987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成立时间</w:t>
            </w:r>
          </w:p>
        </w:tc>
        <w:tc>
          <w:tcPr>
            <w:tcW w:w="3052" w:type="dxa"/>
            <w:gridSpan w:val="2"/>
            <w:vAlign w:val="center"/>
          </w:tcPr>
          <w:p w14:paraId="2A0E33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169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42295D5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统一信用代码</w:t>
            </w:r>
          </w:p>
        </w:tc>
        <w:tc>
          <w:tcPr>
            <w:tcW w:w="2809" w:type="dxa"/>
            <w:gridSpan w:val="2"/>
            <w:vAlign w:val="center"/>
          </w:tcPr>
          <w:p w14:paraId="3086999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DA02A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注册资金</w:t>
            </w:r>
          </w:p>
        </w:tc>
        <w:tc>
          <w:tcPr>
            <w:tcW w:w="3052" w:type="dxa"/>
            <w:gridSpan w:val="2"/>
            <w:vAlign w:val="center"/>
          </w:tcPr>
          <w:p w14:paraId="2F0EC78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09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3DDE76D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供应商授权代表联系人姓名</w:t>
            </w:r>
          </w:p>
        </w:tc>
        <w:tc>
          <w:tcPr>
            <w:tcW w:w="1936" w:type="dxa"/>
            <w:vAlign w:val="center"/>
          </w:tcPr>
          <w:p w14:paraId="419DDF3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73CB8B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0323891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6772AB7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464CEDF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B1C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6934AC0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法定代表人姓名</w:t>
            </w:r>
          </w:p>
        </w:tc>
        <w:tc>
          <w:tcPr>
            <w:tcW w:w="1936" w:type="dxa"/>
            <w:vAlign w:val="center"/>
          </w:tcPr>
          <w:p w14:paraId="3F0B99A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FF3301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384B1DB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41DCA2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02E72DA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426F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0DEC1C2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项目负责人姓名</w:t>
            </w:r>
          </w:p>
        </w:tc>
        <w:tc>
          <w:tcPr>
            <w:tcW w:w="1936" w:type="dxa"/>
            <w:vAlign w:val="center"/>
          </w:tcPr>
          <w:p w14:paraId="17E1F80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2E189DF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72BDFCA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09CB9FE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技术职称</w:t>
            </w:r>
          </w:p>
        </w:tc>
        <w:tc>
          <w:tcPr>
            <w:tcW w:w="1852" w:type="dxa"/>
            <w:vAlign w:val="center"/>
          </w:tcPr>
          <w:p w14:paraId="4383875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A71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restart"/>
            <w:vAlign w:val="center"/>
          </w:tcPr>
          <w:p w14:paraId="0FFAC67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936" w:type="dxa"/>
            <w:vMerge w:val="restart"/>
            <w:vAlign w:val="center"/>
          </w:tcPr>
          <w:p w14:paraId="4D3994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restart"/>
            <w:vAlign w:val="center"/>
          </w:tcPr>
          <w:p w14:paraId="2BDC577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w:t>
            </w:r>
          </w:p>
        </w:tc>
        <w:tc>
          <w:tcPr>
            <w:tcW w:w="1786" w:type="dxa"/>
            <w:vAlign w:val="center"/>
          </w:tcPr>
          <w:p w14:paraId="29C193D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高级职称</w:t>
            </w:r>
          </w:p>
        </w:tc>
        <w:tc>
          <w:tcPr>
            <w:tcW w:w="3052" w:type="dxa"/>
            <w:gridSpan w:val="2"/>
            <w:vAlign w:val="center"/>
          </w:tcPr>
          <w:p w14:paraId="2E34EE6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78A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546CE7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462AB29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07D670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3F95A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中级职称</w:t>
            </w:r>
          </w:p>
        </w:tc>
        <w:tc>
          <w:tcPr>
            <w:tcW w:w="3052" w:type="dxa"/>
            <w:gridSpan w:val="2"/>
            <w:vAlign w:val="center"/>
          </w:tcPr>
          <w:p w14:paraId="67C7887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517A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1F3149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0EF96A3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7F7D0B8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3F3DC32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各类注册人员</w:t>
            </w:r>
          </w:p>
        </w:tc>
        <w:tc>
          <w:tcPr>
            <w:tcW w:w="3052" w:type="dxa"/>
            <w:gridSpan w:val="2"/>
            <w:vAlign w:val="center"/>
          </w:tcPr>
          <w:p w14:paraId="6843190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E0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51721C6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基本账户开户银行</w:t>
            </w:r>
          </w:p>
        </w:tc>
        <w:tc>
          <w:tcPr>
            <w:tcW w:w="7647" w:type="dxa"/>
            <w:gridSpan w:val="5"/>
            <w:vAlign w:val="center"/>
          </w:tcPr>
          <w:p w14:paraId="0E2B772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714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63E64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基本账户账号</w:t>
            </w:r>
          </w:p>
        </w:tc>
        <w:tc>
          <w:tcPr>
            <w:tcW w:w="7647" w:type="dxa"/>
            <w:gridSpan w:val="5"/>
            <w:vAlign w:val="center"/>
          </w:tcPr>
          <w:p w14:paraId="07A6095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EB1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180" w:type="dxa"/>
            <w:vAlign w:val="center"/>
          </w:tcPr>
          <w:p w14:paraId="6C995F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经营范围</w:t>
            </w:r>
          </w:p>
        </w:tc>
        <w:tc>
          <w:tcPr>
            <w:tcW w:w="7647" w:type="dxa"/>
            <w:gridSpan w:val="5"/>
            <w:vAlign w:val="center"/>
          </w:tcPr>
          <w:p w14:paraId="3EAB8E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0F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80" w:type="dxa"/>
            <w:vAlign w:val="center"/>
          </w:tcPr>
          <w:p w14:paraId="1130270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w:t>
            </w:r>
          </w:p>
        </w:tc>
        <w:tc>
          <w:tcPr>
            <w:tcW w:w="7647" w:type="dxa"/>
            <w:gridSpan w:val="5"/>
            <w:vAlign w:val="center"/>
          </w:tcPr>
          <w:p w14:paraId="326D0BA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6610D37D">
      <w:pPr>
        <w:keepNext w:val="0"/>
        <w:keepLines w:val="0"/>
        <w:pageBreakBefore w:val="0"/>
        <w:kinsoku/>
        <w:overflowPunct/>
        <w:topLinePunct w:val="0"/>
        <w:bidi w:val="0"/>
        <w:adjustRightInd w:val="0"/>
        <w:snapToGrid w:val="0"/>
        <w:spacing w:line="360" w:lineRule="auto"/>
        <w:ind w:firstLine="482" w:firstLineChars="200"/>
        <w:textAlignment w:val="auto"/>
        <w:outlineLvl w:val="9"/>
        <w:rPr>
          <w:rFonts w:asciiTheme="minorEastAsia" w:hAnsiTheme="minorEastAsia" w:eastAsiaTheme="minorEastAsia" w:cstheme="minorEastAsia"/>
          <w:b/>
          <w:bCs/>
          <w:color w:val="auto"/>
          <w:kern w:val="0"/>
          <w:sz w:val="24"/>
          <w:lang w:val="zh-CN"/>
        </w:rPr>
      </w:pPr>
      <w:r>
        <w:rPr>
          <w:rFonts w:hint="eastAsia" w:asciiTheme="minorEastAsia" w:hAnsiTheme="minorEastAsia" w:eastAsiaTheme="minorEastAsia" w:cstheme="minorEastAsia"/>
          <w:b/>
          <w:bCs/>
          <w:color w:val="auto"/>
          <w:kern w:val="0"/>
          <w:sz w:val="24"/>
          <w:lang w:val="zh-CN"/>
        </w:rPr>
        <w:t>兹证明上述声明是真实、正确的，并提供了全部能提供的资料和数据，我们同意遵照贵方要求出示有关证明文件。</w:t>
      </w:r>
    </w:p>
    <w:p w14:paraId="097BC719">
      <w:pPr>
        <w:keepNext w:val="0"/>
        <w:keepLines w:val="0"/>
        <w:pageBreakBefore w:val="0"/>
        <w:kinsoku/>
        <w:overflowPunct/>
        <w:topLinePunct w:val="0"/>
        <w:bidi w:val="0"/>
        <w:adjustRightInd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679D694">
      <w:pPr>
        <w:pStyle w:val="34"/>
        <w:keepNext w:val="0"/>
        <w:keepLines w:val="0"/>
        <w:pageBreakBefore w:val="0"/>
        <w:kinsoku/>
        <w:overflowPunct/>
        <w:topLinePunct w:val="0"/>
        <w:bidi w:val="0"/>
        <w:spacing w:line="360" w:lineRule="auto"/>
        <w:ind w:firstLine="560"/>
        <w:textAlignment w:val="auto"/>
        <w:outlineLvl w:val="9"/>
        <w:rPr>
          <w:rFonts w:asciiTheme="minorEastAsia" w:hAnsiTheme="minorEastAsia" w:eastAsiaTheme="minorEastAsia" w:cstheme="minorEastAsia"/>
          <w:color w:val="auto"/>
          <w:lang w:val="zh-CN"/>
        </w:rPr>
      </w:pPr>
    </w:p>
    <w:p w14:paraId="153A630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3891F1E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4"/>
          <w:lang w:val="zh-CN"/>
        </w:rPr>
        <w:t>）：</w:t>
      </w:r>
    </w:p>
    <w:p w14:paraId="3B21640B">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441610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六、</w:t>
      </w:r>
      <w:r>
        <w:rPr>
          <w:rFonts w:hint="eastAsia" w:asciiTheme="minorEastAsia" w:hAnsiTheme="minorEastAsia" w:eastAsiaTheme="minorEastAsia" w:cstheme="minorEastAsia"/>
          <w:b/>
          <w:color w:val="auto"/>
          <w:kern w:val="0"/>
          <w:sz w:val="32"/>
          <w:szCs w:val="32"/>
          <w:lang w:val="zh-CN"/>
        </w:rPr>
        <w:t>距采购人最近或者能为本项目提供最优服务的网点情况表</w:t>
      </w:r>
    </w:p>
    <w:p w14:paraId="5230A1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bl>
      <w:tblPr>
        <w:tblStyle w:val="26"/>
        <w:tblW w:w="92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5"/>
        <w:gridCol w:w="1780"/>
        <w:gridCol w:w="209"/>
        <w:gridCol w:w="1581"/>
        <w:gridCol w:w="971"/>
        <w:gridCol w:w="2849"/>
      </w:tblGrid>
      <w:tr w14:paraId="3F92B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3B9C0F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服务网点名称</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D05423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DD6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159C29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地址</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81792B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AC09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B63BC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注册资本金</w:t>
            </w:r>
          </w:p>
        </w:tc>
        <w:tc>
          <w:tcPr>
            <w:tcW w:w="1780" w:type="dxa"/>
            <w:tcBorders>
              <w:top w:val="single" w:color="auto" w:sz="4" w:space="0"/>
              <w:left w:val="single" w:color="auto" w:sz="4" w:space="0"/>
              <w:bottom w:val="single" w:color="auto" w:sz="4" w:space="0"/>
              <w:right w:val="single" w:color="auto" w:sz="4" w:space="0"/>
            </w:tcBorders>
            <w:vAlign w:val="center"/>
          </w:tcPr>
          <w:p w14:paraId="25ADA5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3C6A77D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其中：供应商出资比例</w:t>
            </w:r>
          </w:p>
        </w:tc>
        <w:tc>
          <w:tcPr>
            <w:tcW w:w="2849" w:type="dxa"/>
            <w:tcBorders>
              <w:top w:val="single" w:color="auto" w:sz="4" w:space="0"/>
              <w:left w:val="single" w:color="auto" w:sz="4" w:space="0"/>
              <w:bottom w:val="single" w:color="auto" w:sz="4" w:space="0"/>
              <w:right w:val="single" w:color="auto" w:sz="4" w:space="0"/>
            </w:tcBorders>
            <w:vAlign w:val="center"/>
          </w:tcPr>
          <w:p w14:paraId="7964FC7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CC37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0EA836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780" w:type="dxa"/>
            <w:tcBorders>
              <w:top w:val="single" w:color="auto" w:sz="4" w:space="0"/>
              <w:left w:val="single" w:color="auto" w:sz="4" w:space="0"/>
              <w:bottom w:val="single" w:color="auto" w:sz="4" w:space="0"/>
              <w:right w:val="single" w:color="auto" w:sz="4" w:space="0"/>
            </w:tcBorders>
            <w:vAlign w:val="center"/>
          </w:tcPr>
          <w:p w14:paraId="0EDFC68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4D4179A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其中：技术人员数</w:t>
            </w:r>
          </w:p>
        </w:tc>
        <w:tc>
          <w:tcPr>
            <w:tcW w:w="2849" w:type="dxa"/>
            <w:tcBorders>
              <w:top w:val="single" w:color="auto" w:sz="4" w:space="0"/>
              <w:left w:val="single" w:color="auto" w:sz="4" w:space="0"/>
              <w:bottom w:val="single" w:color="auto" w:sz="4" w:space="0"/>
              <w:right w:val="single" w:color="auto" w:sz="4" w:space="0"/>
            </w:tcBorders>
            <w:vAlign w:val="center"/>
          </w:tcPr>
          <w:p w14:paraId="43D1DA2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E20D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E8AB0C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经营期限</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67352A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6D29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41F602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售后服务协议</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984F55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0E4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D47CB3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售后服务内容</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72B0DE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105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6FCE0B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工作业绩</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1E7E80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1612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7AE967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服务承诺</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27AB5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FE25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103EFCD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业务咨询电话</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5BDB13F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785B78C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传 真</w:t>
            </w:r>
          </w:p>
        </w:tc>
        <w:tc>
          <w:tcPr>
            <w:tcW w:w="3820" w:type="dxa"/>
            <w:gridSpan w:val="2"/>
            <w:tcBorders>
              <w:top w:val="single" w:color="auto" w:sz="4" w:space="0"/>
              <w:left w:val="single" w:color="auto" w:sz="2" w:space="0"/>
              <w:bottom w:val="single" w:color="auto" w:sz="4" w:space="0"/>
              <w:right w:val="single" w:color="auto" w:sz="2" w:space="0"/>
            </w:tcBorders>
            <w:vAlign w:val="center"/>
          </w:tcPr>
          <w:p w14:paraId="285BFDF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68B6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9B631C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负责人</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32C8B20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419D6B6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联系电话</w:t>
            </w:r>
          </w:p>
        </w:tc>
        <w:tc>
          <w:tcPr>
            <w:tcW w:w="3820" w:type="dxa"/>
            <w:gridSpan w:val="2"/>
            <w:tcBorders>
              <w:top w:val="single" w:color="auto" w:sz="4" w:space="0"/>
              <w:left w:val="single" w:color="auto" w:sz="2" w:space="0"/>
              <w:bottom w:val="single" w:color="auto" w:sz="4" w:space="0"/>
              <w:right w:val="single" w:color="auto" w:sz="4" w:space="0"/>
            </w:tcBorders>
            <w:vAlign w:val="center"/>
          </w:tcPr>
          <w:p w14:paraId="3867BB6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11473DF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812A5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4E2D1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rPr>
        <w:t xml:space="preserve">       </w:t>
      </w:r>
    </w:p>
    <w:p w14:paraId="7A66BE5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2FC1EED3">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B016D0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CE0905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七、</w:t>
      </w:r>
      <w:r>
        <w:rPr>
          <w:rFonts w:hint="eastAsia" w:asciiTheme="minorEastAsia" w:hAnsiTheme="minorEastAsia" w:eastAsiaTheme="minorEastAsia" w:cstheme="minorEastAsia"/>
          <w:b/>
          <w:color w:val="auto"/>
          <w:kern w:val="0"/>
          <w:sz w:val="32"/>
          <w:szCs w:val="32"/>
          <w:lang w:val="zh-CN"/>
        </w:rPr>
        <w:t>评审标准相应的商务技术资料</w:t>
      </w:r>
    </w:p>
    <w:p w14:paraId="2182D6FC">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（按采购文件第四部分评审办法前附表中“响应文件中评审标准相应的商务技术资料目录”提供资料）</w:t>
      </w:r>
    </w:p>
    <w:p w14:paraId="67000DE9">
      <w:pPr>
        <w:pStyle w:val="33"/>
        <w:keepNext w:val="0"/>
        <w:keepLines w:val="0"/>
        <w:pageBreakBefore w:val="0"/>
        <w:kinsoku/>
        <w:overflowPunct/>
        <w:topLinePunct w:val="0"/>
        <w:bidi w:val="0"/>
        <w:textAlignment w:val="auto"/>
        <w:outlineLvl w:val="9"/>
        <w:rPr>
          <w:color w:val="auto"/>
        </w:rPr>
      </w:pPr>
    </w:p>
    <w:p w14:paraId="63A1CD03">
      <w:pPr>
        <w:pStyle w:val="33"/>
        <w:keepNext w:val="0"/>
        <w:keepLines w:val="0"/>
        <w:pageBreakBefore w:val="0"/>
        <w:kinsoku/>
        <w:overflowPunct/>
        <w:topLinePunct w:val="0"/>
        <w:bidi w:val="0"/>
        <w:textAlignment w:val="auto"/>
        <w:outlineLvl w:val="9"/>
        <w:rPr>
          <w:color w:val="auto"/>
        </w:rPr>
      </w:pPr>
    </w:p>
    <w:p w14:paraId="4482B353">
      <w:pPr>
        <w:pStyle w:val="33"/>
        <w:keepNext w:val="0"/>
        <w:keepLines w:val="0"/>
        <w:pageBreakBefore w:val="0"/>
        <w:kinsoku/>
        <w:overflowPunct/>
        <w:topLinePunct w:val="0"/>
        <w:bidi w:val="0"/>
        <w:textAlignment w:val="auto"/>
        <w:outlineLvl w:val="9"/>
        <w:rPr>
          <w:color w:val="auto"/>
        </w:rPr>
      </w:pPr>
    </w:p>
    <w:p w14:paraId="2BF02047">
      <w:pPr>
        <w:pStyle w:val="33"/>
        <w:keepNext w:val="0"/>
        <w:keepLines w:val="0"/>
        <w:pageBreakBefore w:val="0"/>
        <w:kinsoku/>
        <w:overflowPunct/>
        <w:topLinePunct w:val="0"/>
        <w:bidi w:val="0"/>
        <w:textAlignment w:val="auto"/>
        <w:outlineLvl w:val="9"/>
        <w:rPr>
          <w:color w:val="auto"/>
        </w:rPr>
      </w:pPr>
    </w:p>
    <w:p w14:paraId="3B099579">
      <w:pPr>
        <w:pStyle w:val="33"/>
        <w:keepNext w:val="0"/>
        <w:keepLines w:val="0"/>
        <w:pageBreakBefore w:val="0"/>
        <w:kinsoku/>
        <w:overflowPunct/>
        <w:topLinePunct w:val="0"/>
        <w:bidi w:val="0"/>
        <w:textAlignment w:val="auto"/>
        <w:outlineLvl w:val="9"/>
        <w:rPr>
          <w:color w:val="auto"/>
        </w:rPr>
      </w:pPr>
    </w:p>
    <w:p w14:paraId="21BCB631">
      <w:pPr>
        <w:pStyle w:val="33"/>
        <w:keepNext w:val="0"/>
        <w:keepLines w:val="0"/>
        <w:pageBreakBefore w:val="0"/>
        <w:kinsoku/>
        <w:overflowPunct/>
        <w:topLinePunct w:val="0"/>
        <w:bidi w:val="0"/>
        <w:textAlignment w:val="auto"/>
        <w:outlineLvl w:val="9"/>
        <w:rPr>
          <w:color w:val="auto"/>
        </w:rPr>
      </w:pPr>
    </w:p>
    <w:p w14:paraId="125437CD">
      <w:pPr>
        <w:pStyle w:val="33"/>
        <w:keepNext w:val="0"/>
        <w:keepLines w:val="0"/>
        <w:pageBreakBefore w:val="0"/>
        <w:kinsoku/>
        <w:overflowPunct/>
        <w:topLinePunct w:val="0"/>
        <w:bidi w:val="0"/>
        <w:textAlignment w:val="auto"/>
        <w:outlineLvl w:val="9"/>
        <w:rPr>
          <w:color w:val="auto"/>
        </w:rPr>
      </w:pPr>
    </w:p>
    <w:p w14:paraId="5502FAD8">
      <w:pPr>
        <w:pStyle w:val="33"/>
        <w:keepNext w:val="0"/>
        <w:keepLines w:val="0"/>
        <w:pageBreakBefore w:val="0"/>
        <w:kinsoku/>
        <w:overflowPunct/>
        <w:topLinePunct w:val="0"/>
        <w:bidi w:val="0"/>
        <w:textAlignment w:val="auto"/>
        <w:outlineLvl w:val="9"/>
        <w:rPr>
          <w:color w:val="auto"/>
        </w:rPr>
      </w:pPr>
    </w:p>
    <w:p w14:paraId="62D6A35D">
      <w:pPr>
        <w:pStyle w:val="33"/>
        <w:keepNext w:val="0"/>
        <w:keepLines w:val="0"/>
        <w:pageBreakBefore w:val="0"/>
        <w:kinsoku/>
        <w:overflowPunct/>
        <w:topLinePunct w:val="0"/>
        <w:bidi w:val="0"/>
        <w:textAlignment w:val="auto"/>
        <w:outlineLvl w:val="9"/>
        <w:rPr>
          <w:color w:val="auto"/>
        </w:rPr>
      </w:pPr>
    </w:p>
    <w:p w14:paraId="49A077D6">
      <w:pPr>
        <w:pStyle w:val="33"/>
        <w:keepNext w:val="0"/>
        <w:keepLines w:val="0"/>
        <w:pageBreakBefore w:val="0"/>
        <w:kinsoku/>
        <w:overflowPunct/>
        <w:topLinePunct w:val="0"/>
        <w:bidi w:val="0"/>
        <w:textAlignment w:val="auto"/>
        <w:outlineLvl w:val="9"/>
        <w:rPr>
          <w:color w:val="auto"/>
        </w:rPr>
      </w:pPr>
    </w:p>
    <w:p w14:paraId="012E7321">
      <w:pPr>
        <w:pStyle w:val="33"/>
        <w:keepNext w:val="0"/>
        <w:keepLines w:val="0"/>
        <w:pageBreakBefore w:val="0"/>
        <w:kinsoku/>
        <w:overflowPunct/>
        <w:topLinePunct w:val="0"/>
        <w:bidi w:val="0"/>
        <w:textAlignment w:val="auto"/>
        <w:outlineLvl w:val="9"/>
        <w:rPr>
          <w:color w:val="auto"/>
        </w:rPr>
      </w:pPr>
    </w:p>
    <w:p w14:paraId="08F73CE8">
      <w:pPr>
        <w:pStyle w:val="33"/>
        <w:keepNext w:val="0"/>
        <w:keepLines w:val="0"/>
        <w:pageBreakBefore w:val="0"/>
        <w:kinsoku/>
        <w:overflowPunct/>
        <w:topLinePunct w:val="0"/>
        <w:bidi w:val="0"/>
        <w:textAlignment w:val="auto"/>
        <w:outlineLvl w:val="9"/>
        <w:rPr>
          <w:color w:val="auto"/>
        </w:rPr>
      </w:pPr>
    </w:p>
    <w:p w14:paraId="1128D35F">
      <w:pPr>
        <w:pStyle w:val="33"/>
        <w:keepNext w:val="0"/>
        <w:keepLines w:val="0"/>
        <w:pageBreakBefore w:val="0"/>
        <w:kinsoku/>
        <w:overflowPunct/>
        <w:topLinePunct w:val="0"/>
        <w:bidi w:val="0"/>
        <w:textAlignment w:val="auto"/>
        <w:outlineLvl w:val="9"/>
        <w:rPr>
          <w:color w:val="auto"/>
        </w:rPr>
      </w:pPr>
    </w:p>
    <w:p w14:paraId="01E41B05">
      <w:pPr>
        <w:pStyle w:val="33"/>
        <w:keepNext w:val="0"/>
        <w:keepLines w:val="0"/>
        <w:pageBreakBefore w:val="0"/>
        <w:kinsoku/>
        <w:overflowPunct/>
        <w:topLinePunct w:val="0"/>
        <w:bidi w:val="0"/>
        <w:textAlignment w:val="auto"/>
        <w:outlineLvl w:val="9"/>
        <w:rPr>
          <w:color w:val="auto"/>
        </w:rPr>
      </w:pPr>
    </w:p>
    <w:p w14:paraId="190589FE">
      <w:pPr>
        <w:pStyle w:val="33"/>
        <w:keepNext w:val="0"/>
        <w:keepLines w:val="0"/>
        <w:pageBreakBefore w:val="0"/>
        <w:kinsoku/>
        <w:overflowPunct/>
        <w:topLinePunct w:val="0"/>
        <w:bidi w:val="0"/>
        <w:textAlignment w:val="auto"/>
        <w:outlineLvl w:val="9"/>
        <w:rPr>
          <w:color w:val="auto"/>
        </w:rPr>
      </w:pPr>
    </w:p>
    <w:p w14:paraId="72FB6C6D">
      <w:pPr>
        <w:pStyle w:val="33"/>
        <w:keepNext w:val="0"/>
        <w:keepLines w:val="0"/>
        <w:pageBreakBefore w:val="0"/>
        <w:kinsoku/>
        <w:overflowPunct/>
        <w:topLinePunct w:val="0"/>
        <w:bidi w:val="0"/>
        <w:textAlignment w:val="auto"/>
        <w:outlineLvl w:val="9"/>
        <w:rPr>
          <w:color w:val="auto"/>
        </w:rPr>
      </w:pPr>
    </w:p>
    <w:p w14:paraId="3137AB64">
      <w:pPr>
        <w:pStyle w:val="33"/>
        <w:keepNext w:val="0"/>
        <w:keepLines w:val="0"/>
        <w:pageBreakBefore w:val="0"/>
        <w:kinsoku/>
        <w:overflowPunct/>
        <w:topLinePunct w:val="0"/>
        <w:bidi w:val="0"/>
        <w:textAlignment w:val="auto"/>
        <w:outlineLvl w:val="9"/>
        <w:rPr>
          <w:color w:val="auto"/>
        </w:rPr>
      </w:pPr>
    </w:p>
    <w:p w14:paraId="2BE46917">
      <w:pPr>
        <w:pStyle w:val="33"/>
        <w:keepNext w:val="0"/>
        <w:keepLines w:val="0"/>
        <w:pageBreakBefore w:val="0"/>
        <w:kinsoku/>
        <w:overflowPunct/>
        <w:topLinePunct w:val="0"/>
        <w:bidi w:val="0"/>
        <w:textAlignment w:val="auto"/>
        <w:outlineLvl w:val="9"/>
        <w:rPr>
          <w:color w:val="auto"/>
        </w:rPr>
      </w:pPr>
    </w:p>
    <w:p w14:paraId="301B582C">
      <w:pPr>
        <w:pStyle w:val="33"/>
        <w:keepNext w:val="0"/>
        <w:keepLines w:val="0"/>
        <w:pageBreakBefore w:val="0"/>
        <w:kinsoku/>
        <w:overflowPunct/>
        <w:topLinePunct w:val="0"/>
        <w:bidi w:val="0"/>
        <w:textAlignment w:val="auto"/>
        <w:outlineLvl w:val="9"/>
        <w:rPr>
          <w:color w:val="auto"/>
        </w:rPr>
      </w:pPr>
    </w:p>
    <w:p w14:paraId="7042E86E">
      <w:pPr>
        <w:pStyle w:val="33"/>
        <w:keepNext w:val="0"/>
        <w:keepLines w:val="0"/>
        <w:pageBreakBefore w:val="0"/>
        <w:kinsoku/>
        <w:overflowPunct/>
        <w:topLinePunct w:val="0"/>
        <w:bidi w:val="0"/>
        <w:textAlignment w:val="auto"/>
        <w:outlineLvl w:val="9"/>
        <w:rPr>
          <w:color w:val="auto"/>
        </w:rPr>
      </w:pPr>
    </w:p>
    <w:p w14:paraId="2CFB5948">
      <w:pPr>
        <w:pStyle w:val="33"/>
        <w:keepNext w:val="0"/>
        <w:keepLines w:val="0"/>
        <w:pageBreakBefore w:val="0"/>
        <w:kinsoku/>
        <w:overflowPunct/>
        <w:topLinePunct w:val="0"/>
        <w:bidi w:val="0"/>
        <w:textAlignment w:val="auto"/>
        <w:outlineLvl w:val="9"/>
        <w:rPr>
          <w:color w:val="auto"/>
        </w:rPr>
      </w:pPr>
    </w:p>
    <w:p w14:paraId="7C32E8D9">
      <w:pPr>
        <w:pStyle w:val="33"/>
        <w:keepNext w:val="0"/>
        <w:keepLines w:val="0"/>
        <w:pageBreakBefore w:val="0"/>
        <w:kinsoku/>
        <w:overflowPunct/>
        <w:topLinePunct w:val="0"/>
        <w:bidi w:val="0"/>
        <w:textAlignment w:val="auto"/>
        <w:outlineLvl w:val="9"/>
        <w:rPr>
          <w:color w:val="auto"/>
        </w:rPr>
      </w:pPr>
    </w:p>
    <w:p w14:paraId="6BF2D0C1">
      <w:pPr>
        <w:pStyle w:val="33"/>
        <w:keepNext w:val="0"/>
        <w:keepLines w:val="0"/>
        <w:pageBreakBefore w:val="0"/>
        <w:kinsoku/>
        <w:overflowPunct/>
        <w:topLinePunct w:val="0"/>
        <w:bidi w:val="0"/>
        <w:textAlignment w:val="auto"/>
        <w:outlineLvl w:val="9"/>
        <w:rPr>
          <w:color w:val="auto"/>
        </w:rPr>
      </w:pPr>
    </w:p>
    <w:p w14:paraId="415C7DFE">
      <w:pPr>
        <w:pStyle w:val="33"/>
        <w:keepNext w:val="0"/>
        <w:keepLines w:val="0"/>
        <w:pageBreakBefore w:val="0"/>
        <w:kinsoku/>
        <w:overflowPunct/>
        <w:topLinePunct w:val="0"/>
        <w:bidi w:val="0"/>
        <w:textAlignment w:val="auto"/>
        <w:outlineLvl w:val="9"/>
        <w:rPr>
          <w:color w:val="auto"/>
        </w:rPr>
      </w:pPr>
    </w:p>
    <w:p w14:paraId="2C55D2B6">
      <w:pPr>
        <w:pStyle w:val="33"/>
        <w:keepNext w:val="0"/>
        <w:keepLines w:val="0"/>
        <w:pageBreakBefore w:val="0"/>
        <w:kinsoku/>
        <w:overflowPunct/>
        <w:topLinePunct w:val="0"/>
        <w:bidi w:val="0"/>
        <w:textAlignment w:val="auto"/>
        <w:outlineLvl w:val="9"/>
        <w:rPr>
          <w:color w:val="auto"/>
        </w:rPr>
      </w:pPr>
    </w:p>
    <w:p w14:paraId="4E59781E">
      <w:pPr>
        <w:pStyle w:val="33"/>
        <w:keepNext w:val="0"/>
        <w:keepLines w:val="0"/>
        <w:pageBreakBefore w:val="0"/>
        <w:kinsoku/>
        <w:overflowPunct/>
        <w:topLinePunct w:val="0"/>
        <w:bidi w:val="0"/>
        <w:textAlignment w:val="auto"/>
        <w:outlineLvl w:val="9"/>
        <w:rPr>
          <w:color w:val="auto"/>
        </w:rPr>
      </w:pPr>
    </w:p>
    <w:p w14:paraId="1950E5A4">
      <w:pPr>
        <w:pStyle w:val="33"/>
        <w:keepNext w:val="0"/>
        <w:keepLines w:val="0"/>
        <w:pageBreakBefore w:val="0"/>
        <w:kinsoku/>
        <w:overflowPunct/>
        <w:topLinePunct w:val="0"/>
        <w:bidi w:val="0"/>
        <w:textAlignment w:val="auto"/>
        <w:outlineLvl w:val="9"/>
        <w:rPr>
          <w:color w:val="auto"/>
        </w:rPr>
      </w:pPr>
    </w:p>
    <w:p w14:paraId="2BBB6A13">
      <w:pPr>
        <w:pStyle w:val="33"/>
        <w:keepNext w:val="0"/>
        <w:keepLines w:val="0"/>
        <w:pageBreakBefore w:val="0"/>
        <w:kinsoku/>
        <w:overflowPunct/>
        <w:topLinePunct w:val="0"/>
        <w:bidi w:val="0"/>
        <w:textAlignment w:val="auto"/>
        <w:outlineLvl w:val="9"/>
        <w:rPr>
          <w:color w:val="auto"/>
        </w:rPr>
      </w:pPr>
    </w:p>
    <w:p w14:paraId="0670C372">
      <w:pPr>
        <w:pStyle w:val="33"/>
        <w:keepNext w:val="0"/>
        <w:keepLines w:val="0"/>
        <w:pageBreakBefore w:val="0"/>
        <w:kinsoku/>
        <w:overflowPunct/>
        <w:topLinePunct w:val="0"/>
        <w:bidi w:val="0"/>
        <w:textAlignment w:val="auto"/>
        <w:outlineLvl w:val="9"/>
        <w:rPr>
          <w:color w:val="auto"/>
        </w:rPr>
      </w:pPr>
    </w:p>
    <w:p w14:paraId="39510B63">
      <w:pPr>
        <w:pStyle w:val="33"/>
        <w:keepNext w:val="0"/>
        <w:keepLines w:val="0"/>
        <w:pageBreakBefore w:val="0"/>
        <w:kinsoku/>
        <w:overflowPunct/>
        <w:topLinePunct w:val="0"/>
        <w:bidi w:val="0"/>
        <w:textAlignment w:val="auto"/>
        <w:outlineLvl w:val="9"/>
        <w:rPr>
          <w:color w:val="auto"/>
        </w:rPr>
      </w:pPr>
    </w:p>
    <w:p w14:paraId="70CEF8A1">
      <w:pPr>
        <w:pStyle w:val="33"/>
        <w:keepNext w:val="0"/>
        <w:keepLines w:val="0"/>
        <w:pageBreakBefore w:val="0"/>
        <w:kinsoku/>
        <w:overflowPunct/>
        <w:topLinePunct w:val="0"/>
        <w:bidi w:val="0"/>
        <w:textAlignment w:val="auto"/>
        <w:outlineLvl w:val="9"/>
        <w:rPr>
          <w:color w:val="auto"/>
        </w:rPr>
      </w:pPr>
    </w:p>
    <w:p w14:paraId="16097A6E">
      <w:pPr>
        <w:pStyle w:val="33"/>
        <w:keepNext w:val="0"/>
        <w:keepLines w:val="0"/>
        <w:pageBreakBefore w:val="0"/>
        <w:kinsoku/>
        <w:overflowPunct/>
        <w:topLinePunct w:val="0"/>
        <w:bidi w:val="0"/>
        <w:textAlignment w:val="auto"/>
        <w:outlineLvl w:val="9"/>
        <w:rPr>
          <w:color w:val="auto"/>
        </w:rPr>
      </w:pPr>
    </w:p>
    <w:p w14:paraId="07CC0194">
      <w:pPr>
        <w:pStyle w:val="33"/>
        <w:keepNext w:val="0"/>
        <w:keepLines w:val="0"/>
        <w:pageBreakBefore w:val="0"/>
        <w:kinsoku/>
        <w:overflowPunct/>
        <w:topLinePunct w:val="0"/>
        <w:bidi w:val="0"/>
        <w:textAlignment w:val="auto"/>
        <w:outlineLvl w:val="9"/>
        <w:rPr>
          <w:color w:val="auto"/>
        </w:rPr>
      </w:pPr>
    </w:p>
    <w:p w14:paraId="79FDECEE">
      <w:pPr>
        <w:pStyle w:val="33"/>
        <w:keepNext w:val="0"/>
        <w:keepLines w:val="0"/>
        <w:pageBreakBefore w:val="0"/>
        <w:kinsoku/>
        <w:overflowPunct/>
        <w:topLinePunct w:val="0"/>
        <w:bidi w:val="0"/>
        <w:textAlignment w:val="auto"/>
        <w:outlineLvl w:val="9"/>
        <w:rPr>
          <w:color w:val="auto"/>
        </w:rPr>
      </w:pPr>
    </w:p>
    <w:p w14:paraId="72FB73ED">
      <w:pPr>
        <w:pStyle w:val="33"/>
        <w:keepNext w:val="0"/>
        <w:keepLines w:val="0"/>
        <w:pageBreakBefore w:val="0"/>
        <w:kinsoku/>
        <w:overflowPunct/>
        <w:topLinePunct w:val="0"/>
        <w:bidi w:val="0"/>
        <w:textAlignment w:val="auto"/>
        <w:outlineLvl w:val="9"/>
        <w:rPr>
          <w:color w:val="auto"/>
        </w:rPr>
      </w:pPr>
    </w:p>
    <w:p w14:paraId="5B4A2502">
      <w:pPr>
        <w:pStyle w:val="33"/>
        <w:keepNext w:val="0"/>
        <w:keepLines w:val="0"/>
        <w:pageBreakBefore w:val="0"/>
        <w:kinsoku/>
        <w:overflowPunct/>
        <w:topLinePunct w:val="0"/>
        <w:bidi w:val="0"/>
        <w:textAlignment w:val="auto"/>
        <w:outlineLvl w:val="9"/>
        <w:rPr>
          <w:color w:val="auto"/>
        </w:rPr>
      </w:pPr>
    </w:p>
    <w:p w14:paraId="017D0361">
      <w:pPr>
        <w:pStyle w:val="33"/>
        <w:keepNext w:val="0"/>
        <w:keepLines w:val="0"/>
        <w:pageBreakBefore w:val="0"/>
        <w:kinsoku/>
        <w:overflowPunct/>
        <w:topLinePunct w:val="0"/>
        <w:bidi w:val="0"/>
        <w:textAlignment w:val="auto"/>
        <w:outlineLvl w:val="9"/>
        <w:rPr>
          <w:color w:val="auto"/>
        </w:rPr>
      </w:pPr>
    </w:p>
    <w:p w14:paraId="242BF41D">
      <w:pPr>
        <w:pStyle w:val="33"/>
        <w:keepNext w:val="0"/>
        <w:keepLines w:val="0"/>
        <w:pageBreakBefore w:val="0"/>
        <w:kinsoku/>
        <w:overflowPunct/>
        <w:topLinePunct w:val="0"/>
        <w:bidi w:val="0"/>
        <w:textAlignment w:val="auto"/>
        <w:outlineLvl w:val="9"/>
        <w:rPr>
          <w:color w:val="auto"/>
        </w:rPr>
      </w:pPr>
    </w:p>
    <w:p w14:paraId="07F3C1B2">
      <w:pPr>
        <w:pStyle w:val="33"/>
        <w:keepNext w:val="0"/>
        <w:keepLines w:val="0"/>
        <w:pageBreakBefore w:val="0"/>
        <w:kinsoku/>
        <w:overflowPunct/>
        <w:topLinePunct w:val="0"/>
        <w:bidi w:val="0"/>
        <w:textAlignment w:val="auto"/>
        <w:outlineLvl w:val="9"/>
        <w:rPr>
          <w:color w:val="auto"/>
        </w:rPr>
      </w:pPr>
    </w:p>
    <w:p w14:paraId="4C78A90E">
      <w:pPr>
        <w:pStyle w:val="33"/>
        <w:keepNext w:val="0"/>
        <w:keepLines w:val="0"/>
        <w:pageBreakBefore w:val="0"/>
        <w:kinsoku/>
        <w:overflowPunct/>
        <w:topLinePunct w:val="0"/>
        <w:bidi w:val="0"/>
        <w:textAlignment w:val="auto"/>
        <w:outlineLvl w:val="9"/>
        <w:rPr>
          <w:color w:val="auto"/>
        </w:rPr>
      </w:pPr>
    </w:p>
    <w:p w14:paraId="20F510C1">
      <w:pPr>
        <w:pStyle w:val="33"/>
        <w:keepNext w:val="0"/>
        <w:keepLines w:val="0"/>
        <w:pageBreakBefore w:val="0"/>
        <w:kinsoku/>
        <w:overflowPunct/>
        <w:topLinePunct w:val="0"/>
        <w:bidi w:val="0"/>
        <w:textAlignment w:val="auto"/>
        <w:outlineLvl w:val="9"/>
        <w:rPr>
          <w:color w:val="auto"/>
        </w:rPr>
      </w:pPr>
    </w:p>
    <w:p w14:paraId="7E74DC9C">
      <w:pPr>
        <w:pStyle w:val="33"/>
        <w:keepNext w:val="0"/>
        <w:keepLines w:val="0"/>
        <w:pageBreakBefore w:val="0"/>
        <w:kinsoku/>
        <w:overflowPunct/>
        <w:topLinePunct w:val="0"/>
        <w:bidi w:val="0"/>
        <w:textAlignment w:val="auto"/>
        <w:outlineLvl w:val="9"/>
        <w:rPr>
          <w:color w:val="auto"/>
        </w:rPr>
      </w:pPr>
    </w:p>
    <w:p w14:paraId="12DE1413">
      <w:pPr>
        <w:pStyle w:val="33"/>
        <w:keepNext w:val="0"/>
        <w:keepLines w:val="0"/>
        <w:pageBreakBefore w:val="0"/>
        <w:kinsoku/>
        <w:overflowPunct/>
        <w:topLinePunct w:val="0"/>
        <w:bidi w:val="0"/>
        <w:textAlignment w:val="auto"/>
        <w:outlineLvl w:val="9"/>
        <w:rPr>
          <w:color w:val="auto"/>
        </w:rPr>
      </w:pPr>
    </w:p>
    <w:p w14:paraId="52DFA23D">
      <w:pPr>
        <w:pStyle w:val="33"/>
        <w:keepNext w:val="0"/>
        <w:keepLines w:val="0"/>
        <w:pageBreakBefore w:val="0"/>
        <w:kinsoku/>
        <w:overflowPunct/>
        <w:topLinePunct w:val="0"/>
        <w:bidi w:val="0"/>
        <w:textAlignment w:val="auto"/>
        <w:outlineLvl w:val="9"/>
        <w:rPr>
          <w:color w:val="auto"/>
        </w:rPr>
      </w:pPr>
    </w:p>
    <w:p w14:paraId="1905F0EA">
      <w:pPr>
        <w:pStyle w:val="33"/>
        <w:keepNext w:val="0"/>
        <w:keepLines w:val="0"/>
        <w:pageBreakBefore w:val="0"/>
        <w:kinsoku/>
        <w:overflowPunct/>
        <w:topLinePunct w:val="0"/>
        <w:bidi w:val="0"/>
        <w:textAlignment w:val="auto"/>
        <w:outlineLvl w:val="9"/>
        <w:rPr>
          <w:color w:val="auto"/>
        </w:rPr>
      </w:pPr>
    </w:p>
    <w:p w14:paraId="5B1F29AC">
      <w:pPr>
        <w:pStyle w:val="33"/>
        <w:keepNext w:val="0"/>
        <w:keepLines w:val="0"/>
        <w:pageBreakBefore w:val="0"/>
        <w:kinsoku/>
        <w:overflowPunct/>
        <w:topLinePunct w:val="0"/>
        <w:bidi w:val="0"/>
        <w:textAlignment w:val="auto"/>
        <w:outlineLvl w:val="9"/>
        <w:rPr>
          <w:color w:val="auto"/>
        </w:rPr>
      </w:pPr>
    </w:p>
    <w:p w14:paraId="0DF50DAB">
      <w:pPr>
        <w:pStyle w:val="34"/>
        <w:keepNext w:val="0"/>
        <w:keepLines w:val="0"/>
        <w:pageBreakBefore w:val="0"/>
        <w:kinsoku/>
        <w:overflowPunct/>
        <w:topLinePunct w:val="0"/>
        <w:bidi w:val="0"/>
        <w:ind w:firstLine="560"/>
        <w:textAlignment w:val="auto"/>
        <w:outlineLvl w:val="9"/>
        <w:rPr>
          <w:rFonts w:asciiTheme="minorEastAsia" w:hAnsiTheme="minorEastAsia" w:eastAsiaTheme="minorEastAsia" w:cstheme="minorEastAsia"/>
          <w:color w:val="auto"/>
          <w:lang w:val="zh-CN"/>
        </w:rPr>
      </w:pPr>
    </w:p>
    <w:p w14:paraId="6CA1770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八</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商务</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6"/>
        <w:tblW w:w="53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7203"/>
        <w:gridCol w:w="849"/>
        <w:gridCol w:w="1278"/>
      </w:tblGrid>
      <w:tr w14:paraId="10BF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E216F6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3641" w:type="pct"/>
            <w:vAlign w:val="center"/>
          </w:tcPr>
          <w:p w14:paraId="5B633F2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c>
          <w:tcPr>
            <w:tcW w:w="429" w:type="pct"/>
            <w:vAlign w:val="center"/>
          </w:tcPr>
          <w:p w14:paraId="2520D44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是否响应</w:t>
            </w:r>
          </w:p>
        </w:tc>
        <w:tc>
          <w:tcPr>
            <w:tcW w:w="646" w:type="pct"/>
            <w:vAlign w:val="center"/>
          </w:tcPr>
          <w:p w14:paraId="1911FEA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优于情况说明（如有）</w:t>
            </w:r>
          </w:p>
        </w:tc>
      </w:tr>
      <w:tr w14:paraId="1D21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283" w:type="pct"/>
            <w:vAlign w:val="center"/>
          </w:tcPr>
          <w:p w14:paraId="473E351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3641" w:type="pct"/>
            <w:vAlign w:val="center"/>
          </w:tcPr>
          <w:p w14:paraId="440A496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履约保证金：签约合同金额的</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%，电汇、银行支票、银行保函、保险公司担保等形式。于签订合同的同时缴纳给采购人，项目竣工验收后退回。</w:t>
            </w:r>
          </w:p>
        </w:tc>
        <w:tc>
          <w:tcPr>
            <w:tcW w:w="429" w:type="pct"/>
          </w:tcPr>
          <w:p w14:paraId="1126841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2B191ED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5AC6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283" w:type="pct"/>
            <w:vAlign w:val="center"/>
          </w:tcPr>
          <w:p w14:paraId="4BFE615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3641" w:type="pct"/>
            <w:vAlign w:val="center"/>
          </w:tcPr>
          <w:p w14:paraId="6CD9127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质量等级要求：达到国家和行业施工验收规范一次性验收合格</w:t>
            </w:r>
          </w:p>
          <w:p w14:paraId="42586AF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安全等级要求：合格</w:t>
            </w:r>
          </w:p>
        </w:tc>
        <w:tc>
          <w:tcPr>
            <w:tcW w:w="429" w:type="pct"/>
          </w:tcPr>
          <w:p w14:paraId="26B99694">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2E6714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2754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83" w:type="pct"/>
            <w:vAlign w:val="center"/>
          </w:tcPr>
          <w:p w14:paraId="5A527D6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7203" w:type="dxa"/>
            <w:vAlign w:val="center"/>
          </w:tcPr>
          <w:p w14:paraId="27407EF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c>
          <w:tcPr>
            <w:tcW w:w="429" w:type="pct"/>
          </w:tcPr>
          <w:p w14:paraId="514E8B1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1D2E2A3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078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283" w:type="pct"/>
            <w:vAlign w:val="center"/>
          </w:tcPr>
          <w:p w14:paraId="4917D88D">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7203" w:type="dxa"/>
            <w:vAlign w:val="center"/>
          </w:tcPr>
          <w:p w14:paraId="14EEE0C5">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5180B4E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c>
          <w:tcPr>
            <w:tcW w:w="429" w:type="pct"/>
          </w:tcPr>
          <w:p w14:paraId="61B10F4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0DA6A0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CC6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83" w:type="pct"/>
            <w:vAlign w:val="center"/>
          </w:tcPr>
          <w:p w14:paraId="688C339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3641" w:type="pct"/>
            <w:vAlign w:val="center"/>
          </w:tcPr>
          <w:p w14:paraId="7C68CCC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施工工期：</w:t>
            </w:r>
            <w:r>
              <w:rPr>
                <w:rFonts w:hint="eastAsia" w:ascii="宋体" w:hAnsi="宋体" w:cs="宋体"/>
                <w:bCs/>
                <w:color w:val="auto"/>
                <w:szCs w:val="21"/>
                <w:lang w:val="en-US" w:eastAsia="zh-CN"/>
              </w:rPr>
              <w:t>15日历天</w:t>
            </w:r>
            <w:r>
              <w:rPr>
                <w:rFonts w:hint="eastAsia" w:ascii="宋体" w:hAnsi="宋体" w:cs="宋体"/>
                <w:bCs/>
                <w:color w:val="auto"/>
                <w:szCs w:val="21"/>
              </w:rPr>
              <w:t>；</w:t>
            </w:r>
          </w:p>
        </w:tc>
        <w:tc>
          <w:tcPr>
            <w:tcW w:w="429" w:type="pct"/>
          </w:tcPr>
          <w:p w14:paraId="0A73029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412CCA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6B0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5CB339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3641" w:type="pct"/>
            <w:vAlign w:val="center"/>
          </w:tcPr>
          <w:p w14:paraId="05D2900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报价方式：采用综合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方式进行报价，同时</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不得高于</w:t>
            </w:r>
            <w:r>
              <w:rPr>
                <w:rFonts w:hint="eastAsia" w:ascii="宋体" w:hAnsi="宋体" w:cs="宋体"/>
                <w:bCs/>
                <w:color w:val="auto"/>
                <w:szCs w:val="21"/>
                <w:highlight w:val="none"/>
                <w:lang w:val="en-US" w:eastAsia="zh-CN"/>
              </w:rPr>
              <w:t>90</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w:t>
            </w:r>
          </w:p>
          <w:p w14:paraId="1597912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本项目为单价合同，</w:t>
            </w:r>
            <w:r>
              <w:rPr>
                <w:rFonts w:hint="eastAsia" w:ascii="宋体" w:hAnsi="宋体" w:cs="宋体"/>
                <w:bCs/>
                <w:color w:val="auto"/>
                <w:szCs w:val="21"/>
                <w:highlight w:val="none"/>
                <w:lang w:val="en-US" w:eastAsia="zh-CN"/>
              </w:rPr>
              <w:t>单价=招标控制价单价*成交折扣，</w:t>
            </w:r>
            <w:r>
              <w:rPr>
                <w:rFonts w:hint="eastAsia" w:ascii="宋体" w:hAnsi="宋体" w:cs="宋体"/>
                <w:bCs/>
                <w:color w:val="auto"/>
                <w:szCs w:val="21"/>
                <w:highlight w:val="none"/>
              </w:rPr>
              <w:t>工程量按实结算</w:t>
            </w:r>
            <w:r>
              <w:rPr>
                <w:rFonts w:hint="eastAsia" w:ascii="宋体" w:hAnsi="宋体" w:cs="仿宋"/>
                <w:color w:val="auto"/>
                <w:kern w:val="0"/>
                <w:sz w:val="21"/>
                <w:szCs w:val="21"/>
                <w:highlight w:val="none"/>
              </w:rPr>
              <w:t>。</w:t>
            </w:r>
          </w:p>
        </w:tc>
        <w:tc>
          <w:tcPr>
            <w:tcW w:w="429" w:type="pct"/>
          </w:tcPr>
          <w:p w14:paraId="17C0AD4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5D6160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1260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CC5C42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3641" w:type="pct"/>
            <w:vAlign w:val="center"/>
          </w:tcPr>
          <w:p w14:paraId="3A1E08E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yellow"/>
              </w:rPr>
            </w:pPr>
            <w:r>
              <w:rPr>
                <w:rFonts w:hint="eastAsia" w:ascii="宋体" w:hAnsi="宋体" w:cs="宋体"/>
                <w:bCs/>
                <w:color w:val="auto"/>
                <w:szCs w:val="21"/>
                <w:highlight w:val="none"/>
              </w:rPr>
              <w:t>本项目签约合同价</w:t>
            </w:r>
            <w:r>
              <w:rPr>
                <w:rFonts w:hint="eastAsia" w:ascii="宋体" w:hAnsi="宋体" w:cs="宋体"/>
                <w:bCs/>
                <w:color w:val="auto"/>
                <w:szCs w:val="21"/>
                <w:highlight w:val="none"/>
                <w:lang w:val="en-US" w:eastAsia="zh-CN"/>
              </w:rPr>
              <w:t>款</w:t>
            </w:r>
            <w:r>
              <w:rPr>
                <w:rFonts w:hint="eastAsia" w:ascii="宋体" w:hAnsi="宋体" w:cs="宋体"/>
                <w:bCs/>
                <w:color w:val="auto"/>
                <w:szCs w:val="21"/>
                <w:highlight w:val="none"/>
              </w:rPr>
              <w:t>计算公式：（预算金额-暂定价）*成交综合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p>
        </w:tc>
        <w:tc>
          <w:tcPr>
            <w:tcW w:w="429" w:type="pct"/>
          </w:tcPr>
          <w:p w14:paraId="6D624DA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B77E6A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4C4B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4690DE1">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3641" w:type="pct"/>
            <w:vAlign w:val="center"/>
          </w:tcPr>
          <w:p w14:paraId="38F56DF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cs="宋体"/>
                <w:bCs/>
                <w:color w:val="auto"/>
                <w:szCs w:val="21"/>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c>
          <w:tcPr>
            <w:tcW w:w="429" w:type="pct"/>
          </w:tcPr>
          <w:p w14:paraId="43E5AE77">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5C0BF39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bl>
    <w:p w14:paraId="79BBF75B">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采购需求》三、商务条款要求表。</w:t>
      </w:r>
      <w:r>
        <w:rPr>
          <w:rFonts w:hint="eastAsia" w:asciiTheme="minorEastAsia" w:hAnsiTheme="minorEastAsia" w:eastAsiaTheme="minorEastAsia" w:cstheme="minorEastAsia"/>
          <w:color w:val="auto"/>
          <w:kern w:val="0"/>
          <w:sz w:val="21"/>
          <w:szCs w:val="21"/>
        </w:rPr>
        <w:t>供应商响应以上商务条款要求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125DCB4">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供应商保证：除商务</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列出的偏离外，供应商响应采购文件的全部商务要求。</w:t>
      </w:r>
    </w:p>
    <w:p w14:paraId="40EFA07F">
      <w:pPr>
        <w:keepNext w:val="0"/>
        <w:keepLines w:val="0"/>
        <w:pageBreakBefore w:val="0"/>
        <w:kinsoku/>
        <w:overflowPunct/>
        <w:topLinePunct w:val="0"/>
        <w:bidi w:val="0"/>
        <w:adjustRightInd w:val="0"/>
        <w:snapToGrid w:val="0"/>
        <w:spacing w:line="360" w:lineRule="auto"/>
        <w:ind w:firstLine="480"/>
        <w:jc w:val="right"/>
        <w:textAlignment w:val="auto"/>
        <w:outlineLvl w:val="9"/>
        <w:rPr>
          <w:rFonts w:asciiTheme="minorEastAsia" w:hAnsiTheme="minorEastAsia" w:eastAsiaTheme="minorEastAsia" w:cstheme="minorEastAsia"/>
          <w:color w:val="auto"/>
          <w:kern w:val="0"/>
          <w:sz w:val="21"/>
          <w:szCs w:val="21"/>
          <w:lang w:val="zh-CN"/>
        </w:rPr>
      </w:pPr>
    </w:p>
    <w:p w14:paraId="23A899A0">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法定代表人或其授权委托人（签名或印章）：</w:t>
      </w:r>
    </w:p>
    <w:p w14:paraId="5E023B02">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1"/>
          <w:szCs w:val="21"/>
          <w:lang w:val="zh-CN"/>
        </w:rPr>
        <w:t>）：</w:t>
      </w:r>
    </w:p>
    <w:p w14:paraId="5A9DAF3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color w:val="auto"/>
          <w:kern w:val="0"/>
          <w:sz w:val="21"/>
          <w:szCs w:val="21"/>
          <w:lang w:val="zh-CN"/>
        </w:rPr>
        <w:t>日期：</w:t>
      </w:r>
      <w:r>
        <w:rPr>
          <w:rFonts w:hint="eastAsia" w:asciiTheme="minorEastAsia" w:hAnsiTheme="minorEastAsia" w:eastAsiaTheme="minorEastAsia" w:cstheme="minorEastAsia"/>
          <w:b/>
          <w:color w:val="auto"/>
          <w:kern w:val="0"/>
          <w:sz w:val="32"/>
          <w:szCs w:val="32"/>
          <w:lang w:val="zh-CN"/>
        </w:rPr>
        <w:br w:type="page"/>
      </w:r>
    </w:p>
    <w:p w14:paraId="12F2E808">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九</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技术</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528"/>
        <w:gridCol w:w="1374"/>
        <w:gridCol w:w="1319"/>
      </w:tblGrid>
      <w:tr w14:paraId="6434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59" w:type="dxa"/>
            <w:vAlign w:val="center"/>
          </w:tcPr>
          <w:p w14:paraId="143FF157">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序号</w:t>
            </w:r>
          </w:p>
        </w:tc>
        <w:tc>
          <w:tcPr>
            <w:tcW w:w="5528" w:type="dxa"/>
            <w:vAlign w:val="center"/>
          </w:tcPr>
          <w:p w14:paraId="18882D7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技术要求</w:t>
            </w:r>
          </w:p>
        </w:tc>
        <w:tc>
          <w:tcPr>
            <w:tcW w:w="1374" w:type="dxa"/>
            <w:vAlign w:val="center"/>
          </w:tcPr>
          <w:p w14:paraId="04B5F3E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Theme="minorEastAsia" w:hAnsiTheme="minorEastAsia" w:eastAsiaTheme="minorEastAsia" w:cstheme="minorEastAsia"/>
                <w:b/>
                <w:bCs w:val="0"/>
                <w:color w:val="auto"/>
                <w:sz w:val="24"/>
              </w:rPr>
            </w:pPr>
            <w:r>
              <w:rPr>
                <w:rFonts w:hint="eastAsia" w:ascii="宋体" w:hAnsi="宋体" w:cs="宋体"/>
                <w:b/>
                <w:bCs w:val="0"/>
                <w:color w:val="auto"/>
                <w:szCs w:val="21"/>
              </w:rPr>
              <w:t>是否响应</w:t>
            </w:r>
          </w:p>
        </w:tc>
        <w:tc>
          <w:tcPr>
            <w:tcW w:w="1319" w:type="dxa"/>
            <w:vAlign w:val="center"/>
          </w:tcPr>
          <w:p w14:paraId="254918E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val="0"/>
                <w:color w:val="auto"/>
                <w:sz w:val="24"/>
              </w:rPr>
            </w:pPr>
            <w:r>
              <w:rPr>
                <w:rFonts w:hint="eastAsia" w:ascii="宋体" w:hAnsi="宋体" w:cs="宋体"/>
                <w:b/>
                <w:bCs w:val="0"/>
                <w:color w:val="auto"/>
                <w:szCs w:val="21"/>
              </w:rPr>
              <w:t>优于情况说明（如有）</w:t>
            </w:r>
          </w:p>
        </w:tc>
      </w:tr>
      <w:tr w14:paraId="7153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C6787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5528" w:type="dxa"/>
            <w:vAlign w:val="center"/>
          </w:tcPr>
          <w:p w14:paraId="2113BABA">
            <w:pPr>
              <w:keepNext w:val="0"/>
              <w:keepLines w:val="0"/>
              <w:pageBreakBefore w:val="0"/>
              <w:widowControl w:val="0"/>
              <w:kinsoku/>
              <w:overflowPunct/>
              <w:topLinePunct w:val="0"/>
              <w:bidi w:val="0"/>
              <w:spacing w:beforeLines="50" w:line="360" w:lineRule="auto"/>
              <w:jc w:val="both"/>
              <w:textAlignment w:val="auto"/>
              <w:outlineLvl w:val="9"/>
              <w:rPr>
                <w:rFonts w:asciiTheme="minorEastAsia" w:hAnsiTheme="minorEastAsia" w:eastAsiaTheme="minorEastAsia" w:cstheme="minorEastAsia"/>
                <w:b/>
                <w:color w:val="auto"/>
                <w:kern w:val="0"/>
                <w:sz w:val="32"/>
                <w:szCs w:val="32"/>
              </w:rPr>
            </w:pPr>
          </w:p>
        </w:tc>
        <w:tc>
          <w:tcPr>
            <w:tcW w:w="1374" w:type="dxa"/>
            <w:vAlign w:val="center"/>
          </w:tcPr>
          <w:p w14:paraId="440B2B9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5B58A7C9">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8C2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52537A">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5528" w:type="dxa"/>
            <w:vAlign w:val="center"/>
          </w:tcPr>
          <w:p w14:paraId="27067AD2">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4ADEE1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19BF07F">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005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73F9A14">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D827116">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88858D8">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444675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166D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6009DB9">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6AEEB03">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5FAEC8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71688C50">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7621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0AC76E">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6C9859A1">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1682556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00AD7D4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6B1B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A6670A0">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393184D9">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8551211">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4D0C340C">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bl>
    <w:p w14:paraId="792B4C79">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采购需求》二、技术条款要求。</w:t>
      </w:r>
      <w:r>
        <w:rPr>
          <w:rFonts w:hint="eastAsia" w:asciiTheme="minorEastAsia" w:hAnsiTheme="minorEastAsia" w:eastAsiaTheme="minorEastAsia" w:cstheme="minorEastAsia"/>
          <w:color w:val="auto"/>
          <w:kern w:val="0"/>
          <w:sz w:val="21"/>
          <w:szCs w:val="21"/>
        </w:rPr>
        <w:t>供应商响应以上</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E68FECF">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要求。</w:t>
      </w:r>
    </w:p>
    <w:p w14:paraId="466B880C">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15B6106A">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2AF48EEF">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31993C1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B291BC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DA30F9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5AFBB25C">
      <w:pPr>
        <w:keepNext w:val="0"/>
        <w:keepLines w:val="0"/>
        <w:pageBreakBefore w:val="0"/>
        <w:kinsoku/>
        <w:overflowPunct/>
        <w:topLinePunct w:val="0"/>
        <w:bidi w:val="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rPr>
        <w:br w:type="page"/>
      </w:r>
    </w:p>
    <w:p w14:paraId="64644A7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十</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rPr>
        <w:t>同类业绩情况一览表</w:t>
      </w:r>
    </w:p>
    <w:p w14:paraId="3872BE11">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p>
    <w:tbl>
      <w:tblPr>
        <w:tblStyle w:val="26"/>
        <w:tblW w:w="97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1"/>
        <w:gridCol w:w="1829"/>
        <w:gridCol w:w="1701"/>
        <w:gridCol w:w="1693"/>
        <w:gridCol w:w="1950"/>
        <w:gridCol w:w="1792"/>
      </w:tblGrid>
      <w:tr w14:paraId="24B09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831" w:type="dxa"/>
            <w:tcBorders>
              <w:top w:val="single" w:color="auto" w:sz="4" w:space="0"/>
              <w:left w:val="single" w:color="auto" w:sz="4" w:space="0"/>
              <w:bottom w:val="single" w:color="auto" w:sz="4" w:space="0"/>
              <w:right w:val="single" w:color="auto" w:sz="4" w:space="0"/>
            </w:tcBorders>
            <w:vAlign w:val="center"/>
          </w:tcPr>
          <w:p w14:paraId="56BF217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序号</w:t>
            </w:r>
          </w:p>
        </w:tc>
        <w:tc>
          <w:tcPr>
            <w:tcW w:w="1829" w:type="dxa"/>
            <w:tcBorders>
              <w:top w:val="single" w:color="auto" w:sz="4" w:space="0"/>
              <w:left w:val="single" w:color="auto" w:sz="4" w:space="0"/>
              <w:bottom w:val="single" w:color="auto" w:sz="4" w:space="0"/>
              <w:right w:val="single" w:color="auto" w:sz="4" w:space="0"/>
            </w:tcBorders>
            <w:vAlign w:val="center"/>
          </w:tcPr>
          <w:p w14:paraId="751A8B3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采购单位名称</w:t>
            </w:r>
          </w:p>
        </w:tc>
        <w:tc>
          <w:tcPr>
            <w:tcW w:w="1701" w:type="dxa"/>
            <w:tcBorders>
              <w:top w:val="single" w:color="auto" w:sz="4" w:space="0"/>
              <w:left w:val="single" w:color="auto" w:sz="4" w:space="0"/>
              <w:right w:val="single" w:color="auto" w:sz="4" w:space="0"/>
            </w:tcBorders>
            <w:vAlign w:val="center"/>
          </w:tcPr>
          <w:p w14:paraId="6B15993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p>
        </w:tc>
        <w:tc>
          <w:tcPr>
            <w:tcW w:w="1693" w:type="dxa"/>
            <w:tcBorders>
              <w:top w:val="single" w:color="auto" w:sz="4" w:space="0"/>
              <w:left w:val="single" w:color="auto" w:sz="4" w:space="0"/>
              <w:bottom w:val="single" w:color="auto" w:sz="4" w:space="0"/>
              <w:right w:val="single" w:color="auto" w:sz="4" w:space="0"/>
            </w:tcBorders>
            <w:vAlign w:val="center"/>
          </w:tcPr>
          <w:p w14:paraId="2A34C1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合同金额</w:t>
            </w:r>
          </w:p>
          <w:p w14:paraId="51444FA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（万元）</w:t>
            </w:r>
          </w:p>
        </w:tc>
        <w:tc>
          <w:tcPr>
            <w:tcW w:w="1950" w:type="dxa"/>
            <w:tcBorders>
              <w:top w:val="single" w:color="auto" w:sz="4" w:space="0"/>
              <w:left w:val="single" w:color="auto" w:sz="4" w:space="0"/>
              <w:bottom w:val="single" w:color="auto" w:sz="4" w:space="0"/>
              <w:right w:val="single" w:color="auto" w:sz="4" w:space="0"/>
            </w:tcBorders>
            <w:vAlign w:val="center"/>
          </w:tcPr>
          <w:p w14:paraId="2471FC8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采购单位联系人及联系电话</w:t>
            </w:r>
          </w:p>
        </w:tc>
        <w:tc>
          <w:tcPr>
            <w:tcW w:w="1792" w:type="dxa"/>
            <w:tcBorders>
              <w:top w:val="single" w:color="auto" w:sz="4" w:space="0"/>
              <w:left w:val="single" w:color="auto" w:sz="4" w:space="0"/>
              <w:bottom w:val="single" w:color="auto" w:sz="4" w:space="0"/>
              <w:right w:val="single" w:color="auto" w:sz="4" w:space="0"/>
            </w:tcBorders>
            <w:vAlign w:val="center"/>
          </w:tcPr>
          <w:p w14:paraId="5CE17F8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合同签订时间</w:t>
            </w:r>
          </w:p>
        </w:tc>
      </w:tr>
      <w:tr w14:paraId="26ABB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350EEB4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1829" w:type="dxa"/>
            <w:tcBorders>
              <w:top w:val="single" w:color="auto" w:sz="4" w:space="0"/>
              <w:left w:val="single" w:color="auto" w:sz="4" w:space="0"/>
              <w:bottom w:val="single" w:color="auto" w:sz="4" w:space="0"/>
              <w:right w:val="single" w:color="auto" w:sz="4" w:space="0"/>
            </w:tcBorders>
            <w:vAlign w:val="center"/>
          </w:tcPr>
          <w:p w14:paraId="675B517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28CAB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1A769D5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4CE74F7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92D2F4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0E4460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C8C2A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1829" w:type="dxa"/>
            <w:tcBorders>
              <w:top w:val="single" w:color="auto" w:sz="4" w:space="0"/>
              <w:left w:val="single" w:color="auto" w:sz="4" w:space="0"/>
              <w:bottom w:val="single" w:color="auto" w:sz="4" w:space="0"/>
              <w:right w:val="single" w:color="auto" w:sz="4" w:space="0"/>
            </w:tcBorders>
            <w:vAlign w:val="center"/>
          </w:tcPr>
          <w:p w14:paraId="150D04A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16423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4A7DB52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79DAA0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3025D66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38183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B5F2D6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w:t>
            </w:r>
          </w:p>
        </w:tc>
        <w:tc>
          <w:tcPr>
            <w:tcW w:w="1829" w:type="dxa"/>
            <w:tcBorders>
              <w:top w:val="single" w:color="auto" w:sz="4" w:space="0"/>
              <w:left w:val="single" w:color="auto" w:sz="4" w:space="0"/>
              <w:bottom w:val="single" w:color="auto" w:sz="4" w:space="0"/>
              <w:right w:val="single" w:color="auto" w:sz="4" w:space="0"/>
            </w:tcBorders>
            <w:vAlign w:val="center"/>
          </w:tcPr>
          <w:p w14:paraId="643CF4E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1B602F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7203E54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72F6805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69265C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E442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44574AC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4</w:t>
            </w:r>
          </w:p>
        </w:tc>
        <w:tc>
          <w:tcPr>
            <w:tcW w:w="1829" w:type="dxa"/>
            <w:tcBorders>
              <w:top w:val="single" w:color="auto" w:sz="4" w:space="0"/>
              <w:left w:val="single" w:color="auto" w:sz="4" w:space="0"/>
              <w:bottom w:val="single" w:color="auto" w:sz="4" w:space="0"/>
              <w:right w:val="single" w:color="auto" w:sz="4" w:space="0"/>
            </w:tcBorders>
            <w:vAlign w:val="center"/>
          </w:tcPr>
          <w:p w14:paraId="2E7211C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C63CC4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0712A0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C6FDDE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7C934AF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9690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831" w:type="dxa"/>
            <w:tcBorders>
              <w:top w:val="single" w:color="auto" w:sz="4" w:space="0"/>
              <w:left w:val="single" w:color="auto" w:sz="4" w:space="0"/>
              <w:bottom w:val="single" w:color="auto" w:sz="4" w:space="0"/>
              <w:right w:val="single" w:color="auto" w:sz="4" w:space="0"/>
            </w:tcBorders>
            <w:vAlign w:val="center"/>
          </w:tcPr>
          <w:p w14:paraId="57C42F4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5</w:t>
            </w:r>
          </w:p>
        </w:tc>
        <w:tc>
          <w:tcPr>
            <w:tcW w:w="1829" w:type="dxa"/>
            <w:tcBorders>
              <w:top w:val="single" w:color="auto" w:sz="4" w:space="0"/>
              <w:left w:val="single" w:color="auto" w:sz="4" w:space="0"/>
              <w:bottom w:val="single" w:color="auto" w:sz="4" w:space="0"/>
              <w:right w:val="single" w:color="auto" w:sz="4" w:space="0"/>
            </w:tcBorders>
            <w:vAlign w:val="center"/>
          </w:tcPr>
          <w:p w14:paraId="2A5AAC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C3821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D4B4BD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312A6D9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67C58DF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bl>
    <w:p w14:paraId="2A3BA3B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附：评分标准要求的证明材料</w:t>
      </w:r>
    </w:p>
    <w:p w14:paraId="556C9E7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690DF1E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34F2B2C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745B64D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14092FC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92A9896">
      <w:pPr>
        <w:keepNext w:val="0"/>
        <w:keepLines w:val="0"/>
        <w:pageBreakBefore w:val="0"/>
        <w:kinsoku/>
        <w:overflowPunct/>
        <w:topLinePunct w:val="0"/>
        <w:bidi w:val="0"/>
        <w:spacing w:line="360" w:lineRule="auto"/>
        <w:ind w:left="4620" w:leftChars="2200" w:firstLine="643"/>
        <w:textAlignment w:val="auto"/>
        <w:outlineLvl w:val="9"/>
        <w:rPr>
          <w:rFonts w:asciiTheme="minorEastAsia" w:hAnsiTheme="minorEastAsia" w:eastAsiaTheme="minorEastAsia" w:cstheme="minorEastAsia"/>
          <w:b/>
          <w:color w:val="auto"/>
          <w:kern w:val="0"/>
          <w:sz w:val="32"/>
          <w:szCs w:val="32"/>
          <w:lang w:val="zh-CN"/>
        </w:rPr>
      </w:pPr>
    </w:p>
    <w:p w14:paraId="5DA662BE">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十一、</w:t>
      </w:r>
      <w:r>
        <w:rPr>
          <w:rFonts w:hint="eastAsia" w:asciiTheme="minorEastAsia" w:hAnsiTheme="minorEastAsia" w:eastAsiaTheme="minorEastAsia" w:cstheme="minorEastAsia"/>
          <w:b/>
          <w:color w:val="auto"/>
          <w:kern w:val="0"/>
          <w:sz w:val="32"/>
          <w:szCs w:val="32"/>
          <w:lang w:val="zh-CN"/>
        </w:rPr>
        <w:t>采购供应商廉洁自律承诺书</w:t>
      </w:r>
    </w:p>
    <w:p w14:paraId="75238D39">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5C321240">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kern w:val="0"/>
          <w:sz w:val="24"/>
          <w:lang w:val="zh-CN"/>
        </w:rPr>
        <w:t>：</w:t>
      </w:r>
    </w:p>
    <w:p w14:paraId="576C2F5A">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我单位响应你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项目磋商要求参加磋商采购活动。在这次采购过程中和成交后，我们将严格遵守国家法律法规要求，并郑重承诺：</w:t>
      </w:r>
    </w:p>
    <w:p w14:paraId="31F64364">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一、不向项目有关人员及部门赠送礼金礼物、有价证券、回扣以及中介费、介绍费、咨询费等好处费； </w:t>
      </w:r>
    </w:p>
    <w:p w14:paraId="24154D3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二、不为项目有关人员及部门报销应由你方单位或个人支付的费用； </w:t>
      </w:r>
    </w:p>
    <w:p w14:paraId="204513E1">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三、不向项目有关人员及部门提供有可能影响公正的宴请和健身娱乐等活动； </w:t>
      </w:r>
    </w:p>
    <w:p w14:paraId="0A493D6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四、不为项目有关人员及部门出国（境）、旅游等提供方便；</w:t>
      </w:r>
    </w:p>
    <w:p w14:paraId="51A669DD">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五、不为项目有关人员个人装修住房、婚丧嫁娶、配偶子女工作安排等提供</w:t>
      </w:r>
    </w:p>
    <w:p w14:paraId="002D5BA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好处；</w:t>
      </w:r>
    </w:p>
    <w:p w14:paraId="3CA25742">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六、严格遵守《</w:t>
      </w:r>
      <w:r>
        <w:rPr>
          <w:rFonts w:hint="eastAsia" w:asciiTheme="minorEastAsia" w:hAnsiTheme="minorEastAsia" w:eastAsiaTheme="minorEastAsia" w:cstheme="minorEastAsia"/>
          <w:color w:val="auto"/>
          <w:sz w:val="24"/>
          <w:lang w:val="zh-CN"/>
        </w:rPr>
        <w:t>中华人民共和国</w:t>
      </w:r>
      <w:r>
        <w:rPr>
          <w:rFonts w:hint="eastAsia" w:asciiTheme="minorEastAsia" w:hAnsiTheme="minorEastAsia" w:eastAsiaTheme="minorEastAsia" w:cstheme="minorEastAsia"/>
          <w:color w:val="auto"/>
          <w:kern w:val="0"/>
          <w:sz w:val="24"/>
          <w:lang w:val="zh-CN"/>
        </w:rPr>
        <w:t>政府采购法》</w:t>
      </w:r>
      <w:r>
        <w:rPr>
          <w:rFonts w:hint="eastAsia" w:asciiTheme="minorEastAsia" w:hAnsiTheme="minorEastAsia" w:eastAsiaTheme="minorEastAsia" w:cstheme="minorEastAsia"/>
          <w:color w:val="auto"/>
          <w:sz w:val="24"/>
          <w:lang w:val="zh-CN"/>
        </w:rPr>
        <w:t>《中华人民共和国民法典》</w:t>
      </w:r>
      <w:r>
        <w:rPr>
          <w:rFonts w:hint="eastAsia" w:asciiTheme="minorEastAsia" w:hAnsiTheme="minorEastAsia" w:eastAsiaTheme="minorEastAsia" w:cstheme="minorEastAsia"/>
          <w:color w:val="auto"/>
          <w:kern w:val="0"/>
          <w:sz w:val="24"/>
          <w:lang w:val="zh-CN"/>
        </w:rPr>
        <w:t xml:space="preserve">等法律法规，诚实守信，合法经营，坚决抵制各种违法违纪行为。 </w:t>
      </w:r>
    </w:p>
    <w:p w14:paraId="04815CCA">
      <w:pPr>
        <w:keepNext w:val="0"/>
        <w:keepLines w:val="0"/>
        <w:pageBreakBefore w:val="0"/>
        <w:kinsoku/>
        <w:overflowPunct/>
        <w:topLinePunct w:val="0"/>
        <w:autoSpaceDE w:val="0"/>
        <w:autoSpaceDN w:val="0"/>
        <w:bidi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如违反上述承诺，你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有权立即取消我单位响应、成交或在建项目的建设资格，有权拒绝我单位在一定时期内进入你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进行项目建设或其他经营活动，并通报市财政局。由此引起的相应损失均由我单位承担。</w:t>
      </w:r>
    </w:p>
    <w:p w14:paraId="393D006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E4C49CE">
      <w:pPr>
        <w:keepNext w:val="0"/>
        <w:keepLines w:val="0"/>
        <w:pageBreakBefore w:val="0"/>
        <w:kinsoku/>
        <w:overflowPunct/>
        <w:topLinePunct w:val="0"/>
        <w:autoSpaceDE w:val="0"/>
        <w:autoSpaceDN w:val="0"/>
        <w:bidi w:val="0"/>
        <w:spacing w:line="360" w:lineRule="auto"/>
        <w:ind w:left="2" w:firstLine="480"/>
        <w:textAlignment w:val="auto"/>
        <w:outlineLvl w:val="9"/>
        <w:rPr>
          <w:rFonts w:asciiTheme="minorEastAsia" w:hAnsiTheme="minorEastAsia" w:eastAsiaTheme="minorEastAsia" w:cstheme="minorEastAsia"/>
          <w:color w:val="auto"/>
          <w:kern w:val="0"/>
          <w:sz w:val="24"/>
          <w:lang w:val="zh-CN"/>
        </w:rPr>
      </w:pPr>
    </w:p>
    <w:p w14:paraId="0C88CECF">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5671E0C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D2BE9E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269BFC9F">
      <w:pPr>
        <w:keepNext w:val="0"/>
        <w:keepLines w:val="0"/>
        <w:pageBreakBefore w:val="0"/>
        <w:kinsoku/>
        <w:overflowPunct/>
        <w:topLinePunct w:val="0"/>
        <w:bidi w:val="0"/>
        <w:spacing w:line="360" w:lineRule="auto"/>
        <w:ind w:left="4620" w:leftChars="2200" w:firstLine="480"/>
        <w:textAlignment w:val="auto"/>
        <w:outlineLvl w:val="9"/>
        <w:rPr>
          <w:rFonts w:asciiTheme="minorEastAsia" w:hAnsiTheme="minorEastAsia" w:eastAsiaTheme="minorEastAsia" w:cstheme="minorEastAsia"/>
          <w:color w:val="auto"/>
          <w:sz w:val="24"/>
        </w:rPr>
      </w:pPr>
    </w:p>
    <w:p w14:paraId="5E0214BF">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pPr>
    </w:p>
    <w:p w14:paraId="4170F5D9">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sectPr>
          <w:pgSz w:w="11906" w:h="16838"/>
          <w:pgMar w:top="1276" w:right="1418" w:bottom="1247" w:left="1418" w:header="851" w:footer="992" w:gutter="0"/>
          <w:cols w:space="720" w:num="1"/>
          <w:titlePg/>
          <w:docGrid w:linePitch="312" w:charSpace="0"/>
        </w:sectPr>
      </w:pPr>
    </w:p>
    <w:p w14:paraId="7A480408">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3B5DF9B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报价文件部分</w:t>
      </w:r>
    </w:p>
    <w:p w14:paraId="035FF8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5A75C3A6">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u w:val="single"/>
          <w:lang w:val="zh-CN"/>
        </w:rPr>
      </w:pPr>
      <w:r>
        <w:rPr>
          <w:rFonts w:hint="eastAsia" w:asciiTheme="minorEastAsia" w:hAnsiTheme="minorEastAsia" w:eastAsiaTheme="minorEastAsia" w:cstheme="minorEastAsia"/>
          <w:color w:val="auto"/>
          <w:sz w:val="24"/>
        </w:rPr>
        <w:t xml:space="preserve"> </w:t>
      </w:r>
    </w:p>
    <w:p w14:paraId="3EA8CFA1">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报价一览表；</w:t>
      </w:r>
    </w:p>
    <w:p w14:paraId="491943D5">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中小企业声明函（如有）；</w:t>
      </w:r>
    </w:p>
    <w:p w14:paraId="5F9265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 xml:space="preserve"> 残疾人福利性单位声明函（如有）；</w:t>
      </w:r>
    </w:p>
    <w:p w14:paraId="681C10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 xml:space="preserve"> 监狱企业的证明文件（如有）；</w:t>
      </w:r>
    </w:p>
    <w:p w14:paraId="3034D880">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采购统计基础信息表；</w:t>
      </w:r>
    </w:p>
    <w:p w14:paraId="3C683397">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其他资料（如有）。</w:t>
      </w:r>
    </w:p>
    <w:p w14:paraId="64D770EC">
      <w:pPr>
        <w:keepNext w:val="0"/>
        <w:keepLines w:val="0"/>
        <w:pageBreakBefore w:val="0"/>
        <w:kinsoku/>
        <w:overflowPunct/>
        <w:topLinePunct w:val="0"/>
        <w:bidi w:val="0"/>
        <w:snapToGrid w:val="0"/>
        <w:spacing w:line="360" w:lineRule="auto"/>
        <w:ind w:right="480" w:firstLine="643"/>
        <w:textAlignment w:val="auto"/>
        <w:outlineLvl w:val="9"/>
        <w:rPr>
          <w:rFonts w:asciiTheme="minorEastAsia" w:hAnsiTheme="minorEastAsia" w:eastAsiaTheme="minorEastAsia" w:cstheme="minorEastAsia"/>
          <w:b/>
          <w:color w:val="auto"/>
          <w:kern w:val="0"/>
          <w:sz w:val="32"/>
          <w:szCs w:val="32"/>
        </w:rPr>
      </w:pPr>
    </w:p>
    <w:p w14:paraId="103DA908">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sectPr>
          <w:headerReference r:id="rId8" w:type="first"/>
          <w:footerReference r:id="rId10" w:type="first"/>
          <w:headerReference r:id="rId7" w:type="default"/>
          <w:footerReference r:id="rId9" w:type="default"/>
          <w:pgSz w:w="11906" w:h="16838"/>
          <w:pgMar w:top="1276" w:right="1418" w:bottom="1247" w:left="1418" w:header="851" w:footer="992" w:gutter="0"/>
          <w:cols w:space="720" w:num="1"/>
          <w:titlePg/>
          <w:docGrid w:linePitch="312" w:charSpace="0"/>
        </w:sectPr>
      </w:pPr>
    </w:p>
    <w:p w14:paraId="5385303C">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pPr>
      <w:r>
        <w:rPr>
          <w:rFonts w:hint="eastAsia" w:asciiTheme="minorEastAsia" w:hAnsiTheme="minorEastAsia" w:eastAsiaTheme="minorEastAsia" w:cstheme="minorEastAsia"/>
          <w:color w:val="auto"/>
          <w:kern w:val="2"/>
          <w:sz w:val="32"/>
          <w:szCs w:val="32"/>
        </w:rPr>
        <w:t>一、报价一览表（初次报价表）</w:t>
      </w:r>
    </w:p>
    <w:p w14:paraId="50C08075">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sz w:val="24"/>
        </w:rPr>
        <w:t>（采购人）、（采购代理机构）</w:t>
      </w:r>
      <w:r>
        <w:rPr>
          <w:rFonts w:hint="eastAsia" w:asciiTheme="minorEastAsia" w:hAnsiTheme="minorEastAsia" w:eastAsiaTheme="minorEastAsia" w:cstheme="minorEastAsia"/>
          <w:color w:val="auto"/>
          <w:kern w:val="0"/>
          <w:sz w:val="24"/>
          <w:lang w:val="zh-CN"/>
        </w:rPr>
        <w:t>：按你方采购文件要求，我们，本响应文件签字方，谨此向你方发出要约如下：如你方接受本次磋商响应，我方承诺按照如下报价一览表（报价表）的价格完成</w:t>
      </w:r>
      <w:r>
        <w:rPr>
          <w:rFonts w:hint="eastAsia" w:asciiTheme="minorEastAsia" w:hAnsiTheme="minorEastAsia" w:eastAsiaTheme="minorEastAsia" w:cstheme="minorEastAsia"/>
          <w:color w:val="auto"/>
          <w:kern w:val="0"/>
          <w:sz w:val="24"/>
        </w:rPr>
        <w:t>本项目的实施</w:t>
      </w:r>
      <w:r>
        <w:rPr>
          <w:rFonts w:hint="eastAsia" w:asciiTheme="minorEastAsia" w:hAnsiTheme="minorEastAsia" w:eastAsiaTheme="minorEastAsia" w:cstheme="minorEastAsia"/>
          <w:color w:val="auto"/>
          <w:kern w:val="0"/>
          <w:sz w:val="24"/>
          <w:lang w:val="zh-CN"/>
        </w:rPr>
        <w:t>。</w:t>
      </w:r>
    </w:p>
    <w:tbl>
      <w:tblPr>
        <w:tblStyle w:val="26"/>
        <w:tblpPr w:leftFromText="180" w:rightFromText="180" w:vertAnchor="text" w:horzAnchor="page" w:tblpXSpec="center" w:tblpY="36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4"/>
        <w:gridCol w:w="3218"/>
      </w:tblGrid>
      <w:tr w14:paraId="191D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2" w:type="pct"/>
          </w:tcPr>
          <w:p w14:paraId="09CF32C8">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项目名称</w:t>
            </w:r>
          </w:p>
        </w:tc>
        <w:tc>
          <w:tcPr>
            <w:tcW w:w="1887" w:type="pct"/>
          </w:tcPr>
          <w:p w14:paraId="03A748D9">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磋商报</w:t>
            </w:r>
            <w:r>
              <w:rPr>
                <w:rFonts w:hint="eastAsia" w:ascii="宋体" w:hAnsi="宋体"/>
                <w:b/>
                <w:color w:val="auto"/>
                <w:sz w:val="24"/>
              </w:rPr>
              <w:t>价</w:t>
            </w:r>
          </w:p>
        </w:tc>
      </w:tr>
      <w:tr w14:paraId="04AE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3112" w:type="pct"/>
            <w:vAlign w:val="center"/>
          </w:tcPr>
          <w:p w14:paraId="231219D1">
            <w:pPr>
              <w:keepNext w:val="0"/>
              <w:keepLines w:val="0"/>
              <w:pageBreakBefore w:val="0"/>
              <w:kinsoku/>
              <w:overflowPunct/>
              <w:topLinePunct w:val="0"/>
              <w:bidi w:val="0"/>
              <w:spacing w:line="360" w:lineRule="auto"/>
              <w:jc w:val="center"/>
              <w:textAlignment w:val="auto"/>
              <w:outlineLvl w:val="9"/>
              <w:rPr>
                <w:rFonts w:ascii="宋体" w:hAnsi="宋体" w:cs="宋体"/>
                <w:color w:val="auto"/>
                <w:kern w:val="1"/>
              </w:rPr>
            </w:pPr>
            <w:r>
              <w:rPr>
                <w:rFonts w:hint="eastAsia" w:ascii="宋体" w:hAnsi="宋体" w:cs="宋体"/>
                <w:bCs/>
                <w:color w:val="auto"/>
                <w:szCs w:val="21"/>
                <w:lang w:eastAsia="zh-CN"/>
              </w:rPr>
              <w:t>奉化区莼湖街道奉松路与下横线交叉口东南侧停车场建设工程</w:t>
            </w:r>
          </w:p>
        </w:tc>
        <w:tc>
          <w:tcPr>
            <w:tcW w:w="1887" w:type="pct"/>
            <w:vAlign w:val="center"/>
          </w:tcPr>
          <w:p w14:paraId="2046653C">
            <w:pPr>
              <w:keepNext w:val="0"/>
              <w:keepLines w:val="0"/>
              <w:pageBreakBefore w:val="0"/>
              <w:kinsoku/>
              <w:overflowPunct/>
              <w:topLinePunct w:val="0"/>
              <w:bidi w:val="0"/>
              <w:spacing w:line="360" w:lineRule="auto"/>
              <w:jc w:val="center"/>
              <w:textAlignment w:val="auto"/>
              <w:outlineLvl w:val="9"/>
              <w:rPr>
                <w:rFonts w:ascii="宋体" w:hAnsi="宋体"/>
                <w:color w:val="auto"/>
                <w:sz w:val="24"/>
              </w:rPr>
            </w:pPr>
            <w:r>
              <w:rPr>
                <w:rFonts w:hint="eastAsia" w:ascii="宋体" w:hAnsi="宋体"/>
                <w:b/>
                <w:color w:val="auto"/>
                <w:sz w:val="24"/>
              </w:rPr>
              <w:t>综合</w:t>
            </w:r>
            <w:r>
              <w:rPr>
                <w:rFonts w:hint="eastAsia" w:ascii="宋体" w:hAnsi="宋体"/>
                <w:b/>
                <w:color w:val="auto"/>
                <w:sz w:val="24"/>
                <w:lang w:eastAsia="zh-CN"/>
              </w:rPr>
              <w:t>折扣</w:t>
            </w:r>
            <w:r>
              <w:rPr>
                <w:rFonts w:hint="eastAsia" w:ascii="宋体" w:hAnsi="宋体"/>
                <w:b/>
                <w:color w:val="auto"/>
                <w:sz w:val="24"/>
                <w:u w:val="single"/>
              </w:rPr>
              <w:t xml:space="preserve">     </w:t>
            </w:r>
            <w:r>
              <w:rPr>
                <w:rFonts w:hint="eastAsia" w:ascii="宋体" w:hAnsi="宋体"/>
                <w:b/>
                <w:color w:val="auto"/>
                <w:sz w:val="24"/>
              </w:rPr>
              <w:t>%</w:t>
            </w:r>
          </w:p>
        </w:tc>
      </w:tr>
      <w:tr w14:paraId="2D95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5000" w:type="pct"/>
            <w:gridSpan w:val="2"/>
            <w:vAlign w:val="center"/>
          </w:tcPr>
          <w:p w14:paraId="29AADAE8">
            <w:pPr>
              <w:keepNext w:val="0"/>
              <w:keepLines w:val="0"/>
              <w:pageBreakBefore w:val="0"/>
              <w:kinsoku/>
              <w:overflowPunct/>
              <w:topLinePunct w:val="0"/>
              <w:bidi w:val="0"/>
              <w:spacing w:line="360" w:lineRule="auto"/>
              <w:textAlignment w:val="auto"/>
              <w:outlineLvl w:val="9"/>
              <w:rPr>
                <w:rFonts w:hint="default" w:ascii="宋体" w:hAnsi="宋体" w:eastAsia="宋体"/>
                <w:b/>
                <w:color w:val="auto"/>
                <w:sz w:val="24"/>
                <w:lang w:val="en-US" w:eastAsia="zh-CN"/>
              </w:rPr>
            </w:pPr>
            <w:r>
              <w:rPr>
                <w:rFonts w:hint="eastAsia" w:ascii="宋体" w:hAnsi="宋体"/>
                <w:b/>
                <w:color w:val="auto"/>
                <w:sz w:val="24"/>
                <w:lang w:val="en-US" w:eastAsia="zh-CN"/>
              </w:rPr>
              <w:t>综合折扣（大写）：</w:t>
            </w:r>
          </w:p>
        </w:tc>
      </w:tr>
    </w:tbl>
    <w:p w14:paraId="45EA4268">
      <w:pPr>
        <w:keepNext w:val="0"/>
        <w:keepLines w:val="0"/>
        <w:pageBreakBefore w:val="0"/>
        <w:widowControl/>
        <w:kinsoku/>
        <w:wordWrap/>
        <w:overflowPunct/>
        <w:topLinePunct w:val="0"/>
        <w:autoSpaceDE/>
        <w:autoSpaceDN/>
        <w:bidi w:val="0"/>
        <w:adjustRightInd/>
        <w:spacing w:line="360" w:lineRule="auto"/>
        <w:ind w:left="0" w:firstLine="482" w:firstLineChars="200"/>
        <w:textAlignment w:val="auto"/>
        <w:outlineLvl w:val="9"/>
        <w:rPr>
          <w:rFonts w:ascii="宋体" w:hAnsi="宋体"/>
          <w:b/>
          <w:color w:val="auto"/>
          <w:sz w:val="24"/>
        </w:rPr>
      </w:pPr>
      <w:r>
        <w:rPr>
          <w:rFonts w:hint="eastAsia" w:ascii="宋体" w:hAnsi="宋体" w:cs="仿宋"/>
          <w:b/>
          <w:color w:val="auto"/>
          <w:kern w:val="0"/>
          <w:sz w:val="24"/>
          <w:lang w:val="zh-CN"/>
        </w:rPr>
        <w:t>注：</w:t>
      </w:r>
      <w:r>
        <w:rPr>
          <w:rFonts w:hint="eastAsia" w:ascii="宋体" w:hAnsi="宋体"/>
          <w:b/>
          <w:color w:val="auto"/>
          <w:sz w:val="24"/>
        </w:rPr>
        <w:t>1、</w:t>
      </w:r>
      <w:r>
        <w:rPr>
          <w:rFonts w:hint="eastAsia" w:ascii="宋体" w:hAnsi="宋体"/>
          <w:b/>
          <w:color w:val="auto"/>
          <w:sz w:val="24"/>
          <w:u w:val="single"/>
        </w:rPr>
        <w:t>磋商报价</w:t>
      </w:r>
      <w:r>
        <w:rPr>
          <w:rFonts w:hint="eastAsia" w:ascii="宋体" w:hAnsi="宋体"/>
          <w:b/>
          <w:color w:val="auto"/>
          <w:sz w:val="24"/>
          <w:u w:val="single"/>
          <w:lang w:eastAsia="zh-CN"/>
        </w:rPr>
        <w:t>折扣</w:t>
      </w:r>
      <w:r>
        <w:rPr>
          <w:rFonts w:hint="eastAsia" w:ascii="宋体" w:hAnsi="宋体"/>
          <w:b/>
          <w:color w:val="auto"/>
          <w:sz w:val="24"/>
          <w:u w:val="single"/>
        </w:rPr>
        <w:t>以“%”的形式填写。</w:t>
      </w:r>
      <w:r>
        <w:rPr>
          <w:rFonts w:hint="eastAsia"/>
          <w:b/>
          <w:color w:val="auto"/>
          <w:sz w:val="24"/>
          <w:u w:val="single"/>
        </w:rPr>
        <w:t>本次项目设有最高</w:t>
      </w:r>
      <w:r>
        <w:rPr>
          <w:rFonts w:hint="eastAsia"/>
          <w:b/>
          <w:color w:val="auto"/>
          <w:sz w:val="24"/>
          <w:u w:val="single"/>
          <w:lang w:eastAsia="zh-CN"/>
        </w:rPr>
        <w:t>折扣</w:t>
      </w:r>
      <w:r>
        <w:rPr>
          <w:rFonts w:hint="eastAsia"/>
          <w:b/>
          <w:color w:val="auto"/>
          <w:sz w:val="24"/>
          <w:u w:val="single"/>
        </w:rPr>
        <w:t>（</w:t>
      </w:r>
      <w:r>
        <w:rPr>
          <w:rFonts w:hint="eastAsia"/>
          <w:b/>
          <w:color w:val="auto"/>
          <w:sz w:val="24"/>
          <w:u w:val="single"/>
          <w:lang w:val="en-US" w:eastAsia="zh-CN"/>
        </w:rPr>
        <w:t>90</w:t>
      </w:r>
      <w:r>
        <w:rPr>
          <w:rFonts w:hint="eastAsia"/>
          <w:b/>
          <w:color w:val="auto"/>
          <w:sz w:val="24"/>
          <w:u w:val="single"/>
          <w:lang w:eastAsia="zh-CN"/>
        </w:rPr>
        <w:t>%</w:t>
      </w:r>
      <w:r>
        <w:rPr>
          <w:rFonts w:hint="eastAsia"/>
          <w:b/>
          <w:color w:val="auto"/>
          <w:sz w:val="24"/>
          <w:u w:val="single"/>
        </w:rPr>
        <w:t>），</w:t>
      </w:r>
      <w:r>
        <w:rPr>
          <w:rFonts w:hint="eastAsia"/>
          <w:b/>
          <w:color w:val="auto"/>
          <w:sz w:val="24"/>
          <w:u w:val="single"/>
          <w:lang w:val="en-US" w:eastAsia="zh-CN"/>
        </w:rPr>
        <w:t>即供应商报价须≤90%，综合折扣四舍五入保留一位小数，</w:t>
      </w:r>
      <w:r>
        <w:rPr>
          <w:rFonts w:hint="eastAsia"/>
          <w:b/>
          <w:color w:val="auto"/>
          <w:sz w:val="24"/>
          <w:u w:val="single"/>
        </w:rPr>
        <w:t>未按</w:t>
      </w:r>
      <w:r>
        <w:rPr>
          <w:rFonts w:hint="eastAsia"/>
          <w:b/>
          <w:color w:val="auto"/>
          <w:sz w:val="24"/>
          <w:u w:val="single"/>
          <w:lang w:eastAsia="zh-CN"/>
        </w:rPr>
        <w:t>折扣</w:t>
      </w:r>
      <w:r>
        <w:rPr>
          <w:rFonts w:hint="eastAsia"/>
          <w:b/>
          <w:color w:val="auto"/>
          <w:sz w:val="24"/>
          <w:u w:val="single"/>
        </w:rPr>
        <w:t>进行报价或超过最高综合</w:t>
      </w:r>
      <w:r>
        <w:rPr>
          <w:rFonts w:hint="eastAsia"/>
          <w:b/>
          <w:color w:val="auto"/>
          <w:sz w:val="24"/>
          <w:u w:val="single"/>
          <w:lang w:eastAsia="zh-CN"/>
        </w:rPr>
        <w:t>折扣</w:t>
      </w:r>
      <w:r>
        <w:rPr>
          <w:rFonts w:hint="eastAsia"/>
          <w:b/>
          <w:color w:val="auto"/>
          <w:sz w:val="24"/>
          <w:u w:val="single"/>
        </w:rPr>
        <w:t>进行报价的磋商响应文件作无效处理。</w:t>
      </w:r>
    </w:p>
    <w:p w14:paraId="20098061">
      <w:pPr>
        <w:keepNext w:val="0"/>
        <w:keepLines w:val="0"/>
        <w:pageBreakBefore w:val="0"/>
        <w:widowControl/>
        <w:kinsoku/>
        <w:wordWrap/>
        <w:overflowPunct/>
        <w:topLinePunct w:val="0"/>
        <w:autoSpaceDE/>
        <w:autoSpaceDN/>
        <w:bidi w:val="0"/>
        <w:adjustRightInd/>
        <w:snapToGrid w:val="0"/>
        <w:spacing w:line="360" w:lineRule="auto"/>
        <w:ind w:left="0" w:firstLine="480" w:firstLineChars="200"/>
        <w:textAlignment w:val="auto"/>
        <w:outlineLvl w:val="9"/>
        <w:rPr>
          <w:rFonts w:ascii="宋体" w:hAnsi="宋体" w:cs="仿宋"/>
          <w:b/>
          <w:color w:val="auto"/>
          <w:kern w:val="0"/>
          <w:sz w:val="24"/>
          <w:lang w:val="zh-CN"/>
        </w:rPr>
      </w:pPr>
      <w:r>
        <w:rPr>
          <w:rFonts w:hint="eastAsia" w:ascii="宋体" w:hAnsi="宋体"/>
          <w:color w:val="auto"/>
          <w:sz w:val="24"/>
        </w:rPr>
        <w:t>2</w:t>
      </w:r>
      <w:r>
        <w:rPr>
          <w:rFonts w:ascii="宋体" w:hAnsi="宋体"/>
          <w:color w:val="auto"/>
          <w:sz w:val="24"/>
        </w:rPr>
        <w:t>、报价一经涂改，应在涂改处加盖单位公章或者由法定代表人或授权委托人签名或盖章，否则其投标作无效标处理。</w:t>
      </w:r>
    </w:p>
    <w:p w14:paraId="72C7E591">
      <w:pPr>
        <w:keepNext w:val="0"/>
        <w:keepLines w:val="0"/>
        <w:pageBreakBefore w:val="0"/>
        <w:kinsoku/>
        <w:overflowPunct/>
        <w:topLinePunct w:val="0"/>
        <w:bidi w:val="0"/>
        <w:spacing w:line="360" w:lineRule="auto"/>
        <w:ind w:left="-2" w:leftChars="-1" w:firstLine="480" w:firstLineChars="200"/>
        <w:textAlignment w:val="auto"/>
        <w:outlineLvl w:val="9"/>
        <w:rPr>
          <w:rFonts w:ascii="宋体" w:hAnsi="宋体" w:cs="仿宋"/>
          <w:color w:val="auto"/>
          <w:kern w:val="0"/>
          <w:sz w:val="24"/>
          <w:lang w:val="zh-CN"/>
        </w:rPr>
      </w:pPr>
      <w:r>
        <w:rPr>
          <w:rFonts w:hint="eastAsia" w:ascii="宋体" w:hAnsi="宋体" w:cs="仿宋"/>
          <w:color w:val="auto"/>
          <w:kern w:val="0"/>
          <w:sz w:val="24"/>
          <w:lang w:val="zh-CN"/>
        </w:rPr>
        <w:t>1、供应商需按本表格式填写，不得自行更改。</w:t>
      </w:r>
    </w:p>
    <w:p w14:paraId="2B6FE87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32"/>
          <w:szCs w:val="32"/>
        </w:rPr>
      </w:pPr>
      <w:r>
        <w:rPr>
          <w:rFonts w:hint="eastAsia" w:ascii="宋体" w:hAnsi="宋体" w:cs="仿宋"/>
          <w:color w:val="auto"/>
          <w:kern w:val="0"/>
          <w:sz w:val="24"/>
          <w:lang w:val="zh-CN"/>
        </w:rPr>
        <w:t>2、有关本项目实施所涉及的一切费用均计入报价。</w:t>
      </w:r>
      <w:r>
        <w:rPr>
          <w:rFonts w:hint="eastAsia" w:ascii="宋体" w:hAnsi="宋体" w:cs="仿宋"/>
          <w:b/>
          <w:color w:val="auto"/>
          <w:kern w:val="0"/>
          <w:sz w:val="24"/>
          <w:lang w:val="zh-CN"/>
        </w:rPr>
        <w:t>采购人将以合同形式有偿取得货物或服务，不接受供应商给予的赠品、回扣或者与采购无关的其他商品、服务</w:t>
      </w:r>
      <w:r>
        <w:rPr>
          <w:rFonts w:hint="eastAsia" w:ascii="宋体" w:hAnsi="宋体" w:cs="仿宋"/>
          <w:color w:val="auto"/>
          <w:kern w:val="0"/>
          <w:sz w:val="24"/>
          <w:lang w:val="zh-CN"/>
        </w:rPr>
        <w:t>，</w:t>
      </w:r>
      <w:r>
        <w:rPr>
          <w:rFonts w:hint="eastAsia" w:ascii="宋体" w:hAnsi="宋体" w:cs="仿宋"/>
          <w:b/>
          <w:color w:val="auto"/>
          <w:kern w:val="0"/>
          <w:sz w:val="24"/>
          <w:lang w:val="zh-CN"/>
        </w:rPr>
        <w:t>不得出现“0元”“免费赠送”等形式的无偿报价，</w:t>
      </w:r>
      <w:r>
        <w:rPr>
          <w:rFonts w:hint="eastAsia" w:ascii="宋体" w:hAnsi="宋体" w:cs="仿宋"/>
          <w:b/>
          <w:color w:val="auto"/>
          <w:kern w:val="0"/>
          <w:sz w:val="24"/>
        </w:rPr>
        <w:t>否则视为</w:t>
      </w:r>
      <w:r>
        <w:rPr>
          <w:rFonts w:hint="eastAsia" w:ascii="宋体" w:hAnsi="宋体" w:cs="仿宋"/>
          <w:b/>
          <w:color w:val="auto"/>
          <w:sz w:val="24"/>
          <w:lang w:eastAsia="zh-CN"/>
        </w:rPr>
        <w:t>磋商响应文件</w:t>
      </w:r>
      <w:r>
        <w:rPr>
          <w:rFonts w:hint="eastAsia" w:ascii="宋体" w:hAnsi="宋体" w:cs="仿宋"/>
          <w:b/>
          <w:color w:val="auto"/>
          <w:sz w:val="24"/>
        </w:rPr>
        <w:t>含有采购人不能接受的附加条件的，投标无效</w:t>
      </w:r>
      <w:r>
        <w:rPr>
          <w:rFonts w:hint="eastAsia" w:ascii="宋体" w:hAnsi="宋体" w:cs="仿宋"/>
          <w:b/>
          <w:color w:val="auto"/>
          <w:kern w:val="0"/>
          <w:sz w:val="24"/>
          <w:lang w:val="zh-CN"/>
        </w:rPr>
        <w:t>。</w:t>
      </w:r>
    </w:p>
    <w:p w14:paraId="24DE97B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474D14A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法定代表人或其授权委托人（签名或印章）：  </w:t>
      </w:r>
    </w:p>
    <w:p w14:paraId="706A3E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供应商（电子签章或公章）：         </w:t>
      </w:r>
    </w:p>
    <w:p w14:paraId="218CEC5A">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  期：</w:t>
      </w:r>
    </w:p>
    <w:p w14:paraId="3F7FA446">
      <w:pPr>
        <w:keepNext w:val="0"/>
        <w:keepLines w:val="0"/>
        <w:pageBreakBefore w:val="0"/>
        <w:kinsoku/>
        <w:overflowPunct/>
        <w:topLinePunct w:val="0"/>
        <w:bidi w:val="0"/>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14C1C2FD">
      <w:pPr>
        <w:keepNext w:val="0"/>
        <w:keepLines w:val="0"/>
        <w:pageBreakBefore w:val="0"/>
        <w:kinsoku/>
        <w:overflowPunct/>
        <w:topLinePunct w:val="0"/>
        <w:bidi w:val="0"/>
        <w:spacing w:line="360" w:lineRule="auto"/>
        <w:ind w:firstLine="640"/>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二、中小企业声明函</w:t>
      </w:r>
    </w:p>
    <w:p w14:paraId="62519BD0">
      <w:pPr>
        <w:keepNext w:val="0"/>
        <w:keepLines w:val="0"/>
        <w:pageBreakBefore w:val="0"/>
        <w:kinsoku/>
        <w:overflowPunct/>
        <w:topLinePunct w:val="0"/>
        <w:bidi w:val="0"/>
        <w:spacing w:line="360" w:lineRule="auto"/>
        <w:ind w:firstLine="120" w:firstLineChars="50"/>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w:t>
      </w:r>
    </w:p>
    <w:p w14:paraId="19F8F9E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中小企业声明函</w:t>
      </w:r>
    </w:p>
    <w:p w14:paraId="1BF34CD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6664B3B0">
      <w:pPr>
        <w:keepNext w:val="0"/>
        <w:keepLines w:val="0"/>
        <w:pageBreakBefore w:val="0"/>
        <w:kinsoku/>
        <w:overflowPunct/>
        <w:topLinePunct w:val="0"/>
        <w:bidi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本公司郑重声明，根据《政府采购促进中小企业发展管理办法》（财库﹝2020﹞46 号）的规定，本公司参加的</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奉化区莼湖街道奉松路与下横线交叉口东南侧停车场建设工程</w:t>
      </w:r>
      <w:r>
        <w:rPr>
          <w:rFonts w:hint="eastAsia" w:asciiTheme="minorEastAsia" w:hAnsiTheme="minorEastAsia" w:eastAsiaTheme="minorEastAsia" w:cstheme="minorEastAsia"/>
          <w:color w:val="auto"/>
          <w:sz w:val="24"/>
        </w:rPr>
        <w:t>采购活动，工程全部由符合政策要求的中小企业承建。相关企业的具体情况如下：</w:t>
      </w:r>
    </w:p>
    <w:p w14:paraId="28936F3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奉化区莼湖街道奉松路与下横线交叉口东南侧停车场建设工程</w:t>
      </w:r>
      <w:r>
        <w:rPr>
          <w:rFonts w:hint="eastAsia" w:asciiTheme="minorEastAsia" w:hAnsiTheme="minorEastAsia" w:eastAsiaTheme="minorEastAsia" w:cstheme="minorEastAsia"/>
          <w:color w:val="auto"/>
          <w:sz w:val="24"/>
        </w:rPr>
        <w:t xml:space="preserve">，属于 </w:t>
      </w:r>
      <w:r>
        <w:rPr>
          <w:rFonts w:hint="eastAsia" w:asciiTheme="minorEastAsia" w:hAnsiTheme="minorEastAsia" w:eastAsiaTheme="minorEastAsia" w:cstheme="minorEastAsia"/>
          <w:color w:val="auto"/>
          <w:sz w:val="24"/>
          <w:u w:val="single"/>
        </w:rPr>
        <w:t>建筑业</w:t>
      </w:r>
      <w:r>
        <w:rPr>
          <w:rFonts w:hint="eastAsia" w:asciiTheme="minorEastAsia" w:hAnsiTheme="minorEastAsia" w:eastAsiaTheme="minorEastAsia" w:cstheme="minorEastAsia"/>
          <w:color w:val="auto"/>
          <w:sz w:val="24"/>
        </w:rPr>
        <w:t xml:space="preserve"> ；承建（承接）企业为 </w:t>
      </w:r>
      <w:r>
        <w:rPr>
          <w:rFonts w:hint="eastAsia" w:asciiTheme="minorEastAsia" w:hAnsiTheme="minorEastAsia" w:eastAsiaTheme="minorEastAsia" w:cstheme="minorEastAsia"/>
          <w:color w:val="auto"/>
          <w:sz w:val="24"/>
          <w:u w:val="single"/>
        </w:rPr>
        <w:t>（企业名称）</w:t>
      </w:r>
      <w:r>
        <w:rPr>
          <w:rFonts w:hint="eastAsia" w:asciiTheme="minorEastAsia" w:hAnsiTheme="minorEastAsia" w:eastAsiaTheme="minorEastAsia" w:cstheme="minorEastAsia"/>
          <w:color w:val="auto"/>
          <w:sz w:val="24"/>
        </w:rPr>
        <w:t xml:space="preserve"> ，从业人员</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人，营业收入为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万元，资产总额为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万元属于</w:t>
      </w:r>
      <w:r>
        <w:rPr>
          <w:rFonts w:hint="eastAsia" w:asciiTheme="minorEastAsia" w:hAnsiTheme="minorEastAsia" w:eastAsiaTheme="minorEastAsia" w:cstheme="minorEastAsia"/>
          <w:color w:val="auto"/>
          <w:sz w:val="24"/>
          <w:u w:val="single"/>
        </w:rPr>
        <w:t xml:space="preserve"> （中型企业、小型企业、微型企业） </w:t>
      </w:r>
      <w:r>
        <w:rPr>
          <w:rFonts w:hint="eastAsia" w:asciiTheme="minorEastAsia" w:hAnsiTheme="minorEastAsia" w:eastAsiaTheme="minorEastAsia" w:cstheme="minorEastAsia"/>
          <w:color w:val="auto"/>
          <w:sz w:val="24"/>
        </w:rPr>
        <w:t>；</w:t>
      </w:r>
    </w:p>
    <w:p w14:paraId="791015CA">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5598D0BA">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以上企业，不属于大企业的分支机构，不存在控股股东为大企业的情形，也不存在与大企业的负责人为同一人的情形。</w:t>
      </w:r>
    </w:p>
    <w:p w14:paraId="00EF85EC">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本企业对上述声明内容的真实性负责。如有虚假，将依法承担相应责任。</w:t>
      </w:r>
    </w:p>
    <w:p w14:paraId="4775BBA0">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p>
    <w:p w14:paraId="6C6CFF7F">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供应商名称（电子</w:t>
      </w:r>
      <w:r>
        <w:rPr>
          <w:rFonts w:hint="eastAsia" w:asciiTheme="minorEastAsia" w:hAnsiTheme="minorEastAsia" w:eastAsiaTheme="minorEastAsia" w:cstheme="minorEastAsia"/>
          <w:color w:val="auto"/>
          <w:sz w:val="24"/>
          <w:lang w:val="en-US" w:eastAsia="zh-CN"/>
        </w:rPr>
        <w:t>签章或盖章</w:t>
      </w:r>
      <w:r>
        <w:rPr>
          <w:rFonts w:hint="eastAsia" w:asciiTheme="minorEastAsia" w:hAnsiTheme="minorEastAsia" w:eastAsiaTheme="minorEastAsia" w:cstheme="minorEastAsia"/>
          <w:color w:val="auto"/>
          <w:sz w:val="24"/>
        </w:rPr>
        <w:t>）：</w:t>
      </w:r>
    </w:p>
    <w:p w14:paraId="2015EEDC">
      <w:pPr>
        <w:keepNext w:val="0"/>
        <w:keepLines w:val="0"/>
        <w:pageBreakBefore w:val="0"/>
        <w:kinsoku/>
        <w:overflowPunct/>
        <w:topLinePunct w:val="0"/>
        <w:bidi w:val="0"/>
        <w:spacing w:line="360" w:lineRule="auto"/>
        <w:ind w:right="1120" w:firstLine="4680" w:firstLineChars="19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日 期：</w:t>
      </w:r>
    </w:p>
    <w:p w14:paraId="38E5DC4F">
      <w:pPr>
        <w:keepNext w:val="0"/>
        <w:keepLines w:val="0"/>
        <w:pageBreakBefore w:val="0"/>
        <w:kinsoku/>
        <w:overflowPunct/>
        <w:topLinePunct w:val="0"/>
        <w:bidi w:val="0"/>
        <w:spacing w:line="360" w:lineRule="auto"/>
        <w:ind w:firstLine="310" w:firstLineChars="147"/>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Cs w:val="21"/>
        </w:rPr>
        <w:t>从业人员、营业收入、资产总额填报上一年度数据，无上一年度数据的新成立企业可不填报。</w:t>
      </w:r>
    </w:p>
    <w:p w14:paraId="1E46F3C8">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color w:val="auto"/>
          <w:sz w:val="24"/>
        </w:rPr>
        <w:t xml:space="preserve">   注：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tbl>
      <w:tblPr>
        <w:tblStyle w:val="26"/>
        <w:tblW w:w="15083" w:type="dxa"/>
        <w:tblInd w:w="-176" w:type="dxa"/>
        <w:tblLayout w:type="fixed"/>
        <w:tblCellMar>
          <w:top w:w="0" w:type="dxa"/>
          <w:left w:w="108" w:type="dxa"/>
          <w:bottom w:w="0" w:type="dxa"/>
          <w:right w:w="108" w:type="dxa"/>
        </w:tblCellMar>
      </w:tblPr>
      <w:tblGrid>
        <w:gridCol w:w="1985"/>
        <w:gridCol w:w="1498"/>
        <w:gridCol w:w="1763"/>
        <w:gridCol w:w="1660"/>
        <w:gridCol w:w="1240"/>
        <w:gridCol w:w="1636"/>
        <w:gridCol w:w="1520"/>
        <w:gridCol w:w="1285"/>
        <w:gridCol w:w="1275"/>
        <w:gridCol w:w="1221"/>
      </w:tblGrid>
      <w:tr w14:paraId="3B84103D">
        <w:tblPrEx>
          <w:tblCellMar>
            <w:top w:w="0" w:type="dxa"/>
            <w:left w:w="108" w:type="dxa"/>
            <w:bottom w:w="0" w:type="dxa"/>
            <w:right w:w="108" w:type="dxa"/>
          </w:tblCellMar>
        </w:tblPrEx>
        <w:trPr>
          <w:trHeight w:val="420" w:hRule="atLeast"/>
        </w:trPr>
        <w:tc>
          <w:tcPr>
            <w:tcW w:w="15083" w:type="dxa"/>
            <w:gridSpan w:val="10"/>
            <w:tcBorders>
              <w:top w:val="nil"/>
              <w:left w:val="nil"/>
              <w:bottom w:val="nil"/>
              <w:right w:val="nil"/>
            </w:tcBorders>
            <w:vAlign w:val="bottom"/>
          </w:tcPr>
          <w:p w14:paraId="0C0F458B">
            <w:pPr>
              <w:keepNext w:val="0"/>
              <w:keepLines w:val="0"/>
              <w:pageBreakBefore w:val="0"/>
              <w:kinsoku/>
              <w:overflowPunct/>
              <w:topLinePunct w:val="0"/>
              <w:bidi w:val="0"/>
              <w:jc w:val="center"/>
              <w:textAlignment w:val="auto"/>
              <w:outlineLvl w:val="9"/>
              <w:rPr>
                <w:rFonts w:ascii="宋体" w:hAnsi="宋体" w:cs="宋体"/>
                <w:b/>
                <w:bCs/>
                <w:color w:val="auto"/>
                <w:kern w:val="0"/>
                <w:sz w:val="32"/>
                <w:szCs w:val="32"/>
              </w:rPr>
            </w:pPr>
            <w:r>
              <w:rPr>
                <w:rFonts w:hint="eastAsia" w:ascii="宋体" w:hAnsi="宋体" w:cs="宋体"/>
                <w:b/>
                <w:bCs/>
                <w:color w:val="auto"/>
                <w:kern w:val="0"/>
                <w:sz w:val="24"/>
              </w:rPr>
              <w:t>中小微行业划型标准规定（根据工信部联企业〔2011〕300号制定）</w:t>
            </w:r>
          </w:p>
        </w:tc>
      </w:tr>
      <w:tr w14:paraId="2F27129D">
        <w:tblPrEx>
          <w:tblCellMar>
            <w:top w:w="0" w:type="dxa"/>
            <w:left w:w="108" w:type="dxa"/>
            <w:bottom w:w="0" w:type="dxa"/>
            <w:right w:w="108" w:type="dxa"/>
          </w:tblCellMar>
        </w:tblPrEx>
        <w:trPr>
          <w:trHeight w:val="465" w:hRule="atLeast"/>
        </w:trPr>
        <w:tc>
          <w:tcPr>
            <w:tcW w:w="1985" w:type="dxa"/>
            <w:vMerge w:val="restart"/>
            <w:tcBorders>
              <w:top w:val="single" w:color="auto" w:sz="8" w:space="0"/>
              <w:left w:val="single" w:color="auto" w:sz="8" w:space="0"/>
              <w:bottom w:val="single" w:color="000000" w:sz="4" w:space="0"/>
              <w:right w:val="single" w:color="auto" w:sz="8" w:space="0"/>
            </w:tcBorders>
            <w:vAlign w:val="center"/>
          </w:tcPr>
          <w:p w14:paraId="4A553E1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行业</w:t>
            </w:r>
          </w:p>
        </w:tc>
        <w:tc>
          <w:tcPr>
            <w:tcW w:w="4921" w:type="dxa"/>
            <w:gridSpan w:val="3"/>
            <w:tcBorders>
              <w:top w:val="single" w:color="auto" w:sz="8" w:space="0"/>
              <w:left w:val="nil"/>
              <w:bottom w:val="single" w:color="auto" w:sz="4" w:space="0"/>
              <w:right w:val="single" w:color="000000" w:sz="8" w:space="0"/>
            </w:tcBorders>
            <w:vAlign w:val="bottom"/>
          </w:tcPr>
          <w:p w14:paraId="7C2BD8E6">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中型企业</w:t>
            </w:r>
          </w:p>
        </w:tc>
        <w:tc>
          <w:tcPr>
            <w:tcW w:w="4396" w:type="dxa"/>
            <w:gridSpan w:val="3"/>
            <w:tcBorders>
              <w:top w:val="single" w:color="auto" w:sz="8" w:space="0"/>
              <w:left w:val="nil"/>
              <w:bottom w:val="single" w:color="auto" w:sz="4" w:space="0"/>
              <w:right w:val="single" w:color="000000" w:sz="8" w:space="0"/>
            </w:tcBorders>
            <w:vAlign w:val="bottom"/>
          </w:tcPr>
          <w:p w14:paraId="6CAF58A9">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小型企业</w:t>
            </w:r>
          </w:p>
        </w:tc>
        <w:tc>
          <w:tcPr>
            <w:tcW w:w="3781" w:type="dxa"/>
            <w:gridSpan w:val="3"/>
            <w:tcBorders>
              <w:top w:val="single" w:color="auto" w:sz="8" w:space="0"/>
              <w:left w:val="nil"/>
              <w:bottom w:val="single" w:color="auto" w:sz="4" w:space="0"/>
              <w:right w:val="single" w:color="000000" w:sz="8" w:space="0"/>
            </w:tcBorders>
            <w:vAlign w:val="bottom"/>
          </w:tcPr>
          <w:p w14:paraId="424F41B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微型企业</w:t>
            </w:r>
          </w:p>
        </w:tc>
      </w:tr>
      <w:tr w14:paraId="63A82062">
        <w:tblPrEx>
          <w:tblCellMar>
            <w:top w:w="0" w:type="dxa"/>
            <w:left w:w="108" w:type="dxa"/>
            <w:bottom w:w="0" w:type="dxa"/>
            <w:right w:w="108" w:type="dxa"/>
          </w:tblCellMar>
        </w:tblPrEx>
        <w:trPr>
          <w:trHeight w:val="525" w:hRule="atLeast"/>
        </w:trPr>
        <w:tc>
          <w:tcPr>
            <w:tcW w:w="1985" w:type="dxa"/>
            <w:vMerge w:val="continue"/>
            <w:tcBorders>
              <w:top w:val="single" w:color="auto" w:sz="8" w:space="0"/>
              <w:left w:val="single" w:color="auto" w:sz="8" w:space="0"/>
              <w:bottom w:val="single" w:color="000000" w:sz="4" w:space="0"/>
              <w:right w:val="single" w:color="auto" w:sz="8" w:space="0"/>
            </w:tcBorders>
            <w:vAlign w:val="center"/>
          </w:tcPr>
          <w:p w14:paraId="7994E9A3">
            <w:pPr>
              <w:keepNext w:val="0"/>
              <w:keepLines w:val="0"/>
              <w:pageBreakBefore w:val="0"/>
              <w:kinsoku/>
              <w:overflowPunct/>
              <w:topLinePunct w:val="0"/>
              <w:bidi w:val="0"/>
              <w:textAlignment w:val="auto"/>
              <w:outlineLvl w:val="9"/>
              <w:rPr>
                <w:rFonts w:ascii="宋体" w:hAnsi="宋体" w:cs="宋体"/>
                <w:b/>
                <w:bCs/>
                <w:color w:val="auto"/>
                <w:kern w:val="0"/>
                <w:sz w:val="24"/>
              </w:rPr>
            </w:pPr>
          </w:p>
        </w:tc>
        <w:tc>
          <w:tcPr>
            <w:tcW w:w="1498" w:type="dxa"/>
            <w:tcBorders>
              <w:top w:val="nil"/>
              <w:left w:val="nil"/>
              <w:bottom w:val="single" w:color="auto" w:sz="4" w:space="0"/>
              <w:right w:val="single" w:color="auto" w:sz="4" w:space="0"/>
            </w:tcBorders>
            <w:vAlign w:val="bottom"/>
          </w:tcPr>
          <w:p w14:paraId="3959D1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763" w:type="dxa"/>
            <w:tcBorders>
              <w:top w:val="nil"/>
              <w:left w:val="nil"/>
              <w:bottom w:val="single" w:color="auto" w:sz="4" w:space="0"/>
              <w:right w:val="single" w:color="auto" w:sz="4" w:space="0"/>
            </w:tcBorders>
            <w:vAlign w:val="bottom"/>
          </w:tcPr>
          <w:p w14:paraId="7F40BD1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7F3B3A5C">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660" w:type="dxa"/>
            <w:tcBorders>
              <w:top w:val="nil"/>
              <w:left w:val="nil"/>
              <w:bottom w:val="single" w:color="auto" w:sz="4" w:space="0"/>
              <w:right w:val="single" w:color="auto" w:sz="8" w:space="0"/>
            </w:tcBorders>
            <w:vAlign w:val="bottom"/>
          </w:tcPr>
          <w:p w14:paraId="4CCB95A1">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05037377">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40" w:type="dxa"/>
            <w:tcBorders>
              <w:top w:val="nil"/>
              <w:left w:val="nil"/>
              <w:bottom w:val="single" w:color="auto" w:sz="4" w:space="0"/>
              <w:right w:val="single" w:color="auto" w:sz="4" w:space="0"/>
            </w:tcBorders>
            <w:vAlign w:val="bottom"/>
          </w:tcPr>
          <w:p w14:paraId="0F8254F6">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636" w:type="dxa"/>
            <w:tcBorders>
              <w:top w:val="nil"/>
              <w:left w:val="nil"/>
              <w:bottom w:val="single" w:color="auto" w:sz="4" w:space="0"/>
              <w:right w:val="single" w:color="auto" w:sz="4" w:space="0"/>
            </w:tcBorders>
            <w:vAlign w:val="bottom"/>
          </w:tcPr>
          <w:p w14:paraId="5D1166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0F27246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520" w:type="dxa"/>
            <w:tcBorders>
              <w:top w:val="nil"/>
              <w:left w:val="nil"/>
              <w:bottom w:val="single" w:color="auto" w:sz="4" w:space="0"/>
              <w:right w:val="single" w:color="auto" w:sz="8" w:space="0"/>
            </w:tcBorders>
            <w:vAlign w:val="bottom"/>
          </w:tcPr>
          <w:p w14:paraId="6E34B20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57C2E2B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85" w:type="dxa"/>
            <w:tcBorders>
              <w:top w:val="nil"/>
              <w:left w:val="nil"/>
              <w:bottom w:val="single" w:color="auto" w:sz="4" w:space="0"/>
              <w:right w:val="single" w:color="auto" w:sz="4" w:space="0"/>
            </w:tcBorders>
            <w:vAlign w:val="bottom"/>
          </w:tcPr>
          <w:p w14:paraId="6FC592D2">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275" w:type="dxa"/>
            <w:tcBorders>
              <w:top w:val="nil"/>
              <w:left w:val="nil"/>
              <w:bottom w:val="single" w:color="auto" w:sz="4" w:space="0"/>
              <w:right w:val="single" w:color="auto" w:sz="4" w:space="0"/>
            </w:tcBorders>
            <w:vAlign w:val="bottom"/>
          </w:tcPr>
          <w:p w14:paraId="60C9111E">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营业收入Y（万元）</w:t>
            </w:r>
          </w:p>
        </w:tc>
        <w:tc>
          <w:tcPr>
            <w:tcW w:w="1221" w:type="dxa"/>
            <w:tcBorders>
              <w:top w:val="nil"/>
              <w:left w:val="nil"/>
              <w:bottom w:val="single" w:color="auto" w:sz="4" w:space="0"/>
              <w:right w:val="single" w:color="auto" w:sz="8" w:space="0"/>
            </w:tcBorders>
            <w:vAlign w:val="bottom"/>
          </w:tcPr>
          <w:p w14:paraId="30BDD0A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资产总额Z（万元）</w:t>
            </w:r>
          </w:p>
        </w:tc>
      </w:tr>
      <w:tr w14:paraId="684BCFA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15551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1、农林牧渔业</w:t>
            </w:r>
          </w:p>
        </w:tc>
        <w:tc>
          <w:tcPr>
            <w:tcW w:w="1498" w:type="dxa"/>
            <w:tcBorders>
              <w:top w:val="nil"/>
              <w:left w:val="nil"/>
              <w:bottom w:val="single" w:color="auto" w:sz="4" w:space="0"/>
              <w:right w:val="single" w:color="auto" w:sz="4" w:space="0"/>
            </w:tcBorders>
            <w:vAlign w:val="bottom"/>
          </w:tcPr>
          <w:p w14:paraId="7D8D4C0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689D0A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427821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CEA056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EB7113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50≤Y＜500</w:t>
            </w:r>
          </w:p>
        </w:tc>
        <w:tc>
          <w:tcPr>
            <w:tcW w:w="1520" w:type="dxa"/>
            <w:tcBorders>
              <w:top w:val="nil"/>
              <w:left w:val="nil"/>
              <w:bottom w:val="single" w:color="auto" w:sz="4" w:space="0"/>
              <w:right w:val="single" w:color="auto" w:sz="8" w:space="0"/>
            </w:tcBorders>
            <w:vAlign w:val="bottom"/>
          </w:tcPr>
          <w:p w14:paraId="33F34C2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548D1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7EA112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56F7B3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4B2F648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E659B9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2、工业</w:t>
            </w:r>
          </w:p>
        </w:tc>
        <w:tc>
          <w:tcPr>
            <w:tcW w:w="1498" w:type="dxa"/>
            <w:tcBorders>
              <w:top w:val="nil"/>
              <w:left w:val="nil"/>
              <w:bottom w:val="single" w:color="auto" w:sz="4" w:space="0"/>
              <w:right w:val="single" w:color="auto" w:sz="4" w:space="0"/>
            </w:tcBorders>
            <w:vAlign w:val="bottom"/>
          </w:tcPr>
          <w:p w14:paraId="56D0DF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52C4EE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2000≤Y＜40000</w:t>
            </w:r>
          </w:p>
        </w:tc>
        <w:tc>
          <w:tcPr>
            <w:tcW w:w="1660" w:type="dxa"/>
            <w:tcBorders>
              <w:top w:val="nil"/>
              <w:left w:val="nil"/>
              <w:bottom w:val="single" w:color="auto" w:sz="4" w:space="0"/>
              <w:right w:val="single" w:color="auto" w:sz="8" w:space="0"/>
            </w:tcBorders>
            <w:vAlign w:val="bottom"/>
          </w:tcPr>
          <w:p w14:paraId="7DD9DB3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BD675F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E2C5FB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300≤Y＜2000</w:t>
            </w:r>
          </w:p>
        </w:tc>
        <w:tc>
          <w:tcPr>
            <w:tcW w:w="1520" w:type="dxa"/>
            <w:tcBorders>
              <w:top w:val="nil"/>
              <w:left w:val="nil"/>
              <w:bottom w:val="single" w:color="auto" w:sz="4" w:space="0"/>
              <w:right w:val="single" w:color="auto" w:sz="8" w:space="0"/>
            </w:tcBorders>
            <w:vAlign w:val="bottom"/>
          </w:tcPr>
          <w:p w14:paraId="2B62A2C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1BF1D7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29F3F1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Y＜300</w:t>
            </w:r>
          </w:p>
        </w:tc>
        <w:tc>
          <w:tcPr>
            <w:tcW w:w="1221" w:type="dxa"/>
            <w:tcBorders>
              <w:top w:val="nil"/>
              <w:left w:val="nil"/>
              <w:bottom w:val="single" w:color="auto" w:sz="4" w:space="0"/>
              <w:right w:val="single" w:color="auto" w:sz="8" w:space="0"/>
            </w:tcBorders>
            <w:vAlign w:val="bottom"/>
          </w:tcPr>
          <w:p w14:paraId="6808345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C795FF">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042CC9E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xml:space="preserve"> 3、建筑业</w:t>
            </w:r>
          </w:p>
        </w:tc>
        <w:tc>
          <w:tcPr>
            <w:tcW w:w="1498" w:type="dxa"/>
            <w:tcBorders>
              <w:top w:val="nil"/>
              <w:left w:val="nil"/>
              <w:bottom w:val="single" w:color="auto" w:sz="4" w:space="0"/>
              <w:right w:val="single" w:color="auto" w:sz="4" w:space="0"/>
            </w:tcBorders>
            <w:vAlign w:val="bottom"/>
          </w:tcPr>
          <w:p w14:paraId="7D1743A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763" w:type="dxa"/>
            <w:tcBorders>
              <w:top w:val="nil"/>
              <w:left w:val="nil"/>
              <w:bottom w:val="single" w:color="auto" w:sz="4" w:space="0"/>
              <w:right w:val="single" w:color="auto" w:sz="4" w:space="0"/>
            </w:tcBorders>
            <w:vAlign w:val="bottom"/>
          </w:tcPr>
          <w:p w14:paraId="2A87405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6000≤Y＜80000</w:t>
            </w:r>
          </w:p>
        </w:tc>
        <w:tc>
          <w:tcPr>
            <w:tcW w:w="1660" w:type="dxa"/>
            <w:tcBorders>
              <w:top w:val="nil"/>
              <w:left w:val="nil"/>
              <w:bottom w:val="single" w:color="auto" w:sz="4" w:space="0"/>
              <w:right w:val="single" w:color="auto" w:sz="8" w:space="0"/>
            </w:tcBorders>
            <w:vAlign w:val="bottom"/>
          </w:tcPr>
          <w:p w14:paraId="640D56A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5000≤Z＜80000</w:t>
            </w:r>
          </w:p>
        </w:tc>
        <w:tc>
          <w:tcPr>
            <w:tcW w:w="1240" w:type="dxa"/>
            <w:tcBorders>
              <w:top w:val="nil"/>
              <w:left w:val="nil"/>
              <w:bottom w:val="single" w:color="auto" w:sz="4" w:space="0"/>
              <w:right w:val="single" w:color="auto" w:sz="4" w:space="0"/>
            </w:tcBorders>
            <w:vAlign w:val="bottom"/>
          </w:tcPr>
          <w:p w14:paraId="2E812F25">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636" w:type="dxa"/>
            <w:tcBorders>
              <w:top w:val="nil"/>
              <w:left w:val="nil"/>
              <w:bottom w:val="single" w:color="auto" w:sz="4" w:space="0"/>
              <w:right w:val="single" w:color="auto" w:sz="4" w:space="0"/>
            </w:tcBorders>
            <w:vAlign w:val="bottom"/>
          </w:tcPr>
          <w:p w14:paraId="3C01E09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300≤Y＜6000</w:t>
            </w:r>
          </w:p>
        </w:tc>
        <w:tc>
          <w:tcPr>
            <w:tcW w:w="1520" w:type="dxa"/>
            <w:tcBorders>
              <w:top w:val="nil"/>
              <w:left w:val="nil"/>
              <w:bottom w:val="single" w:color="auto" w:sz="4" w:space="0"/>
              <w:right w:val="single" w:color="auto" w:sz="8" w:space="0"/>
            </w:tcBorders>
            <w:vAlign w:val="bottom"/>
          </w:tcPr>
          <w:p w14:paraId="488D5738">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300≤Z＜5000</w:t>
            </w:r>
          </w:p>
        </w:tc>
        <w:tc>
          <w:tcPr>
            <w:tcW w:w="1285" w:type="dxa"/>
            <w:tcBorders>
              <w:top w:val="nil"/>
              <w:left w:val="nil"/>
              <w:bottom w:val="single" w:color="auto" w:sz="4" w:space="0"/>
              <w:right w:val="single" w:color="auto" w:sz="4" w:space="0"/>
            </w:tcBorders>
            <w:vAlign w:val="bottom"/>
          </w:tcPr>
          <w:p w14:paraId="13F3AF2D">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275" w:type="dxa"/>
            <w:tcBorders>
              <w:top w:val="nil"/>
              <w:left w:val="nil"/>
              <w:bottom w:val="single" w:color="auto" w:sz="4" w:space="0"/>
              <w:right w:val="single" w:color="auto" w:sz="4" w:space="0"/>
            </w:tcBorders>
            <w:vAlign w:val="bottom"/>
          </w:tcPr>
          <w:p w14:paraId="3588DDE0">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Y＜300</w:t>
            </w:r>
          </w:p>
        </w:tc>
        <w:tc>
          <w:tcPr>
            <w:tcW w:w="1221" w:type="dxa"/>
            <w:tcBorders>
              <w:top w:val="nil"/>
              <w:left w:val="nil"/>
              <w:bottom w:val="single" w:color="auto" w:sz="4" w:space="0"/>
              <w:right w:val="single" w:color="auto" w:sz="8" w:space="0"/>
            </w:tcBorders>
            <w:vAlign w:val="bottom"/>
          </w:tcPr>
          <w:p w14:paraId="6BD4A0AF">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Z＜300</w:t>
            </w:r>
          </w:p>
        </w:tc>
      </w:tr>
      <w:tr w14:paraId="51F5A744">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1BB1AE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4、批发业</w:t>
            </w:r>
          </w:p>
        </w:tc>
        <w:tc>
          <w:tcPr>
            <w:tcW w:w="1498" w:type="dxa"/>
            <w:tcBorders>
              <w:top w:val="nil"/>
              <w:left w:val="nil"/>
              <w:bottom w:val="single" w:color="auto" w:sz="4" w:space="0"/>
              <w:right w:val="single" w:color="auto" w:sz="4" w:space="0"/>
            </w:tcBorders>
            <w:vAlign w:val="bottom"/>
          </w:tcPr>
          <w:p w14:paraId="285E36B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20≤X＜200</w:t>
            </w:r>
          </w:p>
        </w:tc>
        <w:tc>
          <w:tcPr>
            <w:tcW w:w="1763" w:type="dxa"/>
            <w:tcBorders>
              <w:top w:val="nil"/>
              <w:left w:val="nil"/>
              <w:bottom w:val="single" w:color="auto" w:sz="4" w:space="0"/>
              <w:right w:val="single" w:color="auto" w:sz="4" w:space="0"/>
            </w:tcBorders>
            <w:vAlign w:val="bottom"/>
          </w:tcPr>
          <w:p w14:paraId="7704D0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5000≤Y＜40000</w:t>
            </w:r>
          </w:p>
        </w:tc>
        <w:tc>
          <w:tcPr>
            <w:tcW w:w="1660" w:type="dxa"/>
            <w:tcBorders>
              <w:top w:val="nil"/>
              <w:left w:val="nil"/>
              <w:bottom w:val="single" w:color="auto" w:sz="4" w:space="0"/>
              <w:right w:val="single" w:color="auto" w:sz="8" w:space="0"/>
            </w:tcBorders>
            <w:vAlign w:val="bottom"/>
          </w:tcPr>
          <w:p w14:paraId="37266DB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527BF0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5≤X＜20</w:t>
            </w:r>
          </w:p>
        </w:tc>
        <w:tc>
          <w:tcPr>
            <w:tcW w:w="1636" w:type="dxa"/>
            <w:tcBorders>
              <w:top w:val="nil"/>
              <w:left w:val="nil"/>
              <w:bottom w:val="single" w:color="auto" w:sz="4" w:space="0"/>
              <w:right w:val="single" w:color="auto" w:sz="4" w:space="0"/>
            </w:tcBorders>
            <w:vAlign w:val="bottom"/>
          </w:tcPr>
          <w:p w14:paraId="0A37EF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520" w:type="dxa"/>
            <w:tcBorders>
              <w:top w:val="nil"/>
              <w:left w:val="nil"/>
              <w:bottom w:val="single" w:color="auto" w:sz="4" w:space="0"/>
              <w:right w:val="single" w:color="auto" w:sz="8" w:space="0"/>
            </w:tcBorders>
            <w:vAlign w:val="bottom"/>
          </w:tcPr>
          <w:p w14:paraId="514C21C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E96A6F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X＜5</w:t>
            </w:r>
          </w:p>
        </w:tc>
        <w:tc>
          <w:tcPr>
            <w:tcW w:w="1275" w:type="dxa"/>
            <w:tcBorders>
              <w:top w:val="nil"/>
              <w:left w:val="nil"/>
              <w:bottom w:val="single" w:color="auto" w:sz="4" w:space="0"/>
              <w:right w:val="single" w:color="auto" w:sz="4" w:space="0"/>
            </w:tcBorders>
            <w:vAlign w:val="bottom"/>
          </w:tcPr>
          <w:p w14:paraId="640638C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Y＜1000</w:t>
            </w:r>
          </w:p>
        </w:tc>
        <w:tc>
          <w:tcPr>
            <w:tcW w:w="1221" w:type="dxa"/>
            <w:tcBorders>
              <w:top w:val="nil"/>
              <w:left w:val="nil"/>
              <w:bottom w:val="single" w:color="auto" w:sz="4" w:space="0"/>
              <w:right w:val="single" w:color="auto" w:sz="8" w:space="0"/>
            </w:tcBorders>
            <w:vAlign w:val="bottom"/>
          </w:tcPr>
          <w:p w14:paraId="4D50A66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D6258B5">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F82AA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5、零售业</w:t>
            </w:r>
          </w:p>
        </w:tc>
        <w:tc>
          <w:tcPr>
            <w:tcW w:w="1498" w:type="dxa"/>
            <w:tcBorders>
              <w:top w:val="nil"/>
              <w:left w:val="nil"/>
              <w:bottom w:val="single" w:color="auto" w:sz="4" w:space="0"/>
              <w:right w:val="single" w:color="auto" w:sz="4" w:space="0"/>
            </w:tcBorders>
            <w:vAlign w:val="bottom"/>
          </w:tcPr>
          <w:p w14:paraId="5CAC2ED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50≤X＜300</w:t>
            </w:r>
          </w:p>
        </w:tc>
        <w:tc>
          <w:tcPr>
            <w:tcW w:w="1763" w:type="dxa"/>
            <w:tcBorders>
              <w:top w:val="nil"/>
              <w:left w:val="nil"/>
              <w:bottom w:val="single" w:color="auto" w:sz="4" w:space="0"/>
              <w:right w:val="single" w:color="auto" w:sz="4" w:space="0"/>
            </w:tcBorders>
            <w:vAlign w:val="bottom"/>
          </w:tcPr>
          <w:p w14:paraId="7B5C91A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362ABE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27FF9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10≤X＜50</w:t>
            </w:r>
          </w:p>
        </w:tc>
        <w:tc>
          <w:tcPr>
            <w:tcW w:w="1636" w:type="dxa"/>
            <w:tcBorders>
              <w:top w:val="nil"/>
              <w:left w:val="nil"/>
              <w:bottom w:val="single" w:color="auto" w:sz="4" w:space="0"/>
              <w:right w:val="single" w:color="auto" w:sz="4" w:space="0"/>
            </w:tcBorders>
            <w:vAlign w:val="bottom"/>
          </w:tcPr>
          <w:p w14:paraId="691217C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100≤Y＜500</w:t>
            </w:r>
          </w:p>
        </w:tc>
        <w:tc>
          <w:tcPr>
            <w:tcW w:w="1520" w:type="dxa"/>
            <w:tcBorders>
              <w:top w:val="nil"/>
              <w:left w:val="nil"/>
              <w:bottom w:val="single" w:color="auto" w:sz="4" w:space="0"/>
              <w:right w:val="single" w:color="auto" w:sz="8" w:space="0"/>
            </w:tcBorders>
            <w:vAlign w:val="bottom"/>
          </w:tcPr>
          <w:p w14:paraId="7EEF5E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00EAE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145249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B6138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B3ED1CC">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F781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6、交通运输业</w:t>
            </w:r>
          </w:p>
        </w:tc>
        <w:tc>
          <w:tcPr>
            <w:tcW w:w="1498" w:type="dxa"/>
            <w:tcBorders>
              <w:top w:val="nil"/>
              <w:left w:val="nil"/>
              <w:bottom w:val="single" w:color="auto" w:sz="4" w:space="0"/>
              <w:right w:val="single" w:color="auto" w:sz="4" w:space="0"/>
            </w:tcBorders>
            <w:vAlign w:val="bottom"/>
          </w:tcPr>
          <w:p w14:paraId="779F4E5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B535A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3000≤Y＜30000</w:t>
            </w:r>
          </w:p>
        </w:tc>
        <w:tc>
          <w:tcPr>
            <w:tcW w:w="1660" w:type="dxa"/>
            <w:tcBorders>
              <w:top w:val="nil"/>
              <w:left w:val="nil"/>
              <w:bottom w:val="single" w:color="auto" w:sz="4" w:space="0"/>
              <w:right w:val="single" w:color="auto" w:sz="8" w:space="0"/>
            </w:tcBorders>
            <w:vAlign w:val="bottom"/>
          </w:tcPr>
          <w:p w14:paraId="699E8A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9B05D0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609F6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200≤Y＜3000</w:t>
            </w:r>
          </w:p>
        </w:tc>
        <w:tc>
          <w:tcPr>
            <w:tcW w:w="1520" w:type="dxa"/>
            <w:tcBorders>
              <w:top w:val="nil"/>
              <w:left w:val="nil"/>
              <w:bottom w:val="single" w:color="auto" w:sz="4" w:space="0"/>
              <w:right w:val="single" w:color="auto" w:sz="8" w:space="0"/>
            </w:tcBorders>
            <w:vAlign w:val="bottom"/>
          </w:tcPr>
          <w:p w14:paraId="3D248F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63B75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128314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V＜200</w:t>
            </w:r>
          </w:p>
        </w:tc>
        <w:tc>
          <w:tcPr>
            <w:tcW w:w="1221" w:type="dxa"/>
            <w:tcBorders>
              <w:top w:val="nil"/>
              <w:left w:val="nil"/>
              <w:bottom w:val="single" w:color="auto" w:sz="4" w:space="0"/>
              <w:right w:val="single" w:color="auto" w:sz="8" w:space="0"/>
            </w:tcBorders>
            <w:vAlign w:val="bottom"/>
          </w:tcPr>
          <w:p w14:paraId="69DD3A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5962E8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0A8FC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7、仓储业</w:t>
            </w:r>
          </w:p>
        </w:tc>
        <w:tc>
          <w:tcPr>
            <w:tcW w:w="1498" w:type="dxa"/>
            <w:tcBorders>
              <w:top w:val="nil"/>
              <w:left w:val="nil"/>
              <w:bottom w:val="single" w:color="auto" w:sz="4" w:space="0"/>
              <w:right w:val="single" w:color="auto" w:sz="4" w:space="0"/>
            </w:tcBorders>
            <w:vAlign w:val="bottom"/>
          </w:tcPr>
          <w:p w14:paraId="56E0262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w:t>
            </w:r>
          </w:p>
        </w:tc>
        <w:tc>
          <w:tcPr>
            <w:tcW w:w="1763" w:type="dxa"/>
            <w:tcBorders>
              <w:top w:val="nil"/>
              <w:left w:val="nil"/>
              <w:bottom w:val="single" w:color="auto" w:sz="4" w:space="0"/>
              <w:right w:val="single" w:color="auto" w:sz="4" w:space="0"/>
            </w:tcBorders>
            <w:vAlign w:val="bottom"/>
          </w:tcPr>
          <w:p w14:paraId="787D47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1000≤Y＜30000</w:t>
            </w:r>
          </w:p>
        </w:tc>
        <w:tc>
          <w:tcPr>
            <w:tcW w:w="1660" w:type="dxa"/>
            <w:tcBorders>
              <w:top w:val="nil"/>
              <w:left w:val="nil"/>
              <w:bottom w:val="single" w:color="auto" w:sz="4" w:space="0"/>
              <w:right w:val="single" w:color="auto" w:sz="8" w:space="0"/>
            </w:tcBorders>
            <w:vAlign w:val="bottom"/>
          </w:tcPr>
          <w:p w14:paraId="7817A20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93C4C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20≤X＜100</w:t>
            </w:r>
          </w:p>
        </w:tc>
        <w:tc>
          <w:tcPr>
            <w:tcW w:w="1636" w:type="dxa"/>
            <w:tcBorders>
              <w:top w:val="nil"/>
              <w:left w:val="nil"/>
              <w:bottom w:val="single" w:color="auto" w:sz="4" w:space="0"/>
              <w:right w:val="single" w:color="auto" w:sz="4" w:space="0"/>
            </w:tcBorders>
            <w:vAlign w:val="bottom"/>
          </w:tcPr>
          <w:p w14:paraId="56B05D1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66419B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93512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4E49A7D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6A18D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1F72AA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74A3AD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8、邮政业</w:t>
            </w:r>
          </w:p>
        </w:tc>
        <w:tc>
          <w:tcPr>
            <w:tcW w:w="1498" w:type="dxa"/>
            <w:tcBorders>
              <w:top w:val="nil"/>
              <w:left w:val="nil"/>
              <w:bottom w:val="single" w:color="auto" w:sz="4" w:space="0"/>
              <w:right w:val="single" w:color="auto" w:sz="4" w:space="0"/>
            </w:tcBorders>
            <w:vAlign w:val="bottom"/>
          </w:tcPr>
          <w:p w14:paraId="700BAB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1EA5A6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2000≤Y＜30000</w:t>
            </w:r>
          </w:p>
        </w:tc>
        <w:tc>
          <w:tcPr>
            <w:tcW w:w="1660" w:type="dxa"/>
            <w:tcBorders>
              <w:top w:val="nil"/>
              <w:left w:val="nil"/>
              <w:bottom w:val="single" w:color="auto" w:sz="4" w:space="0"/>
              <w:right w:val="single" w:color="auto" w:sz="8" w:space="0"/>
            </w:tcBorders>
            <w:vAlign w:val="bottom"/>
          </w:tcPr>
          <w:p w14:paraId="5A2475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D79C61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1C5B76D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81B06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E89200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69D3236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86CA7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0C417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6FCDF5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9、住宿业</w:t>
            </w:r>
          </w:p>
        </w:tc>
        <w:tc>
          <w:tcPr>
            <w:tcW w:w="1498" w:type="dxa"/>
            <w:tcBorders>
              <w:top w:val="nil"/>
              <w:left w:val="nil"/>
              <w:bottom w:val="single" w:color="auto" w:sz="4" w:space="0"/>
              <w:right w:val="single" w:color="auto" w:sz="4" w:space="0"/>
            </w:tcBorders>
            <w:vAlign w:val="bottom"/>
          </w:tcPr>
          <w:p w14:paraId="7D2413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4F6AF1D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3ECD4E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B070A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5840D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AE6989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5B5A500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738E503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0EA1C9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9604F0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639313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10、餐饮业</w:t>
            </w:r>
          </w:p>
        </w:tc>
        <w:tc>
          <w:tcPr>
            <w:tcW w:w="1498" w:type="dxa"/>
            <w:tcBorders>
              <w:top w:val="nil"/>
              <w:left w:val="nil"/>
              <w:bottom w:val="single" w:color="auto" w:sz="4" w:space="0"/>
              <w:right w:val="single" w:color="auto" w:sz="4" w:space="0"/>
            </w:tcBorders>
            <w:vAlign w:val="bottom"/>
          </w:tcPr>
          <w:p w14:paraId="56315F3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7CEBF3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168A28A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E400C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3DE49B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6F5C15C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13C31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26E275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V＜100</w:t>
            </w:r>
          </w:p>
        </w:tc>
        <w:tc>
          <w:tcPr>
            <w:tcW w:w="1221" w:type="dxa"/>
            <w:tcBorders>
              <w:top w:val="nil"/>
              <w:left w:val="nil"/>
              <w:bottom w:val="single" w:color="auto" w:sz="4" w:space="0"/>
              <w:right w:val="single" w:color="auto" w:sz="8" w:space="0"/>
            </w:tcBorders>
            <w:vAlign w:val="bottom"/>
          </w:tcPr>
          <w:p w14:paraId="2DA6230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5E15D17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79665E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11、信息传输业</w:t>
            </w:r>
          </w:p>
        </w:tc>
        <w:tc>
          <w:tcPr>
            <w:tcW w:w="1498" w:type="dxa"/>
            <w:tcBorders>
              <w:top w:val="nil"/>
              <w:left w:val="nil"/>
              <w:bottom w:val="single" w:color="auto" w:sz="4" w:space="0"/>
              <w:right w:val="single" w:color="auto" w:sz="4" w:space="0"/>
            </w:tcBorders>
            <w:vAlign w:val="bottom"/>
          </w:tcPr>
          <w:p w14:paraId="17CB01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100≤X＜2000</w:t>
            </w:r>
          </w:p>
        </w:tc>
        <w:tc>
          <w:tcPr>
            <w:tcW w:w="1763" w:type="dxa"/>
            <w:tcBorders>
              <w:top w:val="nil"/>
              <w:left w:val="nil"/>
              <w:bottom w:val="single" w:color="auto" w:sz="4" w:space="0"/>
              <w:right w:val="single" w:color="auto" w:sz="4" w:space="0"/>
            </w:tcBorders>
            <w:vAlign w:val="bottom"/>
          </w:tcPr>
          <w:p w14:paraId="6BD303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1000≤Y＜100000</w:t>
            </w:r>
          </w:p>
        </w:tc>
        <w:tc>
          <w:tcPr>
            <w:tcW w:w="1660" w:type="dxa"/>
            <w:tcBorders>
              <w:top w:val="nil"/>
              <w:left w:val="nil"/>
              <w:bottom w:val="single" w:color="auto" w:sz="4" w:space="0"/>
              <w:right w:val="single" w:color="auto" w:sz="8" w:space="0"/>
            </w:tcBorders>
            <w:vAlign w:val="bottom"/>
          </w:tcPr>
          <w:p w14:paraId="479B914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CF78AC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2E79206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5A9DB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C2F03B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DA0B2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D52241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9DAF85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D548DE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5"/>
              </w:rPr>
              <w:t>12、软件和信息技术服务业</w:t>
            </w:r>
          </w:p>
        </w:tc>
        <w:tc>
          <w:tcPr>
            <w:tcW w:w="1498" w:type="dxa"/>
            <w:tcBorders>
              <w:top w:val="nil"/>
              <w:left w:val="nil"/>
              <w:bottom w:val="single" w:color="auto" w:sz="4" w:space="0"/>
              <w:right w:val="single" w:color="auto" w:sz="4" w:space="0"/>
            </w:tcBorders>
            <w:vAlign w:val="bottom"/>
          </w:tcPr>
          <w:p w14:paraId="32EB34B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08465AA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w:t>
            </w:r>
          </w:p>
        </w:tc>
        <w:tc>
          <w:tcPr>
            <w:tcW w:w="1660" w:type="dxa"/>
            <w:tcBorders>
              <w:top w:val="nil"/>
              <w:left w:val="nil"/>
              <w:bottom w:val="single" w:color="auto" w:sz="4" w:space="0"/>
              <w:right w:val="single" w:color="auto" w:sz="8" w:space="0"/>
            </w:tcBorders>
            <w:vAlign w:val="bottom"/>
          </w:tcPr>
          <w:p w14:paraId="0D2520F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C93A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0054A5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50≤Y＜1000</w:t>
            </w:r>
          </w:p>
        </w:tc>
        <w:tc>
          <w:tcPr>
            <w:tcW w:w="1520" w:type="dxa"/>
            <w:tcBorders>
              <w:top w:val="nil"/>
              <w:left w:val="nil"/>
              <w:bottom w:val="single" w:color="auto" w:sz="4" w:space="0"/>
              <w:right w:val="single" w:color="auto" w:sz="8" w:space="0"/>
            </w:tcBorders>
            <w:vAlign w:val="bottom"/>
          </w:tcPr>
          <w:p w14:paraId="5718348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413CA6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515CEFB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312DF9D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7D23AAB">
        <w:tblPrEx>
          <w:tblCellMar>
            <w:top w:w="0" w:type="dxa"/>
            <w:left w:w="108" w:type="dxa"/>
            <w:bottom w:w="0" w:type="dxa"/>
            <w:right w:w="108" w:type="dxa"/>
          </w:tblCellMar>
        </w:tblPrEx>
        <w:trPr>
          <w:trHeight w:val="117" w:hRule="atLeast"/>
        </w:trPr>
        <w:tc>
          <w:tcPr>
            <w:tcW w:w="1985" w:type="dxa"/>
            <w:tcBorders>
              <w:top w:val="nil"/>
              <w:left w:val="single" w:color="auto" w:sz="8" w:space="0"/>
              <w:bottom w:val="single" w:color="auto" w:sz="4" w:space="0"/>
              <w:right w:val="single" w:color="auto" w:sz="8" w:space="0"/>
            </w:tcBorders>
            <w:vAlign w:val="bottom"/>
          </w:tcPr>
          <w:p w14:paraId="18D0B1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13、房地产开发经营</w:t>
            </w:r>
          </w:p>
        </w:tc>
        <w:tc>
          <w:tcPr>
            <w:tcW w:w="1498" w:type="dxa"/>
            <w:tcBorders>
              <w:top w:val="nil"/>
              <w:left w:val="nil"/>
              <w:bottom w:val="single" w:color="auto" w:sz="4" w:space="0"/>
              <w:right w:val="single" w:color="auto" w:sz="4" w:space="0"/>
            </w:tcBorders>
            <w:vAlign w:val="bottom"/>
          </w:tcPr>
          <w:p w14:paraId="2ABA676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0754A8D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1000≤Y＜200000</w:t>
            </w:r>
          </w:p>
        </w:tc>
        <w:tc>
          <w:tcPr>
            <w:tcW w:w="1660" w:type="dxa"/>
            <w:tcBorders>
              <w:top w:val="nil"/>
              <w:left w:val="nil"/>
              <w:bottom w:val="single" w:color="auto" w:sz="4" w:space="0"/>
              <w:right w:val="single" w:color="auto" w:sz="8" w:space="0"/>
            </w:tcBorders>
            <w:vAlign w:val="bottom"/>
          </w:tcPr>
          <w:p w14:paraId="481DC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5000≤Z＜10000</w:t>
            </w:r>
          </w:p>
        </w:tc>
        <w:tc>
          <w:tcPr>
            <w:tcW w:w="1240" w:type="dxa"/>
            <w:tcBorders>
              <w:top w:val="nil"/>
              <w:left w:val="nil"/>
              <w:bottom w:val="single" w:color="auto" w:sz="4" w:space="0"/>
              <w:right w:val="single" w:color="auto" w:sz="4" w:space="0"/>
            </w:tcBorders>
            <w:vAlign w:val="bottom"/>
          </w:tcPr>
          <w:p w14:paraId="5BC98C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3FA159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76FA24F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2000≤Z＜5000</w:t>
            </w:r>
          </w:p>
        </w:tc>
        <w:tc>
          <w:tcPr>
            <w:tcW w:w="1285" w:type="dxa"/>
            <w:tcBorders>
              <w:top w:val="nil"/>
              <w:left w:val="nil"/>
              <w:bottom w:val="single" w:color="auto" w:sz="4" w:space="0"/>
              <w:right w:val="single" w:color="auto" w:sz="4" w:space="0"/>
            </w:tcBorders>
            <w:vAlign w:val="bottom"/>
          </w:tcPr>
          <w:p w14:paraId="6ADE937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5D9FD0E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78B5CFE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Z＜2000</w:t>
            </w:r>
          </w:p>
        </w:tc>
      </w:tr>
      <w:tr w14:paraId="52D79202">
        <w:tblPrEx>
          <w:tblCellMar>
            <w:top w:w="0" w:type="dxa"/>
            <w:left w:w="108" w:type="dxa"/>
            <w:bottom w:w="0" w:type="dxa"/>
            <w:right w:w="108" w:type="dxa"/>
          </w:tblCellMar>
        </w:tblPrEx>
        <w:trPr>
          <w:trHeight w:val="285" w:hRule="atLeast"/>
        </w:trPr>
        <w:tc>
          <w:tcPr>
            <w:tcW w:w="1985" w:type="dxa"/>
            <w:tcBorders>
              <w:top w:val="nil"/>
              <w:left w:val="single" w:color="auto" w:sz="8" w:space="0"/>
              <w:bottom w:val="single" w:color="auto" w:sz="4" w:space="0"/>
              <w:right w:val="single" w:color="auto" w:sz="8" w:space="0"/>
            </w:tcBorders>
            <w:vAlign w:val="bottom"/>
          </w:tcPr>
          <w:p w14:paraId="5FEB18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14、物业管理</w:t>
            </w:r>
          </w:p>
        </w:tc>
        <w:tc>
          <w:tcPr>
            <w:tcW w:w="1498" w:type="dxa"/>
            <w:tcBorders>
              <w:top w:val="nil"/>
              <w:left w:val="nil"/>
              <w:bottom w:val="single" w:color="auto" w:sz="4" w:space="0"/>
              <w:right w:val="single" w:color="auto" w:sz="4" w:space="0"/>
            </w:tcBorders>
            <w:vAlign w:val="bottom"/>
          </w:tcPr>
          <w:p w14:paraId="1D3DD8E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00493B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660" w:type="dxa"/>
            <w:tcBorders>
              <w:top w:val="nil"/>
              <w:left w:val="nil"/>
              <w:bottom w:val="single" w:color="auto" w:sz="4" w:space="0"/>
              <w:right w:val="single" w:color="auto" w:sz="8" w:space="0"/>
            </w:tcBorders>
            <w:vAlign w:val="bottom"/>
          </w:tcPr>
          <w:p w14:paraId="146C96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5B55D31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636" w:type="dxa"/>
            <w:tcBorders>
              <w:top w:val="nil"/>
              <w:left w:val="nil"/>
              <w:bottom w:val="single" w:color="auto" w:sz="4" w:space="0"/>
              <w:right w:val="single" w:color="auto" w:sz="4" w:space="0"/>
            </w:tcBorders>
            <w:vAlign w:val="bottom"/>
          </w:tcPr>
          <w:p w14:paraId="60B4A19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500≤Y＜1000</w:t>
            </w:r>
          </w:p>
        </w:tc>
        <w:tc>
          <w:tcPr>
            <w:tcW w:w="1520" w:type="dxa"/>
            <w:tcBorders>
              <w:top w:val="nil"/>
              <w:left w:val="nil"/>
              <w:bottom w:val="single" w:color="auto" w:sz="4" w:space="0"/>
              <w:right w:val="single" w:color="auto" w:sz="8" w:space="0"/>
            </w:tcBorders>
            <w:vAlign w:val="bottom"/>
          </w:tcPr>
          <w:p w14:paraId="66715B5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008362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X＜100</w:t>
            </w:r>
          </w:p>
        </w:tc>
        <w:tc>
          <w:tcPr>
            <w:tcW w:w="1275" w:type="dxa"/>
            <w:tcBorders>
              <w:top w:val="nil"/>
              <w:left w:val="nil"/>
              <w:bottom w:val="single" w:color="auto" w:sz="4" w:space="0"/>
              <w:right w:val="single" w:color="auto" w:sz="4" w:space="0"/>
            </w:tcBorders>
            <w:vAlign w:val="bottom"/>
          </w:tcPr>
          <w:p w14:paraId="7E85DF9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Y＜500</w:t>
            </w:r>
          </w:p>
        </w:tc>
        <w:tc>
          <w:tcPr>
            <w:tcW w:w="1221" w:type="dxa"/>
            <w:tcBorders>
              <w:top w:val="nil"/>
              <w:left w:val="nil"/>
              <w:bottom w:val="single" w:color="auto" w:sz="4" w:space="0"/>
              <w:right w:val="single" w:color="auto" w:sz="8" w:space="0"/>
            </w:tcBorders>
            <w:vAlign w:val="bottom"/>
          </w:tcPr>
          <w:p w14:paraId="03DD666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F27AB1A">
        <w:tblPrEx>
          <w:tblCellMar>
            <w:top w:w="0" w:type="dxa"/>
            <w:left w:w="108" w:type="dxa"/>
            <w:bottom w:w="0" w:type="dxa"/>
            <w:right w:w="108" w:type="dxa"/>
          </w:tblCellMar>
        </w:tblPrEx>
        <w:trPr>
          <w:trHeight w:val="191" w:hRule="atLeast"/>
        </w:trPr>
        <w:tc>
          <w:tcPr>
            <w:tcW w:w="1985" w:type="dxa"/>
            <w:tcBorders>
              <w:top w:val="nil"/>
              <w:left w:val="single" w:color="auto" w:sz="8" w:space="0"/>
              <w:bottom w:val="single" w:color="auto" w:sz="4" w:space="0"/>
              <w:right w:val="single" w:color="auto" w:sz="8" w:space="0"/>
            </w:tcBorders>
            <w:vAlign w:val="bottom"/>
          </w:tcPr>
          <w:p w14:paraId="053574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15、租赁和商务服务业</w:t>
            </w:r>
          </w:p>
        </w:tc>
        <w:tc>
          <w:tcPr>
            <w:tcW w:w="1498" w:type="dxa"/>
            <w:tcBorders>
              <w:top w:val="nil"/>
              <w:left w:val="nil"/>
              <w:bottom w:val="single" w:color="auto" w:sz="4" w:space="0"/>
              <w:right w:val="single" w:color="auto" w:sz="4" w:space="0"/>
            </w:tcBorders>
            <w:vAlign w:val="bottom"/>
          </w:tcPr>
          <w:p w14:paraId="569480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39298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4" w:space="0"/>
              <w:right w:val="single" w:color="auto" w:sz="8" w:space="0"/>
            </w:tcBorders>
            <w:vAlign w:val="bottom"/>
          </w:tcPr>
          <w:p w14:paraId="4ABF1EE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8000≤Z＜120000</w:t>
            </w:r>
          </w:p>
        </w:tc>
        <w:tc>
          <w:tcPr>
            <w:tcW w:w="1240" w:type="dxa"/>
            <w:tcBorders>
              <w:top w:val="nil"/>
              <w:left w:val="nil"/>
              <w:bottom w:val="single" w:color="auto" w:sz="4" w:space="0"/>
              <w:right w:val="single" w:color="auto" w:sz="4" w:space="0"/>
            </w:tcBorders>
            <w:vAlign w:val="bottom"/>
          </w:tcPr>
          <w:p w14:paraId="246E94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D777FF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4" w:space="0"/>
              <w:right w:val="single" w:color="auto" w:sz="8" w:space="0"/>
            </w:tcBorders>
            <w:vAlign w:val="bottom"/>
          </w:tcPr>
          <w:p w14:paraId="45BE253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100≤Z＜8000</w:t>
            </w:r>
          </w:p>
        </w:tc>
        <w:tc>
          <w:tcPr>
            <w:tcW w:w="1285" w:type="dxa"/>
            <w:tcBorders>
              <w:top w:val="nil"/>
              <w:left w:val="nil"/>
              <w:bottom w:val="single" w:color="auto" w:sz="4" w:space="0"/>
              <w:right w:val="single" w:color="auto" w:sz="4" w:space="0"/>
            </w:tcBorders>
            <w:vAlign w:val="bottom"/>
          </w:tcPr>
          <w:p w14:paraId="68F05E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C10C9D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4" w:space="0"/>
              <w:right w:val="single" w:color="auto" w:sz="8" w:space="0"/>
            </w:tcBorders>
            <w:vAlign w:val="bottom"/>
          </w:tcPr>
          <w:p w14:paraId="59B7E0D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Z＜100</w:t>
            </w:r>
          </w:p>
        </w:tc>
      </w:tr>
      <w:tr w14:paraId="6ADE38AD">
        <w:tblPrEx>
          <w:tblCellMar>
            <w:top w:w="0" w:type="dxa"/>
            <w:left w:w="108" w:type="dxa"/>
            <w:bottom w:w="0" w:type="dxa"/>
            <w:right w:w="108" w:type="dxa"/>
          </w:tblCellMar>
        </w:tblPrEx>
        <w:trPr>
          <w:trHeight w:val="164" w:hRule="atLeast"/>
        </w:trPr>
        <w:tc>
          <w:tcPr>
            <w:tcW w:w="1985" w:type="dxa"/>
            <w:tcBorders>
              <w:top w:val="nil"/>
              <w:left w:val="single" w:color="auto" w:sz="8" w:space="0"/>
              <w:bottom w:val="single" w:color="auto" w:sz="8" w:space="0"/>
              <w:right w:val="single" w:color="auto" w:sz="8" w:space="0"/>
            </w:tcBorders>
            <w:vAlign w:val="bottom"/>
          </w:tcPr>
          <w:p w14:paraId="40FDD05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16、其他未列明行业</w:t>
            </w:r>
          </w:p>
        </w:tc>
        <w:tc>
          <w:tcPr>
            <w:tcW w:w="1498" w:type="dxa"/>
            <w:tcBorders>
              <w:top w:val="nil"/>
              <w:left w:val="nil"/>
              <w:bottom w:val="single" w:color="auto" w:sz="8" w:space="0"/>
              <w:right w:val="single" w:color="auto" w:sz="4" w:space="0"/>
            </w:tcBorders>
            <w:vAlign w:val="bottom"/>
          </w:tcPr>
          <w:p w14:paraId="201341F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8" w:space="0"/>
              <w:right w:val="single" w:color="auto" w:sz="4" w:space="0"/>
            </w:tcBorders>
            <w:vAlign w:val="bottom"/>
          </w:tcPr>
          <w:p w14:paraId="69CB16A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8" w:space="0"/>
              <w:right w:val="single" w:color="auto" w:sz="8" w:space="0"/>
            </w:tcBorders>
            <w:vAlign w:val="bottom"/>
          </w:tcPr>
          <w:p w14:paraId="6986995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8" w:space="0"/>
              <w:right w:val="single" w:color="auto" w:sz="4" w:space="0"/>
            </w:tcBorders>
            <w:vAlign w:val="bottom"/>
          </w:tcPr>
          <w:p w14:paraId="43AB6B7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8" w:space="0"/>
              <w:right w:val="single" w:color="auto" w:sz="4" w:space="0"/>
            </w:tcBorders>
            <w:vAlign w:val="bottom"/>
          </w:tcPr>
          <w:p w14:paraId="57A80BA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8" w:space="0"/>
              <w:right w:val="single" w:color="auto" w:sz="8" w:space="0"/>
            </w:tcBorders>
            <w:vAlign w:val="bottom"/>
          </w:tcPr>
          <w:p w14:paraId="5354EFF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8" w:space="0"/>
              <w:right w:val="single" w:color="auto" w:sz="4" w:space="0"/>
            </w:tcBorders>
            <w:vAlign w:val="bottom"/>
          </w:tcPr>
          <w:p w14:paraId="2F890C7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8" w:space="0"/>
              <w:right w:val="single" w:color="auto" w:sz="4" w:space="0"/>
            </w:tcBorders>
            <w:vAlign w:val="bottom"/>
          </w:tcPr>
          <w:p w14:paraId="0DC22BC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8" w:space="0"/>
              <w:right w:val="single" w:color="auto" w:sz="8" w:space="0"/>
            </w:tcBorders>
            <w:vAlign w:val="bottom"/>
          </w:tcPr>
          <w:p w14:paraId="79B100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bl>
    <w:p w14:paraId="61748952">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6838" w:h="11906" w:orient="landscape"/>
          <w:pgMar w:top="1800" w:right="1440" w:bottom="1800" w:left="1440" w:header="851" w:footer="992" w:gutter="0"/>
          <w:cols w:space="425" w:num="1"/>
          <w:docGrid w:type="lines" w:linePitch="312" w:charSpace="0"/>
        </w:sectPr>
      </w:pPr>
    </w:p>
    <w:p w14:paraId="7A8C3314">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pPr>
    </w:p>
    <w:p w14:paraId="7B272887">
      <w:pPr>
        <w:keepNext w:val="0"/>
        <w:keepLines w:val="0"/>
        <w:pageBreakBefore w:val="0"/>
        <w:shd w:val="clear"/>
        <w:kinsoku/>
        <w:overflowPunct/>
        <w:topLinePunct w:val="0"/>
        <w:bidi w:val="0"/>
        <w:spacing w:line="360" w:lineRule="auto"/>
        <w:ind w:firstLine="643"/>
        <w:jc w:val="center"/>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4C91D208">
      <w:pPr>
        <w:keepNext w:val="0"/>
        <w:keepLines w:val="0"/>
        <w:pageBreakBefore w:val="0"/>
        <w:shd w:val="clear"/>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highlight w:val="none"/>
        </w:rPr>
      </w:pPr>
    </w:p>
    <w:p w14:paraId="3CEC452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97A6F77">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本单位对上述声明的真实性负责。如有虚假，将依法承担相应责任。</w:t>
      </w:r>
    </w:p>
    <w:p w14:paraId="31A48E3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p>
    <w:p w14:paraId="09A382B8">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p>
    <w:p w14:paraId="48FA78AD">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法定代表人或其授权委托人（签名或印章）：</w:t>
      </w:r>
    </w:p>
    <w:p w14:paraId="25B40363">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供应商（盖章）：</w:t>
      </w:r>
    </w:p>
    <w:p w14:paraId="457E3BC7">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日期：</w:t>
      </w:r>
    </w:p>
    <w:p w14:paraId="7482192C">
      <w:pPr>
        <w:keepNext w:val="0"/>
        <w:keepLines w:val="0"/>
        <w:pageBreakBefore w:val="0"/>
        <w:shd w:val="clear"/>
        <w:kinsoku/>
        <w:overflowPunct/>
        <w:topLinePunct w:val="0"/>
        <w:bidi w:val="0"/>
        <w:textAlignment w:val="auto"/>
        <w:outlineLvl w:val="9"/>
        <w:rPr>
          <w:rFonts w:asciiTheme="minorEastAsia" w:hAnsiTheme="minorEastAsia" w:eastAsiaTheme="minorEastAsia" w:cstheme="minorEastAsia"/>
          <w:b/>
          <w:color w:val="auto"/>
          <w:sz w:val="32"/>
          <w:szCs w:val="32"/>
          <w:highlight w:val="none"/>
        </w:rPr>
      </w:pPr>
      <w:r>
        <w:rPr>
          <w:rFonts w:asciiTheme="minorEastAsia" w:hAnsiTheme="minorEastAsia" w:eastAsiaTheme="minorEastAsia" w:cstheme="minorEastAsia"/>
          <w:b/>
          <w:color w:val="auto"/>
          <w:sz w:val="32"/>
          <w:szCs w:val="32"/>
          <w:highlight w:val="none"/>
        </w:rPr>
        <w:br w:type="page"/>
      </w:r>
    </w:p>
    <w:p w14:paraId="18FE28A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z w:val="32"/>
          <w:szCs w:val="32"/>
        </w:rPr>
        <w:t>四、残疾人福利性单位声明函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028D6D33">
      <w:pPr>
        <w:keepNext w:val="0"/>
        <w:keepLines w:val="0"/>
        <w:pageBreakBefore w:val="0"/>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rPr>
      </w:pPr>
    </w:p>
    <w:p w14:paraId="4A9FE81D">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9C87D6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本单位对上述声明的真实性负责。如有虚假，将依法承担相应责任。</w:t>
      </w:r>
    </w:p>
    <w:p w14:paraId="33175E88">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p>
    <w:p w14:paraId="2FB3482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06A54552">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949183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041B7BD">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747B49E">
      <w:pPr>
        <w:keepNext w:val="0"/>
        <w:keepLines w:val="0"/>
        <w:pageBreakBefore w:val="0"/>
        <w:kinsoku/>
        <w:overflowPunct/>
        <w:topLinePunct w:val="0"/>
        <w:bidi w:val="0"/>
        <w:spacing w:line="360" w:lineRule="auto"/>
        <w:ind w:firstLine="643" w:firstLineChars="200"/>
        <w:textAlignment w:val="auto"/>
        <w:outlineLvl w:val="9"/>
        <w:rPr>
          <w:rFonts w:asciiTheme="minorEastAsia" w:hAnsiTheme="minorEastAsia" w:eastAsiaTheme="minorEastAsia" w:cstheme="minorEastAsia"/>
          <w:b/>
          <w:color w:val="auto"/>
          <w:sz w:val="32"/>
          <w:szCs w:val="32"/>
        </w:rPr>
      </w:pPr>
    </w:p>
    <w:p w14:paraId="51ED8D3C">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p>
    <w:p w14:paraId="0AC20A01">
      <w:pPr>
        <w:keepNext w:val="0"/>
        <w:keepLines w:val="0"/>
        <w:pageBreakBefore w:val="0"/>
        <w:numPr>
          <w:ilvl w:val="0"/>
          <w:numId w:val="2"/>
        </w:numPr>
        <w:kinsoku/>
        <w:overflowPunct/>
        <w:topLinePunct w:val="0"/>
        <w:bidi w:val="0"/>
        <w:spacing w:line="360" w:lineRule="auto"/>
        <w:ind w:firstLine="667"/>
        <w:jc w:val="center"/>
        <w:textAlignment w:val="auto"/>
        <w:outlineLvl w:val="9"/>
        <w:rPr>
          <w:rFonts w:asciiTheme="minorEastAsia" w:hAnsiTheme="minorEastAsia" w:eastAsiaTheme="minorEastAsia" w:cstheme="minorEastAsia"/>
          <w:b/>
          <w:color w:val="auto"/>
          <w:spacing w:val="6"/>
          <w:sz w:val="32"/>
          <w:szCs w:val="32"/>
        </w:rPr>
      </w:pPr>
      <w:r>
        <w:rPr>
          <w:rFonts w:hint="eastAsia" w:asciiTheme="minorEastAsia" w:hAnsiTheme="minorEastAsia" w:eastAsiaTheme="minorEastAsia" w:cstheme="minorEastAsia"/>
          <w:b/>
          <w:color w:val="auto"/>
          <w:spacing w:val="6"/>
          <w:sz w:val="32"/>
          <w:szCs w:val="32"/>
        </w:rPr>
        <w:br w:type="page"/>
      </w:r>
      <w:r>
        <w:rPr>
          <w:rFonts w:hint="eastAsia" w:asciiTheme="minorEastAsia" w:hAnsiTheme="minorEastAsia" w:eastAsiaTheme="minorEastAsia" w:cstheme="minorEastAsia"/>
          <w:b/>
          <w:color w:val="auto"/>
          <w:spacing w:val="6"/>
          <w:sz w:val="32"/>
          <w:szCs w:val="32"/>
        </w:rPr>
        <w:t>采购统计基础信息表</w:t>
      </w:r>
    </w:p>
    <w:p w14:paraId="4A1BC7BD">
      <w:pPr>
        <w:pStyle w:val="34"/>
        <w:keepNext w:val="0"/>
        <w:keepLines w:val="0"/>
        <w:pageBreakBefore w:val="0"/>
        <w:kinsoku/>
        <w:overflowPunct/>
        <w:topLinePunct w:val="0"/>
        <w:bidi w:val="0"/>
        <w:spacing w:line="360" w:lineRule="auto"/>
        <w:ind w:firstLine="0" w:firstLineChars="0"/>
        <w:textAlignment w:val="auto"/>
        <w:outlineLvl w:val="9"/>
        <w:rPr>
          <w:rFonts w:asciiTheme="minorEastAsia" w:hAnsiTheme="minorEastAsia" w:eastAsiaTheme="minorEastAsia" w:cstheme="minorEastAsia"/>
          <w:color w:val="auto"/>
        </w:rPr>
      </w:pPr>
    </w:p>
    <w:tbl>
      <w:tblPr>
        <w:tblStyle w:val="26"/>
        <w:tblW w:w="8537" w:type="dxa"/>
        <w:jc w:val="center"/>
        <w:tblLayout w:type="fixed"/>
        <w:tblCellMar>
          <w:top w:w="0" w:type="dxa"/>
          <w:left w:w="108" w:type="dxa"/>
          <w:bottom w:w="0" w:type="dxa"/>
          <w:right w:w="108" w:type="dxa"/>
        </w:tblCellMar>
      </w:tblPr>
      <w:tblGrid>
        <w:gridCol w:w="4998"/>
        <w:gridCol w:w="3539"/>
      </w:tblGrid>
      <w:tr w14:paraId="271D37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5DC9604">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采购人及采购项目名称</w:t>
            </w:r>
          </w:p>
        </w:tc>
        <w:tc>
          <w:tcPr>
            <w:tcW w:w="3539" w:type="dxa"/>
            <w:tcBorders>
              <w:top w:val="single" w:color="000000" w:sz="4" w:space="0"/>
              <w:left w:val="nil"/>
              <w:bottom w:val="single" w:color="000000" w:sz="4" w:space="0"/>
              <w:right w:val="single" w:color="000000" w:sz="4" w:space="0"/>
            </w:tcBorders>
          </w:tcPr>
          <w:p w14:paraId="6B1C687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59E4776">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BCBA092">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w:t>
            </w:r>
          </w:p>
        </w:tc>
        <w:tc>
          <w:tcPr>
            <w:tcW w:w="3539" w:type="dxa"/>
            <w:tcBorders>
              <w:top w:val="single" w:color="000000" w:sz="4" w:space="0"/>
              <w:left w:val="nil"/>
              <w:bottom w:val="single" w:color="000000" w:sz="4" w:space="0"/>
              <w:right w:val="single" w:color="000000" w:sz="4" w:space="0"/>
            </w:tcBorders>
          </w:tcPr>
          <w:p w14:paraId="095AD7D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4F528D0">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88E51B6">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供应商是否为外商投资企业</w:t>
            </w:r>
          </w:p>
        </w:tc>
        <w:tc>
          <w:tcPr>
            <w:tcW w:w="3539" w:type="dxa"/>
            <w:tcBorders>
              <w:top w:val="single" w:color="000000" w:sz="4" w:space="0"/>
              <w:left w:val="nil"/>
              <w:bottom w:val="single" w:color="000000" w:sz="4" w:space="0"/>
              <w:right w:val="single" w:color="000000" w:sz="4" w:space="0"/>
            </w:tcBorders>
          </w:tcPr>
          <w:p w14:paraId="0546FB2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0E990CB">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A9EA5CE">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供应商是否为宁波企业</w:t>
            </w:r>
          </w:p>
        </w:tc>
        <w:tc>
          <w:tcPr>
            <w:tcW w:w="3539" w:type="dxa"/>
            <w:tcBorders>
              <w:top w:val="single" w:color="000000" w:sz="4" w:space="0"/>
              <w:left w:val="nil"/>
              <w:bottom w:val="single" w:color="000000" w:sz="4" w:space="0"/>
              <w:right w:val="single" w:color="000000" w:sz="4" w:space="0"/>
            </w:tcBorders>
          </w:tcPr>
          <w:p w14:paraId="1AAB83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B69349A">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89F41C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企业划分标准类型（大型、中型、小型、微型）</w:t>
            </w:r>
          </w:p>
        </w:tc>
        <w:tc>
          <w:tcPr>
            <w:tcW w:w="3539" w:type="dxa"/>
            <w:tcBorders>
              <w:top w:val="single" w:color="000000" w:sz="4" w:space="0"/>
              <w:left w:val="nil"/>
              <w:bottom w:val="single" w:color="000000" w:sz="4" w:space="0"/>
              <w:right w:val="single" w:color="000000" w:sz="4" w:space="0"/>
            </w:tcBorders>
          </w:tcPr>
          <w:p w14:paraId="325D72B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DD7FD7F">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25D9258">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提供的货物是否本企业制造</w:t>
            </w:r>
          </w:p>
        </w:tc>
        <w:tc>
          <w:tcPr>
            <w:tcW w:w="3539" w:type="dxa"/>
            <w:tcBorders>
              <w:top w:val="single" w:color="000000" w:sz="4" w:space="0"/>
              <w:left w:val="nil"/>
              <w:bottom w:val="single" w:color="000000" w:sz="4" w:space="0"/>
              <w:right w:val="single" w:color="000000" w:sz="4" w:space="0"/>
            </w:tcBorders>
          </w:tcPr>
          <w:p w14:paraId="3FFF289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434E8C3">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CBD5839">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货物原产地国别</w:t>
            </w:r>
          </w:p>
        </w:tc>
        <w:tc>
          <w:tcPr>
            <w:tcW w:w="3539" w:type="dxa"/>
            <w:tcBorders>
              <w:top w:val="single" w:color="000000" w:sz="4" w:space="0"/>
              <w:left w:val="nil"/>
              <w:bottom w:val="single" w:color="000000" w:sz="4" w:space="0"/>
              <w:right w:val="single" w:color="000000" w:sz="4" w:space="0"/>
            </w:tcBorders>
          </w:tcPr>
          <w:p w14:paraId="55D9F6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068334AE">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D43E8B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提供的货物是否为节能清单产品</w:t>
            </w:r>
          </w:p>
        </w:tc>
        <w:tc>
          <w:tcPr>
            <w:tcW w:w="3539" w:type="dxa"/>
            <w:tcBorders>
              <w:top w:val="single" w:color="000000" w:sz="4" w:space="0"/>
              <w:left w:val="nil"/>
              <w:bottom w:val="single" w:color="000000" w:sz="4" w:space="0"/>
              <w:right w:val="single" w:color="000000" w:sz="4" w:space="0"/>
            </w:tcBorders>
          </w:tcPr>
          <w:p w14:paraId="73FE2FA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1388EBAD">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3C30A925">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提供的货物是否为环境标志清单产品</w:t>
            </w:r>
          </w:p>
        </w:tc>
        <w:tc>
          <w:tcPr>
            <w:tcW w:w="3539" w:type="dxa"/>
            <w:tcBorders>
              <w:top w:val="single" w:color="000000" w:sz="4" w:space="0"/>
              <w:left w:val="nil"/>
              <w:bottom w:val="single" w:color="000000" w:sz="4" w:space="0"/>
              <w:right w:val="single" w:color="000000" w:sz="4" w:space="0"/>
            </w:tcBorders>
          </w:tcPr>
          <w:p w14:paraId="5947449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6FE91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3E4CAC1">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承担的工程或服务是否本企业提供</w:t>
            </w:r>
          </w:p>
        </w:tc>
        <w:tc>
          <w:tcPr>
            <w:tcW w:w="3539" w:type="dxa"/>
            <w:tcBorders>
              <w:top w:val="single" w:color="000000" w:sz="4" w:space="0"/>
              <w:left w:val="nil"/>
              <w:bottom w:val="single" w:color="000000" w:sz="4" w:space="0"/>
              <w:right w:val="single" w:color="000000" w:sz="4" w:space="0"/>
            </w:tcBorders>
          </w:tcPr>
          <w:p w14:paraId="4C7046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bl>
    <w:p w14:paraId="115EF4D0">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194C2CA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备注：请各供应商务必填写此表作为响应文件的组成部分。</w:t>
      </w:r>
    </w:p>
    <w:p w14:paraId="5FD1149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575E0AB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7685EF2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43D5B1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3C73C8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7A88">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654056B6">
    <w:pPr>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906D">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0F811D12">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DDAF">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4C7C61E7">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5725">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2FC7DAA2">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419D2">
    <w:pPr>
      <w:pStyle w:val="18"/>
      <w:pBdr>
        <w:bottom w:val="none" w:color="auto" w:sz="0" w:space="0"/>
      </w:pBdr>
      <w:jc w:val="right"/>
      <w:rPr>
        <w:rFonts w:ascii="仿宋_GB2312" w:eastAsia="仿宋_GB2312"/>
        <w:b/>
        <w:i/>
        <w:u w:val="single"/>
      </w:rPr>
    </w:pPr>
    <w:r>
      <w:t></w:t>
    </w:r>
    <w:r>
      <w:rPr>
        <w:rFonts w:hint="eastAsia"/>
      </w:rPr>
      <w:t xml:space="preserve">                                               </w:t>
    </w:r>
  </w:p>
  <w:p w14:paraId="74355F1F">
    <w:pPr>
      <w:rPr>
        <w:rFonts w:ascii="仿宋_GB2312" w:eastAsia="仿宋_GB2312"/>
        <w:b/>
        <w: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8B946">
    <w:pPr>
      <w:pStyle w:val="18"/>
      <w:pBdr>
        <w:bottom w:val="none" w:color="auto" w:sz="0" w:space="1"/>
      </w:pBdr>
      <w:jc w:val="right"/>
    </w:pP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5C9F">
    <w:pPr>
      <w:pStyle w:val="18"/>
      <w:pBdr>
        <w:bottom w:val="none" w:color="auto" w:sz="0" w:space="1"/>
      </w:pBdr>
      <w:jc w:val="right"/>
      <w:rPr>
        <w:rFonts w:ascii="仿宋_GB2312" w:eastAsia="仿宋_GB2312"/>
        <w:b/>
        <w:i/>
        <w:u w:val="single"/>
      </w:rPr>
    </w:pPr>
    <w:r>
      <w:rPr>
        <w:rFonts w:hint="eastAsia"/>
      </w:rPr>
      <w:t xml:space="preserve">                                 </w:t>
    </w:r>
  </w:p>
  <w:p w14:paraId="2D019CB6">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489E">
    <w:pPr>
      <w:pStyle w:val="18"/>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D33"/>
    <w:multiLevelType w:val="singleLevel"/>
    <w:tmpl w:val="9D225D33"/>
    <w:lvl w:ilvl="0" w:tentative="0">
      <w:start w:val="5"/>
      <w:numFmt w:val="chineseCounting"/>
      <w:suff w:val="nothing"/>
      <w:lvlText w:val="%1、"/>
      <w:lvlJc w:val="left"/>
      <w:rPr>
        <w:rFonts w:hint="eastAsia"/>
      </w:rPr>
    </w:lvl>
  </w:abstractNum>
  <w:abstractNum w:abstractNumId="1">
    <w:nsid w:val="5030D621"/>
    <w:multiLevelType w:val="multilevel"/>
    <w:tmpl w:val="5030D621"/>
    <w:lvl w:ilvl="0" w:tentative="0">
      <w:start w:val="3"/>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ZGNkMmVmYTc0MzgzZDY0NWM1YWY1ODNjN2IyNmIifQ=="/>
  </w:docVars>
  <w:rsids>
    <w:rsidRoot w:val="004E6532"/>
    <w:rsid w:val="00004645"/>
    <w:rsid w:val="00023D48"/>
    <w:rsid w:val="0002482C"/>
    <w:rsid w:val="00034901"/>
    <w:rsid w:val="00036406"/>
    <w:rsid w:val="00052644"/>
    <w:rsid w:val="000633A9"/>
    <w:rsid w:val="000A380F"/>
    <w:rsid w:val="000A42DD"/>
    <w:rsid w:val="000D43B5"/>
    <w:rsid w:val="000E4D6E"/>
    <w:rsid w:val="000E5919"/>
    <w:rsid w:val="000F071B"/>
    <w:rsid w:val="000F49C7"/>
    <w:rsid w:val="00107D61"/>
    <w:rsid w:val="00127A19"/>
    <w:rsid w:val="00141566"/>
    <w:rsid w:val="0014331C"/>
    <w:rsid w:val="001433F4"/>
    <w:rsid w:val="00145660"/>
    <w:rsid w:val="00147A9F"/>
    <w:rsid w:val="00152211"/>
    <w:rsid w:val="00153DD5"/>
    <w:rsid w:val="0016702E"/>
    <w:rsid w:val="0016738B"/>
    <w:rsid w:val="00183EE1"/>
    <w:rsid w:val="00184605"/>
    <w:rsid w:val="00187ED9"/>
    <w:rsid w:val="00192CA3"/>
    <w:rsid w:val="00195087"/>
    <w:rsid w:val="001969B6"/>
    <w:rsid w:val="001A0E98"/>
    <w:rsid w:val="001A419E"/>
    <w:rsid w:val="001B7196"/>
    <w:rsid w:val="001C4668"/>
    <w:rsid w:val="001D05FA"/>
    <w:rsid w:val="001D5B9E"/>
    <w:rsid w:val="001E2A93"/>
    <w:rsid w:val="001E3291"/>
    <w:rsid w:val="001F29BC"/>
    <w:rsid w:val="0020318E"/>
    <w:rsid w:val="002249A6"/>
    <w:rsid w:val="00224FF7"/>
    <w:rsid w:val="0022599A"/>
    <w:rsid w:val="00235AD9"/>
    <w:rsid w:val="002622EF"/>
    <w:rsid w:val="002628D6"/>
    <w:rsid w:val="00266319"/>
    <w:rsid w:val="00267D9E"/>
    <w:rsid w:val="002725E3"/>
    <w:rsid w:val="00287020"/>
    <w:rsid w:val="002A0BE4"/>
    <w:rsid w:val="002A2159"/>
    <w:rsid w:val="002A7689"/>
    <w:rsid w:val="002C62DE"/>
    <w:rsid w:val="002E1797"/>
    <w:rsid w:val="00301440"/>
    <w:rsid w:val="00301967"/>
    <w:rsid w:val="00306111"/>
    <w:rsid w:val="003212F0"/>
    <w:rsid w:val="003320D1"/>
    <w:rsid w:val="00382391"/>
    <w:rsid w:val="00391D38"/>
    <w:rsid w:val="003923E5"/>
    <w:rsid w:val="00396CA2"/>
    <w:rsid w:val="003B0110"/>
    <w:rsid w:val="003C300A"/>
    <w:rsid w:val="003F6AE7"/>
    <w:rsid w:val="00402E3B"/>
    <w:rsid w:val="00405449"/>
    <w:rsid w:val="004131AB"/>
    <w:rsid w:val="0041759B"/>
    <w:rsid w:val="00427CDE"/>
    <w:rsid w:val="004369B5"/>
    <w:rsid w:val="004427C5"/>
    <w:rsid w:val="004503D5"/>
    <w:rsid w:val="00453F9B"/>
    <w:rsid w:val="00464B36"/>
    <w:rsid w:val="004A3F9D"/>
    <w:rsid w:val="004D1150"/>
    <w:rsid w:val="004D2F26"/>
    <w:rsid w:val="004D35F7"/>
    <w:rsid w:val="004E6532"/>
    <w:rsid w:val="004E6FDF"/>
    <w:rsid w:val="005009A4"/>
    <w:rsid w:val="005104A4"/>
    <w:rsid w:val="00521C83"/>
    <w:rsid w:val="00523E94"/>
    <w:rsid w:val="00535688"/>
    <w:rsid w:val="0054723B"/>
    <w:rsid w:val="00554F92"/>
    <w:rsid w:val="0056214E"/>
    <w:rsid w:val="005737B6"/>
    <w:rsid w:val="005768FE"/>
    <w:rsid w:val="00580799"/>
    <w:rsid w:val="005935A5"/>
    <w:rsid w:val="005A0EE6"/>
    <w:rsid w:val="005A4DEB"/>
    <w:rsid w:val="005C3A2F"/>
    <w:rsid w:val="005C62F2"/>
    <w:rsid w:val="005D5B94"/>
    <w:rsid w:val="005E7505"/>
    <w:rsid w:val="005F2B56"/>
    <w:rsid w:val="006025D5"/>
    <w:rsid w:val="006132B3"/>
    <w:rsid w:val="00616EEA"/>
    <w:rsid w:val="00621873"/>
    <w:rsid w:val="00627B17"/>
    <w:rsid w:val="00664BC8"/>
    <w:rsid w:val="006721D3"/>
    <w:rsid w:val="0068074A"/>
    <w:rsid w:val="006924F5"/>
    <w:rsid w:val="006925CB"/>
    <w:rsid w:val="00695C83"/>
    <w:rsid w:val="006D6A57"/>
    <w:rsid w:val="006E3C66"/>
    <w:rsid w:val="006F3767"/>
    <w:rsid w:val="00700B46"/>
    <w:rsid w:val="00720146"/>
    <w:rsid w:val="0072267F"/>
    <w:rsid w:val="00724ED7"/>
    <w:rsid w:val="007403D0"/>
    <w:rsid w:val="0074580E"/>
    <w:rsid w:val="00771BC5"/>
    <w:rsid w:val="00777D7E"/>
    <w:rsid w:val="007800AF"/>
    <w:rsid w:val="007A74DB"/>
    <w:rsid w:val="007B204D"/>
    <w:rsid w:val="007D62EE"/>
    <w:rsid w:val="00801E40"/>
    <w:rsid w:val="00803953"/>
    <w:rsid w:val="008140B4"/>
    <w:rsid w:val="008176C9"/>
    <w:rsid w:val="008178BC"/>
    <w:rsid w:val="008277C4"/>
    <w:rsid w:val="0085433C"/>
    <w:rsid w:val="00877893"/>
    <w:rsid w:val="008859D0"/>
    <w:rsid w:val="0089085D"/>
    <w:rsid w:val="008A29D8"/>
    <w:rsid w:val="008A62ED"/>
    <w:rsid w:val="008A6371"/>
    <w:rsid w:val="008A65B4"/>
    <w:rsid w:val="008C52DE"/>
    <w:rsid w:val="008C54CC"/>
    <w:rsid w:val="008C70DC"/>
    <w:rsid w:val="008E3867"/>
    <w:rsid w:val="008F08A4"/>
    <w:rsid w:val="008F4A24"/>
    <w:rsid w:val="008F6DD3"/>
    <w:rsid w:val="00911A8C"/>
    <w:rsid w:val="00926E98"/>
    <w:rsid w:val="0093798A"/>
    <w:rsid w:val="00942DD2"/>
    <w:rsid w:val="00975609"/>
    <w:rsid w:val="00975E2D"/>
    <w:rsid w:val="00977913"/>
    <w:rsid w:val="009821A7"/>
    <w:rsid w:val="00990306"/>
    <w:rsid w:val="009B3568"/>
    <w:rsid w:val="009D1BF4"/>
    <w:rsid w:val="009D7CB5"/>
    <w:rsid w:val="009F03FB"/>
    <w:rsid w:val="009F1169"/>
    <w:rsid w:val="009F62BE"/>
    <w:rsid w:val="00A05BD4"/>
    <w:rsid w:val="00A21E24"/>
    <w:rsid w:val="00A22DD3"/>
    <w:rsid w:val="00A46132"/>
    <w:rsid w:val="00A54768"/>
    <w:rsid w:val="00A56428"/>
    <w:rsid w:val="00A57E19"/>
    <w:rsid w:val="00A64BCF"/>
    <w:rsid w:val="00A71625"/>
    <w:rsid w:val="00A76595"/>
    <w:rsid w:val="00AA3D96"/>
    <w:rsid w:val="00AA4613"/>
    <w:rsid w:val="00AC321F"/>
    <w:rsid w:val="00AF09DF"/>
    <w:rsid w:val="00B02217"/>
    <w:rsid w:val="00B12066"/>
    <w:rsid w:val="00B230F3"/>
    <w:rsid w:val="00B258CD"/>
    <w:rsid w:val="00B344D3"/>
    <w:rsid w:val="00B45DE7"/>
    <w:rsid w:val="00B67374"/>
    <w:rsid w:val="00B85239"/>
    <w:rsid w:val="00B869FB"/>
    <w:rsid w:val="00B94155"/>
    <w:rsid w:val="00BB56F4"/>
    <w:rsid w:val="00BB78CF"/>
    <w:rsid w:val="00BC3481"/>
    <w:rsid w:val="00BE700F"/>
    <w:rsid w:val="00C009F8"/>
    <w:rsid w:val="00C0543C"/>
    <w:rsid w:val="00C15B95"/>
    <w:rsid w:val="00C34140"/>
    <w:rsid w:val="00C47867"/>
    <w:rsid w:val="00C73030"/>
    <w:rsid w:val="00C73F83"/>
    <w:rsid w:val="00C74190"/>
    <w:rsid w:val="00CA2F82"/>
    <w:rsid w:val="00CA5B51"/>
    <w:rsid w:val="00CA758F"/>
    <w:rsid w:val="00CB0E79"/>
    <w:rsid w:val="00CC2C70"/>
    <w:rsid w:val="00CD3472"/>
    <w:rsid w:val="00CE0209"/>
    <w:rsid w:val="00CE0F0C"/>
    <w:rsid w:val="00D10611"/>
    <w:rsid w:val="00D10684"/>
    <w:rsid w:val="00D20E3E"/>
    <w:rsid w:val="00D33EBA"/>
    <w:rsid w:val="00D437BE"/>
    <w:rsid w:val="00D43C04"/>
    <w:rsid w:val="00D46994"/>
    <w:rsid w:val="00D63DA1"/>
    <w:rsid w:val="00D7770E"/>
    <w:rsid w:val="00D85589"/>
    <w:rsid w:val="00D973B3"/>
    <w:rsid w:val="00DB772C"/>
    <w:rsid w:val="00DC2C40"/>
    <w:rsid w:val="00DD4294"/>
    <w:rsid w:val="00DD4C6D"/>
    <w:rsid w:val="00DF6AFA"/>
    <w:rsid w:val="00E10E23"/>
    <w:rsid w:val="00E148E4"/>
    <w:rsid w:val="00E2034C"/>
    <w:rsid w:val="00E51ED8"/>
    <w:rsid w:val="00E57D56"/>
    <w:rsid w:val="00E65A54"/>
    <w:rsid w:val="00E7608A"/>
    <w:rsid w:val="00E77EED"/>
    <w:rsid w:val="00E852B1"/>
    <w:rsid w:val="00EC3F89"/>
    <w:rsid w:val="00ED5412"/>
    <w:rsid w:val="00F00981"/>
    <w:rsid w:val="00F01506"/>
    <w:rsid w:val="00F05B21"/>
    <w:rsid w:val="00F20EE6"/>
    <w:rsid w:val="00F330A6"/>
    <w:rsid w:val="00F41703"/>
    <w:rsid w:val="00F451EA"/>
    <w:rsid w:val="00F710EB"/>
    <w:rsid w:val="00F75C3C"/>
    <w:rsid w:val="00F91CD1"/>
    <w:rsid w:val="00F97CCC"/>
    <w:rsid w:val="00FB3DEC"/>
    <w:rsid w:val="00FC1C95"/>
    <w:rsid w:val="00FC251C"/>
    <w:rsid w:val="00FC4926"/>
    <w:rsid w:val="00FE4389"/>
    <w:rsid w:val="01584898"/>
    <w:rsid w:val="017E3702"/>
    <w:rsid w:val="01942E40"/>
    <w:rsid w:val="022507A0"/>
    <w:rsid w:val="029C46B6"/>
    <w:rsid w:val="02FF0DA1"/>
    <w:rsid w:val="03D435DF"/>
    <w:rsid w:val="03E35864"/>
    <w:rsid w:val="04133956"/>
    <w:rsid w:val="04330EDE"/>
    <w:rsid w:val="043F7883"/>
    <w:rsid w:val="04694D1C"/>
    <w:rsid w:val="04707F12"/>
    <w:rsid w:val="04756284"/>
    <w:rsid w:val="0507351D"/>
    <w:rsid w:val="05465FAD"/>
    <w:rsid w:val="05C46291"/>
    <w:rsid w:val="064C314F"/>
    <w:rsid w:val="06FC438C"/>
    <w:rsid w:val="08153A45"/>
    <w:rsid w:val="08C43072"/>
    <w:rsid w:val="08CF51F2"/>
    <w:rsid w:val="08D31906"/>
    <w:rsid w:val="08EC5795"/>
    <w:rsid w:val="08F04266"/>
    <w:rsid w:val="08FC70AE"/>
    <w:rsid w:val="092C0998"/>
    <w:rsid w:val="0A042457"/>
    <w:rsid w:val="0A261F09"/>
    <w:rsid w:val="0A4927FE"/>
    <w:rsid w:val="0A546EA1"/>
    <w:rsid w:val="0AEF28D2"/>
    <w:rsid w:val="0AFC15E8"/>
    <w:rsid w:val="0B095AB3"/>
    <w:rsid w:val="0C436DA2"/>
    <w:rsid w:val="0CB9714C"/>
    <w:rsid w:val="0CCA783C"/>
    <w:rsid w:val="0D014A54"/>
    <w:rsid w:val="0D0504FC"/>
    <w:rsid w:val="0D3869DE"/>
    <w:rsid w:val="0DCE6B40"/>
    <w:rsid w:val="0E9318F3"/>
    <w:rsid w:val="0E9E4764"/>
    <w:rsid w:val="0ECE36AE"/>
    <w:rsid w:val="0EE16214"/>
    <w:rsid w:val="0F3D21CF"/>
    <w:rsid w:val="101C0036"/>
    <w:rsid w:val="10826462"/>
    <w:rsid w:val="10831E66"/>
    <w:rsid w:val="11B06C88"/>
    <w:rsid w:val="12A87F5C"/>
    <w:rsid w:val="12B36308"/>
    <w:rsid w:val="137C74D8"/>
    <w:rsid w:val="13985417"/>
    <w:rsid w:val="13CD7831"/>
    <w:rsid w:val="13E72483"/>
    <w:rsid w:val="142B4CEC"/>
    <w:rsid w:val="14635EBD"/>
    <w:rsid w:val="149071FA"/>
    <w:rsid w:val="149E0BFA"/>
    <w:rsid w:val="150C577F"/>
    <w:rsid w:val="155E07DE"/>
    <w:rsid w:val="165E2A90"/>
    <w:rsid w:val="167977CF"/>
    <w:rsid w:val="167A1613"/>
    <w:rsid w:val="172F62D6"/>
    <w:rsid w:val="17552F75"/>
    <w:rsid w:val="17AC492E"/>
    <w:rsid w:val="17EC672F"/>
    <w:rsid w:val="181222ED"/>
    <w:rsid w:val="183463C4"/>
    <w:rsid w:val="184B77C9"/>
    <w:rsid w:val="18CF43F8"/>
    <w:rsid w:val="18DB244F"/>
    <w:rsid w:val="1989493C"/>
    <w:rsid w:val="19B968F6"/>
    <w:rsid w:val="1A1A55E6"/>
    <w:rsid w:val="1A1F1050"/>
    <w:rsid w:val="1A606D71"/>
    <w:rsid w:val="1ABD5311"/>
    <w:rsid w:val="1AFD5CB9"/>
    <w:rsid w:val="1B2D0950"/>
    <w:rsid w:val="1B677439"/>
    <w:rsid w:val="1B7E7809"/>
    <w:rsid w:val="1BA66898"/>
    <w:rsid w:val="1BD47C9F"/>
    <w:rsid w:val="1CEA33EA"/>
    <w:rsid w:val="1D5F1F4B"/>
    <w:rsid w:val="1D780306"/>
    <w:rsid w:val="1DA358F3"/>
    <w:rsid w:val="1DB47B11"/>
    <w:rsid w:val="1DC65DCF"/>
    <w:rsid w:val="1DD87CBB"/>
    <w:rsid w:val="1DDC5928"/>
    <w:rsid w:val="1DE35D79"/>
    <w:rsid w:val="1E522E75"/>
    <w:rsid w:val="1E8219AC"/>
    <w:rsid w:val="209669C5"/>
    <w:rsid w:val="220460B0"/>
    <w:rsid w:val="22C73E32"/>
    <w:rsid w:val="235651B5"/>
    <w:rsid w:val="237F6ACA"/>
    <w:rsid w:val="238B4E5F"/>
    <w:rsid w:val="23A710EC"/>
    <w:rsid w:val="23F0560A"/>
    <w:rsid w:val="240E7E40"/>
    <w:rsid w:val="240F4A5E"/>
    <w:rsid w:val="24681644"/>
    <w:rsid w:val="24E861AA"/>
    <w:rsid w:val="2538304D"/>
    <w:rsid w:val="253E0A44"/>
    <w:rsid w:val="25B763DF"/>
    <w:rsid w:val="25CF1F63"/>
    <w:rsid w:val="25F37999"/>
    <w:rsid w:val="26AE5370"/>
    <w:rsid w:val="27002F0E"/>
    <w:rsid w:val="272A6E20"/>
    <w:rsid w:val="27545EB0"/>
    <w:rsid w:val="282C43E5"/>
    <w:rsid w:val="28552A8B"/>
    <w:rsid w:val="292B0E04"/>
    <w:rsid w:val="297E7214"/>
    <w:rsid w:val="2A0B7EDE"/>
    <w:rsid w:val="2A201C01"/>
    <w:rsid w:val="2A4C32D1"/>
    <w:rsid w:val="2AF62A4A"/>
    <w:rsid w:val="2B1B1001"/>
    <w:rsid w:val="2BFC0FF0"/>
    <w:rsid w:val="2C091017"/>
    <w:rsid w:val="2C26606D"/>
    <w:rsid w:val="2C413D86"/>
    <w:rsid w:val="2CAB0320"/>
    <w:rsid w:val="2CC642BA"/>
    <w:rsid w:val="2E7C0E64"/>
    <w:rsid w:val="2FFB1093"/>
    <w:rsid w:val="300E368D"/>
    <w:rsid w:val="307849BD"/>
    <w:rsid w:val="30C70AAC"/>
    <w:rsid w:val="315622A6"/>
    <w:rsid w:val="316A07AA"/>
    <w:rsid w:val="316C664E"/>
    <w:rsid w:val="31D42AD9"/>
    <w:rsid w:val="32082568"/>
    <w:rsid w:val="332730DD"/>
    <w:rsid w:val="34DA79F4"/>
    <w:rsid w:val="34F25146"/>
    <w:rsid w:val="355B0F59"/>
    <w:rsid w:val="359853D9"/>
    <w:rsid w:val="35C80418"/>
    <w:rsid w:val="35FC7E3E"/>
    <w:rsid w:val="360C1DD5"/>
    <w:rsid w:val="36D45640"/>
    <w:rsid w:val="370A0339"/>
    <w:rsid w:val="37646A22"/>
    <w:rsid w:val="3787603F"/>
    <w:rsid w:val="38121F62"/>
    <w:rsid w:val="385D6A11"/>
    <w:rsid w:val="390D500E"/>
    <w:rsid w:val="39737207"/>
    <w:rsid w:val="39F46B40"/>
    <w:rsid w:val="3AF47A17"/>
    <w:rsid w:val="3B0500A6"/>
    <w:rsid w:val="3B437289"/>
    <w:rsid w:val="3B657F1A"/>
    <w:rsid w:val="3BC136BC"/>
    <w:rsid w:val="3C1B7F92"/>
    <w:rsid w:val="3C3025F0"/>
    <w:rsid w:val="3C3976F6"/>
    <w:rsid w:val="3C5928B0"/>
    <w:rsid w:val="3C8660E7"/>
    <w:rsid w:val="3CC01E92"/>
    <w:rsid w:val="3D034FD9"/>
    <w:rsid w:val="3D2708D9"/>
    <w:rsid w:val="3D964084"/>
    <w:rsid w:val="3DE532EB"/>
    <w:rsid w:val="3E682515"/>
    <w:rsid w:val="3F2226C4"/>
    <w:rsid w:val="3FF12C21"/>
    <w:rsid w:val="3FFC1167"/>
    <w:rsid w:val="401D732F"/>
    <w:rsid w:val="4043280B"/>
    <w:rsid w:val="404716EC"/>
    <w:rsid w:val="40565930"/>
    <w:rsid w:val="40593D4A"/>
    <w:rsid w:val="407C190E"/>
    <w:rsid w:val="41841B1C"/>
    <w:rsid w:val="41AE11A5"/>
    <w:rsid w:val="41C317D4"/>
    <w:rsid w:val="41D13F2D"/>
    <w:rsid w:val="420E7D4A"/>
    <w:rsid w:val="425C7A1F"/>
    <w:rsid w:val="431421AB"/>
    <w:rsid w:val="434F761B"/>
    <w:rsid w:val="437E2CBC"/>
    <w:rsid w:val="440E40DE"/>
    <w:rsid w:val="443D3565"/>
    <w:rsid w:val="446B4F27"/>
    <w:rsid w:val="446B4FA9"/>
    <w:rsid w:val="44A92F3F"/>
    <w:rsid w:val="44CD471B"/>
    <w:rsid w:val="4533775E"/>
    <w:rsid w:val="454C246C"/>
    <w:rsid w:val="45840DA9"/>
    <w:rsid w:val="45A656D1"/>
    <w:rsid w:val="45F823D0"/>
    <w:rsid w:val="46502789"/>
    <w:rsid w:val="466A2AC1"/>
    <w:rsid w:val="46E00597"/>
    <w:rsid w:val="47087801"/>
    <w:rsid w:val="470A75E8"/>
    <w:rsid w:val="47484C91"/>
    <w:rsid w:val="47AE7265"/>
    <w:rsid w:val="48236574"/>
    <w:rsid w:val="48BA396D"/>
    <w:rsid w:val="491D1CBF"/>
    <w:rsid w:val="491E17A4"/>
    <w:rsid w:val="496951F5"/>
    <w:rsid w:val="4A084FAB"/>
    <w:rsid w:val="4A356245"/>
    <w:rsid w:val="4A940235"/>
    <w:rsid w:val="4BAF77E3"/>
    <w:rsid w:val="4BF13DF4"/>
    <w:rsid w:val="4C800A2A"/>
    <w:rsid w:val="4C871DB8"/>
    <w:rsid w:val="4C8F29A0"/>
    <w:rsid w:val="4C9B6AAD"/>
    <w:rsid w:val="4CE849E2"/>
    <w:rsid w:val="4D64659D"/>
    <w:rsid w:val="4DA32011"/>
    <w:rsid w:val="4DBD125E"/>
    <w:rsid w:val="4DCF4114"/>
    <w:rsid w:val="4DE566F3"/>
    <w:rsid w:val="4EE51018"/>
    <w:rsid w:val="4FEE4E74"/>
    <w:rsid w:val="50083210"/>
    <w:rsid w:val="502A762A"/>
    <w:rsid w:val="50414974"/>
    <w:rsid w:val="50C65D39"/>
    <w:rsid w:val="514C1117"/>
    <w:rsid w:val="51B02906"/>
    <w:rsid w:val="522D3402"/>
    <w:rsid w:val="52875411"/>
    <w:rsid w:val="52991641"/>
    <w:rsid w:val="52C27015"/>
    <w:rsid w:val="53316F22"/>
    <w:rsid w:val="53926AE9"/>
    <w:rsid w:val="53CC27A6"/>
    <w:rsid w:val="54081F7F"/>
    <w:rsid w:val="54212AF2"/>
    <w:rsid w:val="54B461AF"/>
    <w:rsid w:val="55C831BE"/>
    <w:rsid w:val="56920EB1"/>
    <w:rsid w:val="57030238"/>
    <w:rsid w:val="57162CDC"/>
    <w:rsid w:val="57315742"/>
    <w:rsid w:val="577F0628"/>
    <w:rsid w:val="586A1CF4"/>
    <w:rsid w:val="59573918"/>
    <w:rsid w:val="5977723A"/>
    <w:rsid w:val="59D14FBA"/>
    <w:rsid w:val="59D94D98"/>
    <w:rsid w:val="59F36282"/>
    <w:rsid w:val="5AEB2E9C"/>
    <w:rsid w:val="5B2F11C9"/>
    <w:rsid w:val="5B8B1199"/>
    <w:rsid w:val="5B9F3F13"/>
    <w:rsid w:val="5BAE0A62"/>
    <w:rsid w:val="5BCD355F"/>
    <w:rsid w:val="5C442222"/>
    <w:rsid w:val="5D027239"/>
    <w:rsid w:val="5D5849F8"/>
    <w:rsid w:val="5D95186C"/>
    <w:rsid w:val="5D966A68"/>
    <w:rsid w:val="5DE27796"/>
    <w:rsid w:val="5E1B6804"/>
    <w:rsid w:val="5F265461"/>
    <w:rsid w:val="5F573791"/>
    <w:rsid w:val="5FB110E8"/>
    <w:rsid w:val="606C4BDB"/>
    <w:rsid w:val="60E10A0E"/>
    <w:rsid w:val="610C4B2A"/>
    <w:rsid w:val="61DF56A1"/>
    <w:rsid w:val="624272DA"/>
    <w:rsid w:val="62456545"/>
    <w:rsid w:val="628328E5"/>
    <w:rsid w:val="62BF131B"/>
    <w:rsid w:val="62CE5EB5"/>
    <w:rsid w:val="634A36E8"/>
    <w:rsid w:val="638E5CCA"/>
    <w:rsid w:val="63956215"/>
    <w:rsid w:val="63AE1B87"/>
    <w:rsid w:val="63C90AB0"/>
    <w:rsid w:val="63CF7A2D"/>
    <w:rsid w:val="63DD0CDE"/>
    <w:rsid w:val="64005F33"/>
    <w:rsid w:val="64106A0E"/>
    <w:rsid w:val="645A795A"/>
    <w:rsid w:val="64941091"/>
    <w:rsid w:val="64CF3B8C"/>
    <w:rsid w:val="64E5191A"/>
    <w:rsid w:val="653B59DE"/>
    <w:rsid w:val="65D07CD0"/>
    <w:rsid w:val="66C8504F"/>
    <w:rsid w:val="67A06958"/>
    <w:rsid w:val="68790F37"/>
    <w:rsid w:val="68C34233"/>
    <w:rsid w:val="694A1AEF"/>
    <w:rsid w:val="69761612"/>
    <w:rsid w:val="69A80F39"/>
    <w:rsid w:val="69DD66F3"/>
    <w:rsid w:val="6A0D369A"/>
    <w:rsid w:val="6A4B3295"/>
    <w:rsid w:val="6BCE6C7A"/>
    <w:rsid w:val="6D064B23"/>
    <w:rsid w:val="6EC46A44"/>
    <w:rsid w:val="6ED24445"/>
    <w:rsid w:val="6FDD4CA3"/>
    <w:rsid w:val="7146712D"/>
    <w:rsid w:val="71704C61"/>
    <w:rsid w:val="71DD3F80"/>
    <w:rsid w:val="72E2406D"/>
    <w:rsid w:val="730D2520"/>
    <w:rsid w:val="74307319"/>
    <w:rsid w:val="74D95234"/>
    <w:rsid w:val="759E60FB"/>
    <w:rsid w:val="7654281B"/>
    <w:rsid w:val="766D5CDF"/>
    <w:rsid w:val="76EE77EE"/>
    <w:rsid w:val="772A140E"/>
    <w:rsid w:val="77756B2D"/>
    <w:rsid w:val="77A64F39"/>
    <w:rsid w:val="77B5517C"/>
    <w:rsid w:val="78E8332F"/>
    <w:rsid w:val="792A3C52"/>
    <w:rsid w:val="795F1843"/>
    <w:rsid w:val="799317C1"/>
    <w:rsid w:val="7A0F2BA3"/>
    <w:rsid w:val="7A1E16FE"/>
    <w:rsid w:val="7A5C507C"/>
    <w:rsid w:val="7A983868"/>
    <w:rsid w:val="7A996102"/>
    <w:rsid w:val="7AB210C4"/>
    <w:rsid w:val="7ABB6F4D"/>
    <w:rsid w:val="7C070034"/>
    <w:rsid w:val="7C9711A9"/>
    <w:rsid w:val="7C9C1ABF"/>
    <w:rsid w:val="7CB00608"/>
    <w:rsid w:val="7CD6006E"/>
    <w:rsid w:val="7CE338D3"/>
    <w:rsid w:val="7D193114"/>
    <w:rsid w:val="7D893EF3"/>
    <w:rsid w:val="7DB87774"/>
    <w:rsid w:val="7DC14697"/>
    <w:rsid w:val="7E09079D"/>
    <w:rsid w:val="7E8A55B4"/>
    <w:rsid w:val="7E996565"/>
    <w:rsid w:val="7EC02D84"/>
    <w:rsid w:val="7EF67AE6"/>
    <w:rsid w:val="7F533BF8"/>
    <w:rsid w:val="7FED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qFormat="1" w:unhideWhenUsed="0"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ind w:firstLine="425"/>
      <w:outlineLvl w:val="0"/>
    </w:pPr>
    <w:rPr>
      <w:b/>
      <w:bCs/>
      <w:i/>
      <w:iCs/>
      <w:sz w:val="52"/>
      <w:szCs w:val="20"/>
    </w:rPr>
  </w:style>
  <w:style w:type="paragraph" w:styleId="3">
    <w:name w:val="heading 2"/>
    <w:basedOn w:val="1"/>
    <w:next w:val="1"/>
    <w:link w:val="38"/>
    <w:autoRedefine/>
    <w:qFormat/>
    <w:uiPriority w:val="0"/>
    <w:pPr>
      <w:keepNext/>
      <w:keepLines/>
      <w:tabs>
        <w:tab w:val="left" w:pos="432"/>
      </w:tabs>
      <w:spacing w:line="360" w:lineRule="auto"/>
      <w:ind w:left="432" w:hanging="432"/>
      <w:outlineLvl w:val="1"/>
    </w:pPr>
    <w:rPr>
      <w:rFonts w:ascii="仿宋_GB2312" w:hAnsi="仿宋" w:eastAsia="仿宋_GB2312"/>
      <w:b/>
      <w:bCs/>
      <w:sz w:val="32"/>
      <w:szCs w:val="32"/>
      <w:lang w:val="zh-CN"/>
    </w:rPr>
  </w:style>
  <w:style w:type="paragraph" w:styleId="4">
    <w:name w:val="heading 3"/>
    <w:basedOn w:val="1"/>
    <w:next w:val="1"/>
    <w:link w:val="5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6"/>
    <w:basedOn w:val="1"/>
    <w:next w:val="1"/>
    <w:autoRedefine/>
    <w:qFormat/>
    <w:uiPriority w:val="0"/>
    <w:pPr>
      <w:keepNext/>
      <w:keepLines/>
      <w:spacing w:before="240" w:after="64" w:line="317" w:lineRule="auto"/>
      <w:outlineLvl w:val="5"/>
    </w:pPr>
    <w:rPr>
      <w:rFonts w:ascii="Cambria" w:hAnsi="Cambria"/>
      <w:b/>
      <w:bCs/>
      <w:sz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autoRedefine/>
    <w:qFormat/>
    <w:uiPriority w:val="0"/>
    <w:pPr>
      <w:snapToGrid w:val="0"/>
      <w:spacing w:line="480" w:lineRule="exact"/>
      <w:ind w:firstLine="567"/>
    </w:pPr>
    <w:rPr>
      <w:rFonts w:ascii="宋体"/>
      <w:snapToGrid w:val="0"/>
      <w:color w:val="000000"/>
      <w:kern w:val="28"/>
      <w:sz w:val="28"/>
      <w:szCs w:val="20"/>
    </w:rPr>
  </w:style>
  <w:style w:type="paragraph" w:styleId="8">
    <w:name w:val="annotation text"/>
    <w:basedOn w:val="1"/>
    <w:link w:val="60"/>
    <w:autoRedefine/>
    <w:unhideWhenUsed/>
    <w:qFormat/>
    <w:uiPriority w:val="99"/>
  </w:style>
  <w:style w:type="paragraph" w:styleId="9">
    <w:name w:val="Body Text"/>
    <w:basedOn w:val="1"/>
    <w:next w:val="10"/>
    <w:link w:val="42"/>
    <w:autoRedefine/>
    <w:qFormat/>
    <w:uiPriority w:val="0"/>
    <w:pPr>
      <w:autoSpaceDE w:val="0"/>
      <w:autoSpaceDN w:val="0"/>
      <w:spacing w:line="360" w:lineRule="auto"/>
    </w:pPr>
    <w:rPr>
      <w:rFonts w:ascii="宋体" w:hAnsi="Arial" w:cs="Arial"/>
      <w:snapToGrid w:val="0"/>
      <w:sz w:val="24"/>
      <w:szCs w:val="21"/>
      <w:lang w:val="zh-CN"/>
    </w:rPr>
  </w:style>
  <w:style w:type="paragraph" w:styleId="10">
    <w:name w:val="Body Text First Indent"/>
    <w:basedOn w:val="9"/>
    <w:next w:val="11"/>
    <w:autoRedefine/>
    <w:qFormat/>
    <w:uiPriority w:val="0"/>
    <w:pPr>
      <w:adjustRightInd w:val="0"/>
    </w:pPr>
    <w:rPr>
      <w:rFonts w:ascii="Times New Roman" w:hAnsi="Times New Roman" w:cs="Times New Roman"/>
      <w:sz w:val="28"/>
      <w:lang w:val="en-US"/>
    </w:rPr>
  </w:style>
  <w:style w:type="paragraph" w:styleId="11">
    <w:name w:val="toc 6"/>
    <w:basedOn w:val="1"/>
    <w:next w:val="1"/>
    <w:autoRedefine/>
    <w:qFormat/>
    <w:uiPriority w:val="39"/>
    <w:pPr>
      <w:ind w:left="1000" w:leftChars="1000"/>
    </w:pPr>
  </w:style>
  <w:style w:type="paragraph" w:styleId="12">
    <w:name w:val="Body Text Indent"/>
    <w:basedOn w:val="1"/>
    <w:next w:val="1"/>
    <w:link w:val="39"/>
    <w:autoRedefine/>
    <w:qFormat/>
    <w:uiPriority w:val="0"/>
    <w:pPr>
      <w:spacing w:line="480" w:lineRule="exact"/>
      <w:ind w:firstLine="480" w:firstLineChars="200"/>
    </w:pPr>
    <w:rPr>
      <w:rFonts w:ascii="宋体" w:hAnsi="宋体"/>
      <w:sz w:val="24"/>
    </w:rPr>
  </w:style>
  <w:style w:type="paragraph" w:styleId="13">
    <w:name w:val="toc 3"/>
    <w:basedOn w:val="1"/>
    <w:next w:val="1"/>
    <w:autoRedefine/>
    <w:qFormat/>
    <w:uiPriority w:val="0"/>
    <w:pPr>
      <w:ind w:left="840" w:leftChars="400"/>
    </w:pPr>
    <w:rPr>
      <w:rFonts w:ascii="Times New Roman" w:hAnsi="Times New Roman"/>
    </w:rPr>
  </w:style>
  <w:style w:type="paragraph" w:styleId="14">
    <w:name w:val="Plain Text"/>
    <w:basedOn w:val="1"/>
    <w:next w:val="1"/>
    <w:link w:val="41"/>
    <w:autoRedefine/>
    <w:qFormat/>
    <w:uiPriority w:val="0"/>
    <w:pPr>
      <w:spacing w:line="450" w:lineRule="exact"/>
      <w:ind w:firstLine="422" w:firstLineChars="200"/>
    </w:pPr>
    <w:rPr>
      <w:rFonts w:ascii="宋体" w:hAnsi="Courier New" w:cs="Arial"/>
      <w:b/>
      <w:snapToGrid w:val="0"/>
      <w:szCs w:val="21"/>
    </w:rPr>
  </w:style>
  <w:style w:type="paragraph" w:styleId="15">
    <w:name w:val="Date"/>
    <w:basedOn w:val="1"/>
    <w:next w:val="1"/>
    <w:link w:val="40"/>
    <w:autoRedefine/>
    <w:qFormat/>
    <w:uiPriority w:val="0"/>
    <w:pPr>
      <w:ind w:left="100" w:leftChars="2500"/>
    </w:pPr>
    <w:rPr>
      <w:rFonts w:ascii="宋体"/>
      <w:sz w:val="24"/>
      <w:szCs w:val="21"/>
      <w:lang w:val="zh-CN"/>
    </w:rPr>
  </w:style>
  <w:style w:type="paragraph" w:styleId="16">
    <w:name w:val="Balloon Text"/>
    <w:basedOn w:val="1"/>
    <w:link w:val="55"/>
    <w:autoRedefine/>
    <w:unhideWhenUsed/>
    <w:qFormat/>
    <w:uiPriority w:val="99"/>
    <w:rPr>
      <w:sz w:val="18"/>
      <w:szCs w:val="18"/>
    </w:rPr>
  </w:style>
  <w:style w:type="paragraph" w:styleId="17">
    <w:name w:val="footer"/>
    <w:basedOn w:val="1"/>
    <w:link w:val="37"/>
    <w:autoRedefine/>
    <w:unhideWhenUsed/>
    <w:qFormat/>
    <w:uiPriority w:val="99"/>
    <w:pPr>
      <w:tabs>
        <w:tab w:val="center" w:pos="4153"/>
        <w:tab w:val="right" w:pos="8306"/>
      </w:tabs>
      <w:snapToGrid w:val="0"/>
    </w:pPr>
    <w:rPr>
      <w:sz w:val="18"/>
      <w:szCs w:val="18"/>
    </w:rPr>
  </w:style>
  <w:style w:type="paragraph" w:styleId="18">
    <w:name w:val="header"/>
    <w:basedOn w:val="1"/>
    <w:link w:val="3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20">
    <w:name w:val="Body Text Indent 3"/>
    <w:basedOn w:val="1"/>
    <w:link w:val="71"/>
    <w:autoRedefine/>
    <w:qFormat/>
    <w:uiPriority w:val="0"/>
    <w:pPr>
      <w:spacing w:after="120"/>
      <w:ind w:left="420" w:leftChars="200"/>
    </w:pPr>
    <w:rPr>
      <w:rFonts w:ascii="Times New Roman" w:hAnsi="Times New Roman"/>
      <w:sz w:val="16"/>
      <w:szCs w:val="16"/>
    </w:rPr>
  </w:style>
  <w:style w:type="paragraph" w:styleId="21">
    <w:name w:val="HTML Preformatted"/>
    <w:basedOn w:val="1"/>
    <w:autoRedefine/>
    <w:qFormat/>
    <w:uiPriority w:val="0"/>
    <w:rPr>
      <w:rFonts w:ascii="Courier New" w:hAnsi="Courier New" w:eastAsia="仿宋_GB2312"/>
      <w:b/>
      <w:sz w:val="32"/>
      <w:szCs w:val="32"/>
      <w:lang w:val="en-GB"/>
    </w:rPr>
  </w:style>
  <w:style w:type="paragraph" w:styleId="22">
    <w:name w:val="Normal (Web)"/>
    <w:basedOn w:val="1"/>
    <w:autoRedefine/>
    <w:qFormat/>
    <w:uiPriority w:val="99"/>
    <w:pPr>
      <w:spacing w:before="100" w:beforeAutospacing="1" w:after="100" w:afterAutospacing="1"/>
    </w:pPr>
    <w:rPr>
      <w:kern w:val="0"/>
      <w:sz w:val="24"/>
    </w:rPr>
  </w:style>
  <w:style w:type="paragraph" w:styleId="23">
    <w:name w:val="annotation subject"/>
    <w:basedOn w:val="8"/>
    <w:next w:val="8"/>
    <w:link w:val="61"/>
    <w:autoRedefine/>
    <w:unhideWhenUsed/>
    <w:qFormat/>
    <w:uiPriority w:val="99"/>
    <w:rPr>
      <w:b/>
      <w:bCs/>
    </w:rPr>
  </w:style>
  <w:style w:type="paragraph" w:styleId="24">
    <w:name w:val="Body Text First Indent 2"/>
    <w:basedOn w:val="12"/>
    <w:next w:val="25"/>
    <w:autoRedefine/>
    <w:unhideWhenUsed/>
    <w:qFormat/>
    <w:uiPriority w:val="99"/>
    <w:pPr>
      <w:ind w:firstLine="420"/>
    </w:pPr>
  </w:style>
  <w:style w:type="paragraph" w:customStyle="1" w:styleId="25">
    <w:name w:val="xl53"/>
    <w:basedOn w:val="1"/>
    <w:next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b/>
      <w:bCs/>
      <w:kern w:val="0"/>
      <w:sz w:val="20"/>
    </w:rPr>
  </w:style>
  <w:style w:type="table" w:styleId="27">
    <w:name w:val="Table Grid"/>
    <w:basedOn w:val="26"/>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rPr>
      <w:rFonts w:ascii="Arial" w:hAnsi="Arial" w:eastAsia="黑体" w:cs="Arial"/>
      <w:snapToGrid w:val="0"/>
      <w:kern w:val="0"/>
      <w:szCs w:val="21"/>
    </w:rPr>
  </w:style>
  <w:style w:type="character" w:styleId="30">
    <w:name w:val="FollowedHyperlink"/>
    <w:basedOn w:val="28"/>
    <w:autoRedefine/>
    <w:semiHidden/>
    <w:unhideWhenUsed/>
    <w:qFormat/>
    <w:uiPriority w:val="99"/>
    <w:rPr>
      <w:color w:val="800080"/>
      <w:u w:val="none"/>
    </w:rPr>
  </w:style>
  <w:style w:type="character" w:styleId="31">
    <w:name w:val="Hyperlink"/>
    <w:autoRedefine/>
    <w:qFormat/>
    <w:uiPriority w:val="99"/>
    <w:rPr>
      <w:rFonts w:ascii="Arial" w:hAnsi="Arial" w:eastAsia="黑体" w:cs="Arial"/>
      <w:snapToGrid w:val="0"/>
      <w:color w:val="000000"/>
      <w:kern w:val="0"/>
      <w:sz w:val="18"/>
      <w:szCs w:val="18"/>
      <w:u w:val="none"/>
    </w:rPr>
  </w:style>
  <w:style w:type="character" w:styleId="32">
    <w:name w:val="annotation reference"/>
    <w:basedOn w:val="28"/>
    <w:autoRedefine/>
    <w:unhideWhenUsed/>
    <w:qFormat/>
    <w:uiPriority w:val="99"/>
    <w:rPr>
      <w:sz w:val="21"/>
      <w:szCs w:val="21"/>
    </w:rPr>
  </w:style>
  <w:style w:type="paragraph" w:customStyle="1" w:styleId="33">
    <w:name w:val="列出段落1"/>
    <w:basedOn w:val="1"/>
    <w:autoRedefine/>
    <w:qFormat/>
    <w:uiPriority w:val="0"/>
    <w:pPr>
      <w:ind w:firstLine="420" w:firstLineChars="200"/>
    </w:pPr>
    <w:rPr>
      <w:szCs w:val="22"/>
    </w:rPr>
  </w:style>
  <w:style w:type="paragraph" w:customStyle="1" w:styleId="34">
    <w:name w:val="_Style 3"/>
    <w:basedOn w:val="1"/>
    <w:autoRedefine/>
    <w:qFormat/>
    <w:uiPriority w:val="0"/>
    <w:pPr>
      <w:ind w:firstLine="420" w:firstLineChars="200"/>
    </w:pPr>
    <w:rPr>
      <w:rFonts w:eastAsia="仿宋_GB2312"/>
      <w:sz w:val="28"/>
    </w:rPr>
  </w:style>
  <w:style w:type="paragraph" w:customStyle="1" w:styleId="35">
    <w:name w:val="自动更正"/>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
    <w:name w:val="页眉 Char"/>
    <w:basedOn w:val="28"/>
    <w:link w:val="18"/>
    <w:autoRedefine/>
    <w:qFormat/>
    <w:uiPriority w:val="99"/>
    <w:rPr>
      <w:sz w:val="18"/>
      <w:szCs w:val="18"/>
    </w:rPr>
  </w:style>
  <w:style w:type="character" w:customStyle="1" w:styleId="37">
    <w:name w:val="页脚 Char"/>
    <w:basedOn w:val="28"/>
    <w:link w:val="17"/>
    <w:autoRedefine/>
    <w:qFormat/>
    <w:uiPriority w:val="99"/>
    <w:rPr>
      <w:sz w:val="18"/>
      <w:szCs w:val="18"/>
    </w:rPr>
  </w:style>
  <w:style w:type="character" w:customStyle="1" w:styleId="38">
    <w:name w:val="标题 2 Char"/>
    <w:basedOn w:val="28"/>
    <w:link w:val="3"/>
    <w:autoRedefine/>
    <w:qFormat/>
    <w:uiPriority w:val="0"/>
    <w:rPr>
      <w:rFonts w:ascii="仿宋_GB2312" w:hAnsi="仿宋" w:eastAsia="仿宋_GB2312" w:cs="Times New Roman"/>
      <w:b/>
      <w:bCs/>
      <w:sz w:val="32"/>
      <w:szCs w:val="32"/>
      <w:lang w:val="zh-CN"/>
    </w:rPr>
  </w:style>
  <w:style w:type="character" w:customStyle="1" w:styleId="39">
    <w:name w:val="正文文本缩进 Char"/>
    <w:basedOn w:val="28"/>
    <w:link w:val="12"/>
    <w:autoRedefine/>
    <w:qFormat/>
    <w:uiPriority w:val="0"/>
    <w:rPr>
      <w:rFonts w:ascii="宋体" w:hAnsi="宋体" w:eastAsia="宋体" w:cs="Times New Roman"/>
      <w:sz w:val="24"/>
      <w:szCs w:val="24"/>
    </w:rPr>
  </w:style>
  <w:style w:type="character" w:customStyle="1" w:styleId="40">
    <w:name w:val="日期 Char"/>
    <w:basedOn w:val="28"/>
    <w:link w:val="15"/>
    <w:autoRedefine/>
    <w:qFormat/>
    <w:uiPriority w:val="0"/>
    <w:rPr>
      <w:rFonts w:ascii="宋体" w:hAnsi="Calibri" w:eastAsia="宋体" w:cs="Times New Roman"/>
      <w:sz w:val="24"/>
      <w:szCs w:val="21"/>
      <w:lang w:val="zh-CN"/>
    </w:rPr>
  </w:style>
  <w:style w:type="character" w:customStyle="1" w:styleId="41">
    <w:name w:val="纯文本 Char"/>
    <w:basedOn w:val="28"/>
    <w:link w:val="14"/>
    <w:autoRedefine/>
    <w:qFormat/>
    <w:uiPriority w:val="0"/>
    <w:rPr>
      <w:rFonts w:ascii="宋体" w:hAnsi="Courier New" w:cs="Arial"/>
      <w:b/>
      <w:snapToGrid w:val="0"/>
      <w:kern w:val="2"/>
      <w:sz w:val="21"/>
      <w:szCs w:val="21"/>
    </w:rPr>
  </w:style>
  <w:style w:type="character" w:customStyle="1" w:styleId="42">
    <w:name w:val="正文文本 Char"/>
    <w:basedOn w:val="28"/>
    <w:link w:val="9"/>
    <w:autoRedefine/>
    <w:qFormat/>
    <w:uiPriority w:val="0"/>
    <w:rPr>
      <w:rFonts w:ascii="宋体" w:hAnsi="Arial" w:eastAsia="宋体" w:cs="Arial"/>
      <w:snapToGrid w:val="0"/>
      <w:sz w:val="24"/>
      <w:szCs w:val="21"/>
      <w:lang w:val="zh-CN"/>
    </w:rPr>
  </w:style>
  <w:style w:type="paragraph" w:customStyle="1" w:styleId="43">
    <w:name w:val="索引 11"/>
    <w:basedOn w:val="1"/>
    <w:next w:val="1"/>
    <w:autoRedefine/>
    <w:qFormat/>
    <w:uiPriority w:val="99"/>
    <w:pPr>
      <w:spacing w:line="360" w:lineRule="auto"/>
    </w:pPr>
    <w:rPr>
      <w:rFonts w:ascii="仿宋_GB2312" w:eastAsia="仿宋_GB2312"/>
      <w:sz w:val="24"/>
      <w:szCs w:val="20"/>
    </w:rPr>
  </w:style>
  <w:style w:type="paragraph" w:customStyle="1" w:styleId="44">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4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6">
    <w:name w:val="text-tag"/>
    <w:basedOn w:val="1"/>
    <w:autoRedefine/>
    <w:semiHidden/>
    <w:qFormat/>
    <w:uiPriority w:val="99"/>
    <w:pPr>
      <w:spacing w:before="100" w:beforeAutospacing="1" w:after="100" w:afterAutospacing="1"/>
    </w:pPr>
    <w:rPr>
      <w:rFonts w:ascii="宋体" w:hAnsi="宋体" w:cs="宋体"/>
      <w:kern w:val="0"/>
      <w:sz w:val="24"/>
    </w:rPr>
  </w:style>
  <w:style w:type="paragraph" w:customStyle="1" w:styleId="47">
    <w:name w:val="纯文本1"/>
    <w:basedOn w:val="1"/>
    <w:autoRedefine/>
    <w:qFormat/>
    <w:uiPriority w:val="0"/>
    <w:rPr>
      <w:rFonts w:ascii="宋体" w:hAnsi="Courier New"/>
      <w:kern w:val="0"/>
      <w:sz w:val="20"/>
      <w:szCs w:val="20"/>
    </w:rPr>
  </w:style>
  <w:style w:type="paragraph" w:customStyle="1" w:styleId="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纯文本_0_0"/>
    <w:basedOn w:val="48"/>
    <w:autoRedefine/>
    <w:qFormat/>
    <w:uiPriority w:val="0"/>
    <w:rPr>
      <w:rFonts w:ascii="宋体" w:hAnsi="Courier New"/>
      <w:szCs w:val="21"/>
    </w:rPr>
  </w:style>
  <w:style w:type="paragraph" w:customStyle="1" w:styleId="50">
    <w:name w:val="正文2"/>
    <w:basedOn w:val="1"/>
    <w:autoRedefine/>
    <w:qFormat/>
    <w:uiPriority w:val="0"/>
    <w:pPr>
      <w:spacing w:before="156" w:line="360" w:lineRule="auto"/>
      <w:ind w:firstLine="510" w:firstLineChars="200"/>
    </w:pPr>
    <w:rPr>
      <w:sz w:val="24"/>
      <w:szCs w:val="20"/>
    </w:rPr>
  </w:style>
  <w:style w:type="paragraph" w:customStyle="1" w:styleId="51">
    <w:name w:val="正文缩进1"/>
    <w:basedOn w:val="1"/>
    <w:next w:val="12"/>
    <w:autoRedefine/>
    <w:qFormat/>
    <w:uiPriority w:val="0"/>
    <w:pPr>
      <w:autoSpaceDE w:val="0"/>
      <w:autoSpaceDN w:val="0"/>
      <w:snapToGrid w:val="0"/>
      <w:spacing w:after="120" w:line="360" w:lineRule="auto"/>
      <w:ind w:left="420" w:leftChars="200" w:firstLine="480" w:firstLineChars="200"/>
    </w:pPr>
    <w:rPr>
      <w:sz w:val="24"/>
      <w:szCs w:val="21"/>
    </w:rPr>
  </w:style>
  <w:style w:type="character" w:customStyle="1" w:styleId="52">
    <w:name w:val="标题 3 Char"/>
    <w:basedOn w:val="28"/>
    <w:link w:val="4"/>
    <w:autoRedefine/>
    <w:semiHidden/>
    <w:qFormat/>
    <w:uiPriority w:val="9"/>
    <w:rPr>
      <w:rFonts w:ascii="Calibri" w:hAnsi="Calibri" w:eastAsia="宋体" w:cs="Times New Roman"/>
      <w:b/>
      <w:bCs/>
      <w:sz w:val="32"/>
      <w:szCs w:val="32"/>
    </w:rPr>
  </w:style>
  <w:style w:type="character" w:customStyle="1" w:styleId="53">
    <w:name w:val="标题 4 Char"/>
    <w:basedOn w:val="28"/>
    <w:link w:val="5"/>
    <w:autoRedefine/>
    <w:semiHidden/>
    <w:qFormat/>
    <w:uiPriority w:val="9"/>
    <w:rPr>
      <w:rFonts w:asciiTheme="majorHAnsi" w:hAnsiTheme="majorHAnsi" w:eastAsiaTheme="majorEastAsia" w:cstheme="majorBidi"/>
      <w:b/>
      <w:bCs/>
      <w:sz w:val="28"/>
      <w:szCs w:val="28"/>
    </w:rPr>
  </w:style>
  <w:style w:type="paragraph" w:customStyle="1" w:styleId="54">
    <w:name w:val="标题4"/>
    <w:basedOn w:val="1"/>
    <w:autoRedefine/>
    <w:qFormat/>
    <w:uiPriority w:val="0"/>
    <w:rPr>
      <w:rFonts w:ascii="Times New Roman" w:hAnsi="Times New Roman" w:eastAsia="仿宋_GB2312"/>
      <w:sz w:val="32"/>
      <w:szCs w:val="20"/>
    </w:rPr>
  </w:style>
  <w:style w:type="character" w:customStyle="1" w:styleId="55">
    <w:name w:val="批注框文本 Char"/>
    <w:basedOn w:val="28"/>
    <w:link w:val="16"/>
    <w:autoRedefine/>
    <w:semiHidden/>
    <w:qFormat/>
    <w:uiPriority w:val="99"/>
    <w:rPr>
      <w:rFonts w:ascii="Calibri" w:hAnsi="Calibri" w:eastAsia="宋体" w:cs="Times New Roman"/>
      <w:sz w:val="18"/>
      <w:szCs w:val="18"/>
    </w:rPr>
  </w:style>
  <w:style w:type="character" w:customStyle="1" w:styleId="56">
    <w:name w:val="List Paragraph Char"/>
    <w:link w:val="57"/>
    <w:autoRedefine/>
    <w:qFormat/>
    <w:locked/>
    <w:uiPriority w:val="0"/>
    <w:rPr>
      <w:rFonts w:ascii="Times New Roman" w:hAnsi="Times New Roman"/>
      <w:szCs w:val="24"/>
    </w:rPr>
  </w:style>
  <w:style w:type="paragraph" w:customStyle="1" w:styleId="57">
    <w:name w:val="列出段落11"/>
    <w:basedOn w:val="1"/>
    <w:link w:val="56"/>
    <w:autoRedefine/>
    <w:qFormat/>
    <w:uiPriority w:val="0"/>
    <w:pPr>
      <w:ind w:firstLine="420" w:firstLineChars="200"/>
    </w:pPr>
    <w:rPr>
      <w:rFonts w:ascii="Times New Roman" w:hAnsi="Times New Roman" w:eastAsiaTheme="minorEastAsia" w:cstheme="minorBidi"/>
    </w:rPr>
  </w:style>
  <w:style w:type="paragraph" w:customStyle="1" w:styleId="58">
    <w:name w:val="列表段落1"/>
    <w:basedOn w:val="1"/>
    <w:autoRedefine/>
    <w:qFormat/>
    <w:uiPriority w:val="99"/>
    <w:pPr>
      <w:ind w:firstLine="420" w:firstLineChars="200"/>
    </w:pPr>
  </w:style>
  <w:style w:type="paragraph" w:customStyle="1" w:styleId="59">
    <w:name w:val="修订1"/>
    <w:autoRedefine/>
    <w:hidden/>
    <w:semiHidden/>
    <w:qFormat/>
    <w:uiPriority w:val="99"/>
    <w:rPr>
      <w:rFonts w:ascii="Calibri" w:hAnsi="Calibri" w:eastAsia="宋体" w:cs="Times New Roman"/>
      <w:kern w:val="2"/>
      <w:sz w:val="21"/>
      <w:szCs w:val="24"/>
      <w:lang w:val="en-US" w:eastAsia="zh-CN" w:bidi="ar-SA"/>
    </w:rPr>
  </w:style>
  <w:style w:type="character" w:customStyle="1" w:styleId="60">
    <w:name w:val="批注文字 Char"/>
    <w:basedOn w:val="28"/>
    <w:link w:val="8"/>
    <w:autoRedefine/>
    <w:semiHidden/>
    <w:qFormat/>
    <w:uiPriority w:val="99"/>
    <w:rPr>
      <w:rFonts w:ascii="Calibri" w:hAnsi="Calibri"/>
      <w:kern w:val="2"/>
      <w:sz w:val="21"/>
      <w:szCs w:val="24"/>
    </w:rPr>
  </w:style>
  <w:style w:type="character" w:customStyle="1" w:styleId="61">
    <w:name w:val="批注主题 Char"/>
    <w:basedOn w:val="60"/>
    <w:link w:val="23"/>
    <w:autoRedefine/>
    <w:semiHidden/>
    <w:qFormat/>
    <w:uiPriority w:val="99"/>
    <w:rPr>
      <w:rFonts w:ascii="Calibri" w:hAnsi="Calibri"/>
      <w:b/>
      <w:bCs/>
      <w:kern w:val="2"/>
      <w:sz w:val="21"/>
      <w:szCs w:val="24"/>
    </w:rPr>
  </w:style>
  <w:style w:type="paragraph" w:customStyle="1" w:styleId="62">
    <w:name w:val="修订2"/>
    <w:autoRedefine/>
    <w:hidden/>
    <w:semiHidden/>
    <w:qFormat/>
    <w:uiPriority w:val="99"/>
    <w:rPr>
      <w:rFonts w:ascii="Calibri" w:hAnsi="Calibri" w:eastAsia="宋体" w:cs="Times New Roman"/>
      <w:kern w:val="2"/>
      <w:sz w:val="21"/>
      <w:szCs w:val="24"/>
      <w:lang w:val="en-US" w:eastAsia="zh-CN" w:bidi="ar-SA"/>
    </w:rPr>
  </w:style>
  <w:style w:type="paragraph" w:customStyle="1" w:styleId="63">
    <w:name w:val="修订3"/>
    <w:autoRedefine/>
    <w:hidden/>
    <w:semiHidden/>
    <w:qFormat/>
    <w:uiPriority w:val="99"/>
    <w:rPr>
      <w:rFonts w:ascii="Calibri" w:hAnsi="Calibri" w:eastAsia="宋体" w:cs="Times New Roman"/>
      <w:kern w:val="2"/>
      <w:sz w:val="21"/>
      <w:szCs w:val="24"/>
      <w:lang w:val="en-US" w:eastAsia="zh-CN" w:bidi="ar-SA"/>
    </w:rPr>
  </w:style>
  <w:style w:type="character" w:customStyle="1" w:styleId="64">
    <w:name w:val="textcolor1"/>
    <w:basedOn w:val="28"/>
    <w:autoRedefine/>
    <w:qFormat/>
    <w:uiPriority w:val="0"/>
    <w:rPr>
      <w:color w:val="FF6600"/>
    </w:rPr>
  </w:style>
  <w:style w:type="table" w:customStyle="1" w:styleId="65">
    <w:name w:val="Table Normal"/>
    <w:autoRedefine/>
    <w:semiHidden/>
    <w:unhideWhenUsed/>
    <w:qFormat/>
    <w:uiPriority w:val="0"/>
    <w:tblPr>
      <w:tblCellMar>
        <w:top w:w="0" w:type="dxa"/>
        <w:left w:w="0" w:type="dxa"/>
        <w:bottom w:w="0" w:type="dxa"/>
        <w:right w:w="0" w:type="dxa"/>
      </w:tblCellMar>
    </w:tblPr>
  </w:style>
  <w:style w:type="paragraph" w:customStyle="1" w:styleId="66">
    <w:name w:val="公告正文"/>
    <w:basedOn w:val="1"/>
    <w:autoRedefine/>
    <w:qFormat/>
    <w:uiPriority w:val="0"/>
    <w:pPr>
      <w:spacing w:line="400" w:lineRule="atLeast"/>
      <w:ind w:firstLine="437"/>
    </w:pPr>
    <w:rPr>
      <w:rFonts w:ascii="宋体" w:hAnsi="宋体"/>
      <w:kern w:val="0"/>
      <w:sz w:val="24"/>
    </w:rPr>
  </w:style>
  <w:style w:type="paragraph" w:customStyle="1" w:styleId="67">
    <w:name w:val="须知二级小标题"/>
    <w:basedOn w:val="1"/>
    <w:autoRedefine/>
    <w:qFormat/>
    <w:uiPriority w:val="0"/>
    <w:pPr>
      <w:spacing w:line="500" w:lineRule="exact"/>
    </w:pPr>
    <w:rPr>
      <w:rFonts w:ascii="宋体"/>
      <w:b/>
      <w:sz w:val="24"/>
    </w:rPr>
  </w:style>
  <w:style w:type="paragraph" w:customStyle="1" w:styleId="68">
    <w:name w:val="纯文本2"/>
    <w:basedOn w:val="1"/>
    <w:autoRedefine/>
    <w:qFormat/>
    <w:uiPriority w:val="0"/>
    <w:rPr>
      <w:rFonts w:ascii="宋体" w:hAnsi="Courier New" w:eastAsia="Times New Roman"/>
      <w:kern w:val="0"/>
      <w:sz w:val="20"/>
      <w:szCs w:val="20"/>
    </w:rPr>
  </w:style>
  <w:style w:type="paragraph" w:customStyle="1" w:styleId="69">
    <w:name w:val="[Normal]"/>
    <w:autoRedefine/>
    <w:qFormat/>
    <w:uiPriority w:val="0"/>
    <w:rPr>
      <w:rFonts w:ascii="宋体" w:hAnsi="宋体" w:eastAsia="宋体" w:cs="Times New Roman"/>
      <w:sz w:val="24"/>
      <w:szCs w:val="22"/>
      <w:lang w:val="zh-CN" w:eastAsia="zh-CN" w:bidi="ar-SA"/>
    </w:rPr>
  </w:style>
  <w:style w:type="paragraph" w:customStyle="1" w:styleId="70">
    <w:name w:val="正文空格"/>
    <w:basedOn w:val="1"/>
    <w:next w:val="1"/>
    <w:autoRedefine/>
    <w:qFormat/>
    <w:uiPriority w:val="0"/>
    <w:pPr>
      <w:spacing w:line="400" w:lineRule="exact"/>
      <w:ind w:firstLine="200" w:firstLineChars="200"/>
    </w:pPr>
    <w:rPr>
      <w:sz w:val="24"/>
      <w:szCs w:val="22"/>
    </w:rPr>
  </w:style>
  <w:style w:type="character" w:customStyle="1" w:styleId="71">
    <w:name w:val="正文文本缩进 3 Char"/>
    <w:basedOn w:val="28"/>
    <w:link w:val="20"/>
    <w:autoRedefine/>
    <w:qFormat/>
    <w:uiPriority w:val="0"/>
    <w:rPr>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80</Pages>
  <Words>28571</Words>
  <Characters>30619</Characters>
  <Lines>346</Lines>
  <Paragraphs>97</Paragraphs>
  <TotalTime>3</TotalTime>
  <ScaleCrop>false</ScaleCrop>
  <LinksUpToDate>false</LinksUpToDate>
  <CharactersWithSpaces>32150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2023-02-04T21:06:00Z</dcterms:created>
  <dc:creator>Microsoft</dc:creator>
  <cp:lastModifiedBy>meet</cp:lastModifiedBy>
  <cp:lastPrinted>2025-04-16T01:35:00Z</cp:lastPrinted>
  <dcterms:modified xsi:type="dcterms:W3CDTF">2025-07-11T06:45:26Z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EB28F09CA3C44C66A4827181442FFCFA_13</vt:lpwstr>
  </property>
  <property fmtid="{D5CDD505-2E9C-101B-9397-08002B2CF9AE}" pid="4" name="KSOTemplateDocerSaveRecord">
    <vt:lpwstr>eyJoZGlkIjoiOTUwOTgwYmY2NTM3ZTFkMTk1Mzk0MWI0NTgzMjlhMmUiLCJ1c2VySWQiOiI0MTE4MTU3NzgifQ==</vt:lpwstr>
  </property>
</Properties>
</file>