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cs="宋体"/>
          <w:color w:val="auto"/>
          <w:sz w:val="44"/>
          <w:szCs w:val="44"/>
        </w:rPr>
      </w:pPr>
      <w:bookmarkStart w:id="0" w:name="_Hlt67893495"/>
      <w:bookmarkEnd w:id="0"/>
    </w:p>
    <w:p>
      <w:pPr>
        <w:adjustRightInd/>
        <w:spacing w:line="360" w:lineRule="auto"/>
        <w:jc w:val="both"/>
        <w:rPr>
          <w:rFonts w:hint="eastAsia" w:ascii="宋体" w:hAnsi="宋体" w:cs="宋体"/>
          <w:color w:val="auto"/>
          <w:sz w:val="44"/>
          <w:szCs w:val="44"/>
        </w:rPr>
      </w:pPr>
    </w:p>
    <w:p>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产教融合区域中高一体高技能人才实训中心（一期）工程项目（重新招标）</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（电子交易-非依法招标（小额）项目）</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 xml:space="preserve"> 浙房咨2025【D-076】715</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lang w:eastAsia="zh-CN"/>
        </w:rPr>
        <w:t>杭州市中策职业学校钱塘学校</w:t>
      </w:r>
    </w:p>
    <w:p>
      <w:pPr>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浙江省房地产管理咨询有限公司</w:t>
      </w:r>
    </w:p>
    <w:p>
      <w:pPr>
        <w:spacing w:line="360" w:lineRule="auto"/>
        <w:jc w:val="center"/>
        <w:rPr>
          <w:rFonts w:hint="eastAsia" w:ascii="宋体" w:hAnsi="宋体" w:cs="宋体"/>
          <w:color w:val="auto"/>
          <w:sz w:val="24"/>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r>
        <w:rPr>
          <w:rFonts w:hint="eastAsia" w:ascii="宋体" w:hAnsi="宋体" w:cs="宋体"/>
          <w:color w:val="auto"/>
          <w:sz w:val="24"/>
        </w:rPr>
        <w:br w:type="page"/>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pPr>
        <w:spacing w:line="360" w:lineRule="auto"/>
        <w:rPr>
          <w:rFonts w:hint="eastAsia" w:ascii="宋体" w:hAnsi="宋体" w:cs="宋体"/>
          <w:color w:val="auto"/>
          <w:sz w:val="32"/>
          <w:szCs w:val="32"/>
        </w:rPr>
      </w:pPr>
    </w:p>
    <w:p>
      <w:pPr>
        <w:spacing w:line="360" w:lineRule="auto"/>
        <w:rPr>
          <w:rFonts w:hint="eastAsia" w:ascii="宋体" w:hAnsi="宋体" w:cs="宋体"/>
          <w:color w:val="auto"/>
          <w:sz w:val="32"/>
          <w:szCs w:val="32"/>
        </w:rPr>
      </w:pP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竞争性磋商公告</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供应商须知</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评审办法</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1280" w:firstLineChars="400"/>
        <w:rPr>
          <w:rFonts w:hint="eastAsia" w:ascii="宋体" w:hAnsi="宋体" w:cs="宋体"/>
          <w:color w:val="auto"/>
          <w:sz w:val="32"/>
          <w:szCs w:val="32"/>
        </w:rPr>
      </w:pPr>
    </w:p>
    <w:p>
      <w:pPr>
        <w:spacing w:line="360" w:lineRule="auto"/>
        <w:ind w:firstLine="549" w:firstLineChars="229"/>
        <w:rPr>
          <w:rFonts w:hint="eastAsia" w:ascii="宋体" w:hAnsi="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rPr>
          <w:rFonts w:hint="eastAsia" w:ascii="宋体" w:hAnsi="宋体" w:cs="宋体"/>
          <w:color w:val="auto"/>
          <w:sz w:val="24"/>
        </w:rPr>
      </w:pPr>
    </w:p>
    <w:bookmarkEnd w:id="2"/>
    <w:p>
      <w:pPr>
        <w:adjustRightInd/>
        <w:spacing w:line="360" w:lineRule="auto"/>
        <w:jc w:val="center"/>
        <w:outlineLvl w:val="0"/>
        <w:rPr>
          <w:rFonts w:hint="eastAsia" w:ascii="宋体" w:hAnsi="宋体" w:cs="宋体"/>
          <w:b/>
          <w:color w:val="auto"/>
          <w:sz w:val="36"/>
          <w:szCs w:val="20"/>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lang w:eastAsia="zh-CN"/>
        </w:rPr>
        <w:t>产教融合区域中高一体高技能人才实训中心（一期）工程项目（重新招标）</w:t>
      </w:r>
      <w:r>
        <w:rPr>
          <w:rFonts w:hint="eastAsia" w:ascii="宋体" w:hAnsi="宋体" w:cs="宋体"/>
          <w:color w:val="auto"/>
          <w:sz w:val="24"/>
        </w:rPr>
        <w:t>采购项目的潜在供应商应在杭州市教育局非依法招标（小额）项目平台获取采购文件，并于2025年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 09:</w:t>
      </w:r>
      <w:r>
        <w:rPr>
          <w:rFonts w:hint="eastAsia" w:ascii="宋体" w:hAnsi="宋体" w:cs="宋体"/>
          <w:color w:val="auto"/>
          <w:sz w:val="24"/>
          <w:lang w:val="en-US" w:eastAsia="zh-CN"/>
        </w:rPr>
        <w:t>3</w:t>
      </w:r>
      <w:r>
        <w:rPr>
          <w:rFonts w:hint="eastAsia" w:ascii="宋体" w:hAnsi="宋体" w:cs="宋体"/>
          <w:color w:val="auto"/>
          <w:sz w:val="24"/>
        </w:rPr>
        <w:t>0（北京时间）前提交响应文件。</w:t>
      </w:r>
    </w:p>
    <w:p>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pPr>
        <w:snapToGrid w:val="0"/>
        <w:spacing w:line="360" w:lineRule="auto"/>
        <w:ind w:firstLine="482" w:firstLineChars="200"/>
        <w:rPr>
          <w:rFonts w:hint="default" w:ascii="宋体" w:hAnsi="宋体" w:cs="宋体"/>
          <w:b/>
          <w:color w:val="auto"/>
          <w:sz w:val="24"/>
          <w:lang w:val="en-US" w:eastAsia="zh-CN"/>
        </w:rPr>
      </w:pPr>
      <w:r>
        <w:rPr>
          <w:rFonts w:hint="eastAsia" w:ascii="宋体" w:hAnsi="宋体" w:cs="宋体"/>
          <w:b/>
          <w:color w:val="auto"/>
          <w:sz w:val="24"/>
          <w:lang w:eastAsia="zh-CN"/>
        </w:rPr>
        <w:t>项目编号：</w:t>
      </w:r>
      <w:r>
        <w:rPr>
          <w:rFonts w:hint="eastAsia" w:ascii="宋体" w:hAnsi="宋体" w:cs="宋体"/>
          <w:b/>
          <w:color w:val="auto"/>
          <w:sz w:val="24"/>
          <w:lang w:val="en-US" w:eastAsia="zh-CN"/>
        </w:rPr>
        <w:t>浙房咨2025【D-076】715</w:t>
      </w:r>
    </w:p>
    <w:p>
      <w:pPr>
        <w:snapToGrid w:val="0"/>
        <w:spacing w:line="360" w:lineRule="auto"/>
        <w:ind w:firstLine="482" w:firstLineChars="20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b/>
          <w:color w:val="auto"/>
          <w:sz w:val="24"/>
          <w:lang w:eastAsia="zh-CN"/>
        </w:rPr>
        <w:t>产教融合区域中高一体高技能人才实训中心（一期）工程项目（重新招标）</w:t>
      </w:r>
    </w:p>
    <w:p>
      <w:pPr>
        <w:snapToGrid w:val="0"/>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 xml:space="preserve">873000.00 </w:t>
      </w:r>
    </w:p>
    <w:p>
      <w:pPr>
        <w:snapToGrid w:val="0"/>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 xml:space="preserve">873000.00 </w:t>
      </w:r>
    </w:p>
    <w:p>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采购需求：主要内容为</w:t>
      </w:r>
      <w:r>
        <w:rPr>
          <w:rFonts w:hint="eastAsia" w:ascii="宋体" w:hAnsi="宋体" w:cs="宋体"/>
          <w:b/>
          <w:color w:val="auto"/>
          <w:sz w:val="24"/>
          <w:lang w:eastAsia="zh-CN"/>
        </w:rPr>
        <w:t>产教融合区域中高一体高技能人才实训中心</w:t>
      </w:r>
      <w:r>
        <w:rPr>
          <w:rFonts w:hint="eastAsia" w:ascii="宋体" w:hAnsi="宋体" w:cs="宋体"/>
          <w:b/>
          <w:color w:val="auto"/>
          <w:sz w:val="24"/>
          <w:lang w:val="en-US" w:eastAsia="zh-CN"/>
        </w:rPr>
        <w:t>工程</w:t>
      </w:r>
      <w:r>
        <w:rPr>
          <w:rFonts w:hint="eastAsia" w:ascii="宋体" w:hAnsi="宋体" w:cs="宋体"/>
          <w:b/>
          <w:color w:val="auto"/>
          <w:sz w:val="24"/>
        </w:rPr>
        <w:t>。详见采购文件第三部分采购需求、工程量清单及图纸。</w:t>
      </w:r>
    </w:p>
    <w:p>
      <w:pPr>
        <w:snapToGrid w:val="0"/>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合同履约期限：</w:t>
      </w:r>
      <w:r>
        <w:rPr>
          <w:rFonts w:hint="eastAsia" w:ascii="宋体" w:hAnsi="宋体" w:cs="宋体"/>
          <w:b/>
          <w:color w:val="auto"/>
          <w:sz w:val="24"/>
          <w:lang w:val="en-US" w:eastAsia="zh-CN"/>
        </w:rPr>
        <w:t>合同签订之日起30</w:t>
      </w:r>
      <w:r>
        <w:rPr>
          <w:rFonts w:hint="eastAsia" w:ascii="宋体" w:hAnsi="宋体" w:cs="宋体"/>
          <w:b/>
          <w:color w:val="auto"/>
          <w:sz w:val="24"/>
        </w:rPr>
        <w:t>日历天</w:t>
      </w:r>
      <w:r>
        <w:rPr>
          <w:rFonts w:hint="eastAsia" w:ascii="宋体" w:hAnsi="宋体" w:cs="宋体"/>
          <w:b/>
          <w:color w:val="auto"/>
          <w:sz w:val="24"/>
          <w:lang w:eastAsia="zh-CN"/>
        </w:rPr>
        <w:t>。</w:t>
      </w:r>
    </w:p>
    <w:p>
      <w:pPr>
        <w:pStyle w:val="5"/>
        <w:spacing w:line="360" w:lineRule="auto"/>
        <w:ind w:firstLine="482" w:firstLineChars="200"/>
        <w:rPr>
          <w:rFonts w:hint="eastAsia" w:hAnsi="宋体" w:cs="宋体"/>
          <w:color w:val="auto"/>
          <w:sz w:val="24"/>
        </w:rPr>
      </w:pPr>
      <w:r>
        <w:rPr>
          <w:rFonts w:hint="eastAsia" w:hAnsi="宋体" w:cs="宋体"/>
          <w:b/>
          <w:color w:val="auto"/>
          <w:sz w:val="24"/>
        </w:rPr>
        <w:t>本项目接受联合体：</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MS Gothic" w:cs="宋体"/>
              <w:snapToGrid w:val="0"/>
              <w:color w:val="auto"/>
              <w:kern w:val="0"/>
              <w:sz w:val="24"/>
              <w:szCs w:val="20"/>
              <w:lang w:val="en-US" w:eastAsia="zh-CN" w:bidi="ar-SA"/>
            </w:rPr>
            <w:t>þ</w:t>
          </w:r>
        </w:sdtContent>
      </w:sdt>
      <w:r>
        <w:rPr>
          <w:rFonts w:hint="eastAsia" w:hAnsi="宋体" w:cs="宋体"/>
          <w:color w:val="auto"/>
          <w:sz w:val="24"/>
        </w:rPr>
        <w:t>是；</w:t>
      </w:r>
    </w:p>
    <w:p>
      <w:pPr>
        <w:spacing w:line="360" w:lineRule="auto"/>
        <w:rPr>
          <w:rFonts w:hint="eastAsia" w:ascii="宋体" w:hAnsi="宋体" w:cs="宋体"/>
          <w:b/>
          <w:color w:val="auto"/>
          <w:sz w:val="24"/>
        </w:rPr>
      </w:pPr>
      <w:r>
        <w:rPr>
          <w:rFonts w:hint="eastAsia" w:ascii="宋体" w:hAnsi="宋体" w:cs="宋体"/>
          <w:b/>
          <w:color w:val="auto"/>
          <w:sz w:val="24"/>
        </w:rPr>
        <w:t>二、</w:t>
      </w:r>
      <w:bookmarkStart w:id="10" w:name="_Hlk101132948"/>
      <w:r>
        <w:rPr>
          <w:rFonts w:hint="eastAsia" w:ascii="宋体" w:hAnsi="宋体" w:cs="宋体"/>
          <w:b/>
          <w:color w:val="auto"/>
          <w:sz w:val="24"/>
        </w:rPr>
        <w:t>申请人的资格要求</w:t>
      </w:r>
      <w:bookmarkEnd w:id="10"/>
      <w:r>
        <w:rPr>
          <w:rFonts w:hint="eastAsia" w:ascii="宋体" w:hAnsi="宋体" w:cs="宋体"/>
          <w:b/>
          <w:color w:val="auto"/>
          <w:sz w:val="24"/>
        </w:rPr>
        <w:t>：</w:t>
      </w:r>
    </w:p>
    <w:p>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color w:val="auto"/>
          <w:kern w:val="28"/>
          <w:sz w:val="24"/>
        </w:rPr>
        <w:t>3.落实政府采购政策需满足的资格要求：本项目属于专门面向中小企业采购的项目,供应商应为中、小、微型企业，监狱企业、残疾人福利性单位</w:t>
      </w:r>
    </w:p>
    <w:p>
      <w:pPr>
        <w:spacing w:line="360" w:lineRule="auto"/>
        <w:ind w:firstLine="482" w:firstLineChars="200"/>
        <w:rPr>
          <w:rFonts w:hint="eastAsia" w:ascii="宋体" w:hAnsi="宋体" w:cs="宋体"/>
          <w:b/>
          <w:bCs/>
          <w:color w:val="auto"/>
          <w:sz w:val="24"/>
        </w:rPr>
      </w:pPr>
      <w:r>
        <w:rPr>
          <w:rFonts w:ascii="宋体" w:hAnsi="宋体" w:cs="宋体"/>
          <w:b/>
          <w:bCs/>
          <w:color w:val="auto"/>
          <w:sz w:val="24"/>
        </w:rPr>
        <w:t>4</w:t>
      </w:r>
      <w:r>
        <w:rPr>
          <w:rFonts w:hint="eastAsia" w:ascii="宋体" w:hAnsi="宋体" w:cs="宋体"/>
          <w:b/>
          <w:bCs/>
          <w:color w:val="auto"/>
          <w:sz w:val="24"/>
        </w:rPr>
        <w:t>.本项目的特定资格要求：</w:t>
      </w:r>
    </w:p>
    <w:p>
      <w:pPr>
        <w:spacing w:line="360" w:lineRule="auto"/>
        <w:ind w:firstLine="512" w:firstLineChars="200"/>
        <w:rPr>
          <w:rFonts w:ascii="宋体" w:hAnsi="宋体" w:cs="宋体"/>
          <w:color w:val="auto"/>
          <w:spacing w:val="8"/>
          <w:kern w:val="0"/>
          <w:sz w:val="24"/>
        </w:rPr>
      </w:pPr>
      <w:r>
        <w:rPr>
          <w:rFonts w:hint="eastAsia" w:ascii="宋体" w:hAnsi="宋体" w:cs="宋体"/>
          <w:color w:val="auto"/>
          <w:spacing w:val="8"/>
          <w:kern w:val="0"/>
          <w:sz w:val="24"/>
        </w:rPr>
        <w:t>（1）供应商应具备</w:t>
      </w:r>
      <w:r>
        <w:rPr>
          <w:rFonts w:hint="eastAsia" w:ascii="宋体" w:hAnsi="宋体" w:cs="宋体"/>
          <w:color w:val="auto"/>
          <w:spacing w:val="8"/>
          <w:kern w:val="0"/>
          <w:sz w:val="24"/>
          <w:lang w:val="en-US" w:eastAsia="zh-CN"/>
        </w:rPr>
        <w:t>建筑施工总承包三</w:t>
      </w:r>
      <w:r>
        <w:rPr>
          <w:rFonts w:hint="eastAsia" w:ascii="宋体" w:hAnsi="宋体" w:cs="宋体"/>
          <w:color w:val="auto"/>
          <w:spacing w:val="8"/>
          <w:kern w:val="0"/>
          <w:sz w:val="24"/>
        </w:rPr>
        <w:t>级及以上资质；</w:t>
      </w:r>
    </w:p>
    <w:p>
      <w:pPr>
        <w:spacing w:line="360" w:lineRule="auto"/>
        <w:ind w:firstLine="512" w:firstLineChars="200"/>
        <w:rPr>
          <w:rFonts w:ascii="宋体" w:hAnsi="宋体" w:cs="宋体"/>
          <w:color w:val="auto"/>
          <w:spacing w:val="8"/>
          <w:kern w:val="0"/>
          <w:sz w:val="24"/>
        </w:rPr>
      </w:pPr>
      <w:r>
        <w:rPr>
          <w:rFonts w:hint="eastAsia" w:ascii="宋体" w:hAnsi="宋体" w:cs="宋体"/>
          <w:color w:val="auto"/>
          <w:spacing w:val="8"/>
          <w:kern w:val="0"/>
          <w:sz w:val="24"/>
        </w:rPr>
        <w:t>（2）具有有效期内的安全生产许可证；</w:t>
      </w:r>
    </w:p>
    <w:p>
      <w:pPr>
        <w:spacing w:line="360" w:lineRule="auto"/>
        <w:ind w:firstLine="512" w:firstLineChars="200"/>
        <w:rPr>
          <w:rFonts w:ascii="宋体" w:hAnsi="宋体" w:cs="宋体"/>
          <w:color w:val="auto"/>
          <w:spacing w:val="8"/>
          <w:kern w:val="0"/>
          <w:sz w:val="24"/>
        </w:rPr>
      </w:pPr>
      <w:r>
        <w:rPr>
          <w:rFonts w:hint="eastAsia" w:ascii="宋体" w:hAnsi="宋体" w:cs="宋体"/>
          <w:color w:val="auto"/>
          <w:spacing w:val="8"/>
          <w:kern w:val="0"/>
          <w:sz w:val="24"/>
        </w:rPr>
        <w:t>（3）拟派项目经理具有建筑工程专业二级及以上注册建造师资格，且具有有效的三类人员B类证书，且无在建工程</w:t>
      </w:r>
      <w:r>
        <w:rPr>
          <w:rFonts w:hint="eastAsia" w:ascii="宋体" w:hAnsi="宋体" w:cs="宋体"/>
          <w:color w:val="auto"/>
          <w:spacing w:val="8"/>
          <w:kern w:val="0"/>
          <w:sz w:val="24"/>
          <w:lang w:val="en-US" w:eastAsia="zh-CN"/>
        </w:rPr>
        <w:t>并提供无在建工程书面承诺</w:t>
      </w:r>
      <w:r>
        <w:rPr>
          <w:rFonts w:hint="eastAsia" w:ascii="宋体" w:hAnsi="宋体" w:cs="宋体"/>
          <w:color w:val="auto"/>
          <w:spacing w:val="8"/>
          <w:kern w:val="0"/>
          <w:sz w:val="24"/>
        </w:rPr>
        <w:t>（在建合同工程的开始时间为合同工程中标通知书发出日期（不通过招标方式的，开始时间为合同签订日期），结束时间为该合同工程通过验收或合同解除日期）。</w:t>
      </w:r>
    </w:p>
    <w:p>
      <w:pPr>
        <w:spacing w:line="360" w:lineRule="auto"/>
        <w:ind w:firstLine="512" w:firstLineChars="200"/>
        <w:rPr>
          <w:rFonts w:hint="eastAsia" w:ascii="宋体" w:hAnsi="宋体" w:cs="宋体"/>
          <w:b/>
          <w:bCs/>
          <w:color w:val="auto"/>
          <w:sz w:val="24"/>
        </w:rPr>
      </w:pPr>
      <w:r>
        <w:rPr>
          <w:rFonts w:hint="eastAsia" w:ascii="宋体" w:hAnsi="宋体" w:cs="宋体"/>
          <w:color w:val="auto"/>
          <w:spacing w:val="8"/>
          <w:kern w:val="0"/>
          <w:sz w:val="24"/>
        </w:rPr>
        <w:t>（4）拟派施工现场专职安全生产管理人员【符合中华人民共和国住房和城乡建设部建质[2015]91 号《建筑施工企业安全生产管理机构设置及专职安全生产管理人员配备办法》的规定】具有“三类人员”C 类证书。</w:t>
      </w:r>
    </w:p>
    <w:p>
      <w:pPr>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rPr>
      </w:pPr>
      <w:r>
        <w:rPr>
          <w:rFonts w:hint="eastAsia" w:ascii="宋体" w:hAnsi="宋体" w:cs="宋体"/>
          <w:b/>
          <w:color w:val="auto"/>
          <w:sz w:val="24"/>
        </w:rPr>
        <w:t xml:space="preserve">三、获取采购文件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 xml:space="preserve">日 </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杭州市教育局非依法招标（小额）项目平台获取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供应商登录杭州市教育局非依法招标（小额）项目平台https://hzjyg.lecaiyun.com/在线申请获取采购文件（进入“项目采购”应用，在获取采购文件菜单中选择项目，申请获取采购文件）</w:t>
      </w:r>
    </w:p>
    <w:p>
      <w:pPr>
        <w:spacing w:line="360" w:lineRule="auto"/>
        <w:rPr>
          <w:rFonts w:hint="eastAsia"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日09点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color w:val="auto"/>
          <w:sz w:val="24"/>
        </w:rPr>
        <w:t>（北京时间）</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请登录乐采云投标客户端投标 </w:t>
      </w:r>
    </w:p>
    <w:p>
      <w:pPr>
        <w:spacing w:line="360" w:lineRule="auto"/>
        <w:rPr>
          <w:rFonts w:hint="eastAsia"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 xml:space="preserve"> 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日09点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color w:val="auto"/>
          <w:sz w:val="24"/>
        </w:rPr>
        <w:t>（北京时间）</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https://hzjyg.lecaiyun.com</w:t>
      </w:r>
    </w:p>
    <w:p>
      <w:pPr>
        <w:spacing w:line="360" w:lineRule="auto"/>
        <w:rPr>
          <w:rFonts w:hint="eastAsia"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spacing w:line="360" w:lineRule="auto"/>
        <w:rPr>
          <w:rFonts w:hint="eastAsia" w:ascii="宋体" w:hAnsi="宋体" w:cs="宋体"/>
          <w:b/>
          <w:color w:val="auto"/>
          <w:sz w:val="24"/>
        </w:rPr>
      </w:pPr>
      <w:r>
        <w:rPr>
          <w:rFonts w:hint="eastAsia" w:ascii="宋体" w:hAnsi="宋体" w:cs="宋体"/>
          <w:b/>
          <w:color w:val="auto"/>
          <w:sz w:val="24"/>
        </w:rPr>
        <w:t>七、其他补充事宜</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其他事项：（1）需要落实的政府采购政策：包括促进中小企业发展等。详见采购文件的第二部分总则。（2）电子交易的说明：①电子交易：本项目以数据电文形式，依托“乐采云平台（https://hzjyg.lecaiyun.com）”进行招投标活动，不接受纸质响应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乐采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文件无效；⑩具体操作指南：详见乐采云平台“服务中心-帮助文档-项目采购-操作流程-电子招投标-政府采购项目电子交易管理操作指南-供应商”。（3）采购文件公告期限与竞争性磋商公告的公告期限一致。</w:t>
      </w:r>
    </w:p>
    <w:p>
      <w:pPr>
        <w:spacing w:line="360" w:lineRule="auto"/>
        <w:rPr>
          <w:rFonts w:hint="eastAsia" w:ascii="宋体" w:hAnsi="宋体" w:cs="宋体"/>
          <w:b/>
          <w:color w:val="auto"/>
          <w:sz w:val="24"/>
        </w:rPr>
      </w:pPr>
      <w:r>
        <w:rPr>
          <w:rFonts w:hint="eastAsia" w:ascii="宋体" w:hAnsi="宋体" w:cs="宋体"/>
          <w:b/>
          <w:color w:val="auto"/>
          <w:sz w:val="24"/>
        </w:rPr>
        <w:t>八、对本次采购提出询问、质疑、投诉，请按以下方式联系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1.采购人信息</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杭州市中策职业学校钱塘学校</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lang w:val="en-US" w:eastAsia="zh-CN"/>
        </w:rPr>
        <w:t xml:space="preserve">杭州市钱塘新区品优街2789号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val="en-US" w:eastAsia="zh-CN"/>
        </w:rPr>
        <w:t xml:space="preserve">童老师  </w:t>
      </w:r>
      <w:r>
        <w:rPr>
          <w:rFonts w:ascii="宋体" w:hAnsi="宋体" w:cs="宋体"/>
          <w:color w:val="auto"/>
          <w:sz w:val="24"/>
        </w:rPr>
        <w:t xml:space="preserve"> </w:t>
      </w:r>
      <w:r>
        <w:rPr>
          <w:rFonts w:hint="eastAsia" w:ascii="宋体" w:hAnsi="宋体" w:cs="宋体"/>
          <w:color w:val="auto"/>
          <w:sz w:val="24"/>
          <w:lang w:val="en-US" w:eastAsia="zh-CN"/>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项目联系方式：0571-86659577</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浙江省房地产管理咨询有限公司</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杭州市拱墅区绍兴路538号三立时代广场1206号</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val="en-US" w:eastAsia="zh-CN"/>
        </w:rPr>
        <w:t>周工</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项目联系方式：15057164723</w:t>
      </w:r>
    </w:p>
    <w:p>
      <w:pPr>
        <w:pStyle w:val="5"/>
        <w:rPr>
          <w:color w:val="auto"/>
        </w:rPr>
      </w:pPr>
    </w:p>
    <w:p>
      <w:pPr>
        <w:spacing w:line="360" w:lineRule="auto"/>
        <w:jc w:val="center"/>
        <w:rPr>
          <w:rFonts w:hint="eastAsia" w:hAnsi="宋体" w:cs="宋体"/>
          <w:b/>
          <w:color w:val="auto"/>
          <w:sz w:val="36"/>
          <w:szCs w:val="20"/>
        </w:rPr>
      </w:pPr>
      <w:r>
        <w:rPr>
          <w:rFonts w:hint="eastAsia" w:hAnsi="宋体" w:cs="宋体"/>
          <w:b/>
          <w:color w:val="auto"/>
          <w:sz w:val="36"/>
          <w:szCs w:val="20"/>
        </w:rPr>
        <w:br w:type="page"/>
      </w:r>
    </w:p>
    <w:p>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供应商须知</w:t>
      </w:r>
      <w:bookmarkEnd w:id="8"/>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前附表</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7111"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w:t>
            </w:r>
          </w:p>
        </w:tc>
        <w:tc>
          <w:tcPr>
            <w:tcW w:w="7111" w:type="dxa"/>
            <w:vAlign w:val="center"/>
          </w:tcPr>
          <w:p>
            <w:pPr>
              <w:spacing w:line="360" w:lineRule="auto"/>
              <w:rPr>
                <w:rFonts w:hint="eastAsia"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7111" w:type="dxa"/>
            <w:vAlign w:val="center"/>
          </w:tcPr>
          <w:p>
            <w:pPr>
              <w:snapToGrid w:val="0"/>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产教融合区域中高一体高技能人才实训中心（一期）工程项目（重新招标）</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pPr>
              <w:snapToGrid w:val="0"/>
              <w:rPr>
                <w:rFonts w:hint="eastAsia" w:ascii="宋体" w:hAnsi="宋体" w:cs="宋体"/>
                <w:color w:val="auto"/>
                <w:kern w:val="0"/>
                <w:sz w:val="24"/>
              </w:rPr>
            </w:pPr>
            <w:r>
              <w:rPr>
                <w:rFonts w:hint="eastAsia" w:ascii="宋体" w:hAnsi="宋体" w:cs="宋体"/>
                <w:snapToGrid w:val="0"/>
                <w:color w:val="auto"/>
                <w:kern w:val="0"/>
                <w:sz w:val="24"/>
              </w:rPr>
              <w:t>中小企业划分标准：</w:t>
            </w:r>
            <w:r>
              <w:rPr>
                <w:rFonts w:hint="eastAsia" w:ascii="宋体" w:hAnsi="宋体" w:cs="宋体"/>
                <w:snapToGrid w:val="0"/>
                <w:color w:val="auto"/>
                <w:kern w:val="0"/>
                <w:sz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7111" w:type="dxa"/>
            <w:vAlign w:val="center"/>
          </w:tcPr>
          <w:p>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093" w:type="dxa"/>
            <w:vAlign w:val="center"/>
          </w:tcPr>
          <w:p>
            <w:pPr>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分包</w:t>
            </w:r>
          </w:p>
        </w:tc>
        <w:tc>
          <w:tcPr>
            <w:tcW w:w="7111" w:type="dxa"/>
            <w:vAlign w:val="center"/>
          </w:tcPr>
          <w:p>
            <w:pPr>
              <w:spacing w:line="360" w:lineRule="auto"/>
              <w:rPr>
                <w:rFonts w:hint="eastAsia" w:ascii="宋体" w:hAnsi="宋体" w:cs="宋体"/>
                <w:color w:val="auto"/>
                <w:kern w:val="0"/>
                <w:sz w:val="24"/>
              </w:rPr>
            </w:pPr>
            <w:r>
              <w:rPr>
                <w:rFonts w:hint="eastAsia" w:ascii="宋体" w:hAnsi="宋体" w:cs="宋体"/>
                <w:color w:val="auto"/>
                <w:sz w:val="24"/>
              </w:rPr>
              <w:t>同意将非主体、非关键性的</w:t>
            </w:r>
            <w:r>
              <w:rPr>
                <w:rFonts w:hint="eastAsia" w:ascii="宋体" w:hAnsi="宋体" w:cs="宋体"/>
                <w:color w:val="auto"/>
                <w:sz w:val="24"/>
                <w:u w:val="single"/>
              </w:rPr>
              <w:t>劳务</w:t>
            </w:r>
            <w:r>
              <w:rPr>
                <w:rFonts w:hint="eastAsia" w:ascii="宋体" w:hAnsi="宋体" w:cs="宋体"/>
                <w:color w:val="auto"/>
                <w:sz w:val="24"/>
              </w:rPr>
              <w:t>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磋商前答疑会或现场考察</w:t>
            </w:r>
          </w:p>
        </w:tc>
        <w:tc>
          <w:tcPr>
            <w:tcW w:w="7111" w:type="dxa"/>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hint="eastAsia"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7111" w:type="dxa"/>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hint="eastAsia"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093" w:type="dxa"/>
            <w:vAlign w:val="center"/>
          </w:tcPr>
          <w:p>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7111" w:type="dxa"/>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hint="eastAsia"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093" w:type="dxa"/>
            <w:vMerge w:val="restart"/>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供应商应当提供的资格、资信证明文件</w:t>
            </w:r>
          </w:p>
        </w:tc>
        <w:tc>
          <w:tcPr>
            <w:tcW w:w="7111" w:type="dxa"/>
            <w:vAlign w:val="center"/>
          </w:tcPr>
          <w:p>
            <w:pPr>
              <w:spacing w:line="360" w:lineRule="auto"/>
              <w:rPr>
                <w:rFonts w:hint="eastAsia" w:ascii="宋体" w:hAnsi="宋体" w:cs="宋体"/>
                <w:color w:val="auto"/>
                <w:sz w:val="24"/>
              </w:rPr>
            </w:pPr>
            <w:r>
              <w:rPr>
                <w:rFonts w:hint="eastAsia" w:ascii="宋体" w:hAnsi="宋体" w:cs="宋体"/>
                <w:color w:val="auto"/>
                <w:sz w:val="24"/>
              </w:rPr>
              <w:t>（1）资格证明文件：见采购文件第二部分11.1。</w:t>
            </w:r>
          </w:p>
          <w:p>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宋体" w:hAnsi="宋体" w:cs="宋体"/>
                <w:color w:val="auto"/>
                <w:sz w:val="24"/>
              </w:rPr>
            </w:pPr>
          </w:p>
        </w:tc>
        <w:tc>
          <w:tcPr>
            <w:tcW w:w="2093" w:type="dxa"/>
            <w:vMerge w:val="continue"/>
            <w:vAlign w:val="center"/>
          </w:tcPr>
          <w:p>
            <w:pPr>
              <w:snapToGrid w:val="0"/>
              <w:spacing w:line="360" w:lineRule="auto"/>
              <w:jc w:val="center"/>
              <w:rPr>
                <w:rFonts w:hint="eastAsia" w:ascii="宋体" w:hAnsi="宋体" w:cs="宋体"/>
                <w:b/>
                <w:color w:val="auto"/>
                <w:sz w:val="24"/>
              </w:rPr>
            </w:pPr>
          </w:p>
        </w:tc>
        <w:tc>
          <w:tcPr>
            <w:tcW w:w="7111" w:type="dxa"/>
            <w:vAlign w:val="center"/>
          </w:tcPr>
          <w:p>
            <w:pPr>
              <w:spacing w:line="360" w:lineRule="auto"/>
              <w:rPr>
                <w:rFonts w:hint="eastAsia" w:ascii="宋体" w:hAnsi="宋体" w:cs="宋体"/>
                <w:color w:val="auto"/>
                <w:sz w:val="24"/>
              </w:rPr>
            </w:pPr>
            <w:r>
              <w:rPr>
                <w:rFonts w:hint="eastAsia" w:ascii="宋体" w:hAnsi="宋体" w:cs="宋体"/>
                <w:color w:val="auto"/>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7111" w:type="dxa"/>
            <w:vAlign w:val="center"/>
          </w:tcPr>
          <w:p>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r>
              <w:rPr>
                <w:rFonts w:hint="eastAsia" w:ascii="宋体" w:hAnsi="宋体" w:cs="宋体"/>
                <w:b/>
                <w:color w:val="auto"/>
                <w:kern w:val="0"/>
                <w:sz w:val="24"/>
                <w:lang w:val="zh-CN"/>
              </w:rPr>
              <w:t>提醒：验收时检测费用由采购人承担，不包含在总价中。</w:t>
            </w:r>
          </w:p>
          <w:p>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最后报价超过采购文件中规定的预算金额或者最高限价的;</w:t>
            </w:r>
          </w:p>
          <w:p>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9" w:hRule="atLeast"/>
        </w:trPr>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备份响应文件送达地点和签收人员</w:t>
            </w:r>
          </w:p>
        </w:tc>
        <w:tc>
          <w:tcPr>
            <w:tcW w:w="7111" w:type="dxa"/>
            <w:vAlign w:val="center"/>
          </w:tcPr>
          <w:p>
            <w:pPr>
              <w:pStyle w:val="33"/>
              <w:spacing w:line="360" w:lineRule="auto"/>
              <w:rPr>
                <w:rFonts w:hint="eastAsia" w:hAnsi="宋体" w:cs="宋体"/>
                <w:color w:val="auto"/>
                <w:kern w:val="28"/>
                <w:sz w:val="24"/>
                <w:szCs w:val="24"/>
              </w:rPr>
            </w:pPr>
            <w:r>
              <w:rPr>
                <w:rFonts w:hint="eastAsia" w:hAnsi="宋体" w:cs="宋体"/>
                <w:color w:val="auto"/>
                <w:kern w:val="28"/>
                <w:sz w:val="24"/>
                <w:szCs w:val="24"/>
              </w:rPr>
              <w:t>备份响应文件送达地点：</w:t>
            </w:r>
            <w:r>
              <w:rPr>
                <w:rFonts w:hint="eastAsia" w:ascii="宋体" w:hAnsi="宋体" w:cs="宋体"/>
                <w:color w:val="auto"/>
                <w:sz w:val="24"/>
                <w:lang w:val="en-US" w:eastAsia="zh-CN"/>
              </w:rPr>
              <w:t>杭州市拱墅区绍兴路538号三立时代广场1206号</w:t>
            </w:r>
          </w:p>
          <w:p>
            <w:pPr>
              <w:pStyle w:val="33"/>
              <w:spacing w:line="360" w:lineRule="auto"/>
              <w:rPr>
                <w:rFonts w:hint="eastAsia" w:hAnsi="宋体" w:cs="宋体"/>
                <w:color w:val="auto"/>
                <w:kern w:val="28"/>
                <w:sz w:val="24"/>
                <w:szCs w:val="24"/>
              </w:rPr>
            </w:pPr>
            <w:r>
              <w:rPr>
                <w:rFonts w:hint="eastAsia" w:hAnsi="宋体" w:cs="宋体"/>
                <w:color w:val="auto"/>
                <w:kern w:val="28"/>
                <w:sz w:val="24"/>
                <w:szCs w:val="24"/>
              </w:rPr>
              <w:t>备份响应文件签收人员联系电话：</w:t>
            </w:r>
            <w:r>
              <w:rPr>
                <w:rFonts w:hint="eastAsia" w:hAnsi="宋体" w:cs="宋体"/>
                <w:color w:val="auto"/>
                <w:kern w:val="28"/>
                <w:sz w:val="24"/>
                <w:szCs w:val="24"/>
                <w:lang w:val="en-US" w:eastAsia="zh-CN"/>
              </w:rPr>
              <w:t>周工，15057164723</w:t>
            </w:r>
            <w:r>
              <w:rPr>
                <w:rFonts w:hint="eastAsia" w:hAnsi="宋体" w:cs="宋体"/>
                <w:color w:val="auto"/>
                <w:kern w:val="28"/>
                <w:sz w:val="24"/>
                <w:szCs w:val="24"/>
              </w:rPr>
              <w:t>。</w:t>
            </w:r>
          </w:p>
          <w:p>
            <w:pPr>
              <w:pStyle w:val="33"/>
              <w:spacing w:line="360" w:lineRule="auto"/>
              <w:rPr>
                <w:rFonts w:hint="eastAsia" w:hAnsi="宋体" w:cs="宋体"/>
                <w:color w:val="auto"/>
                <w:kern w:val="28"/>
                <w:sz w:val="24"/>
              </w:rPr>
            </w:pPr>
            <w:r>
              <w:rPr>
                <w:rFonts w:hint="eastAsia" w:hAnsi="宋体" w:cs="宋体"/>
                <w:color w:val="auto"/>
                <w:kern w:val="28"/>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其它说明</w:t>
            </w:r>
          </w:p>
        </w:tc>
        <w:tc>
          <w:tcPr>
            <w:tcW w:w="7111" w:type="dxa"/>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采购代理服务费</w:t>
            </w:r>
          </w:p>
        </w:tc>
        <w:tc>
          <w:tcPr>
            <w:tcW w:w="7111" w:type="dxa"/>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本项目采购代理服务费由成交人支付，代理服务费收费（响应报价）以《招标代理服务收费管理暂行办法》(浙价服(2003)77号文件)的收费标准的80%执行，保底收费6000元。</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结算方式及时间为：中标（成交）通知书发出7个工作日之内一次性支付给招标代理公司。</w:t>
            </w:r>
          </w:p>
          <w:p>
            <w:pPr>
              <w:spacing w:line="360" w:lineRule="auto"/>
              <w:rPr>
                <w:rFonts w:hint="eastAsia" w:ascii="宋体" w:hAnsi="宋体" w:cs="宋体"/>
                <w:snapToGrid w:val="0"/>
                <w:color w:val="auto"/>
                <w:kern w:val="28"/>
                <w:sz w:val="24"/>
                <w:lang w:val="zh-TW" w:eastAsia="zh-CN"/>
              </w:rPr>
            </w:pPr>
            <w:bookmarkStart w:id="11" w:name="OLE_LINK1"/>
            <w:r>
              <w:rPr>
                <w:rFonts w:hint="eastAsia" w:ascii="宋体" w:hAnsi="宋体" w:cs="宋体"/>
                <w:snapToGrid w:val="0"/>
                <w:color w:val="auto"/>
                <w:kern w:val="28"/>
                <w:sz w:val="24"/>
                <w:lang w:val="zh-TW" w:eastAsia="zh-CN"/>
              </w:rPr>
              <w:t>账户名称：浙江省房地产管理咨询有限公司</w:t>
            </w:r>
          </w:p>
          <w:p>
            <w:pPr>
              <w:spacing w:line="360" w:lineRule="auto"/>
              <w:rPr>
                <w:rFonts w:hint="eastAsia" w:ascii="宋体" w:hAnsi="宋体" w:cs="宋体"/>
                <w:snapToGrid w:val="0"/>
                <w:color w:val="auto"/>
                <w:kern w:val="28"/>
                <w:sz w:val="24"/>
                <w:lang w:val="zh-TW" w:eastAsia="zh-CN"/>
              </w:rPr>
            </w:pPr>
            <w:r>
              <w:rPr>
                <w:rFonts w:hint="eastAsia" w:ascii="宋体" w:hAnsi="宋体" w:cs="宋体"/>
                <w:snapToGrid w:val="0"/>
                <w:color w:val="auto"/>
                <w:kern w:val="28"/>
                <w:sz w:val="24"/>
                <w:lang w:val="zh-TW" w:eastAsia="zh-CN"/>
              </w:rPr>
              <w:t>开户银行：杭州银行保俶支行</w:t>
            </w:r>
            <w:r>
              <w:rPr>
                <w:rFonts w:hint="eastAsia" w:ascii="宋体" w:hAnsi="宋体" w:cs="宋体"/>
                <w:snapToGrid w:val="0"/>
                <w:color w:val="auto"/>
                <w:kern w:val="28"/>
                <w:sz w:val="24"/>
                <w:lang w:val="en-US" w:eastAsia="zh-CN"/>
              </w:rPr>
              <w:t xml:space="preserve"> </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lang w:val="zh-TW" w:eastAsia="zh-CN"/>
              </w:rPr>
              <w:t xml:space="preserve">银行账号：77508100150602 </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工程量清单编制</w:t>
            </w:r>
            <w:r>
              <w:rPr>
                <w:rFonts w:ascii="宋体" w:hAnsi="宋体" w:cs="宋体"/>
                <w:b/>
                <w:color w:val="auto"/>
                <w:sz w:val="24"/>
              </w:rPr>
              <w:t>费</w:t>
            </w:r>
          </w:p>
        </w:tc>
        <w:tc>
          <w:tcPr>
            <w:tcW w:w="7111" w:type="dxa"/>
            <w:vAlign w:val="center"/>
          </w:tcPr>
          <w:p>
            <w:pPr>
              <w:spacing w:line="360" w:lineRule="auto"/>
              <w:rPr>
                <w:rFonts w:hint="eastAsia" w:ascii="宋体" w:hAnsi="宋体" w:cs="宋体"/>
                <w:color w:val="auto"/>
                <w:kern w:val="0"/>
                <w:sz w:val="24"/>
              </w:rPr>
            </w:pPr>
            <w:r>
              <w:rPr>
                <w:rFonts w:ascii="宋体" w:hAnsi="宋体" w:cs="宋体"/>
                <w:snapToGrid w:val="0"/>
                <w:color w:val="auto"/>
                <w:kern w:val="28"/>
                <w:sz w:val="24"/>
              </w:rPr>
              <w:t>本项目的</w:t>
            </w:r>
            <w:r>
              <w:rPr>
                <w:rFonts w:hint="eastAsia" w:ascii="宋体" w:hAnsi="宋体" w:cs="宋体"/>
                <w:snapToGrid w:val="0"/>
                <w:color w:val="auto"/>
                <w:kern w:val="28"/>
                <w:sz w:val="24"/>
              </w:rPr>
              <w:t>工程量清单编制</w:t>
            </w:r>
            <w:r>
              <w:rPr>
                <w:rFonts w:ascii="宋体" w:hAnsi="宋体" w:cs="宋体"/>
                <w:snapToGrid w:val="0"/>
                <w:color w:val="auto"/>
                <w:kern w:val="28"/>
                <w:sz w:val="24"/>
              </w:rPr>
              <w:t>费由</w:t>
            </w:r>
            <w:r>
              <w:rPr>
                <w:rFonts w:hint="eastAsia" w:ascii="宋体" w:hAnsi="宋体" w:cs="宋体"/>
                <w:snapToGrid w:val="0"/>
                <w:color w:val="auto"/>
                <w:kern w:val="28"/>
                <w:sz w:val="24"/>
              </w:rPr>
              <w:t>成交人</w:t>
            </w:r>
            <w:r>
              <w:rPr>
                <w:rFonts w:ascii="宋体" w:hAnsi="宋体" w:cs="宋体"/>
                <w:snapToGrid w:val="0"/>
                <w:color w:val="auto"/>
                <w:kern w:val="28"/>
                <w:sz w:val="24"/>
              </w:rPr>
              <w:t>支付</w:t>
            </w:r>
            <w:r>
              <w:rPr>
                <w:rFonts w:hint="eastAsia" w:ascii="宋体" w:hAnsi="宋体" w:cs="宋体"/>
                <w:snapToGrid w:val="0"/>
                <w:color w:val="auto"/>
                <w:kern w:val="28"/>
                <w:sz w:val="24"/>
              </w:rPr>
              <w:t>，</w:t>
            </w:r>
            <w:r>
              <w:rPr>
                <w:rFonts w:hint="eastAsia" w:ascii="宋体" w:hAnsi="宋体" w:cs="宋体"/>
                <w:color w:val="auto"/>
                <w:kern w:val="0"/>
                <w:sz w:val="24"/>
              </w:rPr>
              <w:t>《浙江省建设工程造价咨询服务项目及收费指引》(浙建价协(2021)13号文件)规定的相应项目收费标准的80%执行，保底收费3000元。</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结算方式及时间为：中标（成交）通知书发出7个工作日之内一次性支付给招标代理公司。</w:t>
            </w:r>
          </w:p>
          <w:p>
            <w:pPr>
              <w:spacing w:line="360" w:lineRule="auto"/>
              <w:rPr>
                <w:rFonts w:hint="eastAsia" w:ascii="宋体" w:hAnsi="宋体" w:cs="宋体"/>
                <w:snapToGrid w:val="0"/>
                <w:color w:val="auto"/>
                <w:kern w:val="28"/>
                <w:sz w:val="24"/>
                <w:lang w:val="zh-TW" w:eastAsia="zh-CN"/>
              </w:rPr>
            </w:pPr>
            <w:r>
              <w:rPr>
                <w:rFonts w:hint="eastAsia" w:ascii="宋体" w:hAnsi="宋体" w:cs="宋体"/>
                <w:snapToGrid w:val="0"/>
                <w:color w:val="auto"/>
                <w:kern w:val="28"/>
                <w:sz w:val="24"/>
                <w:lang w:val="zh-TW" w:eastAsia="zh-CN"/>
              </w:rPr>
              <w:t>账户名称：浙江省房地产管理咨询有限公司</w:t>
            </w:r>
          </w:p>
          <w:p>
            <w:pPr>
              <w:spacing w:line="360" w:lineRule="auto"/>
              <w:rPr>
                <w:rFonts w:hint="eastAsia" w:ascii="宋体" w:hAnsi="宋体" w:cs="宋体"/>
                <w:snapToGrid w:val="0"/>
                <w:color w:val="auto"/>
                <w:kern w:val="28"/>
                <w:sz w:val="24"/>
                <w:lang w:val="zh-TW" w:eastAsia="zh-CN"/>
              </w:rPr>
            </w:pPr>
            <w:r>
              <w:rPr>
                <w:rFonts w:hint="eastAsia" w:ascii="宋体" w:hAnsi="宋体" w:cs="宋体"/>
                <w:snapToGrid w:val="0"/>
                <w:color w:val="auto"/>
                <w:kern w:val="28"/>
                <w:sz w:val="24"/>
                <w:lang w:val="zh-TW" w:eastAsia="zh-CN"/>
              </w:rPr>
              <w:t>开户银行：杭州银行保俶支行</w:t>
            </w:r>
            <w:r>
              <w:rPr>
                <w:rFonts w:hint="eastAsia" w:ascii="宋体" w:hAnsi="宋体" w:cs="宋体"/>
                <w:snapToGrid w:val="0"/>
                <w:color w:val="auto"/>
                <w:kern w:val="28"/>
                <w:sz w:val="24"/>
                <w:lang w:val="en-US" w:eastAsia="zh-CN"/>
              </w:rPr>
              <w:t xml:space="preserve"> </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lang w:val="zh-TW" w:eastAsia="zh-CN"/>
              </w:rPr>
              <w:t xml:space="preserve">银行账号：77508100150602 </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bookmarkStart w:id="12" w:name="_Toc164416483"/>
            <w:bookmarkStart w:id="13" w:name="第三部分"/>
            <w:r>
              <w:rPr>
                <w:rFonts w:hint="eastAsia" w:ascii="宋体" w:hAnsi="宋体" w:cs="宋体"/>
                <w:color w:val="auto"/>
                <w:sz w:val="24"/>
              </w:rPr>
              <w:t>14</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中标候选人及中标人</w:t>
            </w:r>
          </w:p>
        </w:tc>
        <w:tc>
          <w:tcPr>
            <w:tcW w:w="7111" w:type="dxa"/>
            <w:vAlign w:val="center"/>
          </w:tcPr>
          <w:p>
            <w:pPr>
              <w:spacing w:line="360" w:lineRule="auto"/>
              <w:rPr>
                <w:rFonts w:hint="eastAsia" w:ascii="宋体" w:hAnsi="宋体" w:cs="宋体"/>
                <w:snapToGrid w:val="0"/>
                <w:color w:val="auto"/>
                <w:kern w:val="28"/>
                <w:sz w:val="24"/>
              </w:rPr>
            </w:pPr>
            <w:r>
              <w:rPr>
                <w:rFonts w:hint="eastAsia" w:ascii="宋体" w:hAnsi="宋体" w:cs="宋体"/>
                <w:bCs/>
                <w:color w:val="auto"/>
                <w:sz w:val="24"/>
              </w:rPr>
              <w:t>本项目中标候选人：3名，中标人：1名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特别提醒</w:t>
            </w:r>
          </w:p>
        </w:tc>
        <w:tc>
          <w:tcPr>
            <w:tcW w:w="7111" w:type="dxa"/>
            <w:vAlign w:val="center"/>
          </w:tcPr>
          <w:p>
            <w:pPr>
              <w:snapToGrid w:val="0"/>
              <w:spacing w:line="288" w:lineRule="auto"/>
              <w:rPr>
                <w:rFonts w:hint="eastAsia" w:ascii="宋体" w:hAnsi="宋体" w:cs="宋体"/>
                <w:bCs/>
                <w:color w:val="auto"/>
                <w:sz w:val="24"/>
              </w:rPr>
            </w:pPr>
            <w:r>
              <w:rPr>
                <w:rFonts w:hint="eastAsia" w:ascii="宋体" w:hAnsi="宋体" w:cs="宋体"/>
                <w:bCs/>
                <w:color w:val="auto"/>
                <w:sz w:val="24"/>
              </w:rPr>
              <w:t>1、参与同一标段（包）的投标人（供应商）存在MAC地址相同、计算机硬盘序列号相同、响应文件细节错误一致且无合理解释、供应商手机号相同等情形的，其响应文件无效。</w:t>
            </w:r>
          </w:p>
          <w:p>
            <w:pPr>
              <w:pStyle w:val="3"/>
              <w:tabs>
                <w:tab w:val="clear" w:pos="432"/>
              </w:tabs>
              <w:spacing w:line="288" w:lineRule="auto"/>
              <w:ind w:left="0" w:firstLine="0"/>
              <w:jc w:val="both"/>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2、供应商不得进行影响产品质量或者诚信履约的恶意报价。供应商在项目评审前准备好报价核算、报价明细、报价说明等材料，以备评审专家核查</w:t>
            </w:r>
          </w:p>
          <w:p>
            <w:pPr>
              <w:spacing w:line="360" w:lineRule="auto"/>
              <w:rPr>
                <w:rFonts w:hint="eastAsia" w:ascii="宋体" w:hAnsi="宋体" w:cs="宋体"/>
                <w:snapToGrid w:val="0"/>
                <w:color w:val="auto"/>
                <w:kern w:val="28"/>
                <w:sz w:val="24"/>
              </w:rPr>
            </w:pPr>
            <w:r>
              <w:rPr>
                <w:rFonts w:hint="eastAsia" w:ascii="宋体" w:hAnsi="宋体" w:cs="宋体"/>
                <w:bCs/>
                <w:color w:val="auto"/>
                <w:sz w:val="24"/>
              </w:rPr>
              <w:t>▲供应商报价低于项目预算</w:t>
            </w:r>
            <w:r>
              <w:rPr>
                <w:rFonts w:ascii="宋体" w:hAnsi="宋体" w:cs="宋体"/>
                <w:bCs/>
                <w:color w:val="auto"/>
                <w:sz w:val="24"/>
              </w:rPr>
              <w:t>50%</w:t>
            </w:r>
            <w:r>
              <w:rPr>
                <w:rFonts w:hint="eastAsia" w:ascii="宋体" w:hAnsi="宋体" w:cs="宋体"/>
                <w:bCs/>
                <w:color w:val="auto"/>
                <w:sz w:val="24"/>
              </w:rPr>
              <w:t>的，应当在报价文件中详细阐述不影响产品质量或者诚信履约的具体原因。</w:t>
            </w:r>
          </w:p>
        </w:tc>
      </w:tr>
    </w:tbl>
    <w:p>
      <w:pPr>
        <w:jc w:val="left"/>
        <w:rPr>
          <w:rFonts w:hint="eastAsia" w:ascii="宋体" w:hAnsi="宋体" w:cs="宋体"/>
          <w:b/>
          <w:color w:val="auto"/>
          <w:sz w:val="32"/>
          <w:szCs w:val="20"/>
        </w:rPr>
      </w:pPr>
      <w:r>
        <w:rPr>
          <w:rFonts w:hint="eastAsia" w:ascii="宋体" w:hAnsi="宋体" w:cs="宋体"/>
          <w:b/>
          <w:color w:val="auto"/>
          <w:sz w:val="32"/>
          <w:szCs w:val="20"/>
        </w:rPr>
        <w:br w:type="page"/>
      </w: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rPr>
          <w:rFonts w:hint="eastAsia"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rPr>
          <w:rFonts w:hint="eastAsia" w:ascii="宋体" w:hAnsi="宋体" w:cs="宋体"/>
          <w:b/>
          <w:color w:val="auto"/>
          <w:sz w:val="24"/>
        </w:rPr>
      </w:pPr>
      <w:r>
        <w:rPr>
          <w:rFonts w:hint="eastAsia" w:ascii="宋体" w:hAnsi="宋体" w:cs="宋体"/>
          <w:b/>
          <w:color w:val="auto"/>
          <w:sz w:val="24"/>
        </w:rPr>
        <w:t>2.定义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“采购人”系指竞争性磋商公告中载明的本项目的采购人。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“采购代理机构”系指竞争性磋商公告中载明的本项目的采购代理机构。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2.6“电子交易平台”系指本项目采购活动所依托的乐采云平台（https://hzjyg.lecaiyun.com）。</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pPr>
        <w:snapToGrid w:val="0"/>
        <w:spacing w:line="360" w:lineRule="auto"/>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3.2支持中小企业发展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bCs/>
          <w:color w:val="auto"/>
          <w:sz w:val="24"/>
        </w:rPr>
        <w:t>3.2.2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pPr>
        <w:widowControl/>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3.2.3符合《关于促进残疾人就业政府采购政策的通知》（财库〔2017〕141号）规定的条件并提供《残疾人福利性单位声明函》（附件1）的残疾人福利性单位视同小型、微型企业；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3.2.4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3.2.5中小企业享受扶持政策获得政府采购合同的，小微企业不得将合同分包给大中型企业，中型企业不得将合同分包给大型企业。</w:t>
      </w:r>
    </w:p>
    <w:p>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4. 询问、质疑</w:t>
      </w:r>
    </w:p>
    <w:p>
      <w:pPr>
        <w:autoSpaceDE w:val="0"/>
        <w:autoSpaceDN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rPr>
        <w:t>1</w:t>
      </w:r>
      <w:r>
        <w:rPr>
          <w:rFonts w:hint="eastAsia" w:ascii="宋体" w:hAnsi="宋体" w:cs="宋体"/>
          <w:color w:val="auto"/>
          <w:kern w:val="0"/>
          <w:sz w:val="24"/>
          <w:lang w:val="zh-CN"/>
        </w:rPr>
        <w:t>供应商询问</w:t>
      </w:r>
    </w:p>
    <w:p>
      <w:pPr>
        <w:autoSpaceDE w:val="0"/>
        <w:autoSpaceDN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rPr>
        <w:t>2</w:t>
      </w:r>
      <w:r>
        <w:rPr>
          <w:rFonts w:hint="eastAsia" w:ascii="宋体" w:hAnsi="宋体" w:cs="宋体"/>
          <w:color w:val="auto"/>
          <w:kern w:val="0"/>
          <w:sz w:val="24"/>
          <w:lang w:val="zh-CN"/>
        </w:rPr>
        <w:t>供应商质疑</w:t>
      </w:r>
    </w:p>
    <w:p>
      <w:pPr>
        <w:pStyle w:val="33"/>
        <w:snapToGrid w:val="0"/>
        <w:spacing w:line="360" w:lineRule="auto"/>
        <w:ind w:firstLine="480" w:firstLineChars="200"/>
        <w:rPr>
          <w:rFonts w:hint="eastAsia" w:hAnsi="宋体" w:cs="宋体"/>
          <w:color w:val="auto"/>
          <w:sz w:val="24"/>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sz w:val="24"/>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int="eastAsia" w:hAnsi="宋体" w:cs="宋体"/>
          <w:color w:val="auto"/>
          <w:sz w:val="24"/>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pPr>
        <w:pStyle w:val="33"/>
        <w:snapToGrid w:val="0"/>
        <w:spacing w:line="360" w:lineRule="auto"/>
        <w:ind w:firstLine="480" w:firstLineChars="200"/>
        <w:rPr>
          <w:rFonts w:hint="eastAsia" w:hAnsi="宋体" w:cs="宋体"/>
          <w:color w:val="auto"/>
          <w:sz w:val="24"/>
        </w:rPr>
      </w:pPr>
      <w:r>
        <w:rPr>
          <w:rFonts w:hint="eastAsia" w:hAnsi="宋体" w:cs="宋体"/>
          <w:color w:val="auto"/>
          <w:sz w:val="24"/>
        </w:rPr>
        <w:t>4.2.2.2对采购过程提出质疑的，质疑期限为各采购程序环节结束之日起计算。</w:t>
      </w:r>
    </w:p>
    <w:p>
      <w:pPr>
        <w:pStyle w:val="33"/>
        <w:snapToGrid w:val="0"/>
        <w:spacing w:line="360" w:lineRule="auto"/>
        <w:ind w:firstLine="480" w:firstLineChars="200"/>
        <w:rPr>
          <w:rFonts w:hint="eastAsia" w:hAnsi="宋体" w:cs="宋体"/>
          <w:color w:val="auto"/>
          <w:sz w:val="24"/>
        </w:rPr>
      </w:pPr>
      <w:r>
        <w:rPr>
          <w:rFonts w:hint="eastAsia" w:hAnsi="宋体" w:cs="宋体"/>
          <w:color w:val="auto"/>
          <w:sz w:val="24"/>
        </w:rPr>
        <w:t>4.2.2.3对采购结果提出质疑的，质疑期限自采购结果公告期限届满之日起计算。</w:t>
      </w:r>
    </w:p>
    <w:p>
      <w:pPr>
        <w:pStyle w:val="33"/>
        <w:snapToGrid w:val="0"/>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供应商提出质疑应当提交质疑函和必要的证明材料。质疑函应当包括下列内容：</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.3.1供应商的姓名或者名称、地址、邮编、联系人及联系电话；</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.3.2质疑项目的名称、编号；</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.3.3具体、明确的质疑事项和与质疑事项相关的请求；</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.3.4事实依据；</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.3.5必要的法律依据；</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.3.6提出质疑的日期。</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质疑函范本及制作说明详见附件2。</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4.2.4对同一采购程序环节的质疑，供应商须在法定质疑期内一次性提出。</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lang w:val="zh-CN"/>
        </w:rPr>
        <w:t>4.</w:t>
      </w:r>
      <w:r>
        <w:rPr>
          <w:rFonts w:hint="eastAsia"/>
          <w:color w:val="auto"/>
        </w:rPr>
        <w:t>2.5采购人或者采购代理机构应当在收到供应商的书面质疑后七个工作日内作出答复，并以书面形式通知质疑供应商和其他与质疑处理结果有利害关系的采购当事人，但答复的内容不得涉及商业秘密。</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lang w:val="zh-CN"/>
        </w:rPr>
        <w:t>4.</w:t>
      </w:r>
      <w:r>
        <w:rPr>
          <w:rFonts w:hint="eastAsia"/>
          <w:color w:val="auto"/>
        </w:rPr>
        <w:t>2.6询问或者质疑事项可能影响采购结果的，采购人应当暂停签订合同，已经签订合同的，应当中止履行合同。</w:t>
      </w:r>
    </w:p>
    <w:p>
      <w:pPr>
        <w:pStyle w:val="141"/>
        <w:snapToGrid w:val="0"/>
        <w:spacing w:before="0"/>
        <w:ind w:firstLine="360"/>
        <w:rPr>
          <w:rFonts w:hint="eastAsia" w:ascii="宋体" w:hAnsi="宋体" w:cs="宋体"/>
          <w:color w:val="auto"/>
          <w:sz w:val="18"/>
          <w:szCs w:val="18"/>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二、采购文件的构成、澄清、修改</w:t>
      </w:r>
    </w:p>
    <w:p>
      <w:pPr>
        <w:pStyle w:val="33"/>
        <w:spacing w:line="360" w:lineRule="auto"/>
        <w:rPr>
          <w:rFonts w:hint="eastAsia" w:hAnsi="宋体" w:cs="宋体"/>
          <w:b/>
          <w:color w:val="auto"/>
          <w:sz w:val="24"/>
          <w:szCs w:val="24"/>
        </w:rPr>
      </w:pPr>
      <w:r>
        <w:rPr>
          <w:rFonts w:hint="eastAsia" w:hAnsi="宋体" w:cs="宋体"/>
          <w:b/>
          <w:color w:val="auto"/>
          <w:sz w:val="24"/>
          <w:szCs w:val="24"/>
        </w:rPr>
        <w:t>5．采购文件的构成</w:t>
      </w:r>
    </w:p>
    <w:p>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采购文件包括下列文件及附件：</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5.1.1竞争性磋商公告；</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5.1.2供应商须知；</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5.1.4评审办法；</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pPr>
        <w:pStyle w:val="33"/>
        <w:spacing w:line="360" w:lineRule="auto"/>
        <w:rPr>
          <w:rFonts w:hint="eastAsia" w:hAnsi="宋体" w:cs="宋体"/>
          <w:b/>
          <w:color w:val="auto"/>
          <w:sz w:val="24"/>
          <w:szCs w:val="24"/>
        </w:rPr>
      </w:pPr>
      <w:r>
        <w:rPr>
          <w:rFonts w:hint="eastAsia" w:hAnsi="宋体" w:cs="宋体"/>
          <w:b/>
          <w:color w:val="auto"/>
          <w:sz w:val="24"/>
          <w:szCs w:val="24"/>
        </w:rPr>
        <w:t>6. 采购文件的澄清、修改</w:t>
      </w:r>
    </w:p>
    <w:p>
      <w:pPr>
        <w:pStyle w:val="141"/>
        <w:snapToGrid w:val="0"/>
        <w:spacing w:before="0"/>
        <w:ind w:firstLine="480"/>
        <w:rPr>
          <w:rFonts w:hint="eastAsia"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6.1已获取采购文件的潜在供应商，若有问题需要澄清，应于响应文件提交（上传）截止时间前，以书面形式向采购代理机构提出。</w:t>
      </w:r>
    </w:p>
    <w:p>
      <w:pPr>
        <w:pStyle w:val="141"/>
        <w:snapToGrid w:val="0"/>
        <w:spacing w:before="0"/>
        <w:ind w:firstLine="480"/>
        <w:rPr>
          <w:rFonts w:hint="eastAsia" w:ascii="宋体" w:hAnsi="宋体" w:cs="宋体"/>
          <w:color w:val="auto"/>
        </w:rPr>
      </w:pPr>
      <w:r>
        <w:rPr>
          <w:rFonts w:hint="eastAsia" w:ascii="宋体" w:hAnsi="宋体" w:cs="宋体"/>
          <w:color w:val="auto"/>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int="eastAsia" w:hAnsi="宋体" w:cs="宋体"/>
          <w:color w:val="auto"/>
          <w:sz w:val="18"/>
          <w:szCs w:val="18"/>
          <w:lang w:val="en-US"/>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三、提交响应文件</w:t>
      </w:r>
    </w:p>
    <w:p>
      <w:pPr>
        <w:pStyle w:val="33"/>
        <w:spacing w:line="360" w:lineRule="auto"/>
        <w:rPr>
          <w:rFonts w:hint="eastAsia" w:hAnsi="宋体" w:cs="宋体"/>
          <w:b/>
          <w:color w:val="auto"/>
          <w:sz w:val="24"/>
          <w:szCs w:val="24"/>
        </w:rPr>
      </w:pPr>
      <w:r>
        <w:rPr>
          <w:rFonts w:hint="eastAsia" w:hAnsi="宋体" w:cs="宋体"/>
          <w:b/>
          <w:color w:val="auto"/>
          <w:sz w:val="24"/>
          <w:szCs w:val="24"/>
        </w:rPr>
        <w:t>7. 采购文件的获取</w:t>
      </w:r>
    </w:p>
    <w:p>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pPr>
        <w:pStyle w:val="33"/>
        <w:spacing w:line="360" w:lineRule="auto"/>
        <w:rPr>
          <w:rFonts w:hint="eastAsia" w:hAnsi="宋体" w:cs="宋体"/>
          <w:b/>
          <w:color w:val="auto"/>
          <w:sz w:val="24"/>
          <w:szCs w:val="24"/>
        </w:rPr>
      </w:pPr>
      <w:r>
        <w:rPr>
          <w:rFonts w:hint="eastAsia" w:hAnsi="宋体" w:cs="宋体"/>
          <w:b/>
          <w:color w:val="auto"/>
          <w:sz w:val="24"/>
          <w:szCs w:val="24"/>
        </w:rPr>
        <w:t>8.磋商前答疑会或现场考察</w:t>
      </w:r>
    </w:p>
    <w:p>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pPr>
        <w:pStyle w:val="33"/>
        <w:spacing w:line="360" w:lineRule="auto"/>
        <w:rPr>
          <w:rFonts w:hint="eastAsia" w:hAnsi="宋体" w:cs="宋体"/>
          <w:b/>
          <w:color w:val="auto"/>
          <w:szCs w:val="24"/>
        </w:rPr>
      </w:pPr>
      <w:r>
        <w:rPr>
          <w:rFonts w:hint="eastAsia" w:hAnsi="宋体" w:cs="宋体"/>
          <w:b/>
          <w:color w:val="auto"/>
          <w:kern w:val="28"/>
          <w:sz w:val="24"/>
          <w:szCs w:val="24"/>
        </w:rPr>
        <w:t>9.磋商保证金</w:t>
      </w:r>
    </w:p>
    <w:p>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pPr>
        <w:pStyle w:val="33"/>
        <w:spacing w:line="360" w:lineRule="auto"/>
        <w:rPr>
          <w:rFonts w:hint="eastAsia" w:hAnsi="宋体" w:cs="宋体"/>
          <w:b/>
          <w:color w:val="auto"/>
          <w:sz w:val="24"/>
          <w:szCs w:val="24"/>
        </w:rPr>
      </w:pPr>
      <w:r>
        <w:rPr>
          <w:rFonts w:hint="eastAsia" w:hAnsi="宋体" w:cs="宋体"/>
          <w:b/>
          <w:color w:val="auto"/>
          <w:sz w:val="24"/>
          <w:szCs w:val="24"/>
        </w:rPr>
        <w:t>10. 响应文件的语言</w:t>
      </w:r>
    </w:p>
    <w:p>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pPr>
        <w:pStyle w:val="33"/>
        <w:spacing w:line="360" w:lineRule="auto"/>
        <w:rPr>
          <w:rFonts w:hint="eastAsia" w:hAnsi="宋体" w:cs="宋体"/>
          <w:b/>
          <w:color w:val="auto"/>
          <w:sz w:val="24"/>
          <w:szCs w:val="24"/>
        </w:rPr>
      </w:pPr>
      <w:r>
        <w:rPr>
          <w:rFonts w:hint="eastAsia" w:hAnsi="宋体" w:cs="宋体"/>
          <w:b/>
          <w:color w:val="auto"/>
          <w:sz w:val="24"/>
          <w:szCs w:val="24"/>
        </w:rPr>
        <w:t>11. 响应文件的组成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11.1.1符合参加采购活动应当具备的一般条件的承诺函；</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4" w:name="_Hlk101259339"/>
      <w:r>
        <w:rPr>
          <w:rFonts w:hint="eastAsia" w:ascii="宋体" w:hAnsi="宋体" w:cs="宋体"/>
          <w:snapToGrid w:val="0"/>
          <w:color w:val="auto"/>
          <w:kern w:val="28"/>
          <w:sz w:val="24"/>
          <w:szCs w:val="20"/>
        </w:rPr>
        <w:t>联合协议</w:t>
      </w:r>
      <w:bookmarkStart w:id="15" w:name="_Hlk101257010"/>
      <w:r>
        <w:rPr>
          <w:rFonts w:hint="eastAsia" w:ascii="宋体" w:hAnsi="宋体" w:cs="宋体"/>
          <w:snapToGrid w:val="0"/>
          <w:color w:val="auto"/>
          <w:kern w:val="28"/>
          <w:sz w:val="24"/>
          <w:szCs w:val="20"/>
        </w:rPr>
        <w:t>（如果有)</w:t>
      </w:r>
      <w:bookmarkEnd w:id="14"/>
      <w:bookmarkEnd w:id="15"/>
      <w:r>
        <w:rPr>
          <w:rFonts w:hint="eastAsia" w:ascii="宋体" w:hAnsi="宋体" w:cs="宋体"/>
          <w:snapToGrid w:val="0"/>
          <w:color w:val="auto"/>
          <w:kern w:val="28"/>
          <w:sz w:val="24"/>
          <w:szCs w:val="20"/>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11.2.3分包意向协议（如果有)；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11.2.4符合性审查资料；</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11.2.5评审标准相应的商务技术资料；</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11.2.6商务技术偏离表；</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p>
    <w:p>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11.3.1报价单；</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11.3.2已标价工程量清单；</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响应文件含有采购人不能接受的附加条件的，响应文件无效；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pPr>
        <w:spacing w:line="360" w:lineRule="auto"/>
        <w:ind w:firstLine="720" w:firstLineChars="300"/>
        <w:rPr>
          <w:color w:val="auto"/>
        </w:rPr>
      </w:pPr>
      <w:r>
        <w:rPr>
          <w:rFonts w:hint="eastAsia"/>
          <w:color w:val="auto"/>
          <w:sz w:val="24"/>
          <w:shd w:val="clear" w:color="auto" w:fill="FFFFFF"/>
        </w:rPr>
        <w:t>供应商应对响应文件中材料的真实性、合法性负责。</w:t>
      </w:r>
    </w:p>
    <w:p>
      <w:pPr>
        <w:snapToGrid w:val="0"/>
        <w:spacing w:line="360" w:lineRule="auto"/>
        <w:rPr>
          <w:rFonts w:hint="eastAsia" w:ascii="宋体" w:hAnsi="宋体" w:cs="宋体"/>
          <w:b/>
          <w:color w:val="auto"/>
          <w:sz w:val="24"/>
        </w:rPr>
      </w:pPr>
      <w:r>
        <w:rPr>
          <w:rFonts w:hint="eastAsia" w:ascii="宋体" w:hAnsi="宋体" w:cs="宋体"/>
          <w:b/>
          <w:color w:val="auto"/>
          <w:sz w:val="24"/>
        </w:rPr>
        <w:t>12. 响应文件的编制</w:t>
      </w:r>
    </w:p>
    <w:p>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12.2供应商进行电子投标应安装客户端软件—“乐采云电子交易客户端”，并按照采购文件和电子交易平台的要求编制并加密响应文件。供应商未按规定加密的响应文件，电子交易平台将拒收并提示。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rPr>
      </w:pPr>
      <w:r>
        <w:rPr>
          <w:rFonts w:hint="eastAsia" w:ascii="宋体" w:hAnsi="宋体" w:cs="宋体"/>
          <w:b/>
          <w:color w:val="auto"/>
          <w:sz w:val="24"/>
        </w:rPr>
        <w:t>13.响应文件的签署、盖章</w:t>
      </w:r>
    </w:p>
    <w:p>
      <w:pPr>
        <w:pStyle w:val="141"/>
        <w:snapToGrid w:val="0"/>
        <w:spacing w:before="0"/>
        <w:ind w:firstLine="480"/>
        <w:rPr>
          <w:rFonts w:hint="eastAsia"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pPr>
        <w:pStyle w:val="141"/>
        <w:snapToGrid w:val="0"/>
        <w:spacing w:before="0"/>
        <w:ind w:firstLine="480"/>
        <w:rPr>
          <w:rFonts w:hint="eastAsia" w:ascii="宋体" w:hAnsi="宋体" w:cs="宋体"/>
          <w:color w:val="auto"/>
        </w:rPr>
      </w:pPr>
      <w:r>
        <w:rPr>
          <w:rFonts w:hint="eastAsia" w:ascii="宋体" w:hAnsi="宋体" w:cs="宋体"/>
          <w:color w:val="auto"/>
        </w:rPr>
        <w:t>13.2为确保网上操作合法、有效和安全，供应商应当在响应文件提交（上传）截止时间前完成在“乐采云平台”的身份认证，确保在电子投标过程中能够对相关数据电文进行加密和使用电子签名。</w:t>
      </w:r>
    </w:p>
    <w:p>
      <w:pPr>
        <w:pStyle w:val="141"/>
        <w:snapToGrid w:val="0"/>
        <w:spacing w:before="0"/>
        <w:ind w:firstLine="480"/>
        <w:rPr>
          <w:rFonts w:hint="eastAsia" w:ascii="宋体" w:hAnsi="宋体" w:cs="宋体"/>
          <w:b/>
          <w:color w:val="auto"/>
          <w:szCs w:val="24"/>
        </w:rPr>
      </w:pPr>
      <w:r>
        <w:rPr>
          <w:rFonts w:hint="eastAsia" w:ascii="宋体" w:hAnsi="宋体" w:cs="宋体"/>
          <w:color w:val="auto"/>
        </w:rPr>
        <w:t>13.3采购文件对响应文件签署、盖章的要求适用于电子签名。</w:t>
      </w:r>
    </w:p>
    <w:p>
      <w:pPr>
        <w:pStyle w:val="141"/>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14. 响应文件的提交、补充、修改、撤回</w:t>
      </w:r>
    </w:p>
    <w:p>
      <w:pPr>
        <w:pStyle w:val="141"/>
        <w:snapToGrid w:val="0"/>
        <w:spacing w:before="0"/>
        <w:ind w:firstLine="480"/>
        <w:rPr>
          <w:rFonts w:hint="eastAsia"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41"/>
        <w:snapToGrid w:val="0"/>
        <w:spacing w:before="0"/>
        <w:ind w:firstLine="480"/>
        <w:rPr>
          <w:rFonts w:hint="eastAsia"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41"/>
        <w:snapToGrid w:val="0"/>
        <w:spacing w:before="0"/>
        <w:ind w:firstLine="480"/>
        <w:rPr>
          <w:rFonts w:hint="eastAsia" w:ascii="宋体" w:hAnsi="宋体" w:cs="宋体"/>
          <w:color w:val="auto"/>
          <w:szCs w:val="24"/>
        </w:rPr>
      </w:pPr>
      <w:r>
        <w:rPr>
          <w:rFonts w:hint="eastAsia" w:ascii="宋体" w:hAnsi="宋体" w:cs="宋体"/>
          <w:color w:val="auto"/>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3"/>
        <w:snapToGrid w:val="0"/>
        <w:spacing w:line="360" w:lineRule="auto"/>
        <w:rPr>
          <w:rFonts w:hint="eastAsia" w:hAnsi="宋体" w:cs="宋体"/>
          <w:b/>
          <w:color w:val="auto"/>
          <w:sz w:val="24"/>
          <w:szCs w:val="24"/>
        </w:rPr>
      </w:pPr>
      <w:r>
        <w:rPr>
          <w:rFonts w:hint="eastAsia" w:hAnsi="宋体" w:cs="宋体"/>
          <w:b/>
          <w:color w:val="auto"/>
          <w:sz w:val="24"/>
          <w:szCs w:val="24"/>
        </w:rPr>
        <w:t>15.备份响应文件</w:t>
      </w:r>
    </w:p>
    <w:p>
      <w:pPr>
        <w:pStyle w:val="33"/>
        <w:snapToGrid w:val="0"/>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但采购人、采购代理机构不强制或变相强制供应商提交备份响应文件。</w:t>
      </w:r>
    </w:p>
    <w:p>
      <w:pPr>
        <w:pStyle w:val="33"/>
        <w:snapToGrid w:val="0"/>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15.2备份响应文件须在“乐采云投标客户端”制作生成，并储存在</w:t>
      </w:r>
      <w:r>
        <w:rPr>
          <w:rFonts w:hint="eastAsia" w:hAnsi="宋体" w:cs="宋体"/>
          <w:color w:val="auto"/>
          <w:sz w:val="24"/>
        </w:rPr>
        <w:t>DVD光盘等存储介质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pPr>
        <w:pStyle w:val="33"/>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3"/>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pPr>
        <w:pStyle w:val="141"/>
        <w:spacing w:before="0"/>
        <w:ind w:firstLine="0" w:firstLineChars="0"/>
        <w:rPr>
          <w:rFonts w:hint="eastAsia" w:ascii="宋体" w:hAnsi="宋体" w:cs="宋体"/>
          <w:b/>
          <w:color w:val="auto"/>
          <w:szCs w:val="24"/>
        </w:rPr>
      </w:pPr>
      <w:r>
        <w:rPr>
          <w:rFonts w:hint="eastAsia" w:ascii="宋体" w:hAnsi="宋体" w:cs="宋体"/>
          <w:b/>
          <w:color w:val="auto"/>
          <w:szCs w:val="24"/>
        </w:rPr>
        <w:t>16.响应文件的无效处理</w:t>
      </w:r>
    </w:p>
    <w:p>
      <w:pPr>
        <w:pStyle w:val="25"/>
        <w:spacing w:line="360" w:lineRule="auto"/>
        <w:ind w:firstLine="360" w:firstLineChars="150"/>
        <w:rPr>
          <w:rFonts w:hint="eastAsia"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pPr>
        <w:pStyle w:val="141"/>
        <w:spacing w:before="0"/>
        <w:ind w:firstLine="0" w:firstLineChars="0"/>
        <w:rPr>
          <w:rFonts w:hint="eastAsia" w:ascii="宋体" w:hAnsi="宋体" w:cs="宋体"/>
          <w:b/>
          <w:color w:val="auto"/>
          <w:szCs w:val="24"/>
        </w:rPr>
      </w:pPr>
      <w:r>
        <w:rPr>
          <w:rFonts w:hint="eastAsia" w:ascii="宋体" w:hAnsi="宋体" w:cs="宋体"/>
          <w:b/>
          <w:color w:val="auto"/>
          <w:szCs w:val="24"/>
        </w:rPr>
        <w:t>17.响应文件有效期</w:t>
      </w:r>
    </w:p>
    <w:p>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pPr>
        <w:pStyle w:val="141"/>
        <w:spacing w:before="0"/>
        <w:ind w:firstLine="480"/>
        <w:rPr>
          <w:rFonts w:hint="eastAsia" w:ascii="宋体" w:hAnsi="宋体" w:cs="宋体"/>
          <w:color w:val="auto"/>
        </w:rPr>
      </w:pPr>
      <w:r>
        <w:rPr>
          <w:rFonts w:hint="eastAsia" w:ascii="宋体" w:hAnsi="宋体" w:cs="宋体"/>
          <w:color w:val="auto"/>
        </w:rPr>
        <w:t>17.2响应文件合格投递后，自响应文件提交截止时间起，在响应文件有效期内有效。</w:t>
      </w:r>
    </w:p>
    <w:p>
      <w:pPr>
        <w:pStyle w:val="141"/>
        <w:spacing w:before="0"/>
        <w:ind w:firstLine="480"/>
        <w:rPr>
          <w:rFonts w:hint="eastAsia" w:ascii="宋体" w:hAnsi="宋体" w:cs="宋体"/>
          <w:color w:val="auto"/>
        </w:rPr>
      </w:pPr>
      <w:r>
        <w:rPr>
          <w:rFonts w:hint="eastAsia" w:ascii="宋体" w:hAnsi="宋体" w:cs="宋体"/>
          <w:color w:val="auto"/>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41"/>
        <w:spacing w:before="0"/>
        <w:ind w:firstLine="643"/>
        <w:rPr>
          <w:rFonts w:hint="eastAsia" w:ascii="宋体" w:hAnsi="宋体" w:cs="宋体"/>
          <w:b/>
          <w:color w:val="auto"/>
          <w:sz w:val="32"/>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四、响应文件开启、资格审查与信用信息查询</w:t>
      </w:r>
    </w:p>
    <w:p>
      <w:pPr>
        <w:pStyle w:val="560"/>
        <w:spacing w:before="0" w:line="360" w:lineRule="auto"/>
        <w:ind w:left="0" w:firstLine="0"/>
        <w:contextualSpacing/>
        <w:rPr>
          <w:rFonts w:hint="eastAsia"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pPr>
        <w:pStyle w:val="560"/>
        <w:snapToGrid w:val="0"/>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18.1采购代理机构按照采购文件规定的时间通过电子交易平台组织响应文件开启，所有供应商均应当准时在线参加。供应商不足3家的，不得开启。</w:t>
      </w:r>
    </w:p>
    <w:p>
      <w:pPr>
        <w:pStyle w:val="560"/>
        <w:snapToGrid w:val="0"/>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60"/>
        <w:snapToGrid w:val="0"/>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pPr>
        <w:pStyle w:val="560"/>
        <w:spacing w:before="0" w:line="360" w:lineRule="auto"/>
        <w:ind w:left="0" w:firstLine="0"/>
        <w:contextualSpacing/>
        <w:rPr>
          <w:rFonts w:hint="eastAsia" w:ascii="宋体" w:hAnsi="宋体" w:cs="宋体"/>
          <w:b/>
          <w:color w:val="auto"/>
          <w:sz w:val="24"/>
          <w:szCs w:val="24"/>
        </w:rPr>
      </w:pPr>
      <w:r>
        <w:rPr>
          <w:rFonts w:hint="eastAsia" w:ascii="宋体" w:hAnsi="宋体" w:cs="宋体"/>
          <w:b/>
          <w:color w:val="auto"/>
          <w:sz w:val="24"/>
          <w:szCs w:val="24"/>
        </w:rPr>
        <w:t>19、资格审查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磋商小组依据法律法规和采购文件的规定，对供应商的资格进行审查。</w:t>
      </w:r>
    </w:p>
    <w:p>
      <w:pPr>
        <w:pStyle w:val="141"/>
        <w:spacing w:before="0"/>
        <w:ind w:firstLine="480"/>
        <w:rPr>
          <w:rFonts w:hint="eastAsia" w:ascii="宋体" w:hAnsi="宋体" w:cs="宋体"/>
          <w:color w:val="auto"/>
        </w:rPr>
      </w:pPr>
      <w:r>
        <w:rPr>
          <w:rFonts w:hint="eastAsia" w:ascii="宋体" w:hAnsi="宋体" w:cs="宋体"/>
          <w:color w:val="auto"/>
          <w:kern w:val="0"/>
          <w:szCs w:val="24"/>
        </w:rPr>
        <w:t>19.2供应商未按照采购文件要求提供与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pPr>
        <w:pStyle w:val="14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3对未通过资格审查的供应商，采购人或采购代理机构告知其未通过的原因。</w:t>
      </w:r>
    </w:p>
    <w:p>
      <w:pPr>
        <w:pStyle w:val="14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4合格供应商不足3家的，不再评审。</w:t>
      </w:r>
    </w:p>
    <w:p>
      <w:pPr>
        <w:pStyle w:val="14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41"/>
        <w:spacing w:before="0"/>
        <w:ind w:firstLine="0" w:firstLineChars="0"/>
        <w:rPr>
          <w:rFonts w:hint="eastAsia" w:ascii="宋体" w:hAnsi="宋体" w:cs="宋体"/>
          <w:b/>
          <w:color w:val="auto"/>
          <w:szCs w:val="24"/>
        </w:rPr>
      </w:pPr>
      <w:r>
        <w:rPr>
          <w:rFonts w:hint="eastAsia" w:ascii="宋体" w:hAnsi="宋体" w:cs="宋体"/>
          <w:b/>
          <w:color w:val="auto"/>
          <w:szCs w:val="24"/>
        </w:rPr>
        <w:t>20、信用信息查询</w:t>
      </w:r>
    </w:p>
    <w:p>
      <w:pPr>
        <w:pStyle w:val="141"/>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20.1信用信息查询渠道及截止时间：采购代理机构将在资格审查时通过“信用中国”网站(www.creditchina.gov.cn)、中国政府采购网(www.ccgp.gov.cn)渠道查询供应商接受资格审查时的信用记录。</w:t>
      </w:r>
    </w:p>
    <w:p>
      <w:pPr>
        <w:pStyle w:val="141"/>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pPr>
        <w:pStyle w:val="141"/>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pPr>
        <w:pStyle w:val="141"/>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41"/>
        <w:spacing w:before="0"/>
        <w:ind w:firstLine="0" w:firstLineChars="0"/>
        <w:rPr>
          <w:rFonts w:hint="eastAsia" w:ascii="宋体" w:hAnsi="宋体" w:cs="宋体"/>
          <w:color w:val="auto"/>
          <w:kern w:val="0"/>
          <w:szCs w:val="24"/>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五、评审</w:t>
      </w:r>
    </w:p>
    <w:p>
      <w:pPr>
        <w:spacing w:line="360" w:lineRule="auto"/>
        <w:rPr>
          <w:rFonts w:hint="eastAsia"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pPr>
        <w:spacing w:line="360" w:lineRule="auto"/>
        <w:rPr>
          <w:rFonts w:hint="eastAsia" w:ascii="宋体" w:hAnsi="宋体" w:cs="宋体"/>
          <w:b/>
          <w:color w:val="auto"/>
          <w:sz w:val="24"/>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六、成交供应商确定</w:t>
      </w:r>
    </w:p>
    <w:p>
      <w:pPr>
        <w:pStyle w:val="25"/>
        <w:spacing w:line="360" w:lineRule="auto"/>
        <w:ind w:left="479" w:hanging="479" w:hangingChars="199"/>
        <w:rPr>
          <w:rFonts w:hint="eastAsia" w:cs="宋体"/>
          <w:b/>
          <w:color w:val="auto"/>
        </w:rPr>
      </w:pPr>
      <w:r>
        <w:rPr>
          <w:rFonts w:hint="eastAsia" w:cs="宋体"/>
          <w:b/>
          <w:color w:val="auto"/>
        </w:rPr>
        <w:t>22. 确定成交供应商</w:t>
      </w:r>
    </w:p>
    <w:p>
      <w:pPr>
        <w:pStyle w:val="141"/>
        <w:snapToGrid w:val="0"/>
        <w:spacing w:before="0"/>
        <w:ind w:firstLine="480"/>
        <w:rPr>
          <w:rFonts w:hint="eastAsia" w:ascii="宋体" w:hAnsi="宋体" w:cs="宋体"/>
          <w:b/>
          <w:color w:val="auto"/>
          <w:szCs w:val="24"/>
        </w:rPr>
      </w:pPr>
      <w:r>
        <w:rPr>
          <w:rFonts w:hint="eastAsia" w:ascii="宋体" w:hAnsi="宋体" w:cs="宋体"/>
          <w:color w:val="auto"/>
          <w:szCs w:val="24"/>
        </w:rPr>
        <w:t>采购项目实行全流程电子化，评审报告送交、采购结果确定和结果公告均在线完成。</w:t>
      </w:r>
    </w:p>
    <w:p>
      <w:pPr>
        <w:pStyle w:val="141"/>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成交通知与成交结果公告</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23.1自成交供应商确定之日起1个工作日内，采购代理机构通过电子交易平台向成交供应商发出成交通知书，同时编制发布采购结果公告。采购代理机构也可以以纸质形式进行成交通知。</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23.3公告期限为1个工作日。</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cs="宋体"/>
          <w:b/>
          <w:color w:val="auto"/>
          <w:sz w:val="32"/>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七、合同授予</w:t>
      </w:r>
    </w:p>
    <w:p>
      <w:pPr>
        <w:pStyle w:val="25"/>
        <w:snapToGrid w:val="0"/>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napToGrid w:val="0"/>
        <w:spacing w:line="360" w:lineRule="auto"/>
        <w:ind w:left="479" w:hanging="479" w:hangingChars="199"/>
        <w:rPr>
          <w:rFonts w:hint="eastAsia" w:cs="宋体"/>
          <w:b/>
          <w:color w:val="auto"/>
        </w:rPr>
      </w:pPr>
      <w:r>
        <w:rPr>
          <w:rFonts w:hint="eastAsia" w:cs="宋体"/>
          <w:b/>
          <w:color w:val="auto"/>
        </w:rPr>
        <w:t>25. 合同的签订</w:t>
      </w:r>
    </w:p>
    <w:p>
      <w:pPr>
        <w:pStyle w:val="141"/>
        <w:snapToGrid w:val="0"/>
        <w:spacing w:before="0"/>
        <w:ind w:firstLine="480"/>
        <w:rPr>
          <w:rFonts w:hint="eastAsia" w:ascii="宋体" w:hAnsi="宋体" w:cs="宋体"/>
          <w:color w:val="auto"/>
        </w:rPr>
      </w:pPr>
      <w:r>
        <w:rPr>
          <w:rFonts w:hint="eastAsia" w:ascii="宋体" w:hAnsi="宋体" w:cs="宋体"/>
          <w:color w:val="auto"/>
        </w:rPr>
        <w:t>25.1</w:t>
      </w:r>
      <w:r>
        <w:rPr>
          <w:rFonts w:hint="eastAsia" w:ascii="宋体" w:hAnsi="宋体" w:cs="宋体"/>
          <w:color w:val="auto"/>
          <w:kern w:val="0"/>
        </w:rPr>
        <w:t xml:space="preserve"> 采购人与成交供应商应当通过电子交易平台在成交通知书发出之日起三十日内，按照采购文件确定的事项签订采购合同</w:t>
      </w:r>
    </w:p>
    <w:p>
      <w:pPr>
        <w:pStyle w:val="25"/>
        <w:snapToGrid w:val="0"/>
        <w:spacing w:line="360" w:lineRule="auto"/>
        <w:ind w:left="479" w:hanging="479" w:hangingChars="199"/>
        <w:rPr>
          <w:rFonts w:hint="eastAsia" w:cs="宋体"/>
          <w:b/>
          <w:color w:val="auto"/>
        </w:rPr>
      </w:pPr>
      <w:r>
        <w:rPr>
          <w:rFonts w:hint="eastAsia" w:cs="宋体"/>
          <w:b/>
          <w:color w:val="auto"/>
        </w:rPr>
        <w:t>26. 履约保证金</w:t>
      </w:r>
    </w:p>
    <w:p>
      <w:pPr>
        <w:tabs>
          <w:tab w:val="left" w:pos="0"/>
        </w:tabs>
        <w:snapToGrid w:val="0"/>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p>
    <w:p>
      <w:pPr>
        <w:rPr>
          <w:color w:val="auto"/>
        </w:rPr>
      </w:pPr>
    </w:p>
    <w:p>
      <w:pPr>
        <w:snapToGrid w:val="0"/>
        <w:spacing w:line="360" w:lineRule="auto"/>
        <w:ind w:firstLine="3357" w:firstLineChars="1045"/>
        <w:rPr>
          <w:rFonts w:hint="eastAsia" w:ascii="宋体" w:hAnsi="宋体" w:cs="宋体"/>
          <w:b/>
          <w:color w:val="auto"/>
          <w:sz w:val="32"/>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八、电子交易活动的中止</w:t>
      </w:r>
    </w:p>
    <w:p>
      <w:pPr>
        <w:pStyle w:val="141"/>
        <w:snapToGrid w:val="0"/>
        <w:spacing w:before="0"/>
        <w:ind w:firstLine="0" w:firstLineChars="0"/>
        <w:rPr>
          <w:rFonts w:hint="eastAsia" w:ascii="宋体" w:hAnsi="宋体" w:cs="宋体"/>
          <w:color w:val="auto"/>
        </w:rPr>
      </w:pPr>
      <w:r>
        <w:rPr>
          <w:rFonts w:ascii="宋体" w:hAnsi="宋体" w:cs="宋体"/>
          <w:b/>
          <w:bCs/>
          <w:color w:val="auto"/>
        </w:rPr>
        <w:t>2</w:t>
      </w:r>
      <w:r>
        <w:rPr>
          <w:rFonts w:hint="eastAsia" w:ascii="宋体" w:hAnsi="宋体" w:cs="宋体"/>
          <w:b/>
          <w:bCs/>
          <w:color w:val="auto"/>
          <w:szCs w:val="24"/>
        </w:rPr>
        <w:t>7</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41"/>
        <w:snapToGrid w:val="0"/>
        <w:spacing w:before="0"/>
        <w:ind w:firstLine="480"/>
        <w:rPr>
          <w:rFonts w:hint="eastAsia" w:ascii="宋体" w:hAnsi="宋体" w:cs="宋体"/>
          <w:color w:val="auto"/>
        </w:rPr>
      </w:pPr>
      <w:r>
        <w:rPr>
          <w:rFonts w:hint="eastAsia" w:ascii="宋体" w:hAnsi="宋体" w:cs="宋体"/>
          <w:color w:val="auto"/>
        </w:rPr>
        <w:t xml:space="preserve">27.1电子交易平台发生故障而无法登录访问的； </w:t>
      </w:r>
    </w:p>
    <w:p>
      <w:pPr>
        <w:pStyle w:val="141"/>
        <w:snapToGrid w:val="0"/>
        <w:spacing w:before="0"/>
        <w:ind w:firstLine="480"/>
        <w:rPr>
          <w:rFonts w:hint="eastAsia" w:ascii="宋体" w:hAnsi="宋体" w:cs="宋体"/>
          <w:color w:val="auto"/>
        </w:rPr>
      </w:pPr>
      <w:r>
        <w:rPr>
          <w:rFonts w:hint="eastAsia" w:ascii="宋体" w:hAnsi="宋体" w:cs="宋体"/>
          <w:color w:val="auto"/>
        </w:rPr>
        <w:t>27.2电子交易平台应用或数据库出现错误，不能进行正常操作的；</w:t>
      </w:r>
    </w:p>
    <w:p>
      <w:pPr>
        <w:pStyle w:val="141"/>
        <w:snapToGrid w:val="0"/>
        <w:spacing w:before="0"/>
        <w:ind w:firstLine="480"/>
        <w:rPr>
          <w:rFonts w:hint="eastAsia" w:ascii="宋体" w:hAnsi="宋体" w:cs="宋体"/>
          <w:color w:val="auto"/>
        </w:rPr>
      </w:pPr>
      <w:r>
        <w:rPr>
          <w:rFonts w:hint="eastAsia" w:ascii="宋体" w:hAnsi="宋体" w:cs="宋体"/>
          <w:color w:val="auto"/>
        </w:rPr>
        <w:t>27.3电子交易平台发现严重安全漏洞，有潜在泄密危险的；</w:t>
      </w:r>
    </w:p>
    <w:p>
      <w:pPr>
        <w:pStyle w:val="141"/>
        <w:snapToGrid w:val="0"/>
        <w:spacing w:before="0"/>
        <w:ind w:firstLine="480"/>
        <w:rPr>
          <w:rFonts w:hint="eastAsia" w:ascii="宋体" w:hAnsi="宋体" w:cs="宋体"/>
          <w:color w:val="auto"/>
        </w:rPr>
      </w:pPr>
      <w:r>
        <w:rPr>
          <w:rFonts w:hint="eastAsia" w:ascii="宋体" w:hAnsi="宋体" w:cs="宋体"/>
          <w:color w:val="auto"/>
        </w:rPr>
        <w:t xml:space="preserve">27.4病毒发作导致不能进行正常操作的； </w:t>
      </w:r>
    </w:p>
    <w:p>
      <w:pPr>
        <w:pStyle w:val="141"/>
        <w:snapToGrid w:val="0"/>
        <w:spacing w:before="0"/>
        <w:ind w:firstLine="480"/>
        <w:rPr>
          <w:rFonts w:hint="eastAsia" w:ascii="宋体" w:hAnsi="宋体" w:cs="宋体"/>
          <w:color w:val="auto"/>
        </w:rPr>
      </w:pPr>
      <w:r>
        <w:rPr>
          <w:rFonts w:hint="eastAsia" w:ascii="宋体" w:hAnsi="宋体" w:cs="宋体"/>
          <w:color w:val="auto"/>
        </w:rPr>
        <w:t>27.5其他无法保证电子交易的公平、公正和安全的情况。</w:t>
      </w:r>
    </w:p>
    <w:p>
      <w:pPr>
        <w:pStyle w:val="141"/>
        <w:snapToGrid w:val="0"/>
        <w:spacing w:before="0"/>
        <w:ind w:firstLine="0" w:firstLineChars="0"/>
        <w:rPr>
          <w:rFonts w:hint="eastAsia"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color w:val="auto"/>
          <w:sz w:val="24"/>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九、验收</w:t>
      </w:r>
    </w:p>
    <w:p>
      <w:pPr>
        <w:pStyle w:val="25"/>
        <w:spacing w:line="360" w:lineRule="auto"/>
        <w:ind w:firstLine="0" w:firstLineChars="0"/>
        <w:rPr>
          <w:rFonts w:hint="eastAsia" w:cs="宋体"/>
          <w:b/>
          <w:color w:val="auto"/>
        </w:rPr>
      </w:pPr>
      <w:r>
        <w:rPr>
          <w:rFonts w:hint="eastAsia" w:cs="宋体"/>
          <w:b/>
          <w:color w:val="auto"/>
        </w:rPr>
        <w:t>29.验收</w:t>
      </w:r>
    </w:p>
    <w:p>
      <w:pPr>
        <w:tabs>
          <w:tab w:val="left" w:pos="0"/>
        </w:tabs>
        <w:spacing w:line="360" w:lineRule="auto"/>
        <w:ind w:firstLine="480"/>
        <w:rPr>
          <w:rFonts w:hint="eastAsia" w:ascii="宋体" w:hAnsi="宋体" w:cs="宋体"/>
          <w:color w:val="auto"/>
          <w:sz w:val="18"/>
          <w:szCs w:val="18"/>
        </w:rPr>
      </w:pPr>
      <w:r>
        <w:rPr>
          <w:rFonts w:hint="eastAsia" w:ascii="宋体" w:hAnsi="宋体" w:cs="宋体"/>
          <w:color w:val="auto"/>
          <w:kern w:val="0"/>
          <w:sz w:val="24"/>
        </w:rPr>
        <w:t>采购人应当根据采购项目的具体情况，自行组织项目验收或者委托采购代理机构验收。</w:t>
      </w:r>
    </w:p>
    <w:bookmarkEnd w:id="16"/>
    <w:p>
      <w:pPr>
        <w:pStyle w:val="92"/>
        <w:rPr>
          <w:rFonts w:hint="eastAsia"/>
          <w:color w:val="auto"/>
        </w:rPr>
        <w:sectPr>
          <w:footerReference r:id="rId4" w:type="first"/>
          <w:footerReference r:id="rId3" w:type="default"/>
          <w:pgSz w:w="11906" w:h="16838"/>
          <w:pgMar w:top="1440" w:right="1080" w:bottom="1440" w:left="1080" w:header="851" w:footer="992" w:gutter="0"/>
          <w:cols w:space="720" w:num="1"/>
          <w:titlePg/>
          <w:docGrid w:linePitch="312" w:charSpace="0"/>
        </w:sectPr>
      </w:pPr>
      <w:bookmarkStart w:id="17" w:name="_Hlt74729768"/>
      <w:bookmarkEnd w:id="17"/>
      <w:bookmarkStart w:id="18" w:name="_Hlt68072998"/>
      <w:bookmarkEnd w:id="18"/>
      <w:bookmarkStart w:id="19" w:name="_Hlt68072990"/>
      <w:bookmarkEnd w:id="19"/>
      <w:bookmarkStart w:id="20" w:name="_Hlt75236290"/>
      <w:bookmarkEnd w:id="20"/>
      <w:bookmarkStart w:id="21" w:name="_Hlt68403820"/>
      <w:bookmarkEnd w:id="21"/>
      <w:bookmarkStart w:id="22" w:name="_Hlt74707468"/>
      <w:bookmarkEnd w:id="22"/>
      <w:bookmarkStart w:id="23" w:name="_Hlt68057669"/>
      <w:bookmarkEnd w:id="23"/>
      <w:bookmarkStart w:id="24" w:name="_Hlt75236101"/>
      <w:bookmarkEnd w:id="24"/>
      <w:bookmarkStart w:id="25" w:name="_Hlt74714665"/>
      <w:bookmarkEnd w:id="25"/>
      <w:bookmarkStart w:id="26" w:name="_Hlt75236011"/>
      <w:bookmarkEnd w:id="26"/>
      <w:bookmarkStart w:id="27" w:name="_Hlt74730295"/>
      <w:bookmarkEnd w:id="27"/>
      <w:bookmarkStart w:id="28" w:name="_Hlt68073093"/>
      <w:bookmarkEnd w:id="28"/>
    </w:p>
    <w:bookmarkEnd w:id="12"/>
    <w:bookmarkEnd w:id="13"/>
    <w:p>
      <w:pPr>
        <w:adjustRightInd/>
        <w:spacing w:line="360" w:lineRule="auto"/>
        <w:jc w:val="center"/>
        <w:outlineLvl w:val="0"/>
        <w:rPr>
          <w:rFonts w:hint="eastAsia" w:ascii="宋体" w:hAnsi="宋体" w:cs="宋体"/>
          <w:b/>
          <w:color w:val="auto"/>
          <w:sz w:val="36"/>
          <w:szCs w:val="20"/>
        </w:rPr>
      </w:pPr>
      <w:bookmarkStart w:id="29" w:name="第四部分"/>
      <w:r>
        <w:rPr>
          <w:rFonts w:hint="eastAsia" w:ascii="宋体" w:hAnsi="宋体" w:cs="宋体"/>
          <w:b/>
          <w:color w:val="auto"/>
          <w:sz w:val="36"/>
          <w:szCs w:val="20"/>
        </w:rPr>
        <w:t>第三部分 采购需求</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一、工程概况</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1.产教融合区域中高一体高技能人才实训中心（一期）工程项目（重新招标）</w:t>
      </w:r>
      <w:r>
        <w:rPr>
          <w:rFonts w:hint="eastAsia" w:ascii="宋体" w:hAnsi="宋体" w:cs="宋体"/>
          <w:color w:val="auto"/>
          <w:sz w:val="24"/>
        </w:rPr>
        <w:t>。具体内容详见施工图纸以及工程量清单，并结合现场实际情况进行施工。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2、工程地点：</w:t>
      </w:r>
      <w:r>
        <w:rPr>
          <w:rFonts w:hint="eastAsia" w:ascii="宋体" w:hAnsi="宋体" w:cs="宋体"/>
          <w:color w:val="auto"/>
          <w:sz w:val="24"/>
          <w:lang w:eastAsia="zh-CN"/>
        </w:rPr>
        <w:t>杭州市中策职业学校钱塘学校</w:t>
      </w:r>
      <w:r>
        <w:rPr>
          <w:rFonts w:hint="eastAsia" w:ascii="宋体" w:hAnsi="宋体" w:cs="宋体"/>
          <w:color w:val="auto"/>
          <w:sz w:val="24"/>
        </w:rPr>
        <w:t>校区。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3、现场条件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（1）已具备施工条件，但施工不能影响正常的教学工作。</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（2）采购人不组织现场踏勘，</w:t>
      </w:r>
      <w:r>
        <w:rPr>
          <w:rFonts w:hint="eastAsia" w:ascii="宋体" w:hAnsi="宋体" w:cs="宋体"/>
          <w:color w:val="auto"/>
          <w:sz w:val="24"/>
          <w:u w:val="singl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二、采购范围和内容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1、工程范围：</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，具体内容详见采购文件、施工图纸及工程量清单，并结合现场实际情况进行施工。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2、工程实施过程，采购人保留局部调整和变更工程内容的权力。</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三、承包和计价方式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1、承包方式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承包范围内的工程由承包人包工包料、包检测、包质量、包安全防护、包文明施工、包工期、包验收。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2、计价方式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采用综合单价合同。建设工程安全防护、文明施工措施费用不得作为竞争性费用，其他措施项目费按磋商报价包干，不再调整。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本工程垃圾外运费用一次性包干，包括垃圾清理、搬运、外运与消纳所产生的费用，成交后不予调整。</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3、采购人有权对工程内容、数量等</w:t>
      </w:r>
      <w:r>
        <w:rPr>
          <w:rFonts w:hint="eastAsia" w:ascii="宋体" w:hAnsi="宋体" w:cs="宋体"/>
          <w:color w:val="auto"/>
          <w:kern w:val="0"/>
          <w:sz w:val="24"/>
        </w:rPr>
        <w:t>作出调整，不论增减，供应商都应无条件服从。因工程量变化引起的成本差异，由供应商在报价中综合考虑，供应商不得以任何理由</w:t>
      </w:r>
      <w:r>
        <w:rPr>
          <w:rFonts w:hint="eastAsia" w:ascii="宋体" w:hAnsi="宋体" w:cs="宋体"/>
          <w:color w:val="auto"/>
          <w:sz w:val="24"/>
        </w:rPr>
        <w:t>提出额外付款或延长工期等的要求。若有此类要求，采购人将不作任何答复与考虑。</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四、技术标准和要求</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（一）工程实施的技术标准和规范一般规定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1、除本技术要求另有规定外，所有材料、设备和工程的质量均应符合采购时国家和项目所在地已颁布标准、规范的相应规定和要求，其中与本技术要求不一致时以要求高的为准。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2、本技术条款另有规定外，成交人施工所用的材料、设备、施工工艺和工程质量的检验和验收应符合本技术条款中引用的国家和行业颁布的技术标准和规程规范规定的技术要求。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3、当本技术条款的内容与所引用的标准和规程规范的规定有矛盾时，应以采购人指示为准。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4、技术条款中有关涉及工程安全的规定，必须严格遵守国家和行业的标准，遇有矛盾时应由采购人按国家和行业标准的规定进行修正。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5、本采购项目采用的材料、设备、施工工艺、检验检测标准和方法、验收等均须符合本工程施工图等设计文件的要求，并按现行的国家标准、相关技术规范、相关法律法规等实施。</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（二）本工程施工、验收、材料的选用必须符合施工图纸、法律、法规相关要求和现行的相关标准、技术规范。</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其他相关要求：</w:t>
      </w:r>
      <w:r>
        <w:rPr>
          <w:rFonts w:hint="eastAsia" w:ascii="宋体" w:hAnsi="宋体" w:cs="宋体"/>
          <w:color w:val="auto"/>
          <w:sz w:val="24"/>
        </w:rPr>
        <w:t>供应商须遵守采购人的施工安全管理制度</w:t>
      </w:r>
      <w:r>
        <w:rPr>
          <w:rFonts w:hint="eastAsia" w:ascii="宋体" w:hAnsi="宋体" w:cs="宋体"/>
          <w:bCs/>
          <w:color w:val="auto"/>
          <w:sz w:val="24"/>
        </w:rPr>
        <w:t>以</w:t>
      </w:r>
      <w:r>
        <w:rPr>
          <w:rFonts w:hint="eastAsia" w:ascii="宋体" w:hAnsi="宋体" w:cs="宋体"/>
          <w:color w:val="auto"/>
          <w:sz w:val="24"/>
        </w:rPr>
        <w:t>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以上与施工相关的管理要求所需要的费用包含在各综合单价、合价和磋商总报价中。</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（三）材料基本技术要求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1</w:t>
      </w:r>
      <w:r>
        <w:rPr>
          <w:rFonts w:hint="eastAsia" w:ascii="宋体" w:hAnsi="宋体"/>
          <w:color w:val="auto"/>
          <w:sz w:val="24"/>
          <w:u w:val="none"/>
          <w:lang w:eastAsia="zh-CN"/>
        </w:rPr>
        <w:t>）</w:t>
      </w:r>
      <w:r>
        <w:rPr>
          <w:rFonts w:hint="eastAsia" w:ascii="宋体" w:hAnsi="宋体"/>
          <w:color w:val="auto"/>
          <w:sz w:val="24"/>
          <w:u w:val="none"/>
        </w:rPr>
        <w:t>材料设备选择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本工程使用的原材料必须符合设计要求和施工规范的规定。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采购文件中对主要材料设备品牌、规格、型号有推荐的，供应商在磋商响应时可在选择推荐品牌中的任选一个或产品品质相当于或高于推荐品牌的产品中自行选择一个产品，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采购文件中对材料的品牌、规格、型号没有具体规定的，由供应商按采购文件及施工图的要求进行响应报价，并在“主要设备材料品牌表”里注明所选材料设备的品牌、规格、型号，若供应商没有进行注明的，则采购人有权指定品牌，成交价格不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采购文件中指出的工艺、材料、设备、服务等标准以及推荐、参照的品牌或型号仅起说明作用，并没有任何限制性。供应商在响应文件中可以选用替代标准、品牌或型号，但这些替代要实质上满足或超过采购文件的要求。</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主要材料（设备）推荐表</w:t>
      </w:r>
    </w:p>
    <w:tbl>
      <w:tblPr>
        <w:tblStyle w:val="63"/>
        <w:tblW w:w="4720" w:type="pc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249"/>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727" w:type="pct"/>
            <w:shd w:val="clear" w:color="auto" w:fill="auto"/>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材料名称</w:t>
            </w:r>
          </w:p>
        </w:tc>
        <w:tc>
          <w:tcPr>
            <w:tcW w:w="2784" w:type="pct"/>
            <w:shd w:val="clear" w:color="auto" w:fill="auto"/>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建筑装饰工程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地砖、墙砖</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萨米特、金朝阳、诺贝尔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强化地板</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升佳、兔宝宝、大潮（实木复合地板）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真石漆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立邦、多乐士、尤斯格林或相当于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27" w:type="pct"/>
            <w:shd w:val="clear" w:color="auto" w:fill="auto"/>
            <w:vAlign w:val="center"/>
          </w:tcPr>
          <w:p>
            <w:pPr>
              <w:spacing w:line="360" w:lineRule="auto"/>
              <w:ind w:firstLine="840" w:firstLineChars="350"/>
              <w:rPr>
                <w:rFonts w:hint="eastAsia" w:ascii="宋体" w:hAnsi="宋体" w:eastAsia="宋体" w:cs="宋体"/>
                <w:b/>
                <w:color w:val="auto"/>
                <w:sz w:val="24"/>
                <w:szCs w:val="24"/>
              </w:rPr>
            </w:pPr>
            <w:r>
              <w:rPr>
                <w:rFonts w:hint="eastAsia" w:ascii="宋体" w:hAnsi="宋体" w:eastAsia="宋体" w:cs="宋体"/>
                <w:color w:val="auto"/>
                <w:sz w:val="24"/>
                <w:szCs w:val="24"/>
              </w:rPr>
              <w:t>无机涂料</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立邦、多乐士、嘉宝莉或相当于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水泥漆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传化、立邦、多乐士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27" w:type="pct"/>
            <w:shd w:val="clear" w:color="auto" w:fill="auto"/>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石膏板</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杰森、杰科、千年舟或相当于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轻钢龙骨</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拉法基、可耐福、龙牌或相当于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阻燃板、木饰面板</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千年舟、兔宝宝、莫干山或相当于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玻璃</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蓝天、南玻、浙玻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氟碳漆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大桥，吉人，立邦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开关、插座</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鸿雁、德力西、正泰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电线、电缆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中策、远通、起帆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灯具、光源</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雷士、飞利浦、三雄极光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配电箱</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正泰、鸿雁、德力西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空调</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美的、奥克斯、志高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卫生洁具</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恒洁、箭牌、惠达</w:t>
            </w:r>
          </w:p>
        </w:tc>
      </w:tr>
    </w:tbl>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宋体" w:hAnsi="宋体"/>
          <w:color w:val="auto"/>
          <w:sz w:val="24"/>
          <w:highlight w:val="yellow"/>
          <w:u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2</w:t>
      </w:r>
      <w:r>
        <w:rPr>
          <w:rFonts w:hint="eastAsia" w:ascii="宋体" w:hAnsi="宋体"/>
          <w:color w:val="auto"/>
          <w:sz w:val="24"/>
          <w:u w:val="none"/>
          <w:lang w:eastAsia="zh-CN"/>
        </w:rPr>
        <w:t>）</w:t>
      </w:r>
      <w:r>
        <w:rPr>
          <w:rFonts w:hint="eastAsia" w:ascii="宋体" w:hAnsi="宋体"/>
          <w:color w:val="auto"/>
          <w:sz w:val="24"/>
          <w:u w:val="none"/>
        </w:rPr>
        <w:t>材料的质量保证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在保修期内，中标人对有缺陷的部位必须无偿地给予修理与更换，并承担一切由此引起的对采购人或使用单位的直接损失，除非该缺陷是由于人为破坏或合同规定的不可抗因素造成的损坏。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中标人必须对所承包的工程的质量负全部责任，其责任不因产品制造商提供的保证书而减轻或更改。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材料检验按政府部门相关规定的见证取样和送检规定的程序进行。凡检验结果证明其有害物质含量指标超标的产品不得在工程上使用。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3</w:t>
      </w:r>
      <w:r>
        <w:rPr>
          <w:rFonts w:hint="eastAsia" w:ascii="宋体" w:hAnsi="宋体"/>
          <w:color w:val="auto"/>
          <w:sz w:val="24"/>
          <w:u w:val="none"/>
          <w:lang w:eastAsia="zh-CN"/>
        </w:rPr>
        <w:t>）</w:t>
      </w:r>
      <w:r>
        <w:rPr>
          <w:rFonts w:hint="eastAsia" w:ascii="宋体" w:hAnsi="宋体"/>
          <w:color w:val="auto"/>
          <w:sz w:val="24"/>
          <w:u w:val="none"/>
        </w:rPr>
        <w:t>供应要求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本次采购范围内的建筑施工材料均由中标人根据本磋商文件、设计图纸</w:t>
      </w:r>
      <w:r>
        <w:rPr>
          <w:rFonts w:hint="eastAsia" w:ascii="宋体" w:hAnsi="宋体"/>
          <w:color w:val="auto"/>
          <w:sz w:val="24"/>
          <w:u w:val="none"/>
          <w:lang w:eastAsia="zh-CN"/>
        </w:rPr>
        <w:t>（</w:t>
      </w:r>
      <w:r>
        <w:rPr>
          <w:rFonts w:hint="eastAsia" w:ascii="宋体" w:hAnsi="宋体"/>
          <w:color w:val="auto"/>
          <w:sz w:val="24"/>
          <w:u w:val="none"/>
          <w:lang w:val="en-US" w:eastAsia="zh-CN"/>
        </w:rPr>
        <w:t>如有</w:t>
      </w:r>
      <w:r>
        <w:rPr>
          <w:rFonts w:hint="eastAsia" w:ascii="宋体" w:hAnsi="宋体"/>
          <w:color w:val="auto"/>
          <w:sz w:val="24"/>
          <w:u w:val="none"/>
          <w:lang w:eastAsia="zh-CN"/>
        </w:rPr>
        <w:t>）</w:t>
      </w:r>
      <w:r>
        <w:rPr>
          <w:rFonts w:hint="eastAsia" w:ascii="宋体" w:hAnsi="宋体"/>
          <w:color w:val="auto"/>
          <w:sz w:val="24"/>
          <w:u w:val="none"/>
        </w:rPr>
        <w:t>和国家有关规定的具体要求进行采购、运输、检验、保管，但采购人保留变更和指定材料的权利；所有建筑材料须有产品合格证，质量保证书、国家规定的认证证书、报告。</w:t>
      </w:r>
    </w:p>
    <w:p>
      <w:pPr>
        <w:spacing w:line="360" w:lineRule="auto"/>
        <w:ind w:firstLine="480" w:firstLineChars="200"/>
        <w:jc w:val="left"/>
        <w:rPr>
          <w:rFonts w:hint="eastAsia" w:ascii="宋体" w:hAnsi="宋体" w:cs="宋体"/>
          <w:color w:val="auto"/>
          <w:sz w:val="24"/>
        </w:rPr>
      </w:pPr>
      <w:r>
        <w:rPr>
          <w:rFonts w:hint="eastAsia" w:ascii="宋体" w:hAnsi="宋体"/>
          <w:color w:val="auto"/>
          <w:sz w:val="24"/>
          <w:u w:val="none"/>
        </w:rPr>
        <w:t>由中标人采购的主要材料设备，当中标人选定的产品质量达不到设计要求和预期质量目标时，采购人保留更换的权利，且成交价不予调整。</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五、质量保证</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工程质量保修书格式见第五部分合同条款及格式中的“工程质量保修书”。</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六、合同签订注意事项</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七.其他要求</w:t>
      </w:r>
    </w:p>
    <w:p>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1</w:t>
      </w:r>
      <w:r>
        <w:rPr>
          <w:rFonts w:hint="eastAsia" w:ascii="宋体" w:hAnsi="宋体" w:cs="宋体"/>
          <w:b/>
          <w:bCs/>
          <w:color w:val="auto"/>
          <w:kern w:val="0"/>
          <w:sz w:val="24"/>
        </w:rPr>
        <w:t>、拟派项目经理具有建筑工程专业二级及以上注册建造师资格，且具有有效的三类人员B类证书，且无在建工程</w:t>
      </w:r>
      <w:r>
        <w:rPr>
          <w:rFonts w:hint="eastAsia" w:ascii="宋体" w:hAnsi="宋体" w:cs="宋体"/>
          <w:b/>
          <w:bCs/>
          <w:color w:val="auto"/>
          <w:kern w:val="0"/>
          <w:sz w:val="24"/>
          <w:lang w:val="en-US" w:eastAsia="zh-CN"/>
        </w:rPr>
        <w:t>并提供无在建工程书面承诺</w:t>
      </w:r>
      <w:r>
        <w:rPr>
          <w:rFonts w:hint="eastAsia" w:ascii="宋体" w:hAnsi="宋体" w:cs="宋体"/>
          <w:b/>
          <w:bCs/>
          <w:color w:val="auto"/>
          <w:kern w:val="0"/>
          <w:sz w:val="24"/>
        </w:rPr>
        <w:t>（在建合同工程的开始时间为合同工程中标通知书发出日期（不通过招标方式的，开始时间为合同签订日期），结束时间为该合同工程通过验收或合同解除日期）。</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、拟派现场的安全专职管理员具有施工现场安全生产专职管理人员“三类人员”C类证书。</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八、验收要求</w:t>
      </w:r>
    </w:p>
    <w:p>
      <w:pPr>
        <w:snapToGrid w:val="0"/>
        <w:spacing w:line="360" w:lineRule="auto"/>
        <w:ind w:firstLine="723" w:firstLineChars="300"/>
        <w:rPr>
          <w:rFonts w:hint="eastAsia" w:ascii="宋体" w:hAnsi="宋体" w:cs="宋体"/>
          <w:b/>
          <w:bCs/>
          <w:color w:val="auto"/>
          <w:kern w:val="0"/>
          <w:sz w:val="24"/>
        </w:rPr>
      </w:pPr>
      <w:r>
        <w:rPr>
          <w:rFonts w:hint="eastAsia" w:ascii="宋体" w:hAnsi="宋体" w:cs="宋体"/>
          <w:b/>
          <w:bCs/>
          <w:color w:val="auto"/>
          <w:kern w:val="0"/>
          <w:sz w:val="24"/>
        </w:rPr>
        <w:t>供应商按规范进行施工，直至通过采购人组织的验收，验收过程中，如有不满足磋商文件规定要求及不符合国家相关规范要求的，由供应商负责整改，费用自理。</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九、特别说明</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请各供应商仔细查看清单，做好成本核算，本项目原则上不增加施工费用。</w:t>
      </w: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r>
        <w:rPr>
          <w:rFonts w:hint="eastAsia" w:ascii="宋体" w:hAnsi="宋体" w:cs="宋体"/>
          <w:b/>
          <w:color w:val="auto"/>
          <w:sz w:val="36"/>
          <w:szCs w:val="20"/>
        </w:rPr>
        <w:t>第四部分</w:t>
      </w:r>
      <w:bookmarkStart w:id="30" w:name="_Toc184314482"/>
      <w:bookmarkEnd w:id="30"/>
      <w:bookmarkStart w:id="31" w:name="_Toc184313304"/>
      <w:bookmarkEnd w:id="31"/>
      <w:bookmarkStart w:id="32" w:name="_Toc184310316"/>
      <w:bookmarkEnd w:id="32"/>
      <w:bookmarkStart w:id="33" w:name="_Toc184313285"/>
      <w:bookmarkEnd w:id="33"/>
      <w:bookmarkStart w:id="34" w:name="_Toc184314415"/>
      <w:bookmarkEnd w:id="34"/>
      <w:bookmarkStart w:id="35" w:name="_Toc184313290"/>
      <w:bookmarkEnd w:id="35"/>
      <w:bookmarkStart w:id="36" w:name="_Toc184314433"/>
      <w:bookmarkEnd w:id="36"/>
      <w:bookmarkStart w:id="37" w:name="_Toc184308107"/>
      <w:bookmarkEnd w:id="37"/>
      <w:bookmarkStart w:id="38" w:name="_Toc184312092"/>
      <w:bookmarkEnd w:id="38"/>
      <w:bookmarkStart w:id="39" w:name="_Toc184310342"/>
      <w:bookmarkEnd w:id="39"/>
      <w:bookmarkStart w:id="40" w:name="_Toc184314434"/>
      <w:bookmarkEnd w:id="40"/>
      <w:bookmarkStart w:id="41" w:name="_Toc184313284"/>
      <w:bookmarkEnd w:id="41"/>
      <w:bookmarkStart w:id="42" w:name="_Toc184308078"/>
      <w:bookmarkEnd w:id="42"/>
      <w:bookmarkStart w:id="43" w:name="_Toc184312130"/>
      <w:bookmarkEnd w:id="43"/>
      <w:bookmarkStart w:id="44" w:name="_Toc184308045"/>
      <w:bookmarkEnd w:id="44"/>
      <w:bookmarkStart w:id="45" w:name="_Toc184313272"/>
      <w:bookmarkEnd w:id="45"/>
      <w:bookmarkStart w:id="46" w:name="_Toc184314473"/>
      <w:bookmarkEnd w:id="46"/>
      <w:bookmarkStart w:id="47" w:name="_Toc184313299"/>
      <w:bookmarkEnd w:id="47"/>
      <w:bookmarkStart w:id="48" w:name="_Toc184314419"/>
      <w:bookmarkEnd w:id="48"/>
      <w:bookmarkStart w:id="49" w:name="_Toc184313270"/>
      <w:bookmarkEnd w:id="49"/>
      <w:bookmarkStart w:id="50" w:name="_Toc184314416"/>
      <w:bookmarkEnd w:id="50"/>
      <w:bookmarkStart w:id="51" w:name="_Toc184310327"/>
      <w:bookmarkEnd w:id="51"/>
      <w:bookmarkStart w:id="52" w:name="_Toc184314446"/>
      <w:bookmarkEnd w:id="52"/>
      <w:bookmarkStart w:id="53" w:name="_Toc184310310"/>
      <w:bookmarkEnd w:id="53"/>
      <w:bookmarkStart w:id="54" w:name="_Toc184313297"/>
      <w:bookmarkEnd w:id="54"/>
      <w:bookmarkStart w:id="55" w:name="_Toc184310281"/>
      <w:bookmarkEnd w:id="55"/>
      <w:bookmarkStart w:id="56" w:name="_Toc184308101"/>
      <w:bookmarkEnd w:id="56"/>
      <w:bookmarkStart w:id="57" w:name="_Toc184313300"/>
      <w:bookmarkEnd w:id="57"/>
      <w:bookmarkStart w:id="58" w:name="_Toc184314417"/>
      <w:bookmarkEnd w:id="58"/>
      <w:bookmarkStart w:id="59" w:name="_Toc184314472"/>
      <w:bookmarkEnd w:id="59"/>
      <w:bookmarkStart w:id="60" w:name="_Toc184312076"/>
      <w:bookmarkEnd w:id="60"/>
      <w:bookmarkStart w:id="61" w:name="_Toc184312097"/>
      <w:bookmarkEnd w:id="61"/>
      <w:bookmarkStart w:id="62" w:name="_Toc184308098"/>
      <w:bookmarkEnd w:id="62"/>
      <w:bookmarkStart w:id="63" w:name="_Toc184310333"/>
      <w:bookmarkEnd w:id="63"/>
      <w:bookmarkStart w:id="64" w:name="_Toc184314430"/>
      <w:bookmarkEnd w:id="64"/>
      <w:bookmarkStart w:id="65" w:name="_Toc184310273"/>
      <w:bookmarkEnd w:id="65"/>
      <w:bookmarkStart w:id="66" w:name="_Toc184308092"/>
      <w:bookmarkEnd w:id="66"/>
      <w:bookmarkStart w:id="67" w:name="_Toc184314422"/>
      <w:bookmarkEnd w:id="67"/>
      <w:bookmarkStart w:id="68" w:name="_Toc184312101"/>
      <w:bookmarkEnd w:id="68"/>
      <w:bookmarkStart w:id="69" w:name="_Toc184313241"/>
      <w:bookmarkEnd w:id="69"/>
      <w:bookmarkStart w:id="70" w:name="_Toc184313258"/>
      <w:bookmarkEnd w:id="70"/>
      <w:bookmarkStart w:id="71" w:name="_Toc184313260"/>
      <w:bookmarkEnd w:id="71"/>
      <w:bookmarkStart w:id="72" w:name="_Toc184308106"/>
      <w:bookmarkEnd w:id="72"/>
      <w:bookmarkStart w:id="73" w:name="_Toc184312083"/>
      <w:bookmarkEnd w:id="73"/>
      <w:bookmarkStart w:id="74" w:name="_Toc184314480"/>
      <w:bookmarkEnd w:id="74"/>
      <w:bookmarkStart w:id="75" w:name="_Toc184310293"/>
      <w:bookmarkEnd w:id="75"/>
      <w:bookmarkStart w:id="76" w:name="_Toc184314479"/>
      <w:bookmarkEnd w:id="76"/>
      <w:bookmarkStart w:id="77" w:name="_Toc184314428"/>
      <w:bookmarkEnd w:id="77"/>
      <w:bookmarkStart w:id="78" w:name="_Toc184310272"/>
      <w:bookmarkEnd w:id="78"/>
      <w:bookmarkStart w:id="79" w:name="_Toc184313294"/>
      <w:bookmarkEnd w:id="79"/>
      <w:bookmarkStart w:id="80" w:name="_Toc184310286"/>
      <w:bookmarkEnd w:id="80"/>
      <w:bookmarkStart w:id="81" w:name="_Toc184312070"/>
      <w:bookmarkEnd w:id="81"/>
      <w:bookmarkStart w:id="82" w:name="_Toc184308108"/>
      <w:bookmarkEnd w:id="82"/>
      <w:bookmarkStart w:id="83" w:name="_Toc184312090"/>
      <w:bookmarkEnd w:id="83"/>
      <w:bookmarkStart w:id="84" w:name="_Toc184312081"/>
      <w:bookmarkEnd w:id="84"/>
      <w:bookmarkStart w:id="85" w:name="_Toc184313310"/>
      <w:bookmarkEnd w:id="85"/>
      <w:bookmarkStart w:id="86" w:name="_Toc184314477"/>
      <w:bookmarkEnd w:id="86"/>
      <w:bookmarkStart w:id="87" w:name="_Toc184308061"/>
      <w:bookmarkEnd w:id="87"/>
      <w:bookmarkStart w:id="88" w:name="_Toc184312128"/>
      <w:bookmarkEnd w:id="88"/>
      <w:bookmarkStart w:id="89" w:name="_Toc184308088"/>
      <w:bookmarkEnd w:id="89"/>
      <w:bookmarkStart w:id="90" w:name="_Toc184312134"/>
      <w:bookmarkEnd w:id="90"/>
      <w:bookmarkStart w:id="91" w:name="_Toc184308065"/>
      <w:bookmarkEnd w:id="91"/>
      <w:bookmarkStart w:id="92" w:name="_Toc184314470"/>
      <w:bookmarkEnd w:id="92"/>
      <w:bookmarkStart w:id="93" w:name="_Toc184314469"/>
      <w:bookmarkEnd w:id="93"/>
      <w:bookmarkStart w:id="94" w:name="_Toc184312112"/>
      <w:bookmarkEnd w:id="94"/>
      <w:bookmarkStart w:id="95" w:name="_Toc184308066"/>
      <w:bookmarkEnd w:id="95"/>
      <w:bookmarkStart w:id="96" w:name="_Toc184312133"/>
      <w:bookmarkEnd w:id="96"/>
      <w:bookmarkStart w:id="97" w:name="_Toc184313255"/>
      <w:bookmarkEnd w:id="97"/>
      <w:bookmarkStart w:id="98" w:name="_Toc184310318"/>
      <w:bookmarkEnd w:id="98"/>
      <w:bookmarkStart w:id="99" w:name="_Toc184308052"/>
      <w:bookmarkEnd w:id="99"/>
      <w:bookmarkStart w:id="100" w:name="_Toc184310330"/>
      <w:bookmarkEnd w:id="100"/>
      <w:bookmarkStart w:id="101" w:name="_Toc184313262"/>
      <w:bookmarkEnd w:id="101"/>
      <w:bookmarkStart w:id="102" w:name="_Toc184312136"/>
      <w:bookmarkEnd w:id="102"/>
      <w:bookmarkStart w:id="103" w:name="_Toc184308072"/>
      <w:bookmarkEnd w:id="103"/>
      <w:bookmarkStart w:id="104" w:name="_Toc184314468"/>
      <w:bookmarkEnd w:id="104"/>
      <w:bookmarkStart w:id="105" w:name="_Toc184308057"/>
      <w:bookmarkEnd w:id="105"/>
      <w:bookmarkStart w:id="106" w:name="_Toc184312110"/>
      <w:bookmarkEnd w:id="106"/>
      <w:bookmarkStart w:id="107" w:name="_Toc184312075"/>
      <w:bookmarkEnd w:id="107"/>
      <w:bookmarkStart w:id="108" w:name="_Toc184314442"/>
      <w:bookmarkEnd w:id="108"/>
      <w:bookmarkStart w:id="109" w:name="_Toc184310294"/>
      <w:bookmarkEnd w:id="109"/>
      <w:bookmarkStart w:id="110" w:name="_Toc184314454"/>
      <w:bookmarkEnd w:id="110"/>
      <w:bookmarkStart w:id="111" w:name="_Toc184313295"/>
      <w:bookmarkEnd w:id="111"/>
      <w:bookmarkStart w:id="112" w:name="_Toc184308095"/>
      <w:bookmarkEnd w:id="112"/>
      <w:bookmarkStart w:id="113" w:name="_Toc184312138"/>
      <w:bookmarkEnd w:id="113"/>
      <w:bookmarkStart w:id="114" w:name="_Toc184313289"/>
      <w:bookmarkEnd w:id="114"/>
      <w:bookmarkStart w:id="115" w:name="_Toc184310304"/>
      <w:bookmarkEnd w:id="115"/>
      <w:bookmarkStart w:id="116" w:name="_Toc184313273"/>
      <w:bookmarkEnd w:id="116"/>
      <w:bookmarkStart w:id="117" w:name="_Toc184312072"/>
      <w:bookmarkEnd w:id="117"/>
      <w:bookmarkStart w:id="118" w:name="_Toc184310341"/>
      <w:bookmarkEnd w:id="118"/>
      <w:bookmarkStart w:id="119" w:name="_Toc184314445"/>
      <w:bookmarkEnd w:id="119"/>
      <w:bookmarkStart w:id="120" w:name="_Toc184313245"/>
      <w:bookmarkEnd w:id="120"/>
      <w:bookmarkStart w:id="121" w:name="_Toc184308104"/>
      <w:bookmarkEnd w:id="121"/>
      <w:bookmarkStart w:id="122" w:name="_Toc184314424"/>
      <w:bookmarkEnd w:id="122"/>
      <w:bookmarkStart w:id="123" w:name="_Toc184310282"/>
      <w:bookmarkEnd w:id="123"/>
      <w:bookmarkStart w:id="124" w:name="_Toc184313287"/>
      <w:bookmarkEnd w:id="124"/>
      <w:bookmarkStart w:id="125" w:name="_Toc184314437"/>
      <w:bookmarkEnd w:id="125"/>
      <w:bookmarkStart w:id="126" w:name="_Toc184308039"/>
      <w:bookmarkEnd w:id="126"/>
      <w:bookmarkStart w:id="127" w:name="_Toc184314464"/>
      <w:bookmarkEnd w:id="127"/>
      <w:bookmarkStart w:id="128" w:name="_Toc184310285"/>
      <w:bookmarkEnd w:id="128"/>
      <w:bookmarkStart w:id="129" w:name="_Toc184308067"/>
      <w:bookmarkEnd w:id="129"/>
      <w:bookmarkStart w:id="130" w:name="_Toc184313275"/>
      <w:bookmarkEnd w:id="130"/>
      <w:bookmarkStart w:id="131" w:name="_Toc184310299"/>
      <w:bookmarkEnd w:id="131"/>
      <w:bookmarkStart w:id="132" w:name="_Toc184313247"/>
      <w:bookmarkEnd w:id="132"/>
      <w:bookmarkStart w:id="133" w:name="_Toc184308047"/>
      <w:bookmarkEnd w:id="133"/>
      <w:bookmarkStart w:id="134" w:name="_Toc184313268"/>
      <w:bookmarkEnd w:id="134"/>
      <w:bookmarkStart w:id="135" w:name="_Toc184314432"/>
      <w:bookmarkEnd w:id="135"/>
      <w:bookmarkStart w:id="136" w:name="_Toc184308063"/>
      <w:bookmarkEnd w:id="136"/>
      <w:bookmarkStart w:id="137" w:name="_Toc184314451"/>
      <w:bookmarkEnd w:id="137"/>
      <w:bookmarkStart w:id="138" w:name="_Toc184308096"/>
      <w:bookmarkEnd w:id="138"/>
      <w:bookmarkStart w:id="139" w:name="_Toc184308080"/>
      <w:bookmarkEnd w:id="139"/>
      <w:bookmarkStart w:id="140" w:name="_Toc184308037"/>
      <w:bookmarkEnd w:id="140"/>
      <w:bookmarkStart w:id="141" w:name="_Toc184313280"/>
      <w:bookmarkEnd w:id="141"/>
      <w:bookmarkStart w:id="142" w:name="_Toc184312073"/>
      <w:bookmarkEnd w:id="142"/>
      <w:bookmarkStart w:id="143" w:name="_Toc184313269"/>
      <w:bookmarkEnd w:id="143"/>
      <w:bookmarkStart w:id="144" w:name="_Toc184313306"/>
      <w:bookmarkEnd w:id="144"/>
      <w:bookmarkStart w:id="145" w:name="_Toc184313243"/>
      <w:bookmarkEnd w:id="145"/>
      <w:bookmarkStart w:id="146" w:name="_Toc184312089"/>
      <w:bookmarkEnd w:id="146"/>
      <w:bookmarkStart w:id="147" w:name="_Toc184313256"/>
      <w:bookmarkEnd w:id="147"/>
      <w:bookmarkStart w:id="148" w:name="_Toc184310277"/>
      <w:bookmarkEnd w:id="148"/>
      <w:bookmarkStart w:id="149" w:name="_Toc184310328"/>
      <w:bookmarkEnd w:id="149"/>
      <w:bookmarkStart w:id="150" w:name="_Toc184310289"/>
      <w:bookmarkEnd w:id="150"/>
      <w:bookmarkStart w:id="151" w:name="_Toc184313240"/>
      <w:bookmarkEnd w:id="151"/>
      <w:bookmarkStart w:id="152" w:name="_Toc184310332"/>
      <w:bookmarkEnd w:id="152"/>
      <w:bookmarkStart w:id="153" w:name="_Toc184310317"/>
      <w:bookmarkEnd w:id="153"/>
      <w:bookmarkStart w:id="154" w:name="_Toc184313301"/>
      <w:bookmarkEnd w:id="154"/>
      <w:bookmarkStart w:id="155" w:name="_Toc184313259"/>
      <w:bookmarkEnd w:id="155"/>
      <w:bookmarkStart w:id="156" w:name="_Toc184312132"/>
      <w:bookmarkEnd w:id="156"/>
      <w:bookmarkStart w:id="157" w:name="_Toc184313308"/>
      <w:bookmarkEnd w:id="157"/>
      <w:bookmarkStart w:id="158" w:name="_Toc184313298"/>
      <w:bookmarkEnd w:id="158"/>
      <w:bookmarkStart w:id="159" w:name="_Toc184313254"/>
      <w:bookmarkEnd w:id="159"/>
      <w:bookmarkStart w:id="160" w:name="_Toc184312084"/>
      <w:bookmarkEnd w:id="160"/>
      <w:bookmarkStart w:id="161" w:name="_Toc184308089"/>
      <w:bookmarkEnd w:id="161"/>
      <w:bookmarkStart w:id="162" w:name="_Toc184308056"/>
      <w:bookmarkEnd w:id="162"/>
      <w:bookmarkStart w:id="163" w:name="_Toc184312100"/>
      <w:bookmarkEnd w:id="163"/>
      <w:bookmarkStart w:id="164" w:name="_Toc184310291"/>
      <w:bookmarkEnd w:id="164"/>
      <w:bookmarkStart w:id="165" w:name="_Toc184308097"/>
      <w:bookmarkEnd w:id="165"/>
      <w:bookmarkStart w:id="166" w:name="_Toc184312103"/>
      <w:bookmarkEnd w:id="166"/>
      <w:bookmarkStart w:id="167" w:name="_Toc184313251"/>
      <w:bookmarkEnd w:id="167"/>
      <w:bookmarkStart w:id="168" w:name="_Toc184308076"/>
      <w:bookmarkEnd w:id="168"/>
      <w:bookmarkStart w:id="169" w:name="_Toc184310340"/>
      <w:bookmarkEnd w:id="169"/>
      <w:bookmarkStart w:id="170" w:name="_Toc184308090"/>
      <w:bookmarkEnd w:id="170"/>
      <w:bookmarkStart w:id="171" w:name="_Toc184310290"/>
      <w:bookmarkEnd w:id="171"/>
      <w:bookmarkStart w:id="172" w:name="_Toc184314435"/>
      <w:bookmarkEnd w:id="172"/>
      <w:bookmarkStart w:id="173" w:name="_Toc184313291"/>
      <w:bookmarkEnd w:id="173"/>
      <w:bookmarkStart w:id="174" w:name="_Toc184308100"/>
      <w:bookmarkEnd w:id="174"/>
      <w:bookmarkStart w:id="175" w:name="_Toc184313303"/>
      <w:bookmarkEnd w:id="175"/>
      <w:bookmarkStart w:id="176" w:name="_Toc184308069"/>
      <w:bookmarkEnd w:id="176"/>
      <w:bookmarkStart w:id="177" w:name="_Toc184310335"/>
      <w:bookmarkEnd w:id="177"/>
      <w:bookmarkStart w:id="178" w:name="_Toc184313265"/>
      <w:bookmarkEnd w:id="178"/>
      <w:bookmarkStart w:id="179" w:name="_Toc184313239"/>
      <w:bookmarkEnd w:id="179"/>
      <w:bookmarkStart w:id="180" w:name="_Toc184314478"/>
      <w:bookmarkEnd w:id="180"/>
      <w:bookmarkStart w:id="181" w:name="_Toc184314425"/>
      <w:bookmarkEnd w:id="181"/>
      <w:bookmarkStart w:id="182" w:name="_Toc184310295"/>
      <w:bookmarkEnd w:id="182"/>
      <w:bookmarkStart w:id="183" w:name="_Toc184314466"/>
      <w:bookmarkEnd w:id="183"/>
      <w:bookmarkStart w:id="184" w:name="_Toc184308082"/>
      <w:bookmarkEnd w:id="184"/>
      <w:bookmarkStart w:id="185" w:name="_Toc184310343"/>
      <w:bookmarkEnd w:id="185"/>
      <w:bookmarkStart w:id="186" w:name="_Toc184312114"/>
      <w:bookmarkEnd w:id="186"/>
      <w:bookmarkStart w:id="187" w:name="_Toc184314443"/>
      <w:bookmarkEnd w:id="187"/>
      <w:bookmarkStart w:id="188" w:name="_Toc184314421"/>
      <w:bookmarkEnd w:id="188"/>
      <w:bookmarkStart w:id="189" w:name="_Toc184308049"/>
      <w:bookmarkEnd w:id="189"/>
      <w:bookmarkStart w:id="190" w:name="_Toc184314439"/>
      <w:bookmarkEnd w:id="190"/>
      <w:bookmarkStart w:id="191" w:name="_Toc184312098"/>
      <w:bookmarkEnd w:id="191"/>
      <w:bookmarkStart w:id="192" w:name="_Toc184314452"/>
      <w:bookmarkEnd w:id="192"/>
      <w:bookmarkStart w:id="193" w:name="_Toc184308077"/>
      <w:bookmarkEnd w:id="193"/>
      <w:bookmarkStart w:id="194" w:name="_Toc184308040"/>
      <w:bookmarkEnd w:id="194"/>
      <w:bookmarkStart w:id="195" w:name="_Toc184308053"/>
      <w:bookmarkEnd w:id="195"/>
      <w:bookmarkStart w:id="196" w:name="_Toc184310301"/>
      <w:bookmarkEnd w:id="196"/>
      <w:bookmarkStart w:id="197" w:name="_Toc184310279"/>
      <w:bookmarkEnd w:id="197"/>
      <w:bookmarkStart w:id="198" w:name="_Toc184312071"/>
      <w:bookmarkEnd w:id="198"/>
      <w:bookmarkStart w:id="199" w:name="_Toc184314447"/>
      <w:bookmarkEnd w:id="199"/>
      <w:bookmarkStart w:id="200" w:name="_Toc184310302"/>
      <w:bookmarkEnd w:id="200"/>
      <w:bookmarkStart w:id="201" w:name="_Toc184308075"/>
      <w:bookmarkEnd w:id="201"/>
      <w:bookmarkStart w:id="202" w:name="_Toc184313274"/>
      <w:bookmarkEnd w:id="202"/>
      <w:bookmarkStart w:id="203" w:name="_Toc184312125"/>
      <w:bookmarkEnd w:id="203"/>
      <w:bookmarkStart w:id="204" w:name="_Toc184310325"/>
      <w:bookmarkEnd w:id="204"/>
      <w:bookmarkStart w:id="205" w:name="_Toc184310323"/>
      <w:bookmarkEnd w:id="205"/>
      <w:bookmarkStart w:id="206" w:name="_Toc184313242"/>
      <w:bookmarkEnd w:id="206"/>
      <w:bookmarkStart w:id="207" w:name="_Toc184308060"/>
      <w:bookmarkEnd w:id="207"/>
      <w:bookmarkStart w:id="208" w:name="_Toc184310329"/>
      <w:bookmarkEnd w:id="208"/>
      <w:bookmarkStart w:id="209" w:name="_Toc184312087"/>
      <w:bookmarkEnd w:id="209"/>
      <w:bookmarkStart w:id="210" w:name="_Toc184308102"/>
      <w:bookmarkEnd w:id="210"/>
      <w:bookmarkStart w:id="211" w:name="_Toc184314459"/>
      <w:bookmarkEnd w:id="211"/>
      <w:bookmarkStart w:id="212" w:name="_Toc184312109"/>
      <w:bookmarkEnd w:id="212"/>
      <w:bookmarkStart w:id="213" w:name="_Toc184313296"/>
      <w:bookmarkEnd w:id="213"/>
      <w:bookmarkStart w:id="214" w:name="_Toc184308059"/>
      <w:bookmarkEnd w:id="214"/>
      <w:bookmarkStart w:id="215" w:name="_Toc184313293"/>
      <w:bookmarkEnd w:id="215"/>
      <w:bookmarkStart w:id="216" w:name="_Toc184312116"/>
      <w:bookmarkEnd w:id="216"/>
      <w:bookmarkStart w:id="217" w:name="_Toc184310303"/>
      <w:bookmarkEnd w:id="217"/>
      <w:bookmarkStart w:id="218" w:name="_Toc184314460"/>
      <w:bookmarkEnd w:id="218"/>
      <w:bookmarkStart w:id="219" w:name="_Toc184314458"/>
      <w:bookmarkEnd w:id="219"/>
      <w:bookmarkStart w:id="220" w:name="_Toc184313281"/>
      <w:bookmarkEnd w:id="220"/>
      <w:bookmarkStart w:id="221" w:name="_Toc184308094"/>
      <w:bookmarkEnd w:id="221"/>
      <w:bookmarkStart w:id="222" w:name="_Toc184314436"/>
      <w:bookmarkEnd w:id="222"/>
      <w:bookmarkStart w:id="223" w:name="_Toc184312105"/>
      <w:bookmarkEnd w:id="223"/>
      <w:bookmarkStart w:id="224" w:name="_Toc184310308"/>
      <w:bookmarkEnd w:id="224"/>
      <w:bookmarkStart w:id="225" w:name="_Toc184312115"/>
      <w:bookmarkEnd w:id="225"/>
      <w:bookmarkStart w:id="226" w:name="_Toc184314426"/>
      <w:bookmarkEnd w:id="226"/>
      <w:bookmarkStart w:id="227" w:name="_Toc184312121"/>
      <w:bookmarkEnd w:id="227"/>
      <w:bookmarkStart w:id="228" w:name="_Toc184312113"/>
      <w:bookmarkEnd w:id="228"/>
      <w:bookmarkStart w:id="229" w:name="_Toc184313266"/>
      <w:bookmarkEnd w:id="229"/>
      <w:bookmarkStart w:id="230" w:name="_Toc184314412"/>
      <w:bookmarkEnd w:id="230"/>
      <w:bookmarkStart w:id="231" w:name="_Toc184312085"/>
      <w:bookmarkEnd w:id="231"/>
      <w:bookmarkStart w:id="232" w:name="_Toc184310314"/>
      <w:bookmarkEnd w:id="232"/>
      <w:bookmarkStart w:id="233" w:name="_Toc184314413"/>
      <w:bookmarkEnd w:id="233"/>
      <w:bookmarkStart w:id="234" w:name="_Toc184312095"/>
      <w:bookmarkEnd w:id="234"/>
      <w:bookmarkStart w:id="235" w:name="_Toc184308041"/>
      <w:bookmarkEnd w:id="235"/>
      <w:bookmarkStart w:id="236" w:name="_Toc184314448"/>
      <w:bookmarkEnd w:id="236"/>
      <w:bookmarkStart w:id="237" w:name="_Toc184310319"/>
      <w:bookmarkEnd w:id="237"/>
      <w:bookmarkStart w:id="238" w:name="_Toc184313263"/>
      <w:bookmarkEnd w:id="238"/>
      <w:bookmarkStart w:id="239" w:name="_Toc184312067"/>
      <w:bookmarkEnd w:id="239"/>
      <w:bookmarkStart w:id="240" w:name="_Toc184314418"/>
      <w:bookmarkEnd w:id="240"/>
      <w:bookmarkStart w:id="241" w:name="_Toc184312137"/>
      <w:bookmarkEnd w:id="241"/>
      <w:bookmarkStart w:id="242" w:name="_Toc184313288"/>
      <w:bookmarkEnd w:id="242"/>
      <w:bookmarkStart w:id="243" w:name="_Toc184313279"/>
      <w:bookmarkEnd w:id="243"/>
      <w:bookmarkStart w:id="244" w:name="_Toc184312120"/>
      <w:bookmarkEnd w:id="244"/>
      <w:bookmarkStart w:id="245" w:name="_Toc184308081"/>
      <w:bookmarkEnd w:id="245"/>
      <w:bookmarkStart w:id="246" w:name="_Toc184314481"/>
      <w:bookmarkEnd w:id="246"/>
      <w:bookmarkStart w:id="247" w:name="_Toc184310297"/>
      <w:bookmarkEnd w:id="247"/>
      <w:bookmarkStart w:id="248" w:name="_Toc184314420"/>
      <w:bookmarkEnd w:id="248"/>
      <w:bookmarkStart w:id="249" w:name="_Toc184313307"/>
      <w:bookmarkEnd w:id="249"/>
      <w:bookmarkStart w:id="250" w:name="_Toc184314462"/>
      <w:bookmarkEnd w:id="250"/>
      <w:bookmarkStart w:id="251" w:name="_Toc184312104"/>
      <w:bookmarkEnd w:id="251"/>
      <w:bookmarkStart w:id="252" w:name="_Toc184312074"/>
      <w:bookmarkEnd w:id="252"/>
      <w:bookmarkStart w:id="253" w:name="_Toc184308068"/>
      <w:bookmarkEnd w:id="253"/>
      <w:bookmarkStart w:id="254" w:name="_Toc184314410"/>
      <w:bookmarkEnd w:id="254"/>
      <w:bookmarkStart w:id="255" w:name="_Toc184313302"/>
      <w:bookmarkEnd w:id="255"/>
      <w:bookmarkStart w:id="256" w:name="_Toc184308099"/>
      <w:bookmarkEnd w:id="256"/>
      <w:bookmarkStart w:id="257" w:name="_Toc184314461"/>
      <w:bookmarkEnd w:id="257"/>
      <w:bookmarkStart w:id="258" w:name="_Toc184310312"/>
      <w:bookmarkEnd w:id="258"/>
      <w:bookmarkStart w:id="259" w:name="_Toc184310326"/>
      <w:bookmarkEnd w:id="259"/>
      <w:bookmarkStart w:id="260" w:name="_Toc184314476"/>
      <w:bookmarkEnd w:id="260"/>
      <w:bookmarkStart w:id="261" w:name="_Toc184308071"/>
      <w:bookmarkEnd w:id="261"/>
      <w:bookmarkStart w:id="262" w:name="_Toc184310307"/>
      <w:bookmarkEnd w:id="262"/>
      <w:bookmarkStart w:id="263" w:name="_Toc184313276"/>
      <w:bookmarkEnd w:id="263"/>
      <w:bookmarkStart w:id="264" w:name="_Toc184310280"/>
      <w:bookmarkEnd w:id="264"/>
      <w:bookmarkStart w:id="265" w:name="_Toc184314411"/>
      <w:bookmarkEnd w:id="265"/>
      <w:bookmarkStart w:id="266" w:name="_Toc184308073"/>
      <w:bookmarkEnd w:id="266"/>
      <w:bookmarkStart w:id="267" w:name="_Toc184308079"/>
      <w:bookmarkEnd w:id="267"/>
      <w:bookmarkStart w:id="268" w:name="_Toc184310334"/>
      <w:bookmarkEnd w:id="268"/>
      <w:bookmarkStart w:id="269" w:name="_Toc184308042"/>
      <w:bookmarkEnd w:id="269"/>
      <w:bookmarkStart w:id="270" w:name="_Toc184314457"/>
      <w:bookmarkEnd w:id="270"/>
      <w:bookmarkStart w:id="271" w:name="_Toc184313244"/>
      <w:bookmarkEnd w:id="271"/>
      <w:bookmarkStart w:id="272" w:name="_Toc184312099"/>
      <w:bookmarkEnd w:id="272"/>
      <w:bookmarkStart w:id="273" w:name="_Toc184312086"/>
      <w:bookmarkEnd w:id="273"/>
      <w:bookmarkStart w:id="274" w:name="_Toc184312106"/>
      <w:bookmarkEnd w:id="274"/>
      <w:bookmarkStart w:id="275" w:name="_Toc184312091"/>
      <w:bookmarkEnd w:id="275"/>
      <w:bookmarkStart w:id="276" w:name="_Toc184312079"/>
      <w:bookmarkEnd w:id="276"/>
      <w:bookmarkStart w:id="277" w:name="_Toc184308036"/>
      <w:bookmarkEnd w:id="277"/>
      <w:bookmarkStart w:id="278" w:name="_Toc184312080"/>
      <w:bookmarkEnd w:id="278"/>
      <w:bookmarkStart w:id="279" w:name="_Toc184314456"/>
      <w:bookmarkEnd w:id="279"/>
      <w:bookmarkStart w:id="280" w:name="_Toc184310287"/>
      <w:bookmarkEnd w:id="280"/>
      <w:bookmarkStart w:id="281" w:name="_Toc184314467"/>
      <w:bookmarkEnd w:id="281"/>
      <w:bookmarkStart w:id="282" w:name="_Toc184314463"/>
      <w:bookmarkEnd w:id="282"/>
      <w:bookmarkStart w:id="283" w:name="_Toc184310322"/>
      <w:bookmarkEnd w:id="283"/>
      <w:bookmarkStart w:id="284" w:name="_Toc184312096"/>
      <w:bookmarkEnd w:id="284"/>
      <w:bookmarkStart w:id="285" w:name="_Toc184313264"/>
      <w:bookmarkEnd w:id="285"/>
      <w:bookmarkStart w:id="286" w:name="_Toc184312135"/>
      <w:bookmarkEnd w:id="286"/>
      <w:bookmarkStart w:id="287" w:name="_Toc184308070"/>
      <w:bookmarkEnd w:id="287"/>
      <w:bookmarkStart w:id="288" w:name="_Toc184310320"/>
      <w:bookmarkEnd w:id="288"/>
      <w:bookmarkStart w:id="289" w:name="_Toc184312082"/>
      <w:bookmarkEnd w:id="289"/>
      <w:bookmarkStart w:id="290" w:name="_Toc184312124"/>
      <w:bookmarkEnd w:id="290"/>
      <w:bookmarkStart w:id="291" w:name="_Toc184310306"/>
      <w:bookmarkEnd w:id="291"/>
      <w:bookmarkStart w:id="292" w:name="_Toc184312102"/>
      <w:bookmarkEnd w:id="292"/>
      <w:bookmarkStart w:id="293" w:name="_Toc184310300"/>
      <w:bookmarkEnd w:id="293"/>
      <w:bookmarkStart w:id="294" w:name="_Toc184313249"/>
      <w:bookmarkEnd w:id="294"/>
      <w:bookmarkStart w:id="295" w:name="_Toc184310315"/>
      <w:bookmarkEnd w:id="295"/>
      <w:bookmarkStart w:id="296" w:name="_Toc184312127"/>
      <w:bookmarkEnd w:id="296"/>
      <w:bookmarkStart w:id="297" w:name="_Toc184310331"/>
      <w:bookmarkEnd w:id="297"/>
      <w:bookmarkStart w:id="298" w:name="_Toc184313292"/>
      <w:bookmarkEnd w:id="298"/>
      <w:bookmarkStart w:id="299" w:name="_Toc184310337"/>
      <w:bookmarkEnd w:id="299"/>
      <w:bookmarkStart w:id="300" w:name="_Toc184312094"/>
      <w:bookmarkEnd w:id="300"/>
      <w:bookmarkStart w:id="301" w:name="_Toc184308074"/>
      <w:bookmarkEnd w:id="301"/>
      <w:bookmarkStart w:id="302" w:name="_Toc184314438"/>
      <w:bookmarkEnd w:id="302"/>
      <w:bookmarkStart w:id="303" w:name="_Toc184310276"/>
      <w:bookmarkEnd w:id="303"/>
      <w:bookmarkStart w:id="304" w:name="_Toc184308043"/>
      <w:bookmarkEnd w:id="304"/>
      <w:bookmarkStart w:id="305" w:name="_Toc184314450"/>
      <w:bookmarkEnd w:id="305"/>
      <w:bookmarkStart w:id="306" w:name="_Toc184308048"/>
      <w:bookmarkEnd w:id="306"/>
      <w:bookmarkStart w:id="307" w:name="_Toc184313305"/>
      <w:bookmarkEnd w:id="307"/>
      <w:bookmarkStart w:id="308" w:name="_Toc184312139"/>
      <w:bookmarkEnd w:id="308"/>
      <w:bookmarkStart w:id="309" w:name="_Toc184313286"/>
      <w:bookmarkEnd w:id="309"/>
      <w:bookmarkStart w:id="310" w:name="_Toc184312108"/>
      <w:bookmarkEnd w:id="310"/>
      <w:bookmarkStart w:id="311" w:name="_Toc184312088"/>
      <w:bookmarkEnd w:id="311"/>
      <w:bookmarkStart w:id="312" w:name="_Toc184308062"/>
      <w:bookmarkEnd w:id="312"/>
      <w:bookmarkStart w:id="313" w:name="_Toc184310324"/>
      <w:bookmarkEnd w:id="313"/>
      <w:bookmarkStart w:id="314" w:name="_Toc184308064"/>
      <w:bookmarkEnd w:id="314"/>
      <w:bookmarkStart w:id="315" w:name="_Toc184313271"/>
      <w:bookmarkEnd w:id="315"/>
      <w:bookmarkStart w:id="316" w:name="_Toc184310309"/>
      <w:bookmarkEnd w:id="316"/>
      <w:bookmarkStart w:id="317" w:name="_Toc184308084"/>
      <w:bookmarkEnd w:id="317"/>
      <w:bookmarkStart w:id="318" w:name="_Toc184310344"/>
      <w:bookmarkEnd w:id="318"/>
      <w:bookmarkStart w:id="319" w:name="_Toc184312111"/>
      <w:bookmarkEnd w:id="319"/>
      <w:bookmarkStart w:id="320" w:name="_Toc184308058"/>
      <w:bookmarkEnd w:id="320"/>
      <w:bookmarkStart w:id="321" w:name="_Toc184314440"/>
      <w:bookmarkEnd w:id="321"/>
      <w:bookmarkStart w:id="322" w:name="_Toc184308087"/>
      <w:bookmarkEnd w:id="322"/>
      <w:bookmarkStart w:id="323" w:name="_Toc184313267"/>
      <w:bookmarkEnd w:id="323"/>
      <w:bookmarkStart w:id="324" w:name="_Toc184308086"/>
      <w:bookmarkEnd w:id="324"/>
      <w:bookmarkStart w:id="325" w:name="_Toc184310296"/>
      <w:bookmarkEnd w:id="325"/>
      <w:bookmarkStart w:id="326" w:name="_Toc184308038"/>
      <w:bookmarkEnd w:id="326"/>
      <w:bookmarkStart w:id="327" w:name="_Toc184314431"/>
      <w:bookmarkEnd w:id="327"/>
      <w:bookmarkStart w:id="328" w:name="_Toc184312119"/>
      <w:bookmarkEnd w:id="328"/>
      <w:bookmarkStart w:id="329" w:name="_Toc184314423"/>
      <w:bookmarkEnd w:id="329"/>
      <w:bookmarkStart w:id="330" w:name="_Toc184310292"/>
      <w:bookmarkEnd w:id="330"/>
      <w:bookmarkStart w:id="331" w:name="_Toc184312122"/>
      <w:bookmarkEnd w:id="331"/>
      <w:bookmarkStart w:id="332" w:name="_Toc184313261"/>
      <w:bookmarkEnd w:id="332"/>
      <w:bookmarkStart w:id="333" w:name="_Toc184308054"/>
      <w:bookmarkEnd w:id="333"/>
      <w:bookmarkStart w:id="334" w:name="_Toc184312069"/>
      <w:bookmarkEnd w:id="334"/>
      <w:bookmarkStart w:id="335" w:name="_Toc184310313"/>
      <w:bookmarkEnd w:id="335"/>
      <w:bookmarkStart w:id="336" w:name="_Toc184313257"/>
      <w:bookmarkEnd w:id="336"/>
      <w:bookmarkStart w:id="337" w:name="_Toc184310311"/>
      <w:bookmarkEnd w:id="337"/>
      <w:bookmarkStart w:id="338" w:name="_Toc184310283"/>
      <w:bookmarkEnd w:id="338"/>
      <w:bookmarkStart w:id="339" w:name="_Toc184310284"/>
      <w:bookmarkEnd w:id="339"/>
      <w:bookmarkStart w:id="340" w:name="_Toc184313278"/>
      <w:bookmarkEnd w:id="340"/>
      <w:bookmarkStart w:id="341" w:name="_Toc184313253"/>
      <w:bookmarkEnd w:id="341"/>
      <w:bookmarkStart w:id="342" w:name="_Toc184312117"/>
      <w:bookmarkEnd w:id="342"/>
      <w:bookmarkStart w:id="343" w:name="_Toc184308085"/>
      <w:bookmarkEnd w:id="343"/>
      <w:bookmarkStart w:id="344" w:name="_Toc184313250"/>
      <w:bookmarkEnd w:id="344"/>
      <w:bookmarkStart w:id="345" w:name="_Toc184313248"/>
      <w:bookmarkEnd w:id="345"/>
      <w:bookmarkStart w:id="346" w:name="_Toc184310288"/>
      <w:bookmarkEnd w:id="346"/>
      <w:bookmarkStart w:id="347" w:name="_Toc184313283"/>
      <w:bookmarkEnd w:id="347"/>
      <w:bookmarkStart w:id="348" w:name="_Toc184314414"/>
      <w:bookmarkEnd w:id="348"/>
      <w:bookmarkStart w:id="349" w:name="_Toc184310305"/>
      <w:bookmarkEnd w:id="349"/>
      <w:bookmarkStart w:id="350" w:name="_Toc184314453"/>
      <w:bookmarkEnd w:id="350"/>
      <w:bookmarkStart w:id="351" w:name="_Toc184310298"/>
      <w:bookmarkEnd w:id="351"/>
      <w:bookmarkStart w:id="352" w:name="_Toc184308050"/>
      <w:bookmarkEnd w:id="352"/>
      <w:bookmarkStart w:id="353" w:name="_Toc184310275"/>
      <w:bookmarkEnd w:id="353"/>
      <w:bookmarkStart w:id="354" w:name="_Toc184312131"/>
      <w:bookmarkEnd w:id="354"/>
      <w:bookmarkStart w:id="355" w:name="_Toc184308103"/>
      <w:bookmarkEnd w:id="355"/>
      <w:bookmarkStart w:id="356" w:name="_Toc184313238"/>
      <w:bookmarkEnd w:id="356"/>
      <w:bookmarkStart w:id="357" w:name="_Toc184312123"/>
      <w:bookmarkEnd w:id="357"/>
      <w:bookmarkStart w:id="358" w:name="_Toc184314465"/>
      <w:bookmarkEnd w:id="358"/>
      <w:bookmarkStart w:id="359" w:name="_Toc184313277"/>
      <w:bookmarkEnd w:id="359"/>
      <w:bookmarkStart w:id="360" w:name="_Toc184314429"/>
      <w:bookmarkEnd w:id="360"/>
      <w:bookmarkStart w:id="361" w:name="_Toc184314444"/>
      <w:bookmarkEnd w:id="361"/>
      <w:bookmarkStart w:id="362" w:name="_Toc184312068"/>
      <w:bookmarkEnd w:id="362"/>
      <w:bookmarkStart w:id="363" w:name="_Toc184310338"/>
      <w:bookmarkEnd w:id="363"/>
      <w:bookmarkStart w:id="364" w:name="_Toc184312107"/>
      <w:bookmarkEnd w:id="364"/>
      <w:bookmarkStart w:id="365" w:name="_Toc184310336"/>
      <w:bookmarkEnd w:id="365"/>
      <w:bookmarkStart w:id="366" w:name="_Toc184308105"/>
      <w:bookmarkEnd w:id="366"/>
      <w:bookmarkStart w:id="367" w:name="_Toc184308091"/>
      <w:bookmarkEnd w:id="367"/>
      <w:bookmarkStart w:id="368" w:name="_Toc184308051"/>
      <w:bookmarkEnd w:id="368"/>
      <w:bookmarkStart w:id="369" w:name="_Toc184312126"/>
      <w:bookmarkEnd w:id="369"/>
      <w:bookmarkStart w:id="370" w:name="_Toc184310278"/>
      <w:bookmarkEnd w:id="370"/>
      <w:bookmarkStart w:id="371" w:name="_Toc184312078"/>
      <w:bookmarkEnd w:id="371"/>
      <w:bookmarkStart w:id="372" w:name="_Toc184314455"/>
      <w:bookmarkEnd w:id="372"/>
      <w:bookmarkStart w:id="373" w:name="_Toc184313252"/>
      <w:bookmarkEnd w:id="373"/>
      <w:bookmarkStart w:id="374" w:name="_Toc184314441"/>
      <w:bookmarkEnd w:id="374"/>
      <w:bookmarkStart w:id="375" w:name="_Toc184308055"/>
      <w:bookmarkEnd w:id="375"/>
      <w:bookmarkStart w:id="376" w:name="_Toc184314474"/>
      <w:bookmarkEnd w:id="376"/>
      <w:bookmarkStart w:id="377" w:name="_Toc184312129"/>
      <w:bookmarkEnd w:id="377"/>
      <w:bookmarkStart w:id="378" w:name="_Toc184310339"/>
      <w:bookmarkEnd w:id="378"/>
      <w:bookmarkStart w:id="379" w:name="_Toc184308093"/>
      <w:bookmarkEnd w:id="379"/>
      <w:bookmarkStart w:id="380" w:name="_Toc184310274"/>
      <w:bookmarkEnd w:id="380"/>
      <w:bookmarkStart w:id="381" w:name="_Toc184314475"/>
      <w:bookmarkEnd w:id="381"/>
      <w:bookmarkStart w:id="382" w:name="_Toc184312077"/>
      <w:bookmarkEnd w:id="382"/>
      <w:bookmarkStart w:id="383" w:name="_Toc184314471"/>
      <w:bookmarkEnd w:id="383"/>
      <w:bookmarkStart w:id="384" w:name="_Toc184308046"/>
      <w:bookmarkEnd w:id="384"/>
      <w:bookmarkStart w:id="385" w:name="_Toc184308044"/>
      <w:bookmarkEnd w:id="385"/>
      <w:bookmarkStart w:id="386" w:name="_Toc184314449"/>
      <w:bookmarkEnd w:id="386"/>
      <w:bookmarkStart w:id="387" w:name="_Toc184313309"/>
      <w:bookmarkEnd w:id="387"/>
      <w:bookmarkStart w:id="388" w:name="_Toc184308083"/>
      <w:bookmarkEnd w:id="388"/>
      <w:bookmarkStart w:id="389" w:name="_Toc184312093"/>
      <w:bookmarkEnd w:id="389"/>
      <w:bookmarkStart w:id="390" w:name="_Toc184313282"/>
      <w:bookmarkEnd w:id="390"/>
      <w:bookmarkStart w:id="391" w:name="_Toc184313246"/>
      <w:bookmarkEnd w:id="391"/>
      <w:bookmarkStart w:id="392" w:name="_Toc184310321"/>
      <w:bookmarkEnd w:id="392"/>
      <w:bookmarkStart w:id="393" w:name="_Toc184312118"/>
      <w:bookmarkEnd w:id="393"/>
      <w:bookmarkStart w:id="394" w:name="_Toc184314427"/>
      <w:bookmarkEnd w:id="394"/>
      <w:r>
        <w:rPr>
          <w:rFonts w:hint="eastAsia" w:ascii="宋体" w:hAnsi="宋体" w:cs="宋体"/>
          <w:b/>
          <w:color w:val="auto"/>
          <w:sz w:val="36"/>
          <w:szCs w:val="20"/>
        </w:rPr>
        <w:t xml:space="preserve"> 评审办法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评审办法前附表</w:t>
      </w:r>
    </w:p>
    <w:tbl>
      <w:tblPr>
        <w:tblStyle w:val="63"/>
        <w:tblW w:w="49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700"/>
        <w:gridCol w:w="5680"/>
        <w:gridCol w:w="467"/>
        <w:gridCol w:w="1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856"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评价指标</w:t>
            </w:r>
          </w:p>
        </w:tc>
        <w:tc>
          <w:tcPr>
            <w:tcW w:w="2861"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评审标准</w:t>
            </w:r>
          </w:p>
        </w:tc>
        <w:tc>
          <w:tcPr>
            <w:tcW w:w="23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权重</w:t>
            </w:r>
          </w:p>
        </w:tc>
        <w:tc>
          <w:tcPr>
            <w:tcW w:w="771"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响应文件中评审标准相应的商务技术资料目录*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1</w:t>
            </w:r>
          </w:p>
        </w:tc>
        <w:tc>
          <w:tcPr>
            <w:tcW w:w="85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施工方案总体情况</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方案内容全面、合理、条理清晰，涵盖本次工程实施有关的内容，且具有针对性得4分，方案内容全面合理得3分，方案内容基本合理，满足采购需求得2分，方案内容有提及得1分。未提供方案不得分。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2</w:t>
            </w:r>
          </w:p>
        </w:tc>
        <w:tc>
          <w:tcPr>
            <w:tcW w:w="85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针对本项目特殊施工环境需要采取的专门的施工技术内容科学合理，针对性强的得4分，措施内容基本合理，针对性较强得3分，措施内容基本合理得2分，措施内容一般，有提及得1分。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3</w:t>
            </w:r>
          </w:p>
        </w:tc>
        <w:tc>
          <w:tcPr>
            <w:tcW w:w="85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组织措施内容科学合理，针对性强的得4分，措施内容基本合理，针对性较强得3分，措施内容基本合理得2分，措施内容一般，有提及得1分。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lang w:val="en-US" w:eastAsia="zh-CN"/>
              </w:rPr>
              <w:t>4</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重点难点分析</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投标人针对本项目施工重点难点分析到位，针对性强的得4分，施工重点难点内容分析合理得3分，施工重点难点内容分析基本合理得2分，内容有提及得1分。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lang w:val="en-US" w:eastAsia="zh-CN"/>
              </w:rPr>
              <w:t>5</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施工进度计划及保证措施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施工进度计划及保证措施等保障措施是否合理、明确，针对性强的得4分，措施内容基本合理，针对性较强得3分，措施内容基本合理得2分，措施内容一般，有提及得1分。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6</w:t>
            </w:r>
          </w:p>
        </w:tc>
        <w:tc>
          <w:tcPr>
            <w:tcW w:w="85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专项施工方案</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专项施工方案内容科学合理，主要分部施工方法符合项目实际针对性强得4分，方案内容全面合理得3分，方案内容基本合理，满足采购需求得2分，方案内容有提及得1分。未提供方案不得分。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7</w:t>
            </w:r>
          </w:p>
        </w:tc>
        <w:tc>
          <w:tcPr>
            <w:tcW w:w="85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关键工序、复杂环节的相应技术措施内容科学合理，针对性强的得4分，措施内容基本合理，针对性较强得3分，措施内容基本合理得2分，措施内容一般，有提及得1分。未提供方案不得分。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8</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响应性承诺</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投标人对采购人提出的工期、质量、安全等方面要求响应性:(1)响应方案充分考虑采购人需求以及实际情况的得3分，(2)响应方案满足采购文件基本要求的得2分，(3)响应方案部分响应采购文件基本要求的得1分，(4)未提出实质性方案阐述和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9</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质量控制措施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施工质量目标明确，质量控制措施科学、合理，且有技术支撑的得4分，质量措施合理得3分，质量措施基本合理得2分，质量措施内容一般得1分。未提供方案不得分。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10</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安全、文明施工及市政、市容、环保、消防等的保证措施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安全、文明施工及市政、市容、环保、消防等的保证措施科学、合理、到位的得4分，措施合理得3分，措施基本合理得2分，措施内容一般得1分。未提供方案不得分。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11</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施工机具和检验仪器</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机具和检验仪器的投入能够优于工程实施的需要，且与项目相适应针对性强得4分，施工机具和检验仪器的投入满足工程实施需求且针对性强得3分，施工机具和检验仪器的投入基本满足工程实施需求得2分，施工机具和检验仪器的投入对工程实施需求能够涉及到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12</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材料设备</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材料设备进场计划及施工计划情况：具有详细的材料设备进场计划且计划周密，材料数量、质量控制，时间安排合理，满足施工需要的得3分，材料设备进场计划安排有缺失，时间安排与施工配合有差异的得2分，进场计划、时间安排混乱的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13</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成品保护的保证措施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投标人对成品保护的保证措施合理、科学，具有可操作性得4分，措施合理得3分，措施基本合理得</w:t>
            </w:r>
            <w:r>
              <w:rPr>
                <w:rFonts w:hint="eastAsia" w:ascii="宋体" w:hAnsi="宋体" w:cs="宋体"/>
                <w:i w:val="0"/>
                <w:iCs w:val="0"/>
                <w:color w:val="auto"/>
                <w:kern w:val="2"/>
                <w:sz w:val="24"/>
                <w:szCs w:val="24"/>
                <w:highlight w:val="none"/>
                <w:u w:val="none"/>
                <w:shd w:val="clear" w:color="auto" w:fill="auto"/>
                <w:lang w:val="en-US" w:eastAsia="zh-CN" w:bidi="ar-SA"/>
              </w:rPr>
              <w:t>2</w:t>
            </w:r>
            <w:r>
              <w:rPr>
                <w:rFonts w:hint="eastAsia" w:ascii="宋体" w:hAnsi="宋体" w:eastAsia="宋体" w:cs="宋体"/>
                <w:i w:val="0"/>
                <w:iCs w:val="0"/>
                <w:color w:val="auto"/>
                <w:kern w:val="2"/>
                <w:sz w:val="24"/>
                <w:szCs w:val="24"/>
                <w:highlight w:val="none"/>
                <w:u w:val="none"/>
                <w:shd w:val="clear" w:color="auto" w:fill="auto"/>
                <w:lang w:val="en-US" w:eastAsia="zh-CN" w:bidi="ar-SA"/>
              </w:rPr>
              <w:t>分</w:t>
            </w:r>
            <w:r>
              <w:rPr>
                <w:rFonts w:hint="eastAsia" w:ascii="宋体" w:hAnsi="宋体" w:cs="宋体"/>
                <w:i w:val="0"/>
                <w:iCs w:val="0"/>
                <w:color w:val="auto"/>
                <w:kern w:val="2"/>
                <w:sz w:val="24"/>
                <w:szCs w:val="24"/>
                <w:highlight w:val="none"/>
                <w:u w:val="none"/>
                <w:shd w:val="clear" w:color="auto" w:fill="auto"/>
                <w:lang w:val="en-US" w:eastAsia="zh-CN" w:bidi="ar-SA"/>
              </w:rPr>
              <w:t>，措施内容一般得1分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14</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降噪措施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投标人的降噪措施合理、具有可操作性得3分，措施合理得2分，措施基本合理得1分。未提供方案不得分。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15</w:t>
            </w:r>
          </w:p>
        </w:tc>
        <w:tc>
          <w:tcPr>
            <w:tcW w:w="85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团队人员</w:t>
            </w: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rPr>
              <w:t>项目</w:t>
            </w:r>
            <w:r>
              <w:rPr>
                <w:rFonts w:hint="eastAsia" w:ascii="宋体" w:hAnsi="宋体" w:eastAsia="宋体" w:cs="宋体"/>
                <w:i w:val="0"/>
                <w:iCs w:val="0"/>
                <w:color w:val="auto"/>
                <w:sz w:val="24"/>
                <w:szCs w:val="24"/>
                <w:highlight w:val="none"/>
                <w:shd w:val="clear" w:color="auto" w:fill="auto"/>
                <w:lang w:val="en-US"/>
              </w:rPr>
              <w:t>组</w:t>
            </w:r>
            <w:r>
              <w:rPr>
                <w:rFonts w:hint="eastAsia" w:ascii="宋体" w:hAnsi="宋体" w:eastAsia="宋体" w:cs="宋体"/>
                <w:i w:val="0"/>
                <w:iCs w:val="0"/>
                <w:color w:val="auto"/>
                <w:sz w:val="24"/>
                <w:szCs w:val="24"/>
                <w:highlight w:val="none"/>
                <w:shd w:val="clear" w:color="auto" w:fill="auto"/>
                <w:lang w:val="en-US" w:eastAsia="zh-CN"/>
              </w:rPr>
              <w:t>团队</w:t>
            </w:r>
            <w:r>
              <w:rPr>
                <w:rFonts w:hint="eastAsia" w:ascii="宋体" w:hAnsi="宋体" w:eastAsia="宋体" w:cs="宋体"/>
                <w:i w:val="0"/>
                <w:iCs w:val="0"/>
                <w:color w:val="auto"/>
                <w:sz w:val="24"/>
                <w:szCs w:val="24"/>
                <w:highlight w:val="none"/>
                <w:shd w:val="clear" w:color="auto" w:fill="auto"/>
                <w:lang w:val="en-US"/>
              </w:rPr>
              <w:t>人员数量充足</w:t>
            </w:r>
            <w:r>
              <w:rPr>
                <w:rFonts w:hint="eastAsia" w:ascii="宋体" w:hAnsi="宋体" w:eastAsia="宋体" w:cs="宋体"/>
                <w:i w:val="0"/>
                <w:iCs w:val="0"/>
                <w:color w:val="auto"/>
                <w:sz w:val="24"/>
                <w:szCs w:val="24"/>
                <w:highlight w:val="none"/>
                <w:shd w:val="clear" w:color="auto" w:fill="auto"/>
                <w:lang w:val="en-US" w:eastAsia="zh-CN"/>
              </w:rPr>
              <w:t>能充分保障施工进度的得2分，团队人员有一定数量，但无法满足施工进度的得1分，不提供团队人员清单的不得分。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2</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16</w:t>
            </w:r>
          </w:p>
        </w:tc>
        <w:tc>
          <w:tcPr>
            <w:tcW w:w="85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项目组团队人员</w:t>
            </w:r>
            <w:r>
              <w:rPr>
                <w:rFonts w:hint="eastAsia" w:ascii="宋体" w:hAnsi="宋体" w:eastAsia="宋体" w:cs="宋体"/>
                <w:i w:val="0"/>
                <w:iCs w:val="0"/>
                <w:color w:val="auto"/>
                <w:sz w:val="24"/>
                <w:szCs w:val="24"/>
                <w:highlight w:val="none"/>
                <w:shd w:val="clear" w:color="auto" w:fill="auto"/>
                <w:lang w:val="en-US"/>
              </w:rPr>
              <w:t>结构合理</w:t>
            </w:r>
            <w:r>
              <w:rPr>
                <w:rFonts w:hint="eastAsia" w:ascii="宋体" w:hAnsi="宋体" w:eastAsia="宋体" w:cs="宋体"/>
                <w:i w:val="0"/>
                <w:iCs w:val="0"/>
                <w:color w:val="auto"/>
                <w:sz w:val="24"/>
                <w:szCs w:val="24"/>
                <w:highlight w:val="none"/>
                <w:shd w:val="clear" w:color="auto" w:fill="auto"/>
                <w:lang w:val="en-US" w:eastAsia="zh-CN"/>
              </w:rPr>
              <w:t>的，</w:t>
            </w:r>
            <w:r>
              <w:rPr>
                <w:rFonts w:hint="eastAsia" w:ascii="宋体" w:hAnsi="宋体" w:eastAsia="宋体" w:cs="宋体"/>
                <w:i w:val="0"/>
                <w:iCs w:val="0"/>
                <w:color w:val="auto"/>
                <w:sz w:val="24"/>
                <w:szCs w:val="24"/>
                <w:highlight w:val="none"/>
                <w:shd w:val="clear" w:color="auto" w:fill="auto"/>
                <w:lang w:val="en-US"/>
              </w:rPr>
              <w:t>专业技术能力强</w:t>
            </w:r>
            <w:r>
              <w:rPr>
                <w:rFonts w:hint="eastAsia" w:ascii="宋体" w:hAnsi="宋体" w:eastAsia="宋体" w:cs="宋体"/>
                <w:i w:val="0"/>
                <w:iCs w:val="0"/>
                <w:color w:val="auto"/>
                <w:sz w:val="24"/>
                <w:szCs w:val="24"/>
                <w:highlight w:val="none"/>
                <w:shd w:val="clear" w:color="auto" w:fill="auto"/>
                <w:lang w:val="en-US" w:eastAsia="zh-CN"/>
              </w:rPr>
              <w:t>，有不同与项目实施相关专业的技术人员进行施工指导工作的得3分；人员结构、专业技术人员基本满足采购需求的得2分；人员结构混乱，相关专业技术人员力量薄弱的得1分</w:t>
            </w:r>
            <w:r>
              <w:rPr>
                <w:rFonts w:hint="eastAsia" w:ascii="宋体" w:hAnsi="宋体" w:eastAsia="宋体" w:cs="宋体"/>
                <w:i w:val="0"/>
                <w:iCs w:val="0"/>
                <w:color w:val="auto"/>
                <w:sz w:val="24"/>
                <w:szCs w:val="24"/>
                <w:highlight w:val="none"/>
                <w:shd w:val="clear" w:color="auto" w:fill="auto"/>
                <w:lang w:val="en-US"/>
              </w:rPr>
              <w:t>。</w:t>
            </w:r>
            <w:r>
              <w:rPr>
                <w:rFonts w:hint="eastAsia" w:ascii="宋体" w:hAnsi="宋体" w:eastAsia="宋体" w:cs="宋体"/>
                <w:i w:val="0"/>
                <w:iCs w:val="0"/>
                <w:color w:val="auto"/>
                <w:sz w:val="24"/>
                <w:szCs w:val="24"/>
                <w:highlight w:val="none"/>
                <w:shd w:val="clear" w:color="auto" w:fill="auto"/>
                <w:lang w:val="en-US" w:eastAsia="zh-CN"/>
              </w:rPr>
              <w:t>不提供人员清单配备情况，专业技术情况的不得分。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17</w:t>
            </w:r>
          </w:p>
        </w:tc>
        <w:tc>
          <w:tcPr>
            <w:tcW w:w="85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项目负责人具备</w:t>
            </w:r>
            <w:r>
              <w:rPr>
                <w:rFonts w:hint="eastAsia" w:ascii="宋体" w:hAnsi="宋体" w:cs="宋体"/>
                <w:i w:val="0"/>
                <w:iCs w:val="0"/>
                <w:color w:val="auto"/>
                <w:sz w:val="24"/>
                <w:szCs w:val="24"/>
                <w:highlight w:val="none"/>
                <w:shd w:val="clear" w:color="auto" w:fill="auto"/>
                <w:lang w:val="en-US" w:eastAsia="zh-CN"/>
              </w:rPr>
              <w:t>中级</w:t>
            </w:r>
            <w:r>
              <w:rPr>
                <w:rFonts w:hint="eastAsia" w:ascii="宋体" w:hAnsi="宋体" w:eastAsia="宋体" w:cs="宋体"/>
                <w:i w:val="0"/>
                <w:iCs w:val="0"/>
                <w:color w:val="auto"/>
                <w:sz w:val="24"/>
                <w:szCs w:val="24"/>
                <w:highlight w:val="none"/>
                <w:shd w:val="clear" w:color="auto" w:fill="auto"/>
              </w:rPr>
              <w:t>工程师及以上职称的，得</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分；作为项目负责人具有</w:t>
            </w:r>
            <w:bookmarkStart w:id="446" w:name="_GoBack"/>
            <w:bookmarkEnd w:id="446"/>
            <w:r>
              <w:rPr>
                <w:rFonts w:hint="eastAsia" w:ascii="宋体" w:hAnsi="宋体" w:eastAsia="宋体" w:cs="宋体"/>
                <w:i w:val="0"/>
                <w:iCs w:val="0"/>
                <w:color w:val="auto"/>
                <w:sz w:val="24"/>
                <w:szCs w:val="24"/>
                <w:highlight w:val="none"/>
                <w:shd w:val="clear" w:color="auto" w:fill="auto"/>
              </w:rPr>
              <w:t>类似项目工作经验的，每1个业绩得</w:t>
            </w:r>
            <w:r>
              <w:rPr>
                <w:rFonts w:hint="eastAsia" w:ascii="宋体" w:hAnsi="宋体" w:eastAsia="宋体" w:cs="宋体"/>
                <w:i w:val="0"/>
                <w:iCs w:val="0"/>
                <w:color w:val="auto"/>
                <w:sz w:val="24"/>
                <w:szCs w:val="24"/>
                <w:highlight w:val="none"/>
                <w:shd w:val="clear" w:color="auto" w:fill="auto"/>
                <w:lang w:val="en-US" w:eastAsia="zh-CN"/>
              </w:rPr>
              <w:t>0.5</w:t>
            </w:r>
            <w:r>
              <w:rPr>
                <w:rFonts w:hint="eastAsia" w:ascii="宋体" w:hAnsi="宋体" w:eastAsia="宋体" w:cs="宋体"/>
                <w:i w:val="0"/>
                <w:iCs w:val="0"/>
                <w:color w:val="auto"/>
                <w:sz w:val="24"/>
                <w:szCs w:val="24"/>
                <w:highlight w:val="none"/>
                <w:shd w:val="clear" w:color="auto" w:fill="auto"/>
              </w:rPr>
              <w:t>分，最高得</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分。</w:t>
            </w:r>
          </w:p>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（须提供人员</w:t>
            </w:r>
            <w:r>
              <w:rPr>
                <w:rFonts w:hint="eastAsia" w:ascii="宋体" w:hAnsi="宋体" w:cs="宋体"/>
                <w:i w:val="0"/>
                <w:iCs w:val="0"/>
                <w:color w:val="auto"/>
                <w:sz w:val="24"/>
                <w:szCs w:val="24"/>
                <w:highlight w:val="none"/>
                <w:shd w:val="clear" w:color="auto" w:fill="auto"/>
                <w:lang w:val="en-US" w:eastAsia="zh-CN"/>
              </w:rPr>
              <w:t>职称</w:t>
            </w:r>
            <w:r>
              <w:rPr>
                <w:rFonts w:hint="eastAsia" w:ascii="宋体" w:hAnsi="宋体" w:eastAsia="宋体" w:cs="宋体"/>
                <w:i w:val="0"/>
                <w:iCs w:val="0"/>
                <w:color w:val="auto"/>
                <w:sz w:val="24"/>
                <w:szCs w:val="24"/>
                <w:highlight w:val="none"/>
                <w:shd w:val="clear" w:color="auto" w:fill="auto"/>
              </w:rPr>
              <w:t>证书及人员工作经验证明材料扫描件及</w:t>
            </w:r>
            <w:r>
              <w:rPr>
                <w:rFonts w:hint="eastAsia" w:ascii="宋体" w:hAnsi="宋体" w:eastAsia="宋体" w:cs="宋体"/>
                <w:i w:val="0"/>
                <w:iCs w:val="0"/>
                <w:color w:val="auto"/>
                <w:kern w:val="2"/>
                <w:sz w:val="24"/>
                <w:szCs w:val="24"/>
                <w:highlight w:val="none"/>
                <w:shd w:val="clear" w:color="auto" w:fill="auto"/>
                <w:lang w:val="en-US" w:eastAsia="zh-CN" w:bidi="ar-SA"/>
              </w:rPr>
              <w:t>开标前三个月任意一个月的本单位缴纳社保证明扫描件</w:t>
            </w:r>
            <w:r>
              <w:rPr>
                <w:rFonts w:hint="eastAsia" w:ascii="宋体" w:hAnsi="宋体" w:eastAsia="宋体" w:cs="宋体"/>
                <w:i w:val="0"/>
                <w:iCs w:val="0"/>
                <w:color w:val="auto"/>
                <w:sz w:val="24"/>
                <w:szCs w:val="24"/>
                <w:highlight w:val="none"/>
                <w:shd w:val="clear" w:color="auto" w:fill="auto"/>
              </w:rPr>
              <w:t>，并加盖投标人公章），未提供不得分。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2</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18</w:t>
            </w:r>
          </w:p>
        </w:tc>
        <w:tc>
          <w:tcPr>
            <w:tcW w:w="856" w:type="pct"/>
            <w:vMerge w:val="continue"/>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eastAsia="zh-CN"/>
              </w:rPr>
            </w:pP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针对本项目拟派人员中具有施工员、安全员、质量员、材料员、资料员，每具备1个，得1分，最高得3分。【提供人员相关证书及开标前三个月任意一个月的本单位缴纳社保证明扫描件】，未提供不得分。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color="000000"/>
                <w:shd w:val="clear" w:color="auto" w:fill="auto"/>
                <w:lang w:val="en-US" w:eastAsia="zh-CN" w:bidi="ar-SA"/>
              </w:rPr>
            </w:pPr>
            <w:r>
              <w:rPr>
                <w:rFonts w:hint="eastAsia" w:ascii="宋体" w:hAnsi="宋体" w:eastAsia="宋体" w:cs="宋体"/>
                <w:i w:val="0"/>
                <w:iCs w:val="0"/>
                <w:color w:val="auto"/>
                <w:kern w:val="2"/>
                <w:sz w:val="24"/>
                <w:szCs w:val="24"/>
                <w:highlight w:val="none"/>
                <w:u w:val="none" w:color="000000"/>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19</w:t>
            </w:r>
          </w:p>
        </w:tc>
        <w:tc>
          <w:tcPr>
            <w:tcW w:w="856"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合理化建议</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i w:val="0"/>
                <w:iCs w:val="0"/>
                <w:color w:val="auto"/>
                <w:kern w:val="0"/>
                <w:sz w:val="24"/>
                <w:szCs w:val="24"/>
                <w:highlight w:val="none"/>
                <w:u w:val="none"/>
                <w:shd w:val="clear" w:color="auto" w:fill="auto"/>
                <w:lang w:val="en-US" w:eastAsia="zh-CN" w:bidi="ar"/>
              </w:rPr>
              <w:t>投标人提供的合理化建议合理、具有可操作性、针对性，得3分，内容合理得2分，内容基本合理得1分。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20</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投标人情况</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投标人具有有效的质量管理体系认证证书、环境管理体系认证证书、职业健康安全管理体系认证证书；每个得1分，最高</w:t>
            </w:r>
            <w:r>
              <w:rPr>
                <w:rFonts w:hint="eastAsia" w:ascii="宋体" w:hAnsi="宋体" w:eastAsia="宋体" w:cs="宋体"/>
                <w:i w:val="0"/>
                <w:iCs w:val="0"/>
                <w:color w:val="auto"/>
                <w:kern w:val="2"/>
                <w:sz w:val="24"/>
                <w:szCs w:val="24"/>
                <w:highlight w:val="none"/>
                <w:u w:val="none"/>
                <w:shd w:val="clear" w:color="auto" w:fill="auto"/>
                <w:lang w:val="en-US" w:eastAsia="zh-CN" w:bidi="ar-SA"/>
              </w:rPr>
              <w:t>得</w:t>
            </w:r>
            <w:r>
              <w:rPr>
                <w:rFonts w:hint="eastAsia" w:ascii="宋体" w:hAnsi="宋体" w:eastAsia="宋体" w:cs="宋体"/>
                <w:i w:val="0"/>
                <w:iCs w:val="0"/>
                <w:color w:val="auto"/>
                <w:kern w:val="2"/>
                <w:sz w:val="24"/>
                <w:szCs w:val="24"/>
                <w:highlight w:val="none"/>
                <w:u w:val="none"/>
                <w:shd w:val="clear" w:color="auto" w:fill="auto"/>
                <w:lang w:val="zh-TW" w:eastAsia="zh-CN" w:bidi="ar-SA"/>
              </w:rPr>
              <w:t>3分。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 xml:space="preserve">（投标文件中需提供相关证书扫描件并加盖投标人公章，认证证书都必需在“发证机关必需在国家认证认可监督委员会官网http://www.cnca.gov.cn/登记在册，否则该项不得分）。 </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21</w:t>
            </w:r>
          </w:p>
        </w:tc>
        <w:tc>
          <w:tcPr>
            <w:tcW w:w="8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类似业绩</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供应商自2022年1月1日以来完成类似工程项目，一个得0.5分，最多得1分。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证明材料：合同复印件，需体现合同签订时间、签订内容、签订双方（以公章为准）。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1</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22</w:t>
            </w:r>
          </w:p>
        </w:tc>
        <w:tc>
          <w:tcPr>
            <w:tcW w:w="856"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报价</w:t>
            </w:r>
          </w:p>
        </w:tc>
        <w:tc>
          <w:tcPr>
            <w:tcW w:w="2861"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有效最后报价的最低价作为评审基准价，其最低报价为满分；按［最后报价得分=（评审基准价/最后报价）*</w:t>
            </w:r>
            <w:r>
              <w:rPr>
                <w:rFonts w:hint="eastAsia" w:ascii="宋体" w:hAnsi="宋体" w:eastAsia="宋体" w:cs="宋体"/>
                <w:i w:val="0"/>
                <w:iCs w:val="0"/>
                <w:color w:val="auto"/>
                <w:sz w:val="24"/>
                <w:szCs w:val="24"/>
                <w:highlight w:val="none"/>
                <w:shd w:val="clear" w:color="auto" w:fill="auto"/>
                <w:lang w:val="en-US" w:eastAsia="zh-CN"/>
              </w:rPr>
              <w:t>3</w:t>
            </w:r>
            <w:r>
              <w:rPr>
                <w:rFonts w:hint="eastAsia" w:ascii="宋体" w:hAnsi="宋体" w:eastAsia="宋体" w:cs="宋体"/>
                <w:i w:val="0"/>
                <w:iCs w:val="0"/>
                <w:color w:val="auto"/>
                <w:sz w:val="24"/>
                <w:szCs w:val="24"/>
                <w:highlight w:val="none"/>
                <w:shd w:val="clear" w:color="auto" w:fill="auto"/>
              </w:rPr>
              <w:t>0］的计算公式计算。</w:t>
            </w:r>
          </w:p>
          <w:p>
            <w:pPr>
              <w:pStyle w:val="787"/>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评审过程中，不得去掉报价中的最高报价和最低报价。</w:t>
            </w:r>
          </w:p>
          <w:p>
            <w:pPr>
              <w:pStyle w:val="787"/>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因落实政府采购政策需要进行价格调整的，以调整后的价格计算评审基准价和最后报价。</w:t>
            </w:r>
          </w:p>
        </w:tc>
        <w:tc>
          <w:tcPr>
            <w:tcW w:w="23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30</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bl>
    <w:p>
      <w:pPr>
        <w:pStyle w:val="19"/>
        <w:rPr>
          <w:color w:val="auto"/>
        </w:rPr>
      </w:pPr>
    </w:p>
    <w:p>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pPr>
        <w:widowControl/>
        <w:adjustRightInd/>
        <w:jc w:val="left"/>
        <w:rPr>
          <w:rFonts w:hint="eastAsia" w:ascii="宋体" w:hAnsi="宋体" w:cs="宋体"/>
          <w:b/>
          <w:color w:val="auto"/>
          <w:sz w:val="32"/>
        </w:rPr>
      </w:pPr>
      <w:r>
        <w:rPr>
          <w:rFonts w:hint="eastAsia" w:ascii="宋体" w:hAnsi="宋体" w:cs="宋体"/>
          <w:b/>
          <w:color w:val="auto"/>
          <w:sz w:val="32"/>
        </w:rPr>
        <w:br w:type="page"/>
      </w:r>
    </w:p>
    <w:p>
      <w:pPr>
        <w:snapToGrid w:val="0"/>
        <w:spacing w:line="360" w:lineRule="auto"/>
        <w:jc w:val="center"/>
        <w:rPr>
          <w:rFonts w:hint="eastAsia" w:ascii="宋体" w:hAnsi="宋体" w:cs="宋体"/>
          <w:b/>
          <w:color w:val="auto"/>
          <w:sz w:val="28"/>
          <w:szCs w:val="28"/>
        </w:rPr>
      </w:pPr>
      <w:r>
        <w:rPr>
          <w:rFonts w:hint="eastAsia" w:ascii="宋体" w:hAnsi="宋体" w:cs="宋体"/>
          <w:b/>
          <w:color w:val="auto"/>
          <w:sz w:val="32"/>
        </w:rPr>
        <w:t>一、评审方法</w:t>
      </w:r>
    </w:p>
    <w:p>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宋体" w:hAnsi="宋体" w:cs="宋体"/>
          <w:b/>
          <w:color w:val="auto"/>
          <w:sz w:val="32"/>
        </w:rPr>
      </w:pPr>
      <w:r>
        <w:rPr>
          <w:rFonts w:hint="eastAsia" w:ascii="宋体" w:hAnsi="宋体" w:cs="宋体"/>
          <w:b/>
          <w:color w:val="auto"/>
          <w:sz w:val="32"/>
        </w:rPr>
        <w:t>二、评审标准</w:t>
      </w:r>
    </w:p>
    <w:p>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pPr>
        <w:snapToGrid w:val="0"/>
        <w:spacing w:line="360" w:lineRule="auto"/>
        <w:jc w:val="center"/>
        <w:rPr>
          <w:rFonts w:hint="eastAsia" w:ascii="宋体" w:hAnsi="宋体" w:cs="宋体"/>
          <w:b/>
          <w:color w:val="auto"/>
          <w:sz w:val="32"/>
        </w:rPr>
      </w:pPr>
      <w:r>
        <w:rPr>
          <w:rFonts w:hint="eastAsia" w:ascii="宋体" w:hAnsi="宋体" w:cs="宋体"/>
          <w:b/>
          <w:color w:val="auto"/>
          <w:sz w:val="32"/>
        </w:rPr>
        <w:t>三、评审程序</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pPr>
        <w:spacing w:line="360" w:lineRule="auto"/>
        <w:ind w:firstLine="470" w:firstLineChars="196"/>
        <w:rPr>
          <w:rFonts w:hint="eastAsia"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pPr>
        <w:spacing w:line="360" w:lineRule="auto"/>
        <w:ind w:firstLine="470" w:firstLineChars="196"/>
        <w:rPr>
          <w:rFonts w:hint="eastAsia"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pPr>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3.3最后报价</w:t>
      </w:r>
    </w:p>
    <w:p>
      <w:pPr>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3.6报价评审。</w:t>
      </w:r>
    </w:p>
    <w:p>
      <w:pPr>
        <w:pStyle w:val="141"/>
        <w:spacing w:before="0"/>
        <w:ind w:firstLine="508" w:firstLineChars="212"/>
        <w:rPr>
          <w:rFonts w:hint="eastAsia" w:ascii="宋体" w:hAnsi="宋体" w:cs="宋体"/>
          <w:color w:val="auto"/>
          <w:kern w:val="0"/>
        </w:rPr>
      </w:pPr>
      <w:r>
        <w:rPr>
          <w:rFonts w:hint="eastAsia" w:ascii="宋体" w:hAnsi="宋体" w:cs="宋体"/>
          <w:color w:val="auto"/>
          <w:kern w:val="0"/>
        </w:rPr>
        <w:t>3.6.1响应文件报价出现前后不一致的，按照下列规定修正：</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3.6.1.2大写金额和小写金额不一致的，以大写金额为准;</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宋体" w:hAnsi="宋体" w:cs="宋体"/>
          <w:b/>
          <w:color w:val="auto"/>
          <w:sz w:val="32"/>
        </w:rPr>
      </w:pPr>
      <w:r>
        <w:rPr>
          <w:rFonts w:hint="eastAsia" w:ascii="宋体" w:hAnsi="宋体" w:cs="宋体"/>
          <w:b/>
          <w:color w:val="auto"/>
          <w:sz w:val="32"/>
        </w:rPr>
        <w:t>四、评审中的其他事项</w:t>
      </w:r>
    </w:p>
    <w:p>
      <w:pPr>
        <w:pStyle w:val="141"/>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hint="eastAsia"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4.2.2响应文件未按照采购文件要求签署、盖章的；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3</w:t>
      </w:r>
      <w:r>
        <w:rPr>
          <w:rFonts w:hint="eastAsia" w:ascii="宋体" w:hAnsi="宋体" w:cs="宋体"/>
          <w:color w:val="auto"/>
          <w:kern w:val="0"/>
          <w:sz w:val="24"/>
        </w:rPr>
        <w:t>响应文件含有采购人不能接受的附加条件的；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4</w:t>
      </w:r>
      <w:r>
        <w:rPr>
          <w:rFonts w:hint="eastAsia" w:ascii="宋体" w:hAnsi="宋体" w:cs="宋体"/>
          <w:color w:val="auto"/>
          <w:kern w:val="0"/>
          <w:sz w:val="24"/>
        </w:rPr>
        <w:t>响应文件中承诺的响应文件有效期少于采购文件中载明的响应文件有效期的；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5</w:t>
      </w:r>
      <w:r>
        <w:rPr>
          <w:rFonts w:hint="eastAsia" w:ascii="宋体" w:hAnsi="宋体" w:cs="宋体"/>
          <w:color w:val="auto"/>
          <w:kern w:val="0"/>
          <w:sz w:val="24"/>
        </w:rPr>
        <w:t>响应文件出现不是唯一的、有选择性最后报价的;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6</w:t>
      </w:r>
      <w:r>
        <w:rPr>
          <w:rFonts w:hint="eastAsia" w:ascii="宋体" w:hAnsi="宋体" w:cs="宋体"/>
          <w:color w:val="auto"/>
          <w:kern w:val="0"/>
          <w:sz w:val="24"/>
        </w:rPr>
        <w:t>最后报价超过采购文件中规定的预算金额或者最高限价的;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7</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供应商对根据修正原则修正后的报价不确认的；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供应商提供虚假材料响应的；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0</w:t>
      </w:r>
      <w:r>
        <w:rPr>
          <w:rFonts w:hint="eastAsia" w:ascii="宋体" w:hAnsi="宋体" w:cs="宋体"/>
          <w:color w:val="auto"/>
          <w:kern w:val="0"/>
          <w:sz w:val="24"/>
        </w:rPr>
        <w:t>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1</w:t>
      </w:r>
      <w:r>
        <w:rPr>
          <w:rFonts w:hint="eastAsia" w:ascii="宋体" w:hAnsi="宋体" w:cs="宋体"/>
          <w:color w:val="auto"/>
          <w:kern w:val="0"/>
          <w:sz w:val="24"/>
        </w:rPr>
        <w:t>供应商仅提交备份响应文件，未在电子交易平台传输递交响应文件的，响应文件无效；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2</w:t>
      </w:r>
      <w:r>
        <w:rPr>
          <w:rFonts w:hint="eastAsia" w:ascii="宋体" w:hAnsi="宋体" w:cs="宋体"/>
          <w:color w:val="auto"/>
          <w:kern w:val="0"/>
          <w:sz w:val="24"/>
        </w:rPr>
        <w:t xml:space="preserve"> 响应文件不满足采购文件的其它实质性要求的；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法律、法规、规章（适用本市的）及省级以上规范性文件（适用本市的）规定的其他无效情形。</w:t>
      </w:r>
    </w:p>
    <w:p>
      <w:pPr>
        <w:pStyle w:val="25"/>
        <w:snapToGrid w:val="0"/>
        <w:spacing w:line="360" w:lineRule="auto"/>
        <w:ind w:firstLine="472" w:firstLineChars="196"/>
        <w:rPr>
          <w:rFonts w:hint="eastAsia"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pPr>
        <w:pStyle w:val="25"/>
        <w:snapToGrid w:val="0"/>
        <w:spacing w:line="360" w:lineRule="auto"/>
        <w:rPr>
          <w:rFonts w:hint="eastAsia" w:cs="宋体"/>
          <w:color w:val="auto"/>
        </w:rPr>
      </w:pPr>
      <w:r>
        <w:rPr>
          <w:rFonts w:hint="eastAsia" w:cs="宋体"/>
          <w:color w:val="auto"/>
        </w:rPr>
        <w:t>5.1因情况变化，不再符合规定的竞争性磋商采购方式适用情形的；</w:t>
      </w:r>
    </w:p>
    <w:p>
      <w:pPr>
        <w:pStyle w:val="25"/>
        <w:snapToGrid w:val="0"/>
        <w:spacing w:line="360" w:lineRule="auto"/>
        <w:rPr>
          <w:rFonts w:hint="eastAsia" w:cs="宋体"/>
          <w:color w:val="auto"/>
        </w:rPr>
      </w:pPr>
      <w:r>
        <w:rPr>
          <w:rFonts w:hint="eastAsia" w:cs="宋体"/>
          <w:color w:val="auto"/>
        </w:rPr>
        <w:t>5.2出现影响采购公正的违法、违规行为的；</w:t>
      </w:r>
    </w:p>
    <w:p>
      <w:pPr>
        <w:pStyle w:val="25"/>
        <w:snapToGrid w:val="0"/>
        <w:spacing w:line="360" w:lineRule="auto"/>
        <w:rPr>
          <w:rFonts w:hint="eastAsia" w:cs="宋体"/>
          <w:color w:val="auto"/>
        </w:rPr>
      </w:pPr>
      <w:r>
        <w:rPr>
          <w:rFonts w:hint="eastAsia" w:cs="宋体"/>
          <w:color w:val="auto"/>
        </w:rPr>
        <w:t>5.3除本办法第二十一条第三款规定的情形外，在采购过程中符合要求的供应商或者报价未超过采购预算的供应商不足3家的。</w:t>
      </w:r>
    </w:p>
    <w:p>
      <w:pPr>
        <w:pStyle w:val="25"/>
        <w:snapToGrid w:val="0"/>
        <w:spacing w:line="360" w:lineRule="auto"/>
        <w:rPr>
          <w:rFonts w:hint="eastAsia"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hint="eastAsia"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pPr>
        <w:pStyle w:val="25"/>
        <w:snapToGrid w:val="0"/>
        <w:spacing w:line="360" w:lineRule="auto"/>
        <w:rPr>
          <w:rFonts w:hint="eastAsia" w:cs="宋体"/>
          <w:color w:val="auto"/>
        </w:rPr>
      </w:pPr>
      <w:r>
        <w:rPr>
          <w:rFonts w:hint="eastAsia" w:cs="宋体"/>
          <w:color w:val="auto"/>
        </w:rPr>
        <w:t>6.1未确定成交供应商的，终止本次政府采购活动，重新开展政府采购活动。</w:t>
      </w:r>
    </w:p>
    <w:p>
      <w:pPr>
        <w:pStyle w:val="25"/>
        <w:snapToGrid w:val="0"/>
        <w:spacing w:line="360" w:lineRule="auto"/>
        <w:rPr>
          <w:rFonts w:hint="eastAsia"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hint="eastAsia" w:cs="宋体"/>
          <w:color w:val="auto"/>
        </w:rPr>
      </w:pPr>
      <w:r>
        <w:rPr>
          <w:rFonts w:hint="eastAsia" w:cs="宋体"/>
          <w:color w:val="auto"/>
        </w:rPr>
        <w:t>6.3采购合同已签订但尚未履行的，撤销合同，从合格的成交候选供应商中另行确定成交供应商；没有合格的成交候选供应商的，重新开展政府采购活动。</w:t>
      </w:r>
    </w:p>
    <w:p>
      <w:pPr>
        <w:pStyle w:val="25"/>
        <w:snapToGrid w:val="0"/>
        <w:spacing w:line="360" w:lineRule="auto"/>
        <w:rPr>
          <w:rFonts w:hint="eastAsia" w:cs="宋体"/>
          <w:color w:val="auto"/>
        </w:rPr>
      </w:pPr>
      <w:r>
        <w:rPr>
          <w:rFonts w:hint="eastAsia" w:cs="宋体"/>
          <w:color w:val="auto"/>
        </w:rPr>
        <w:t>6.4采购合同已经履行，给采购人、供应商造成损失的，由责任人承担赔偿责任。</w:t>
      </w:r>
    </w:p>
    <w:p>
      <w:pPr>
        <w:pStyle w:val="25"/>
        <w:snapToGrid w:val="0"/>
        <w:spacing w:line="360" w:lineRule="auto"/>
        <w:rPr>
          <w:rFonts w:hint="eastAsia" w:cs="宋体"/>
          <w:color w:val="auto"/>
        </w:rPr>
      </w:pPr>
      <w:r>
        <w:rPr>
          <w:rFonts w:hint="eastAsia" w:cs="宋体"/>
          <w:color w:val="auto"/>
        </w:rPr>
        <w:t>6.5采购当事人有其他违反政府采购法或者政府采购法实施条例等法律法规规定的行为，经改正后仍然影响或者可能影响成交结果或者依法被认定为成交无效的，依照6.1-6.4规定处理。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hint="eastAsia" w:cs="宋体"/>
          <w:color w:val="auto"/>
        </w:rPr>
        <w:sectPr>
          <w:headerReference r:id="rId5" w:type="default"/>
          <w:footerReference r:id="rId6" w:type="default"/>
          <w:pgSz w:w="11907" w:h="16840"/>
          <w:pgMar w:top="1440" w:right="1080" w:bottom="1440" w:left="1080" w:header="851" w:footer="851" w:gutter="0"/>
          <w:cols w:space="720" w:num="1"/>
        </w:sectPr>
      </w:pPr>
    </w:p>
    <w:bookmarkEnd w:id="29"/>
    <w:p>
      <w:pPr>
        <w:numPr>
          <w:ilvl w:val="0"/>
          <w:numId w:val="1"/>
        </w:numPr>
        <w:spacing w:line="360" w:lineRule="auto"/>
        <w:jc w:val="center"/>
        <w:outlineLvl w:val="0"/>
        <w:rPr>
          <w:rFonts w:hint="eastAsia" w:ascii="宋体" w:hAnsi="宋体" w:cs="宋体"/>
          <w:b/>
          <w:color w:val="auto"/>
          <w:sz w:val="36"/>
          <w:szCs w:val="36"/>
        </w:rPr>
      </w:pPr>
      <w:bookmarkStart w:id="395" w:name="第五部分"/>
      <w:bookmarkStart w:id="396" w:name="_Toc86217003"/>
      <w:r>
        <w:rPr>
          <w:rFonts w:hint="eastAsia" w:ascii="宋体" w:hAnsi="宋体" w:cs="宋体"/>
          <w:b/>
          <w:color w:val="auto"/>
          <w:sz w:val="36"/>
          <w:szCs w:val="36"/>
        </w:rPr>
        <w:t>拟签订的合同文本</w:t>
      </w:r>
    </w:p>
    <w:p>
      <w:pPr>
        <w:numPr>
          <w:ilvl w:val="0"/>
          <w:numId w:val="0"/>
        </w:num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lang w:eastAsia="zh-CN"/>
        </w:rPr>
        <w:t>（</w:t>
      </w:r>
      <w:r>
        <w:rPr>
          <w:rFonts w:hint="eastAsia" w:ascii="宋体" w:hAnsi="宋体" w:cs="宋体"/>
          <w:b/>
          <w:color w:val="auto"/>
          <w:sz w:val="36"/>
          <w:szCs w:val="36"/>
          <w:lang w:val="en-US" w:eastAsia="zh-CN"/>
        </w:rPr>
        <w:t>以最终签订为准</w:t>
      </w:r>
      <w:r>
        <w:rPr>
          <w:rFonts w:hint="eastAsia" w:ascii="宋体" w:hAnsi="宋体" w:cs="宋体"/>
          <w:b/>
          <w:color w:val="auto"/>
          <w:sz w:val="36"/>
          <w:szCs w:val="36"/>
          <w:lang w:eastAsia="zh-CN"/>
        </w:rPr>
        <w:t>）</w:t>
      </w:r>
    </w:p>
    <w:p>
      <w:pPr>
        <w:snapToGrid w:val="0"/>
        <w:spacing w:line="360" w:lineRule="auto"/>
        <w:ind w:firstLine="480" w:firstLineChars="200"/>
        <w:jc w:val="left"/>
        <w:rPr>
          <w:rFonts w:hint="eastAsia"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pPr>
        <w:spacing w:line="360" w:lineRule="auto"/>
        <w:ind w:firstLine="482" w:firstLineChars="200"/>
        <w:jc w:val="center"/>
        <w:rPr>
          <w:rFonts w:hint="eastAsia" w:ascii="宋体" w:hAnsi="宋体" w:cs="宋体"/>
          <w:b/>
          <w:bCs/>
          <w:color w:val="auto"/>
          <w:sz w:val="24"/>
        </w:rPr>
      </w:pPr>
      <w:r>
        <w:rPr>
          <w:rFonts w:hint="eastAsia" w:ascii="宋体" w:hAnsi="宋体" w:cs="宋体"/>
          <w:b/>
          <w:bCs/>
          <w:color w:val="auto"/>
          <w:sz w:val="24"/>
        </w:rPr>
        <w:t xml:space="preserve"> </w:t>
      </w:r>
      <w:bookmarkStart w:id="397" w:name="_Toc28518"/>
      <w:r>
        <w:rPr>
          <w:rFonts w:hint="eastAsia" w:ascii="宋体" w:hAnsi="宋体" w:cs="宋体"/>
          <w:b/>
          <w:bCs/>
          <w:color w:val="auto"/>
          <w:sz w:val="24"/>
        </w:rPr>
        <w:t>第一部分 合同协议书</w:t>
      </w:r>
      <w:bookmarkEnd w:id="397"/>
    </w:p>
    <w:p>
      <w:pPr>
        <w:snapToGrid w:val="0"/>
        <w:spacing w:line="360" w:lineRule="auto"/>
        <w:ind w:firstLine="482" w:firstLineChars="200"/>
        <w:rPr>
          <w:rFonts w:hint="eastAsia" w:ascii="宋体" w:hAnsi="宋体" w:eastAsia="宋体" w:cs="宋体"/>
          <w:b/>
          <w:bCs/>
          <w:strike/>
          <w:color w:val="auto"/>
          <w:sz w:val="24"/>
          <w:u w:val="single"/>
          <w:lang w:eastAsia="zh-CN"/>
        </w:rPr>
      </w:pPr>
      <w:bookmarkStart w:id="398" w:name="_Hlk62322485"/>
      <w:bookmarkStart w:id="399" w:name="_Hlk70081597"/>
      <w:r>
        <w:rPr>
          <w:rFonts w:hint="eastAsia" w:ascii="宋体" w:hAnsi="宋体" w:cs="宋体"/>
          <w:b/>
          <w:bCs/>
          <w:color w:val="auto"/>
          <w:sz w:val="24"/>
        </w:rPr>
        <w:t>发包人（全称）：</w:t>
      </w:r>
      <w:r>
        <w:rPr>
          <w:rFonts w:hint="eastAsia" w:ascii="宋体" w:hAnsi="宋体" w:cs="宋体"/>
          <w:b/>
          <w:bCs/>
          <w:color w:val="auto"/>
          <w:sz w:val="24"/>
          <w:u w:val="single"/>
          <w:lang w:eastAsia="zh-CN"/>
        </w:rPr>
        <w:t>杭州市中策职业学校钱塘学校</w:t>
      </w:r>
    </w:p>
    <w:p>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承包人（全称）：</w:t>
      </w:r>
      <w:r>
        <w:rPr>
          <w:rFonts w:hint="eastAsia" w:ascii="宋体" w:hAnsi="宋体" w:cs="宋体"/>
          <w:b/>
          <w:bCs/>
          <w:color w:val="auto"/>
          <w:sz w:val="24"/>
          <w:u w:val="single"/>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根据《中华人民共和国民法典》、《中华人民共和国建筑法》及有关法律规定，遵循平等、自愿、公平和诚实信用的原则，双方就   </w:t>
      </w:r>
      <w:r>
        <w:rPr>
          <w:rFonts w:hint="eastAsia" w:ascii="宋体" w:hAnsi="宋体" w:cs="宋体"/>
          <w:color w:val="auto"/>
          <w:sz w:val="24"/>
          <w:u w:val="single"/>
        </w:rPr>
        <w:t>项目</w:t>
      </w:r>
      <w:r>
        <w:rPr>
          <w:rFonts w:hint="eastAsia" w:ascii="宋体" w:hAnsi="宋体" w:cs="宋体"/>
          <w:color w:val="auto"/>
          <w:sz w:val="24"/>
        </w:rPr>
        <w:t>施工及有关事项协商一致，共同达成如下协议：</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一、工程概况</w:t>
      </w:r>
    </w:p>
    <w:p>
      <w:pPr>
        <w:snapToGrid w:val="0"/>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 xml:space="preserve">1.工程名称：  </w:t>
      </w:r>
      <w:r>
        <w:rPr>
          <w:rFonts w:hint="eastAsia" w:ascii="宋体" w:hAnsi="宋体" w:cs="宋体"/>
          <w:b/>
          <w:bCs/>
          <w:color w:val="auto"/>
          <w:sz w:val="24"/>
          <w:u w:val="single"/>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2.工程地点：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3.工程立项批准文号：</w:t>
      </w:r>
      <w:r>
        <w:rPr>
          <w:rFonts w:hint="eastAsia" w:ascii="宋体" w:hAnsi="宋体" w:cs="宋体"/>
          <w:b/>
          <w:bCs/>
          <w:color w:val="auto"/>
          <w:sz w:val="24"/>
          <w:u w:val="single"/>
        </w:rPr>
        <w:t xml:space="preserve">   /   </w:t>
      </w:r>
    </w:p>
    <w:p>
      <w:pPr>
        <w:snapToGrid w:val="0"/>
        <w:spacing w:line="360" w:lineRule="auto"/>
        <w:ind w:firstLine="480" w:firstLineChars="200"/>
        <w:rPr>
          <w:rFonts w:hint="eastAsia" w:ascii="宋体" w:hAnsi="宋体" w:cs="宋体"/>
          <w:strike/>
          <w:color w:val="auto"/>
          <w:sz w:val="24"/>
        </w:rPr>
      </w:pPr>
      <w:r>
        <w:rPr>
          <w:rFonts w:hint="eastAsia" w:ascii="宋体" w:hAnsi="宋体" w:cs="宋体"/>
          <w:color w:val="auto"/>
          <w:sz w:val="24"/>
        </w:rPr>
        <w:t>4.资金来源：</w:t>
      </w:r>
      <w:r>
        <w:rPr>
          <w:rFonts w:hint="eastAsia" w:ascii="宋体" w:hAnsi="宋体" w:cs="宋体"/>
          <w:b/>
          <w:bCs/>
          <w:color w:val="auto"/>
          <w:sz w:val="24"/>
          <w:u w:val="single"/>
        </w:rPr>
        <w:t xml:space="preserve"> 已落实   </w:t>
      </w:r>
    </w:p>
    <w:p>
      <w:pPr>
        <w:snapToGrid w:val="0"/>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5.工程内容：</w:t>
      </w:r>
      <w:r>
        <w:rPr>
          <w:rFonts w:hint="eastAsia" w:ascii="宋体" w:hAnsi="宋体" w:cs="宋体"/>
          <w:b/>
          <w:bCs/>
          <w:color w:val="auto"/>
          <w:sz w:val="24"/>
          <w:u w:val="single"/>
        </w:rPr>
        <w:t>施工图范围内的</w:t>
      </w:r>
      <w:r>
        <w:rPr>
          <w:rFonts w:hint="eastAsia" w:ascii="宋体" w:hAnsi="宋体" w:cs="宋体"/>
          <w:b/>
          <w:bCs/>
          <w:color w:val="auto"/>
          <w:sz w:val="24"/>
          <w:u w:val="single"/>
          <w:lang w:val="en-US" w:eastAsia="zh-CN"/>
        </w:rPr>
        <w:t>装修</w:t>
      </w:r>
      <w:r>
        <w:rPr>
          <w:rFonts w:hint="eastAsia" w:ascii="宋体" w:hAnsi="宋体" w:cs="宋体"/>
          <w:b/>
          <w:bCs/>
          <w:color w:val="auto"/>
          <w:sz w:val="24"/>
          <w:u w:val="single"/>
        </w:rPr>
        <w:t>工程，具体内容以施工图及工程量清单为准。</w:t>
      </w:r>
    </w:p>
    <w:p>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color w:val="auto"/>
          <w:sz w:val="24"/>
        </w:rPr>
        <w:t>6.工程承包范围：</w:t>
      </w:r>
      <w:r>
        <w:rPr>
          <w:rFonts w:hint="eastAsia" w:ascii="宋体" w:hAnsi="宋体" w:cs="宋体"/>
          <w:b/>
          <w:color w:val="auto"/>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二、合同工期</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计划开工日期：</w:t>
      </w:r>
      <w:r>
        <w:rPr>
          <w:rFonts w:hint="eastAsia" w:ascii="宋体" w:hAnsi="宋体" w:cs="宋体"/>
          <w:color w:val="auto"/>
          <w:sz w:val="24"/>
          <w:u w:val="single"/>
        </w:rPr>
        <w:t xml:space="preserve">    </w:t>
      </w:r>
      <w:r>
        <w:rPr>
          <w:rFonts w:hint="eastAsia" w:ascii="宋体" w:hAnsi="宋体" w:cs="宋体"/>
          <w:color w:val="auto"/>
          <w:sz w:val="24"/>
        </w:rPr>
        <w:t>年 月  日。</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 xml:space="preserve">计划竣工日期： </w:t>
      </w:r>
      <w:r>
        <w:rPr>
          <w:rFonts w:hint="eastAsia" w:ascii="宋体" w:hAnsi="宋体" w:cs="宋体"/>
          <w:color w:val="auto"/>
          <w:sz w:val="24"/>
          <w:u w:val="single"/>
        </w:rPr>
        <w:t xml:space="preserve">   </w:t>
      </w:r>
      <w:r>
        <w:rPr>
          <w:rFonts w:hint="eastAsia" w:ascii="宋体" w:hAnsi="宋体" w:cs="宋体"/>
          <w:color w:val="auto"/>
          <w:sz w:val="24"/>
        </w:rPr>
        <w:t>年 月  日。</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工期总日历天数：接进场通知之日起，30日历天内竣工。工期总日历天数与根据前述计划开竣工日期计算的工期天数不一致的，以工期总日历天数为准。</w:t>
      </w:r>
    </w:p>
    <w:p>
      <w:pPr>
        <w:snapToGrid w:val="0"/>
        <w:spacing w:line="360" w:lineRule="auto"/>
        <w:ind w:firstLine="482" w:firstLineChars="200"/>
        <w:rPr>
          <w:rFonts w:hint="eastAsia" w:ascii="宋体" w:hAnsi="宋体" w:cs="宋体"/>
          <w:color w:val="auto"/>
          <w:sz w:val="24"/>
          <w:u w:val="single"/>
        </w:rPr>
      </w:pPr>
      <w:r>
        <w:rPr>
          <w:rFonts w:hint="eastAsia" w:ascii="宋体" w:hAnsi="宋体" w:cs="宋体"/>
          <w:b/>
          <w:bCs/>
          <w:color w:val="auto"/>
          <w:sz w:val="24"/>
        </w:rPr>
        <w:t>三、质量标准</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工程质量符合</w:t>
      </w:r>
      <w:r>
        <w:rPr>
          <w:rFonts w:hint="eastAsia" w:ascii="宋体" w:hAnsi="宋体" w:cs="宋体"/>
          <w:b/>
          <w:bCs/>
          <w:color w:val="auto"/>
          <w:sz w:val="24"/>
          <w:u w:val="single"/>
        </w:rPr>
        <w:t>合格</w:t>
      </w:r>
      <w:r>
        <w:rPr>
          <w:rFonts w:hint="eastAsia" w:ascii="宋体" w:hAnsi="宋体" w:cs="宋体"/>
          <w:color w:val="auto"/>
          <w:sz w:val="24"/>
        </w:rPr>
        <w:t>标准。</w:t>
      </w:r>
    </w:p>
    <w:p>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四、签约合同价与合同价格形式</w:t>
      </w:r>
      <w:r>
        <w:rPr>
          <w:rFonts w:hint="eastAsia" w:ascii="宋体" w:hAnsi="宋体" w:cs="宋体"/>
          <w:b/>
          <w:bCs/>
          <w:color w:val="auto"/>
          <w:sz w:val="24"/>
        </w:rPr>
        <w:tab/>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1.签约合同价为：人民币（大写）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其中：（1）安全文明施工费：人民币（大写）</w:t>
      </w:r>
      <w:r>
        <w:rPr>
          <w:rFonts w:hint="eastAsia" w:ascii="宋体" w:hAnsi="宋体" w:cs="宋体"/>
          <w:color w:val="auto"/>
          <w:sz w:val="24"/>
          <w:u w:val="single"/>
        </w:rPr>
        <w:t xml:space="preserve">             </w:t>
      </w:r>
      <w:r>
        <w:rPr>
          <w:rFonts w:hint="eastAsia" w:ascii="宋体" w:hAnsi="宋体" w:cs="宋体"/>
          <w:color w:val="auto"/>
          <w:sz w:val="24"/>
        </w:rPr>
        <w:t xml:space="preserve"> (¥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（2）材料和工程设备暂估价金额：人民币（大写）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（3）专业工程暂估价金额：人民币（大写） </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（4）暂列金额：人民币（大写）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2.合同价格形式：</w:t>
      </w:r>
      <w:r>
        <w:rPr>
          <w:rFonts w:hint="eastAsia" w:ascii="宋体" w:hAnsi="宋体" w:cs="宋体"/>
          <w:b/>
          <w:bCs/>
          <w:color w:val="auto"/>
          <w:sz w:val="24"/>
          <w:u w:val="single"/>
        </w:rPr>
        <w:t>固定单价合同</w:t>
      </w:r>
      <w:r>
        <w:rPr>
          <w:rFonts w:hint="eastAsia" w:ascii="宋体" w:hAnsi="宋体" w:cs="宋体"/>
          <w:color w:val="auto"/>
          <w:sz w:val="24"/>
        </w:rPr>
        <w:t>。</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五、项目经理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承包人项目经理：</w:t>
      </w:r>
      <w:r>
        <w:rPr>
          <w:rFonts w:hint="eastAsia" w:ascii="宋体" w:hAnsi="宋体" w:cs="宋体"/>
          <w:color w:val="auto"/>
          <w:sz w:val="24"/>
          <w:u w:val="single"/>
        </w:rPr>
        <w:t></w:t>
      </w:r>
      <w:r>
        <w:rPr>
          <w:rFonts w:hint="eastAsia" w:ascii="宋体" w:hAnsi="宋体" w:cs="宋体"/>
          <w:color w:val="auto"/>
          <w:sz w:val="24"/>
        </w:rPr>
        <w:t>。</w:t>
      </w:r>
    </w:p>
    <w:p>
      <w:pPr>
        <w:snapToGrid w:val="0"/>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六、合同文件构成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本协议书与下列文件一起构成合同文件：（1）中标通知书；（2）磋商函及其附录； （3）专用合同条款及其附件；（4）通用合同条款；（5）技术标准和要求；（6）图纸；（7）已标价工程量清单或预算书；（8）其他合同文件。</w:t>
      </w:r>
    </w:p>
    <w:p>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在合同订立及履行过程中形成的与合同有关的文件均构成合同文件组成部分。</w:t>
      </w:r>
    </w:p>
    <w:p>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七、承诺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1.发包人承诺按照法律规定履行项目审批手续、筹集工程建设资金并按照合同约定的期限和方式支付合同价款。</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3.发包人和承包人通过招磋商形式签订合同的，双方理解并承诺不再就同一工程另行签订与合同实质性内容相背离的协议。</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八、词语含义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本协议书中词语含义与第二部分通用合同条款中赋予的含义相同。</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九、签订时间及地点</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日在</w:t>
      </w:r>
      <w:r>
        <w:rPr>
          <w:rFonts w:hint="eastAsia" w:ascii="宋体" w:hAnsi="宋体" w:cs="宋体"/>
          <w:color w:val="auto"/>
          <w:sz w:val="24"/>
          <w:u w:val="single"/>
        </w:rPr>
        <w:t xml:space="preserve">  杭州市  </w:t>
      </w:r>
      <w:r>
        <w:rPr>
          <w:rFonts w:hint="eastAsia" w:ascii="宋体" w:hAnsi="宋体" w:cs="宋体"/>
          <w:color w:val="auto"/>
          <w:sz w:val="24"/>
        </w:rPr>
        <w:t>签订。</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十、补充协议</w:t>
      </w:r>
    </w:p>
    <w:p>
      <w:pPr>
        <w:snapToGri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合同未尽事宜，合同当事人另行签订补充协议，补充协议是合同的组成部分。</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十一、合同生效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本合同自</w:t>
      </w:r>
      <w:r>
        <w:rPr>
          <w:rFonts w:hint="eastAsia" w:ascii="宋体" w:hAnsi="宋体" w:cs="宋体"/>
          <w:color w:val="auto"/>
          <w:sz w:val="24"/>
          <w:u w:val="single"/>
        </w:rPr>
        <w:t xml:space="preserve">  签订之日  </w:t>
      </w:r>
      <w:r>
        <w:rPr>
          <w:rFonts w:hint="eastAsia" w:ascii="宋体" w:hAnsi="宋体" w:cs="宋体"/>
          <w:color w:val="auto"/>
          <w:sz w:val="24"/>
        </w:rPr>
        <w:t>生效。</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十二、合同份数</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本合同正本贰份，双方各执壹份；副本壹拾肆份，双方各执柒份；如正本与副本有不一致处，以正本为准，均具有同等法律效力。</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  (公章)                              承包人：  (公章)</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法定代表人或其委托代理人：                    法定代表人或其委托代理人：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（签字或盖章）                                        （签字或盖章）</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统一社会信用代码：                           统一社会信用代码：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地  址：                                        地  址：</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  话：                                        电  话：</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传  真：                                        传  真：</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开户银行：                                       开户银行：</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账  号：                                         账  号：</w:t>
      </w:r>
    </w:p>
    <w:p>
      <w:pPr>
        <w:spacing w:line="360" w:lineRule="auto"/>
        <w:ind w:firstLine="480" w:firstLineChars="200"/>
        <w:jc w:val="center"/>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第二部分 通用合同条款（略）</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通用合同条款采用住房城乡建设部、国家工商行政管理总局制定的《建设工程施工合同（示范文本）》（GF-2017-0201）的通用合同条款。</w:t>
      </w:r>
    </w:p>
    <w:p>
      <w:pPr>
        <w:spacing w:line="360" w:lineRule="auto"/>
        <w:ind w:firstLine="480" w:firstLineChars="200"/>
        <w:rPr>
          <w:rFonts w:hint="eastAsia" w:ascii="宋体" w:hAnsi="宋体" w:cs="宋体"/>
          <w:color w:val="auto"/>
          <w:sz w:val="24"/>
        </w:rPr>
      </w:pPr>
    </w:p>
    <w:p>
      <w:pPr>
        <w:spacing w:line="360" w:lineRule="auto"/>
        <w:ind w:firstLine="482" w:firstLineChars="200"/>
        <w:jc w:val="center"/>
        <w:rPr>
          <w:rFonts w:hint="eastAsia" w:ascii="宋体" w:hAnsi="宋体" w:cs="宋体"/>
          <w:b/>
          <w:bCs/>
          <w:color w:val="auto"/>
          <w:sz w:val="24"/>
        </w:rPr>
      </w:pPr>
      <w:r>
        <w:rPr>
          <w:rFonts w:hint="eastAsia" w:ascii="宋体" w:hAnsi="宋体" w:cs="宋体"/>
          <w:b/>
          <w:bCs/>
          <w:color w:val="auto"/>
          <w:sz w:val="24"/>
        </w:rPr>
        <w:t>第三部分  专用合同条款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1、一般约定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1.1词语定义</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1.1.1合同</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kern w:val="0"/>
          <w:sz w:val="24"/>
        </w:rPr>
        <w:t>1.1.1.1其他合同文件包括：</w:t>
      </w:r>
      <w:r>
        <w:rPr>
          <w:rFonts w:hint="eastAsia" w:ascii="宋体" w:hAnsi="宋体" w:cs="宋体"/>
          <w:color w:val="auto"/>
          <w:kern w:val="0"/>
          <w:sz w:val="24"/>
          <w:u w:val="single"/>
        </w:rPr>
        <w:t xml:space="preserve"> </w:t>
      </w:r>
      <w:r>
        <w:rPr>
          <w:rFonts w:hint="eastAsia" w:ascii="宋体" w:hAnsi="宋体" w:cs="宋体"/>
          <w:b/>
          <w:bCs/>
          <w:color w:val="auto"/>
          <w:kern w:val="0"/>
          <w:sz w:val="24"/>
          <w:u w:val="single"/>
        </w:rPr>
        <w:t xml:space="preserve">施工组织设计，竞争性磋商文件及招标答疑。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1.1.2合同当事人及其他相关方：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1.1.2.1发包人代表：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1.1.2.2承包人</w:t>
      </w:r>
      <w:r>
        <w:rPr>
          <w:rFonts w:hint="eastAsia" w:ascii="宋体" w:hAnsi="宋体" w:cs="宋体"/>
          <w:color w:val="auto"/>
          <w:sz w:val="24"/>
        </w:rPr>
        <w:t>项目经理：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建造师执业资格等级：</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建造师注册证书号：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建造师执业印章号：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安全生产考核合格证书号：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1.1.2.3监理人全称：</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总监理工程师：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监理工程师执业资格证书号：</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1.1.2.4设计人全称：</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设计人代表：</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1.1.3工程和设备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1.1.3.7作为施工现场组成部分的其他场所包括：</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1.1.3.9永久占地包括：</w:t>
      </w:r>
      <w:r>
        <w:rPr>
          <w:rFonts w:hint="eastAsia" w:ascii="宋体" w:hAnsi="宋体" w:cs="宋体"/>
          <w:color w:val="auto"/>
          <w:kern w:val="0"/>
          <w:sz w:val="24"/>
          <w:u w:val="single"/>
        </w:rPr>
        <w:t xml:space="preserve"> </w:t>
      </w:r>
      <w:r>
        <w:rPr>
          <w:rFonts w:hint="eastAsia" w:ascii="宋体" w:hAnsi="宋体" w:cs="宋体"/>
          <w:b/>
          <w:bCs/>
          <w:color w:val="auto"/>
          <w:sz w:val="24"/>
          <w:u w:val="single"/>
        </w:rPr>
        <w:t>实施工程需永久占用的土地</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1.1.3.10临时占地包括：</w:t>
      </w:r>
      <w:r>
        <w:rPr>
          <w:rFonts w:hint="eastAsia" w:ascii="宋体" w:hAnsi="宋体" w:cs="宋体"/>
          <w:color w:val="auto"/>
          <w:kern w:val="0"/>
          <w:sz w:val="24"/>
          <w:u w:val="single"/>
        </w:rPr>
        <w:t xml:space="preserve"> </w:t>
      </w:r>
      <w:r>
        <w:rPr>
          <w:rFonts w:hint="eastAsia" w:ascii="宋体" w:hAnsi="宋体" w:cs="宋体"/>
          <w:b/>
          <w:bCs/>
          <w:color w:val="auto"/>
          <w:sz w:val="24"/>
          <w:u w:val="single"/>
        </w:rPr>
        <w:t>为实施工程需临时占用的土地</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1.3法律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适用于合同的其他规范性文件：</w:t>
      </w:r>
    </w:p>
    <w:p>
      <w:pPr>
        <w:spacing w:line="360" w:lineRule="auto"/>
        <w:ind w:firstLine="482" w:firstLineChars="200"/>
        <w:rPr>
          <w:rFonts w:hint="eastAsia" w:ascii="宋体" w:hAnsi="宋体" w:cs="宋体"/>
          <w:b/>
          <w:color w:val="auto"/>
          <w:sz w:val="24"/>
          <w:u w:val="single"/>
        </w:rPr>
      </w:pPr>
      <w:r>
        <w:rPr>
          <w:rFonts w:hint="eastAsia" w:ascii="宋体" w:hAnsi="宋体" w:cs="宋体"/>
          <w:b/>
          <w:color w:val="auto"/>
          <w:sz w:val="24"/>
          <w:u w:val="single"/>
        </w:rPr>
        <w:t>（1）关于印发《杭州市建设工程工程量清单计价实施细则》（2018年修订）的通知（杭建市发【2018】578号）</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 xml:space="preserve">（2）《关于进一步加强建筑施工领域企业安全生产工作的实施意见》的通知 （杭建工发〔2011〕130号）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（3）《关于进一步加强建设工程安全质量物联网管理应用平台建设的通知》（</w:t>
      </w:r>
      <w:r>
        <w:rPr>
          <w:rFonts w:hint="eastAsia" w:ascii="宋体" w:hAnsi="宋体" w:cs="宋体"/>
          <w:b/>
          <w:bCs/>
          <w:color w:val="auto"/>
          <w:kern w:val="0"/>
          <w:sz w:val="24"/>
          <w:u w:val="single"/>
        </w:rPr>
        <w:t xml:space="preserve">杭建工发【2012】426号）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kern w:val="0"/>
          <w:sz w:val="24"/>
          <w:u w:val="single"/>
        </w:rPr>
        <w:t xml:space="preserve">（4）《杭州市人民政府办公厅关于印发杭州市建设工程推广应用预拌砂浆管理办法的通知》（杭政办函（2011）32号）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（5）</w:t>
      </w:r>
      <w:r>
        <w:rPr>
          <w:rFonts w:hint="eastAsia" w:ascii="宋体" w:hAnsi="宋体" w:cs="宋体"/>
          <w:b/>
          <w:bCs/>
          <w:color w:val="auto"/>
          <w:kern w:val="0"/>
          <w:sz w:val="24"/>
          <w:u w:val="single"/>
        </w:rPr>
        <w:t>《关于落实建筑工棚安装空调事宜的通知》（</w:t>
      </w:r>
      <w:r>
        <w:rPr>
          <w:rFonts w:hint="eastAsia" w:ascii="宋体" w:hAnsi="宋体" w:cs="宋体"/>
          <w:b/>
          <w:bCs/>
          <w:color w:val="auto"/>
          <w:sz w:val="24"/>
          <w:u w:val="single"/>
        </w:rPr>
        <w:t xml:space="preserve">杭建工发【2011】237号）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（6）《关于进一步加强杭州市建设工程市场要素价格动态管理的指导意见》（杭建市发【2018】579号）</w:t>
      </w:r>
    </w:p>
    <w:p>
      <w:pPr>
        <w:spacing w:line="360" w:lineRule="auto"/>
        <w:ind w:firstLine="482" w:firstLineChars="200"/>
        <w:rPr>
          <w:rFonts w:hint="eastAsia" w:ascii="宋体" w:hAnsi="宋体" w:cs="宋体"/>
          <w:color w:val="auto"/>
          <w:kern w:val="0"/>
          <w:sz w:val="24"/>
          <w:u w:val="single"/>
        </w:rPr>
      </w:pPr>
      <w:r>
        <w:rPr>
          <w:rFonts w:hint="eastAsia" w:ascii="宋体" w:hAnsi="宋体" w:cs="宋体"/>
          <w:b/>
          <w:bCs/>
          <w:color w:val="auto"/>
          <w:sz w:val="24"/>
          <w:u w:val="single"/>
        </w:rPr>
        <w:t>（7）新工艺、新技术的约定：</w:t>
      </w:r>
      <w:r>
        <w:rPr>
          <w:rFonts w:hint="eastAsia" w:ascii="宋体" w:hAnsi="宋体" w:cs="宋体"/>
          <w:color w:val="auto"/>
          <w:kern w:val="0"/>
          <w:sz w:val="24"/>
          <w:u w:val="single"/>
        </w:rPr>
        <w:t xml:space="preserve">    /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（8）其他：</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《杭州市建筑市场管理若干规定》（杭州市人民政府令第277号）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《杭州市建设工程文明施工管理规定》（杭州市人民政府令第278号）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《杭州市政府投资项目概算管理办法（试行）》（杭发改投资[2013]422号）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《杭州市政府投资项目工程变更管理暂行办法》（杭财建[2013]1246号）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《关于进一步明确本市政府投资项目工程结算审查费用管理相关事项的通知》（杭财基[2014]109号）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1.4标准和规范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1.4.1适用于工程的标准规范包括：</w:t>
      </w:r>
      <w:r>
        <w:rPr>
          <w:rFonts w:hint="eastAsia" w:ascii="宋体" w:hAnsi="宋体" w:cs="宋体"/>
          <w:color w:val="auto"/>
          <w:sz w:val="24"/>
          <w:u w:val="single"/>
        </w:rPr>
        <w:t xml:space="preserve"> </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1.4.2发包人提供国外标准、规范的名称：</w:t>
      </w:r>
      <w:r>
        <w:rPr>
          <w:rFonts w:hint="eastAsia" w:ascii="宋体" w:hAnsi="宋体" w:cs="宋体"/>
          <w:color w:val="auto"/>
          <w:kern w:val="0"/>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发包人提供国外标准、规范的份数：</w:t>
      </w:r>
      <w:r>
        <w:rPr>
          <w:rFonts w:hint="eastAsia" w:ascii="宋体" w:hAnsi="宋体" w:cs="宋体"/>
          <w:color w:val="auto"/>
          <w:kern w:val="0"/>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发包人提供国外标准、规范的名称：</w:t>
      </w:r>
      <w:r>
        <w:rPr>
          <w:rFonts w:hint="eastAsia" w:ascii="宋体" w:hAnsi="宋体" w:cs="宋体"/>
          <w:color w:val="auto"/>
          <w:kern w:val="0"/>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1.4.3发包人对工程的技术标准和功能要求的特殊要求：</w:t>
      </w:r>
      <w:r>
        <w:rPr>
          <w:rFonts w:hint="eastAsia" w:ascii="宋体" w:hAnsi="宋体" w:cs="宋体"/>
          <w:b/>
          <w:bCs/>
          <w:color w:val="auto"/>
          <w:sz w:val="24"/>
          <w:u w:val="single"/>
        </w:rPr>
        <w:t>国家或行业如有新的技术标准和功能要求，则要求从新</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1.5合同文件的优先顺序为：</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（1）合同协议书；</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（2）中标通知书（或项目发承包基本情况表）；</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（3）磋商函及其附录（如果有）；</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（4）专用合同条款及其附件；</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（5）通用合同条款；</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（6）技术标准和要求；</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（7）图纸；</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（8）已标价工程量清单或预算书；</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（9）其他合同文件：</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①施工组织设计；</w:t>
      </w:r>
    </w:p>
    <w:p>
      <w:pPr>
        <w:spacing w:line="360" w:lineRule="auto"/>
        <w:ind w:firstLine="482" w:firstLineChars="200"/>
        <w:rPr>
          <w:rFonts w:hint="eastAsia" w:ascii="宋体" w:hAnsi="宋体" w:cs="宋体"/>
          <w:color w:val="auto"/>
          <w:sz w:val="24"/>
        </w:rPr>
      </w:pPr>
      <w:r>
        <w:rPr>
          <w:rFonts w:hint="eastAsia" w:ascii="宋体" w:hAnsi="宋体" w:cs="宋体"/>
          <w:b/>
          <w:bCs/>
          <w:color w:val="auto"/>
          <w:kern w:val="0"/>
          <w:sz w:val="24"/>
          <w:u w:val="single"/>
        </w:rPr>
        <w:t>②</w:t>
      </w:r>
      <w:r>
        <w:rPr>
          <w:rFonts w:hint="eastAsia" w:ascii="宋体" w:hAnsi="宋体" w:cs="宋体"/>
          <w:b/>
          <w:bCs/>
          <w:color w:val="auto"/>
          <w:sz w:val="24"/>
          <w:u w:val="single"/>
        </w:rPr>
        <w:t>竞争性磋商文件及招标答疑。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1.6图纸和承包人文件</w:t>
      </w:r>
      <w:r>
        <w:rPr>
          <w:rFonts w:hint="eastAsia" w:ascii="宋体" w:hAnsi="宋体" w:cs="宋体"/>
          <w:color w:val="auto"/>
          <w:sz w:val="24"/>
        </w:rPr>
        <w:tab/>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1.6.1图纸的提供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发包人向承包人提供图纸的期限：</w:t>
      </w:r>
      <w:r>
        <w:rPr>
          <w:rFonts w:hint="eastAsia" w:ascii="宋体" w:hAnsi="宋体" w:cs="宋体"/>
          <w:b/>
          <w:bCs/>
          <w:color w:val="auto"/>
          <w:sz w:val="24"/>
          <w:u w:val="single"/>
        </w:rPr>
        <w:t>开工前十五天；</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发包人向承包人提供图纸的数量：</w:t>
      </w:r>
      <w:r>
        <w:rPr>
          <w:rFonts w:hint="eastAsia" w:ascii="宋体" w:hAnsi="宋体" w:cs="宋体"/>
          <w:b/>
          <w:bCs/>
          <w:color w:val="auto"/>
          <w:sz w:val="24"/>
          <w:u w:val="single"/>
        </w:rPr>
        <w:t>陆套施工图纸(不包括竣工图)，如承包人额外需要提供施工图纸的，则额外增加的施工图纸的制作费由承包人承担</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发包人向承包人提供图纸的内容：</w:t>
      </w:r>
      <w:r>
        <w:rPr>
          <w:rFonts w:hint="eastAsia" w:ascii="宋体" w:hAnsi="宋体" w:cs="宋体"/>
          <w:b/>
          <w:bCs/>
          <w:color w:val="auto"/>
          <w:sz w:val="24"/>
          <w:u w:val="single"/>
        </w:rPr>
        <w:t>承包范围内的全套施工图纸、设计联系单等</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1.6.4承包人文件</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需要由承包人提供的文件，包括：</w:t>
      </w:r>
      <w:r>
        <w:rPr>
          <w:rFonts w:hint="eastAsia" w:ascii="宋体" w:hAnsi="宋体" w:cs="宋体"/>
          <w:b/>
          <w:bCs/>
          <w:color w:val="auto"/>
          <w:sz w:val="24"/>
          <w:u w:val="single"/>
        </w:rPr>
        <w:t>施工组织设计、进度计划等</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承包人提供的文件的期限为：</w:t>
      </w:r>
      <w:r>
        <w:rPr>
          <w:rFonts w:hint="eastAsia" w:ascii="宋体" w:hAnsi="宋体" w:cs="宋体"/>
          <w:b/>
          <w:bCs/>
          <w:color w:val="auto"/>
          <w:sz w:val="24"/>
          <w:u w:val="single"/>
        </w:rPr>
        <w:t>合同签订后五个工作日内</w:t>
      </w:r>
      <w:r>
        <w:rPr>
          <w:rFonts w:hint="eastAsia" w:ascii="宋体" w:hAnsi="宋体" w:cs="宋体"/>
          <w:color w:val="auto"/>
          <w:sz w:val="24"/>
          <w:u w:val="single"/>
        </w:rPr>
        <w:t>；</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承包人提供的文件的数量为：</w:t>
      </w:r>
      <w:r>
        <w:rPr>
          <w:rFonts w:hint="eastAsia" w:ascii="宋体" w:hAnsi="宋体" w:cs="宋体"/>
          <w:b/>
          <w:bCs/>
          <w:color w:val="auto"/>
          <w:sz w:val="24"/>
          <w:u w:val="single"/>
        </w:rPr>
        <w:t>一式三份</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承包人提供的文件的形式为：</w:t>
      </w:r>
      <w:r>
        <w:rPr>
          <w:rFonts w:hint="eastAsia" w:ascii="宋体" w:hAnsi="宋体" w:cs="宋体"/>
          <w:b/>
          <w:bCs/>
          <w:color w:val="auto"/>
          <w:sz w:val="24"/>
          <w:u w:val="single"/>
        </w:rPr>
        <w:t>书面形式</w:t>
      </w:r>
      <w:r>
        <w:rPr>
          <w:rFonts w:hint="eastAsia" w:ascii="宋体" w:hAnsi="宋体" w:cs="宋体"/>
          <w:color w:val="auto"/>
          <w:sz w:val="24"/>
          <w:u w:val="single"/>
        </w:rPr>
        <w:t>；</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发包人审批承包人文件的期限：</w:t>
      </w:r>
      <w:r>
        <w:rPr>
          <w:rFonts w:hint="eastAsia" w:ascii="宋体" w:hAnsi="宋体" w:cs="宋体"/>
          <w:b/>
          <w:bCs/>
          <w:color w:val="auto"/>
          <w:sz w:val="24"/>
          <w:u w:val="single"/>
        </w:rPr>
        <w:t>收到承包人齐全的文件资料后10个工作日内</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1.6.5现场图纸准备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关于现场图纸准备的约定：</w:t>
      </w:r>
      <w:r>
        <w:rPr>
          <w:rFonts w:hint="eastAsia" w:ascii="宋体" w:hAnsi="宋体" w:cs="宋体"/>
          <w:b/>
          <w:bCs/>
          <w:color w:val="auto"/>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1.7联络</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1.7.1发包人和承包人应当在</w:t>
      </w:r>
      <w:r>
        <w:rPr>
          <w:rFonts w:hint="eastAsia" w:ascii="宋体" w:hAnsi="宋体" w:cs="宋体"/>
          <w:b/>
          <w:bCs/>
          <w:color w:val="auto"/>
          <w:sz w:val="24"/>
          <w:u w:val="single"/>
        </w:rPr>
        <w:t xml:space="preserve">3  </w:t>
      </w:r>
      <w:r>
        <w:rPr>
          <w:rFonts w:hint="eastAsia" w:ascii="宋体" w:hAnsi="宋体" w:cs="宋体"/>
          <w:color w:val="auto"/>
          <w:kern w:val="0"/>
          <w:sz w:val="24"/>
        </w:rPr>
        <w:t>天内将与合同有关的通知、批准、证明、证书、指示、指令、要求、请求、同意、意见、确定和决定等书面函件送达对方当事人。</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1.7.2 发包人、承包人及监理人接收文件的地点：</w:t>
      </w:r>
      <w:r>
        <w:rPr>
          <w:rFonts w:hint="eastAsia" w:ascii="宋体" w:hAnsi="宋体" w:cs="宋体"/>
          <w:color w:val="auto"/>
          <w:kern w:val="0"/>
          <w:sz w:val="24"/>
          <w:u w:val="single"/>
        </w:rPr>
        <w:t xml:space="preserve"> </w:t>
      </w:r>
      <w:r>
        <w:rPr>
          <w:rFonts w:hint="eastAsia" w:ascii="宋体" w:hAnsi="宋体" w:cs="宋体"/>
          <w:b/>
          <w:bCs/>
          <w:color w:val="auto"/>
          <w:sz w:val="24"/>
          <w:u w:val="single"/>
        </w:rPr>
        <w:t>施工现场办公室；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1.10交通运输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1.10.1出入现场的权利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关于出入现场的权利的约定：</w:t>
      </w:r>
      <w:r>
        <w:rPr>
          <w:rFonts w:hint="eastAsia" w:ascii="宋体" w:hAnsi="宋体" w:cs="宋体"/>
          <w:b/>
          <w:bCs/>
          <w:color w:val="auto"/>
          <w:sz w:val="24"/>
          <w:u w:val="single"/>
        </w:rPr>
        <w:t>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1.10.3场内交通</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关于场外交通和场内交通的边界的约定：</w:t>
      </w:r>
      <w:r>
        <w:rPr>
          <w:rFonts w:hint="eastAsia" w:ascii="宋体" w:hAnsi="宋体" w:cs="宋体"/>
          <w:b/>
          <w:bCs/>
          <w:color w:val="auto"/>
          <w:sz w:val="24"/>
          <w:u w:val="single"/>
        </w:rPr>
        <w:t>由发包人根据现场条件划定，承包人无条件服从。</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关于发包人向承包人免费提供满足工程施工需要的场内道路和交通设施的约定：</w:t>
      </w:r>
      <w:r>
        <w:rPr>
          <w:rFonts w:hint="eastAsia" w:ascii="宋体" w:hAnsi="宋体" w:cs="宋体"/>
          <w:b/>
          <w:bCs/>
          <w:color w:val="auto"/>
          <w:sz w:val="24"/>
          <w:u w:val="single"/>
        </w:rPr>
        <w:t>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1.10.4超大件和超重件的运输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运输超大件或超重件所需的道路和桥梁临时加固改造费用和其他有关费用由</w:t>
      </w:r>
      <w:r>
        <w:rPr>
          <w:rFonts w:hint="eastAsia" w:ascii="宋体" w:hAnsi="宋体" w:cs="宋体"/>
          <w:b/>
          <w:bCs/>
          <w:color w:val="auto"/>
          <w:sz w:val="24"/>
          <w:u w:val="single"/>
        </w:rPr>
        <w:t xml:space="preserve">承包人 </w:t>
      </w:r>
      <w:r>
        <w:rPr>
          <w:rFonts w:hint="eastAsia" w:ascii="宋体" w:hAnsi="宋体" w:cs="宋体"/>
          <w:color w:val="auto"/>
          <w:sz w:val="24"/>
        </w:rPr>
        <w:t>承担。</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本工程的超大件：</w:t>
      </w:r>
      <w:r>
        <w:rPr>
          <w:rFonts w:hint="eastAsia" w:ascii="宋体" w:hAnsi="宋体" w:cs="宋体"/>
          <w:color w:val="auto"/>
          <w:kern w:val="0"/>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本工程的超重件：</w:t>
      </w:r>
      <w:r>
        <w:rPr>
          <w:rFonts w:hint="eastAsia" w:ascii="宋体" w:hAnsi="宋体" w:cs="宋体"/>
          <w:color w:val="auto"/>
          <w:kern w:val="0"/>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1.11知识产权</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归发包人。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关于发包人提供的上述文件的使用限制的要求：</w:t>
      </w:r>
      <w:r>
        <w:rPr>
          <w:rFonts w:hint="eastAsia" w:ascii="宋体" w:hAnsi="宋体" w:cs="宋体"/>
          <w:b/>
          <w:bCs/>
          <w:color w:val="auto"/>
          <w:sz w:val="24"/>
          <w:u w:val="single"/>
        </w:rPr>
        <w:t>未经发包人同意，不得向他人提供，否则发包人有权解除合同并有权向承包人进行索赔。</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1.11.2 关于承包人为实施工程所编制文件的著作权的归属：</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关于承包人提供的上述文件的使用限制的要求：</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用于本工程。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1.11.4 承包人在施工过程中所采用的专利、专有技术、技术秘密的使用费的承担方式：</w:t>
      </w:r>
      <w:r>
        <w:rPr>
          <w:rFonts w:hint="eastAsia" w:ascii="宋体" w:hAnsi="宋体" w:cs="宋体"/>
          <w:b/>
          <w:bCs/>
          <w:color w:val="auto"/>
          <w:sz w:val="24"/>
          <w:u w:val="single"/>
        </w:rPr>
        <w:t>（除发包人指明外）承包人在施工过程中所采用的专利、专有技术、技术秘密的使用费包含在合同价款内。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1.13工程量清单错误的修正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出现工程量清单错误时，是否调整合同价格：</w:t>
      </w:r>
      <w:r>
        <w:rPr>
          <w:rFonts w:hint="eastAsia" w:ascii="宋体" w:hAnsi="宋体" w:cs="宋体"/>
          <w:b/>
          <w:bCs/>
          <w:color w:val="auto"/>
          <w:sz w:val="24"/>
          <w:u w:val="single"/>
        </w:rPr>
        <w:t xml:space="preserve">  是  </w:t>
      </w:r>
      <w:r>
        <w:rPr>
          <w:rFonts w:hint="eastAsia" w:ascii="宋体" w:hAnsi="宋体" w:cs="宋体"/>
          <w:b/>
          <w:bCs/>
          <w:color w:val="auto"/>
          <w:sz w:val="24"/>
        </w:rPr>
        <w:t>；</w:t>
      </w:r>
    </w:p>
    <w:p>
      <w:pPr>
        <w:spacing w:line="360" w:lineRule="auto"/>
        <w:ind w:firstLine="480" w:firstLineChars="200"/>
        <w:rPr>
          <w:rFonts w:hint="eastAsia" w:ascii="宋体" w:hAnsi="宋体" w:cs="宋体"/>
          <w:strike/>
          <w:color w:val="auto"/>
          <w:sz w:val="24"/>
        </w:rPr>
      </w:pPr>
      <w:r>
        <w:rPr>
          <w:rFonts w:hint="eastAsia" w:ascii="宋体" w:hAnsi="宋体" w:cs="宋体"/>
          <w:color w:val="auto"/>
          <w:sz w:val="24"/>
        </w:rPr>
        <w:t>允许调整合同价格的工程量偏差范围：</w:t>
      </w:r>
      <w:r>
        <w:rPr>
          <w:rFonts w:hint="eastAsia" w:ascii="宋体" w:hAnsi="宋体" w:cs="宋体"/>
          <w:color w:val="auto"/>
          <w:sz w:val="24"/>
          <w:u w:val="single"/>
        </w:rPr>
        <w:t xml:space="preserve"> </w:t>
      </w:r>
      <w:r>
        <w:rPr>
          <w:rFonts w:hint="eastAsia" w:ascii="宋体" w:hAnsi="宋体" w:cs="宋体"/>
          <w:b/>
          <w:bCs/>
          <w:color w:val="auto"/>
          <w:sz w:val="24"/>
          <w:u w:val="single"/>
        </w:rPr>
        <w:t>按本专用条款第10.4.1条执行；</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调整合同价格的修正时间：</w:t>
      </w:r>
      <w:r>
        <w:rPr>
          <w:rFonts w:hint="eastAsia" w:ascii="宋体" w:hAnsi="宋体" w:cs="宋体"/>
          <w:color w:val="auto"/>
          <w:sz w:val="24"/>
          <w:u w:val="single"/>
        </w:rPr>
        <w:t xml:space="preserve"> </w:t>
      </w:r>
      <w:r>
        <w:rPr>
          <w:rFonts w:hint="eastAsia" w:ascii="宋体" w:hAnsi="宋体" w:cs="宋体"/>
          <w:b/>
          <w:bCs/>
          <w:color w:val="auto"/>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2、发包人</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发包人应根据工程所需配备发包人代表，同时配备1-2名相关人员到岗履职。</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发包人对发包人代表的授权范围如下：</w:t>
      </w:r>
      <w:r>
        <w:rPr>
          <w:rFonts w:hint="eastAsia" w:ascii="宋体" w:hAnsi="宋体" w:cs="宋体"/>
          <w:b/>
          <w:color w:val="auto"/>
          <w:sz w:val="24"/>
          <w:u w:val="single"/>
        </w:rPr>
        <w:t>对质量、成本、安全、进度进行全面管理，但涉及合同价格变更、安全事故、质量事故等重大事项的处理须经发包人加盖公章方有效。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2.4施工现场、施工条件和基础资料的提供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2.4.1提供施工现场</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关于发包人移交施工现场的期限要求：</w:t>
      </w:r>
      <w:r>
        <w:rPr>
          <w:rFonts w:hint="eastAsia" w:ascii="宋体" w:hAnsi="宋体" w:cs="宋体"/>
          <w:b/>
          <w:bCs/>
          <w:color w:val="auto"/>
          <w:sz w:val="24"/>
          <w:u w:val="single"/>
        </w:rPr>
        <w:t xml:space="preserve"> 开工日期7天前移交。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2.4.2提供施工条件</w:t>
      </w:r>
    </w:p>
    <w:p>
      <w:pPr>
        <w:autoSpaceDE w:val="0"/>
        <w:autoSpaceDN w:val="0"/>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关于发包人应负责提供施工所需要的条件，包括：</w:t>
      </w:r>
      <w:r>
        <w:rPr>
          <w:rFonts w:hint="eastAsia" w:ascii="宋体" w:hAnsi="宋体" w:cs="宋体"/>
          <w:b/>
          <w:bCs/>
          <w:color w:val="auto"/>
          <w:sz w:val="24"/>
          <w:u w:val="single"/>
        </w:rPr>
        <w:t xml:space="preserve">按通用条款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2.5资金来源证明及支付担保</w:t>
      </w:r>
    </w:p>
    <w:p>
      <w:pPr>
        <w:spacing w:line="360" w:lineRule="auto"/>
        <w:ind w:firstLine="480" w:firstLineChars="200"/>
        <w:rPr>
          <w:rFonts w:hint="eastAsia" w:ascii="宋体" w:hAnsi="宋体" w:cs="宋体"/>
          <w:b/>
          <w:bCs/>
          <w:strike/>
          <w:color w:val="auto"/>
          <w:sz w:val="24"/>
          <w:u w:val="single"/>
        </w:rPr>
      </w:pPr>
      <w:r>
        <w:rPr>
          <w:rFonts w:hint="eastAsia" w:ascii="宋体" w:hAnsi="宋体" w:cs="宋体"/>
          <w:color w:val="auto"/>
          <w:sz w:val="24"/>
        </w:rPr>
        <w:t>发包人提供资金来源证明的期限要求：</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发包人是否提供支付担保：</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发包人提供支付担保的形式：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3、承包人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3.1承包人的一般义务</w:t>
      </w:r>
    </w:p>
    <w:p>
      <w:pPr>
        <w:spacing w:line="360" w:lineRule="auto"/>
        <w:ind w:firstLine="480" w:firstLineChars="200"/>
        <w:rPr>
          <w:rFonts w:hint="eastAsia" w:ascii="宋体" w:hAnsi="宋体" w:cs="宋体"/>
          <w:strike/>
          <w:color w:val="auto"/>
          <w:sz w:val="24"/>
        </w:rPr>
      </w:pPr>
      <w:r>
        <w:rPr>
          <w:rFonts w:hint="eastAsia" w:ascii="宋体" w:hAnsi="宋体" w:cs="宋体"/>
          <w:color w:val="auto"/>
          <w:kern w:val="0"/>
          <w:sz w:val="24"/>
        </w:rPr>
        <w:t>（5）</w:t>
      </w:r>
      <w:r>
        <w:rPr>
          <w:rFonts w:hint="eastAsia" w:ascii="宋体" w:hAnsi="宋体" w:cs="宋体"/>
          <w:color w:val="auto"/>
          <w:sz w:val="24"/>
        </w:rPr>
        <w:t>承包人提交的竣工资料的内容：</w:t>
      </w:r>
      <w:r>
        <w:rPr>
          <w:rFonts w:hint="eastAsia" w:ascii="宋体" w:hAnsi="宋体" w:cs="宋体"/>
          <w:b/>
          <w:bCs/>
          <w:color w:val="auto"/>
          <w:sz w:val="24"/>
          <w:u w:val="single"/>
        </w:rPr>
        <w:t>竣工图纸和竣工资料（包括影像资料）、电子版竣工图光盘</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承包人需要提交的竣工资料套数：</w:t>
      </w:r>
      <w:r>
        <w:rPr>
          <w:rFonts w:hint="eastAsia" w:ascii="宋体" w:hAnsi="宋体" w:cs="宋体"/>
          <w:b/>
          <w:bCs/>
          <w:color w:val="auto"/>
          <w:sz w:val="24"/>
          <w:u w:val="single"/>
        </w:rPr>
        <w:t>陆套</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承包人提交的竣工资料的费用承担：</w:t>
      </w:r>
      <w:r>
        <w:rPr>
          <w:rFonts w:hint="eastAsia" w:ascii="宋体" w:hAnsi="宋体" w:cs="宋体"/>
          <w:b/>
          <w:bCs/>
          <w:color w:val="auto"/>
          <w:sz w:val="24"/>
          <w:u w:val="single"/>
        </w:rPr>
        <w:t>由承包人承担</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承包人提交的竣工资料移交时间：</w:t>
      </w:r>
      <w:r>
        <w:rPr>
          <w:rFonts w:hint="eastAsia" w:ascii="宋体" w:hAnsi="宋体" w:cs="宋体"/>
          <w:b/>
          <w:bCs/>
          <w:color w:val="auto"/>
          <w:sz w:val="24"/>
          <w:u w:val="single"/>
        </w:rPr>
        <w:t>工程竣工验收合格后10天内</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承包人提交的竣工资料形式要求：</w:t>
      </w:r>
      <w:r>
        <w:rPr>
          <w:rFonts w:hint="eastAsia" w:ascii="宋体" w:hAnsi="宋体" w:cs="宋体"/>
          <w:b/>
          <w:bCs/>
          <w:color w:val="auto"/>
          <w:sz w:val="24"/>
          <w:u w:val="single"/>
        </w:rPr>
        <w:t>符合城建档案管理部门相关规定的</w:t>
      </w:r>
      <w:r>
        <w:rPr>
          <w:rFonts w:hint="eastAsia" w:ascii="宋体" w:hAnsi="宋体" w:cs="宋体"/>
          <w:b/>
          <w:color w:val="auto"/>
          <w:sz w:val="24"/>
          <w:u w:val="single"/>
        </w:rPr>
        <w:t>纸质、电子文本</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（6）承包人应履行的其他义务：</w:t>
      </w:r>
      <w:r>
        <w:rPr>
          <w:rFonts w:hint="eastAsia" w:ascii="宋体" w:hAnsi="宋体" w:cs="宋体"/>
          <w:b/>
          <w:bCs/>
          <w:color w:val="auto"/>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3.2项目经理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承包人对项目经理的授权范围如下：</w:t>
      </w:r>
      <w:r>
        <w:rPr>
          <w:rFonts w:hint="eastAsia" w:ascii="宋体" w:hAnsi="宋体" w:cs="宋体"/>
          <w:b/>
          <w:bCs/>
          <w:color w:val="auto"/>
          <w:sz w:val="24"/>
          <w:u w:val="single"/>
        </w:rPr>
        <w:t>受承包人委托全面负责工程安全、质量、进度、投资四大控制要素，完善合同、信息、组织管理体系，做好安全监督，文明标准化现场工作。</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关于项目经理每月在施工现场的时间要求：</w:t>
      </w:r>
      <w:r>
        <w:rPr>
          <w:rFonts w:hint="eastAsia" w:ascii="宋体" w:hAnsi="宋体" w:cs="宋体"/>
          <w:b/>
          <w:bCs/>
          <w:color w:val="auto"/>
          <w:sz w:val="24"/>
          <w:u w:val="single"/>
        </w:rPr>
        <w:t>每月不少于22日历天。</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承包人未提交劳动合同，以及没有为项目经理缴纳社会保险证明的违约责任：</w:t>
      </w:r>
      <w:r>
        <w:rPr>
          <w:rFonts w:hint="eastAsia" w:ascii="宋体" w:hAnsi="宋体" w:cs="宋体"/>
          <w:b/>
          <w:bCs/>
          <w:color w:val="auto"/>
          <w:sz w:val="24"/>
          <w:u w:val="single"/>
        </w:rPr>
        <w:t>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项目经理未经批准，擅自离开施工现场的违约责任：</w:t>
      </w:r>
      <w:r>
        <w:rPr>
          <w:rFonts w:hint="eastAsia" w:ascii="宋体" w:hAnsi="宋体" w:cs="宋体"/>
          <w:b/>
          <w:bCs/>
          <w:color w:val="auto"/>
          <w:sz w:val="24"/>
          <w:u w:val="single"/>
        </w:rPr>
        <w:t>擅自离开施工现场每一天，处罚人民币1000元/天，上述扣款在支付进度款中逐期扣除。</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3.2.3承包人擅自更换项目经理的违约责任：</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（1）</w:t>
      </w:r>
      <w:r>
        <w:rPr>
          <w:rFonts w:hint="eastAsia" w:ascii="宋体" w:hAnsi="宋体" w:cs="宋体"/>
          <w:b/>
          <w:bCs/>
          <w:color w:val="auto"/>
          <w:kern w:val="0"/>
          <w:sz w:val="24"/>
        </w:rPr>
        <w:t>承包人确需更换项目经理的，继任项目经理注册执业资格、管理经验的约定：</w:t>
      </w:r>
      <w:r>
        <w:rPr>
          <w:rFonts w:hint="eastAsia" w:ascii="宋体" w:hAnsi="宋体" w:cs="宋体"/>
          <w:b/>
          <w:bCs/>
          <w:color w:val="auto"/>
          <w:sz w:val="24"/>
          <w:u w:val="single"/>
        </w:rPr>
        <w:t>均要求等同于或高于被更换项目经理。</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承包人擅自更换项目经理的违约责任：</w:t>
      </w:r>
      <w:r>
        <w:rPr>
          <w:rFonts w:hint="eastAsia" w:ascii="宋体" w:hAnsi="宋体" w:cs="宋体"/>
          <w:b/>
          <w:bCs/>
          <w:color w:val="auto"/>
          <w:sz w:val="24"/>
          <w:u w:val="single"/>
        </w:rPr>
        <w:t>未经发包人及相关行政主管部门同意，擅自更换项目经理时，将被视为承包人违约，发包人将没收部分或全部履约保证金，直至单方面解除本施工合同。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3.2.4承包人无正当理由拒绝更换项目经理的违约责任：</w:t>
      </w:r>
      <w:r>
        <w:rPr>
          <w:rFonts w:hint="eastAsia" w:ascii="宋体" w:hAnsi="宋体" w:cs="宋体"/>
          <w:b/>
          <w:bCs/>
          <w:color w:val="auto"/>
          <w:sz w:val="24"/>
          <w:u w:val="single"/>
        </w:rPr>
        <w:t>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3.3承包人人员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3.3.1承包人提交项目管理机构及施工现场管理人员安排报告的期限：</w:t>
      </w:r>
      <w:r>
        <w:rPr>
          <w:rFonts w:hint="eastAsia" w:ascii="宋体" w:hAnsi="宋体" w:cs="宋体"/>
          <w:b/>
          <w:bCs/>
          <w:color w:val="auto"/>
          <w:sz w:val="24"/>
          <w:u w:val="single"/>
        </w:rPr>
        <w:t>开工前七天</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3.3.2 承包人需更换主要施工管理人员的，继任人员的数量、注册执业资格、管理经验的约定：</w:t>
      </w:r>
      <w:r>
        <w:rPr>
          <w:rFonts w:hint="eastAsia" w:ascii="宋体" w:hAnsi="宋体" w:cs="宋体"/>
          <w:b/>
          <w:bCs/>
          <w:color w:val="auto"/>
          <w:sz w:val="24"/>
          <w:u w:val="single"/>
        </w:rPr>
        <w:t>均要求等同于或高于被更换主要施工管理人员。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3.3.3承包人无正当理由拒绝撤换主要施工管理人员的违约责任：</w:t>
      </w:r>
      <w:r>
        <w:rPr>
          <w:rFonts w:hint="eastAsia" w:ascii="宋体" w:hAnsi="宋体" w:cs="宋体"/>
          <w:b/>
          <w:bCs/>
          <w:color w:val="auto"/>
          <w:sz w:val="24"/>
          <w:u w:val="single"/>
        </w:rPr>
        <w:t>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3.3.4 承包人主要施工管理人员离开施工现场的批准要求：</w:t>
      </w:r>
      <w:r>
        <w:rPr>
          <w:rFonts w:hint="eastAsia" w:ascii="宋体" w:hAnsi="宋体" w:cs="宋体"/>
          <w:b/>
          <w:bCs/>
          <w:color w:val="auto"/>
          <w:sz w:val="24"/>
          <w:u w:val="single"/>
        </w:rPr>
        <w:t>离开前向发包人代表提出书面报告，发包人代表同意后方可离开施工现场。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3.3.5承包人擅自更换主要施工管理人员的违约责任：</w:t>
      </w:r>
      <w:r>
        <w:rPr>
          <w:rFonts w:hint="eastAsia" w:ascii="宋体" w:hAnsi="宋体" w:cs="宋体"/>
          <w:b/>
          <w:bCs/>
          <w:color w:val="auto"/>
          <w:sz w:val="24"/>
          <w:u w:val="single"/>
        </w:rPr>
        <w:t>未经发包人及相关行政主管部门同意，擅自更换主要施工管理人员时，将被视为承包人违约，发包人将没收部分或全部履约保证金，直至单方面解除本施工合同。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承包人主要施工管理人员擅自离开施工现场的违约责任：</w:t>
      </w:r>
      <w:r>
        <w:rPr>
          <w:rFonts w:hint="eastAsia" w:ascii="宋体" w:hAnsi="宋体" w:cs="宋体"/>
          <w:b/>
          <w:bCs/>
          <w:color w:val="auto"/>
          <w:sz w:val="24"/>
          <w:u w:val="single"/>
        </w:rPr>
        <w:t>擅自离开施工现场每一天，处罚人民币400元/天，上述扣款在支付进度款中逐期扣除。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3.5分包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3.5.1分包的一般约定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禁止分包的工程包括：</w:t>
      </w:r>
      <w:r>
        <w:rPr>
          <w:rFonts w:hint="eastAsia" w:ascii="宋体" w:hAnsi="宋体" w:cs="宋体"/>
          <w:b/>
          <w:bCs/>
          <w:color w:val="auto"/>
          <w:sz w:val="24"/>
          <w:u w:val="single"/>
        </w:rPr>
        <w:t>主体结构、关键性工作等其他国家现行法律、法规明令禁止分包的内容。</w:t>
      </w:r>
      <w:r>
        <w:rPr>
          <w:rFonts w:hint="eastAsia" w:ascii="宋体" w:hAnsi="宋体" w:cs="宋体"/>
          <w:b/>
          <w:color w:val="auto"/>
          <w:sz w:val="24"/>
          <w:u w:val="single"/>
        </w:rPr>
        <w:t>未经发包人书面同意，不得分包。</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主体结构、关键性工作的范围：</w:t>
      </w:r>
      <w:r>
        <w:rPr>
          <w:rFonts w:hint="eastAsia" w:ascii="宋体" w:hAnsi="宋体" w:cs="宋体"/>
          <w:b/>
          <w:bCs/>
          <w:color w:val="auto"/>
          <w:sz w:val="24"/>
          <w:u w:val="single"/>
        </w:rPr>
        <w:t>按通用条款或国家现行法律、法规执行。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3.5.2分包的确定</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允许分包的专业工程包括：</w:t>
      </w:r>
      <w:r>
        <w:rPr>
          <w:rFonts w:hint="eastAsia" w:ascii="宋体" w:hAnsi="宋体" w:cs="宋体"/>
          <w:b/>
          <w:bCs/>
          <w:color w:val="auto"/>
          <w:sz w:val="24"/>
          <w:u w:val="single"/>
        </w:rPr>
        <w:t>合同签订时明确。</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其他关于分包的约定：</w:t>
      </w:r>
      <w:r>
        <w:rPr>
          <w:rFonts w:hint="eastAsia" w:ascii="宋体" w:hAnsi="宋体" w:cs="宋体"/>
          <w:b/>
          <w:bCs/>
          <w:color w:val="auto"/>
          <w:sz w:val="24"/>
          <w:u w:val="single"/>
        </w:rPr>
        <w:t>合同签订时明确。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3.5.4分包合同价款</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关于分包合同价款支付的约定：</w:t>
      </w:r>
      <w:r>
        <w:rPr>
          <w:rFonts w:hint="eastAsia" w:ascii="宋体" w:hAnsi="宋体" w:cs="宋体"/>
          <w:b/>
          <w:bCs/>
          <w:color w:val="auto"/>
          <w:sz w:val="24"/>
          <w:u w:val="single"/>
        </w:rPr>
        <w:t>合同签订时明确。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3.6工程照管与成品、半成品保护</w:t>
      </w:r>
    </w:p>
    <w:p>
      <w:pPr>
        <w:spacing w:line="360" w:lineRule="auto"/>
        <w:ind w:firstLine="480" w:firstLineChars="200"/>
        <w:rPr>
          <w:rFonts w:hint="eastAsia" w:ascii="宋体" w:hAnsi="宋体" w:cs="宋体"/>
          <w:b/>
          <w:bCs/>
          <w:color w:val="auto"/>
          <w:kern w:val="0"/>
          <w:sz w:val="24"/>
          <w:u w:val="single"/>
        </w:rPr>
      </w:pPr>
      <w:r>
        <w:rPr>
          <w:rFonts w:hint="eastAsia" w:ascii="宋体" w:hAnsi="宋体" w:cs="宋体"/>
          <w:color w:val="auto"/>
          <w:kern w:val="0"/>
          <w:sz w:val="24"/>
        </w:rPr>
        <w:t>承包人负责照管工程及工程相关的材料、工程设备的起始时间：</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3.7履约担保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承包人是否提供履约担保：</w:t>
      </w:r>
      <w:r>
        <w:rPr>
          <w:rFonts w:hint="eastAsia" w:ascii="宋体" w:hAnsi="宋体" w:cs="宋体"/>
          <w:b/>
          <w:bCs/>
          <w:color w:val="auto"/>
          <w:sz w:val="24"/>
          <w:u w:val="single"/>
        </w:rPr>
        <w:t xml:space="preserve">   否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4、监理人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4.1监理人的一般规定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关于监理人的监理内容：</w:t>
      </w:r>
      <w:r>
        <w:rPr>
          <w:rFonts w:hint="eastAsia" w:ascii="宋体" w:hAnsi="宋体" w:cs="宋体"/>
          <w:b/>
          <w:bCs/>
          <w:color w:val="auto"/>
          <w:sz w:val="24"/>
          <w:u w:val="single"/>
        </w:rPr>
        <w:t>本工程实施范围内的所有内容</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关于监理人的监理权限：</w:t>
      </w:r>
      <w:r>
        <w:rPr>
          <w:rFonts w:hint="eastAsia" w:ascii="宋体" w:hAnsi="宋体" w:cs="宋体"/>
          <w:b/>
          <w:bCs/>
          <w:color w:val="auto"/>
          <w:sz w:val="24"/>
          <w:u w:val="single"/>
        </w:rPr>
        <w:t>按本工程监理合同执行</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关于监理人在施工现场的办公场所、生活场所的提供和费用承担的约定：</w:t>
      </w:r>
      <w:r>
        <w:rPr>
          <w:rFonts w:hint="eastAsia" w:ascii="宋体" w:hAnsi="宋体" w:cs="宋体"/>
          <w:b/>
          <w:bCs/>
          <w:color w:val="auto"/>
          <w:sz w:val="24"/>
          <w:u w:val="single"/>
        </w:rPr>
        <w:t>由承包人解决并承担相关费用。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4.2监理人员</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关于监理人的其他约定：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需要取得发包人批准才能行使的职权：</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A 涉及全局进度的工程暂停；</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B 变更的估价；</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C 部分工程分包；</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D 索赔的支付；</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E 有关暂列金额的使用；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F 涉及改变原设计意图或影响原设计结构的补充图纸和指示。</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5、工程质量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5.1质量要求</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5.1.1特殊质量标准和要求：</w:t>
      </w:r>
      <w:r>
        <w:rPr>
          <w:rFonts w:hint="eastAsia" w:ascii="宋体" w:hAnsi="宋体" w:cs="宋体"/>
          <w:b/>
          <w:bCs/>
          <w:color w:val="auto"/>
          <w:sz w:val="24"/>
          <w:u w:val="single"/>
        </w:rPr>
        <w:t>符合（工程施工质量验收规范）合格标准。</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关于工程奖项的约定：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5.3隐蔽工程检查</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5.3.2承包人提前通知监理人隐蔽工程检查的期限的约定：</w:t>
      </w:r>
      <w:r>
        <w:rPr>
          <w:rFonts w:hint="eastAsia" w:ascii="宋体" w:hAnsi="宋体" w:cs="宋体"/>
          <w:b/>
          <w:bCs/>
          <w:color w:val="auto"/>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有防水要求的地方，均应进行防水试验，并通过验收；未进行防水验收即进入下一道工序的，除补充进行验收外，且发包人每次扣罚违约金1万元，上述扣款在工程进度款中逐期扣除。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监理人不能按时进行检查时，应提前</w:t>
      </w:r>
      <w:r>
        <w:rPr>
          <w:rFonts w:hint="eastAsia" w:ascii="宋体" w:hAnsi="宋体" w:cs="宋体"/>
          <w:b/>
          <w:bCs/>
          <w:color w:val="auto"/>
          <w:sz w:val="24"/>
          <w:u w:val="single"/>
        </w:rPr>
        <w:t xml:space="preserve"> 24 </w:t>
      </w:r>
      <w:r>
        <w:rPr>
          <w:rFonts w:hint="eastAsia" w:ascii="宋体" w:hAnsi="宋体" w:cs="宋体"/>
          <w:color w:val="auto"/>
          <w:sz w:val="24"/>
        </w:rPr>
        <w:t>小时提交书面延期要求。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关于延期最长不得超过：</w:t>
      </w:r>
      <w:r>
        <w:rPr>
          <w:rFonts w:hint="eastAsia" w:ascii="宋体" w:hAnsi="宋体" w:cs="宋体"/>
          <w:b/>
          <w:bCs/>
          <w:color w:val="auto"/>
          <w:sz w:val="24"/>
          <w:u w:val="single"/>
        </w:rPr>
        <w:t xml:space="preserve"> 48 </w:t>
      </w:r>
      <w:r>
        <w:rPr>
          <w:rFonts w:hint="eastAsia" w:ascii="宋体" w:hAnsi="宋体" w:cs="宋体"/>
          <w:color w:val="auto"/>
          <w:sz w:val="24"/>
        </w:rPr>
        <w:t>小时。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6、安全文明施工与环境保护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6.1安全文明施工</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6.1.1项目安全生产的达标目标及相应事项的约定：</w:t>
      </w:r>
      <w:r>
        <w:rPr>
          <w:rFonts w:hint="eastAsia" w:ascii="宋体" w:hAnsi="宋体" w:cs="宋体"/>
          <w:b/>
          <w:bCs/>
          <w:color w:val="auto"/>
          <w:sz w:val="24"/>
          <w:u w:val="single"/>
        </w:rPr>
        <w:t>施工现场按照《建筑施工安全检查标准》（JGJ59-2011）评定达到“合格”标准。</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6.1.4关于治安保卫的特别约定：</w:t>
      </w:r>
      <w:r>
        <w:rPr>
          <w:rFonts w:hint="eastAsia" w:ascii="宋体" w:hAnsi="宋体" w:cs="宋体"/>
          <w:b/>
          <w:bCs/>
          <w:color w:val="auto"/>
          <w:sz w:val="24"/>
          <w:u w:val="single"/>
        </w:rPr>
        <w:t>由承包人与当地公安部门协商，在现场建立治安管理机构或联防组织，统一管理施工场地的治安保卫事项，履行合同工程的治安保卫职责，发包人做好配合。</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关于编制施工场地治安管理计划的约定：</w:t>
      </w:r>
      <w:r>
        <w:rPr>
          <w:rFonts w:hint="eastAsia" w:ascii="宋体" w:hAnsi="宋体" w:cs="宋体"/>
          <w:b/>
          <w:bCs/>
          <w:color w:val="auto"/>
          <w:sz w:val="24"/>
          <w:u w:val="single"/>
        </w:rPr>
        <w:t>由承包人在开工后7日内编制施工场地治安管理计划，制定应对突发治安事件的紧急预案。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6.1.5文明施工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合同当事人对文明施工的要求：</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（1）遵守地方政府和有关部门对施工场地交通、环卫、安全和施工噪音等管理规定，并办理相关审批手续。</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（2）</w:t>
      </w:r>
      <w:r>
        <w:rPr>
          <w:rFonts w:hint="eastAsia" w:ascii="宋体" w:hAnsi="宋体" w:cs="宋体"/>
          <w:b/>
          <w:color w:val="auto"/>
          <w:sz w:val="24"/>
          <w:u w:val="single"/>
        </w:rPr>
        <w:t>施工时承包人应严格遵守施工现场管理规定，服从物业单位的管理，采取有效措施尽量减小尘土和噪音污染。</w:t>
      </w:r>
      <w:r>
        <w:rPr>
          <w:rFonts w:hint="eastAsia" w:ascii="宋体" w:hAnsi="宋体" w:cs="宋体"/>
          <w:b/>
          <w:bCs/>
          <w:color w:val="auto"/>
          <w:kern w:val="0"/>
          <w:sz w:val="24"/>
          <w:u w:val="single"/>
        </w:rPr>
        <w:t xml:space="preserve"> </w:t>
      </w:r>
    </w:p>
    <w:p>
      <w:pPr>
        <w:pStyle w:val="727"/>
        <w:spacing w:line="360" w:lineRule="auto"/>
        <w:ind w:firstLine="482" w:firstLineChars="200"/>
        <w:jc w:val="both"/>
        <w:rPr>
          <w:rFonts w:hint="eastAsia" w:cs="宋体"/>
          <w:b/>
          <w:color w:val="auto"/>
          <w:kern w:val="2"/>
          <w:szCs w:val="24"/>
          <w:u w:val="single"/>
        </w:rPr>
      </w:pPr>
      <w:r>
        <w:rPr>
          <w:rFonts w:hint="eastAsia" w:cs="宋体"/>
          <w:b/>
          <w:color w:val="auto"/>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pPr>
        <w:pStyle w:val="727"/>
        <w:spacing w:line="360" w:lineRule="auto"/>
        <w:ind w:firstLine="482" w:firstLineChars="200"/>
        <w:jc w:val="both"/>
        <w:rPr>
          <w:rFonts w:hint="eastAsia" w:cs="宋体"/>
          <w:b/>
          <w:color w:val="auto"/>
          <w:kern w:val="2"/>
          <w:szCs w:val="24"/>
          <w:u w:val="single"/>
        </w:rPr>
      </w:pPr>
      <w:r>
        <w:rPr>
          <w:rFonts w:hint="eastAsia" w:cs="宋体"/>
          <w:b/>
          <w:color w:val="auto"/>
          <w:kern w:val="2"/>
          <w:szCs w:val="24"/>
          <w:u w:val="single"/>
        </w:rPr>
        <w:t>如因发包人原因导致施工暂停时间较多通过夜间加班也无法确保工期的，工期延长时间须经发包人、监理人审核同意。</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（4）承包人应对进入施工现场的施工人员进行人员安全文明施工教育，配备必须的劳动保护用具，保证工程的施工安全和人身安全。</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color w:val="auto"/>
          <w:sz w:val="24"/>
          <w:u w:val="single"/>
        </w:rPr>
        <w:t>上述扣款在工程进度款中逐期扣除。</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color w:val="auto"/>
          <w:sz w:val="24"/>
          <w:u w:val="single"/>
        </w:rPr>
        <w:t>上述扣款在工程进度款中逐期扣除</w:t>
      </w:r>
      <w:r>
        <w:rPr>
          <w:rFonts w:hint="eastAsia" w:ascii="宋体" w:hAnsi="宋体" w:cs="宋体"/>
          <w:b/>
          <w:bCs/>
          <w:color w:val="auto"/>
          <w:kern w:val="0"/>
          <w:sz w:val="24"/>
          <w:u w:val="single"/>
        </w:rPr>
        <w:t>。</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（7）发包人或监理工程师有权对承包人的安全施工状况进行检查，发现有违反安全施工情况的，有权提出整改要求，承包人须按要求进行整改。</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（8）上述手续办理费用约定如下： 由承包人承担。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6.1.6关于安全文明施工费支付比例和支付期限的约定，按以下</w:t>
      </w:r>
      <w:r>
        <w:rPr>
          <w:rFonts w:hint="eastAsia" w:ascii="宋体" w:hAnsi="宋体" w:cs="宋体"/>
          <w:color w:val="auto"/>
          <w:sz w:val="24"/>
          <w:u w:val="single"/>
        </w:rPr>
        <w:t>第（1）种方式</w:t>
      </w:r>
      <w:r>
        <w:rPr>
          <w:rFonts w:hint="eastAsia" w:ascii="宋体" w:hAnsi="宋体" w:cs="宋体"/>
          <w:color w:val="auto"/>
          <w:sz w:val="24"/>
        </w:rPr>
        <w:t>约定：</w:t>
      </w:r>
    </w:p>
    <w:p>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u w:val="single"/>
        </w:rPr>
        <w:t>（1）安全文明施工费总额的60%包含在工程预付款中支付，剩余部分根据工程进度在进度款中支付</w:t>
      </w:r>
      <w:r>
        <w:rPr>
          <w:rFonts w:hint="eastAsia" w:ascii="宋体" w:hAnsi="宋体" w:cs="宋体"/>
          <w:b/>
          <w:bCs/>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u w:val="single"/>
        </w:rPr>
        <w:t xml:space="preserve">（2）其他： / </w:t>
      </w:r>
      <w:r>
        <w:rPr>
          <w:rFonts w:hint="eastAsia" w:ascii="宋体" w:hAnsi="宋体" w:cs="宋体"/>
          <w:color w:val="auto"/>
          <w:kern w:val="0"/>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7、工期和进度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7.1施工组织设计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7.1.1合</w:t>
      </w:r>
      <w:r>
        <w:rPr>
          <w:rFonts w:hint="eastAsia" w:ascii="宋体" w:hAnsi="宋体" w:cs="宋体"/>
          <w:color w:val="auto"/>
          <w:kern w:val="0"/>
          <w:sz w:val="24"/>
        </w:rPr>
        <w:t>同当事人约定的施工组织设计应包括的其他内容：</w:t>
      </w:r>
      <w:r>
        <w:rPr>
          <w:rFonts w:hint="eastAsia" w:ascii="宋体" w:hAnsi="宋体" w:cs="宋体"/>
          <w:b/>
          <w:bCs/>
          <w:color w:val="auto"/>
          <w:sz w:val="24"/>
          <w:u w:val="single"/>
        </w:rPr>
        <w:t>按《通用合同条款》7.1.1条执行</w:t>
      </w:r>
      <w:r>
        <w:rPr>
          <w:rFonts w:hint="eastAsia" w:ascii="宋体" w:hAnsi="宋体" w:cs="宋体"/>
          <w:color w:val="auto"/>
          <w:sz w:val="24"/>
        </w:rPr>
        <w:t>。</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7.1.2</w:t>
      </w:r>
      <w:r>
        <w:rPr>
          <w:rFonts w:hint="eastAsia" w:ascii="宋体" w:hAnsi="宋体" w:cs="宋体"/>
          <w:color w:val="auto"/>
          <w:kern w:val="0"/>
          <w:sz w:val="24"/>
        </w:rPr>
        <w:t>施工组织设计的提交和修改</w:t>
      </w:r>
    </w:p>
    <w:p>
      <w:pPr>
        <w:autoSpaceDE w:val="0"/>
        <w:autoSpaceDN w:val="0"/>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承包人提交详细施工组织设计的期限的约定：</w:t>
      </w:r>
      <w:r>
        <w:rPr>
          <w:rFonts w:hint="eastAsia" w:ascii="宋体" w:hAnsi="宋体" w:cs="宋体"/>
          <w:b/>
          <w:bCs/>
          <w:color w:val="auto"/>
          <w:sz w:val="24"/>
          <w:u w:val="single"/>
        </w:rPr>
        <w:t>合同签订后5天内提供详细施工组织设计（施工方案）和进度计划。</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发包人和监理人在收到详细的施工组织设计后确认或提出修改意见的期限：</w:t>
      </w:r>
      <w:r>
        <w:rPr>
          <w:rFonts w:hint="eastAsia" w:ascii="宋体" w:hAnsi="宋体" w:cs="宋体"/>
          <w:b/>
          <w:bCs/>
          <w:color w:val="auto"/>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7.2施工进度计划</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7.2.2施工进度计划的修订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发包人和监理人在收到修订的施工进度计划后确认或提出修改意见的期限：</w:t>
      </w:r>
      <w:r>
        <w:rPr>
          <w:rFonts w:hint="eastAsia" w:ascii="宋体" w:hAnsi="宋体" w:cs="宋体"/>
          <w:b/>
          <w:bCs/>
          <w:color w:val="auto"/>
          <w:sz w:val="24"/>
          <w:u w:val="single"/>
        </w:rPr>
        <w:t>收到完整资料后7天内确认或提出修改意见。</w:t>
      </w:r>
      <w:r>
        <w:rPr>
          <w:rFonts w:hint="eastAsia" w:ascii="宋体" w:hAnsi="宋体" w:cs="宋体"/>
          <w:color w:val="auto"/>
          <w:sz w:val="24"/>
        </w:rPr>
        <w:t>发包人、监理单位对施工进度计划的确认是对施工进度计划可行性的确认，并不是对所涉费用的确认，也不免除承包人对施工进度计划应承担的责任。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7.3开工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7.3.1开工准备</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关于承包人提交</w:t>
      </w:r>
      <w:r>
        <w:rPr>
          <w:rFonts w:hint="eastAsia" w:ascii="宋体" w:hAnsi="宋体" w:cs="宋体"/>
          <w:color w:val="auto"/>
          <w:kern w:val="0"/>
          <w:sz w:val="24"/>
        </w:rPr>
        <w:t>工程开工报审表的期限：</w:t>
      </w:r>
      <w:r>
        <w:rPr>
          <w:rFonts w:hint="eastAsia" w:ascii="宋体" w:hAnsi="宋体" w:cs="宋体"/>
          <w:b/>
          <w:bCs/>
          <w:color w:val="auto"/>
          <w:sz w:val="24"/>
          <w:u w:val="single"/>
        </w:rPr>
        <w:t>开工日期前7天。</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关于发包人应完成的其他开工准备工作及期限：</w:t>
      </w:r>
      <w:r>
        <w:rPr>
          <w:rFonts w:hint="eastAsia" w:ascii="宋体" w:hAnsi="宋体" w:cs="宋体"/>
          <w:b/>
          <w:bCs/>
          <w:color w:val="auto"/>
          <w:sz w:val="24"/>
          <w:u w:val="single"/>
        </w:rPr>
        <w:t>开工日期前7天。</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关于承包人应完成的其他开工准备工作及期限：</w:t>
      </w:r>
      <w:r>
        <w:rPr>
          <w:rFonts w:hint="eastAsia" w:ascii="宋体" w:hAnsi="宋体" w:cs="宋体"/>
          <w:b/>
          <w:bCs/>
          <w:color w:val="auto"/>
          <w:sz w:val="24"/>
          <w:u w:val="single"/>
        </w:rPr>
        <w:t>开工日期前7天。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7.3.2开工通知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因发包人原因造成监理人未能在计划开工日期之日起</w:t>
      </w:r>
      <w:r>
        <w:rPr>
          <w:rFonts w:hint="eastAsia" w:ascii="宋体" w:hAnsi="宋体" w:cs="宋体"/>
          <w:b/>
          <w:bCs/>
          <w:color w:val="auto"/>
          <w:sz w:val="24"/>
          <w:u w:val="single"/>
        </w:rPr>
        <w:t xml:space="preserve"> 90 </w:t>
      </w:r>
      <w:r>
        <w:rPr>
          <w:rFonts w:hint="eastAsia" w:ascii="宋体" w:hAnsi="宋体" w:cs="宋体"/>
          <w:color w:val="auto"/>
          <w:sz w:val="24"/>
        </w:rPr>
        <w:t>天内发出开工通知的，承包人有权提出价格调整要求，或者解除合同。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7.4测量放线</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7.4.1发包人通过监理人向承包人提供测量基准点、基准线和水准点及其书面资料的期限：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7.5工期延误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7.5.1因发包人原因导致工期延误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（7）因发包人原因导致工期延误的其他情形：</w:t>
      </w:r>
      <w:r>
        <w:rPr>
          <w:rFonts w:hint="eastAsia" w:ascii="宋体" w:hAnsi="宋体" w:cs="宋体"/>
          <w:color w:val="auto"/>
          <w:sz w:val="24"/>
          <w:u w:val="single"/>
        </w:rPr>
        <w:t xml:space="preserve"> /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①重大设计变更引起的工期延误；</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②其他：不可抗力。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7.5.2因承包人原因导致工期延误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因承包人原因造成工期延误，逾期竣工违约金的计算方法为：</w:t>
      </w:r>
      <w:r>
        <w:rPr>
          <w:rFonts w:hint="eastAsia" w:ascii="宋体" w:hAnsi="宋体" w:cs="宋体"/>
          <w:b/>
          <w:bCs/>
          <w:color w:val="auto"/>
          <w:sz w:val="24"/>
          <w:u w:val="single"/>
        </w:rPr>
        <w:t>因承包人原因造成延误工期每延误一天，扣罚2000元</w:t>
      </w:r>
      <w:r>
        <w:rPr>
          <w:rFonts w:hint="eastAsia" w:ascii="宋体" w:hAnsi="宋体" w:cs="宋体"/>
          <w:color w:val="auto"/>
          <w:sz w:val="24"/>
          <w:u w:val="single"/>
        </w:rPr>
        <w:t>。</w:t>
      </w:r>
      <w:r>
        <w:rPr>
          <w:rFonts w:hint="eastAsia" w:ascii="宋体" w:hAnsi="宋体" w:cs="宋体"/>
          <w:color w:val="auto"/>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因承包人原因造成工期延误，逾期竣工违约金的上限：</w:t>
      </w:r>
      <w:r>
        <w:rPr>
          <w:rFonts w:hint="eastAsia" w:ascii="宋体" w:hAnsi="宋体" w:cs="宋体"/>
          <w:b/>
          <w:bCs/>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7.6不利物质条件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不利物质条件的其他情形和有关约定：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（1）施工场地周围地下管线  </w:t>
      </w:r>
      <w:r>
        <w:rPr>
          <w:rFonts w:hint="eastAsia" w:ascii="宋体" w:hAnsi="宋体" w:cs="宋体"/>
          <w:b/>
          <w:bCs/>
          <w:color w:val="auto"/>
          <w:sz w:val="24"/>
        </w:rPr>
        <w:t>；</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（2）地下障碍物和污染物  </w:t>
      </w:r>
      <w:r>
        <w:rPr>
          <w:rFonts w:hint="eastAsia" w:ascii="宋体" w:hAnsi="宋体" w:cs="宋体"/>
          <w:b/>
          <w:bCs/>
          <w:color w:val="auto"/>
          <w:sz w:val="24"/>
        </w:rPr>
        <w:t>；</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（3）其他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7.7异常恶劣的气候条件</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发包人和承包人同意以下情形视为异常恶劣的气候条件：</w:t>
      </w:r>
      <w:r>
        <w:rPr>
          <w:rFonts w:hint="eastAsia" w:ascii="宋体" w:hAnsi="宋体" w:cs="宋体"/>
          <w:b/>
          <w:bCs/>
          <w:color w:val="auto"/>
          <w:sz w:val="24"/>
          <w:u w:val="single"/>
        </w:rPr>
        <w:t>持续半小时10级及10级以上的台风、3小时内降雨量达50毫米、6小时内降雪量达15毫米、日气温超过40度或低于零下10度</w:t>
      </w:r>
      <w:r>
        <w:rPr>
          <w:rFonts w:hint="eastAsia" w:ascii="宋体" w:hAnsi="宋体" w:cs="宋体"/>
          <w:b/>
          <w:bCs/>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7.8提前竣工的奖励</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7.8.2提前竣工的奖励：</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8、材料与设备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8.4材料与工程设备的保管与使用</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8.4.1发包人供应的材料设备的保管费用的承担：</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8.6样品</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8.6.1样品的报送与封存</w:t>
      </w:r>
    </w:p>
    <w:p>
      <w:pPr>
        <w:autoSpaceDE w:val="0"/>
        <w:autoSpaceDN w:val="0"/>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需要承包人报送样品的材料或工程设备，样品的种类、名称、规格、数量要求：</w:t>
      </w:r>
      <w:r>
        <w:rPr>
          <w:rFonts w:hint="eastAsia" w:ascii="宋体" w:hAnsi="宋体" w:cs="宋体"/>
          <w:b/>
          <w:bCs/>
          <w:color w:val="auto"/>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8.8施工设备和临时设施</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8.8.1承包人提供的施工设备和临时设施</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关于修建临时设施费用承担的约定：</w:t>
      </w:r>
      <w:r>
        <w:rPr>
          <w:rFonts w:hint="eastAsia" w:ascii="宋体" w:hAnsi="宋体" w:cs="宋体"/>
          <w:b/>
          <w:bCs/>
          <w:color w:val="auto"/>
          <w:sz w:val="24"/>
          <w:u w:val="single"/>
        </w:rPr>
        <w:t>由承包人自行考虑，相关费用计入报价。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9、试验与检验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9.1试验设备与试验人员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9.1.2试验设备</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施工现场需要配置的试验场所：</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由承包人提供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施工现场需要配备的试验设备：</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由承包人提供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施工现场需要具备的其他试验条件：</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由承包人提供 </w:t>
      </w:r>
    </w:p>
    <w:p>
      <w:pPr>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9.3</w:t>
      </w:r>
      <w:r>
        <w:rPr>
          <w:rFonts w:hint="eastAsia" w:ascii="宋体" w:hAnsi="宋体" w:cs="宋体"/>
          <w:color w:val="auto"/>
          <w:kern w:val="0"/>
          <w:sz w:val="24"/>
        </w:rPr>
        <w:t>材料、工程设备和工程的试验和检验</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kern w:val="0"/>
          <w:sz w:val="24"/>
        </w:rPr>
        <w:t>试验、检测单位资质条件约定：</w:t>
      </w:r>
      <w:r>
        <w:rPr>
          <w:rFonts w:hint="eastAsia" w:ascii="宋体" w:hAnsi="宋体" w:cs="宋体"/>
          <w:b/>
          <w:bCs/>
          <w:color w:val="auto"/>
          <w:sz w:val="24"/>
          <w:u w:val="single"/>
        </w:rPr>
        <w:t>按有关规定执行；</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kern w:val="0"/>
          <w:sz w:val="24"/>
        </w:rPr>
        <w:t>试验、检测单位选择约定：</w:t>
      </w:r>
      <w:r>
        <w:rPr>
          <w:rFonts w:hint="eastAsia" w:ascii="宋体" w:hAnsi="宋体" w:cs="宋体"/>
          <w:b/>
          <w:bCs/>
          <w:color w:val="auto"/>
          <w:sz w:val="24"/>
          <w:u w:val="single"/>
        </w:rPr>
        <w:t>报监理及发包人审核批准；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试验、检测费用约定：</w:t>
      </w:r>
      <w:r>
        <w:rPr>
          <w:rFonts w:hint="eastAsia" w:ascii="宋体" w:hAnsi="宋体" w:cs="宋体"/>
          <w:b/>
          <w:bCs/>
          <w:color w:val="auto"/>
          <w:sz w:val="24"/>
          <w:u w:val="single"/>
        </w:rPr>
        <w:t xml:space="preserve"> 按有关规定执行。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9.4 现场工艺试验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现场工艺试验的有关约定：</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按通用条款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10.1变更的范围</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关于变更的范围的约定：</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按通用条款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10.1.1关于变更范围的约定：按照《杭州市政府投资项目工程变更管理暂行办法》（杭财建[2013]1246号）中工程变更的相关规定。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10.1.2因承包人擅自变更设计发生的费用和由此导致发包人的直接损失，由承包人承担，延误的工期不予顺延。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10.1.3承包人提出的合理化建议涉及到的工程变更，须经发包人同意并办理相关变更审查手续。未经同意擅自更改的，承包人承担由此产生的费用，并赔偿发包人的有关损失，延误的工期不予顺延。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10.4变更估价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10.4.1变更估价原则</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关于变更估价的约定: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（1）已标价工程量清单或预算书有相同项目的，按照相同项目单价确定。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（2）已标价工程量清单或预算书中无相同项目，但有类似项目的，参照类似项目的单价确定。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②清单项目某一特征或工程内容变化，不影响其他特征及工程内容价格的，其他特征组合标准不变，仅调整发生变化的组合子目价格。</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（3）已标价工程量清单或预算书中无相同项目及类似项目单价的，其单价的确定，按以下约定：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按照《建设工程工程量清单计价规范》（GB50500-2013）9.6.2条规定，增加部分的工程量的综合单价应予调低，减少后剩余部分的工程量的综合单价应予调高，可按下列公式调整:</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凡合价金额占合同总价2%及以上的分部分项清单项目，</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①当Q1&gt;1.15Q0时:    S=1.15Q0×P0+（Q1-1.15 Q0）×P1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②当Q1&lt;0.85Q0时:    S=Q1×P1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凡合价金额占合同总价不到2%的分部分项清单项目，</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③当Q1&gt;1.25Q0时:    S=1.25Q0×P0+（Q1-1.25 Q0）×P1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④当Q1&lt;0.75Q0时:    S=Q1×P1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式中 S——调整后某一分部分项工程费结算价；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Q1——最终完成的工程量；</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Q0——招标工程量清单中列出的工程量；</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P0——承包人在已标价工程量清单中填报的综合单价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P1——按照最终完成工程量重新调整后的综合单价，按本合同第10.4.1条（3）款计算结果和P0比较，在工程量增加时，若计算结果大于P0的,取 P1= P0，在工程量减少时，若计算结果小于P0的,取P1= P0。</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（5）其他：</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②工程变更管理按《杭州市政府投资项目工程变更管理暂行办法》（杭财建[2013]1246号）执行，未履行规定程序的联系单，不得纳入工程结算。</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pPr>
        <w:spacing w:line="360" w:lineRule="auto"/>
        <w:ind w:firstLine="482" w:firstLineChars="200"/>
        <w:rPr>
          <w:rFonts w:hint="eastAsia" w:ascii="宋体" w:hAnsi="宋体" w:cs="宋体"/>
          <w:color w:val="auto"/>
          <w:sz w:val="24"/>
          <w:u w:val="single"/>
        </w:rPr>
      </w:pPr>
      <w:r>
        <w:rPr>
          <w:rFonts w:hint="eastAsia" w:ascii="宋体" w:hAnsi="宋体" w:cs="宋体"/>
          <w:b/>
          <w:bCs/>
          <w:color w:val="auto"/>
          <w:sz w:val="24"/>
          <w:u w:val="single"/>
        </w:rPr>
        <w:t>⑥发包人与承包人在询标过程中，涉及到合同价款结算有须明确或澄清的事项包括：</w:t>
      </w:r>
      <w:r>
        <w:rPr>
          <w:rFonts w:hint="eastAsia" w:ascii="宋体" w:hAnsi="宋体" w:cs="宋体"/>
          <w:color w:val="auto"/>
          <w:sz w:val="24"/>
          <w:u w:val="single"/>
        </w:rPr>
        <w:t xml:space="preserve">   /   </w:t>
      </w:r>
    </w:p>
    <w:p>
      <w:pPr>
        <w:spacing w:line="360" w:lineRule="auto"/>
        <w:ind w:firstLine="482" w:firstLineChars="200"/>
        <w:rPr>
          <w:rFonts w:hint="eastAsia" w:ascii="宋体" w:hAnsi="宋体" w:cs="宋体"/>
          <w:color w:val="auto"/>
          <w:sz w:val="24"/>
          <w:u w:val="single"/>
        </w:rPr>
      </w:pPr>
      <w:r>
        <w:rPr>
          <w:rFonts w:hint="eastAsia" w:ascii="宋体" w:hAnsi="宋体" w:cs="宋体"/>
          <w:b/>
          <w:color w:val="auto"/>
          <w:sz w:val="24"/>
          <w:u w:val="single"/>
        </w:rPr>
        <w:t>⑦本工程结算造价以国家审计或财政评审为准。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10.5承包人的合理化建议</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监理人审查承包人合理化建议的期限：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发包人审批承包人合理化建议的期限：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承包人提出的合理化建议降低了合同价格或者提高了工程经济效益的奖励的方法和金额为：</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10.7暂估价</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暂估价材料和工程设备的明细详见附件11：《</w:t>
      </w:r>
      <w:r>
        <w:rPr>
          <w:rFonts w:hint="eastAsia" w:ascii="宋体" w:hAnsi="宋体" w:cs="宋体"/>
          <w:color w:val="auto"/>
          <w:sz w:val="24"/>
        </w:rPr>
        <w:t>暂估价一览表》</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10.7.1依法必须招标的暂估价项目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对于依法必须招标的暂估价项目的确认和批准采取第</w:t>
      </w:r>
      <w:r>
        <w:rPr>
          <w:rFonts w:hint="eastAsia" w:ascii="宋体" w:hAnsi="宋体" w:cs="宋体"/>
          <w:color w:val="auto"/>
          <w:sz w:val="24"/>
          <w:u w:val="single"/>
        </w:rPr>
        <w:t xml:space="preserve">  /  </w:t>
      </w:r>
      <w:r>
        <w:rPr>
          <w:rFonts w:hint="eastAsia" w:ascii="宋体" w:hAnsi="宋体" w:cs="宋体"/>
          <w:color w:val="auto"/>
          <w:sz w:val="24"/>
        </w:rPr>
        <w:t>种方式确定。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10.7.2不属于依法必须招标的暂估价项目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对于不属于依法必须招标的暂估价项目的确认和批准采取第</w:t>
      </w:r>
      <w:r>
        <w:rPr>
          <w:rFonts w:hint="eastAsia" w:ascii="宋体" w:hAnsi="宋体" w:cs="宋体"/>
          <w:color w:val="auto"/>
          <w:sz w:val="24"/>
          <w:u w:val="single"/>
        </w:rPr>
        <w:t xml:space="preserve">  /  </w:t>
      </w:r>
      <w:r>
        <w:rPr>
          <w:rFonts w:hint="eastAsia" w:ascii="宋体" w:hAnsi="宋体" w:cs="宋体"/>
          <w:color w:val="auto"/>
          <w:sz w:val="24"/>
        </w:rPr>
        <w:t>种方式确定。</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第3种方式：</w:t>
      </w:r>
      <w:r>
        <w:rPr>
          <w:rFonts w:hint="eastAsia" w:ascii="宋体" w:hAnsi="宋体" w:cs="宋体"/>
          <w:color w:val="auto"/>
          <w:kern w:val="0"/>
          <w:sz w:val="24"/>
        </w:rPr>
        <w:t>承包人直接实施的暂估价项目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承包人直接实施的暂估价项目的约定：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10.8暂列金额</w:t>
      </w:r>
    </w:p>
    <w:p>
      <w:pPr>
        <w:autoSpaceDE w:val="0"/>
        <w:autoSpaceDN w:val="0"/>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合同当事人关于暂列金额使用的约定：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11、价格调整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11.1市场价格波动引起的调整</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市场价格波动是否调整合同价格的约定：</w:t>
      </w:r>
      <w:r>
        <w:rPr>
          <w:rFonts w:hint="eastAsia" w:ascii="宋体" w:hAnsi="宋体" w:cs="宋体"/>
          <w:color w:val="auto"/>
          <w:kern w:val="0"/>
          <w:sz w:val="24"/>
          <w:u w:val="single"/>
        </w:rPr>
        <w:t>调整</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因市场价格波动调整合同价格，采用以下第</w:t>
      </w:r>
      <w:r>
        <w:rPr>
          <w:rFonts w:hint="eastAsia" w:ascii="宋体" w:hAnsi="宋体" w:cs="宋体"/>
          <w:b/>
          <w:bCs/>
          <w:color w:val="auto"/>
          <w:sz w:val="24"/>
          <w:u w:val="single"/>
        </w:rPr>
        <w:t xml:space="preserve">  3   </w:t>
      </w:r>
      <w:r>
        <w:rPr>
          <w:rFonts w:hint="eastAsia" w:ascii="宋体" w:hAnsi="宋体" w:cs="宋体"/>
          <w:color w:val="auto"/>
          <w:sz w:val="24"/>
        </w:rPr>
        <w:t>种方式对合同价格进行调整：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第1种方式：采用价格指数进行价格调整。</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关于各可调因子、定值和变值权重，以及基本价格指数及其来源的约定：</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第2种方式：采用造价信息进行价格调整。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（2）关于基准价格的约定：。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第3种方式：</w:t>
      </w:r>
      <w:r>
        <w:rPr>
          <w:rFonts w:hint="eastAsia" w:ascii="宋体" w:hAnsi="宋体" w:cs="宋体"/>
          <w:b/>
          <w:bCs/>
          <w:color w:val="auto"/>
          <w:sz w:val="24"/>
          <w:u w:val="single"/>
        </w:rPr>
        <w:t>采用政策性文件进行价格调整</w:t>
      </w:r>
      <w:r>
        <w:rPr>
          <w:rFonts w:hint="eastAsia" w:ascii="宋体" w:hAnsi="宋体" w:cs="宋体"/>
          <w:b/>
          <w:bCs/>
          <w:color w:val="auto"/>
          <w:sz w:val="24"/>
        </w:rPr>
        <w:t>。</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政府投资工程因市场价格波动引起的调整：</w:t>
      </w:r>
      <w:r>
        <w:rPr>
          <w:rFonts w:hint="eastAsia" w:ascii="宋体" w:hAnsi="宋体" w:cs="宋体"/>
          <w:color w:val="auto"/>
          <w:kern w:val="0"/>
          <w:sz w:val="24"/>
          <w:u w:val="single"/>
        </w:rPr>
        <w:t>按《关于进一步加强杭州市建设工程市场要素价格动态管理的指导意见》(杭建市发〔2018）579号)文执行。</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其中：</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1、风险范围及幅度的约定：</w:t>
      </w:r>
    </w:p>
    <w:p>
      <w:pPr>
        <w:widowControl/>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（1）人工价格风险幅度为5%；</w:t>
      </w:r>
    </w:p>
    <w:p>
      <w:pPr>
        <w:widowControl/>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（2）单种规格材料价格风险幅度为5%；</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2、材料价款动态调整结算方式采用以下</w:t>
      </w:r>
      <w:r>
        <w:rPr>
          <w:rFonts w:hint="eastAsia" w:ascii="宋体" w:hAnsi="宋体" w:cs="宋体"/>
          <w:color w:val="auto"/>
          <w:sz w:val="24"/>
          <w:u w:val="single"/>
        </w:rPr>
        <w:t xml:space="preserve"> </w:t>
      </w:r>
      <w:r>
        <w:rPr>
          <w:rFonts w:hint="eastAsia" w:ascii="宋体" w:hAnsi="宋体" w:cs="宋体"/>
          <w:b/>
          <w:bCs/>
          <w:color w:val="auto"/>
          <w:sz w:val="24"/>
          <w:u w:val="single"/>
        </w:rPr>
        <w:t>第（3）种方式</w:t>
      </w:r>
      <w:r>
        <w:rPr>
          <w:rFonts w:hint="eastAsia" w:ascii="宋体" w:hAnsi="宋体" w:cs="宋体"/>
          <w:color w:val="auto"/>
          <w:sz w:val="24"/>
          <w:u w:val="single"/>
        </w:rPr>
        <w:t xml:space="preserve"> </w:t>
      </w:r>
      <w:r>
        <w:rPr>
          <w:rFonts w:hint="eastAsia" w:ascii="宋体" w:hAnsi="宋体" w:cs="宋体"/>
          <w:color w:val="auto"/>
          <w:sz w:val="24"/>
        </w:rPr>
        <w:t>约定：</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（1）按时间进度分段结算： /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（2）按工程形象部位(目标)分段结算：/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（3）竣工后一次性结算调价。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①当单种规格材料价格上涨超过约定的风险幅度时，材料差价（正值）=〔合同工期内各月份信息价算术平均值-编制期信息价×（1+风险幅度）〕×单种规格材料用量。</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②当单种规格材料价格下跌超过约定的风险幅度时，材料差价（负值）=〔合同工期内各月份信息价算术平均值-编制期信息价×（1-风险幅度)〕×单种规格材料用量。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3、非承包人原因引起的延期，经发包人、监理单位审批同意顺延后，经批准的顺延工期可计入合同工期，未经审批同意，不得延长合同工期。</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4、承包人办理工程结算时必须向审核部门提供预算软件导出的带有计价软件格式的电子结算文件。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12、合同价格、计量与支付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12.1合同价格形式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1、单价合同。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综合单价包含的风险范围：</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 xml:space="preserve">（1）应由承包人承担的工、料、机在磋商编制期或预算书编制期与合同实施期间所发生的市场价格波动。 </w:t>
      </w:r>
    </w:p>
    <w:p>
      <w:pPr>
        <w:widowControl/>
        <w:spacing w:line="360" w:lineRule="auto"/>
        <w:ind w:firstLine="482" w:firstLineChars="200"/>
        <w:rPr>
          <w:rFonts w:hint="eastAsia" w:ascii="宋体" w:hAnsi="宋体" w:cs="宋体"/>
          <w:color w:val="auto"/>
          <w:kern w:val="0"/>
          <w:sz w:val="24"/>
        </w:rPr>
      </w:pPr>
      <w:r>
        <w:rPr>
          <w:rFonts w:hint="eastAsia" w:ascii="宋体" w:hAnsi="宋体" w:cs="宋体"/>
          <w:b/>
          <w:bCs/>
          <w:color w:val="auto"/>
          <w:kern w:val="0"/>
          <w:sz w:val="24"/>
          <w:u w:val="single"/>
        </w:rPr>
        <w:t>（2）其他：按通用条款</w:t>
      </w:r>
    </w:p>
    <w:p>
      <w:pPr>
        <w:widowControl/>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风险费用的计算方法：</w:t>
      </w:r>
      <w:r>
        <w:rPr>
          <w:rFonts w:hint="eastAsia" w:ascii="宋体" w:hAnsi="宋体" w:cs="宋体"/>
          <w:b/>
          <w:bCs/>
          <w:color w:val="auto"/>
          <w:kern w:val="0"/>
          <w:sz w:val="24"/>
          <w:u w:val="single"/>
        </w:rPr>
        <w:t>风险因素范围内的风险费用不在合同价外另行计列及调整。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风险范围以外合同价格的调整方法：</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（1）市场价格波动引起的调整按本合同11.1约定计算。</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 xml:space="preserve">（2）其他：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2、总价合同。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总价包含的风险范围：</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风险费用的计算方法：</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风险范围以外合同价格的调整方法：</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3、其他价格方式：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 预付款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12.2.1 预付款的支付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预付款支付比例或金额：</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合同总价的</w:t>
      </w:r>
      <w:r>
        <w:rPr>
          <w:rFonts w:hint="eastAsia" w:ascii="宋体" w:hAnsi="宋体" w:cs="宋体"/>
          <w:b/>
          <w:bCs/>
          <w:color w:val="auto"/>
          <w:sz w:val="24"/>
          <w:u w:val="single"/>
          <w:lang w:val="en-US" w:eastAsia="zh-CN"/>
        </w:rPr>
        <w:t>7</w:t>
      </w:r>
      <w:r>
        <w:rPr>
          <w:rFonts w:hint="eastAsia" w:ascii="宋体" w:hAnsi="宋体" w:cs="宋体"/>
          <w:b/>
          <w:bCs/>
          <w:color w:val="auto"/>
          <w:sz w:val="24"/>
          <w:u w:val="single"/>
        </w:rPr>
        <w:t>0%</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预付款支付期限：</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合同签订后且主要施工人员和机械进场后 5个工作日内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预付款扣回的方式：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12.2.2 预付款担保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承包人提交预付款担保的期限：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预付款担保的形式为：</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12.3计量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12.3.1计量原则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工程量计算规则：</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（1）</w:t>
      </w:r>
      <w:r>
        <w:rPr>
          <w:rFonts w:hint="eastAsia" w:ascii="宋体" w:hAnsi="宋体" w:cs="宋体"/>
          <w:b/>
          <w:bCs/>
          <w:color w:val="auto"/>
          <w:sz w:val="24"/>
          <w:u w:val="single"/>
        </w:rPr>
        <w:t xml:space="preserve"> 实行工程量清单计价的工程项目，其工程量的计算规则应按国家标准工程量计算规范及省级行业主管部门颁布的补充规定执行。</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（2）</w:t>
      </w:r>
      <w:r>
        <w:rPr>
          <w:rFonts w:hint="eastAsia" w:ascii="宋体" w:hAnsi="宋体" w:cs="宋体"/>
          <w:b/>
          <w:bCs/>
          <w:color w:val="auto"/>
          <w:sz w:val="24"/>
          <w:u w:val="single"/>
        </w:rPr>
        <w:t>不实行工程量清单计价的工程项目，工程量的计算规则应按省、市行业主管部门颁布的各专业工程定额的工程量计算规则执行。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12.3.2计量周期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关于计量周期的约定：</w:t>
      </w:r>
      <w:r>
        <w:rPr>
          <w:rFonts w:hint="eastAsia" w:ascii="宋体" w:hAnsi="宋体" w:cs="宋体"/>
          <w:b/>
          <w:bCs/>
          <w:color w:val="auto"/>
          <w:sz w:val="24"/>
          <w:u w:val="single"/>
        </w:rPr>
        <w:t>每月25日前提交已完工程量报告</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12.3.3单价合同的计量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关于单价合同计量的约定：</w:t>
      </w:r>
      <w:r>
        <w:rPr>
          <w:rFonts w:hint="eastAsia" w:ascii="宋体" w:hAnsi="宋体" w:cs="宋体"/>
          <w:b/>
          <w:bCs/>
          <w:color w:val="auto"/>
          <w:sz w:val="24"/>
          <w:u w:val="single"/>
        </w:rPr>
        <w:t xml:space="preserve">按通用条款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12.3.4总价合同的计量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关于总价合同计量的约定：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12.3.5总价合同采用支付分解表计量支付的，是否适用第</w:t>
      </w:r>
      <w:r>
        <w:rPr>
          <w:rFonts w:hint="eastAsia" w:ascii="宋体" w:hAnsi="宋体" w:cs="宋体"/>
          <w:color w:val="auto"/>
          <w:kern w:val="0"/>
          <w:sz w:val="24"/>
        </w:rPr>
        <w:t xml:space="preserve">12.3.4 </w:t>
      </w:r>
      <w:r>
        <w:rPr>
          <w:rFonts w:hint="eastAsia" w:ascii="宋体" w:hAnsi="宋体" w:cs="宋体"/>
          <w:color w:val="auto"/>
          <w:sz w:val="24"/>
        </w:rPr>
        <w:t>项</w:t>
      </w:r>
      <w:r>
        <w:rPr>
          <w:rFonts w:hint="eastAsia" w:ascii="宋体" w:hAnsi="宋体" w:cs="宋体"/>
          <w:color w:val="auto"/>
          <w:kern w:val="0"/>
          <w:sz w:val="24"/>
        </w:rPr>
        <w:t>〔总价合同的计量〕</w:t>
      </w:r>
      <w:r>
        <w:rPr>
          <w:rFonts w:hint="eastAsia" w:ascii="宋体" w:hAnsi="宋体" w:cs="宋体"/>
          <w:color w:val="auto"/>
          <w:sz w:val="24"/>
        </w:rPr>
        <w:t>约定进行计量：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12.3.6其他价格形式合同的计量</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其他价格形式的计量方式和程序：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12.4工程进度款支付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12.4.1付款周期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关于付款周期的约定：</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1、合同价款内的工程款支付：</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rPr>
      </w:pPr>
      <w:bookmarkStart w:id="400" w:name="ed_2020Y11M23D15H38M13"/>
      <w:r>
        <w:rPr>
          <w:rFonts w:ascii="宋体" w:hAnsi="宋体"/>
          <w:b/>
          <w:color w:val="auto"/>
          <w:kern w:val="0"/>
          <w:sz w:val="24"/>
          <w:u w:val="single"/>
        </w:rPr>
        <w:t>（1）</w:t>
      </w:r>
      <w:bookmarkEnd w:id="400"/>
      <w:r>
        <w:rPr>
          <w:rFonts w:ascii="宋体" w:hAnsi="宋体"/>
          <w:b/>
          <w:color w:val="auto"/>
          <w:kern w:val="0"/>
          <w:sz w:val="24"/>
          <w:u w:val="single"/>
          <w:lang w:val="zh-CN"/>
        </w:rPr>
        <w:t>合同签</w:t>
      </w:r>
      <w:r>
        <w:rPr>
          <w:rFonts w:hint="eastAsia" w:ascii="宋体" w:hAnsi="宋体"/>
          <w:b/>
          <w:color w:val="auto"/>
          <w:kern w:val="0"/>
          <w:sz w:val="24"/>
          <w:u w:val="single"/>
          <w:lang w:val="zh-CN"/>
        </w:rPr>
        <w:t>订后</w:t>
      </w:r>
      <w:r>
        <w:rPr>
          <w:rFonts w:ascii="宋体" w:hAnsi="宋体"/>
          <w:b/>
          <w:color w:val="auto"/>
          <w:kern w:val="0"/>
          <w:sz w:val="24"/>
          <w:u w:val="single"/>
          <w:lang w:val="zh-CN"/>
        </w:rPr>
        <w:t>支付合同总价的</w:t>
      </w:r>
      <w:r>
        <w:rPr>
          <w:rFonts w:hint="eastAsia" w:ascii="宋体" w:hAnsi="宋体"/>
          <w:b/>
          <w:color w:val="auto"/>
          <w:kern w:val="0"/>
          <w:sz w:val="24"/>
          <w:u w:val="single"/>
          <w:lang w:val="en-US" w:eastAsia="zh-CN"/>
        </w:rPr>
        <w:t>7</w:t>
      </w:r>
      <w:r>
        <w:rPr>
          <w:rFonts w:ascii="宋体" w:hAnsi="宋体"/>
          <w:b/>
          <w:color w:val="auto"/>
          <w:kern w:val="0"/>
          <w:sz w:val="24"/>
          <w:u w:val="single"/>
          <w:lang w:val="zh-CN"/>
        </w:rPr>
        <w:t>0%的预付款</w:t>
      </w:r>
      <w:r>
        <w:rPr>
          <w:rFonts w:hint="eastAsia" w:ascii="宋体" w:hAnsi="宋体"/>
          <w:b/>
          <w:color w:val="auto"/>
          <w:kern w:val="0"/>
          <w:sz w:val="24"/>
          <w:u w:val="single"/>
          <w:lang w:val="zh-CN"/>
        </w:rPr>
        <w:t>；</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lang w:val="zh-CN"/>
        </w:rPr>
      </w:pPr>
      <w:r>
        <w:rPr>
          <w:rFonts w:ascii="宋体" w:hAnsi="宋体"/>
          <w:b/>
          <w:color w:val="auto"/>
          <w:kern w:val="0"/>
          <w:sz w:val="24"/>
          <w:u w:val="single"/>
          <w:lang w:val="zh-CN"/>
        </w:rPr>
        <w:t>（</w:t>
      </w:r>
      <w:r>
        <w:rPr>
          <w:rFonts w:ascii="宋体" w:hAnsi="宋体"/>
          <w:b/>
          <w:color w:val="auto"/>
          <w:kern w:val="0"/>
          <w:sz w:val="24"/>
          <w:u w:val="single"/>
        </w:rPr>
        <w:t>2</w:t>
      </w:r>
      <w:r>
        <w:rPr>
          <w:rFonts w:ascii="宋体" w:hAnsi="宋体"/>
          <w:b/>
          <w:color w:val="auto"/>
          <w:kern w:val="0"/>
          <w:sz w:val="24"/>
          <w:u w:val="single"/>
          <w:lang w:val="zh-CN"/>
        </w:rPr>
        <w:t>）</w:t>
      </w:r>
      <w:r>
        <w:rPr>
          <w:rFonts w:hint="eastAsia" w:ascii="宋体" w:hAnsi="宋体"/>
          <w:b/>
          <w:color w:val="auto"/>
          <w:kern w:val="0"/>
          <w:sz w:val="24"/>
          <w:u w:val="single"/>
          <w:lang w:val="zh-CN"/>
        </w:rPr>
        <w:t>竣工验收合格后并提供完整的竣工结算书及相关资料支付至合同总价的85%（含预付款</w:t>
      </w:r>
      <w:r>
        <w:rPr>
          <w:rFonts w:ascii="宋体" w:hAnsi="宋体"/>
          <w:b/>
          <w:color w:val="auto"/>
          <w:kern w:val="0"/>
          <w:sz w:val="24"/>
          <w:u w:val="single"/>
          <w:lang w:val="zh-CN"/>
        </w:rPr>
        <w:t>5</w:t>
      </w:r>
      <w:r>
        <w:rPr>
          <w:rFonts w:hint="eastAsia" w:ascii="宋体" w:hAnsi="宋体"/>
          <w:b/>
          <w:color w:val="auto"/>
          <w:kern w:val="0"/>
          <w:sz w:val="24"/>
          <w:u w:val="single"/>
          <w:lang w:val="zh-CN"/>
        </w:rPr>
        <w:t>0%）</w:t>
      </w:r>
      <w:r>
        <w:rPr>
          <w:rFonts w:ascii="宋体" w:hAnsi="宋体"/>
          <w:b/>
          <w:color w:val="auto"/>
          <w:kern w:val="0"/>
          <w:sz w:val="24"/>
          <w:u w:val="single"/>
          <w:lang w:val="zh-CN"/>
        </w:rPr>
        <w:t>；</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rPr>
      </w:pPr>
      <w:r>
        <w:rPr>
          <w:rFonts w:ascii="宋体" w:hAnsi="宋体"/>
          <w:b/>
          <w:color w:val="auto"/>
          <w:kern w:val="0"/>
          <w:sz w:val="24"/>
          <w:u w:val="single"/>
        </w:rPr>
        <w:t>（3）工程竣工结算审核完成后，付至结算总价的100%</w:t>
      </w:r>
      <w:r>
        <w:rPr>
          <w:rFonts w:hint="eastAsia" w:ascii="宋体" w:hAnsi="宋体"/>
          <w:b/>
          <w:color w:val="auto"/>
          <w:kern w:val="0"/>
          <w:sz w:val="24"/>
          <w:u w:val="single"/>
        </w:rPr>
        <w:t>。</w:t>
      </w:r>
    </w:p>
    <w:p>
      <w:pPr>
        <w:spacing w:line="360" w:lineRule="auto"/>
        <w:ind w:firstLine="520" w:firstLineChars="216"/>
        <w:rPr>
          <w:rFonts w:hint="eastAsia" w:ascii="宋体" w:hAnsi="宋体"/>
          <w:b/>
          <w:color w:val="auto"/>
          <w:sz w:val="24"/>
          <w:u w:val="single"/>
        </w:rPr>
      </w:pPr>
      <w:r>
        <w:rPr>
          <w:rFonts w:ascii="宋体" w:hAnsi="宋体"/>
          <w:b/>
          <w:color w:val="auto"/>
          <w:sz w:val="24"/>
          <w:u w:val="single"/>
        </w:rPr>
        <w:t>（4）乙方及时上报结算及相应计算依据和明细，现场具备交付条件，工程结算审定确认后并提供等额发票后，在30个工作日内支付至合同结算价的100%。</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lang w:val="zh-CN"/>
        </w:rPr>
      </w:pPr>
      <w:r>
        <w:rPr>
          <w:rFonts w:ascii="宋体" w:hAnsi="宋体"/>
          <w:b/>
          <w:color w:val="auto"/>
          <w:kern w:val="0"/>
          <w:sz w:val="24"/>
          <w:u w:val="single"/>
          <w:lang w:val="zh-CN"/>
        </w:rPr>
        <w:t>（</w:t>
      </w:r>
      <w:r>
        <w:rPr>
          <w:rFonts w:ascii="宋体" w:hAnsi="宋体"/>
          <w:b/>
          <w:color w:val="auto"/>
          <w:kern w:val="0"/>
          <w:sz w:val="24"/>
          <w:u w:val="single"/>
        </w:rPr>
        <w:t>5</w:t>
      </w:r>
      <w:r>
        <w:rPr>
          <w:rFonts w:ascii="宋体" w:hAnsi="宋体"/>
          <w:b/>
          <w:color w:val="auto"/>
          <w:kern w:val="0"/>
          <w:sz w:val="24"/>
          <w:u w:val="single"/>
          <w:lang w:val="zh-CN"/>
        </w:rPr>
        <w:t>）发包人每次支付工程款前，承包人需取得监理、发包人对工程进度、质量、安全的认可，并向发包人开具等额的发票，否则发包人有权顺延支付工程进度款。发票的真实、合法、合规、有效性由承包人负责。因承包人开具的发票不规范、不合法或涉嫌虚开发票引起税务问题的，投标人需向发包人重新开具发票，并赔偿发包人损失，包括但不限于税款、滞纳金、罚款及相关损失等。</w:t>
      </w:r>
    </w:p>
    <w:p>
      <w:pPr>
        <w:widowControl/>
        <w:spacing w:line="360" w:lineRule="auto"/>
        <w:ind w:left="142" w:firstLine="482" w:firstLineChars="200"/>
        <w:rPr>
          <w:rFonts w:hint="eastAsia" w:ascii="宋体" w:hAnsi="宋体" w:cs="Arial"/>
          <w:b/>
          <w:snapToGrid w:val="0"/>
          <w:color w:val="auto"/>
          <w:kern w:val="0"/>
          <w:sz w:val="24"/>
          <w:u w:val="single"/>
        </w:rPr>
      </w:pPr>
      <w:r>
        <w:rPr>
          <w:rFonts w:ascii="宋体" w:hAnsi="宋体" w:cs="Arial"/>
          <w:b/>
          <w:snapToGrid w:val="0"/>
          <w:color w:val="auto"/>
          <w:kern w:val="0"/>
          <w:sz w:val="24"/>
          <w:u w:val="single"/>
        </w:rPr>
        <w:t>2、合同价款外的工程款支付：</w:t>
      </w:r>
    </w:p>
    <w:p>
      <w:pPr>
        <w:widowControl/>
        <w:spacing w:line="360" w:lineRule="auto"/>
        <w:ind w:left="142" w:firstLine="482" w:firstLineChars="200"/>
        <w:rPr>
          <w:rFonts w:hint="eastAsia" w:ascii="宋体" w:hAnsi="宋体" w:cs="Arial"/>
          <w:b/>
          <w:snapToGrid w:val="0"/>
          <w:color w:val="auto"/>
          <w:kern w:val="0"/>
          <w:sz w:val="24"/>
          <w:u w:val="single"/>
        </w:rPr>
      </w:pPr>
      <w:r>
        <w:rPr>
          <w:rFonts w:ascii="宋体" w:hAnsi="宋体" w:cs="Arial"/>
          <w:b/>
          <w:snapToGrid w:val="0"/>
          <w:color w:val="auto"/>
          <w:kern w:val="0"/>
          <w:sz w:val="24"/>
          <w:u w:val="single"/>
        </w:rPr>
        <w:t>在施工进度质量正常的前提下，因工程变更引起合同价款增加但增加部分累计不足原合同价款的10%时，工程款仍按原合同价款支付，增加部分待工程竣工并验收合格经结算审计完毕后一次性付清；因工程变更引起合同价款增减且增减部分累计达到或超过原合同价款的10%时，双方经协商一致后可签订补充协议。</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3、开票约定：</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（1）每次付款前，承包人应提供合法有效的增值税发票并在开票后送达发包人，否则发包人有权拒绝付款。如有质保金，需在结算完成时开具全额发票。</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2）承包人对其开具发票的合规性负责，如果因其开具的发票不合规（包括但不限于以下情形）而导致发包人无法税前扣除或遭受其他损失的，承包人应承担赔偿责任，且发包人有权要求重新开具合法有效的发票。同时发包人有权迟延支付应付款项，且不承担任何违约责任，承包人的各项合同义务仍按合同约定履行：</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•开具虚假、作废等无效发票或者违反国家法律法规开具、提供发票的；</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•开具发票种类错误；开具发票税率与合同约定不符；</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•发票上的信息错误；</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•因乙方迟延送达、开具错误等原因造成发票认证失败；</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•其他不符合开具发票、提供发票的情形。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12.4.2进度付款申请单的编制</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关于进度付款申请单编制的约定：</w:t>
      </w:r>
      <w:r>
        <w:rPr>
          <w:rFonts w:hint="eastAsia" w:ascii="宋体" w:hAnsi="宋体" w:cs="宋体"/>
          <w:b/>
          <w:bCs/>
          <w:color w:val="auto"/>
          <w:sz w:val="24"/>
          <w:u w:val="single"/>
        </w:rPr>
        <w:t>不考虑因变更、索赔、合同约定应增加的金额。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12.4.3进度付款申请单的提交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（1）单价合同进度付款申请单提交的约定：</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（2）总价合同进度付款申请单提交的约定：</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（3）其他价格形式合同进度付款申请单提交的约定：</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12.4.4进度款审核和支付</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（1）监理人审查并报送发包人的期限：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发包人完成审批并签发进度款支付证书的期限：</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（2）发包人支付进度款的期限：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发包人逾期支付进度款的违约金的计算方式：</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12.4.6支付分解表的编制</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2、总价合同支付分解表的编制与审批：</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3、单价合同的总价项目支付分解表的编制与审批：</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13、验收和工程试车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13.1分部分项工程验收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13.1.2监理人不能按时进行验收时，应提前</w:t>
      </w:r>
      <w:r>
        <w:rPr>
          <w:rFonts w:hint="eastAsia" w:ascii="宋体" w:hAnsi="宋体" w:cs="宋体"/>
          <w:color w:val="auto"/>
          <w:sz w:val="24"/>
          <w:u w:val="single"/>
        </w:rPr>
        <w:t>24</w:t>
      </w:r>
      <w:r>
        <w:rPr>
          <w:rFonts w:hint="eastAsia" w:ascii="宋体" w:hAnsi="宋体" w:cs="宋体"/>
          <w:color w:val="auto"/>
          <w:sz w:val="24"/>
        </w:rPr>
        <w:t>小时提交书面延期要求。</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 xml:space="preserve">48 </w:t>
      </w:r>
      <w:r>
        <w:rPr>
          <w:rFonts w:hint="eastAsia" w:ascii="宋体" w:hAnsi="宋体" w:cs="宋体"/>
          <w:color w:val="auto"/>
          <w:sz w:val="24"/>
        </w:rPr>
        <w:t>小时。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13.2竣工验收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13.2.2竣工验收程序</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关于竣工验收程序的约定：</w:t>
      </w:r>
      <w:r>
        <w:rPr>
          <w:rFonts w:hint="eastAsia" w:ascii="宋体" w:hAnsi="宋体" w:cs="宋体"/>
          <w:b/>
          <w:bCs/>
          <w:color w:val="auto"/>
          <w:sz w:val="24"/>
          <w:u w:val="single"/>
        </w:rPr>
        <w:t xml:space="preserve">按通用条款执行。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发包人不按照本项约定组织竣工验收、颁发工程接收证书的违约金的计算方法：</w:t>
      </w:r>
      <w:r>
        <w:rPr>
          <w:rFonts w:hint="eastAsia" w:ascii="宋体" w:hAnsi="宋体" w:cs="宋体"/>
          <w:color w:val="auto"/>
          <w:kern w:val="0"/>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13.2.5移交、接收全部与部分工程</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承包人向发包人移交工程的期限：</w:t>
      </w:r>
      <w:r>
        <w:rPr>
          <w:rFonts w:hint="eastAsia" w:ascii="宋体" w:hAnsi="宋体" w:cs="宋体"/>
          <w:b/>
          <w:bCs/>
          <w:color w:val="auto"/>
          <w:sz w:val="24"/>
          <w:u w:val="single"/>
        </w:rPr>
        <w:t xml:space="preserve">按通用条款执行。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发包人未按本合同约定接收全部或部分工程的，违约金的计算方法为：</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承包人未按时移交工程的，违约金的计算方法为：</w:t>
      </w:r>
      <w:r>
        <w:rPr>
          <w:rFonts w:hint="eastAsia" w:ascii="宋体" w:hAnsi="宋体" w:cs="宋体"/>
          <w:b/>
          <w:bCs/>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13.3工程试车</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13.3.1试车程序</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kern w:val="0"/>
          <w:sz w:val="24"/>
        </w:rPr>
        <w:t>工程试车内容：</w:t>
      </w:r>
      <w:r>
        <w:rPr>
          <w:rFonts w:hint="eastAsia" w:ascii="宋体" w:hAnsi="宋体" w:cs="宋体"/>
          <w:b/>
          <w:bCs/>
          <w:color w:val="auto"/>
          <w:sz w:val="24"/>
          <w:u w:val="single"/>
        </w:rPr>
        <w:t xml:space="preserve">所有试车费用承包人已在合同价中包干。 </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（1）单机无负荷试车费用由</w:t>
      </w:r>
      <w:r>
        <w:rPr>
          <w:rFonts w:hint="eastAsia" w:ascii="宋体" w:hAnsi="宋体" w:cs="宋体"/>
          <w:color w:val="auto"/>
          <w:sz w:val="24"/>
          <w:u w:val="single"/>
        </w:rPr>
        <w:t xml:space="preserve">   /   </w:t>
      </w:r>
      <w:r>
        <w:rPr>
          <w:rFonts w:hint="eastAsia" w:ascii="宋体" w:hAnsi="宋体" w:cs="宋体"/>
          <w:color w:val="auto"/>
          <w:kern w:val="0"/>
          <w:sz w:val="24"/>
        </w:rPr>
        <w:t>承担；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（2）无负荷联动试车费用由</w:t>
      </w:r>
      <w:r>
        <w:rPr>
          <w:rFonts w:hint="eastAsia" w:ascii="宋体" w:hAnsi="宋体" w:cs="宋体"/>
          <w:color w:val="auto"/>
          <w:sz w:val="24"/>
          <w:u w:val="single"/>
        </w:rPr>
        <w:t xml:space="preserve">   /   </w:t>
      </w:r>
      <w:r>
        <w:rPr>
          <w:rFonts w:hint="eastAsia" w:ascii="宋体" w:hAnsi="宋体" w:cs="宋体"/>
          <w:color w:val="auto"/>
          <w:kern w:val="0"/>
          <w:sz w:val="24"/>
        </w:rPr>
        <w:t>承担。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13.3.3投料试车</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关于投料试车相关事项的约定：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13.6竣工退场</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13.6.1竣工退场</w:t>
      </w:r>
    </w:p>
    <w:p>
      <w:pPr>
        <w:spacing w:line="360" w:lineRule="auto"/>
        <w:ind w:firstLine="480" w:firstLineChars="200"/>
        <w:rPr>
          <w:rFonts w:hint="eastAsia" w:ascii="宋体" w:hAnsi="宋体" w:cs="宋体"/>
          <w:b/>
          <w:bCs/>
          <w:color w:val="auto"/>
          <w:sz w:val="24"/>
        </w:rPr>
      </w:pPr>
      <w:r>
        <w:rPr>
          <w:rFonts w:hint="eastAsia" w:ascii="宋体" w:hAnsi="宋体" w:cs="宋体"/>
          <w:color w:val="auto"/>
          <w:kern w:val="0"/>
          <w:sz w:val="24"/>
        </w:rPr>
        <w:t>承包人完成竣工退场的期限：</w:t>
      </w:r>
      <w:r>
        <w:rPr>
          <w:rFonts w:hint="eastAsia" w:ascii="宋体" w:hAnsi="宋体" w:cs="宋体"/>
          <w:b/>
          <w:bCs/>
          <w:color w:val="auto"/>
          <w:sz w:val="24"/>
          <w:u w:val="single"/>
        </w:rPr>
        <w:t xml:space="preserve">10天内。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14、竣工结算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14.1竣工付款申请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承包人提交竣工付款申请单的期限：</w:t>
      </w:r>
      <w:r>
        <w:rPr>
          <w:rFonts w:hint="eastAsia" w:ascii="宋体" w:hAnsi="宋体" w:cs="宋体"/>
          <w:b/>
          <w:bCs/>
          <w:color w:val="auto"/>
          <w:sz w:val="24"/>
          <w:u w:val="single"/>
        </w:rPr>
        <w:t>工程竣工验收报告经发包人认可后的28天内。</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竣工付款申请单应包括的内容：</w:t>
      </w:r>
      <w:r>
        <w:rPr>
          <w:rFonts w:hint="eastAsia" w:ascii="宋体" w:hAnsi="宋体" w:cs="宋体"/>
          <w:b/>
          <w:bCs/>
          <w:color w:val="auto"/>
          <w:sz w:val="24"/>
          <w:u w:val="single"/>
        </w:rPr>
        <w:t>完整的竣工结算书及相关资料。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14.2竣工结算审核</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14.2.1发包人审批竣工付款申请单的期限：</w:t>
      </w:r>
      <w:r>
        <w:rPr>
          <w:rFonts w:hint="eastAsia" w:ascii="宋体" w:hAnsi="宋体" w:cs="宋体"/>
          <w:b/>
          <w:bCs/>
          <w:color w:val="auto"/>
          <w:sz w:val="24"/>
          <w:u w:val="single"/>
        </w:rPr>
        <w:t>竣工结算书文件核对期限是（承包人未按照前述14.1中约定的时限内递交完整的竣工结算书文件及相关资料的，以下关于核对期限的约定将不对发包人产生效力）：</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（1）工程造价500万元以下的单项工程，从收到完整的竣工结算书之日起（20）工作日；</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（2）工程造价500-2000万元的单项工程，从收到完整的竣工结算书之日起（30）工作日；</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（3）工程造价2000-5000万元的单项工程，从收到完整的竣工结算书之日起（45）工作日；</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（4）工程造价5000万元以上的单项工程，从收到完整的竣工结算书之日起（60）工作日。</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发包人完成竣工付款的期限：</w:t>
      </w:r>
      <w:r>
        <w:rPr>
          <w:rFonts w:hint="eastAsia" w:ascii="宋体" w:hAnsi="宋体" w:cs="宋体"/>
          <w:b/>
          <w:color w:val="auto"/>
          <w:sz w:val="24"/>
          <w:u w:val="single"/>
        </w:rPr>
        <w:t>发包人在收到第三方审计单位出具的竣工结算审计结果文件后1个月内办理工程款结算审批会签。</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关于竣工付款证书异议部分复核的方式和程序：</w:t>
      </w:r>
      <w:r>
        <w:rPr>
          <w:rFonts w:hint="eastAsia" w:ascii="宋体" w:hAnsi="宋体" w:cs="宋体"/>
          <w:b/>
          <w:bCs/>
          <w:color w:val="auto"/>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3、发包人收到承包人再次提交的补充资料和修改的竣工结算文件后，在（20）日内予以复核，修正核对意见，并通知承包人。</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4、发、承包人均对修正核对意见无异议的，应于7日内在竣工结算核对意见上签字确认。</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14.2.3 承包人必须保证施工过程所提出的签证内容是合法的、真实的，并不由于发包人和监理工程师的确认而免除承包人的责任。</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14.2.4承包人未按14.1约定时间提交完整的竣工结算书及相关资料的，违约金的计算方法为：</w:t>
      </w:r>
      <w:r>
        <w:rPr>
          <w:rFonts w:hint="eastAsia" w:ascii="宋体" w:hAnsi="宋体" w:cs="宋体"/>
          <w:b/>
          <w:bCs/>
          <w:color w:val="auto"/>
          <w:sz w:val="24"/>
          <w:u w:val="single"/>
        </w:rPr>
        <w:t>每延误一天扣罚合同总价千分之五，直至扣完合同总价剩余款项为止</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14.4最终结清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14.4.1最终结清申请单</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承包人提交最终结清申请单的份数：</w:t>
      </w:r>
      <w:r>
        <w:rPr>
          <w:rFonts w:hint="eastAsia" w:ascii="宋体" w:hAnsi="宋体" w:cs="宋体"/>
          <w:b/>
          <w:bCs/>
          <w:color w:val="auto"/>
          <w:sz w:val="24"/>
          <w:u w:val="single"/>
        </w:rPr>
        <w:t xml:space="preserve">  两份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承包人提交最终结算申请单的期限：</w:t>
      </w:r>
      <w:r>
        <w:rPr>
          <w:rFonts w:hint="eastAsia" w:ascii="宋体" w:hAnsi="宋体" w:cs="宋体"/>
          <w:b/>
          <w:bCs/>
          <w:color w:val="auto"/>
          <w:sz w:val="24"/>
          <w:u w:val="single"/>
        </w:rPr>
        <w:t xml:space="preserve">保修期满后7天内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14.4.2 最终结清证书和支付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（1）发包人完成最终结清申请单的审批并颁发最终结清证书的期限：</w:t>
      </w:r>
      <w:r>
        <w:rPr>
          <w:rFonts w:hint="eastAsia" w:ascii="宋体" w:hAnsi="宋体" w:cs="宋体"/>
          <w:b/>
          <w:bCs/>
          <w:color w:val="auto"/>
          <w:sz w:val="24"/>
          <w:u w:val="single"/>
        </w:rPr>
        <w:t>收到最终结清申请单后30天内。</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（2）发包人完成支付的期限：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15、缺陷责任期与保修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15.2缺陷责任期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15.3质量保证金</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关于是否扣留质量保证金的约定：</w:t>
      </w:r>
      <w:r>
        <w:rPr>
          <w:rFonts w:hint="eastAsia" w:ascii="宋体" w:hAnsi="宋体" w:cs="宋体"/>
          <w:b/>
          <w:bCs/>
          <w:color w:val="auto"/>
          <w:sz w:val="24"/>
          <w:u w:val="single"/>
        </w:rPr>
        <w:t>否</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 xml:space="preserve">15.3.1 </w:t>
      </w:r>
      <w:r>
        <w:rPr>
          <w:rFonts w:hint="eastAsia" w:ascii="宋体" w:hAnsi="宋体" w:cs="宋体"/>
          <w:color w:val="auto"/>
          <w:sz w:val="24"/>
        </w:rPr>
        <w:t>质量保证金采用以下第</w:t>
      </w:r>
      <w:r>
        <w:rPr>
          <w:rFonts w:hint="eastAsia" w:ascii="宋体" w:hAnsi="宋体" w:cs="宋体"/>
          <w:b/>
          <w:bCs/>
          <w:color w:val="auto"/>
          <w:sz w:val="24"/>
          <w:u w:val="single"/>
        </w:rPr>
        <w:t xml:space="preserve"> </w:t>
      </w:r>
      <w:r>
        <w:rPr>
          <w:rFonts w:hint="eastAsia" w:ascii="宋体" w:hAnsi="宋体" w:cs="宋体"/>
          <w:b/>
          <w:bCs/>
          <w:color w:val="auto"/>
          <w:kern w:val="0"/>
          <w:sz w:val="24"/>
          <w:u w:val="single"/>
        </w:rPr>
        <w:t>/</w:t>
      </w:r>
      <w:r>
        <w:rPr>
          <w:rFonts w:hint="eastAsia" w:ascii="宋体" w:hAnsi="宋体" w:cs="宋体"/>
          <w:b/>
          <w:bCs/>
          <w:color w:val="auto"/>
          <w:sz w:val="24"/>
          <w:u w:val="single"/>
        </w:rPr>
        <w:t xml:space="preserve">  </w:t>
      </w:r>
      <w:r>
        <w:rPr>
          <w:rFonts w:hint="eastAsia" w:ascii="宋体" w:hAnsi="宋体" w:cs="宋体"/>
          <w:color w:val="auto"/>
          <w:sz w:val="24"/>
        </w:rPr>
        <w:t>种方式：</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（1）质量保证金保函，保证金额为：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autoSpaceDE w:val="0"/>
        <w:autoSpaceDN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w:t>
      </w:r>
      <w:r>
        <w:rPr>
          <w:rFonts w:hint="eastAsia" w:ascii="宋体" w:hAnsi="宋体" w:cs="宋体"/>
          <w:b/>
          <w:bCs/>
          <w:color w:val="auto"/>
          <w:sz w:val="24"/>
          <w:u w:val="single"/>
        </w:rPr>
        <w:t>/</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（3）其他方式:</w:t>
      </w:r>
      <w:r>
        <w:rPr>
          <w:rFonts w:hint="eastAsia" w:ascii="宋体" w:hAnsi="宋体" w:cs="宋体"/>
          <w:color w:val="auto"/>
          <w:kern w:val="0"/>
          <w:sz w:val="24"/>
          <w:u w:val="single"/>
        </w:rPr>
        <w:t xml:space="preserve">  / </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15.3.2 质量保证金的扣留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质量保证金的扣留采取以下第</w:t>
      </w:r>
      <w:r>
        <w:rPr>
          <w:rFonts w:hint="eastAsia" w:ascii="宋体" w:hAnsi="宋体" w:cs="宋体"/>
          <w:color w:val="auto"/>
          <w:sz w:val="24"/>
          <w:u w:val="single"/>
        </w:rPr>
        <w:t>/</w:t>
      </w:r>
      <w:r>
        <w:rPr>
          <w:rFonts w:hint="eastAsia" w:ascii="宋体" w:hAnsi="宋体" w:cs="宋体"/>
          <w:color w:val="auto"/>
          <w:sz w:val="24"/>
        </w:rPr>
        <w:t>种方式：</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（1）在支付工程进度款时逐次扣留，在此情形下，质量保证金的计算基数不包括预付款的支付、扣回以及价格调整的金额；</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（2）工程竣工结算时一次性扣留质量保证金；</w:t>
      </w:r>
    </w:p>
    <w:p>
      <w:pPr>
        <w:autoSpaceDE w:val="0"/>
        <w:autoSpaceDN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（3）其他扣留方式：</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关于质量保证金的补充约定：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15.4保修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15.4.1保修责任</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工程保修期为：</w:t>
      </w:r>
      <w:r>
        <w:rPr>
          <w:rFonts w:hint="eastAsia" w:ascii="宋体" w:hAnsi="宋体" w:cs="宋体"/>
          <w:b/>
          <w:bCs/>
          <w:color w:val="auto"/>
          <w:kern w:val="0"/>
          <w:sz w:val="24"/>
          <w:u w:val="single"/>
        </w:rPr>
        <w:t xml:space="preserve">  详见《工程质量保修书》</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15.4.3修复通知</w:t>
      </w:r>
    </w:p>
    <w:p>
      <w:pPr>
        <w:spacing w:line="360" w:lineRule="auto"/>
        <w:ind w:firstLine="480" w:firstLineChars="200"/>
        <w:rPr>
          <w:rFonts w:hint="eastAsia" w:ascii="宋体" w:hAnsi="宋体" w:cs="宋体"/>
          <w:b/>
          <w:bCs/>
          <w:color w:val="auto"/>
          <w:sz w:val="24"/>
        </w:rPr>
      </w:pPr>
      <w:r>
        <w:rPr>
          <w:rFonts w:hint="eastAsia" w:ascii="宋体" w:hAnsi="宋体" w:cs="宋体"/>
          <w:color w:val="auto"/>
          <w:kern w:val="0"/>
          <w:sz w:val="24"/>
        </w:rPr>
        <w:t>承包人收到保修通知并到达工程现场的合理时间：</w:t>
      </w:r>
      <w:r>
        <w:rPr>
          <w:rFonts w:hint="eastAsia" w:ascii="宋体" w:hAnsi="宋体" w:cs="宋体"/>
          <w:b/>
          <w:bCs/>
          <w:color w:val="auto"/>
          <w:kern w:val="0"/>
          <w:sz w:val="24"/>
          <w:u w:val="single"/>
        </w:rPr>
        <w:t xml:space="preserve"> 24小时内</w:t>
      </w:r>
      <w:r>
        <w:rPr>
          <w:rFonts w:hint="eastAsia" w:ascii="宋体" w:hAnsi="宋体" w:cs="宋体"/>
          <w:color w:val="auto"/>
          <w:kern w:val="0"/>
          <w:sz w:val="24"/>
          <w:u w:val="single"/>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16、违约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16.1发包人违约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16.1.1发包人违约的情形</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发包人违约的其他情形：</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16.1.2 发包人违约的责任</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发包人违约责任的承担方式和计算方法：</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（1）因发包人原因未能在计划开工日期前7天内下达开工通知的违约责任：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（2）因发包人原因未能按合同约定支付合同价款的违约责任：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（3）发包人违反第10.1款〔变更的范围〕第（2）项约定，自行实施被取消的工作或转由他人实施的违约责任：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（5）因发包人违反合同约定造成暂停施工的违约责任：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（6）发包人无正当理由没有在约定期限内发出复工指示，导致承包人无法复工的违约责任：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（7）其他：</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16.1.3 因发包人违约解除合同</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承包人按16.1.1项〔发包人违约的情形〕约定暂停施工满</w:t>
      </w:r>
      <w:r>
        <w:rPr>
          <w:rFonts w:hint="eastAsia" w:ascii="宋体" w:hAnsi="宋体" w:cs="宋体"/>
          <w:color w:val="auto"/>
          <w:sz w:val="24"/>
          <w:u w:val="single"/>
        </w:rPr>
        <w:t xml:space="preserve">   /  </w:t>
      </w:r>
      <w:r>
        <w:rPr>
          <w:rFonts w:hint="eastAsia" w:ascii="宋体" w:hAnsi="宋体" w:cs="宋体"/>
          <w:color w:val="auto"/>
          <w:kern w:val="0"/>
          <w:sz w:val="24"/>
        </w:rPr>
        <w:t>天后发包人仍不纠正其违约行为并致使合同目的不能实现的，承包人有权解除合同。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16.2 承包人违约</w:t>
      </w:r>
    </w:p>
    <w:p>
      <w:pPr>
        <w:spacing w:line="360" w:lineRule="auto"/>
        <w:ind w:firstLine="480" w:firstLineChars="200"/>
        <w:rPr>
          <w:rFonts w:hint="eastAsia" w:ascii="宋体" w:hAnsi="宋体" w:cs="宋体"/>
          <w:strike/>
          <w:color w:val="auto"/>
          <w:kern w:val="0"/>
          <w:sz w:val="24"/>
        </w:rPr>
      </w:pPr>
      <w:r>
        <w:rPr>
          <w:rFonts w:hint="eastAsia" w:ascii="宋体" w:hAnsi="宋体" w:cs="宋体"/>
          <w:color w:val="auto"/>
          <w:kern w:val="0"/>
          <w:sz w:val="24"/>
        </w:rPr>
        <w:t xml:space="preserve">16.2.1 承包人违约的情形 </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承包人违约的其他情形：</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16.2.2承包人违约的责任</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kern w:val="0"/>
          <w:sz w:val="24"/>
        </w:rPr>
        <w:t>承包人违约责任的承担方式和计算方法：</w:t>
      </w:r>
      <w:r>
        <w:rPr>
          <w:rFonts w:hint="eastAsia" w:ascii="宋体" w:hAnsi="宋体" w:cs="宋体"/>
          <w:b/>
          <w:bCs/>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16.2.3 因承包人违约解除合同</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关于承包人违约解除合同的特别约定：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发包人继续使用承包人在施工现场的材料、设备、临时工程、承包人文件和由承包人或以其名义编制的其他文件的费用承担方式：</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17、不可抗力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17.1不可抗力的确认</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除通用合同条款约定的不可抗力事件之外，视为不可抗力的其他情形：</w:t>
      </w:r>
      <w:r>
        <w:rPr>
          <w:rFonts w:hint="eastAsia" w:ascii="宋体" w:hAnsi="宋体" w:cs="宋体"/>
          <w:b/>
          <w:bCs/>
          <w:color w:val="auto"/>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17.4因不可抗力解除合同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合同解除后，发包人应在商定或确定发包人应支付款项后</w:t>
      </w:r>
      <w:r>
        <w:rPr>
          <w:rFonts w:hint="eastAsia" w:ascii="宋体" w:hAnsi="宋体" w:cs="宋体"/>
          <w:color w:val="auto"/>
          <w:sz w:val="24"/>
          <w:u w:val="single"/>
        </w:rPr>
        <w:t>28</w:t>
      </w:r>
      <w:r>
        <w:rPr>
          <w:rFonts w:hint="eastAsia" w:ascii="宋体" w:hAnsi="宋体" w:cs="宋体"/>
          <w:color w:val="auto"/>
          <w:sz w:val="24"/>
        </w:rPr>
        <w:t xml:space="preserve">天内完成款项的支付。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18、保险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18.1工程保险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关于工程保险的特别约定：</w:t>
      </w:r>
      <w:r>
        <w:rPr>
          <w:rFonts w:hint="eastAsia" w:ascii="宋体" w:hAnsi="宋体" w:cs="宋体"/>
          <w:b/>
          <w:bCs/>
          <w:color w:val="auto"/>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18.3其他保险</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关于其他保险的约定：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承包人是否应为其施工设备等办理财产保险：</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18.7通知义务</w:t>
      </w:r>
    </w:p>
    <w:p>
      <w:pPr>
        <w:spacing w:line="360" w:lineRule="auto"/>
        <w:ind w:firstLine="480" w:firstLineChars="200"/>
        <w:rPr>
          <w:rFonts w:hint="eastAsia" w:ascii="宋体" w:hAnsi="宋体" w:cs="宋体"/>
          <w:b/>
          <w:bCs/>
          <w:color w:val="auto"/>
          <w:sz w:val="24"/>
        </w:rPr>
      </w:pPr>
      <w:r>
        <w:rPr>
          <w:rFonts w:hint="eastAsia" w:ascii="宋体" w:hAnsi="宋体" w:cs="宋体"/>
          <w:color w:val="auto"/>
          <w:kern w:val="0"/>
          <w:sz w:val="24"/>
        </w:rPr>
        <w:t>关于变更保险合同时的通知义务的约定：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20、争议解决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20.3争议评审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合同当事人是否同意将工程争议提交争议评审小组决定：</w:t>
      </w:r>
      <w:r>
        <w:rPr>
          <w:rFonts w:hint="eastAsia" w:ascii="宋体" w:hAnsi="宋体" w:cs="宋体"/>
          <w:b/>
          <w:bCs/>
          <w:color w:val="auto"/>
          <w:sz w:val="24"/>
          <w:u w:val="single"/>
        </w:rPr>
        <w:t>不同意</w:t>
      </w:r>
      <w:r>
        <w:rPr>
          <w:rFonts w:hint="eastAsia" w:ascii="宋体" w:hAnsi="宋体" w:cs="宋体"/>
          <w:color w:val="auto"/>
          <w:sz w:val="24"/>
          <w:u w:val="single"/>
        </w:rPr>
        <w:t>。</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20.3.1争议评审小组的确定</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争议评审小组成员的确定：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选定争议评审员的期限：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争议评审小组成员的报酬承担方式：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其他事项的约定：</w:t>
      </w:r>
      <w:r>
        <w:rPr>
          <w:rFonts w:hint="eastAsia" w:ascii="宋体" w:hAnsi="宋体" w:cs="宋体"/>
          <w:color w:val="auto"/>
          <w:sz w:val="24"/>
          <w:u w:val="single"/>
        </w:rPr>
        <w:t xml:space="preserve">              /               </w:t>
      </w:r>
      <w:r>
        <w:rPr>
          <w:rFonts w:hint="eastAsia" w:ascii="宋体" w:hAnsi="宋体" w:cs="宋体"/>
          <w:color w:val="auto"/>
          <w:sz w:val="24"/>
        </w:rPr>
        <w:t>。</w:t>
      </w:r>
    </w:p>
    <w:p>
      <w:pPr>
        <w:autoSpaceDE w:val="0"/>
        <w:autoSpaceDN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20.3.2争议评审小组的决定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合同当事人关于本项的约定：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20.4仲裁或诉讼</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因合同及合同有关事项发生的争议，双方当事人一致同意按下列解决方式中第</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（2） </w:t>
      </w:r>
      <w:r>
        <w:rPr>
          <w:rFonts w:hint="eastAsia" w:ascii="宋体" w:hAnsi="宋体" w:cs="宋体"/>
          <w:color w:val="auto"/>
          <w:sz w:val="24"/>
          <w:u w:val="single"/>
        </w:rPr>
        <w:t xml:space="preserve"> </w:t>
      </w:r>
      <w:r>
        <w:rPr>
          <w:rFonts w:hint="eastAsia" w:ascii="宋体" w:hAnsi="宋体" w:cs="宋体"/>
          <w:color w:val="auto"/>
          <w:sz w:val="24"/>
        </w:rPr>
        <w:t>种方式解决：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提交 / 仲裁委员会申请仲裁</w:t>
      </w:r>
      <w:r>
        <w:rPr>
          <w:rFonts w:hint="eastAsia" w:ascii="宋体" w:hAnsi="宋体" w:cs="宋体"/>
          <w:color w:val="auto"/>
          <w:sz w:val="24"/>
        </w:rPr>
        <w:t>；</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（2）</w:t>
      </w:r>
      <w:r>
        <w:rPr>
          <w:rFonts w:hint="eastAsia" w:ascii="宋体" w:hAnsi="宋体" w:cs="宋体"/>
          <w:b/>
          <w:bCs/>
          <w:color w:val="auto"/>
          <w:sz w:val="24"/>
          <w:u w:val="single"/>
        </w:rPr>
        <w:t>依法向 工程所在地 人民法院起诉</w:t>
      </w:r>
      <w:r>
        <w:rPr>
          <w:rFonts w:hint="eastAsia" w:ascii="宋体" w:hAnsi="宋体" w:cs="宋体"/>
          <w:color w:val="auto"/>
          <w:sz w:val="24"/>
        </w:rPr>
        <w:t>。</w:t>
      </w:r>
    </w:p>
    <w:p>
      <w:pPr>
        <w:spacing w:line="360" w:lineRule="auto"/>
        <w:ind w:firstLine="480" w:firstLineChars="200"/>
        <w:rPr>
          <w:rFonts w:hint="eastAsia" w:ascii="宋体" w:hAnsi="宋体" w:cs="宋体"/>
          <w:b/>
          <w:color w:val="auto"/>
          <w:sz w:val="24"/>
          <w:u w:val="single"/>
        </w:rPr>
      </w:pPr>
      <w:r>
        <w:rPr>
          <w:rFonts w:hint="eastAsia" w:ascii="宋体" w:hAnsi="宋体" w:cs="宋体"/>
          <w:color w:val="auto"/>
          <w:sz w:val="24"/>
        </w:rPr>
        <w:t>21、其他补充事项的约定：</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协议书附件：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附件1：承包人承揽工程项目一览表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专用合同条款附件：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附件2：发包人供应材料设备一览表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附件3：工程质量保修书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附件4：主要建设工程文件目录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附件5：承包人用于本工程施工的机械设备表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附件6：承包人主要施工管理人员表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附件7：分包人主要施工管理人员表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附件8：履约担保格式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附件9：预付款担保格式</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附件10：支付担保格式</w:t>
      </w:r>
      <w:r>
        <w:rPr>
          <w:rFonts w:hint="eastAsia" w:ascii="宋体" w:hAnsi="宋体" w:cs="宋体"/>
          <w:b/>
          <w:color w:val="auto"/>
          <w:sz w:val="24"/>
        </w:rPr>
        <w:t>（财政性投资项目按相关规定执行）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附件11：暂估价一览表</w:t>
      </w:r>
    </w:p>
    <w:p>
      <w:pPr>
        <w:spacing w:line="360" w:lineRule="auto"/>
        <w:jc w:val="left"/>
        <w:rPr>
          <w:rFonts w:hint="eastAsia" w:ascii="宋体" w:hAnsi="宋体" w:cs="宋体"/>
          <w:color w:val="auto"/>
          <w:sz w:val="24"/>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555" w:bottom="1418" w:left="1531" w:header="851" w:footer="992" w:gutter="0"/>
          <w:cols w:space="720" w:num="1"/>
          <w:titlePg/>
          <w:docGrid w:type="lines" w:linePitch="312" w:charSpace="0"/>
        </w:sectPr>
      </w:pPr>
    </w:p>
    <w:p>
      <w:pPr>
        <w:spacing w:before="156" w:beforeLines="50" w:after="156" w:afterLines="50" w:line="440" w:lineRule="exact"/>
        <w:jc w:val="left"/>
        <w:rPr>
          <w:rFonts w:hint="eastAsia" w:ascii="宋体" w:hAnsi="宋体" w:cs="宋体"/>
          <w:color w:val="auto"/>
          <w:sz w:val="24"/>
        </w:rPr>
      </w:pPr>
      <w:r>
        <w:rPr>
          <w:rFonts w:hint="eastAsia" w:ascii="宋体" w:hAnsi="宋体" w:cs="宋体"/>
          <w:color w:val="auto"/>
          <w:sz w:val="24"/>
        </w:rPr>
        <w:t>附件1：</w:t>
      </w:r>
    </w:p>
    <w:p>
      <w:pPr>
        <w:spacing w:before="156" w:beforeLines="50" w:after="156" w:afterLines="50" w:line="440" w:lineRule="exact"/>
        <w:jc w:val="center"/>
        <w:rPr>
          <w:rFonts w:hint="eastAsia" w:ascii="宋体" w:hAnsi="宋体" w:cs="宋体"/>
          <w:color w:val="auto"/>
          <w:sz w:val="24"/>
        </w:rPr>
      </w:pPr>
      <w:r>
        <w:rPr>
          <w:rFonts w:hint="eastAsia" w:ascii="宋体" w:hAnsi="宋体" w:cs="宋体"/>
          <w:color w:val="auto"/>
          <w:sz w:val="24"/>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单位工程名称</w:t>
            </w:r>
          </w:p>
        </w:tc>
        <w:tc>
          <w:tcPr>
            <w:tcW w:w="1843"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建设规模</w:t>
            </w:r>
          </w:p>
        </w:tc>
        <w:tc>
          <w:tcPr>
            <w:tcW w:w="1417"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建筑面积(m2)</w:t>
            </w:r>
          </w:p>
        </w:tc>
        <w:tc>
          <w:tcPr>
            <w:tcW w:w="241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结构形式</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层数</w:t>
            </w:r>
          </w:p>
        </w:tc>
        <w:tc>
          <w:tcPr>
            <w:tcW w:w="156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生产能力</w:t>
            </w:r>
          </w:p>
        </w:tc>
        <w:tc>
          <w:tcPr>
            <w:tcW w:w="2126"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设备安装内容</w:t>
            </w:r>
          </w:p>
        </w:tc>
        <w:tc>
          <w:tcPr>
            <w:tcW w:w="1417"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合同价格（元）</w:t>
            </w:r>
          </w:p>
        </w:tc>
        <w:tc>
          <w:tcPr>
            <w:tcW w:w="85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开工日期</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bl>
    <w:p>
      <w:pPr>
        <w:spacing w:line="440" w:lineRule="exact"/>
        <w:rPr>
          <w:rFonts w:hint="eastAsia" w:ascii="宋体" w:hAnsi="宋体" w:cs="宋体"/>
          <w:b/>
          <w:color w:val="auto"/>
          <w:sz w:val="24"/>
        </w:rPr>
        <w:sectPr>
          <w:pgSz w:w="16838" w:h="11906" w:orient="landscape"/>
          <w:pgMar w:top="1135" w:right="1418" w:bottom="1531" w:left="1418" w:header="851" w:footer="992" w:gutter="0"/>
          <w:cols w:space="720" w:num="1"/>
          <w:titlePg/>
          <w:docGrid w:type="linesAndChars" w:linePitch="312" w:charSpace="0"/>
        </w:sectPr>
      </w:pPr>
    </w:p>
    <w:p>
      <w:pPr>
        <w:spacing w:line="440" w:lineRule="exact"/>
        <w:rPr>
          <w:rFonts w:hint="eastAsia" w:ascii="宋体" w:hAnsi="宋体" w:cs="宋体"/>
          <w:color w:val="auto"/>
          <w:sz w:val="24"/>
        </w:rPr>
      </w:pPr>
      <w:r>
        <w:rPr>
          <w:rFonts w:hint="eastAsia" w:ascii="宋体" w:hAnsi="宋体" w:cs="宋体"/>
          <w:color w:val="auto"/>
          <w:sz w:val="24"/>
        </w:rPr>
        <w:t>附件2：</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发包人供应材料设备一览表</w:t>
      </w:r>
    </w:p>
    <w:tbl>
      <w:tblPr>
        <w:tblStyle w:val="63"/>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276"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 xml:space="preserve">  材料、</w:t>
            </w:r>
          </w:p>
          <w:p>
            <w:pPr>
              <w:pStyle w:val="24"/>
              <w:keepNext/>
              <w:spacing w:line="440" w:lineRule="exact"/>
              <w:ind w:right="63"/>
              <w:rPr>
                <w:rFonts w:hint="eastAsia" w:hAnsi="宋体" w:cs="宋体"/>
                <w:color w:val="auto"/>
                <w:szCs w:val="24"/>
                <w:lang w:val="en-US"/>
              </w:rPr>
            </w:pPr>
            <w:r>
              <w:rPr>
                <w:rFonts w:hint="eastAsia" w:hAnsi="宋体" w:cs="宋体"/>
                <w:color w:val="auto"/>
                <w:szCs w:val="24"/>
                <w:lang w:val="en-US"/>
              </w:rPr>
              <w:t>设备品种</w:t>
            </w:r>
          </w:p>
        </w:tc>
        <w:tc>
          <w:tcPr>
            <w:tcW w:w="116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规格型号</w:t>
            </w:r>
          </w:p>
        </w:tc>
        <w:tc>
          <w:tcPr>
            <w:tcW w:w="94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85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04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73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质量等级</w:t>
            </w:r>
          </w:p>
        </w:tc>
        <w:tc>
          <w:tcPr>
            <w:tcW w:w="85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供应时间</w:t>
            </w:r>
          </w:p>
        </w:tc>
        <w:tc>
          <w:tcPr>
            <w:tcW w:w="131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送达地点</w:t>
            </w:r>
          </w:p>
        </w:tc>
        <w:tc>
          <w:tcPr>
            <w:tcW w:w="73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162"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94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44"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73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314"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73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62"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94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4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73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31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73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bl>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附件3：</w:t>
      </w:r>
    </w:p>
    <w:p>
      <w:pPr>
        <w:autoSpaceDE w:val="0"/>
        <w:autoSpaceDN w:val="0"/>
        <w:spacing w:line="360" w:lineRule="auto"/>
        <w:ind w:left="360" w:right="525" w:rightChars="250" w:firstLine="643"/>
        <w:jc w:val="center"/>
        <w:rPr>
          <w:rFonts w:hint="eastAsia" w:ascii="宋体" w:hAnsi="宋体" w:cs="宋体"/>
          <w:b/>
          <w:bCs/>
          <w:color w:val="auto"/>
          <w:kern w:val="0"/>
          <w:sz w:val="24"/>
        </w:rPr>
      </w:pPr>
      <w:r>
        <w:rPr>
          <w:rFonts w:hint="eastAsia" w:ascii="宋体" w:hAnsi="宋体" w:cs="宋体"/>
          <w:b/>
          <w:bCs/>
          <w:color w:val="auto"/>
          <w:kern w:val="0"/>
          <w:sz w:val="24"/>
        </w:rPr>
        <w:t>房屋建筑工程质量保修书</w:t>
      </w:r>
    </w:p>
    <w:p>
      <w:pPr>
        <w:autoSpaceDE w:val="0"/>
        <w:autoSpaceDN w:val="0"/>
        <w:spacing w:line="400" w:lineRule="exact"/>
        <w:ind w:right="525" w:rightChars="250"/>
        <w:jc w:val="left"/>
        <w:rPr>
          <w:rFonts w:hint="eastAsia" w:ascii="宋体" w:hAnsi="宋体" w:cs="宋体"/>
          <w:color w:val="auto"/>
          <w:kern w:val="0"/>
          <w:sz w:val="24"/>
        </w:rPr>
      </w:pPr>
      <w:r>
        <w:rPr>
          <w:rFonts w:hint="eastAsia" w:ascii="宋体" w:hAnsi="宋体" w:cs="宋体"/>
          <w:color w:val="auto"/>
          <w:kern w:val="0"/>
          <w:sz w:val="24"/>
        </w:rPr>
        <w:t>发</w:t>
      </w:r>
      <w:r>
        <w:rPr>
          <w:rFonts w:hint="eastAsia" w:ascii="宋体" w:hAnsi="宋体" w:cs="宋体"/>
          <w:color w:val="auto"/>
          <w:sz w:val="24"/>
        </w:rPr>
        <w:t>包人（全称）：</w:t>
      </w:r>
      <w:r>
        <w:rPr>
          <w:rFonts w:hint="eastAsia" w:ascii="宋体" w:hAnsi="宋体" w:cs="宋体"/>
          <w:color w:val="auto"/>
          <w:sz w:val="24"/>
          <w:u w:val="single"/>
        </w:rPr>
        <w:t xml:space="preserve">                    </w:t>
      </w:r>
    </w:p>
    <w:p>
      <w:pPr>
        <w:spacing w:line="400" w:lineRule="exact"/>
        <w:rPr>
          <w:rFonts w:hint="eastAsia" w:ascii="宋体" w:hAnsi="宋体" w:cs="宋体"/>
          <w:color w:val="auto"/>
          <w:sz w:val="24"/>
          <w:u w:val="single"/>
        </w:rPr>
      </w:pPr>
      <w:r>
        <w:rPr>
          <w:rFonts w:hint="eastAsia" w:ascii="宋体" w:hAnsi="宋体" w:cs="宋体"/>
          <w:color w:val="auto"/>
          <w:sz w:val="24"/>
        </w:rPr>
        <w:t>承包人（全称）：</w:t>
      </w:r>
      <w:r>
        <w:rPr>
          <w:rFonts w:hint="eastAsia" w:ascii="宋体" w:hAnsi="宋体" w:cs="宋体"/>
          <w:color w:val="auto"/>
          <w:sz w:val="24"/>
          <w:u w:val="single"/>
        </w:rPr>
        <w:t xml:space="preserve">                    </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发包人、承包人根据《中华人民共和国建筑法》、《建设工程质量管理条例》和《房屋建筑工程质量保修办法》，经协商一致，对签定工程质量保修书。</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一、工程质量保修范围和内容</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承包人在质量保修期内，按照有关法律、法规、规章的管理规定和双方约定，承担本工程质量保修责任。</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cs="宋体"/>
          <w:b/>
          <w:bCs/>
          <w:color w:val="auto"/>
          <w:kern w:val="0"/>
          <w:sz w:val="24"/>
          <w:u w:val="single"/>
        </w:rPr>
        <w:t xml:space="preserve"> 承包人承包范围内的所有内容 </w:t>
      </w:r>
      <w:r>
        <w:rPr>
          <w:rFonts w:hint="eastAsia" w:ascii="宋体" w:hAnsi="宋体" w:cs="宋体"/>
          <w:b/>
          <w:bCs/>
          <w:color w:val="auto"/>
          <w:kern w:val="0"/>
          <w:sz w:val="24"/>
        </w:rPr>
        <w:t>。</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二、质量保修期</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双方根据《建设工程质量管理条例》及有关规定，约定本工程的质量保修期如下：</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1、地基基础工程和主体结构工程为设计文件规定的该工程合理使用年限；</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sz w:val="24"/>
        </w:rPr>
        <w:t xml:space="preserve">本工程屋面防水工程、外墙面防水工程的防渗漏 </w:t>
      </w:r>
      <w:r>
        <w:rPr>
          <w:rFonts w:hint="eastAsia" w:ascii="宋体" w:hAnsi="宋体" w:cs="宋体"/>
          <w:color w:val="auto"/>
          <w:kern w:val="0"/>
          <w:sz w:val="24"/>
        </w:rPr>
        <w:t>为</w:t>
      </w:r>
      <w:r>
        <w:rPr>
          <w:rFonts w:hint="eastAsia" w:ascii="宋体" w:hAnsi="宋体" w:cs="宋体"/>
          <w:color w:val="auto"/>
          <w:kern w:val="0"/>
          <w:sz w:val="24"/>
          <w:u w:val="single"/>
        </w:rPr>
        <w:t xml:space="preserve">  5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3、装修工程为</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4、电气管线、给排水管道、设备安装工程为</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5、供热与供冷系统为</w:t>
      </w:r>
      <w:r>
        <w:rPr>
          <w:rFonts w:hint="eastAsia" w:ascii="宋体" w:hAnsi="宋体" w:cs="宋体"/>
          <w:color w:val="auto"/>
          <w:kern w:val="0"/>
          <w:sz w:val="24"/>
          <w:u w:val="single"/>
        </w:rPr>
        <w:t xml:space="preserve">   2  </w:t>
      </w:r>
      <w:r>
        <w:rPr>
          <w:rFonts w:hint="eastAsia" w:ascii="宋体" w:hAnsi="宋体" w:cs="宋体"/>
          <w:color w:val="auto"/>
          <w:kern w:val="0"/>
          <w:sz w:val="24"/>
        </w:rPr>
        <w:t>个采暖期、供冷期；</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6、住宅小区内的给排水设施、道路等配套工程为</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7、其他项目保修期限：</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u w:val="single"/>
        </w:rPr>
      </w:pPr>
      <w:r>
        <w:rPr>
          <w:rFonts w:hint="eastAsia" w:ascii="宋体" w:hAnsi="宋体" w:cs="宋体"/>
          <w:color w:val="auto"/>
          <w:kern w:val="0"/>
          <w:sz w:val="24"/>
          <w:u w:val="single"/>
        </w:rPr>
        <w:t xml:space="preserve">质量保修期自工程整体移交接收单位之日起计算。 </w:t>
      </w:r>
    </w:p>
    <w:p>
      <w:pPr>
        <w:numPr>
          <w:ilvl w:val="0"/>
          <w:numId w:val="2"/>
        </w:num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质量保修责任</w:t>
      </w:r>
    </w:p>
    <w:p>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1、属于保修范围和内容的项目，承包人应在接到修理通知之日后24小时内派人修理。承包人不在约定期限内派人修理，发包人可委托其他人员修理，产生的费用由承包人加倍支付，同意由发包人在工程保修金中扣除。</w:t>
      </w:r>
    </w:p>
    <w:p>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2、发生紧急抢修事故的，承包人接到事故通知后，应立即（2小时内）到达事故现场抢修。</w:t>
      </w:r>
    </w:p>
    <w:p>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4、</w:t>
      </w:r>
      <w:r>
        <w:rPr>
          <w:rFonts w:hint="eastAsia" w:ascii="宋体" w:hAnsi="宋体" w:cs="宋体"/>
          <w:color w:val="auto"/>
          <w:sz w:val="24"/>
        </w:rPr>
        <w:t>遇下列特殊情况时，在承包人到达之前，承包人同意发包人可以先行采取应急措施处理：</w:t>
      </w:r>
    </w:p>
    <w:p>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4．1发生紧急抢修事故时，为避免损失进一步扩大；</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4．2直接影响到业主正常生活，威胁业主人身财产及公司财产安全时。</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四、保修费用</w:t>
      </w:r>
    </w:p>
    <w:p>
      <w:pPr>
        <w:autoSpaceDE w:val="0"/>
        <w:autoSpaceDN w:val="0"/>
        <w:spacing w:line="400" w:lineRule="exact"/>
        <w:ind w:right="525" w:rightChars="250" w:firstLine="480" w:firstLineChars="200"/>
        <w:jc w:val="left"/>
        <w:rPr>
          <w:rFonts w:hint="eastAsia" w:ascii="宋体" w:hAnsi="宋体" w:cs="宋体"/>
          <w:color w:val="auto"/>
          <w:kern w:val="0"/>
          <w:sz w:val="24"/>
        </w:rPr>
      </w:pPr>
      <w:r>
        <w:rPr>
          <w:rFonts w:hint="eastAsia" w:ascii="宋体" w:hAnsi="宋体" w:cs="宋体"/>
          <w:color w:val="auto"/>
          <w:kern w:val="0"/>
          <w:sz w:val="24"/>
        </w:rPr>
        <w:t>保修费用由造成质量缺陷的责任方承担。</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五、其他</w:t>
      </w:r>
    </w:p>
    <w:p>
      <w:pPr>
        <w:autoSpaceDE w:val="0"/>
        <w:autoSpaceDN w:val="0"/>
        <w:spacing w:line="400" w:lineRule="exact"/>
        <w:ind w:right="525" w:rightChars="250"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双方约定的其他工程质量保修事宜：</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本工程质量保修书，由施工合同发包人、承包人双方在施工合同签订时共同签署，作为施工合同附件，其有效期限至保修期满。</w:t>
      </w:r>
    </w:p>
    <w:p>
      <w:pPr>
        <w:autoSpaceDE w:val="0"/>
        <w:autoSpaceDN w:val="0"/>
        <w:spacing w:line="400" w:lineRule="exact"/>
        <w:ind w:left="593" w:leftChars="225" w:right="525" w:rightChars="250" w:hanging="120" w:hangingChars="50"/>
        <w:jc w:val="left"/>
        <w:rPr>
          <w:rFonts w:hint="eastAsia" w:ascii="宋体" w:hAnsi="宋体" w:cs="宋体"/>
          <w:color w:val="auto"/>
          <w:kern w:val="0"/>
          <w:sz w:val="24"/>
        </w:rPr>
      </w:pPr>
      <w:r>
        <w:rPr>
          <w:rFonts w:hint="eastAsia" w:ascii="宋体" w:hAnsi="宋体" w:cs="宋体"/>
          <w:color w:val="auto"/>
          <w:kern w:val="0"/>
          <w:sz w:val="24"/>
        </w:rPr>
        <w:t xml:space="preserve">发包人（公章）：                           承包人（公章）：               </w:t>
      </w:r>
    </w:p>
    <w:p>
      <w:pPr>
        <w:autoSpaceDE w:val="0"/>
        <w:autoSpaceDN w:val="0"/>
        <w:spacing w:line="400" w:lineRule="exact"/>
        <w:ind w:left="593" w:leftChars="225" w:right="525" w:rightChars="250" w:hanging="120" w:hangingChars="50"/>
        <w:jc w:val="left"/>
        <w:rPr>
          <w:rFonts w:hint="eastAsia" w:ascii="宋体" w:hAnsi="宋体" w:cs="宋体"/>
          <w:color w:val="auto"/>
          <w:kern w:val="0"/>
          <w:sz w:val="24"/>
        </w:rPr>
      </w:pPr>
      <w:r>
        <w:rPr>
          <w:rFonts w:hint="eastAsia" w:ascii="宋体" w:hAnsi="宋体" w:cs="宋体"/>
          <w:color w:val="auto"/>
          <w:kern w:val="0"/>
          <w:sz w:val="24"/>
        </w:rPr>
        <w:t>法定代表人（签字或盖章）：                 法定代表人（签字或盖章）</w:t>
      </w:r>
    </w:p>
    <w:p>
      <w:pPr>
        <w:autoSpaceDE w:val="0"/>
        <w:autoSpaceDN w:val="0"/>
        <w:spacing w:line="400" w:lineRule="exact"/>
        <w:ind w:left="593" w:leftChars="225" w:right="525" w:rightChars="250" w:hanging="120" w:hangingChars="50"/>
        <w:jc w:val="left"/>
        <w:rPr>
          <w:rFonts w:hint="eastAsia" w:ascii="宋体" w:hAnsi="宋体" w:cs="宋体"/>
          <w:color w:val="auto"/>
          <w:kern w:val="0"/>
          <w:sz w:val="24"/>
        </w:rPr>
      </w:pPr>
    </w:p>
    <w:p>
      <w:pPr>
        <w:spacing w:line="400" w:lineRule="exact"/>
        <w:ind w:firstLine="480" w:firstLineChars="200"/>
        <w:rPr>
          <w:rFonts w:hint="eastAsia" w:ascii="宋体" w:hAnsi="宋体" w:cs="宋体"/>
          <w:color w:val="auto"/>
          <w:szCs w:val="21"/>
        </w:rPr>
      </w:pPr>
      <w:r>
        <w:rPr>
          <w:rFonts w:hint="eastAsia" w:ascii="宋体" w:hAnsi="宋体" w:cs="宋体"/>
          <w:color w:val="auto"/>
          <w:sz w:val="24"/>
          <w:u w:val="single"/>
        </w:rPr>
        <w:t>2025年</w:t>
      </w:r>
      <w:r>
        <w:rPr>
          <w:rFonts w:hint="eastAsia" w:ascii="宋体" w:hAnsi="宋体" w:cs="宋体"/>
          <w:color w:val="auto"/>
          <w:sz w:val="24"/>
        </w:rPr>
        <w:t xml:space="preserve">  月  日</w:t>
      </w:r>
      <w:r>
        <w:rPr>
          <w:rFonts w:hint="eastAsia" w:ascii="宋体" w:hAnsi="宋体" w:cs="宋体"/>
          <w:color w:val="auto"/>
          <w:szCs w:val="21"/>
        </w:rPr>
        <w:t xml:space="preserve">                            </w:t>
      </w:r>
      <w:r>
        <w:rPr>
          <w:rFonts w:hint="eastAsia" w:ascii="宋体" w:hAnsi="宋体" w:cs="宋体"/>
          <w:color w:val="auto"/>
          <w:szCs w:val="21"/>
          <w:u w:val="single"/>
        </w:rPr>
        <w:t xml:space="preserve"> 2025年</w:t>
      </w:r>
      <w:r>
        <w:rPr>
          <w:rFonts w:hint="eastAsia" w:ascii="宋体" w:hAnsi="宋体" w:cs="宋体"/>
          <w:color w:val="auto"/>
          <w:szCs w:val="21"/>
        </w:rPr>
        <w:t xml:space="preserve">  月  日</w:t>
      </w:r>
    </w:p>
    <w:p>
      <w:pPr>
        <w:spacing w:line="400" w:lineRule="exact"/>
        <w:rPr>
          <w:rFonts w:hint="eastAsia" w:ascii="宋体" w:hAnsi="宋体" w:cs="宋体"/>
          <w:color w:val="auto"/>
          <w:szCs w:val="21"/>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pPr>
        <w:spacing w:line="400" w:lineRule="exact"/>
        <w:rPr>
          <w:rFonts w:hint="eastAsia" w:ascii="宋体" w:hAnsi="宋体" w:cs="宋体"/>
          <w:color w:val="auto"/>
          <w:sz w:val="24"/>
        </w:rPr>
      </w:pPr>
      <w:r>
        <w:rPr>
          <w:rFonts w:hint="eastAsia" w:ascii="宋体" w:hAnsi="宋体" w:cs="宋体"/>
          <w:color w:val="auto"/>
          <w:sz w:val="24"/>
        </w:rPr>
        <w:t>附件4：</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文件名称</w:t>
            </w:r>
          </w:p>
        </w:tc>
        <w:tc>
          <w:tcPr>
            <w:tcW w:w="1276"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套数</w:t>
            </w:r>
          </w:p>
        </w:tc>
        <w:tc>
          <w:tcPr>
            <w:tcW w:w="14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费用（元）</w:t>
            </w:r>
          </w:p>
        </w:tc>
        <w:tc>
          <w:tcPr>
            <w:tcW w:w="1243"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w:t>
            </w:r>
          </w:p>
        </w:tc>
        <w:tc>
          <w:tcPr>
            <w:tcW w:w="1450" w:type="dxa"/>
            <w:tcBorders>
              <w:top w:val="single" w:color="auto" w:sz="12" w:space="0"/>
              <w:bottom w:val="double" w:color="auto" w:sz="6" w:space="0"/>
            </w:tcBorders>
          </w:tcPr>
          <w:p>
            <w:pPr>
              <w:spacing w:line="440" w:lineRule="exact"/>
              <w:jc w:val="center"/>
              <w:rPr>
                <w:rFonts w:hint="eastAsia" w:ascii="宋体" w:hAnsi="宋体" w:cs="宋体"/>
                <w:color w:val="auto"/>
                <w:sz w:val="24"/>
              </w:rPr>
            </w:pPr>
            <w:r>
              <w:rPr>
                <w:rFonts w:hint="eastAsia" w:ascii="宋体" w:hAnsi="宋体" w:cs="宋体"/>
                <w:color w:val="auto"/>
                <w:sz w:val="24"/>
              </w:rPr>
              <w:t>移交时间</w:t>
            </w:r>
          </w:p>
        </w:tc>
        <w:tc>
          <w:tcPr>
            <w:tcW w:w="1667" w:type="dxa"/>
            <w:tcBorders>
              <w:top w:val="single" w:color="auto" w:sz="12" w:space="0"/>
              <w:bottom w:val="double" w:color="auto" w:sz="6" w:space="0"/>
            </w:tcBorders>
          </w:tcPr>
          <w:p>
            <w:pPr>
              <w:spacing w:line="440" w:lineRule="exact"/>
              <w:jc w:val="center"/>
              <w:rPr>
                <w:rFonts w:hint="eastAsia" w:ascii="宋体" w:hAnsi="宋体" w:cs="宋体"/>
                <w:color w:val="auto"/>
                <w:sz w:val="24"/>
              </w:rPr>
            </w:pPr>
            <w:r>
              <w:rPr>
                <w:rFonts w:hint="eastAsia" w:ascii="宋体" w:hAnsi="宋体" w:cs="宋体"/>
                <w:color w:val="auto"/>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243"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66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2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667"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bl>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01" w:name="_Toc296944566"/>
      <w:bookmarkStart w:id="402" w:name="_Toc267261698"/>
      <w:bookmarkStart w:id="403" w:name="_Toc296346728"/>
      <w:bookmarkStart w:id="404" w:name="_Toc296503227"/>
      <w:bookmarkStart w:id="405" w:name="_Toc296347226"/>
      <w:bookmarkStart w:id="406" w:name="_Toc296891055"/>
      <w:bookmarkStart w:id="407" w:name="_Toc296891267"/>
      <w:r>
        <w:rPr>
          <w:rFonts w:hint="eastAsia" w:ascii="宋体" w:hAnsi="宋体" w:cs="宋体"/>
          <w:color w:val="auto"/>
          <w:sz w:val="24"/>
        </w:rPr>
        <w:t>件5：</w:t>
      </w:r>
    </w:p>
    <w:bookmarkEnd w:id="401"/>
    <w:bookmarkEnd w:id="402"/>
    <w:bookmarkEnd w:id="403"/>
    <w:bookmarkEnd w:id="404"/>
    <w:bookmarkEnd w:id="405"/>
    <w:bookmarkEnd w:id="406"/>
    <w:bookmarkEnd w:id="407"/>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机械或设备名称</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规格型号</w:t>
            </w:r>
          </w:p>
        </w:tc>
        <w:tc>
          <w:tcPr>
            <w:tcW w:w="105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88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产地</w:t>
            </w:r>
          </w:p>
        </w:tc>
        <w:tc>
          <w:tcPr>
            <w:tcW w:w="102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制造年份</w:t>
            </w:r>
          </w:p>
        </w:tc>
        <w:tc>
          <w:tcPr>
            <w:tcW w:w="148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额定功率(kW)</w:t>
            </w:r>
          </w:p>
        </w:tc>
        <w:tc>
          <w:tcPr>
            <w:tcW w:w="102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生产能力</w:t>
            </w:r>
          </w:p>
        </w:tc>
        <w:tc>
          <w:tcPr>
            <w:tcW w:w="92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58"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8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8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92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5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8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8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921"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bl>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08" w:name="_Toc296891056"/>
      <w:bookmarkStart w:id="409" w:name="_Toc296891268"/>
      <w:bookmarkStart w:id="410" w:name="_Toc296347227"/>
      <w:bookmarkStart w:id="411" w:name="_Toc296503228"/>
      <w:bookmarkStart w:id="412" w:name="_Toc296346729"/>
      <w:bookmarkStart w:id="413" w:name="_Toc296944567"/>
      <w:bookmarkStart w:id="414" w:name="_Toc267261699"/>
      <w:r>
        <w:rPr>
          <w:rFonts w:hint="eastAsia" w:ascii="宋体" w:hAnsi="宋体" w:cs="宋体"/>
          <w:color w:val="auto"/>
          <w:sz w:val="24"/>
        </w:rPr>
        <w:t>件6：</w:t>
      </w:r>
    </w:p>
    <w:bookmarkEnd w:id="408"/>
    <w:bookmarkEnd w:id="409"/>
    <w:bookmarkEnd w:id="410"/>
    <w:bookmarkEnd w:id="411"/>
    <w:bookmarkEnd w:id="412"/>
    <w:bookmarkEnd w:id="413"/>
    <w:bookmarkEnd w:id="414"/>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    称</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姓名</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职务</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职称</w:t>
            </w:r>
          </w:p>
        </w:tc>
        <w:tc>
          <w:tcPr>
            <w:tcW w:w="425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项目主管</w:t>
            </w:r>
          </w:p>
        </w:tc>
        <w:tc>
          <w:tcPr>
            <w:tcW w:w="141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4252"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项目经理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strike/>
                <w:color w:val="auto"/>
                <w:szCs w:val="24"/>
                <w:lang w:val="en-US"/>
              </w:rPr>
            </w:pPr>
            <w:r>
              <w:rPr>
                <w:rFonts w:hint="eastAsia" w:hAnsi="宋体" w:cs="宋体"/>
                <w:color w:val="auto"/>
                <w:szCs w:val="24"/>
                <w:lang w:val="en-US"/>
              </w:rPr>
              <w:t>技术负责人</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造价管理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施工员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资料员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材料员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专职安全生产管理人员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418"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4252"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r>
    </w:tbl>
    <w:p>
      <w:pPr>
        <w:spacing w:line="440" w:lineRule="exact"/>
        <w:rPr>
          <w:rFonts w:hint="eastAsia" w:ascii="宋体" w:hAnsi="宋体" w:cs="宋体"/>
          <w:color w:val="auto"/>
          <w:sz w:val="24"/>
        </w:rPr>
      </w:pPr>
      <w:r>
        <w:rPr>
          <w:rFonts w:hint="eastAsia" w:ascii="宋体" w:hAnsi="宋体" w:cs="宋体"/>
          <w:color w:val="auto"/>
          <w:sz w:val="24"/>
        </w:rPr>
        <w:br w:type="page"/>
      </w:r>
      <w:bookmarkStart w:id="415" w:name="_Toc267261701"/>
      <w:r>
        <w:rPr>
          <w:rFonts w:hint="eastAsia" w:ascii="宋体" w:hAnsi="宋体" w:cs="宋体"/>
          <w:color w:val="auto"/>
          <w:sz w:val="24"/>
        </w:rPr>
        <w:t>附件7：</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    称</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姓名</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职务</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职称</w:t>
            </w:r>
          </w:p>
        </w:tc>
        <w:tc>
          <w:tcPr>
            <w:tcW w:w="425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项目主管</w:t>
            </w:r>
          </w:p>
        </w:tc>
        <w:tc>
          <w:tcPr>
            <w:tcW w:w="141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4252"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项目经理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strike/>
                <w:color w:val="auto"/>
                <w:szCs w:val="24"/>
                <w:lang w:val="en-US"/>
              </w:rPr>
            </w:pPr>
            <w:r>
              <w:rPr>
                <w:rFonts w:hint="eastAsia" w:hAnsi="宋体" w:cs="宋体"/>
                <w:color w:val="auto"/>
                <w:szCs w:val="24"/>
                <w:lang w:val="en-US"/>
              </w:rPr>
              <w:t>技术负责人</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造价管理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施工员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资料员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材料员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专职安全生产管理人员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418"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4252"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r>
    </w:tbl>
    <w:p>
      <w:pPr>
        <w:rPr>
          <w:rFonts w:hint="eastAsia" w:ascii="宋体" w:hAnsi="宋体" w:cs="宋体"/>
          <w:color w:val="auto"/>
          <w:sz w:val="24"/>
        </w:rPr>
      </w:pPr>
    </w:p>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16" w:name="_Toc296347230"/>
      <w:bookmarkStart w:id="417" w:name="_Toc296944570"/>
      <w:bookmarkStart w:id="418" w:name="_Toc296503231"/>
      <w:bookmarkStart w:id="419" w:name="_Toc296346732"/>
      <w:bookmarkStart w:id="420" w:name="_Toc296891059"/>
      <w:bookmarkStart w:id="421" w:name="_Toc296891271"/>
      <w:r>
        <w:rPr>
          <w:rFonts w:hint="eastAsia" w:ascii="宋体" w:hAnsi="宋体" w:cs="宋体"/>
          <w:color w:val="auto"/>
          <w:sz w:val="24"/>
        </w:rPr>
        <w:t>件8：</w:t>
      </w:r>
    </w:p>
    <w:bookmarkEnd w:id="415"/>
    <w:bookmarkEnd w:id="416"/>
    <w:bookmarkEnd w:id="417"/>
    <w:bookmarkEnd w:id="418"/>
    <w:bookmarkEnd w:id="419"/>
    <w:bookmarkEnd w:id="420"/>
    <w:bookmarkEnd w:id="421"/>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履约担保</w:t>
      </w:r>
    </w:p>
    <w:p>
      <w:pPr>
        <w:spacing w:line="440" w:lineRule="exac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（发包人名称）：</w:t>
      </w:r>
    </w:p>
    <w:p>
      <w:pPr>
        <w:spacing w:line="440" w:lineRule="exact"/>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w:t>
      </w:r>
      <w:r>
        <w:rPr>
          <w:rFonts w:hint="eastAsia" w:ascii="宋体" w:hAnsi="宋体" w:cs="宋体"/>
          <w:color w:val="auto"/>
          <w:sz w:val="24"/>
        </w:rPr>
        <w:t>（发包人名称，以下简称“发包人”）与</w:t>
      </w:r>
      <w:r>
        <w:rPr>
          <w:rFonts w:hint="eastAsia" w:ascii="宋体" w:hAnsi="宋体" w:cs="宋体"/>
          <w:color w:val="auto"/>
          <w:sz w:val="24"/>
          <w:u w:val="single"/>
        </w:rPr>
        <w:t xml:space="preserve">              </w:t>
      </w:r>
      <w:r>
        <w:rPr>
          <w:rFonts w:hint="eastAsia" w:ascii="宋体" w:hAnsi="宋体" w:cs="宋体"/>
          <w:color w:val="auto"/>
          <w:sz w:val="24"/>
        </w:rPr>
        <w:t>（承包人名称）（以下称“承包人”）于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日就</w:t>
      </w:r>
      <w:r>
        <w:rPr>
          <w:rFonts w:hint="eastAsia" w:ascii="宋体" w:hAnsi="宋体" w:cs="宋体"/>
          <w:color w:val="auto"/>
          <w:sz w:val="24"/>
          <w:u w:val="single"/>
        </w:rPr>
        <w:t xml:space="preserve">                         </w:t>
      </w:r>
      <w:r>
        <w:rPr>
          <w:rFonts w:hint="eastAsia" w:ascii="宋体" w:hAnsi="宋体" w:cs="宋体"/>
          <w:color w:val="auto"/>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1.担保金额人民币（大写）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2.担保有效期自你方与承包人签订的合同生效之日起至你方签发或应签发工程接收证书之日止。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4.你方和承包人按合同约定变更合同时，我方承担本担保规定的义务不变。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5.因本保函发生的纠纷，可由双方协商解决，协商不成的，任何一方均可向工程所在地人民法院起诉。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6.本保函自我方法定代表人（或其授权代理人）签字并加盖公章之日起生效。</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担 保 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60" w:lineRule="auto"/>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pPr>
        <w:spacing w:line="360" w:lineRule="auto"/>
        <w:jc w:val="left"/>
        <w:rPr>
          <w:rFonts w:hint="eastAsia" w:ascii="宋体" w:hAnsi="宋体" w:cs="宋体"/>
          <w:color w:val="auto"/>
          <w:sz w:val="24"/>
          <w:u w:val="single"/>
        </w:rPr>
      </w:pPr>
    </w:p>
    <w:p>
      <w:pPr>
        <w:spacing w:line="360" w:lineRule="auto"/>
        <w:ind w:left="1519" w:hanging="1519" w:hangingChars="633"/>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ind w:left="1519" w:hanging="1519" w:hangingChars="633"/>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22" w:name="_Toc296891060"/>
      <w:bookmarkStart w:id="423" w:name="_Toc296503232"/>
      <w:bookmarkStart w:id="424" w:name="_Toc296347231"/>
      <w:bookmarkStart w:id="425" w:name="_Toc296944571"/>
      <w:bookmarkStart w:id="426" w:name="_Toc296346733"/>
      <w:bookmarkStart w:id="427" w:name="_Toc296891272"/>
      <w:bookmarkStart w:id="428" w:name="_Toc267261702"/>
      <w:r>
        <w:rPr>
          <w:rFonts w:hint="eastAsia" w:ascii="宋体" w:hAnsi="宋体" w:cs="宋体"/>
          <w:color w:val="auto"/>
          <w:sz w:val="24"/>
        </w:rPr>
        <w:t>件9 ：</w:t>
      </w:r>
    </w:p>
    <w:bookmarkEnd w:id="422"/>
    <w:bookmarkEnd w:id="423"/>
    <w:bookmarkEnd w:id="424"/>
    <w:bookmarkEnd w:id="425"/>
    <w:bookmarkEnd w:id="426"/>
    <w:bookmarkEnd w:id="427"/>
    <w:bookmarkEnd w:id="428"/>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预付款担保</w:t>
      </w:r>
    </w:p>
    <w:p>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 xml:space="preserve"> （发包人名称）：</w:t>
      </w:r>
    </w:p>
    <w:p>
      <w:pPr>
        <w:spacing w:line="360" w:lineRule="auto"/>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u w:val="single"/>
        </w:rPr>
        <w:t xml:space="preserve">              </w:t>
      </w:r>
      <w:r>
        <w:rPr>
          <w:rFonts w:hint="eastAsia" w:ascii="宋体" w:hAnsi="宋体" w:cs="宋体"/>
          <w:color w:val="auto"/>
          <w:sz w:val="24"/>
        </w:rPr>
        <w:t>（承包人名称）（以下称“承包人”）与</w:t>
      </w:r>
      <w:r>
        <w:rPr>
          <w:rFonts w:hint="eastAsia" w:ascii="宋体" w:hAnsi="宋体" w:cs="宋体"/>
          <w:color w:val="auto"/>
          <w:sz w:val="24"/>
          <w:u w:val="single"/>
        </w:rPr>
        <w:t xml:space="preserve">            </w:t>
      </w:r>
      <w:r>
        <w:rPr>
          <w:rFonts w:hint="eastAsia" w:ascii="宋体" w:hAnsi="宋体" w:cs="宋体"/>
          <w:color w:val="auto"/>
          <w:sz w:val="24"/>
        </w:rPr>
        <w:t>（发包人名称）（以下简称“发包人”）于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日签订的</w:t>
      </w:r>
      <w:r>
        <w:rPr>
          <w:rFonts w:hint="eastAsia" w:ascii="宋体" w:hAnsi="宋体" w:cs="宋体"/>
          <w:color w:val="auto"/>
          <w:sz w:val="24"/>
          <w:u w:val="single"/>
        </w:rPr>
        <w:t xml:space="preserve">                   </w:t>
      </w:r>
      <w:r>
        <w:rPr>
          <w:rFonts w:hint="eastAsia" w:ascii="宋体" w:hAnsi="宋体" w:cs="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1.担保金额人民币（大写）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2.担保有效期自预付款支付给承包人起生效，至你方签发的进度款支付证书说明已完全扣清止。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4.你方和承包人按合同约定变更合同时，我方承担本保函规定的义务不变。</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5.因本保函发生的纠纷，可由双方协商解决，协商不成的，任何一方均可向工程所在地人民法院起诉。</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6.本保函自我方法定代表人（或其授权代理人）签字并加盖公章之日起生效。</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担保人：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60" w:lineRule="auto"/>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u w:val="single"/>
        </w:rPr>
      </w:pPr>
      <w:r>
        <w:rPr>
          <w:rFonts w:hint="eastAsia" w:ascii="宋体" w:hAnsi="宋体" w:cs="宋体"/>
          <w:color w:val="auto"/>
          <w:sz w:val="24"/>
        </w:rPr>
        <w:t>传    真：</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40" w:lineRule="exact"/>
        <w:rPr>
          <w:rFonts w:hint="eastAsia"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附</w:t>
      </w:r>
      <w:bookmarkStart w:id="429" w:name="_Toc296503233"/>
      <w:bookmarkStart w:id="430" w:name="_Toc296347232"/>
      <w:bookmarkStart w:id="431" w:name="_Toc296891273"/>
      <w:bookmarkStart w:id="432" w:name="_Toc296346734"/>
      <w:bookmarkStart w:id="433" w:name="_Toc296944572"/>
      <w:bookmarkStart w:id="434" w:name="_Toc296891061"/>
      <w:r>
        <w:rPr>
          <w:rFonts w:hint="eastAsia" w:ascii="宋体" w:hAnsi="宋体" w:cs="宋体"/>
          <w:color w:val="auto"/>
          <w:sz w:val="24"/>
        </w:rPr>
        <w:t xml:space="preserve">件10:  </w:t>
      </w:r>
    </w:p>
    <w:bookmarkEnd w:id="429"/>
    <w:bookmarkEnd w:id="430"/>
    <w:bookmarkEnd w:id="431"/>
    <w:bookmarkEnd w:id="432"/>
    <w:bookmarkEnd w:id="433"/>
    <w:bookmarkEnd w:id="434"/>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支付担保</w:t>
      </w:r>
    </w:p>
    <w:p>
      <w:pPr>
        <w:spacing w:line="440" w:lineRule="exact"/>
        <w:jc w:val="lef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（承包人）：</w:t>
      </w:r>
    </w:p>
    <w:p>
      <w:pPr>
        <w:spacing w:line="440" w:lineRule="exact"/>
        <w:jc w:val="left"/>
        <w:rPr>
          <w:rFonts w:hint="eastAsia" w:ascii="宋体" w:hAnsi="宋体" w:cs="宋体"/>
          <w:color w:val="auto"/>
          <w:sz w:val="24"/>
        </w:rPr>
      </w:pP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鉴于你方作为承包人已经与</w:t>
      </w:r>
      <w:r>
        <w:rPr>
          <w:rFonts w:hint="eastAsia" w:ascii="宋体" w:hAnsi="宋体" w:cs="宋体"/>
          <w:color w:val="auto"/>
          <w:sz w:val="24"/>
          <w:u w:val="single"/>
        </w:rPr>
        <w:t xml:space="preserve">             </w:t>
      </w:r>
      <w:r>
        <w:rPr>
          <w:rFonts w:hint="eastAsia" w:ascii="宋体" w:hAnsi="宋体" w:cs="宋体"/>
          <w:color w:val="auto"/>
          <w:sz w:val="24"/>
        </w:rPr>
        <w:t>（发包人名称）（以下称“发包人”）于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日签订了</w:t>
      </w:r>
      <w:r>
        <w:rPr>
          <w:rFonts w:hint="eastAsia" w:ascii="宋体" w:hAnsi="宋体" w:cs="宋体"/>
          <w:color w:val="auto"/>
          <w:sz w:val="24"/>
          <w:u w:val="single"/>
        </w:rPr>
        <w:t xml:space="preserve">             </w:t>
      </w:r>
      <w:r>
        <w:rPr>
          <w:rFonts w:hint="eastAsia" w:ascii="宋体" w:hAnsi="宋体" w:cs="宋体"/>
          <w:color w:val="auto"/>
          <w:sz w:val="24"/>
        </w:rPr>
        <w:t>（工程名称）《建设工程施工合同》（以下称“主合同”），应发包人的申请，我方愿就发包人履行主合同约定的工程款支付义务以保证的方式向你方提供如下担保：</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一、保证的范围及保证金额</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1.我方的保证范围是主合同约定的工程款。</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2.本保函所称主合同约定的工程款是指主合同约定的除工程质量保证金以外的合同价款。</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3.我方保证的金额是主合同约定的工程款的</w:t>
      </w:r>
      <w:r>
        <w:rPr>
          <w:rFonts w:hint="eastAsia" w:ascii="宋体" w:hAnsi="宋体" w:cs="宋体"/>
          <w:color w:val="auto"/>
          <w:sz w:val="24"/>
          <w:u w:val="single"/>
        </w:rPr>
        <w:t xml:space="preserve">      </w:t>
      </w:r>
      <w:r>
        <w:rPr>
          <w:rFonts w:hint="eastAsia" w:ascii="宋体" w:hAnsi="宋体" w:cs="宋体"/>
          <w:color w:val="auto"/>
          <w:sz w:val="24"/>
        </w:rPr>
        <w:t>%，数额最高不超过人民币元（大写：</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二、保证的方式及保证期间</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1.我方保证的方式为：连带责任保证。</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2.我方保证的期间为：自本合同生效之日起至主合同约定的工程款支付完毕之日后</w:t>
      </w:r>
      <w:r>
        <w:rPr>
          <w:rFonts w:hint="eastAsia" w:ascii="宋体" w:hAnsi="宋体" w:cs="宋体"/>
          <w:color w:val="auto"/>
          <w:sz w:val="24"/>
          <w:u w:val="single"/>
        </w:rPr>
        <w:t xml:space="preserve">    </w:t>
      </w:r>
      <w:r>
        <w:rPr>
          <w:rFonts w:hint="eastAsia" w:ascii="宋体" w:hAnsi="宋体" w:cs="宋体"/>
          <w:color w:val="auto"/>
          <w:sz w:val="24"/>
        </w:rPr>
        <w:t>日内。</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3.你方与发包人协议变更工程款支付日期的，经我方书面同意后，保证期间按照变更后的支付日期做相应调整。</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三、承担保证责任的形式</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我方承担保证责任的形式是代为支付。发包人未按主合同约定向你方支付工程款的，由我方在保证金额内代为支付。</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四、代偿的安排</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1.你方要求我方承担保证责任的，应向我方发出书面索赔通知及发包人未支付主合同约定工程款的证明材料。索赔通知应写明要求索赔的金额，支付款项应到达的账号。</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3.我方收到你方的书面索赔通知及相应的证明材料后７天内无条件支付。</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五、保证责任的解除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1.在本保函承诺的保证期间内，你方未书面向我方主张保证责任的，自保证期间届满次日起，我方保证责任解除。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2.发包人按主合同约定履行了工程款的全部支付义务的，自本保函承诺的保证期间届满次日起，我方保证责任解除。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3.我方按照本保函向你方履行保证责任所支付金额达到本保函保证金额时，自我方向你方支付（支付款项从我方账户划出）之日起，保证责任即解除。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4.按照法律法规的规定或出现应解除我方保证责任的其他情形的，我方在本保函项下的保证责任亦解除。</w:t>
      </w:r>
    </w:p>
    <w:p>
      <w:pPr>
        <w:spacing w:line="312" w:lineRule="auto"/>
        <w:jc w:val="left"/>
        <w:rPr>
          <w:rFonts w:hint="eastAsia" w:ascii="宋体" w:hAnsi="宋体" w:cs="宋体"/>
          <w:color w:val="auto"/>
          <w:sz w:val="24"/>
        </w:rPr>
      </w:pP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5.我方解除保证责任后，你方应自我方保证责任解除之日起</w:t>
      </w:r>
      <w:r>
        <w:rPr>
          <w:rFonts w:hint="eastAsia" w:ascii="宋体" w:hAnsi="宋体" w:cs="宋体"/>
          <w:color w:val="auto"/>
          <w:sz w:val="24"/>
          <w:u w:val="single"/>
        </w:rPr>
        <w:t xml:space="preserve">  </w:t>
      </w:r>
      <w:r>
        <w:rPr>
          <w:rFonts w:hint="eastAsia" w:ascii="宋体" w:hAnsi="宋体" w:cs="宋体"/>
          <w:color w:val="auto"/>
          <w:sz w:val="24"/>
        </w:rPr>
        <w:t>个工作日内，将本保函原件返还我方。</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六、免责条款</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1.因你方违约致使发包人不能履行义务的，我方不承担保证责任。</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2.依照法律法规的规定或你方与发包人的另行约定，免除发包人部分或全部义务的，我方亦免除其相应的保证责任。</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4.因不可抗力造成发包人不能履行义务的，我方不承担保证责任。</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七、争议解决</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因本保函或本保函相关事项发生的纠纷，可由双方协商解决，协商不成的，按下列第</w:t>
      </w:r>
      <w:r>
        <w:rPr>
          <w:rFonts w:hint="eastAsia" w:ascii="宋体" w:hAnsi="宋体" w:cs="宋体"/>
          <w:color w:val="auto"/>
          <w:sz w:val="24"/>
          <w:u w:val="single"/>
        </w:rPr>
        <w:t>（2）</w:t>
      </w:r>
      <w:r>
        <w:rPr>
          <w:rFonts w:hint="eastAsia" w:ascii="宋体" w:hAnsi="宋体" w:cs="宋体"/>
          <w:color w:val="auto"/>
          <w:sz w:val="24"/>
        </w:rPr>
        <w:t>种方式解决：</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（1）向</w:t>
      </w:r>
      <w:r>
        <w:rPr>
          <w:rFonts w:hint="eastAsia" w:ascii="宋体" w:hAnsi="宋体" w:cs="宋体"/>
          <w:color w:val="auto"/>
          <w:sz w:val="24"/>
          <w:u w:val="single"/>
        </w:rPr>
        <w:t xml:space="preserve">              </w:t>
      </w:r>
      <w:r>
        <w:rPr>
          <w:rFonts w:hint="eastAsia" w:ascii="宋体" w:hAnsi="宋体" w:cs="宋体"/>
          <w:color w:val="auto"/>
          <w:sz w:val="24"/>
        </w:rPr>
        <w:t>仲裁委员会申请仲裁；</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（2）向</w:t>
      </w:r>
      <w:r>
        <w:rPr>
          <w:rFonts w:hint="eastAsia" w:ascii="宋体" w:hAnsi="宋体" w:cs="宋体"/>
          <w:color w:val="auto"/>
          <w:sz w:val="24"/>
          <w:u w:val="single"/>
        </w:rPr>
        <w:t>工程所在地</w:t>
      </w:r>
      <w:r>
        <w:rPr>
          <w:rFonts w:hint="eastAsia" w:ascii="宋体" w:hAnsi="宋体" w:cs="宋体"/>
          <w:color w:val="auto"/>
          <w:sz w:val="24"/>
        </w:rPr>
        <w:t>人民法院起诉。</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八、保函的生效</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本保函自我方法定代表人（或其授权代理人）签字并加盖公章之日起生效。</w:t>
      </w:r>
    </w:p>
    <w:p>
      <w:pPr>
        <w:spacing w:line="312" w:lineRule="auto"/>
        <w:ind w:firstLine="480" w:firstLineChars="200"/>
        <w:jc w:val="left"/>
        <w:rPr>
          <w:rFonts w:hint="eastAsia" w:ascii="宋体" w:hAnsi="宋体" w:cs="宋体"/>
          <w:color w:val="auto"/>
          <w:sz w:val="24"/>
        </w:rPr>
      </w:pPr>
    </w:p>
    <w:p>
      <w:pPr>
        <w:spacing w:line="312" w:lineRule="auto"/>
        <w:ind w:firstLine="480" w:firstLineChars="200"/>
        <w:jc w:val="left"/>
        <w:rPr>
          <w:rFonts w:hint="eastAsia" w:ascii="宋体" w:hAnsi="宋体" w:cs="宋体"/>
          <w:color w:val="auto"/>
          <w:sz w:val="24"/>
        </w:rPr>
      </w:pPr>
    </w:p>
    <w:p>
      <w:pPr>
        <w:spacing w:line="312" w:lineRule="auto"/>
        <w:ind w:right="600"/>
        <w:jc w:val="left"/>
        <w:rPr>
          <w:rFonts w:hint="eastAsia" w:ascii="宋体" w:hAnsi="宋体" w:cs="宋体"/>
          <w:color w:val="auto"/>
          <w:sz w:val="24"/>
        </w:rPr>
      </w:pPr>
      <w:r>
        <w:rPr>
          <w:rFonts w:hint="eastAsia" w:ascii="宋体" w:hAnsi="宋体" w:cs="宋体"/>
          <w:color w:val="auto"/>
          <w:sz w:val="24"/>
        </w:rPr>
        <w:t>担保人：</w:t>
      </w:r>
      <w:r>
        <w:rPr>
          <w:rFonts w:hint="eastAsia" w:ascii="宋体" w:hAnsi="宋体" w:cs="宋体"/>
          <w:color w:val="auto"/>
          <w:sz w:val="24"/>
          <w:u w:val="single"/>
        </w:rPr>
        <w:t xml:space="preserve">                                   </w:t>
      </w:r>
      <w:r>
        <w:rPr>
          <w:rFonts w:hint="eastAsia" w:ascii="宋体" w:hAnsi="宋体" w:cs="宋体"/>
          <w:color w:val="auto"/>
          <w:sz w:val="24"/>
        </w:rPr>
        <w:t>（盖章）</w:t>
      </w:r>
    </w:p>
    <w:p>
      <w:pPr>
        <w:spacing w:line="312" w:lineRule="auto"/>
        <w:ind w:right="1200"/>
        <w:rPr>
          <w:rFonts w:hint="eastAsia" w:ascii="宋体" w:hAnsi="宋体" w:cs="宋体"/>
          <w:color w:val="auto"/>
          <w:sz w:val="24"/>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12" w:lineRule="auto"/>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12" w:lineRule="auto"/>
        <w:jc w:val="left"/>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u w:val="single"/>
        </w:rPr>
        <w:t xml:space="preserve">                                        </w:t>
      </w:r>
    </w:p>
    <w:p>
      <w:pPr>
        <w:spacing w:line="312" w:lineRule="auto"/>
        <w:jc w:val="left"/>
        <w:rPr>
          <w:rFonts w:hint="eastAsia"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pPr>
        <w:spacing w:line="312" w:lineRule="auto"/>
        <w:ind w:right="150" w:firstLine="480" w:firstLineChars="200"/>
        <w:jc w:val="left"/>
        <w:rPr>
          <w:rFonts w:hint="eastAsia" w:ascii="宋体" w:hAnsi="宋体" w:cs="宋体"/>
          <w:color w:val="auto"/>
          <w:sz w:val="24"/>
          <w:u w:val="single"/>
        </w:rPr>
      </w:pPr>
    </w:p>
    <w:p>
      <w:pPr>
        <w:spacing w:line="312" w:lineRule="auto"/>
        <w:ind w:right="150" w:firstLine="480" w:firstLineChars="200"/>
        <w:jc w:val="lef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附件11：</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hAnsi="宋体" w:cs="宋体"/>
                <w:color w:val="auto"/>
                <w:szCs w:val="24"/>
                <w:lang w:val="en-US"/>
              </w:rPr>
            </w:pPr>
          </w:p>
        </w:tc>
        <w:tc>
          <w:tcPr>
            <w:tcW w:w="1984" w:type="dxa"/>
            <w:tcBorders>
              <w:top w:val="nil"/>
            </w:tcBorders>
          </w:tcPr>
          <w:p>
            <w:pPr>
              <w:pStyle w:val="24"/>
              <w:keepNext/>
              <w:spacing w:line="440" w:lineRule="exact"/>
              <w:ind w:left="63" w:right="63"/>
              <w:rPr>
                <w:rFonts w:hint="eastAsia" w:hAnsi="宋体" w:cs="宋体"/>
                <w:color w:val="auto"/>
                <w:szCs w:val="24"/>
                <w:lang w:val="en-US"/>
              </w:rPr>
            </w:pPr>
          </w:p>
        </w:tc>
        <w:tc>
          <w:tcPr>
            <w:tcW w:w="851" w:type="dxa"/>
            <w:tcBorders>
              <w:top w:val="nil"/>
            </w:tcBorders>
          </w:tcPr>
          <w:p>
            <w:pPr>
              <w:pStyle w:val="24"/>
              <w:keepNext/>
              <w:spacing w:line="440" w:lineRule="exact"/>
              <w:ind w:left="63" w:right="63"/>
              <w:rPr>
                <w:rFonts w:hint="eastAsia" w:hAnsi="宋体" w:cs="宋体"/>
                <w:color w:val="auto"/>
                <w:szCs w:val="24"/>
                <w:lang w:val="en-US"/>
              </w:rPr>
            </w:pPr>
          </w:p>
        </w:tc>
        <w:tc>
          <w:tcPr>
            <w:tcW w:w="774" w:type="dxa"/>
            <w:tcBorders>
              <w:top w:val="nil"/>
            </w:tcBorders>
          </w:tcPr>
          <w:p>
            <w:pPr>
              <w:pStyle w:val="24"/>
              <w:keepNext/>
              <w:spacing w:line="440" w:lineRule="exact"/>
              <w:ind w:left="63" w:right="63"/>
              <w:rPr>
                <w:rFonts w:hint="eastAsia" w:hAnsi="宋体" w:cs="宋体"/>
                <w:color w:val="auto"/>
                <w:szCs w:val="24"/>
                <w:lang w:val="en-US"/>
              </w:rPr>
            </w:pPr>
          </w:p>
        </w:tc>
        <w:tc>
          <w:tcPr>
            <w:tcW w:w="1352" w:type="dxa"/>
            <w:tcBorders>
              <w:top w:val="nil"/>
            </w:tcBorders>
          </w:tcPr>
          <w:p>
            <w:pPr>
              <w:pStyle w:val="24"/>
              <w:keepNext/>
              <w:spacing w:line="440" w:lineRule="exact"/>
              <w:ind w:left="63" w:right="63"/>
              <w:rPr>
                <w:rFonts w:hint="eastAsia" w:hAnsi="宋体" w:cs="宋体"/>
                <w:color w:val="auto"/>
                <w:szCs w:val="24"/>
                <w:lang w:val="en-US"/>
              </w:rPr>
            </w:pPr>
          </w:p>
        </w:tc>
        <w:tc>
          <w:tcPr>
            <w:tcW w:w="1418" w:type="dxa"/>
            <w:tcBorders>
              <w:top w:val="nil"/>
            </w:tcBorders>
          </w:tcPr>
          <w:p>
            <w:pPr>
              <w:pStyle w:val="24"/>
              <w:keepNext/>
              <w:spacing w:line="440" w:lineRule="exact"/>
              <w:ind w:left="63" w:right="63"/>
              <w:rPr>
                <w:rFonts w:hint="eastAsia" w:hAnsi="宋体" w:cs="宋体"/>
                <w:color w:val="auto"/>
                <w:szCs w:val="24"/>
                <w:lang w:val="en-US"/>
              </w:rPr>
            </w:pPr>
          </w:p>
        </w:tc>
        <w:tc>
          <w:tcPr>
            <w:tcW w:w="1701" w:type="dxa"/>
            <w:tcBorders>
              <w:top w:val="nil"/>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bl>
    <w:p>
      <w:pPr>
        <w:spacing w:before="120" w:beforeLines="50" w:after="120" w:afterLines="50" w:line="440" w:lineRule="exact"/>
        <w:rPr>
          <w:rFonts w:hint="eastAsia" w:ascii="宋体" w:hAnsi="宋体" w:cs="宋体"/>
          <w:color w:val="auto"/>
          <w:sz w:val="24"/>
        </w:rPr>
      </w:pP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11-2：工程设备暂估价表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hAnsi="宋体" w:cs="宋体"/>
                <w:color w:val="auto"/>
                <w:szCs w:val="24"/>
                <w:lang w:val="en-US"/>
              </w:rPr>
            </w:pPr>
          </w:p>
        </w:tc>
        <w:tc>
          <w:tcPr>
            <w:tcW w:w="1984" w:type="dxa"/>
            <w:tcBorders>
              <w:top w:val="nil"/>
            </w:tcBorders>
          </w:tcPr>
          <w:p>
            <w:pPr>
              <w:pStyle w:val="24"/>
              <w:keepNext/>
              <w:spacing w:line="440" w:lineRule="exact"/>
              <w:ind w:left="63" w:right="63"/>
              <w:rPr>
                <w:rFonts w:hint="eastAsia" w:hAnsi="宋体" w:cs="宋体"/>
                <w:color w:val="auto"/>
                <w:szCs w:val="24"/>
                <w:lang w:val="en-US"/>
              </w:rPr>
            </w:pPr>
          </w:p>
        </w:tc>
        <w:tc>
          <w:tcPr>
            <w:tcW w:w="851" w:type="dxa"/>
            <w:tcBorders>
              <w:top w:val="nil"/>
            </w:tcBorders>
          </w:tcPr>
          <w:p>
            <w:pPr>
              <w:pStyle w:val="24"/>
              <w:keepNext/>
              <w:spacing w:line="440" w:lineRule="exact"/>
              <w:ind w:left="63" w:right="63"/>
              <w:rPr>
                <w:rFonts w:hint="eastAsia" w:hAnsi="宋体" w:cs="宋体"/>
                <w:color w:val="auto"/>
                <w:szCs w:val="24"/>
                <w:lang w:val="en-US"/>
              </w:rPr>
            </w:pPr>
          </w:p>
        </w:tc>
        <w:tc>
          <w:tcPr>
            <w:tcW w:w="774" w:type="dxa"/>
            <w:tcBorders>
              <w:top w:val="nil"/>
            </w:tcBorders>
          </w:tcPr>
          <w:p>
            <w:pPr>
              <w:pStyle w:val="24"/>
              <w:keepNext/>
              <w:spacing w:line="440" w:lineRule="exact"/>
              <w:ind w:left="63" w:right="63"/>
              <w:rPr>
                <w:rFonts w:hint="eastAsia" w:hAnsi="宋体" w:cs="宋体"/>
                <w:color w:val="auto"/>
                <w:szCs w:val="24"/>
                <w:lang w:val="en-US"/>
              </w:rPr>
            </w:pPr>
          </w:p>
        </w:tc>
        <w:tc>
          <w:tcPr>
            <w:tcW w:w="1352" w:type="dxa"/>
            <w:tcBorders>
              <w:top w:val="nil"/>
            </w:tcBorders>
          </w:tcPr>
          <w:p>
            <w:pPr>
              <w:pStyle w:val="24"/>
              <w:keepNext/>
              <w:spacing w:line="440" w:lineRule="exact"/>
              <w:ind w:left="63" w:right="63"/>
              <w:rPr>
                <w:rFonts w:hint="eastAsia" w:hAnsi="宋体" w:cs="宋体"/>
                <w:color w:val="auto"/>
                <w:szCs w:val="24"/>
                <w:lang w:val="en-US"/>
              </w:rPr>
            </w:pPr>
          </w:p>
        </w:tc>
        <w:tc>
          <w:tcPr>
            <w:tcW w:w="1418" w:type="dxa"/>
            <w:tcBorders>
              <w:top w:val="nil"/>
            </w:tcBorders>
          </w:tcPr>
          <w:p>
            <w:pPr>
              <w:pStyle w:val="24"/>
              <w:keepNext/>
              <w:spacing w:line="440" w:lineRule="exact"/>
              <w:ind w:left="63" w:right="63"/>
              <w:rPr>
                <w:rFonts w:hint="eastAsia" w:hAnsi="宋体" w:cs="宋体"/>
                <w:color w:val="auto"/>
                <w:szCs w:val="24"/>
                <w:lang w:val="en-US"/>
              </w:rPr>
            </w:pPr>
          </w:p>
        </w:tc>
        <w:tc>
          <w:tcPr>
            <w:tcW w:w="1701" w:type="dxa"/>
            <w:tcBorders>
              <w:top w:val="nil"/>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bl>
    <w:p>
      <w:pPr>
        <w:spacing w:line="440" w:lineRule="exact"/>
        <w:rPr>
          <w:rFonts w:hint="eastAsia" w:ascii="宋体" w:hAnsi="宋体" w:cs="宋体"/>
          <w:color w:val="auto"/>
          <w:sz w:val="24"/>
        </w:rPr>
      </w:pP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11-3：专业工程暂估价表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hAnsi="宋体" w:cs="宋体"/>
                <w:color w:val="auto"/>
                <w:szCs w:val="24"/>
                <w:lang w:val="en-US"/>
              </w:rPr>
            </w:pPr>
          </w:p>
        </w:tc>
        <w:tc>
          <w:tcPr>
            <w:tcW w:w="1984" w:type="dxa"/>
            <w:tcBorders>
              <w:top w:val="nil"/>
            </w:tcBorders>
          </w:tcPr>
          <w:p>
            <w:pPr>
              <w:pStyle w:val="24"/>
              <w:keepNext/>
              <w:spacing w:line="440" w:lineRule="exact"/>
              <w:ind w:left="63" w:right="63"/>
              <w:rPr>
                <w:rFonts w:hint="eastAsia" w:hAnsi="宋体" w:cs="宋体"/>
                <w:color w:val="auto"/>
                <w:szCs w:val="24"/>
                <w:lang w:val="en-US"/>
              </w:rPr>
            </w:pPr>
          </w:p>
        </w:tc>
        <w:tc>
          <w:tcPr>
            <w:tcW w:w="851" w:type="dxa"/>
            <w:tcBorders>
              <w:top w:val="nil"/>
            </w:tcBorders>
          </w:tcPr>
          <w:p>
            <w:pPr>
              <w:pStyle w:val="24"/>
              <w:keepNext/>
              <w:spacing w:line="440" w:lineRule="exact"/>
              <w:ind w:left="63" w:right="63"/>
              <w:rPr>
                <w:rFonts w:hint="eastAsia" w:hAnsi="宋体" w:cs="宋体"/>
                <w:color w:val="auto"/>
                <w:szCs w:val="24"/>
                <w:lang w:val="en-US"/>
              </w:rPr>
            </w:pPr>
          </w:p>
        </w:tc>
        <w:tc>
          <w:tcPr>
            <w:tcW w:w="774" w:type="dxa"/>
            <w:tcBorders>
              <w:top w:val="nil"/>
            </w:tcBorders>
          </w:tcPr>
          <w:p>
            <w:pPr>
              <w:pStyle w:val="24"/>
              <w:keepNext/>
              <w:spacing w:line="440" w:lineRule="exact"/>
              <w:ind w:left="63" w:right="63"/>
              <w:rPr>
                <w:rFonts w:hint="eastAsia" w:hAnsi="宋体" w:cs="宋体"/>
                <w:color w:val="auto"/>
                <w:szCs w:val="24"/>
                <w:lang w:val="en-US"/>
              </w:rPr>
            </w:pPr>
          </w:p>
        </w:tc>
        <w:tc>
          <w:tcPr>
            <w:tcW w:w="1352" w:type="dxa"/>
            <w:tcBorders>
              <w:top w:val="nil"/>
            </w:tcBorders>
          </w:tcPr>
          <w:p>
            <w:pPr>
              <w:pStyle w:val="24"/>
              <w:keepNext/>
              <w:spacing w:line="440" w:lineRule="exact"/>
              <w:ind w:left="63" w:right="63"/>
              <w:rPr>
                <w:rFonts w:hint="eastAsia" w:hAnsi="宋体" w:cs="宋体"/>
                <w:color w:val="auto"/>
                <w:szCs w:val="24"/>
                <w:lang w:val="en-US"/>
              </w:rPr>
            </w:pPr>
          </w:p>
        </w:tc>
        <w:tc>
          <w:tcPr>
            <w:tcW w:w="1418" w:type="dxa"/>
            <w:tcBorders>
              <w:top w:val="nil"/>
            </w:tcBorders>
          </w:tcPr>
          <w:p>
            <w:pPr>
              <w:pStyle w:val="24"/>
              <w:keepNext/>
              <w:spacing w:line="440" w:lineRule="exact"/>
              <w:ind w:left="63" w:right="63"/>
              <w:rPr>
                <w:rFonts w:hint="eastAsia" w:hAnsi="宋体" w:cs="宋体"/>
                <w:color w:val="auto"/>
                <w:szCs w:val="24"/>
                <w:lang w:val="en-US"/>
              </w:rPr>
            </w:pPr>
          </w:p>
        </w:tc>
        <w:tc>
          <w:tcPr>
            <w:tcW w:w="1701" w:type="dxa"/>
            <w:tcBorders>
              <w:top w:val="nil"/>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bookmarkEnd w:id="398"/>
      <w:bookmarkEnd w:id="399"/>
    </w:tbl>
    <w:p>
      <w:pPr>
        <w:rPr>
          <w:rFonts w:hint="eastAsia" w:ascii="宋体" w:hAnsi="宋体" w:cs="宋体"/>
          <w:color w:val="auto"/>
          <w:szCs w:val="21"/>
        </w:rPr>
      </w:pPr>
    </w:p>
    <w:p>
      <w:pPr>
        <w:widowControl/>
        <w:adjustRightInd/>
        <w:jc w:val="left"/>
        <w:rPr>
          <w:rFonts w:hint="eastAsia" w:ascii="宋体" w:hAnsi="宋体" w:cs="宋体"/>
          <w:b/>
          <w:color w:val="auto"/>
          <w:sz w:val="36"/>
          <w:szCs w:val="20"/>
        </w:rPr>
      </w:pPr>
      <w:r>
        <w:rPr>
          <w:rFonts w:hint="eastAsia" w:ascii="宋体" w:hAnsi="宋体" w:cs="宋体"/>
          <w:b/>
          <w:color w:val="auto"/>
          <w:sz w:val="36"/>
          <w:szCs w:val="20"/>
        </w:rPr>
        <w:br w:type="page"/>
      </w:r>
    </w:p>
    <w:p>
      <w:pPr>
        <w:snapToGrid w:val="0"/>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pPr>
        <w:pStyle w:val="97"/>
        <w:jc w:val="center"/>
        <w:rPr>
          <w:rFonts w:hint="eastAsia"/>
          <w:color w:val="auto"/>
        </w:rPr>
      </w:pPr>
      <w:r>
        <w:rPr>
          <w:rFonts w:hint="eastAsia"/>
          <w:color w:val="auto"/>
        </w:rPr>
        <w:t>目录</w:t>
      </w:r>
    </w:p>
    <w:p>
      <w:pPr>
        <w:snapToGrid w:val="0"/>
        <w:spacing w:line="360" w:lineRule="auto"/>
        <w:rPr>
          <w:rFonts w:hint="eastAsia" w:ascii="宋体" w:hAnsi="宋体" w:cs="宋体"/>
          <w:color w:val="auto"/>
          <w:sz w:val="24"/>
        </w:rPr>
      </w:pPr>
      <w:r>
        <w:rPr>
          <w:rFonts w:hint="eastAsia" w:ascii="宋体" w:hAnsi="宋体" w:cs="宋体"/>
          <w:color w:val="auto"/>
          <w:sz w:val="24"/>
        </w:rPr>
        <w:t>（1）符合参加采购活动应当具备的一般条件的承诺函……………（页码）</w:t>
      </w:r>
    </w:p>
    <w:p>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符合参加采购活动应当具备的一般条件的承诺函</w:t>
      </w:r>
    </w:p>
    <w:p>
      <w:pPr>
        <w:snapToGrid w:val="0"/>
        <w:spacing w:line="360" w:lineRule="auto"/>
        <w:rPr>
          <w:rFonts w:hint="eastAsia" w:ascii="宋体" w:hAnsi="宋体" w:cs="宋体"/>
          <w:color w:val="auto"/>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【项目编号：            】采购活动，郑重承诺：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5、参加采购活动前三年内，在经营活动中没有重大违法记录；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hint="eastAsia" w:ascii="宋体" w:hAnsi="宋体" w:cs="宋体"/>
          <w:b/>
          <w:color w:val="auto"/>
          <w:kern w:val="0"/>
          <w:sz w:val="32"/>
          <w:szCs w:val="32"/>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[以联合体形式参与的，提供联合协议（附件2）；本项目不接受联合体或者供应商不以联合体形式投参与的，则不需要提供]</w:t>
      </w:r>
    </w:p>
    <w:p>
      <w:pPr>
        <w:snapToGrid w:val="0"/>
        <w:spacing w:line="360" w:lineRule="auto"/>
        <w:ind w:right="480"/>
        <w:jc w:val="center"/>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hint="eastAsia"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hint="eastAsia" w:ascii="宋体" w:hAnsi="宋体" w:cs="宋体"/>
          <w:color w:val="auto"/>
          <w:sz w:val="24"/>
        </w:rPr>
      </w:pPr>
    </w:p>
    <w:p>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rPr>
      </w:pPr>
    </w:p>
    <w:p>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hint="eastAsia"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pPr>
        <w:rPr>
          <w:rFonts w:hint="eastAsia" w:ascii="宋体" w:hAnsi="宋体" w:cs="宋体"/>
          <w:color w:val="auto"/>
        </w:rPr>
      </w:pPr>
    </w:p>
    <w:p>
      <w:pPr>
        <w:snapToGrid w:val="0"/>
        <w:spacing w:line="360" w:lineRule="auto"/>
        <w:ind w:right="480"/>
        <w:jc w:val="center"/>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商务技术文件部分</w:t>
      </w:r>
    </w:p>
    <w:p>
      <w:pPr>
        <w:pStyle w:val="97"/>
        <w:jc w:val="center"/>
        <w:rPr>
          <w:rFonts w:hint="eastAsia"/>
          <w:color w:val="auto"/>
        </w:rPr>
      </w:pPr>
      <w:r>
        <w:rPr>
          <w:rFonts w:hint="eastAsia"/>
          <w:color w:val="auto"/>
        </w:rPr>
        <w:t>目录</w:t>
      </w:r>
    </w:p>
    <w:p>
      <w:pPr>
        <w:numPr>
          <w:ilvl w:val="255"/>
          <w:numId w:val="0"/>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pPr>
        <w:numPr>
          <w:ilvl w:val="255"/>
          <w:numId w:val="0"/>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r>
        <w:rPr>
          <w:rFonts w:hint="eastAsia" w:ascii="宋体" w:hAnsi="宋体" w:cs="宋体"/>
          <w:color w:val="auto"/>
          <w:sz w:val="24"/>
        </w:rPr>
        <w:t>…………………………………………………（页码）</w:t>
      </w:r>
    </w:p>
    <w:p>
      <w:pPr>
        <w:snapToGrid w:val="0"/>
        <w:spacing w:line="360" w:lineRule="auto"/>
        <w:jc w:val="center"/>
        <w:rPr>
          <w:rFonts w:hint="eastAsia"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一、响应函</w:t>
      </w:r>
    </w:p>
    <w:p>
      <w:pPr>
        <w:snapToGrid w:val="0"/>
        <w:spacing w:line="360" w:lineRule="auto"/>
        <w:rPr>
          <w:rFonts w:hint="eastAsia" w:ascii="宋体" w:hAnsi="宋体" w:cs="宋体"/>
          <w:color w:val="auto"/>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【项目编号：</w:t>
      </w:r>
      <w:r>
        <w:rPr>
          <w:rFonts w:hint="eastAsia" w:ascii="宋体" w:hAnsi="宋体" w:cs="宋体"/>
          <w:color w:val="auto"/>
          <w:sz w:val="24"/>
          <w:lang w:eastAsia="zh-CN"/>
        </w:rPr>
        <w:t>浙房咨2025【D-076】715</w:t>
      </w:r>
      <w:r>
        <w:rPr>
          <w:rFonts w:hint="eastAsia" w:ascii="宋体" w:hAnsi="宋体" w:cs="宋体"/>
          <w:color w:val="auto"/>
          <w:sz w:val="24"/>
        </w:rPr>
        <w:t>】采购的有关活动，并对此项目提交响应文件及报价。为此：</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2、我方的响应文件包括以下内容：</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2.2.6商务技术偏离表；</w:t>
      </w:r>
    </w:p>
    <w:p>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2.3.1报价单；</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2.3.2已标价工程量清单；</w:t>
      </w:r>
    </w:p>
    <w:p>
      <w:pPr>
        <w:pStyle w:val="92"/>
        <w:ind w:firstLine="960" w:firstLineChars="4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3、我方承诺除商务技术偏离表列出的偏离外，我方响应采购文件的全部要求。对响应文件中材料的真实性、合法性负责。</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4、如我方成交，我方承诺：</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供应商名称（电子签名）：                          </w:t>
      </w:r>
    </w:p>
    <w:p>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hint="eastAsia" w:ascii="宋体" w:hAnsi="宋体" w:cs="宋体"/>
          <w:color w:val="auto"/>
          <w:kern w:val="0"/>
          <w:sz w:val="24"/>
          <w:u w:val="single"/>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hint="eastAsia" w:ascii="宋体" w:hAnsi="宋体" w:cs="宋体"/>
          <w:b/>
          <w:color w:val="auto"/>
          <w:kern w:val="0"/>
          <w:sz w:val="32"/>
          <w:szCs w:val="32"/>
        </w:rPr>
      </w:pPr>
    </w:p>
    <w:p>
      <w:pPr>
        <w:snapToGrid w:val="0"/>
        <w:spacing w:line="360" w:lineRule="auto"/>
        <w:rPr>
          <w:rFonts w:hint="eastAsia" w:ascii="宋体" w:hAnsi="宋体" w:cs="宋体"/>
          <w:color w:val="auto"/>
          <w:sz w:val="24"/>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【项目编号：</w:t>
      </w:r>
      <w:r>
        <w:rPr>
          <w:rFonts w:hint="eastAsia" w:ascii="宋体" w:hAnsi="宋体" w:cs="宋体"/>
          <w:color w:val="auto"/>
          <w:sz w:val="24"/>
          <w:lang w:eastAsia="zh-CN"/>
        </w:rPr>
        <w:t>浙房咨2025【D-076】715</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sz w:val="24"/>
        </w:rPr>
      </w:pP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【项目编号：</w:t>
      </w:r>
      <w:r>
        <w:rPr>
          <w:rFonts w:hint="eastAsia" w:ascii="宋体" w:hAnsi="宋体" w:cs="宋体"/>
          <w:color w:val="auto"/>
          <w:sz w:val="24"/>
          <w:lang w:eastAsia="zh-CN"/>
        </w:rPr>
        <w:t>浙房咨2025【D-076】715</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rPr>
          <w:rFonts w:hint="eastAsia" w:ascii="宋体" w:hAnsi="宋体" w:cs="宋体"/>
          <w:color w:val="auto"/>
        </w:rPr>
      </w:pPr>
    </w:p>
    <w:p>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widowControl/>
        <w:adjustRightInd/>
        <w:jc w:val="left"/>
        <w:rPr>
          <w:rFonts w:hint="eastAsia" w:ascii="宋体" w:hAnsi="宋体" w:cs="宋体"/>
          <w:b/>
          <w:bCs/>
          <w:color w:val="auto"/>
          <w:sz w:val="32"/>
          <w:szCs w:val="32"/>
          <w:lang w:val="zh-CN"/>
        </w:rPr>
      </w:pPr>
      <w:r>
        <w:rPr>
          <w:rFonts w:hint="eastAsia" w:ascii="宋体" w:hAnsi="宋体" w:cs="宋体"/>
          <w:b/>
          <w:bCs/>
          <w:color w:val="auto"/>
          <w:sz w:val="32"/>
          <w:szCs w:val="32"/>
          <w:lang w:val="zh-CN"/>
        </w:rPr>
        <w:br w:type="page"/>
      </w: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pPr>
        <w:pStyle w:val="159"/>
        <w:spacing w:line="360" w:lineRule="auto"/>
        <w:rPr>
          <w:rFonts w:hint="eastAsia"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hint="eastAsia" w:hAnsi="宋体" w:cs="宋体"/>
                <w:bCs/>
                <w:color w:val="auto"/>
                <w:sz w:val="24"/>
              </w:rPr>
            </w:pPr>
            <w:r>
              <w:rPr>
                <w:rFonts w:hint="eastAsia" w:hAnsi="宋体" w:cs="宋体"/>
                <w:bCs/>
                <w:color w:val="auto"/>
                <w:sz w:val="24"/>
              </w:rPr>
              <w:t>正面：                                 反面：</w:t>
            </w:r>
          </w:p>
          <w:p>
            <w:pPr>
              <w:pStyle w:val="159"/>
              <w:adjustRightInd w:val="0"/>
              <w:spacing w:line="360" w:lineRule="auto"/>
              <w:rPr>
                <w:rFonts w:hint="eastAsia" w:hAnsi="宋体" w:cs="宋体"/>
                <w:bCs/>
                <w:color w:val="auto"/>
                <w:sz w:val="24"/>
              </w:rPr>
            </w:pPr>
          </w:p>
        </w:tc>
      </w:tr>
    </w:tbl>
    <w:p>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snapToGrid w:val="0"/>
        <w:spacing w:line="360" w:lineRule="auto"/>
        <w:ind w:right="480"/>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三、分包意向协议</w:t>
      </w:r>
    </w:p>
    <w:p>
      <w:pPr>
        <w:widowControl/>
        <w:spacing w:line="360" w:lineRule="auto"/>
        <w:ind w:firstLine="120" w:firstLineChars="50"/>
        <w:jc w:val="left"/>
        <w:rPr>
          <w:rFonts w:hint="eastAsia" w:ascii="宋体" w:hAnsi="宋体" w:cs="宋体"/>
          <w:color w:val="auto"/>
          <w:sz w:val="24"/>
        </w:rPr>
      </w:pPr>
      <w:bookmarkStart w:id="435"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435"/>
    <w:p>
      <w:pPr>
        <w:snapToGrid w:val="0"/>
        <w:spacing w:line="360" w:lineRule="auto"/>
        <w:rPr>
          <w:rFonts w:hint="eastAsia" w:ascii="宋体" w:hAnsi="宋体" w:cs="宋体"/>
          <w:color w:val="auto"/>
          <w:kern w:val="0"/>
          <w:sz w:val="24"/>
        </w:rPr>
      </w:pP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四、符合性审查资料</w:t>
      </w:r>
    </w:p>
    <w:p>
      <w:pPr>
        <w:jc w:val="center"/>
        <w:rPr>
          <w:rFonts w:hint="eastAsia"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响应文件中的</w:t>
            </w:r>
          </w:p>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rPr>
                <w:rFonts w:hint="eastAsia"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pPr>
              <w:rPr>
                <w:rFonts w:hint="eastAsia"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pPr>
              <w:rPr>
                <w:rFonts w:hint="eastAsia" w:ascii="宋体" w:hAnsi="宋体" w:cs="宋体"/>
                <w:color w:val="auto"/>
                <w:sz w:val="24"/>
              </w:rPr>
            </w:pPr>
            <w:r>
              <w:rPr>
                <w:rFonts w:hint="eastAsia" w:ascii="宋体" w:hAnsi="宋体" w:cs="宋体"/>
                <w:color w:val="auto"/>
                <w:sz w:val="24"/>
              </w:rPr>
              <w:t>见响应文件</w:t>
            </w:r>
          </w:p>
          <w:p>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rPr>
                <w:rFonts w:hint="eastAsia"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pPr>
              <w:rPr>
                <w:rFonts w:hint="eastAsia" w:ascii="宋体" w:hAnsi="宋体" w:cs="宋体"/>
                <w:color w:val="auto"/>
                <w:sz w:val="24"/>
              </w:rPr>
            </w:pPr>
            <w:r>
              <w:rPr>
                <w:rFonts w:hint="eastAsia" w:ascii="宋体" w:hAnsi="宋体" w:cs="宋体"/>
                <w:color w:val="auto"/>
                <w:sz w:val="24"/>
              </w:rPr>
              <w:t>响应函</w:t>
            </w:r>
          </w:p>
        </w:tc>
        <w:tc>
          <w:tcPr>
            <w:tcW w:w="1418" w:type="dxa"/>
            <w:vAlign w:val="center"/>
          </w:tcPr>
          <w:p>
            <w:pPr>
              <w:rPr>
                <w:rFonts w:hint="eastAsia"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rPr>
                <w:rFonts w:hint="eastAsia"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pPr>
              <w:rPr>
                <w:rFonts w:hint="eastAsia"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pPr>
              <w:rPr>
                <w:rFonts w:hint="eastAsia"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widowControl/>
        <w:adjustRightInd/>
        <w:jc w:val="left"/>
        <w:rPr>
          <w:rFonts w:hint="eastAsia" w:ascii="宋体" w:hAnsi="宋体" w:cs="宋体"/>
          <w:b/>
          <w:bCs/>
          <w:color w:val="auto"/>
          <w:sz w:val="32"/>
          <w:szCs w:val="32"/>
        </w:rPr>
      </w:pPr>
      <w:r>
        <w:rPr>
          <w:rFonts w:hint="eastAsia" w:ascii="宋体" w:hAnsi="宋体" w:cs="宋体"/>
          <w:b/>
          <w:bCs/>
          <w:color w:val="auto"/>
          <w:sz w:val="32"/>
          <w:szCs w:val="32"/>
        </w:rPr>
        <w:br w:type="page"/>
      </w: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五、评审标准相应的商务技术资料</w:t>
      </w:r>
    </w:p>
    <w:p>
      <w:pPr>
        <w:snapToGrid w:val="0"/>
        <w:spacing w:line="360" w:lineRule="auto"/>
        <w:jc w:val="left"/>
        <w:rPr>
          <w:rFonts w:hint="eastAsia"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hint="eastAsia" w:ascii="宋体" w:hAnsi="宋体" w:cs="宋体"/>
                <w:b/>
                <w:bCs/>
                <w:color w:val="auto"/>
                <w:sz w:val="24"/>
              </w:rPr>
            </w:pPr>
            <w:r>
              <w:rPr>
                <w:rFonts w:hint="eastAsia" w:ascii="宋体" w:hAnsi="宋体" w:cs="宋体"/>
                <w:b/>
                <w:bCs/>
                <w:color w:val="auto"/>
                <w:sz w:val="24"/>
              </w:rPr>
              <w:t>采购文件章节及具体内容</w:t>
            </w:r>
          </w:p>
        </w:tc>
        <w:tc>
          <w:tcPr>
            <w:tcW w:w="3546" w:type="dxa"/>
          </w:tcPr>
          <w:p>
            <w:pPr>
              <w:jc w:val="center"/>
              <w:rPr>
                <w:rFonts w:hint="eastAsia"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hint="eastAsia"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hint="eastAsia" w:ascii="宋体" w:hAnsi="宋体" w:cs="宋体"/>
                <w:b/>
                <w:color w:val="auto"/>
                <w:kern w:val="0"/>
                <w:sz w:val="32"/>
                <w:szCs w:val="32"/>
              </w:rPr>
            </w:pPr>
          </w:p>
        </w:tc>
        <w:tc>
          <w:tcPr>
            <w:tcW w:w="3546" w:type="dxa"/>
          </w:tcPr>
          <w:p>
            <w:pPr>
              <w:jc w:val="center"/>
              <w:rPr>
                <w:rFonts w:hint="eastAsia" w:ascii="宋体" w:hAnsi="宋体" w:cs="宋体"/>
                <w:b/>
                <w:color w:val="auto"/>
                <w:kern w:val="0"/>
                <w:sz w:val="32"/>
                <w:szCs w:val="32"/>
              </w:rPr>
            </w:pPr>
          </w:p>
        </w:tc>
        <w:tc>
          <w:tcPr>
            <w:tcW w:w="1276" w:type="dxa"/>
          </w:tcPr>
          <w:p>
            <w:pPr>
              <w:jc w:val="center"/>
              <w:rPr>
                <w:rFonts w:hint="eastAsia"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hint="eastAsia" w:ascii="宋体" w:hAnsi="宋体" w:cs="宋体"/>
                <w:b/>
                <w:color w:val="auto"/>
                <w:kern w:val="0"/>
                <w:sz w:val="32"/>
                <w:szCs w:val="32"/>
              </w:rPr>
            </w:pPr>
          </w:p>
        </w:tc>
        <w:tc>
          <w:tcPr>
            <w:tcW w:w="3546" w:type="dxa"/>
          </w:tcPr>
          <w:p>
            <w:pPr>
              <w:jc w:val="center"/>
              <w:rPr>
                <w:rFonts w:hint="eastAsia" w:ascii="宋体" w:hAnsi="宋体" w:cs="宋体"/>
                <w:b/>
                <w:color w:val="auto"/>
                <w:kern w:val="0"/>
                <w:sz w:val="32"/>
                <w:szCs w:val="32"/>
              </w:rPr>
            </w:pPr>
          </w:p>
        </w:tc>
        <w:tc>
          <w:tcPr>
            <w:tcW w:w="1276" w:type="dxa"/>
          </w:tcPr>
          <w:p>
            <w:pPr>
              <w:jc w:val="center"/>
              <w:rPr>
                <w:rFonts w:hint="eastAsia"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hint="eastAsia" w:ascii="宋体" w:hAnsi="宋体" w:cs="宋体"/>
                <w:b/>
                <w:color w:val="auto"/>
                <w:kern w:val="0"/>
                <w:sz w:val="32"/>
                <w:szCs w:val="32"/>
              </w:rPr>
            </w:pPr>
          </w:p>
        </w:tc>
        <w:tc>
          <w:tcPr>
            <w:tcW w:w="3546" w:type="dxa"/>
          </w:tcPr>
          <w:p>
            <w:pPr>
              <w:jc w:val="center"/>
              <w:rPr>
                <w:rFonts w:hint="eastAsia" w:ascii="宋体" w:hAnsi="宋体" w:cs="宋体"/>
                <w:b/>
                <w:color w:val="auto"/>
                <w:kern w:val="0"/>
                <w:sz w:val="32"/>
                <w:szCs w:val="32"/>
              </w:rPr>
            </w:pPr>
          </w:p>
        </w:tc>
        <w:tc>
          <w:tcPr>
            <w:tcW w:w="1276" w:type="dxa"/>
          </w:tcPr>
          <w:p>
            <w:pPr>
              <w:jc w:val="center"/>
              <w:rPr>
                <w:rFonts w:hint="eastAsia" w:ascii="宋体" w:hAnsi="宋体" w:cs="宋体"/>
                <w:b/>
                <w:color w:val="auto"/>
                <w:kern w:val="0"/>
                <w:sz w:val="32"/>
                <w:szCs w:val="32"/>
              </w:rPr>
            </w:pPr>
          </w:p>
        </w:tc>
      </w:tr>
    </w:tbl>
    <w:p>
      <w:pPr>
        <w:jc w:val="left"/>
        <w:rPr>
          <w:rFonts w:hint="eastAsia"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pPr>
        <w:jc w:val="center"/>
        <w:rPr>
          <w:rFonts w:hint="eastAsia" w:ascii="宋体" w:hAnsi="宋体" w:cs="宋体"/>
          <w:b/>
          <w:color w:val="auto"/>
          <w:kern w:val="0"/>
          <w:sz w:val="32"/>
          <w:szCs w:val="32"/>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ind w:firstLine="1911" w:firstLineChars="595"/>
        <w:rPr>
          <w:rFonts w:hint="eastAsia" w:ascii="宋体" w:hAnsi="宋体" w:cs="宋体"/>
          <w:b/>
          <w:bCs/>
          <w:color w:val="auto"/>
          <w:sz w:val="32"/>
          <w:szCs w:val="32"/>
        </w:rPr>
      </w:pPr>
    </w:p>
    <w:p>
      <w:pPr>
        <w:jc w:val="left"/>
        <w:rPr>
          <w:rFonts w:hint="eastAsia" w:ascii="宋体" w:hAnsi="宋体" w:cs="宋体"/>
          <w:b/>
          <w:bCs/>
          <w:color w:val="auto"/>
          <w:sz w:val="32"/>
          <w:szCs w:val="32"/>
        </w:rPr>
      </w:pPr>
      <w:r>
        <w:rPr>
          <w:rFonts w:hint="eastAsia" w:ascii="宋体" w:hAnsi="宋体" w:cs="宋体"/>
          <w:b/>
          <w:bCs/>
          <w:color w:val="auto"/>
          <w:sz w:val="32"/>
          <w:szCs w:val="32"/>
        </w:rPr>
        <w:br w:type="page"/>
      </w:r>
    </w:p>
    <w:p>
      <w:pPr>
        <w:snapToGrid w:val="0"/>
        <w:jc w:val="center"/>
        <w:rPr>
          <w:rFonts w:hint="eastAsia"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采购供应商廉洁自律承诺书</w:t>
      </w: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lang w:val="zh-CN"/>
        </w:rPr>
      </w:pPr>
    </w:p>
    <w:p>
      <w:pPr>
        <w:autoSpaceDE w:val="0"/>
        <w:autoSpaceDN w:val="0"/>
        <w:spacing w:line="360" w:lineRule="auto"/>
        <w:ind w:left="2"/>
        <w:jc w:val="left"/>
        <w:rPr>
          <w:rFonts w:hint="eastAsia" w:ascii="宋体" w:hAnsi="宋体" w:cs="宋体"/>
          <w:color w:val="auto"/>
          <w:kern w:val="0"/>
          <w:sz w:val="24"/>
          <w:lang w:val="zh-CN"/>
        </w:rPr>
      </w:pPr>
    </w:p>
    <w:p>
      <w:pPr>
        <w:autoSpaceDE w:val="0"/>
        <w:autoSpaceDN w:val="0"/>
        <w:spacing w:line="360" w:lineRule="auto"/>
        <w:ind w:left="2"/>
        <w:jc w:val="left"/>
        <w:rPr>
          <w:rFonts w:hint="eastAsia" w:ascii="宋体" w:hAnsi="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hint="eastAsia" w:ascii="宋体" w:hAnsi="宋体" w:cs="宋体"/>
          <w:b/>
          <w:bCs/>
          <w:color w:val="auto"/>
          <w:sz w:val="24"/>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hint="eastAsia" w:ascii="宋体" w:hAnsi="宋体" w:cs="宋体"/>
          <w:b/>
          <w:bCs/>
          <w:color w:val="auto"/>
          <w:sz w:val="24"/>
        </w:rPr>
        <w:sectPr>
          <w:footerReference r:id="rId22" w:type="first"/>
          <w:footerReference r:id="rId21"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pPr>
        <w:pStyle w:val="97"/>
        <w:rPr>
          <w:rFonts w:hint="eastAsia"/>
          <w:color w:val="auto"/>
        </w:rPr>
      </w:pPr>
      <w:r>
        <w:rPr>
          <w:rFonts w:hint="eastAsia"/>
          <w:color w:val="auto"/>
        </w:rPr>
        <w:t>目录</w:t>
      </w:r>
    </w:p>
    <w:p>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pPr>
        <w:snapToGrid w:val="0"/>
        <w:spacing w:line="360" w:lineRule="auto"/>
        <w:rPr>
          <w:rFonts w:hint="eastAsia" w:ascii="宋体" w:hAnsi="宋体" w:cs="宋体"/>
          <w:color w:val="auto"/>
          <w:sz w:val="24"/>
        </w:rPr>
      </w:pPr>
      <w:r>
        <w:rPr>
          <w:rFonts w:hint="eastAsia" w:ascii="宋体" w:hAnsi="宋体" w:cs="宋体"/>
          <w:color w:val="auto"/>
          <w:sz w:val="24"/>
        </w:rPr>
        <w:t>（2）已标价工程量清单……………………………………………………………（页码）</w:t>
      </w:r>
    </w:p>
    <w:p>
      <w:pPr>
        <w:pStyle w:val="92"/>
        <w:rPr>
          <w:rFonts w:hint="eastAsia"/>
          <w:color w:val="auto"/>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kern w:val="0"/>
          <w:sz w:val="24"/>
          <w:lang w:val="zh-CN"/>
        </w:rPr>
        <w:t>【项目编号：</w:t>
      </w:r>
      <w:r>
        <w:rPr>
          <w:rFonts w:hint="eastAsia" w:ascii="宋体" w:hAnsi="宋体" w:cs="宋体"/>
          <w:color w:val="auto"/>
          <w:sz w:val="24"/>
        </w:rPr>
        <w:t xml:space="preserve">          】的实施</w:t>
      </w:r>
      <w:r>
        <w:rPr>
          <w:rFonts w:hint="eastAsia" w:ascii="宋体" w:hAnsi="宋体" w:cs="宋体"/>
          <w:color w:val="auto"/>
          <w:kern w:val="0"/>
          <w:sz w:val="24"/>
          <w:lang w:val="zh-CN"/>
        </w:rPr>
        <w:t>。</w:t>
      </w:r>
    </w:p>
    <w:p>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项目名称</w:t>
            </w:r>
          </w:p>
        </w:tc>
        <w:tc>
          <w:tcPr>
            <w:tcW w:w="1843" w:type="dxa"/>
          </w:tcPr>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施工范围</w:t>
            </w:r>
          </w:p>
        </w:tc>
        <w:tc>
          <w:tcPr>
            <w:tcW w:w="3118"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施工工期</w:t>
            </w:r>
          </w:p>
        </w:tc>
        <w:tc>
          <w:tcPr>
            <w:tcW w:w="2552"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项目经理</w:t>
            </w:r>
          </w:p>
        </w:tc>
        <w:tc>
          <w:tcPr>
            <w:tcW w:w="1984"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执业证书信息</w:t>
            </w:r>
          </w:p>
        </w:tc>
        <w:tc>
          <w:tcPr>
            <w:tcW w:w="3119" w:type="dxa"/>
            <w:vAlign w:val="center"/>
          </w:tcPr>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hint="eastAsia" w:ascii="宋体" w:hAnsi="宋体" w:cs="宋体"/>
                <w:color w:val="auto"/>
                <w:sz w:val="24"/>
              </w:rPr>
            </w:pPr>
          </w:p>
        </w:tc>
        <w:tc>
          <w:tcPr>
            <w:tcW w:w="1843" w:type="dxa"/>
            <w:vAlign w:val="center"/>
          </w:tcPr>
          <w:p>
            <w:pPr>
              <w:snapToGrid w:val="0"/>
              <w:spacing w:line="360" w:lineRule="auto"/>
              <w:jc w:val="center"/>
              <w:rPr>
                <w:rFonts w:hint="eastAsia" w:ascii="宋体" w:hAnsi="宋体" w:cs="宋体"/>
                <w:color w:val="auto"/>
                <w:sz w:val="24"/>
              </w:rPr>
            </w:pPr>
          </w:p>
        </w:tc>
        <w:tc>
          <w:tcPr>
            <w:tcW w:w="3118" w:type="dxa"/>
            <w:vAlign w:val="center"/>
          </w:tcPr>
          <w:p>
            <w:pPr>
              <w:snapToGrid w:val="0"/>
              <w:spacing w:line="360" w:lineRule="auto"/>
              <w:jc w:val="center"/>
              <w:rPr>
                <w:rFonts w:hint="eastAsia" w:ascii="宋体" w:hAnsi="宋体" w:cs="宋体"/>
                <w:color w:val="auto"/>
                <w:sz w:val="24"/>
              </w:rPr>
            </w:pPr>
          </w:p>
        </w:tc>
        <w:tc>
          <w:tcPr>
            <w:tcW w:w="2552" w:type="dxa"/>
            <w:vAlign w:val="center"/>
          </w:tcPr>
          <w:p>
            <w:pPr>
              <w:spacing w:line="360" w:lineRule="auto"/>
              <w:jc w:val="center"/>
              <w:rPr>
                <w:rFonts w:hint="eastAsia" w:ascii="宋体" w:hAnsi="宋体" w:cs="宋体"/>
                <w:color w:val="auto"/>
                <w:sz w:val="24"/>
              </w:rPr>
            </w:pPr>
          </w:p>
        </w:tc>
        <w:tc>
          <w:tcPr>
            <w:tcW w:w="1984" w:type="dxa"/>
            <w:vAlign w:val="center"/>
          </w:tcPr>
          <w:p>
            <w:pPr>
              <w:spacing w:line="360" w:lineRule="auto"/>
              <w:jc w:val="center"/>
              <w:rPr>
                <w:rFonts w:hint="eastAsia" w:ascii="宋体" w:hAnsi="宋体" w:cs="宋体"/>
                <w:color w:val="auto"/>
                <w:sz w:val="24"/>
              </w:rPr>
            </w:pPr>
          </w:p>
        </w:tc>
        <w:tc>
          <w:tcPr>
            <w:tcW w:w="3119" w:type="dxa"/>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pPr>
              <w:spacing w:line="360" w:lineRule="auto"/>
              <w:jc w:val="center"/>
              <w:rPr>
                <w:rFonts w:hint="eastAsia" w:ascii="宋体" w:hAnsi="宋体" w:cs="宋体"/>
                <w:color w:val="auto"/>
                <w:sz w:val="24"/>
              </w:rPr>
            </w:pPr>
          </w:p>
        </w:tc>
      </w:tr>
    </w:tbl>
    <w:p>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2" w:firstLineChars="200"/>
        <w:rPr>
          <w:rFonts w:hint="eastAsia" w:ascii="宋体" w:hAnsi="宋体" w:cs="宋体"/>
          <w:b/>
          <w:color w:val="auto"/>
          <w:kern w:val="0"/>
          <w:sz w:val="24"/>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6"/>
        <w:keepNext w:val="0"/>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pPr>
        <w:ind w:right="420"/>
        <w:jc w:val="center"/>
        <w:rPr>
          <w:rFonts w:hint="eastAsia" w:ascii="宋体" w:hAnsi="宋体" w:cs="宋体"/>
          <w:color w:val="auto"/>
          <w:sz w:val="24"/>
        </w:rPr>
      </w:pPr>
      <w:r>
        <w:rPr>
          <w:rFonts w:hint="eastAsia" w:ascii="宋体" w:hAnsi="宋体" w:cs="宋体"/>
          <w:color w:val="auto"/>
          <w:sz w:val="24"/>
        </w:rPr>
        <w:t>注：按采购文件工程量清单编制</w:t>
      </w:r>
    </w:p>
    <w:p>
      <w:pPr>
        <w:pStyle w:val="62"/>
        <w:ind w:firstLine="480"/>
        <w:rPr>
          <w:rFonts w:hint="eastAsia" w:cs="宋体"/>
          <w:color w:val="auto"/>
          <w:sz w:val="24"/>
        </w:rPr>
      </w:pPr>
    </w:p>
    <w:p>
      <w:pPr>
        <w:pStyle w:val="62"/>
        <w:ind w:firstLine="480"/>
        <w:rPr>
          <w:rFonts w:hint="eastAsia" w:cs="宋体"/>
          <w:color w:val="auto"/>
          <w:sz w:val="24"/>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436" w:name="_Toc465665161"/>
      <w:r>
        <w:rPr>
          <w:rFonts w:hint="eastAsia" w:ascii="宋体" w:hAnsi="宋体" w:cs="宋体"/>
          <w:color w:val="auto"/>
        </w:rPr>
        <w:t>附件</w:t>
      </w:r>
      <w:bookmarkEnd w:id="436"/>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附件1</w:t>
      </w:r>
      <w:bookmarkStart w:id="437" w:name="OLE_LINK13"/>
      <w:bookmarkStart w:id="438" w:name="OLE_LINK14"/>
      <w:r>
        <w:rPr>
          <w:rFonts w:hint="eastAsia" w:ascii="宋体" w:hAnsi="宋体" w:cs="宋体"/>
          <w:b/>
          <w:color w:val="auto"/>
          <w:kern w:val="0"/>
          <w:sz w:val="28"/>
          <w:szCs w:val="28"/>
        </w:rPr>
        <w:t>残疾人福利性单位声明函</w:t>
      </w:r>
    </w:p>
    <w:bookmarkEnd w:id="437"/>
    <w:bookmarkEnd w:id="438"/>
    <w:p>
      <w:pPr>
        <w:spacing w:line="360" w:lineRule="auto"/>
        <w:rPr>
          <w:rFonts w:hint="eastAsia" w:ascii="宋体" w:hAnsi="宋体" w:cs="宋体"/>
          <w:b/>
          <w:color w:val="auto"/>
          <w:spacing w:val="6"/>
          <w:sz w:val="30"/>
          <w:szCs w:val="30"/>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hint="eastAsia" w:ascii="宋体" w:hAnsi="宋体" w:cs="宋体"/>
          <w:color w:val="auto"/>
          <w:sz w:val="24"/>
        </w:rPr>
      </w:pPr>
    </w:p>
    <w:p>
      <w:pPr>
        <w:spacing w:line="360" w:lineRule="auto"/>
        <w:ind w:firstLine="420" w:firstLineChars="200"/>
        <w:rPr>
          <w:rFonts w:hint="eastAsia" w:ascii="宋体" w:hAnsi="宋体" w:cs="宋体"/>
          <w:color w:val="auto"/>
        </w:rPr>
      </w:pPr>
    </w:p>
    <w:p>
      <w:pPr>
        <w:spacing w:line="360" w:lineRule="auto"/>
        <w:rPr>
          <w:rFonts w:hint="eastAsia" w:ascii="宋体" w:hAnsi="宋体" w:cs="宋体"/>
          <w:b/>
          <w:color w:val="auto"/>
          <w:sz w:val="24"/>
        </w:rPr>
      </w:pPr>
    </w:p>
    <w:p>
      <w:pPr>
        <w:autoSpaceDE w:val="0"/>
        <w:autoSpaceDN w:val="0"/>
        <w:rPr>
          <w:rFonts w:hint="eastAsia" w:ascii="宋体" w:hAnsi="宋体" w:cs="宋体"/>
          <w:b/>
          <w:color w:val="auto"/>
          <w:spacing w:val="6"/>
          <w:sz w:val="32"/>
          <w:szCs w:val="32"/>
        </w:rPr>
      </w:pPr>
    </w:p>
    <w:p>
      <w:pPr>
        <w:widowControl/>
        <w:adjustRightInd/>
        <w:jc w:val="left"/>
        <w:rPr>
          <w:rFonts w:hint="eastAsia" w:ascii="宋体" w:hAnsi="宋体" w:cs="宋体"/>
          <w:b/>
          <w:color w:val="auto"/>
          <w:kern w:val="0"/>
          <w:sz w:val="28"/>
          <w:szCs w:val="28"/>
        </w:rPr>
      </w:pPr>
      <w:r>
        <w:rPr>
          <w:rFonts w:hint="eastAsia" w:ascii="宋体" w:hAnsi="宋体" w:cs="宋体"/>
          <w:b/>
          <w:color w:val="auto"/>
          <w:kern w:val="0"/>
          <w:sz w:val="28"/>
          <w:szCs w:val="28"/>
        </w:rPr>
        <w:br w:type="page"/>
      </w: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附件2：联合协议</w:t>
      </w:r>
    </w:p>
    <w:p>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【项目编号：</w:t>
      </w:r>
      <w:r>
        <w:rPr>
          <w:rFonts w:hint="eastAsia" w:ascii="宋体" w:hAnsi="宋体" w:cs="宋体"/>
          <w:color w:val="auto"/>
          <w:sz w:val="24"/>
          <w:lang w:eastAsia="zh-CN"/>
        </w:rPr>
        <w:t>浙房咨2025【D-076】715</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pPr>
        <w:snapToGrid w:val="0"/>
        <w:spacing w:line="360" w:lineRule="auto"/>
        <w:ind w:firstLine="576"/>
        <w:rPr>
          <w:rFonts w:hint="eastAsia" w:ascii="宋体" w:hAnsi="宋体" w:cs="宋体"/>
          <w:color w:val="auto"/>
          <w:kern w:val="0"/>
          <w:sz w:val="24"/>
          <w:lang w:val="zh-CN"/>
        </w:rPr>
      </w:pPr>
      <w:bookmarkStart w:id="43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439"/>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hint="eastAsia"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附件3：分包意向协议</w:t>
      </w:r>
    </w:p>
    <w:p>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sz w:val="24"/>
          <w:lang w:eastAsia="zh-CN"/>
        </w:rPr>
        <w:t>产教融合区域中高一体高技能人才实训中心（一期）工程项目（重新招标）</w:t>
      </w:r>
      <w:r>
        <w:rPr>
          <w:rFonts w:hint="eastAsia" w:ascii="宋体" w:hAnsi="宋体" w:cs="宋体"/>
          <w:color w:val="auto"/>
          <w:sz w:val="24"/>
        </w:rPr>
        <w:t>【项目编号：</w:t>
      </w:r>
      <w:r>
        <w:rPr>
          <w:rFonts w:hint="eastAsia" w:ascii="宋体" w:hAnsi="宋体" w:cs="宋体"/>
          <w:color w:val="auto"/>
          <w:sz w:val="24"/>
          <w:lang w:eastAsia="zh-CN"/>
        </w:rPr>
        <w:t>浙房咨2025【D-076】715</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97"/>
        <w:rPr>
          <w:rFonts w:hint="eastAsia"/>
          <w:color w:val="auto"/>
        </w:rPr>
      </w:pPr>
      <w:r>
        <w:rPr>
          <w:rFonts w:hint="eastAsia"/>
          <w:color w:val="auto"/>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……）提供的工程全部由小微企业承建，</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44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0"/>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pPr>
        <w:snapToGrid w:val="0"/>
        <w:spacing w:line="360" w:lineRule="auto"/>
        <w:ind w:firstLine="5640" w:firstLineChars="2350"/>
        <w:rPr>
          <w:rFonts w:hint="eastAsia" w:ascii="宋体" w:hAnsi="宋体" w:cs="宋体"/>
          <w:color w:val="auto"/>
          <w:kern w:val="0"/>
          <w:sz w:val="24"/>
          <w:lang w:val="zh-CN"/>
        </w:rPr>
      </w:pPr>
      <w:r>
        <w:rPr>
          <w:rFonts w:hint="eastAsia" w:ascii="宋体" w:hAnsi="宋体" w:cs="宋体"/>
          <w:color w:val="auto"/>
          <w:kern w:val="0"/>
          <w:sz w:val="24"/>
          <w:lang w:val="zh-CN"/>
        </w:rPr>
        <w:t>分包供应商名称：</w:t>
      </w:r>
    </w:p>
    <w:p>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附件4：中小企业声明函</w:t>
      </w:r>
    </w:p>
    <w:p>
      <w:pPr>
        <w:spacing w:line="360" w:lineRule="auto"/>
        <w:jc w:val="center"/>
        <w:rPr>
          <w:rFonts w:hint="eastAsia" w:ascii="宋体" w:hAnsi="宋体" w:cs="宋体"/>
          <w:color w:val="auto"/>
          <w:sz w:val="24"/>
          <w:u w:val="single"/>
        </w:rPr>
      </w:pPr>
    </w:p>
    <w:p>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中小企业声明函（工程）</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bookmarkStart w:id="441" w:name="OLE_LINK2"/>
      <w:r>
        <w:rPr>
          <w:rFonts w:hint="eastAsia" w:ascii="宋体" w:hAnsi="宋体" w:cs="宋体"/>
          <w:color w:val="auto"/>
          <w:sz w:val="24"/>
          <w:u w:val="single"/>
          <w:lang w:eastAsia="zh-CN"/>
        </w:rPr>
        <w:t>杭州市中策职业学校钱塘学校</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bookmarkEnd w:id="441"/>
      <w:r>
        <w:rPr>
          <w:rFonts w:hint="eastAsia" w:ascii="宋体" w:hAnsi="宋体" w:cs="宋体"/>
          <w:color w:val="auto"/>
          <w:sz w:val="24"/>
          <w:u w:val="single"/>
          <w:lang w:eastAsia="zh-CN"/>
        </w:rPr>
        <w:t xml:space="preserve">产教融合区域中高一体高技能人才实训中心（一期）工程项目（重新招标）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杭州市中策职业学校钱塘学校</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产教融合区域中高一体高技能人才实训中心（一期）工程项目（重新招标）</w:t>
      </w:r>
      <w:r>
        <w:rPr>
          <w:rFonts w:hint="eastAsia" w:ascii="宋体" w:hAnsi="宋体" w:cs="宋体"/>
          <w:color w:val="auto"/>
          <w:kern w:val="0"/>
          <w:sz w:val="24"/>
          <w:u w:val="single"/>
        </w:rPr>
        <w:t xml:space="preserve"> </w:t>
      </w:r>
      <w:r>
        <w:rPr>
          <w:rFonts w:hint="eastAsia" w:ascii="宋体" w:hAnsi="宋体" w:cs="宋体"/>
          <w:color w:val="auto"/>
          <w:sz w:val="24"/>
        </w:rPr>
        <w:t xml:space="preserve">，属于 </w:t>
      </w:r>
      <w:r>
        <w:rPr>
          <w:rFonts w:hint="eastAsia" w:ascii="宋体" w:hAnsi="宋体" w:cs="宋体"/>
          <w:color w:val="auto"/>
          <w:kern w:val="0"/>
          <w:sz w:val="24"/>
          <w:u w:val="single"/>
        </w:rPr>
        <w:t>建筑业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firstLine="480" w:firstLineChars="200"/>
        <w:rPr>
          <w:rFonts w:hint="eastAsia" w:ascii="宋体" w:hAnsi="宋体" w:cs="宋体"/>
          <w:color w:val="auto"/>
          <w:sz w:val="24"/>
        </w:rPr>
      </w:pPr>
    </w:p>
    <w:p>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hint="eastAsia"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附件5：工程量清单（另附）</w:t>
      </w:r>
    </w:p>
    <w:p>
      <w:pPr>
        <w:spacing w:line="360" w:lineRule="auto"/>
        <w:rPr>
          <w:rFonts w:hint="eastAsia" w:ascii="宋体" w:hAnsi="宋体" w:cs="宋体"/>
          <w:b/>
          <w:color w:val="auto"/>
          <w:spacing w:val="6"/>
          <w:sz w:val="32"/>
          <w:szCs w:val="32"/>
        </w:r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附件6：图纸（另附）</w:t>
      </w:r>
    </w:p>
    <w:p>
      <w:pPr>
        <w:pStyle w:val="25"/>
        <w:rPr>
          <w:rFonts w:hint="eastAsia"/>
          <w:color w:va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42" w:name="_Toc164085800"/>
    <w:bookmarkStart w:id="443" w:name="_Toc36110187"/>
    <w:bookmarkStart w:id="444" w:name="_Toc131845147"/>
    <w:bookmarkStart w:id="445" w:name="_Toc91899912"/>
    <w:r>
      <w:rPr>
        <w:rFonts w:hint="eastAsia" w:ascii="仿宋_GB2312" w:eastAsia="仿宋_GB2312"/>
        <w:kern w:val="0"/>
        <w:szCs w:val="21"/>
      </w:rPr>
      <w:t xml:space="preserve"> 页</w:t>
    </w:r>
    <w:bookmarkEnd w:id="442"/>
    <w:bookmarkEnd w:id="443"/>
    <w:bookmarkEnd w:id="444"/>
    <w:bookmarkEnd w:id="4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8998" w:y="51"/>
      <w:rPr>
        <w:rStyle w:val="73"/>
        <w:rFonts w:hint="eastAsia" w:ascii="宋体" w:hAnsi="宋体"/>
        <w:sz w:val="28"/>
        <w:szCs w:val="28"/>
      </w:rPr>
    </w:pPr>
    <w:r>
      <w:rPr>
        <w:rStyle w:val="73"/>
        <w:rFonts w:ascii="宋体" w:hAnsi="宋体"/>
        <w:sz w:val="28"/>
        <w:szCs w:val="28"/>
      </w:rPr>
      <w:t xml:space="preserve">— </w:t>
    </w:r>
    <w:r>
      <w:rPr>
        <w:sz w:val="21"/>
        <w:szCs w:val="21"/>
      </w:rPr>
      <w:fldChar w:fldCharType="begin"/>
    </w:r>
    <w:r>
      <w:rPr>
        <w:rStyle w:val="73"/>
        <w:sz w:val="21"/>
      </w:rPr>
      <w:instrText xml:space="preserve"> PAGE </w:instrText>
    </w:r>
    <w:r>
      <w:rPr>
        <w:sz w:val="21"/>
        <w:szCs w:val="21"/>
      </w:rPr>
      <w:fldChar w:fldCharType="separate"/>
    </w:r>
    <w:r>
      <w:rPr>
        <w:rStyle w:val="73"/>
        <w:sz w:val="21"/>
      </w:rPr>
      <w:t>26</w:t>
    </w:r>
    <w:r>
      <w:rPr>
        <w:sz w:val="21"/>
        <w:szCs w:val="21"/>
      </w:rPr>
      <w:fldChar w:fldCharType="end"/>
    </w:r>
    <w:r>
      <w:rPr>
        <w:rStyle w:val="73"/>
        <w:rFonts w:ascii="宋体" w:hAnsi="宋体"/>
        <w:sz w:val="28"/>
        <w:szCs w:val="28"/>
      </w:rP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731" w:y="34"/>
      <w:rPr>
        <w:rStyle w:val="73"/>
      </w:rPr>
    </w:pPr>
    <w:r>
      <w:fldChar w:fldCharType="begin"/>
    </w:r>
    <w:r>
      <w:rPr>
        <w:rStyle w:val="73"/>
      </w:rPr>
      <w:instrText xml:space="preserve">PAGE  </w:instrText>
    </w:r>
    <w:r>
      <w:fldChar w:fldCharType="separate"/>
    </w:r>
    <w:r>
      <w:rPr>
        <w:rStyle w:val="73"/>
      </w:rPr>
      <w:t>47</w: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Style w:val="73"/>
      </w:rPr>
    </w:pPr>
    <w:r>
      <w:fldChar w:fldCharType="begin"/>
    </w:r>
    <w:r>
      <w:rPr>
        <w:rStyle w:val="73"/>
      </w:rPr>
      <w:instrText xml:space="preserve"> PAGE  \* MERGEFORMAT </w:instrText>
    </w:r>
    <w:r>
      <w:fldChar w:fldCharType="separate"/>
    </w:r>
    <w:r>
      <w:rPr>
        <w:rStyle w:val="73"/>
      </w:rPr>
      <w:t>56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distribute"/>
      <w:rPr>
        <w:sz w:val="21"/>
        <w:szCs w:val="21"/>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0B74D77"/>
    <w:multiLevelType w:val="singleLevel"/>
    <w:tmpl w:val="A0B74D77"/>
    <w:lvl w:ilvl="0" w:tentative="0">
      <w:start w:val="5"/>
      <w:numFmt w:val="chineseCounting"/>
      <w:suff w:val="space"/>
      <w:lvlText w:val="第%1部分"/>
      <w:lvlJc w:val="left"/>
      <w:rPr>
        <w:rFonts w:hint="eastAsia"/>
      </w:rPr>
    </w:lvl>
  </w:abstractNum>
  <w:abstractNum w:abstractNumId="2">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Y2QxYzVjY2M3ZTlmZWMxY2UxOWY2ZDQzY2RlN2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790"/>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25A"/>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4E9"/>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F3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1DD0"/>
    <w:rsid w:val="0013202C"/>
    <w:rsid w:val="00132704"/>
    <w:rsid w:val="00132CBF"/>
    <w:rsid w:val="00133707"/>
    <w:rsid w:val="00133742"/>
    <w:rsid w:val="00133B70"/>
    <w:rsid w:val="00133E97"/>
    <w:rsid w:val="001350F7"/>
    <w:rsid w:val="00135769"/>
    <w:rsid w:val="00135BE9"/>
    <w:rsid w:val="00135E5C"/>
    <w:rsid w:val="00136762"/>
    <w:rsid w:val="00136E33"/>
    <w:rsid w:val="001375F6"/>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1BE"/>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E61"/>
    <w:rsid w:val="001E17E3"/>
    <w:rsid w:val="001E2052"/>
    <w:rsid w:val="001E2492"/>
    <w:rsid w:val="001E257C"/>
    <w:rsid w:val="001E286C"/>
    <w:rsid w:val="001E2F34"/>
    <w:rsid w:val="001E35EE"/>
    <w:rsid w:val="001E4B2C"/>
    <w:rsid w:val="001E507F"/>
    <w:rsid w:val="001E56C2"/>
    <w:rsid w:val="001E59FB"/>
    <w:rsid w:val="001E61DC"/>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08"/>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69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5EB"/>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0F5"/>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9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53"/>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8FB"/>
    <w:rsid w:val="00453507"/>
    <w:rsid w:val="00453592"/>
    <w:rsid w:val="004543AB"/>
    <w:rsid w:val="004545EC"/>
    <w:rsid w:val="00455967"/>
    <w:rsid w:val="00455F71"/>
    <w:rsid w:val="00456272"/>
    <w:rsid w:val="0045679C"/>
    <w:rsid w:val="004570EF"/>
    <w:rsid w:val="00457365"/>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219"/>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1AD"/>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3F9"/>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B7"/>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6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1F9"/>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4FA9"/>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291"/>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6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6E7D"/>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48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2D"/>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226"/>
    <w:rsid w:val="00727351"/>
    <w:rsid w:val="00727AC5"/>
    <w:rsid w:val="00727C65"/>
    <w:rsid w:val="007300F0"/>
    <w:rsid w:val="00730904"/>
    <w:rsid w:val="00731EDE"/>
    <w:rsid w:val="0073245C"/>
    <w:rsid w:val="00732493"/>
    <w:rsid w:val="00732938"/>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521"/>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5AA"/>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BB6"/>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42F"/>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6D0"/>
    <w:rsid w:val="009A7E7C"/>
    <w:rsid w:val="009B05D2"/>
    <w:rsid w:val="009B152B"/>
    <w:rsid w:val="009B1960"/>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73A4"/>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89D"/>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364"/>
    <w:rsid w:val="00AF3557"/>
    <w:rsid w:val="00AF3F86"/>
    <w:rsid w:val="00AF4CEE"/>
    <w:rsid w:val="00AF4F4A"/>
    <w:rsid w:val="00AF5130"/>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00F"/>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6AF"/>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3DA"/>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69"/>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89B"/>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951"/>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C38"/>
    <w:rsid w:val="00E47DB1"/>
    <w:rsid w:val="00E50BDD"/>
    <w:rsid w:val="00E510CF"/>
    <w:rsid w:val="00E513D7"/>
    <w:rsid w:val="00E519FE"/>
    <w:rsid w:val="00E51AB2"/>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E8"/>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307"/>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EE0"/>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2CA"/>
    <w:rsid w:val="00FB7823"/>
    <w:rsid w:val="00FC05B2"/>
    <w:rsid w:val="00FC08B3"/>
    <w:rsid w:val="00FC09D7"/>
    <w:rsid w:val="00FC0ABE"/>
    <w:rsid w:val="00FC1269"/>
    <w:rsid w:val="00FC1ADF"/>
    <w:rsid w:val="00FC22D0"/>
    <w:rsid w:val="00FC38D4"/>
    <w:rsid w:val="00FC391E"/>
    <w:rsid w:val="00FC39B3"/>
    <w:rsid w:val="00FC3BB7"/>
    <w:rsid w:val="00FC4345"/>
    <w:rsid w:val="00FC444A"/>
    <w:rsid w:val="00FC453D"/>
    <w:rsid w:val="00FC4A01"/>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EC380B"/>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4A58C0"/>
    <w:rsid w:val="05921708"/>
    <w:rsid w:val="05A16594"/>
    <w:rsid w:val="05A7762D"/>
    <w:rsid w:val="060E5941"/>
    <w:rsid w:val="06110FAF"/>
    <w:rsid w:val="061E21DC"/>
    <w:rsid w:val="06493CA7"/>
    <w:rsid w:val="065A6178"/>
    <w:rsid w:val="066F1CF3"/>
    <w:rsid w:val="06930BB8"/>
    <w:rsid w:val="06DF1AF0"/>
    <w:rsid w:val="06F53C79"/>
    <w:rsid w:val="07245D42"/>
    <w:rsid w:val="07264C62"/>
    <w:rsid w:val="0779354C"/>
    <w:rsid w:val="077A1F3E"/>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972E15"/>
    <w:rsid w:val="09A92330"/>
    <w:rsid w:val="09B06B87"/>
    <w:rsid w:val="09C13146"/>
    <w:rsid w:val="09E04166"/>
    <w:rsid w:val="0A1C0718"/>
    <w:rsid w:val="0A3E7710"/>
    <w:rsid w:val="0A5B7E63"/>
    <w:rsid w:val="0A703465"/>
    <w:rsid w:val="0AA374A5"/>
    <w:rsid w:val="0AAB7649"/>
    <w:rsid w:val="0ABC5606"/>
    <w:rsid w:val="0ACD61E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772B7"/>
    <w:rsid w:val="0CC007F7"/>
    <w:rsid w:val="0CC617AC"/>
    <w:rsid w:val="0CD66F96"/>
    <w:rsid w:val="0CE618DF"/>
    <w:rsid w:val="0CFE707A"/>
    <w:rsid w:val="0D063BDA"/>
    <w:rsid w:val="0D08375F"/>
    <w:rsid w:val="0D184CFB"/>
    <w:rsid w:val="0D4A7419"/>
    <w:rsid w:val="0D751EA5"/>
    <w:rsid w:val="0D827401"/>
    <w:rsid w:val="0D84094E"/>
    <w:rsid w:val="0D8A00E9"/>
    <w:rsid w:val="0D8D589E"/>
    <w:rsid w:val="0DA01C73"/>
    <w:rsid w:val="0DD63300"/>
    <w:rsid w:val="0DF50604"/>
    <w:rsid w:val="0DF702FE"/>
    <w:rsid w:val="0E060E51"/>
    <w:rsid w:val="0E2030B8"/>
    <w:rsid w:val="0E5604B2"/>
    <w:rsid w:val="0E6D5D79"/>
    <w:rsid w:val="0E9D0089"/>
    <w:rsid w:val="0EB803EE"/>
    <w:rsid w:val="0EF94D4B"/>
    <w:rsid w:val="0F2F263F"/>
    <w:rsid w:val="0F4958DC"/>
    <w:rsid w:val="0F515DF7"/>
    <w:rsid w:val="0F596BA8"/>
    <w:rsid w:val="0F6248D2"/>
    <w:rsid w:val="0F693536"/>
    <w:rsid w:val="0F7B0511"/>
    <w:rsid w:val="0F7B76D9"/>
    <w:rsid w:val="0F816ACD"/>
    <w:rsid w:val="0F9832DB"/>
    <w:rsid w:val="0FBF3FD2"/>
    <w:rsid w:val="0FBF7FF3"/>
    <w:rsid w:val="10525806"/>
    <w:rsid w:val="10646583"/>
    <w:rsid w:val="107D4B15"/>
    <w:rsid w:val="108A3C80"/>
    <w:rsid w:val="10C26171"/>
    <w:rsid w:val="10F33360"/>
    <w:rsid w:val="10FC16EA"/>
    <w:rsid w:val="110F1D40"/>
    <w:rsid w:val="11266F33"/>
    <w:rsid w:val="116C0548"/>
    <w:rsid w:val="118963A1"/>
    <w:rsid w:val="11C6522A"/>
    <w:rsid w:val="11E104CC"/>
    <w:rsid w:val="11E20309"/>
    <w:rsid w:val="12255233"/>
    <w:rsid w:val="12437C74"/>
    <w:rsid w:val="12530213"/>
    <w:rsid w:val="127723A9"/>
    <w:rsid w:val="12862074"/>
    <w:rsid w:val="12883966"/>
    <w:rsid w:val="129E45B4"/>
    <w:rsid w:val="12D81596"/>
    <w:rsid w:val="13072A44"/>
    <w:rsid w:val="1311486C"/>
    <w:rsid w:val="135F4BE2"/>
    <w:rsid w:val="139B1A0A"/>
    <w:rsid w:val="139D25C7"/>
    <w:rsid w:val="13BF3CE4"/>
    <w:rsid w:val="13E72483"/>
    <w:rsid w:val="141008D8"/>
    <w:rsid w:val="14125FE6"/>
    <w:rsid w:val="146D271E"/>
    <w:rsid w:val="14982588"/>
    <w:rsid w:val="149A5AD9"/>
    <w:rsid w:val="14A7619D"/>
    <w:rsid w:val="150536C3"/>
    <w:rsid w:val="150C1963"/>
    <w:rsid w:val="151447A0"/>
    <w:rsid w:val="152B4878"/>
    <w:rsid w:val="154A6454"/>
    <w:rsid w:val="15762120"/>
    <w:rsid w:val="15AE5784"/>
    <w:rsid w:val="15DD3DC4"/>
    <w:rsid w:val="168F7E12"/>
    <w:rsid w:val="16A8729C"/>
    <w:rsid w:val="16B33777"/>
    <w:rsid w:val="16BC70A7"/>
    <w:rsid w:val="16C6339E"/>
    <w:rsid w:val="172F2D79"/>
    <w:rsid w:val="174006E6"/>
    <w:rsid w:val="17557BEF"/>
    <w:rsid w:val="17887D5F"/>
    <w:rsid w:val="17D349C1"/>
    <w:rsid w:val="1830729E"/>
    <w:rsid w:val="1870062C"/>
    <w:rsid w:val="18817102"/>
    <w:rsid w:val="18830A15"/>
    <w:rsid w:val="18852B28"/>
    <w:rsid w:val="188B5321"/>
    <w:rsid w:val="19704F75"/>
    <w:rsid w:val="19832ED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A056C"/>
    <w:rsid w:val="1C1B3B4A"/>
    <w:rsid w:val="1C7725CD"/>
    <w:rsid w:val="1C88086E"/>
    <w:rsid w:val="1CA51364"/>
    <w:rsid w:val="1CBF39E4"/>
    <w:rsid w:val="1D266CE1"/>
    <w:rsid w:val="1D3963AF"/>
    <w:rsid w:val="1D3D0FE5"/>
    <w:rsid w:val="1D6A673C"/>
    <w:rsid w:val="1D9247AE"/>
    <w:rsid w:val="1DB567EC"/>
    <w:rsid w:val="1DEF31D0"/>
    <w:rsid w:val="1DF51A98"/>
    <w:rsid w:val="1E3D060F"/>
    <w:rsid w:val="1E3F7D2E"/>
    <w:rsid w:val="1E4134E4"/>
    <w:rsid w:val="1E5062B3"/>
    <w:rsid w:val="1E523514"/>
    <w:rsid w:val="1E714A66"/>
    <w:rsid w:val="1E802593"/>
    <w:rsid w:val="1E8B6156"/>
    <w:rsid w:val="1EA703CC"/>
    <w:rsid w:val="1EB7330C"/>
    <w:rsid w:val="1EEB1EAF"/>
    <w:rsid w:val="1F0827F2"/>
    <w:rsid w:val="1F0A0FF3"/>
    <w:rsid w:val="1F1F101A"/>
    <w:rsid w:val="1F5771FF"/>
    <w:rsid w:val="1F646BF6"/>
    <w:rsid w:val="1F904124"/>
    <w:rsid w:val="1FE868A9"/>
    <w:rsid w:val="1FF57F5C"/>
    <w:rsid w:val="20034907"/>
    <w:rsid w:val="20173E4B"/>
    <w:rsid w:val="204E48BC"/>
    <w:rsid w:val="208921B3"/>
    <w:rsid w:val="20973DEB"/>
    <w:rsid w:val="20B26522"/>
    <w:rsid w:val="20B44310"/>
    <w:rsid w:val="211116EB"/>
    <w:rsid w:val="21472A39"/>
    <w:rsid w:val="216133FC"/>
    <w:rsid w:val="21D56769"/>
    <w:rsid w:val="21E52EF3"/>
    <w:rsid w:val="21FB5D7B"/>
    <w:rsid w:val="22015E94"/>
    <w:rsid w:val="220B1C3D"/>
    <w:rsid w:val="221D1D20"/>
    <w:rsid w:val="222A4802"/>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67E6"/>
    <w:rsid w:val="258B00E2"/>
    <w:rsid w:val="25A917A6"/>
    <w:rsid w:val="25BE27CC"/>
    <w:rsid w:val="25F211C5"/>
    <w:rsid w:val="25F74A5C"/>
    <w:rsid w:val="25FD0AC2"/>
    <w:rsid w:val="2628662C"/>
    <w:rsid w:val="262D45DE"/>
    <w:rsid w:val="26871DC8"/>
    <w:rsid w:val="26A53EF9"/>
    <w:rsid w:val="26A94201"/>
    <w:rsid w:val="26AC274F"/>
    <w:rsid w:val="27044A29"/>
    <w:rsid w:val="271D34C8"/>
    <w:rsid w:val="276142BF"/>
    <w:rsid w:val="27783712"/>
    <w:rsid w:val="27907362"/>
    <w:rsid w:val="27932534"/>
    <w:rsid w:val="28333E1D"/>
    <w:rsid w:val="28454BD6"/>
    <w:rsid w:val="28455253"/>
    <w:rsid w:val="28551971"/>
    <w:rsid w:val="285B1C53"/>
    <w:rsid w:val="28930307"/>
    <w:rsid w:val="289F7086"/>
    <w:rsid w:val="28C32028"/>
    <w:rsid w:val="28CC490F"/>
    <w:rsid w:val="28DE40AA"/>
    <w:rsid w:val="29345E77"/>
    <w:rsid w:val="294C65AD"/>
    <w:rsid w:val="29806583"/>
    <w:rsid w:val="298B3C4C"/>
    <w:rsid w:val="29F26D24"/>
    <w:rsid w:val="2A15033F"/>
    <w:rsid w:val="2A1662C1"/>
    <w:rsid w:val="2A1C7367"/>
    <w:rsid w:val="2A2815FA"/>
    <w:rsid w:val="2A695CCB"/>
    <w:rsid w:val="2A6D6092"/>
    <w:rsid w:val="2A7D76B4"/>
    <w:rsid w:val="2A97061E"/>
    <w:rsid w:val="2AEF2CC6"/>
    <w:rsid w:val="2B437463"/>
    <w:rsid w:val="2B7807EE"/>
    <w:rsid w:val="2B906EFB"/>
    <w:rsid w:val="2BA50BF7"/>
    <w:rsid w:val="2BBF00EC"/>
    <w:rsid w:val="2BC37CFD"/>
    <w:rsid w:val="2BD5237F"/>
    <w:rsid w:val="2BE536CE"/>
    <w:rsid w:val="2BE758D9"/>
    <w:rsid w:val="2BF11F1F"/>
    <w:rsid w:val="2C09049E"/>
    <w:rsid w:val="2C0A653C"/>
    <w:rsid w:val="2C191F85"/>
    <w:rsid w:val="2CE82D6F"/>
    <w:rsid w:val="2D343236"/>
    <w:rsid w:val="2DD15014"/>
    <w:rsid w:val="2DEF2CD3"/>
    <w:rsid w:val="2DF72DE4"/>
    <w:rsid w:val="2E0220AF"/>
    <w:rsid w:val="2E4B082A"/>
    <w:rsid w:val="2E5D4E86"/>
    <w:rsid w:val="2E5D790B"/>
    <w:rsid w:val="2E8F7B31"/>
    <w:rsid w:val="2E9A3C18"/>
    <w:rsid w:val="2EA43358"/>
    <w:rsid w:val="2EBB0FEE"/>
    <w:rsid w:val="2EC63002"/>
    <w:rsid w:val="2ED32A85"/>
    <w:rsid w:val="2F0A6B38"/>
    <w:rsid w:val="2F2D05FC"/>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62234"/>
    <w:rsid w:val="32BE5C2C"/>
    <w:rsid w:val="32D63C1D"/>
    <w:rsid w:val="32FB6478"/>
    <w:rsid w:val="332410BB"/>
    <w:rsid w:val="33263B3F"/>
    <w:rsid w:val="335A6E23"/>
    <w:rsid w:val="336963EB"/>
    <w:rsid w:val="33816EEB"/>
    <w:rsid w:val="33B41F43"/>
    <w:rsid w:val="33B6537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15A8F"/>
    <w:rsid w:val="37EE7094"/>
    <w:rsid w:val="38296C89"/>
    <w:rsid w:val="383002EB"/>
    <w:rsid w:val="38586797"/>
    <w:rsid w:val="38BC0149"/>
    <w:rsid w:val="38D87D1C"/>
    <w:rsid w:val="391159AF"/>
    <w:rsid w:val="39636459"/>
    <w:rsid w:val="396B7F6C"/>
    <w:rsid w:val="39B417A9"/>
    <w:rsid w:val="39FC5695"/>
    <w:rsid w:val="3A006D8E"/>
    <w:rsid w:val="3A204F94"/>
    <w:rsid w:val="3A3651E5"/>
    <w:rsid w:val="3A744481"/>
    <w:rsid w:val="3A8C7BEF"/>
    <w:rsid w:val="3A906246"/>
    <w:rsid w:val="3B2349B7"/>
    <w:rsid w:val="3B616CFF"/>
    <w:rsid w:val="3B6259F6"/>
    <w:rsid w:val="3B7B18E0"/>
    <w:rsid w:val="3B976654"/>
    <w:rsid w:val="3BC01EFC"/>
    <w:rsid w:val="3BCA786A"/>
    <w:rsid w:val="3BD31E2F"/>
    <w:rsid w:val="3BF15831"/>
    <w:rsid w:val="3C105946"/>
    <w:rsid w:val="3C471448"/>
    <w:rsid w:val="3C5F759A"/>
    <w:rsid w:val="3C6C525A"/>
    <w:rsid w:val="3CC92038"/>
    <w:rsid w:val="3CCE23CB"/>
    <w:rsid w:val="3CD17D17"/>
    <w:rsid w:val="3D1A6963"/>
    <w:rsid w:val="3D3C7F39"/>
    <w:rsid w:val="3D440F09"/>
    <w:rsid w:val="3D4504A0"/>
    <w:rsid w:val="3D8734BB"/>
    <w:rsid w:val="3D9A11D4"/>
    <w:rsid w:val="3DA16D89"/>
    <w:rsid w:val="3DA364BE"/>
    <w:rsid w:val="3DE041CB"/>
    <w:rsid w:val="3E0D48F6"/>
    <w:rsid w:val="3E1868B4"/>
    <w:rsid w:val="3E377251"/>
    <w:rsid w:val="3E42664B"/>
    <w:rsid w:val="3E5A7334"/>
    <w:rsid w:val="3E6421CB"/>
    <w:rsid w:val="3E7B5D6B"/>
    <w:rsid w:val="3E843E66"/>
    <w:rsid w:val="3E8F51FE"/>
    <w:rsid w:val="3E926F87"/>
    <w:rsid w:val="3E9A59DE"/>
    <w:rsid w:val="3EAF4836"/>
    <w:rsid w:val="3EC33DFA"/>
    <w:rsid w:val="3ED50AF1"/>
    <w:rsid w:val="3EF23368"/>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14FB"/>
    <w:rsid w:val="441C37AA"/>
    <w:rsid w:val="44430A3C"/>
    <w:rsid w:val="449101DD"/>
    <w:rsid w:val="44DE1391"/>
    <w:rsid w:val="451B225C"/>
    <w:rsid w:val="452410C9"/>
    <w:rsid w:val="45317DFB"/>
    <w:rsid w:val="456D3CE4"/>
    <w:rsid w:val="4579042C"/>
    <w:rsid w:val="457D3E99"/>
    <w:rsid w:val="457F0571"/>
    <w:rsid w:val="45851176"/>
    <w:rsid w:val="458C3AEA"/>
    <w:rsid w:val="45C55BC2"/>
    <w:rsid w:val="45C63B94"/>
    <w:rsid w:val="45CE3628"/>
    <w:rsid w:val="45F168F2"/>
    <w:rsid w:val="460E7DA5"/>
    <w:rsid w:val="46422483"/>
    <w:rsid w:val="4659254A"/>
    <w:rsid w:val="465B0637"/>
    <w:rsid w:val="465E3F0D"/>
    <w:rsid w:val="466A16E6"/>
    <w:rsid w:val="46893F2B"/>
    <w:rsid w:val="46C444E6"/>
    <w:rsid w:val="46C4686E"/>
    <w:rsid w:val="477B778F"/>
    <w:rsid w:val="478203EC"/>
    <w:rsid w:val="47B025FA"/>
    <w:rsid w:val="4809698F"/>
    <w:rsid w:val="4811697D"/>
    <w:rsid w:val="4850740B"/>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065A4"/>
    <w:rsid w:val="4B050244"/>
    <w:rsid w:val="4B0567D1"/>
    <w:rsid w:val="4B236AAE"/>
    <w:rsid w:val="4B2F799D"/>
    <w:rsid w:val="4B707271"/>
    <w:rsid w:val="4B9739F7"/>
    <w:rsid w:val="4BEE2503"/>
    <w:rsid w:val="4BF727EA"/>
    <w:rsid w:val="4C245A30"/>
    <w:rsid w:val="4C3F154D"/>
    <w:rsid w:val="4C5E2C9F"/>
    <w:rsid w:val="4C6B00A8"/>
    <w:rsid w:val="4CB6685F"/>
    <w:rsid w:val="4CC367FE"/>
    <w:rsid w:val="4D077F3C"/>
    <w:rsid w:val="4D123355"/>
    <w:rsid w:val="4D2A3B31"/>
    <w:rsid w:val="4D312C52"/>
    <w:rsid w:val="4D905305"/>
    <w:rsid w:val="4D964A72"/>
    <w:rsid w:val="4D9C1254"/>
    <w:rsid w:val="4D9D7ECE"/>
    <w:rsid w:val="4D9E5B15"/>
    <w:rsid w:val="4E745EC6"/>
    <w:rsid w:val="4E793892"/>
    <w:rsid w:val="4E800872"/>
    <w:rsid w:val="4EAB74D1"/>
    <w:rsid w:val="4EC569ED"/>
    <w:rsid w:val="4ED50EA1"/>
    <w:rsid w:val="4EEC050C"/>
    <w:rsid w:val="4F104EC3"/>
    <w:rsid w:val="4F47354A"/>
    <w:rsid w:val="4F911C54"/>
    <w:rsid w:val="4FE625E0"/>
    <w:rsid w:val="4FEF1FFC"/>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32D09"/>
    <w:rsid w:val="522E4CC3"/>
    <w:rsid w:val="5244713B"/>
    <w:rsid w:val="52615633"/>
    <w:rsid w:val="526F4DE4"/>
    <w:rsid w:val="52977FD4"/>
    <w:rsid w:val="52A25790"/>
    <w:rsid w:val="52A96B6F"/>
    <w:rsid w:val="52B45975"/>
    <w:rsid w:val="52D94AA4"/>
    <w:rsid w:val="52E80913"/>
    <w:rsid w:val="52EA3A62"/>
    <w:rsid w:val="52F50BB8"/>
    <w:rsid w:val="53097272"/>
    <w:rsid w:val="534C1537"/>
    <w:rsid w:val="53544462"/>
    <w:rsid w:val="5397158E"/>
    <w:rsid w:val="53E325D5"/>
    <w:rsid w:val="54013861"/>
    <w:rsid w:val="54487265"/>
    <w:rsid w:val="544D6070"/>
    <w:rsid w:val="54605E1E"/>
    <w:rsid w:val="54AA6D09"/>
    <w:rsid w:val="54B3506A"/>
    <w:rsid w:val="54CA0D16"/>
    <w:rsid w:val="54DD4057"/>
    <w:rsid w:val="54E7490F"/>
    <w:rsid w:val="550764A4"/>
    <w:rsid w:val="550B2BF6"/>
    <w:rsid w:val="55144405"/>
    <w:rsid w:val="55214EB5"/>
    <w:rsid w:val="55364EFD"/>
    <w:rsid w:val="555D4828"/>
    <w:rsid w:val="55782390"/>
    <w:rsid w:val="557A4C8B"/>
    <w:rsid w:val="558931E1"/>
    <w:rsid w:val="559002B6"/>
    <w:rsid w:val="55923347"/>
    <w:rsid w:val="55925180"/>
    <w:rsid w:val="55983B1B"/>
    <w:rsid w:val="55A8376B"/>
    <w:rsid w:val="55DC29B6"/>
    <w:rsid w:val="55DD4241"/>
    <w:rsid w:val="566B6D1E"/>
    <w:rsid w:val="56BF1B96"/>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A621C"/>
    <w:rsid w:val="58713915"/>
    <w:rsid w:val="58917D2F"/>
    <w:rsid w:val="5894085C"/>
    <w:rsid w:val="5898534D"/>
    <w:rsid w:val="58AE4F0C"/>
    <w:rsid w:val="58B85899"/>
    <w:rsid w:val="58E363A9"/>
    <w:rsid w:val="58F06F37"/>
    <w:rsid w:val="591E264C"/>
    <w:rsid w:val="59446E70"/>
    <w:rsid w:val="595E1678"/>
    <w:rsid w:val="596D5BD4"/>
    <w:rsid w:val="597E3DD8"/>
    <w:rsid w:val="59DE104B"/>
    <w:rsid w:val="59F80043"/>
    <w:rsid w:val="5A09252F"/>
    <w:rsid w:val="5A0B2778"/>
    <w:rsid w:val="5A2A7C7B"/>
    <w:rsid w:val="5A3E2560"/>
    <w:rsid w:val="5A4A0DBF"/>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DDB35B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3531F"/>
    <w:rsid w:val="5F8D0B82"/>
    <w:rsid w:val="5FCC5339"/>
    <w:rsid w:val="5FE34A5B"/>
    <w:rsid w:val="5FFE1E36"/>
    <w:rsid w:val="60232584"/>
    <w:rsid w:val="607330CE"/>
    <w:rsid w:val="607C1252"/>
    <w:rsid w:val="60825176"/>
    <w:rsid w:val="609F2AC4"/>
    <w:rsid w:val="60FA2EE8"/>
    <w:rsid w:val="61054A27"/>
    <w:rsid w:val="610A52BC"/>
    <w:rsid w:val="610D059B"/>
    <w:rsid w:val="611D2366"/>
    <w:rsid w:val="61421856"/>
    <w:rsid w:val="615227C4"/>
    <w:rsid w:val="61654E3F"/>
    <w:rsid w:val="6182292A"/>
    <w:rsid w:val="61861C02"/>
    <w:rsid w:val="619F7F92"/>
    <w:rsid w:val="61F94C26"/>
    <w:rsid w:val="62000E56"/>
    <w:rsid w:val="624F3E49"/>
    <w:rsid w:val="62632286"/>
    <w:rsid w:val="62885958"/>
    <w:rsid w:val="62F40B65"/>
    <w:rsid w:val="62FC2CFE"/>
    <w:rsid w:val="63024505"/>
    <w:rsid w:val="633F75C8"/>
    <w:rsid w:val="634D7E8E"/>
    <w:rsid w:val="635600A5"/>
    <w:rsid w:val="635B1DB5"/>
    <w:rsid w:val="63711FED"/>
    <w:rsid w:val="63880DDC"/>
    <w:rsid w:val="638D750D"/>
    <w:rsid w:val="63AC6CC0"/>
    <w:rsid w:val="63F23480"/>
    <w:rsid w:val="63F724EA"/>
    <w:rsid w:val="64055776"/>
    <w:rsid w:val="641F5B67"/>
    <w:rsid w:val="64240056"/>
    <w:rsid w:val="643E143A"/>
    <w:rsid w:val="64491666"/>
    <w:rsid w:val="645D6D76"/>
    <w:rsid w:val="648B6EEF"/>
    <w:rsid w:val="64C158BF"/>
    <w:rsid w:val="64CE2EAA"/>
    <w:rsid w:val="64E17D0E"/>
    <w:rsid w:val="64E21E70"/>
    <w:rsid w:val="64F102BF"/>
    <w:rsid w:val="65366ABA"/>
    <w:rsid w:val="653C3090"/>
    <w:rsid w:val="65854376"/>
    <w:rsid w:val="658767BE"/>
    <w:rsid w:val="65892531"/>
    <w:rsid w:val="6611076D"/>
    <w:rsid w:val="66195831"/>
    <w:rsid w:val="662E75B1"/>
    <w:rsid w:val="66342C2E"/>
    <w:rsid w:val="663E784C"/>
    <w:rsid w:val="664D391B"/>
    <w:rsid w:val="668B6A45"/>
    <w:rsid w:val="67112C4A"/>
    <w:rsid w:val="672F3F24"/>
    <w:rsid w:val="673E055F"/>
    <w:rsid w:val="67551CE3"/>
    <w:rsid w:val="676A5208"/>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C58E0"/>
    <w:rsid w:val="693E15D3"/>
    <w:rsid w:val="69627681"/>
    <w:rsid w:val="6977531D"/>
    <w:rsid w:val="69CC2BFF"/>
    <w:rsid w:val="69FD55B8"/>
    <w:rsid w:val="6A0B1C62"/>
    <w:rsid w:val="6A2406C8"/>
    <w:rsid w:val="6A3B7666"/>
    <w:rsid w:val="6A9417FF"/>
    <w:rsid w:val="6A9A1ADF"/>
    <w:rsid w:val="6ADE0BD1"/>
    <w:rsid w:val="6AE81378"/>
    <w:rsid w:val="6AE96859"/>
    <w:rsid w:val="6B147746"/>
    <w:rsid w:val="6B24787C"/>
    <w:rsid w:val="6B573233"/>
    <w:rsid w:val="6B5B6274"/>
    <w:rsid w:val="6B935D53"/>
    <w:rsid w:val="6C1316F7"/>
    <w:rsid w:val="6C196F71"/>
    <w:rsid w:val="6C226FCB"/>
    <w:rsid w:val="6C31226F"/>
    <w:rsid w:val="6C471414"/>
    <w:rsid w:val="6C517EC7"/>
    <w:rsid w:val="6C552F0B"/>
    <w:rsid w:val="6C803E37"/>
    <w:rsid w:val="6C8C67B7"/>
    <w:rsid w:val="6C9D744C"/>
    <w:rsid w:val="6D167928"/>
    <w:rsid w:val="6D26299B"/>
    <w:rsid w:val="6D4772EC"/>
    <w:rsid w:val="6D4D4500"/>
    <w:rsid w:val="6D9078AF"/>
    <w:rsid w:val="6DAA3FEF"/>
    <w:rsid w:val="6DC0172B"/>
    <w:rsid w:val="6DCB690C"/>
    <w:rsid w:val="6DD41A5B"/>
    <w:rsid w:val="6DF43C2E"/>
    <w:rsid w:val="6DF51CA3"/>
    <w:rsid w:val="6E3A4A84"/>
    <w:rsid w:val="6E8335BD"/>
    <w:rsid w:val="6E8E12EF"/>
    <w:rsid w:val="6E972936"/>
    <w:rsid w:val="6ED446C5"/>
    <w:rsid w:val="6F0A44BC"/>
    <w:rsid w:val="6F2A7D94"/>
    <w:rsid w:val="6F4242A3"/>
    <w:rsid w:val="6F8331F1"/>
    <w:rsid w:val="6FAE1A09"/>
    <w:rsid w:val="6FD75BF8"/>
    <w:rsid w:val="7003220D"/>
    <w:rsid w:val="70082367"/>
    <w:rsid w:val="707723D0"/>
    <w:rsid w:val="70F5661B"/>
    <w:rsid w:val="71180F56"/>
    <w:rsid w:val="71360107"/>
    <w:rsid w:val="713B688E"/>
    <w:rsid w:val="7148279F"/>
    <w:rsid w:val="71D43752"/>
    <w:rsid w:val="71D83356"/>
    <w:rsid w:val="71F1796A"/>
    <w:rsid w:val="71FB63D5"/>
    <w:rsid w:val="72154626"/>
    <w:rsid w:val="72262B5D"/>
    <w:rsid w:val="72283FF7"/>
    <w:rsid w:val="722E7212"/>
    <w:rsid w:val="723A0474"/>
    <w:rsid w:val="724C7B16"/>
    <w:rsid w:val="725923E4"/>
    <w:rsid w:val="72864BF7"/>
    <w:rsid w:val="729023FC"/>
    <w:rsid w:val="73085C46"/>
    <w:rsid w:val="73724CC1"/>
    <w:rsid w:val="73C0646E"/>
    <w:rsid w:val="742222F5"/>
    <w:rsid w:val="74476126"/>
    <w:rsid w:val="74706664"/>
    <w:rsid w:val="747F3682"/>
    <w:rsid w:val="74901C51"/>
    <w:rsid w:val="749C4185"/>
    <w:rsid w:val="74F14E44"/>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510D9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25FA8"/>
    <w:rsid w:val="7BEE0103"/>
    <w:rsid w:val="7C0A0FE4"/>
    <w:rsid w:val="7C254906"/>
    <w:rsid w:val="7C590818"/>
    <w:rsid w:val="7C7C10F6"/>
    <w:rsid w:val="7C853BEA"/>
    <w:rsid w:val="7C881368"/>
    <w:rsid w:val="7CD564F7"/>
    <w:rsid w:val="7CE27788"/>
    <w:rsid w:val="7CE95490"/>
    <w:rsid w:val="7D06022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0E4D6B"/>
    <w:rsid w:val="7F143BEC"/>
    <w:rsid w:val="7F362021"/>
    <w:rsid w:val="7F715AF2"/>
    <w:rsid w:val="7F7B47F9"/>
    <w:rsid w:val="7F886E69"/>
    <w:rsid w:val="7F910882"/>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0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12"/>
    <w:autoRedefine/>
    <w:qFormat/>
    <w:uiPriority w:val="0"/>
    <w:pPr>
      <w:shd w:val="clear" w:color="auto" w:fill="000080"/>
    </w:pPr>
  </w:style>
  <w:style w:type="paragraph" w:styleId="19">
    <w:name w:val="toa heading"/>
    <w:basedOn w:val="1"/>
    <w:next w:val="1"/>
    <w:autoRedefine/>
    <w:qFormat/>
    <w:uiPriority w:val="0"/>
    <w:pPr>
      <w:spacing w:before="120"/>
    </w:pPr>
    <w:rPr>
      <w:rFonts w:ascii="Arial"/>
      <w:kern w:val="0"/>
      <w:sz w:val="24"/>
      <w:szCs w:val="20"/>
    </w:rPr>
  </w:style>
  <w:style w:type="paragraph" w:styleId="20">
    <w:name w:val="annotation text"/>
    <w:basedOn w:val="1"/>
    <w:link w:val="350"/>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91"/>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8"/>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9"/>
    <w:autoRedefine/>
    <w:qFormat/>
    <w:uiPriority w:val="0"/>
    <w:pPr>
      <w:spacing w:after="120" w:line="480" w:lineRule="auto"/>
    </w:pPr>
  </w:style>
  <w:style w:type="paragraph" w:styleId="57">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7"/>
    <w:autoRedefine/>
    <w:qFormat/>
    <w:uiPriority w:val="0"/>
    <w:rPr>
      <w:b/>
      <w:bCs/>
    </w:rPr>
  </w:style>
  <w:style w:type="paragraph" w:styleId="61">
    <w:name w:val="Body Text First Indent"/>
    <w:basedOn w:val="24"/>
    <w:link w:val="328"/>
    <w:autoRedefine/>
    <w:qFormat/>
    <w:uiPriority w:val="0"/>
    <w:pPr>
      <w:ind w:firstLine="420"/>
    </w:pPr>
    <w:rPr>
      <w:rFonts w:hAnsi="Calibri" w:cs="Times New Roman"/>
      <w:snapToGrid/>
      <w:szCs w:val="20"/>
    </w:rPr>
  </w:style>
  <w:style w:type="paragraph" w:styleId="62">
    <w:name w:val="Body Text First Indent 2"/>
    <w:basedOn w:val="25"/>
    <w:link w:val="13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2">
    <w:name w:val="标题 2 Char"/>
    <w:autoRedefine/>
    <w:qFormat/>
    <w:uiPriority w:val="0"/>
    <w:rPr>
      <w:rFonts w:ascii="Arial" w:hAnsi="Arial" w:eastAsia="黑体"/>
      <w:b/>
      <w:kern w:val="2"/>
      <w:sz w:val="32"/>
      <w:lang w:val="en-US" w:eastAsia="zh-CN"/>
    </w:rPr>
  </w:style>
  <w:style w:type="character" w:customStyle="1" w:styleId="83">
    <w:name w:val="标题 4 Char"/>
    <w:autoRedefine/>
    <w:qFormat/>
    <w:uiPriority w:val="0"/>
    <w:rPr>
      <w:rFonts w:ascii="Arial" w:hAnsi="Arial" w:eastAsia="黑体"/>
      <w:b/>
      <w:kern w:val="2"/>
      <w:sz w:val="28"/>
    </w:rPr>
  </w:style>
  <w:style w:type="character" w:customStyle="1" w:styleId="84">
    <w:name w:val="标题 1 字符"/>
    <w:autoRedefine/>
    <w:qFormat/>
    <w:uiPriority w:val="9"/>
    <w:rPr>
      <w:rFonts w:ascii="Arial" w:hAnsi="Arial" w:eastAsia="黑体" w:cs="Arial"/>
      <w:b/>
      <w:bCs/>
      <w:snapToGrid w:val="0"/>
      <w:kern w:val="44"/>
      <w:sz w:val="44"/>
      <w:szCs w:val="44"/>
    </w:rPr>
  </w:style>
  <w:style w:type="character" w:customStyle="1" w:styleId="85">
    <w:name w:val="标题 5 字符"/>
    <w:link w:val="7"/>
    <w:autoRedefine/>
    <w:qFormat/>
    <w:uiPriority w:val="9"/>
    <w:rPr>
      <w:b/>
      <w:bCs/>
      <w:kern w:val="2"/>
      <w:sz w:val="28"/>
      <w:szCs w:val="28"/>
    </w:rPr>
  </w:style>
  <w:style w:type="character" w:customStyle="1" w:styleId="86">
    <w:name w:val="标题 Char"/>
    <w:autoRedefine/>
    <w:qFormat/>
    <w:uiPriority w:val="0"/>
    <w:rPr>
      <w:rFonts w:eastAsia="宋体"/>
      <w:b/>
      <w:sz w:val="24"/>
      <w:lang w:val="en-GB" w:eastAsia="zh-CN" w:bidi="ar-SA"/>
    </w:rPr>
  </w:style>
  <w:style w:type="paragraph" w:customStyle="1" w:styleId="87">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9">
    <w:name w:val="样式3"/>
    <w:basedOn w:val="88"/>
    <w:autoRedefine/>
    <w:qFormat/>
    <w:uiPriority w:val="0"/>
    <w:pPr>
      <w:spacing w:before="312" w:beforeLines="100"/>
      <w:jc w:val="left"/>
    </w:pPr>
  </w:style>
  <w:style w:type="paragraph" w:customStyle="1" w:styleId="90">
    <w:name w:val="Default"/>
    <w:next w:val="91"/>
    <w:link w:val="24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TOC 71"/>
    <w:basedOn w:val="1"/>
    <w:next w:val="1"/>
    <w:autoRedefine/>
    <w:qFormat/>
    <w:uiPriority w:val="0"/>
    <w:pPr>
      <w:widowControl/>
      <w:wordWrap w:val="0"/>
      <w:spacing w:before="100" w:beforeAutospacing="1" w:after="100" w:afterAutospacing="1"/>
      <w:ind w:left="2550"/>
    </w:pPr>
    <w:rPr>
      <w:rFonts w:ascii="Calibri" w:hAnsi="Calibri"/>
      <w:kern w:val="0"/>
      <w:szCs w:val="21"/>
    </w:rPr>
  </w:style>
  <w:style w:type="paragraph" w:customStyle="1" w:styleId="92">
    <w:name w:val="正文空2字"/>
    <w:basedOn w:val="9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3">
    <w:name w:val="左对齐正文"/>
    <w:autoRedefine/>
    <w:qFormat/>
    <w:uiPriority w:val="99"/>
    <w:rPr>
      <w:rFonts w:ascii="Calibri" w:hAnsi="Calibri" w:eastAsia="仿宋_GB2312" w:cs="Calibri"/>
      <w:kern w:val="2"/>
      <w:sz w:val="32"/>
      <w:szCs w:val="32"/>
      <w:lang w:val="en-US" w:eastAsia="zh-CN" w:bidi="ar-SA"/>
    </w:rPr>
  </w:style>
  <w:style w:type="character" w:customStyle="1" w:styleId="94">
    <w:name w:val="表格非标题文字 Char"/>
    <w:link w:val="95"/>
    <w:autoRedefine/>
    <w:qFormat/>
    <w:uiPriority w:val="0"/>
    <w:rPr>
      <w:rFonts w:ascii="Futura Bk" w:hAnsi="Futura Bk"/>
      <w:kern w:val="2"/>
      <w:sz w:val="18"/>
      <w:szCs w:val="21"/>
      <w:lang w:val="en-US" w:eastAsia="zh-CN" w:bidi="ar-SA"/>
    </w:rPr>
  </w:style>
  <w:style w:type="paragraph" w:customStyle="1" w:styleId="95">
    <w:name w:val="表格非标题文字"/>
    <w:link w:val="9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autoRedefine/>
    <w:qFormat/>
    <w:locked/>
    <w:uiPriority w:val="0"/>
    <w:rPr>
      <w:rFonts w:ascii="宋体" w:hAnsi="宋体"/>
      <w:sz w:val="24"/>
    </w:rPr>
  </w:style>
  <w:style w:type="paragraph" w:customStyle="1" w:styleId="97">
    <w:name w:val="*正文"/>
    <w:basedOn w:val="1"/>
    <w:link w:val="96"/>
    <w:autoRedefine/>
    <w:qFormat/>
    <w:uiPriority w:val="0"/>
    <w:pPr>
      <w:snapToGrid w:val="0"/>
      <w:spacing w:line="360" w:lineRule="auto"/>
      <w:ind w:firstLine="482"/>
      <w:jc w:val="left"/>
    </w:pPr>
    <w:rPr>
      <w:rFonts w:ascii="宋体" w:hAnsi="宋体"/>
      <w:kern w:val="0"/>
      <w:sz w:val="24"/>
      <w:szCs w:val="20"/>
    </w:rPr>
  </w:style>
  <w:style w:type="character" w:customStyle="1" w:styleId="98">
    <w:name w:val="Char Char71"/>
    <w:autoRedefine/>
    <w:semiHidden/>
    <w:qFormat/>
    <w:uiPriority w:val="0"/>
    <w:rPr>
      <w:rFonts w:eastAsia="宋体"/>
      <w:kern w:val="2"/>
      <w:sz w:val="21"/>
      <w:szCs w:val="24"/>
      <w:lang w:val="en-US" w:eastAsia="zh-CN" w:bidi="ar-SA"/>
    </w:rPr>
  </w:style>
  <w:style w:type="character" w:customStyle="1" w:styleId="99">
    <w:name w:val="Char Char6"/>
    <w:autoRedefine/>
    <w:qFormat/>
    <w:uiPriority w:val="0"/>
    <w:rPr>
      <w:rFonts w:eastAsia="宋体"/>
      <w:kern w:val="2"/>
      <w:sz w:val="21"/>
      <w:szCs w:val="24"/>
      <w:lang w:val="en-US" w:eastAsia="zh-CN" w:bidi="ar-SA"/>
    </w:rPr>
  </w:style>
  <w:style w:type="character" w:customStyle="1" w:styleId="100">
    <w:name w:val="正文缩进 Char"/>
    <w:autoRedefine/>
    <w:qFormat/>
    <w:uiPriority w:val="0"/>
    <w:rPr>
      <w:rFonts w:eastAsia="宋体"/>
      <w:kern w:val="2"/>
      <w:sz w:val="21"/>
      <w:lang w:val="en-US" w:eastAsia="zh-CN"/>
    </w:rPr>
  </w:style>
  <w:style w:type="character" w:customStyle="1" w:styleId="10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2">
    <w:name w:val="Char Char28"/>
    <w:autoRedefine/>
    <w:qFormat/>
    <w:uiPriority w:val="6"/>
    <w:rPr>
      <w:rFonts w:ascii="仿宋_GB2312" w:hAnsi="仿宋_GB2312" w:eastAsia="仿宋_GB2312"/>
      <w:kern w:val="1"/>
      <w:sz w:val="28"/>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sz w:val="24"/>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字符"/>
    <w:link w:val="60"/>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 w:val="24"/>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链接"/>
    <w:autoRedefine/>
    <w:qFormat/>
    <w:uiPriority w:val="0"/>
    <w:rPr>
      <w:color w:val="0000FF"/>
      <w:sz w:val="21"/>
      <w:szCs w:val="21"/>
      <w:u w:val="single"/>
    </w:rPr>
  </w:style>
  <w:style w:type="character" w:customStyle="1" w:styleId="124">
    <w:name w:val="h4 Char"/>
    <w:autoRedefine/>
    <w:qFormat/>
    <w:uiPriority w:val="0"/>
    <w:rPr>
      <w:rFonts w:ascii="Arial" w:hAnsi="Arial" w:eastAsia="黑体"/>
      <w:b/>
      <w:bCs/>
      <w:kern w:val="2"/>
      <w:sz w:val="28"/>
      <w:szCs w:val="28"/>
      <w:lang w:val="zh-CN" w:eastAsia="zh-CN" w:bidi="ar-SA"/>
    </w:rPr>
  </w:style>
  <w:style w:type="character" w:customStyle="1" w:styleId="125">
    <w:name w:val="5正文 Char"/>
    <w:link w:val="126"/>
    <w:autoRedefine/>
    <w:qFormat/>
    <w:uiPriority w:val="0"/>
    <w:rPr>
      <w:rFonts w:ascii="仿宋_GB2312" w:hAnsi="微软雅黑" w:eastAsia="仿宋_GB2312"/>
      <w:sz w:val="28"/>
      <w:szCs w:val="21"/>
    </w:rPr>
  </w:style>
  <w:style w:type="paragraph" w:customStyle="1" w:styleId="126">
    <w:name w:val="5正文"/>
    <w:basedOn w:val="1"/>
    <w:link w:val="1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autoRedefine/>
    <w:qFormat/>
    <w:uiPriority w:val="9"/>
    <w:rPr>
      <w:b/>
      <w:bCs/>
      <w:kern w:val="2"/>
      <w:sz w:val="32"/>
      <w:szCs w:val="32"/>
    </w:rPr>
  </w:style>
  <w:style w:type="character" w:customStyle="1" w:styleId="128">
    <w:name w:val="样式6 Char"/>
    <w:autoRedefine/>
    <w:qFormat/>
    <w:uiPriority w:val="0"/>
    <w:rPr>
      <w:rFonts w:ascii="仿宋_GB2312" w:hAnsi="宋体" w:eastAsia="仿宋_GB2312"/>
      <w:b/>
      <w:bCs/>
      <w:kern w:val="2"/>
      <w:sz w:val="24"/>
      <w:szCs w:val="24"/>
      <w:lang w:val="en-US" w:eastAsia="zh-CN" w:bidi="ar-SA"/>
    </w:rPr>
  </w:style>
  <w:style w:type="character" w:customStyle="1" w:styleId="129">
    <w:name w:val="Char Char14"/>
    <w:autoRedefine/>
    <w:qFormat/>
    <w:uiPriority w:val="6"/>
    <w:rPr>
      <w:rFonts w:ascii="黑体" w:hAnsi="黑体" w:eastAsia="黑体"/>
    </w:rPr>
  </w:style>
  <w:style w:type="character" w:customStyle="1" w:styleId="130">
    <w:name w:val="Heading 2 Hidden Char"/>
    <w:autoRedefine/>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2"/>
    <w:autoRedefine/>
    <w:qFormat/>
    <w:uiPriority w:val="0"/>
    <w:rPr>
      <w:rFonts w:ascii="宋体" w:hAnsi="宋体"/>
      <w:kern w:val="2"/>
      <w:sz w:val="21"/>
      <w:szCs w:val="24"/>
    </w:rPr>
  </w:style>
  <w:style w:type="character" w:customStyle="1" w:styleId="132">
    <w:name w:val="font11"/>
    <w:autoRedefine/>
    <w:qFormat/>
    <w:uiPriority w:val="0"/>
    <w:rPr>
      <w:rFonts w:hint="default" w:ascii="Times New Roman" w:hAnsi="Times New Roman" w:cs="Times New Roman"/>
      <w:color w:val="000000"/>
      <w:sz w:val="22"/>
      <w:szCs w:val="22"/>
      <w:u w:val="none"/>
    </w:rPr>
  </w:style>
  <w:style w:type="character" w:customStyle="1" w:styleId="133">
    <w:name w:val="表正文 Char1"/>
    <w:autoRedefine/>
    <w:qFormat/>
    <w:uiPriority w:val="0"/>
    <w:rPr>
      <w:rFonts w:ascii="宋体" w:eastAsia="宋体"/>
      <w:snapToGrid w:val="0"/>
      <w:color w:val="000000"/>
      <w:kern w:val="28"/>
      <w:sz w:val="28"/>
    </w:rPr>
  </w:style>
  <w:style w:type="character" w:customStyle="1" w:styleId="134">
    <w:name w:val="blue1"/>
    <w:basedOn w:val="70"/>
    <w:autoRedefine/>
    <w:qFormat/>
    <w:uiPriority w:val="0"/>
    <w:rPr>
      <w:rFonts w:ascii="Arial" w:hAnsi="Arial" w:eastAsia="黑体" w:cs="Arial"/>
      <w:snapToGrid w:val="0"/>
      <w:kern w:val="0"/>
      <w:szCs w:val="21"/>
    </w:rPr>
  </w:style>
  <w:style w:type="character" w:customStyle="1" w:styleId="13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6">
    <w:name w:val="标书1 Char"/>
    <w:autoRedefine/>
    <w:qFormat/>
    <w:uiPriority w:val="0"/>
    <w:rPr>
      <w:rFonts w:eastAsia="宋体"/>
      <w:b/>
      <w:bCs/>
      <w:kern w:val="44"/>
      <w:sz w:val="44"/>
      <w:szCs w:val="44"/>
      <w:lang w:val="en-US" w:eastAsia="zh-CN" w:bidi="ar-SA"/>
    </w:rPr>
  </w:style>
  <w:style w:type="character" w:customStyle="1" w:styleId="137">
    <w:name w:val="样式5 Char"/>
    <w:autoRedefine/>
    <w:qFormat/>
    <w:uiPriority w:val="0"/>
    <w:rPr>
      <w:rFonts w:ascii="仿宋_GB2312" w:hAnsi="仿宋" w:eastAsia="仿宋_GB2312"/>
      <w:kern w:val="2"/>
      <w:sz w:val="24"/>
      <w:szCs w:val="24"/>
    </w:rPr>
  </w:style>
  <w:style w:type="character" w:customStyle="1" w:styleId="138">
    <w:name w:val="样式4 Char"/>
    <w:autoRedefine/>
    <w:qFormat/>
    <w:uiPriority w:val="0"/>
    <w:rPr>
      <w:rFonts w:ascii="仿宋_GB2312" w:hAnsi="仿宋" w:eastAsia="仿宋_GB2312"/>
      <w:b/>
      <w:kern w:val="2"/>
      <w:sz w:val="32"/>
      <w:szCs w:val="32"/>
      <w:lang w:bidi="ar-SA"/>
    </w:rPr>
  </w:style>
  <w:style w:type="character" w:customStyle="1" w:styleId="139">
    <w:name w:val="插图说明 Char"/>
    <w:autoRedefine/>
    <w:qFormat/>
    <w:uiPriority w:val="0"/>
    <w:rPr>
      <w:rFonts w:eastAsia="黑体"/>
      <w:sz w:val="24"/>
      <w:lang w:val="en-US" w:eastAsia="zh-CN"/>
    </w:rPr>
  </w:style>
  <w:style w:type="character" w:customStyle="1" w:styleId="140">
    <w:name w:val="正文2 Char Char"/>
    <w:link w:val="141"/>
    <w:autoRedefine/>
    <w:qFormat/>
    <w:uiPriority w:val="0"/>
    <w:rPr>
      <w:rFonts w:eastAsia="宋体"/>
      <w:kern w:val="2"/>
      <w:sz w:val="24"/>
      <w:lang w:val="en-US" w:eastAsia="zh-CN" w:bidi="ar-SA"/>
    </w:rPr>
  </w:style>
  <w:style w:type="paragraph" w:customStyle="1" w:styleId="141">
    <w:name w:val="正文2"/>
    <w:basedOn w:val="1"/>
    <w:link w:val="140"/>
    <w:autoRedefine/>
    <w:qFormat/>
    <w:uiPriority w:val="0"/>
    <w:pPr>
      <w:spacing w:before="156" w:line="360" w:lineRule="auto"/>
      <w:ind w:firstLine="510" w:firstLineChars="200"/>
    </w:pPr>
    <w:rPr>
      <w:sz w:val="24"/>
      <w:szCs w:val="20"/>
    </w:rPr>
  </w:style>
  <w:style w:type="character" w:customStyle="1" w:styleId="142">
    <w:name w:val="Char Char24"/>
    <w:autoRedefine/>
    <w:qFormat/>
    <w:uiPriority w:val="6"/>
    <w:rPr>
      <w:kern w:val="1"/>
      <w:sz w:val="21"/>
    </w:rPr>
  </w:style>
  <w:style w:type="character" w:customStyle="1" w:styleId="143">
    <w:name w:val="副标题 字符"/>
    <w:link w:val="47"/>
    <w:autoRedefine/>
    <w:qFormat/>
    <w:uiPriority w:val="0"/>
    <w:rPr>
      <w:rFonts w:ascii="Arial" w:hAnsi="Arial" w:eastAsia="隶书"/>
      <w:b/>
      <w:bCs/>
      <w:kern w:val="28"/>
      <w:sz w:val="44"/>
      <w:szCs w:val="32"/>
      <w:lang w:val="en-US" w:eastAsia="zh-CN" w:bidi="ar-SA"/>
    </w:rPr>
  </w:style>
  <w:style w:type="character" w:customStyle="1" w:styleId="144">
    <w:name w:val="普通文字 Char1 Char"/>
    <w:autoRedefine/>
    <w:qFormat/>
    <w:uiPriority w:val="0"/>
    <w:rPr>
      <w:rFonts w:ascii="宋体" w:hAnsi="Courier New" w:eastAsia="宋体"/>
      <w:kern w:val="2"/>
      <w:sz w:val="21"/>
      <w:szCs w:val="24"/>
      <w:lang w:val="en-US" w:eastAsia="zh-CN" w:bidi="ar-SA"/>
    </w:rPr>
  </w:style>
  <w:style w:type="character" w:customStyle="1" w:styleId="145">
    <w:name w:val="h3 Char1"/>
    <w:autoRedefine/>
    <w:qFormat/>
    <w:uiPriority w:val="0"/>
    <w:rPr>
      <w:rFonts w:eastAsia="宋体"/>
      <w:b/>
      <w:bCs/>
      <w:kern w:val="2"/>
      <w:sz w:val="32"/>
      <w:szCs w:val="32"/>
      <w:lang w:bidi="ar-SA"/>
    </w:rPr>
  </w:style>
  <w:style w:type="character" w:customStyle="1" w:styleId="146">
    <w:name w:val="标题 Char1"/>
    <w:autoRedefine/>
    <w:qFormat/>
    <w:uiPriority w:val="0"/>
    <w:rPr>
      <w:rFonts w:ascii="Cambria" w:hAnsi="Cambria" w:eastAsia="宋体" w:cs="Times New Roman"/>
      <w:b/>
      <w:bCs/>
      <w:sz w:val="32"/>
      <w:szCs w:val="32"/>
      <w:lang w:bidi="ar-SA"/>
    </w:rPr>
  </w:style>
  <w:style w:type="character" w:customStyle="1" w:styleId="147">
    <w:name w:val="gf正文1 Char"/>
    <w:autoRedefine/>
    <w:qFormat/>
    <w:uiPriority w:val="0"/>
    <w:rPr>
      <w:rFonts w:ascii="宋体" w:hAnsi="宋体" w:eastAsia="宋体" w:cs="宋体"/>
      <w:kern w:val="2"/>
      <w:sz w:val="24"/>
      <w:szCs w:val="24"/>
      <w:lang w:val="en-US" w:eastAsia="zh-CN" w:bidi="ar-SA"/>
    </w:rPr>
  </w:style>
  <w:style w:type="character" w:customStyle="1" w:styleId="148">
    <w:name w:val="正文文本缩进 Char1"/>
    <w:autoRedefine/>
    <w:qFormat/>
    <w:uiPriority w:val="0"/>
    <w:rPr>
      <w:rFonts w:ascii="Calibri" w:hAnsi="Calibri"/>
      <w:sz w:val="28"/>
    </w:rPr>
  </w:style>
  <w:style w:type="character" w:customStyle="1" w:styleId="149">
    <w:name w:val="No Spacing Char"/>
    <w:link w:val="150"/>
    <w:autoRedefine/>
    <w:qFormat/>
    <w:uiPriority w:val="1"/>
    <w:rPr>
      <w:sz w:val="22"/>
      <w:szCs w:val="22"/>
      <w:lang w:val="en-US" w:eastAsia="zh-CN" w:bidi="ar-SA"/>
    </w:rPr>
  </w:style>
  <w:style w:type="paragraph" w:customStyle="1" w:styleId="150">
    <w:name w:val="无间隔1"/>
    <w:link w:val="149"/>
    <w:autoRedefine/>
    <w:qFormat/>
    <w:uiPriority w:val="1"/>
    <w:rPr>
      <w:rFonts w:ascii="Times New Roman" w:hAnsi="Times New Roman" w:eastAsia="宋体" w:cs="Times New Roman"/>
      <w:sz w:val="22"/>
      <w:szCs w:val="22"/>
      <w:lang w:val="en-US" w:eastAsia="zh-CN" w:bidi="ar-SA"/>
    </w:rPr>
  </w:style>
  <w:style w:type="character" w:customStyle="1" w:styleId="151">
    <w:name w:val="样式7 Char"/>
    <w:autoRedefine/>
    <w:qFormat/>
    <w:uiPriority w:val="0"/>
    <w:rPr>
      <w:rFonts w:ascii="仿宋_GB2312" w:hAnsi="仿宋" w:eastAsia="仿宋_GB2312"/>
      <w:b/>
      <w:kern w:val="2"/>
      <w:sz w:val="24"/>
      <w:szCs w:val="24"/>
    </w:rPr>
  </w:style>
  <w:style w:type="character" w:customStyle="1" w:styleId="152">
    <w:name w:val="font12gray1"/>
    <w:autoRedefine/>
    <w:qFormat/>
    <w:uiPriority w:val="0"/>
    <w:rPr>
      <w:rFonts w:ascii="仿宋_GB2312" w:eastAsia="微软雅黑"/>
      <w:b/>
      <w:spacing w:val="300"/>
      <w:kern w:val="2"/>
      <w:sz w:val="18"/>
      <w:szCs w:val="18"/>
      <w:lang w:val="en-US" w:eastAsia="zh-CN" w:bidi="ar-SA"/>
    </w:rPr>
  </w:style>
  <w:style w:type="character" w:customStyle="1" w:styleId="153">
    <w:name w:val="Char Char7"/>
    <w:autoRedefine/>
    <w:semiHidden/>
    <w:qFormat/>
    <w:uiPriority w:val="0"/>
    <w:rPr>
      <w:rFonts w:eastAsia="宋体"/>
      <w:kern w:val="2"/>
      <w:sz w:val="21"/>
      <w:szCs w:val="24"/>
      <w:lang w:val="en-US" w:eastAsia="zh-CN" w:bidi="ar-SA"/>
    </w:rPr>
  </w:style>
  <w:style w:type="character" w:customStyle="1" w:styleId="154">
    <w:name w:val="表名 Char"/>
    <w:autoRedefine/>
    <w:qFormat/>
    <w:uiPriority w:val="0"/>
    <w:rPr>
      <w:rFonts w:eastAsia="宋体"/>
      <w:b/>
      <w:bCs/>
      <w:kern w:val="2"/>
      <w:sz w:val="24"/>
      <w:szCs w:val="24"/>
      <w:lang w:val="en-US" w:eastAsia="zh-CN" w:bidi="ar-SA"/>
    </w:rPr>
  </w:style>
  <w:style w:type="character" w:customStyle="1" w:styleId="155">
    <w:name w:val="Document Map Char"/>
    <w:autoRedefine/>
    <w:qFormat/>
    <w:locked/>
    <w:uiPriority w:val="0"/>
    <w:rPr>
      <w:rFonts w:eastAsia="宋体"/>
      <w:kern w:val="2"/>
      <w:sz w:val="21"/>
      <w:szCs w:val="24"/>
      <w:lang w:val="en-US" w:eastAsia="zh-CN" w:bidi="ar-SA"/>
    </w:rPr>
  </w:style>
  <w:style w:type="character" w:customStyle="1" w:styleId="156">
    <w:name w:val="font41"/>
    <w:autoRedefine/>
    <w:qFormat/>
    <w:uiPriority w:val="0"/>
    <w:rPr>
      <w:rFonts w:hint="eastAsia" w:ascii="仿宋_GB2312" w:eastAsia="仿宋_GB2312" w:cs="仿宋_GB2312"/>
      <w:color w:val="000000"/>
      <w:sz w:val="22"/>
      <w:szCs w:val="22"/>
      <w:u w:val="none"/>
    </w:rPr>
  </w:style>
  <w:style w:type="character" w:customStyle="1" w:styleId="157">
    <w:name w:val="标题 6 字符"/>
    <w:link w:val="8"/>
    <w:autoRedefine/>
    <w:qFormat/>
    <w:uiPriority w:val="0"/>
    <w:rPr>
      <w:rFonts w:ascii="Arial" w:hAnsi="Arial" w:eastAsia="黑体"/>
      <w:b/>
      <w:bCs/>
      <w:kern w:val="2"/>
      <w:sz w:val="24"/>
      <w:szCs w:val="24"/>
    </w:rPr>
  </w:style>
  <w:style w:type="character" w:customStyle="1" w:styleId="158">
    <w:name w:val="纯文本 Char_0"/>
    <w:link w:val="159"/>
    <w:autoRedefine/>
    <w:qFormat/>
    <w:uiPriority w:val="0"/>
    <w:rPr>
      <w:rFonts w:ascii="宋体" w:hAnsi="Courier New"/>
      <w:kern w:val="2"/>
      <w:sz w:val="21"/>
      <w:szCs w:val="21"/>
      <w:lang w:val="en-US" w:eastAsia="zh-CN"/>
    </w:rPr>
  </w:style>
  <w:style w:type="paragraph" w:customStyle="1" w:styleId="159">
    <w:name w:val="纯文本_0_0"/>
    <w:basedOn w:val="160"/>
    <w:link w:val="158"/>
    <w:autoRedefine/>
    <w:qFormat/>
    <w:uiPriority w:val="0"/>
    <w:rPr>
      <w:rFonts w:ascii="宋体" w:hAnsi="Courier New"/>
      <w:szCs w:val="21"/>
    </w:rPr>
  </w:style>
  <w:style w:type="paragraph" w:customStyle="1" w:styleId="16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autoRedefine/>
    <w:qFormat/>
    <w:locked/>
    <w:uiPriority w:val="0"/>
    <w:rPr>
      <w:rFonts w:eastAsia="宋体"/>
      <w:kern w:val="2"/>
      <w:sz w:val="18"/>
      <w:szCs w:val="18"/>
      <w:lang w:val="en-US" w:eastAsia="zh-CN" w:bidi="ar-SA"/>
    </w:rPr>
  </w:style>
  <w:style w:type="character" w:customStyle="1" w:styleId="162">
    <w:name w:val="正文 项目2 Char"/>
    <w:basedOn w:val="163"/>
    <w:autoRedefine/>
    <w:qFormat/>
    <w:uiPriority w:val="0"/>
    <w:rPr>
      <w:rFonts w:ascii="仿宋_GB2312" w:hAnsi="仿宋_GB2312" w:eastAsia="仿宋_GB2312"/>
      <w:kern w:val="2"/>
      <w:sz w:val="24"/>
      <w:lang w:bidi="ar-SA"/>
    </w:rPr>
  </w:style>
  <w:style w:type="character" w:customStyle="1" w:styleId="163">
    <w:name w:val="正文 项目 Char"/>
    <w:autoRedefine/>
    <w:qFormat/>
    <w:uiPriority w:val="0"/>
    <w:rPr>
      <w:rFonts w:ascii="仿宋_GB2312" w:hAnsi="仿宋_GB2312" w:eastAsia="仿宋_GB2312"/>
      <w:kern w:val="2"/>
      <w:sz w:val="24"/>
      <w:lang w:bidi="ar-SA"/>
    </w:rPr>
  </w:style>
  <w:style w:type="character" w:customStyle="1" w:styleId="164">
    <w:name w:val="h Char Char1"/>
    <w:autoRedefine/>
    <w:qFormat/>
    <w:uiPriority w:val="0"/>
    <w:rPr>
      <w:rFonts w:eastAsia="宋体"/>
      <w:kern w:val="2"/>
      <w:sz w:val="18"/>
      <w:szCs w:val="18"/>
      <w:lang w:val="en-US" w:eastAsia="zh-CN" w:bidi="ar-SA"/>
    </w:rPr>
  </w:style>
  <w:style w:type="character" w:customStyle="1" w:styleId="165">
    <w:name w:val="Char Char27"/>
    <w:autoRedefine/>
    <w:qFormat/>
    <w:uiPriority w:val="6"/>
    <w:rPr>
      <w:rFonts w:ascii="宋体" w:hAnsi="宋体" w:eastAsia="宋体"/>
      <w:color w:val="000000"/>
      <w:kern w:val="1"/>
      <w:sz w:val="28"/>
      <w:lang w:val="en-US" w:eastAsia="zh-CN" w:bidi="ar-SA"/>
    </w:rPr>
  </w:style>
  <w:style w:type="character" w:customStyle="1" w:styleId="166">
    <w:name w:val="px14"/>
    <w:autoRedefine/>
    <w:qFormat/>
    <w:uiPriority w:val="0"/>
    <w:rPr>
      <w:rFonts w:ascii="仿宋_GB2312" w:eastAsia="微软雅黑" w:cs="Times New Roman"/>
      <w:b/>
      <w:kern w:val="2"/>
      <w:sz w:val="32"/>
      <w:szCs w:val="32"/>
      <w:lang w:val="en-US" w:eastAsia="zh-CN" w:bidi="ar-SA"/>
    </w:rPr>
  </w:style>
  <w:style w:type="character" w:customStyle="1" w:styleId="167">
    <w:name w:val="HTML 预设格式 Char1"/>
    <w:autoRedefine/>
    <w:qFormat/>
    <w:uiPriority w:val="0"/>
    <w:rPr>
      <w:rFonts w:ascii="Courier New" w:hAnsi="Courier New" w:eastAsia="宋体" w:cs="Courier New"/>
      <w:sz w:val="20"/>
      <w:szCs w:val="20"/>
    </w:rPr>
  </w:style>
  <w:style w:type="character" w:customStyle="1" w:styleId="168">
    <w:name w:val="普通文字 Char1"/>
    <w:autoRedefine/>
    <w:qFormat/>
    <w:uiPriority w:val="0"/>
    <w:rPr>
      <w:rFonts w:ascii="宋体" w:hAnsi="Courier New" w:eastAsia="宋体"/>
      <w:kern w:val="2"/>
      <w:sz w:val="21"/>
      <w:lang w:val="en-US" w:eastAsia="zh-CN"/>
    </w:rPr>
  </w:style>
  <w:style w:type="character" w:customStyle="1" w:styleId="169">
    <w:name w:val="hei16b1"/>
    <w:autoRedefine/>
    <w:qFormat/>
    <w:uiPriority w:val="0"/>
    <w:rPr>
      <w:rFonts w:hint="default" w:ascii="Arial" w:hAnsi="Arial" w:cs="Arial"/>
      <w:b/>
      <w:bCs/>
      <w:color w:val="000000"/>
      <w:sz w:val="24"/>
      <w:szCs w:val="24"/>
    </w:rPr>
  </w:style>
  <w:style w:type="character" w:customStyle="1" w:styleId="170">
    <w:name w:val="正文（绿盟科技） Char"/>
    <w:link w:val="171"/>
    <w:autoRedefine/>
    <w:qFormat/>
    <w:uiPriority w:val="0"/>
    <w:rPr>
      <w:rFonts w:ascii="Arial" w:hAnsi="Arial"/>
      <w:sz w:val="21"/>
      <w:szCs w:val="21"/>
    </w:rPr>
  </w:style>
  <w:style w:type="paragraph" w:customStyle="1" w:styleId="171">
    <w:name w:val="正文（绿盟科技）"/>
    <w:link w:val="170"/>
    <w:autoRedefine/>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autoRedefine/>
    <w:qFormat/>
    <w:uiPriority w:val="6"/>
    <w:rPr>
      <w:rFonts w:ascii="宋体" w:hAnsi="宋体"/>
      <w:i/>
      <w:sz w:val="24"/>
      <w:szCs w:val="24"/>
    </w:rPr>
  </w:style>
  <w:style w:type="character" w:customStyle="1" w:styleId="173">
    <w:name w:val="页脚 Char"/>
    <w:autoRedefine/>
    <w:qFormat/>
    <w:uiPriority w:val="0"/>
    <w:rPr>
      <w:rFonts w:eastAsia="仿宋_GB2312"/>
      <w:kern w:val="2"/>
      <w:sz w:val="18"/>
      <w:lang w:val="en-US" w:eastAsia="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Comment Text Char"/>
    <w:autoRedefine/>
    <w:qFormat/>
    <w:locked/>
    <w:uiPriority w:val="0"/>
    <w:rPr>
      <w:rFonts w:ascii="宋体" w:hAnsi="宋体" w:eastAsia="宋体"/>
      <w:kern w:val="2"/>
      <w:sz w:val="24"/>
      <w:lang w:val="en-US" w:eastAsia="zh-CN" w:bidi="ar-SA"/>
    </w:rPr>
  </w:style>
  <w:style w:type="character" w:customStyle="1" w:styleId="176">
    <w:name w:val="标题 2 字符"/>
    <w:autoRedefine/>
    <w:qFormat/>
    <w:uiPriority w:val="1"/>
    <w:rPr>
      <w:rFonts w:ascii="仿宋_GB2312" w:hAnsi="Times New Roman" w:eastAsia="仿宋_GB2312" w:cs="Times New Roman"/>
      <w:b/>
      <w:kern w:val="2"/>
      <w:sz w:val="24"/>
      <w:lang w:val="zh-CN"/>
    </w:rPr>
  </w:style>
  <w:style w:type="character" w:customStyle="1" w:styleId="177">
    <w:name w:val="Char Char72"/>
    <w:autoRedefine/>
    <w:qFormat/>
    <w:uiPriority w:val="0"/>
    <w:rPr>
      <w:rFonts w:eastAsia="宋体"/>
      <w:kern w:val="2"/>
      <w:sz w:val="21"/>
      <w:szCs w:val="24"/>
      <w:lang w:val="en-US" w:eastAsia="zh-CN" w:bidi="ar-SA"/>
    </w:rPr>
  </w:style>
  <w:style w:type="character" w:customStyle="1" w:styleId="178">
    <w:name w:val="正文文本缩进 Char2"/>
    <w:autoRedefine/>
    <w:qFormat/>
    <w:uiPriority w:val="0"/>
    <w:rPr>
      <w:rFonts w:ascii="Times New Roman" w:hAnsi="Times New Roman" w:eastAsia="宋体" w:cs="Times New Roman"/>
      <w:snapToGrid w:val="0"/>
      <w:kern w:val="0"/>
      <w:szCs w:val="24"/>
    </w:rPr>
  </w:style>
  <w:style w:type="character" w:customStyle="1" w:styleId="179">
    <w:name w:val="样式2 Char"/>
    <w:autoRedefine/>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autoRedefine/>
    <w:qFormat/>
    <w:uiPriority w:val="0"/>
    <w:rPr>
      <w:sz w:val="32"/>
    </w:rPr>
  </w:style>
  <w:style w:type="paragraph" w:customStyle="1" w:styleId="181">
    <w:name w:val="表格名称"/>
    <w:basedOn w:val="3"/>
    <w:link w:val="18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autoRedefine/>
    <w:qFormat/>
    <w:uiPriority w:val="0"/>
    <w:rPr>
      <w:rFonts w:eastAsia="宋体"/>
      <w:b/>
      <w:sz w:val="24"/>
      <w:lang w:val="en-GB" w:eastAsia="zh-CN" w:bidi="ar-SA"/>
    </w:rPr>
  </w:style>
  <w:style w:type="character" w:customStyle="1" w:styleId="183">
    <w:name w:val="c7 style3"/>
    <w:autoRedefine/>
    <w:qFormat/>
    <w:uiPriority w:val="0"/>
  </w:style>
  <w:style w:type="character" w:customStyle="1" w:styleId="184">
    <w:name w:val="正文文本 3 Char1"/>
    <w:autoRedefine/>
    <w:semiHidden/>
    <w:qFormat/>
    <w:uiPriority w:val="99"/>
    <w:rPr>
      <w:rFonts w:ascii="Times New Roman" w:hAnsi="Times New Roman" w:eastAsia="宋体" w:cs="Times New Roman"/>
      <w:sz w:val="16"/>
      <w:szCs w:val="16"/>
    </w:rPr>
  </w:style>
  <w:style w:type="character" w:customStyle="1" w:styleId="185">
    <w:name w:val="tw4winInternal"/>
    <w:autoRedefine/>
    <w:qFormat/>
    <w:uiPriority w:val="0"/>
    <w:rPr>
      <w:rFonts w:ascii="Courier New" w:hAnsi="Courier New" w:cs="Courier New"/>
      <w:color w:val="FF0000"/>
      <w:lang w:val="en-US" w:eastAsia="zh-CN"/>
    </w:rPr>
  </w:style>
  <w:style w:type="character" w:customStyle="1" w:styleId="186">
    <w:name w:val="Char Char10"/>
    <w:autoRedefine/>
    <w:semiHidden/>
    <w:qFormat/>
    <w:uiPriority w:val="0"/>
    <w:rPr>
      <w:rFonts w:ascii="宋体" w:hAnsi="宋体"/>
      <w:kern w:val="2"/>
      <w:sz w:val="21"/>
      <w:szCs w:val="24"/>
      <w:lang w:val="en-US" w:eastAsia="zh-CN"/>
    </w:rPr>
  </w:style>
  <w:style w:type="character" w:customStyle="1" w:styleId="187">
    <w:name w:val="shadow11"/>
    <w:autoRedefine/>
    <w:qFormat/>
    <w:uiPriority w:val="0"/>
    <w:rPr>
      <w:color w:val="000000"/>
      <w:sz w:val="21"/>
    </w:rPr>
  </w:style>
  <w:style w:type="character" w:customStyle="1" w:styleId="188">
    <w:name w:val="正文非缩进 Char3"/>
    <w:autoRedefine/>
    <w:qFormat/>
    <w:uiPriority w:val="0"/>
    <w:rPr>
      <w:rFonts w:ascii="宋体" w:eastAsia="宋体"/>
      <w:snapToGrid w:val="0"/>
      <w:color w:val="000000"/>
      <w:kern w:val="28"/>
      <w:sz w:val="28"/>
      <w:lang w:val="en-US" w:eastAsia="zh-CN" w:bidi="ar-SA"/>
    </w:rPr>
  </w:style>
  <w:style w:type="character" w:customStyle="1" w:styleId="189">
    <w:name w:val="Char Char"/>
    <w:autoRedefine/>
    <w:qFormat/>
    <w:uiPriority w:val="0"/>
    <w:rPr>
      <w:rFonts w:ascii="宋体" w:hAnsi="Courier New" w:eastAsia="宋体"/>
      <w:kern w:val="2"/>
      <w:sz w:val="21"/>
      <w:lang w:val="en-US" w:eastAsia="zh-CN" w:bidi="ar-SA"/>
    </w:rPr>
  </w:style>
  <w:style w:type="character" w:customStyle="1" w:styleId="190">
    <w:name w:val="签名 Char1"/>
    <w:autoRedefine/>
    <w:qFormat/>
    <w:uiPriority w:val="0"/>
    <w:rPr>
      <w:rFonts w:ascii="Times New Roman" w:hAnsi="Times New Roman" w:eastAsia="宋体" w:cs="Times New Roman"/>
      <w:szCs w:val="24"/>
    </w:rPr>
  </w:style>
  <w:style w:type="character" w:customStyle="1" w:styleId="191">
    <w:name w:val="日期 字符"/>
    <w:link w:val="36"/>
    <w:autoRedefine/>
    <w:qFormat/>
    <w:uiPriority w:val="0"/>
    <w:rPr>
      <w:rFonts w:ascii="宋体"/>
      <w:kern w:val="2"/>
      <w:sz w:val="24"/>
      <w:szCs w:val="21"/>
      <w:lang w:val="zh-CN"/>
    </w:rPr>
  </w:style>
  <w:style w:type="character" w:customStyle="1" w:styleId="192">
    <w:name w:val="标题 9 字符"/>
    <w:link w:val="11"/>
    <w:autoRedefine/>
    <w:qFormat/>
    <w:uiPriority w:val="0"/>
    <w:rPr>
      <w:rFonts w:ascii="Arial" w:hAnsi="Arial" w:eastAsia="黑体"/>
      <w:kern w:val="2"/>
      <w:sz w:val="21"/>
      <w:szCs w:val="21"/>
    </w:rPr>
  </w:style>
  <w:style w:type="character" w:customStyle="1" w:styleId="193">
    <w:name w:val="Char Char18"/>
    <w:autoRedefine/>
    <w:qFormat/>
    <w:uiPriority w:val="6"/>
    <w:rPr>
      <w:rFonts w:ascii="宋体" w:hAnsi="宋体"/>
      <w:sz w:val="28"/>
    </w:rPr>
  </w:style>
  <w:style w:type="character" w:customStyle="1" w:styleId="194">
    <w:name w:val="批注文字 Char"/>
    <w:autoRedefine/>
    <w:qFormat/>
    <w:uiPriority w:val="99"/>
    <w:rPr>
      <w:kern w:val="2"/>
      <w:sz w:val="21"/>
      <w:szCs w:val="24"/>
    </w:rPr>
  </w:style>
  <w:style w:type="character" w:customStyle="1" w:styleId="195">
    <w:name w:val="Char Char22"/>
    <w:autoRedefine/>
    <w:qFormat/>
    <w:uiPriority w:val="6"/>
    <w:rPr>
      <w:rFonts w:ascii="宋体" w:hAnsi="宋体"/>
      <w:kern w:val="1"/>
      <w:sz w:val="24"/>
      <w:szCs w:val="24"/>
    </w:rPr>
  </w:style>
  <w:style w:type="character" w:customStyle="1" w:styleId="196">
    <w:name w:val="pt141"/>
    <w:autoRedefine/>
    <w:qFormat/>
    <w:uiPriority w:val="0"/>
    <w:rPr>
      <w:color w:val="330066"/>
      <w:sz w:val="22"/>
      <w:szCs w:val="22"/>
    </w:rPr>
  </w:style>
  <w:style w:type="character" w:customStyle="1" w:styleId="197">
    <w:name w:val="正文文本缩进 2 Char1"/>
    <w:autoRedefine/>
    <w:semiHidden/>
    <w:qFormat/>
    <w:uiPriority w:val="99"/>
    <w:rPr>
      <w:rFonts w:ascii="Times New Roman" w:hAnsi="Times New Roman" w:eastAsia="宋体" w:cs="Times New Roman"/>
      <w:szCs w:val="24"/>
    </w:rPr>
  </w:style>
  <w:style w:type="character" w:customStyle="1" w:styleId="198">
    <w:name w:val="批注框文本 字符1"/>
    <w:link w:val="39"/>
    <w:autoRedefine/>
    <w:qFormat/>
    <w:uiPriority w:val="0"/>
    <w:rPr>
      <w:kern w:val="2"/>
      <w:sz w:val="18"/>
      <w:szCs w:val="18"/>
    </w:rPr>
  </w:style>
  <w:style w:type="character" w:customStyle="1" w:styleId="199">
    <w:name w:val="Char Char611"/>
    <w:autoRedefine/>
    <w:qFormat/>
    <w:uiPriority w:val="0"/>
    <w:rPr>
      <w:rFonts w:eastAsia="宋体"/>
      <w:kern w:val="2"/>
      <w:sz w:val="21"/>
      <w:szCs w:val="24"/>
      <w:lang w:val="en-US" w:eastAsia="zh-CN" w:bidi="ar-SA"/>
    </w:rPr>
  </w:style>
  <w:style w:type="character" w:customStyle="1" w:styleId="200">
    <w:name w:val="highlight1"/>
    <w:autoRedefine/>
    <w:qFormat/>
    <w:uiPriority w:val="0"/>
    <w:rPr>
      <w:rFonts w:ascii="仿宋_GB2312" w:eastAsia="微软雅黑"/>
      <w:b/>
      <w:kern w:val="2"/>
      <w:sz w:val="23"/>
      <w:szCs w:val="23"/>
      <w:lang w:val="en-US" w:eastAsia="zh-CN" w:bidi="ar-SA"/>
    </w:rPr>
  </w:style>
  <w:style w:type="character" w:customStyle="1" w:styleId="201">
    <w:name w:val="my正文 Char"/>
    <w:link w:val="202"/>
    <w:autoRedefine/>
    <w:qFormat/>
    <w:locked/>
    <w:uiPriority w:val="0"/>
    <w:rPr>
      <w:rFonts w:ascii="Tahoma" w:hAnsi="Tahoma"/>
      <w:sz w:val="24"/>
      <w:szCs w:val="24"/>
    </w:rPr>
  </w:style>
  <w:style w:type="paragraph" w:customStyle="1" w:styleId="202">
    <w:name w:val="my正文"/>
    <w:basedOn w:val="1"/>
    <w:link w:val="201"/>
    <w:autoRedefine/>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autoRedefine/>
    <w:qFormat/>
    <w:uiPriority w:val="0"/>
    <w:rPr>
      <w:color w:val="0000FF"/>
      <w:sz w:val="21"/>
    </w:rPr>
  </w:style>
  <w:style w:type="character" w:customStyle="1" w:styleId="205">
    <w:name w:val="页眉 Char"/>
    <w:autoRedefine/>
    <w:qFormat/>
    <w:uiPriority w:val="0"/>
    <w:rPr>
      <w:rFonts w:eastAsia="仿宋_GB2312"/>
      <w:kern w:val="2"/>
      <w:sz w:val="18"/>
      <w:lang w:val="en-US" w:eastAsia="zh-CN"/>
    </w:rPr>
  </w:style>
  <w:style w:type="character" w:customStyle="1" w:styleId="206">
    <w:name w:val="FA正文 Char Char"/>
    <w:autoRedefine/>
    <w:qFormat/>
    <w:uiPriority w:val="0"/>
    <w:rPr>
      <w:rFonts w:hAnsi="宋体"/>
      <w:kern w:val="2"/>
      <w:sz w:val="24"/>
      <w:lang w:bidi="ar-SA"/>
    </w:rPr>
  </w:style>
  <w:style w:type="character" w:customStyle="1" w:styleId="20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autoRedefine/>
    <w:qFormat/>
    <w:uiPriority w:val="0"/>
    <w:rPr>
      <w:rFonts w:ascii="宋体" w:hAnsi="宋体"/>
      <w:b/>
      <w:bCs/>
      <w:snapToGrid/>
      <w:sz w:val="28"/>
    </w:rPr>
  </w:style>
  <w:style w:type="paragraph" w:customStyle="1" w:styleId="209">
    <w:name w:val="3级"/>
    <w:basedOn w:val="210"/>
    <w:link w:val="208"/>
    <w:autoRedefine/>
    <w:qFormat/>
    <w:uiPriority w:val="0"/>
    <w:pPr>
      <w:ind w:left="0" w:right="466" w:firstLine="288"/>
    </w:pPr>
    <w:rPr>
      <w:rFonts w:hAnsi="宋体"/>
      <w:snapToGrid/>
    </w:rPr>
  </w:style>
  <w:style w:type="paragraph" w:customStyle="1" w:styleId="21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autoRedefine/>
    <w:qFormat/>
    <w:uiPriority w:val="0"/>
    <w:rPr>
      <w:rFonts w:ascii="仿宋_GB2312" w:eastAsia="微软雅黑"/>
      <w:b/>
      <w:kern w:val="2"/>
      <w:sz w:val="32"/>
      <w:szCs w:val="32"/>
      <w:lang w:val="en-US" w:eastAsia="zh-CN" w:bidi="ar-SA"/>
    </w:rPr>
  </w:style>
  <w:style w:type="character" w:customStyle="1" w:styleId="212">
    <w:name w:val="文档结构图 字符"/>
    <w:link w:val="18"/>
    <w:autoRedefine/>
    <w:qFormat/>
    <w:uiPriority w:val="0"/>
    <w:rPr>
      <w:kern w:val="2"/>
      <w:sz w:val="21"/>
      <w:szCs w:val="24"/>
      <w:shd w:val="clear" w:color="auto" w:fill="000080"/>
    </w:rPr>
  </w:style>
  <w:style w:type="character" w:customStyle="1" w:styleId="213">
    <w:name w:val="H6 Char"/>
    <w:autoRedefine/>
    <w:qFormat/>
    <w:uiPriority w:val="0"/>
    <w:rPr>
      <w:rFonts w:ascii="Arial" w:hAnsi="Arial" w:eastAsia="黑体"/>
      <w:b/>
      <w:bCs/>
      <w:kern w:val="2"/>
      <w:sz w:val="24"/>
      <w:szCs w:val="24"/>
    </w:rPr>
  </w:style>
  <w:style w:type="character" w:customStyle="1" w:styleId="214">
    <w:name w:val="Char Char91"/>
    <w:autoRedefine/>
    <w:qFormat/>
    <w:uiPriority w:val="0"/>
    <w:rPr>
      <w:rFonts w:eastAsia="宋体"/>
      <w:kern w:val="2"/>
      <w:sz w:val="18"/>
      <w:szCs w:val="18"/>
      <w:lang w:val="en-US" w:eastAsia="zh-CN" w:bidi="ar-SA"/>
    </w:rPr>
  </w:style>
  <w:style w:type="character" w:customStyle="1" w:styleId="215">
    <w:name w:val="副标题 Char1"/>
    <w:autoRedefine/>
    <w:qFormat/>
    <w:uiPriority w:val="0"/>
    <w:rPr>
      <w:rFonts w:ascii="Cambria" w:hAnsi="Cambria" w:eastAsia="宋体" w:cs="Times New Roman"/>
      <w:b/>
      <w:bCs/>
      <w:snapToGrid w:val="0"/>
      <w:kern w:val="28"/>
      <w:sz w:val="32"/>
      <w:szCs w:val="32"/>
    </w:rPr>
  </w:style>
  <w:style w:type="character" w:customStyle="1" w:styleId="216">
    <w:name w:val="font61"/>
    <w:autoRedefine/>
    <w:qFormat/>
    <w:uiPriority w:val="0"/>
    <w:rPr>
      <w:rFonts w:hint="eastAsia" w:ascii="仿宋" w:hAnsi="仿宋" w:eastAsia="仿宋" w:cs="仿宋"/>
      <w:color w:val="000000"/>
      <w:sz w:val="20"/>
      <w:szCs w:val="20"/>
      <w:u w:val="none"/>
    </w:rPr>
  </w:style>
  <w:style w:type="character" w:customStyle="1" w:styleId="21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autoRedefine/>
    <w:qFormat/>
    <w:uiPriority w:val="0"/>
    <w:rPr>
      <w:rFonts w:eastAsia="宋体"/>
      <w:b/>
      <w:bCs/>
      <w:kern w:val="2"/>
      <w:sz w:val="21"/>
      <w:szCs w:val="24"/>
      <w:lang w:val="en-US" w:eastAsia="zh-CN" w:bidi="ar-SA"/>
    </w:rPr>
  </w:style>
  <w:style w:type="character" w:customStyle="1" w:styleId="219">
    <w:name w:val="maywed421"/>
    <w:autoRedefine/>
    <w:qFormat/>
    <w:uiPriority w:val="0"/>
    <w:rPr>
      <w:color w:val="366FB6"/>
      <w:u w:val="none"/>
    </w:rPr>
  </w:style>
  <w:style w:type="character" w:customStyle="1" w:styleId="220">
    <w:name w:val="正文文本缩进 Char"/>
    <w:autoRedefine/>
    <w:qFormat/>
    <w:uiPriority w:val="0"/>
    <w:rPr>
      <w:rFonts w:ascii="宋体" w:hAnsi="宋体"/>
      <w:kern w:val="2"/>
      <w:sz w:val="24"/>
      <w:szCs w:val="24"/>
    </w:rPr>
  </w:style>
  <w:style w:type="character" w:customStyle="1" w:styleId="221">
    <w:name w:val="Char Char102"/>
    <w:autoRedefine/>
    <w:semiHidden/>
    <w:qFormat/>
    <w:uiPriority w:val="0"/>
    <w:rPr>
      <w:rFonts w:ascii="宋体" w:hAnsi="宋体"/>
      <w:kern w:val="2"/>
      <w:sz w:val="21"/>
      <w:szCs w:val="24"/>
      <w:lang w:val="en-US" w:eastAsia="zh-CN"/>
    </w:rPr>
  </w:style>
  <w:style w:type="character" w:customStyle="1" w:styleId="222">
    <w:name w:val="页眉 Char1"/>
    <w:autoRedefine/>
    <w:qFormat/>
    <w:uiPriority w:val="0"/>
    <w:rPr>
      <w:rFonts w:eastAsia="宋体"/>
      <w:kern w:val="2"/>
      <w:sz w:val="18"/>
      <w:szCs w:val="18"/>
      <w:lang w:val="en-US" w:eastAsia="zh-CN" w:bidi="ar-SA"/>
    </w:rPr>
  </w:style>
  <w:style w:type="character" w:customStyle="1" w:styleId="223">
    <w:name w:val="md"/>
    <w:basedOn w:val="70"/>
    <w:autoRedefine/>
    <w:qFormat/>
    <w:uiPriority w:val="0"/>
    <w:rPr>
      <w:rFonts w:ascii="Arial" w:hAnsi="Arial" w:eastAsia="黑体" w:cs="Arial"/>
      <w:snapToGrid w:val="0"/>
      <w:kern w:val="0"/>
      <w:szCs w:val="21"/>
    </w:rPr>
  </w:style>
  <w:style w:type="character" w:customStyle="1" w:styleId="224">
    <w:name w:val="big1"/>
    <w:autoRedefine/>
    <w:qFormat/>
    <w:uiPriority w:val="0"/>
    <w:rPr>
      <w:rFonts w:hint="eastAsia" w:ascii="宋体" w:hAnsi="宋体" w:eastAsia="宋体"/>
      <w:color w:val="333333"/>
      <w:sz w:val="22"/>
      <w:szCs w:val="22"/>
    </w:rPr>
  </w:style>
  <w:style w:type="character" w:customStyle="1" w:styleId="225">
    <w:name w:val="Char Char311"/>
    <w:autoRedefine/>
    <w:qFormat/>
    <w:uiPriority w:val="0"/>
    <w:rPr>
      <w:rFonts w:eastAsia="宋体"/>
      <w:kern w:val="2"/>
      <w:sz w:val="21"/>
      <w:szCs w:val="24"/>
      <w:lang w:val="en-US" w:eastAsia="zh-CN" w:bidi="ar-SA"/>
    </w:rPr>
  </w:style>
  <w:style w:type="character" w:customStyle="1" w:styleId="226">
    <w:name w:val="Char Char81"/>
    <w:autoRedefine/>
    <w:qFormat/>
    <w:uiPriority w:val="6"/>
    <w:rPr>
      <w:rFonts w:eastAsia="宋体"/>
      <w:b/>
      <w:sz w:val="24"/>
      <w:lang w:val="en-GB" w:eastAsia="zh-CN"/>
    </w:rPr>
  </w:style>
  <w:style w:type="character" w:customStyle="1" w:styleId="227">
    <w:name w:val="样式3 Char"/>
    <w:basedOn w:val="179"/>
    <w:autoRedefine/>
    <w:qFormat/>
    <w:uiPriority w:val="0"/>
    <w:rPr>
      <w:rFonts w:ascii="仿宋_GB2312" w:hAnsi="仿宋" w:eastAsia="仿宋_GB2312" w:cs="仿宋_GB2312"/>
      <w:sz w:val="32"/>
      <w:szCs w:val="30"/>
      <w:lang w:val="zh-CN"/>
    </w:rPr>
  </w:style>
  <w:style w:type="character" w:customStyle="1" w:styleId="228">
    <w:name w:val="HTML 地址 字符"/>
    <w:link w:val="30"/>
    <w:autoRedefine/>
    <w:qFormat/>
    <w:uiPriority w:val="0"/>
    <w:rPr>
      <w:rFonts w:ascii="宋体" w:hAnsi="宋体"/>
      <w:i/>
      <w:iCs/>
      <w:sz w:val="24"/>
      <w:szCs w:val="24"/>
    </w:rPr>
  </w:style>
  <w:style w:type="character" w:customStyle="1" w:styleId="229">
    <w:name w:val="正文首行缩进 2 Char1"/>
    <w:autoRedefine/>
    <w:qFormat/>
    <w:uiPriority w:val="0"/>
    <w:rPr>
      <w:rFonts w:ascii="Times New Roman" w:hAnsi="Times New Roman" w:eastAsia="宋体" w:cs="Times New Roman"/>
      <w:kern w:val="2"/>
      <w:sz w:val="24"/>
      <w:szCs w:val="24"/>
    </w:rPr>
  </w:style>
  <w:style w:type="character" w:customStyle="1" w:styleId="230">
    <w:name w:val="副标题 Char2"/>
    <w:autoRedefine/>
    <w:qFormat/>
    <w:uiPriority w:val="0"/>
    <w:rPr>
      <w:rFonts w:ascii="Cambria" w:hAnsi="Cambria" w:eastAsia="宋体" w:cs="Times New Roman"/>
      <w:b/>
      <w:bCs/>
      <w:snapToGrid w:val="0"/>
      <w:kern w:val="28"/>
      <w:sz w:val="32"/>
      <w:szCs w:val="32"/>
    </w:rPr>
  </w:style>
  <w:style w:type="character" w:customStyle="1" w:styleId="231">
    <w:name w:val="标题4-dyf Char"/>
    <w:link w:val="232"/>
    <w:autoRedefine/>
    <w:qFormat/>
    <w:uiPriority w:val="0"/>
    <w:rPr>
      <w:rFonts w:ascii="Cambria" w:hAnsi="Cambria"/>
      <w:b/>
      <w:bCs/>
      <w:color w:val="000000"/>
      <w:kern w:val="2"/>
      <w:sz w:val="21"/>
      <w:szCs w:val="21"/>
    </w:rPr>
  </w:style>
  <w:style w:type="paragraph" w:customStyle="1" w:styleId="232">
    <w:name w:val="标题4-dyf"/>
    <w:basedOn w:val="6"/>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仿宋_GB2312" w:eastAsia="仿宋_GB2312"/>
      <w:b/>
      <w:bCs/>
      <w:kern w:val="2"/>
      <w:sz w:val="24"/>
      <w:szCs w:val="24"/>
      <w:lang w:val="zh-CN" w:eastAsia="zh-CN" w:bidi="ar-SA"/>
    </w:rPr>
  </w:style>
  <w:style w:type="character" w:customStyle="1" w:styleId="238">
    <w:name w:val="题注 字符"/>
    <w:link w:val="16"/>
    <w:autoRedefine/>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仿宋_GB2312" w:eastAsia="仿宋_GB2312"/>
      <w:kern w:val="2"/>
      <w:sz w:val="24"/>
      <w:szCs w:val="24"/>
      <w:lang w:val="en-US" w:eastAsia="zh-CN" w:bidi="ar-SA"/>
    </w:rPr>
  </w:style>
  <w:style w:type="character" w:customStyle="1" w:styleId="241">
    <w:name w:val="正文首行缩进 Char Char Char Char Char"/>
    <w:autoRedefine/>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90"/>
    <w:autoRedefine/>
    <w:qFormat/>
    <w:uiPriority w:val="0"/>
    <w:rPr>
      <w:rFonts w:ascii="仿宋_GB2312" w:eastAsia="仿宋_GB2312" w:cs="仿宋_GB2312"/>
      <w:color w:val="000000"/>
      <w:sz w:val="24"/>
      <w:szCs w:val="24"/>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266"/>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7">
    <w:name w:val="Char Char8"/>
    <w:autoRedefine/>
    <w:qFormat/>
    <w:uiPriority w:val="0"/>
    <w:rPr>
      <w:rFonts w:eastAsia="宋体"/>
      <w:b/>
      <w:sz w:val="24"/>
      <w:lang w:val="en-GB" w:eastAsia="zh-CN"/>
    </w:rPr>
  </w:style>
  <w:style w:type="character" w:customStyle="1" w:styleId="268">
    <w:name w:val="Normal Indent Char Char"/>
    <w:autoRedefine/>
    <w:qFormat/>
    <w:uiPriority w:val="0"/>
    <w:rPr>
      <w:rFonts w:eastAsia="宋体"/>
      <w:kern w:val="2"/>
      <w:sz w:val="21"/>
      <w:lang w:val="en-US" w:eastAsia="zh-CN" w:bidi="ar-SA"/>
    </w:rPr>
  </w:style>
  <w:style w:type="character" w:customStyle="1" w:styleId="269">
    <w:name w:val="列表段落 字符"/>
    <w:autoRedefine/>
    <w:qFormat/>
    <w:uiPriority w:val="99"/>
  </w:style>
  <w:style w:type="character" w:customStyle="1" w:styleId="270">
    <w:name w:val="Ò³Ã¼ Char Char1"/>
    <w:autoRedefine/>
    <w:qFormat/>
    <w:uiPriority w:val="0"/>
    <w:rPr>
      <w:rFonts w:eastAsia="宋体"/>
      <w:kern w:val="2"/>
      <w:sz w:val="18"/>
      <w:szCs w:val="18"/>
      <w:lang w:val="en-US" w:eastAsia="zh-CN" w:bidi="ar-SA"/>
    </w:rPr>
  </w:style>
  <w:style w:type="character" w:customStyle="1" w:styleId="271">
    <w:name w:val="方案正文 Char"/>
    <w:autoRedefine/>
    <w:qFormat/>
    <w:uiPriority w:val="0"/>
    <w:rPr>
      <w:rFonts w:ascii="仿宋_GB2312" w:eastAsia="仿宋_GB2312"/>
      <w:b/>
      <w:color w:val="000000"/>
      <w:kern w:val="2"/>
      <w:sz w:val="24"/>
      <w:lang w:val="en-US" w:eastAsia="zh-CN" w:bidi="ar-SA"/>
    </w:rPr>
  </w:style>
  <w:style w:type="character" w:customStyle="1" w:styleId="272">
    <w:name w:val="Char Char30"/>
    <w:autoRedefine/>
    <w:qFormat/>
    <w:uiPriority w:val="6"/>
    <w:rPr>
      <w:rFonts w:ascii="Arial" w:hAnsi="Arial" w:eastAsia="黑体"/>
      <w:kern w:val="1"/>
      <w:sz w:val="21"/>
      <w:szCs w:val="21"/>
    </w:rPr>
  </w:style>
  <w:style w:type="character" w:customStyle="1" w:styleId="273">
    <w:name w:val="正文文本缩进 字符1"/>
    <w:link w:val="25"/>
    <w:autoRedefine/>
    <w:qFormat/>
    <w:uiPriority w:val="0"/>
    <w:rPr>
      <w:rFonts w:ascii="宋体" w:hAnsi="宋体"/>
      <w:kern w:val="2"/>
      <w:sz w:val="24"/>
      <w:szCs w:val="24"/>
    </w:rPr>
  </w:style>
  <w:style w:type="character" w:customStyle="1" w:styleId="274">
    <w:name w:val="font01"/>
    <w:autoRedefine/>
    <w:qFormat/>
    <w:uiPriority w:val="0"/>
    <w:rPr>
      <w:rFonts w:hint="eastAsia" w:ascii="微软雅黑" w:hAnsi="微软雅黑" w:eastAsia="微软雅黑" w:cs="微软雅黑"/>
      <w:color w:val="000000"/>
      <w:sz w:val="20"/>
      <w:szCs w:val="20"/>
      <w:u w:val="none"/>
    </w:rPr>
  </w:style>
  <w:style w:type="character" w:customStyle="1" w:styleId="275">
    <w:name w:val="Char Char20"/>
    <w:autoRedefine/>
    <w:qFormat/>
    <w:uiPriority w:val="6"/>
    <w:rPr>
      <w:kern w:val="1"/>
      <w:sz w:val="24"/>
    </w:rPr>
  </w:style>
  <w:style w:type="character" w:customStyle="1" w:styleId="276">
    <w:name w:val="tw4winExternal"/>
    <w:autoRedefine/>
    <w:qFormat/>
    <w:uiPriority w:val="0"/>
    <w:rPr>
      <w:rFonts w:ascii="Courier New" w:hAnsi="Courier New" w:cs="Courier New"/>
      <w:color w:val="808080"/>
      <w:lang w:val="en-US" w:eastAsia="zh-CN"/>
    </w:rPr>
  </w:style>
  <w:style w:type="character" w:customStyle="1" w:styleId="277">
    <w:name w:val="标题 4 Char1"/>
    <w:autoRedefine/>
    <w:qFormat/>
    <w:uiPriority w:val="9"/>
    <w:rPr>
      <w:rFonts w:ascii="Cambria" w:hAnsi="Cambria" w:eastAsia="宋体" w:cs="Times New Roman"/>
      <w:b/>
      <w:bCs/>
      <w:kern w:val="2"/>
      <w:sz w:val="28"/>
      <w:szCs w:val="28"/>
    </w:rPr>
  </w:style>
  <w:style w:type="character" w:customStyle="1" w:styleId="278">
    <w:name w:val="批注文字 Char2"/>
    <w:autoRedefine/>
    <w:qFormat/>
    <w:uiPriority w:val="99"/>
    <w:rPr>
      <w:rFonts w:ascii="Times New Roman" w:hAnsi="Times New Roman" w:eastAsia="宋体" w:cs="Times New Roman"/>
      <w:snapToGrid w:val="0"/>
      <w:kern w:val="0"/>
      <w:szCs w:val="24"/>
    </w:rPr>
  </w:style>
  <w:style w:type="character" w:customStyle="1" w:styleId="279">
    <w:name w:val="正文文本 2 Char"/>
    <w:autoRedefine/>
    <w:qFormat/>
    <w:uiPriority w:val="0"/>
    <w:rPr>
      <w:rFonts w:eastAsia="宋体"/>
      <w:kern w:val="2"/>
      <w:sz w:val="21"/>
      <w:szCs w:val="24"/>
      <w:lang w:val="en-US" w:eastAsia="zh-CN" w:bidi="ar-SA"/>
    </w:rPr>
  </w:style>
  <w:style w:type="character" w:customStyle="1" w:styleId="280">
    <w:name w:val="Ò³Ã¼ Char Char"/>
    <w:autoRedefine/>
    <w:qFormat/>
    <w:uiPriority w:val="0"/>
    <w:rPr>
      <w:rFonts w:eastAsia="宋体"/>
      <w:kern w:val="2"/>
      <w:sz w:val="18"/>
      <w:lang w:val="en-US" w:eastAsia="zh-CN" w:bidi="ar-SA"/>
    </w:rPr>
  </w:style>
  <w:style w:type="character" w:customStyle="1" w:styleId="281">
    <w:name w:val="message1"/>
    <w:autoRedefine/>
    <w:qFormat/>
    <w:uiPriority w:val="0"/>
    <w:rPr>
      <w:rFonts w:hint="default" w:ascii="Tahoma" w:hAnsi="Tahoma" w:cs="Tahoma"/>
      <w:sz w:val="18"/>
      <w:szCs w:val="18"/>
    </w:rPr>
  </w:style>
  <w:style w:type="character" w:customStyle="1" w:styleId="282">
    <w:name w:val="Char Char23"/>
    <w:autoRedefine/>
    <w:qFormat/>
    <w:uiPriority w:val="6"/>
    <w:rPr>
      <w:color w:val="0000FF"/>
      <w:sz w:val="21"/>
    </w:rPr>
  </w:style>
  <w:style w:type="character" w:customStyle="1" w:styleId="283">
    <w:name w:val="批注框文本 字符"/>
    <w:autoRedefine/>
    <w:qFormat/>
    <w:uiPriority w:val="0"/>
    <w:rPr>
      <w:rFonts w:ascii="Arial" w:hAnsi="Arial" w:eastAsia="黑体" w:cs="Arial"/>
      <w:snapToGrid w:val="0"/>
      <w:kern w:val="0"/>
      <w:sz w:val="18"/>
      <w:szCs w:val="18"/>
    </w:rPr>
  </w:style>
  <w:style w:type="character" w:customStyle="1" w:styleId="284">
    <w:name w:val="纯文本 Char2"/>
    <w:autoRedefine/>
    <w:semiHidden/>
    <w:qFormat/>
    <w:uiPriority w:val="99"/>
    <w:rPr>
      <w:rFonts w:ascii="宋体" w:hAnsi="Courier New" w:eastAsia="宋体" w:cs="Courier New"/>
    </w:rPr>
  </w:style>
  <w:style w:type="character" w:customStyle="1" w:styleId="285">
    <w:name w:val="Char Char25"/>
    <w:autoRedefine/>
    <w:qFormat/>
    <w:uiPriority w:val="6"/>
    <w:rPr>
      <w:rFonts w:ascii="宋体" w:hAnsi="宋体"/>
      <w:kern w:val="1"/>
      <w:sz w:val="24"/>
      <w:lang w:val="zh-CN"/>
    </w:rPr>
  </w:style>
  <w:style w:type="character" w:customStyle="1" w:styleId="286">
    <w:name w:val="Char Char411"/>
    <w:autoRedefine/>
    <w:qFormat/>
    <w:uiPriority w:val="0"/>
    <w:rPr>
      <w:rFonts w:eastAsia="宋体"/>
      <w:b/>
      <w:sz w:val="24"/>
      <w:lang w:val="en-GB" w:eastAsia="zh-CN" w:bidi="ar-SA"/>
    </w:rPr>
  </w:style>
  <w:style w:type="character" w:customStyle="1" w:styleId="287">
    <w:name w:val="Heading 7 Char"/>
    <w:autoRedefine/>
    <w:qFormat/>
    <w:locked/>
    <w:uiPriority w:val="0"/>
    <w:rPr>
      <w:rFonts w:ascii="宋体" w:hAnsi="宋体" w:eastAsia="宋体"/>
      <w:b/>
      <w:bCs/>
      <w:kern w:val="2"/>
      <w:sz w:val="24"/>
      <w:szCs w:val="24"/>
      <w:lang w:val="en-US" w:eastAsia="zh-CN" w:bidi="ar-SA"/>
    </w:rPr>
  </w:style>
  <w:style w:type="character" w:customStyle="1" w:styleId="288">
    <w:name w:val="此正文 Char"/>
    <w:link w:val="289"/>
    <w:autoRedefine/>
    <w:qFormat/>
    <w:uiPriority w:val="0"/>
    <w:rPr>
      <w:kern w:val="2"/>
      <w:sz w:val="24"/>
      <w:szCs w:val="24"/>
    </w:rPr>
  </w:style>
  <w:style w:type="paragraph" w:customStyle="1" w:styleId="289">
    <w:name w:val="此正文"/>
    <w:basedOn w:val="1"/>
    <w:link w:val="288"/>
    <w:autoRedefine/>
    <w:qFormat/>
    <w:uiPriority w:val="0"/>
    <w:pPr>
      <w:adjustRightInd/>
      <w:spacing w:line="360" w:lineRule="auto"/>
      <w:ind w:firstLine="200" w:firstLineChars="200"/>
    </w:pPr>
    <w:rPr>
      <w:sz w:val="24"/>
    </w:rPr>
  </w:style>
  <w:style w:type="character" w:customStyle="1" w:styleId="290">
    <w:name w:val="Char Char2"/>
    <w:autoRedefine/>
    <w:qFormat/>
    <w:uiPriority w:val="0"/>
    <w:rPr>
      <w:rFonts w:eastAsia="宋体"/>
      <w:b/>
      <w:bCs/>
      <w:kern w:val="2"/>
      <w:sz w:val="21"/>
      <w:szCs w:val="24"/>
      <w:lang w:val="en-US" w:eastAsia="zh-CN" w:bidi="ar-SA"/>
    </w:rPr>
  </w:style>
  <w:style w:type="character" w:customStyle="1" w:styleId="291">
    <w:name w:val="标题 1 字符1"/>
    <w:link w:val="2"/>
    <w:autoRedefine/>
    <w:qFormat/>
    <w:uiPriority w:val="9"/>
    <w:rPr>
      <w:b/>
      <w:bCs/>
      <w:kern w:val="44"/>
      <w:sz w:val="44"/>
      <w:szCs w:val="44"/>
    </w:rPr>
  </w:style>
  <w:style w:type="character" w:customStyle="1" w:styleId="292">
    <w:name w:val="Footer-Even Char1"/>
    <w:autoRedefine/>
    <w:qFormat/>
    <w:uiPriority w:val="0"/>
    <w:rPr>
      <w:rFonts w:eastAsia="宋体"/>
      <w:kern w:val="2"/>
      <w:sz w:val="18"/>
      <w:szCs w:val="18"/>
      <w:lang w:val="en-US" w:eastAsia="zh-CN" w:bidi="ar-SA"/>
    </w:rPr>
  </w:style>
  <w:style w:type="character" w:customStyle="1" w:styleId="293">
    <w:name w:val="Char Char29"/>
    <w:autoRedefine/>
    <w:qFormat/>
    <w:uiPriority w:val="6"/>
    <w:rPr>
      <w:rFonts w:ascii="Arial" w:hAnsi="Arial" w:eastAsia="微软雅黑"/>
      <w:b/>
      <w:kern w:val="1"/>
      <w:sz w:val="44"/>
      <w:szCs w:val="32"/>
      <w:lang w:val="en-US" w:eastAsia="zh-CN" w:bidi="ar-SA"/>
    </w:rPr>
  </w:style>
  <w:style w:type="character" w:customStyle="1" w:styleId="294">
    <w:name w:val="标题 字符"/>
    <w:link w:val="59"/>
    <w:autoRedefine/>
    <w:qFormat/>
    <w:uiPriority w:val="10"/>
    <w:rPr>
      <w:b/>
      <w:sz w:val="24"/>
      <w:lang w:val="en-GB"/>
    </w:rPr>
  </w:style>
  <w:style w:type="character" w:customStyle="1" w:styleId="295">
    <w:name w:val="font81"/>
    <w:autoRedefine/>
    <w:qFormat/>
    <w:uiPriority w:val="0"/>
    <w:rPr>
      <w:rFonts w:ascii="微软雅黑" w:hAnsi="微软雅黑" w:eastAsia="微软雅黑" w:cs="微软雅黑"/>
      <w:color w:val="000000"/>
      <w:sz w:val="20"/>
      <w:szCs w:val="20"/>
      <w:u w:val="none"/>
    </w:rPr>
  </w:style>
  <w:style w:type="character" w:customStyle="1" w:styleId="29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7">
    <w:name w:val="t21"/>
    <w:autoRedefine/>
    <w:qFormat/>
    <w:uiPriority w:val="0"/>
    <w:rPr>
      <w:rFonts w:ascii="仿宋_GB2312" w:eastAsia="微软雅黑"/>
      <w:b/>
      <w:kern w:val="2"/>
      <w:sz w:val="23"/>
      <w:szCs w:val="23"/>
      <w:lang w:val="en-US" w:eastAsia="zh-CN" w:bidi="ar-SA"/>
    </w:rPr>
  </w:style>
  <w:style w:type="character" w:customStyle="1" w:styleId="298">
    <w:name w:val="样式8 Char"/>
    <w:autoRedefine/>
    <w:qFormat/>
    <w:uiPriority w:val="0"/>
    <w:rPr>
      <w:rFonts w:ascii="仿宋_GB2312" w:hAnsi="宋体" w:eastAsia="仿宋_GB2312"/>
      <w:b/>
      <w:bCs/>
      <w:kern w:val="2"/>
      <w:sz w:val="24"/>
      <w:szCs w:val="24"/>
    </w:rPr>
  </w:style>
  <w:style w:type="character" w:customStyle="1" w:styleId="299">
    <w:name w:val="表格 Char Char"/>
    <w:autoRedefine/>
    <w:qFormat/>
    <w:uiPriority w:val="0"/>
    <w:rPr>
      <w:rFonts w:ascii="宋体" w:hAnsi="宋体" w:eastAsia="宋体"/>
      <w:lang w:bidi="ar-SA"/>
    </w:rPr>
  </w:style>
  <w:style w:type="character" w:customStyle="1" w:styleId="300">
    <w:name w:val="正文文本 字符1"/>
    <w:autoRedefine/>
    <w:qFormat/>
    <w:uiPriority w:val="0"/>
    <w:rPr>
      <w:rFonts w:ascii="Calibri" w:hAnsi="Calibri" w:eastAsia="黑体" w:cs="Arial"/>
      <w:snapToGrid w:val="0"/>
      <w:kern w:val="2"/>
      <w:sz w:val="28"/>
      <w:szCs w:val="21"/>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7"/>
    <w:autoRedefine/>
    <w:qFormat/>
    <w:uiPriority w:val="0"/>
    <w:rPr>
      <w:rFonts w:ascii="黑体" w:hAnsi="Courier New" w:eastAsia="黑体"/>
    </w:rPr>
  </w:style>
  <w:style w:type="character" w:customStyle="1" w:styleId="309">
    <w:name w:val="正文文本 2 字符1"/>
    <w:link w:val="56"/>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0"/>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basedOn w:val="70"/>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1"/>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41"/>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90"/>
    <w:next w:val="90"/>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90"/>
    <w:next w:val="90"/>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8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6"/>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6"/>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Web)1"/>
    <w:basedOn w:val="1"/>
    <w:autoRedefine/>
    <w:qFormat/>
    <w:uiPriority w:val="0"/>
    <w:pPr>
      <w:spacing w:before="100" w:beforeAutospacing="1" w:after="100" w:afterAutospacing="1"/>
      <w:jc w:val="left"/>
    </w:pPr>
    <w:rPr>
      <w:rFonts w:ascii="宋体" w:hAnsi="宋体" w:cs="宋体"/>
      <w:kern w:val="0"/>
      <w:sz w:val="24"/>
    </w:rPr>
  </w:style>
  <w:style w:type="paragraph" w:customStyle="1" w:styleId="971">
    <w:name w:val="招标文件－标准正文"/>
    <w:basedOn w:val="33"/>
    <w:autoRedefine/>
    <w:qFormat/>
    <w:uiPriority w:val="0"/>
    <w:rPr>
      <w:rFonts w:hAnsi="宋体" w:cs="Times New Roman"/>
      <w:color w:val="000000"/>
      <w:sz w:val="24"/>
    </w:rPr>
  </w:style>
  <w:style w:type="paragraph" w:customStyle="1" w:styleId="97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表格正文 五号"/>
    <w:basedOn w:val="974"/>
    <w:autoRedefine/>
    <w:qFormat/>
    <w:uiPriority w:val="0"/>
  </w:style>
  <w:style w:type="paragraph" w:customStyle="1" w:styleId="974">
    <w:name w:val="表格正文小五"/>
    <w:basedOn w:val="1"/>
    <w:autoRedefine/>
    <w:qFormat/>
    <w:uiPriority w:val="0"/>
    <w:pPr>
      <w:snapToGrid w:val="0"/>
      <w:jc w:val="left"/>
    </w:pPr>
    <w:rPr>
      <w:rFonts w:ascii="宋体" w:hAnsi="宋体"/>
      <w:sz w:val="18"/>
      <w:szCs w:val="21"/>
    </w:rPr>
  </w:style>
  <w:style w:type="paragraph" w:customStyle="1" w:styleId="975">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76">
    <w:name w:val="List Paragraph"/>
    <w:basedOn w:val="1"/>
    <w:autoRedefine/>
    <w:qFormat/>
    <w:uiPriority w:val="0"/>
    <w:pPr>
      <w:adjustRightInd/>
      <w:ind w:firstLine="42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13406</Words>
  <Characters>14232</Characters>
  <Lines>2281</Lines>
  <Paragraphs>1670</Paragraphs>
  <TotalTime>285</TotalTime>
  <ScaleCrop>false</ScaleCrop>
  <LinksUpToDate>false</LinksUpToDate>
  <CharactersWithSpaces>14462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2025-05-23T01:35:00Z</dcterms:created>
  <dc:creator>玥</dc:creator>
  <cp:lastModifiedBy>品牌管理部周怡</cp:lastModifiedBy>
  <cp:lastPrinted>2021-12-27T11:06:00Z</cp:lastPrinted>
  <dcterms:modified xsi:type="dcterms:W3CDTF">2025-07-15T03:12:26Z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2B81B6FA41814677BAF61DE623751206_13</vt:lpwstr>
  </property>
  <property fmtid="{D5CDD505-2E9C-101B-9397-08002B2CF9AE}" pid="5" name="commondata">
    <vt:lpwstr>eyJoZGlkIjoiNGNlMmFkMDQ1NDY0ZmRiM2Q0NjY4NTFjN2IwMTllYjMifQ==</vt:lpwstr>
  </property>
  <property fmtid="{D5CDD505-2E9C-101B-9397-08002B2CF9AE}" pid="6" name="KSOTemplateDocerSaveRecord">
    <vt:lpwstr>eyJoZGlkIjoiNTIzMzkzZjhjOWNlMDk0MDhlZGE4ZTJjNDE0MDRiYWYiLCJ1c2VySWQiOiIyMTM5MDA1NDYifQ==</vt:lpwstr>
  </property>
</Properties>
</file>