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宋体" w:hAnsi="宋体" w:cs="宋体"/>
          <w:color w:val="auto"/>
          <w:sz w:val="44"/>
          <w:szCs w:val="44"/>
        </w:rPr>
      </w:pPr>
      <w:bookmarkStart w:id="0" w:name="_Hlt67893495"/>
      <w:bookmarkEnd w:id="0"/>
    </w:p>
    <w:p>
      <w:pPr>
        <w:adjustRightInd/>
        <w:spacing w:line="360" w:lineRule="auto"/>
        <w:jc w:val="both"/>
        <w:rPr>
          <w:rFonts w:hint="eastAsia" w:ascii="宋体" w:hAnsi="宋体" w:cs="宋体"/>
          <w:color w:val="auto"/>
          <w:sz w:val="44"/>
          <w:szCs w:val="44"/>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eastAsia="zh-CN"/>
        </w:rPr>
        <w:t>产教融合区域中高一体高技能人才实训中心（一期）工程项目</w:t>
      </w:r>
    </w:p>
    <w:p>
      <w:pPr>
        <w:adjustRightInd/>
        <w:spacing w:line="360" w:lineRule="auto"/>
        <w:jc w:val="center"/>
        <w:rPr>
          <w:rFonts w:hint="eastAsia" w:ascii="宋体" w:hAnsi="宋体" w:cs="宋体"/>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（电子交易-非依法招标（小额）项目）</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 xml:space="preserve"> 浙房咨2025【D-076】701</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default" w:ascii="宋体" w:hAnsi="宋体" w:eastAsia="宋体" w:cs="宋体"/>
          <w:color w:val="auto"/>
          <w:sz w:val="32"/>
          <w:szCs w:val="32"/>
          <w:lang w:val="en-US" w:eastAsia="zh-CN"/>
        </w:rPr>
      </w:pPr>
      <w:r>
        <w:rPr>
          <w:rFonts w:hint="eastAsia" w:ascii="宋体" w:hAnsi="宋体" w:cs="宋体"/>
          <w:color w:val="auto"/>
          <w:sz w:val="32"/>
          <w:szCs w:val="32"/>
          <w:lang w:eastAsia="zh-CN"/>
        </w:rPr>
        <w:t>杭州市中策职业学校钱塘学校</w:t>
      </w:r>
    </w:p>
    <w:p>
      <w:pPr>
        <w:spacing w:line="360" w:lineRule="auto"/>
        <w:jc w:val="center"/>
        <w:rPr>
          <w:rFonts w:hint="eastAsia" w:ascii="宋体" w:hAnsi="宋体" w:cs="宋体"/>
          <w:bCs/>
          <w:color w:val="auto"/>
          <w:sz w:val="32"/>
          <w:szCs w:val="32"/>
          <w:lang w:eastAsia="zh-CN"/>
        </w:rPr>
      </w:pPr>
      <w:r>
        <w:rPr>
          <w:rFonts w:hint="eastAsia" w:ascii="宋体" w:hAnsi="宋体" w:cs="宋体"/>
          <w:bCs/>
          <w:color w:val="auto"/>
          <w:sz w:val="32"/>
          <w:szCs w:val="32"/>
          <w:lang w:eastAsia="zh-CN"/>
        </w:rPr>
        <w:t>浙江省房地产管理咨询有限公司</w:t>
      </w:r>
    </w:p>
    <w:p>
      <w:pPr>
        <w:spacing w:line="360" w:lineRule="auto"/>
        <w:jc w:val="center"/>
        <w:rPr>
          <w:rFonts w:hint="eastAsia" w:ascii="宋体" w:hAnsi="宋体" w:cs="宋体"/>
          <w:color w:val="auto"/>
          <w:sz w:val="24"/>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 xml:space="preserve"> </w:t>
      </w:r>
      <w:r>
        <w:rPr>
          <w:rFonts w:hint="eastAsia" w:ascii="宋体" w:hAnsi="宋体" w:cs="宋体"/>
          <w:color w:val="auto"/>
          <w:sz w:val="24"/>
        </w:rPr>
        <w:br w:type="page"/>
      </w: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  录</w:t>
      </w:r>
    </w:p>
    <w:p>
      <w:pPr>
        <w:spacing w:line="360" w:lineRule="auto"/>
        <w:rPr>
          <w:rFonts w:hint="eastAsia" w:ascii="宋体" w:hAnsi="宋体" w:cs="宋体"/>
          <w:color w:val="auto"/>
          <w:sz w:val="32"/>
          <w:szCs w:val="32"/>
        </w:rPr>
      </w:pPr>
    </w:p>
    <w:p>
      <w:pPr>
        <w:spacing w:line="360" w:lineRule="auto"/>
        <w:rPr>
          <w:rFonts w:hint="eastAsia" w:ascii="宋体" w:hAnsi="宋体" w:cs="宋体"/>
          <w:color w:val="auto"/>
          <w:sz w:val="32"/>
          <w:szCs w:val="32"/>
        </w:rPr>
      </w:pPr>
    </w:p>
    <w:p>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第一部分      竞争性磋商公告</w:t>
      </w:r>
    </w:p>
    <w:p>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第二部分      供应商须知</w:t>
      </w:r>
    </w:p>
    <w:p>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第四部分      评审办法</w:t>
      </w:r>
    </w:p>
    <w:p>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1280" w:firstLineChars="400"/>
        <w:rPr>
          <w:rFonts w:hint="eastAsia" w:ascii="宋体" w:hAnsi="宋体" w:cs="宋体"/>
          <w:color w:val="auto"/>
          <w:sz w:val="32"/>
          <w:szCs w:val="32"/>
        </w:rPr>
      </w:pPr>
    </w:p>
    <w:p>
      <w:pPr>
        <w:spacing w:line="360" w:lineRule="auto"/>
        <w:ind w:firstLine="549" w:firstLineChars="229"/>
        <w:rPr>
          <w:rFonts w:hint="eastAsia" w:ascii="宋体" w:hAnsi="宋体" w:cs="宋体"/>
          <w:color w:val="auto"/>
          <w:sz w:val="24"/>
        </w:rPr>
      </w:pPr>
      <w:bookmarkStart w:id="1" w:name="_Hlt91233176"/>
      <w:bookmarkEnd w:id="1"/>
      <w:bookmarkStart w:id="2" w:name="_Toc91899869"/>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ind w:firstLine="549" w:firstLineChars="229"/>
        <w:rPr>
          <w:rFonts w:hint="eastAsia" w:ascii="宋体" w:hAnsi="宋体" w:cs="宋体"/>
          <w:color w:val="auto"/>
          <w:sz w:val="24"/>
        </w:rPr>
      </w:pPr>
    </w:p>
    <w:p>
      <w:pPr>
        <w:spacing w:line="360" w:lineRule="auto"/>
        <w:rPr>
          <w:rFonts w:hint="eastAsia" w:ascii="宋体" w:hAnsi="宋体" w:cs="宋体"/>
          <w:color w:val="auto"/>
          <w:sz w:val="24"/>
        </w:rPr>
      </w:pPr>
    </w:p>
    <w:bookmarkEnd w:id="2"/>
    <w:p>
      <w:pPr>
        <w:adjustRightInd/>
        <w:spacing w:line="360" w:lineRule="auto"/>
        <w:jc w:val="center"/>
        <w:outlineLvl w:val="0"/>
        <w:rPr>
          <w:rFonts w:hint="eastAsia" w:ascii="宋体" w:hAnsi="宋体" w:cs="宋体"/>
          <w:b/>
          <w:color w:val="auto"/>
          <w:sz w:val="36"/>
          <w:szCs w:val="20"/>
        </w:rPr>
      </w:pPr>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u w:val="single"/>
        </w:rPr>
      </w:pPr>
      <w:bookmarkStart w:id="10" w:name="OLE_LINK3"/>
      <w:r>
        <w:rPr>
          <w:rFonts w:hint="eastAsia" w:ascii="宋体" w:hAnsi="宋体" w:cs="宋体"/>
          <w:color w:val="auto"/>
          <w:sz w:val="24"/>
          <w:u w:val="single"/>
          <w:lang w:eastAsia="zh-CN"/>
        </w:rPr>
        <w:t>产教融合区域中高一体高技能人才实训中心（一期）工程</w:t>
      </w:r>
      <w:r>
        <w:rPr>
          <w:rFonts w:hint="eastAsia" w:ascii="宋体" w:hAnsi="宋体" w:cs="宋体"/>
          <w:color w:val="auto"/>
          <w:sz w:val="24"/>
          <w:u w:val="single"/>
          <w:lang w:val="en-US" w:eastAsia="zh-CN"/>
        </w:rPr>
        <w:t>项目</w:t>
      </w:r>
      <w:bookmarkEnd w:id="10"/>
      <w:r>
        <w:rPr>
          <w:rFonts w:hint="eastAsia" w:ascii="宋体" w:hAnsi="宋体" w:cs="宋体"/>
          <w:color w:val="auto"/>
          <w:sz w:val="24"/>
        </w:rPr>
        <w:t>采购项目的潜在供应商应在杭州市教育局非依法招标（小额）项目平台获取采购文件，并于2025年</w:t>
      </w:r>
      <w:r>
        <w:rPr>
          <w:rFonts w:hint="eastAsia" w:ascii="宋体" w:hAnsi="宋体" w:cs="宋体"/>
          <w:color w:val="auto"/>
          <w:sz w:val="24"/>
          <w:lang w:val="en-US" w:eastAsia="zh-CN"/>
        </w:rPr>
        <w:t>07</w:t>
      </w:r>
      <w:r>
        <w:rPr>
          <w:rFonts w:hint="eastAsia" w:ascii="宋体" w:hAnsi="宋体" w:cs="宋体"/>
          <w:color w:val="auto"/>
          <w:sz w:val="24"/>
        </w:rPr>
        <w:t>月</w:t>
      </w:r>
      <w:r>
        <w:rPr>
          <w:rFonts w:hint="eastAsia" w:ascii="宋体" w:hAnsi="宋体" w:cs="宋体"/>
          <w:color w:val="auto"/>
          <w:sz w:val="24"/>
          <w:lang w:val="en-US" w:eastAsia="zh-CN"/>
        </w:rPr>
        <w:t>15</w:t>
      </w:r>
      <w:r>
        <w:rPr>
          <w:rFonts w:hint="eastAsia" w:ascii="宋体" w:hAnsi="宋体" w:cs="宋体"/>
          <w:color w:val="auto"/>
          <w:sz w:val="24"/>
        </w:rPr>
        <w:t>日 09:</w:t>
      </w:r>
      <w:r>
        <w:rPr>
          <w:rFonts w:hint="eastAsia" w:ascii="宋体" w:hAnsi="宋体" w:cs="宋体"/>
          <w:color w:val="auto"/>
          <w:sz w:val="24"/>
          <w:lang w:val="en-US" w:eastAsia="zh-CN"/>
        </w:rPr>
        <w:t>3</w:t>
      </w:r>
      <w:r>
        <w:rPr>
          <w:rFonts w:hint="eastAsia" w:ascii="宋体" w:hAnsi="宋体" w:cs="宋体"/>
          <w:color w:val="auto"/>
          <w:sz w:val="24"/>
        </w:rPr>
        <w:t>0（北京时间）前提交响应文件。</w:t>
      </w:r>
    </w:p>
    <w:p>
      <w:pPr>
        <w:spacing w:line="360" w:lineRule="auto"/>
        <w:rPr>
          <w:rFonts w:hint="eastAsia" w:ascii="宋体" w:hAnsi="宋体" w:cs="宋体"/>
          <w:b/>
          <w:color w:val="auto"/>
          <w:sz w:val="24"/>
        </w:rPr>
      </w:pPr>
      <w:r>
        <w:rPr>
          <w:rFonts w:hint="eastAsia" w:ascii="宋体" w:hAnsi="宋体" w:cs="宋体"/>
          <w:b/>
          <w:color w:val="auto"/>
          <w:sz w:val="24"/>
        </w:rPr>
        <w:t xml:space="preserve">一、项目基本情况                                            </w:t>
      </w:r>
    </w:p>
    <w:p>
      <w:pPr>
        <w:snapToGrid w:val="0"/>
        <w:spacing w:line="360" w:lineRule="auto"/>
        <w:ind w:firstLine="482" w:firstLineChars="200"/>
        <w:rPr>
          <w:rFonts w:hint="default" w:ascii="宋体" w:hAnsi="宋体" w:cs="宋体"/>
          <w:b/>
          <w:color w:val="auto"/>
          <w:sz w:val="24"/>
          <w:lang w:val="en-US" w:eastAsia="zh-CN"/>
        </w:rPr>
      </w:pPr>
      <w:r>
        <w:rPr>
          <w:rFonts w:hint="eastAsia" w:ascii="宋体" w:hAnsi="宋体" w:cs="宋体"/>
          <w:b/>
          <w:color w:val="auto"/>
          <w:sz w:val="24"/>
          <w:lang w:eastAsia="zh-CN"/>
        </w:rPr>
        <w:t>项目编号：</w:t>
      </w:r>
      <w:r>
        <w:rPr>
          <w:rFonts w:hint="eastAsia" w:ascii="宋体" w:hAnsi="宋体" w:cs="宋体"/>
          <w:b/>
          <w:color w:val="auto"/>
          <w:sz w:val="24"/>
          <w:lang w:val="en-US" w:eastAsia="zh-CN"/>
        </w:rPr>
        <w:t>浙房咨2025【D-076】701</w:t>
      </w:r>
    </w:p>
    <w:p>
      <w:pPr>
        <w:snapToGrid w:val="0"/>
        <w:spacing w:line="360" w:lineRule="auto"/>
        <w:ind w:firstLine="482" w:firstLineChars="200"/>
        <w:rPr>
          <w:rFonts w:hint="eastAsia" w:ascii="宋体" w:hAnsi="宋体" w:cs="宋体"/>
          <w:color w:val="auto"/>
          <w:sz w:val="24"/>
        </w:rPr>
      </w:pPr>
      <w:r>
        <w:rPr>
          <w:rFonts w:hint="eastAsia" w:ascii="宋体" w:hAnsi="宋体" w:cs="宋体"/>
          <w:b/>
          <w:color w:val="auto"/>
          <w:sz w:val="24"/>
        </w:rPr>
        <w:t>项目名称：</w:t>
      </w:r>
      <w:r>
        <w:rPr>
          <w:rFonts w:hint="eastAsia" w:ascii="宋体" w:hAnsi="宋体" w:cs="宋体"/>
          <w:b/>
          <w:color w:val="auto"/>
          <w:sz w:val="24"/>
          <w:lang w:eastAsia="zh-CN"/>
        </w:rPr>
        <w:t>产教融合区域中高一体高技能人才实训中心（一期）工程项目</w:t>
      </w:r>
    </w:p>
    <w:p>
      <w:pPr>
        <w:snapToGrid w:val="0"/>
        <w:spacing w:line="360" w:lineRule="auto"/>
        <w:ind w:firstLine="482" w:firstLineChars="200"/>
        <w:rPr>
          <w:rFonts w:hint="eastAsia" w:ascii="宋体" w:hAnsi="宋体" w:cs="宋体"/>
          <w:b/>
          <w:color w:val="auto"/>
          <w:sz w:val="24"/>
          <w:lang w:val="en-US" w:eastAsia="zh-CN"/>
        </w:rPr>
      </w:pPr>
      <w:r>
        <w:rPr>
          <w:rFonts w:hint="eastAsia" w:ascii="宋体" w:hAnsi="宋体" w:cs="宋体"/>
          <w:b/>
          <w:color w:val="auto"/>
          <w:sz w:val="24"/>
        </w:rPr>
        <w:t>预算金额（元）：</w:t>
      </w:r>
      <w:r>
        <w:rPr>
          <w:rFonts w:hint="eastAsia" w:ascii="宋体" w:hAnsi="宋体" w:cs="宋体"/>
          <w:b/>
          <w:color w:val="auto"/>
          <w:sz w:val="24"/>
          <w:lang w:val="en-US" w:eastAsia="zh-CN"/>
        </w:rPr>
        <w:t xml:space="preserve">873000.00 </w:t>
      </w:r>
    </w:p>
    <w:p>
      <w:pPr>
        <w:snapToGrid w:val="0"/>
        <w:spacing w:line="360" w:lineRule="auto"/>
        <w:ind w:firstLine="482" w:firstLineChars="200"/>
        <w:rPr>
          <w:rFonts w:hint="eastAsia" w:ascii="宋体" w:hAnsi="宋体" w:cs="宋体"/>
          <w:b/>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 xml:space="preserve">873000.00 </w:t>
      </w:r>
    </w:p>
    <w:p>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采购需求：主要内容为</w:t>
      </w:r>
      <w:r>
        <w:rPr>
          <w:rFonts w:hint="eastAsia" w:ascii="宋体" w:hAnsi="宋体" w:cs="宋体"/>
          <w:b/>
          <w:color w:val="auto"/>
          <w:sz w:val="24"/>
          <w:lang w:eastAsia="zh-CN"/>
        </w:rPr>
        <w:t>产教融合区域中高一体高技能人才实训中心</w:t>
      </w:r>
      <w:r>
        <w:rPr>
          <w:rFonts w:hint="eastAsia" w:ascii="宋体" w:hAnsi="宋体" w:cs="宋体"/>
          <w:b/>
          <w:color w:val="auto"/>
          <w:sz w:val="24"/>
          <w:lang w:val="en-US" w:eastAsia="zh-CN"/>
        </w:rPr>
        <w:t>工程</w:t>
      </w:r>
      <w:r>
        <w:rPr>
          <w:rFonts w:hint="eastAsia" w:ascii="宋体" w:hAnsi="宋体" w:cs="宋体"/>
          <w:b/>
          <w:color w:val="auto"/>
          <w:sz w:val="24"/>
        </w:rPr>
        <w:t>。详见采购文件第三部分采购需求、工程量清单及图纸。</w:t>
      </w:r>
    </w:p>
    <w:p>
      <w:pPr>
        <w:snapToGrid w:val="0"/>
        <w:spacing w:line="360" w:lineRule="auto"/>
        <w:ind w:firstLine="482" w:firstLineChars="200"/>
        <w:rPr>
          <w:rFonts w:hint="eastAsia" w:ascii="宋体" w:hAnsi="宋体" w:eastAsia="宋体" w:cs="宋体"/>
          <w:b/>
          <w:color w:val="auto"/>
          <w:sz w:val="24"/>
          <w:lang w:val="en-US" w:eastAsia="zh-CN"/>
        </w:rPr>
      </w:pPr>
      <w:r>
        <w:rPr>
          <w:rFonts w:hint="eastAsia" w:ascii="宋体" w:hAnsi="宋体" w:cs="宋体"/>
          <w:b/>
          <w:color w:val="auto"/>
          <w:sz w:val="24"/>
        </w:rPr>
        <w:t>合同履约期限：</w:t>
      </w:r>
      <w:r>
        <w:rPr>
          <w:rFonts w:hint="eastAsia" w:ascii="宋体" w:hAnsi="宋体" w:cs="宋体"/>
          <w:b/>
          <w:color w:val="auto"/>
          <w:sz w:val="24"/>
          <w:lang w:val="en-US" w:eastAsia="zh-CN"/>
        </w:rPr>
        <w:t>合同签订之日起30</w:t>
      </w:r>
      <w:r>
        <w:rPr>
          <w:rFonts w:hint="eastAsia" w:ascii="宋体" w:hAnsi="宋体" w:cs="宋体"/>
          <w:b/>
          <w:color w:val="auto"/>
          <w:sz w:val="24"/>
        </w:rPr>
        <w:t>日历天</w:t>
      </w:r>
      <w:r>
        <w:rPr>
          <w:rFonts w:hint="eastAsia" w:ascii="宋体" w:hAnsi="宋体" w:cs="宋体"/>
          <w:b/>
          <w:color w:val="auto"/>
          <w:sz w:val="24"/>
          <w:lang w:eastAsia="zh-CN"/>
        </w:rPr>
        <w:t>。</w:t>
      </w:r>
    </w:p>
    <w:p>
      <w:pPr>
        <w:pStyle w:val="5"/>
        <w:spacing w:line="360" w:lineRule="auto"/>
        <w:ind w:firstLine="482" w:firstLineChars="200"/>
        <w:rPr>
          <w:rFonts w:hint="eastAsia" w:hAnsi="宋体" w:cs="宋体"/>
          <w:color w:val="auto"/>
          <w:sz w:val="24"/>
        </w:rPr>
      </w:pPr>
      <w:r>
        <w:rPr>
          <w:rFonts w:hint="eastAsia" w:hAnsi="宋体" w:cs="宋体"/>
          <w:b/>
          <w:color w:val="auto"/>
          <w:sz w:val="24"/>
        </w:rPr>
        <w:t>本项目接受联合体：</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MS Gothic" w:cs="宋体"/>
              <w:snapToGrid w:val="0"/>
              <w:color w:val="auto"/>
              <w:kern w:val="0"/>
              <w:sz w:val="24"/>
              <w:szCs w:val="20"/>
              <w:lang w:val="en-US" w:eastAsia="zh-CN" w:bidi="ar-SA"/>
            </w:rPr>
            <w:t>þ</w:t>
          </w:r>
        </w:sdtContent>
      </w:sdt>
      <w:r>
        <w:rPr>
          <w:rFonts w:hint="eastAsia" w:hAnsi="宋体" w:cs="宋体"/>
          <w:color w:val="auto"/>
          <w:sz w:val="24"/>
        </w:rPr>
        <w:t>是；</w:t>
      </w:r>
    </w:p>
    <w:p>
      <w:pPr>
        <w:spacing w:line="360" w:lineRule="auto"/>
        <w:rPr>
          <w:rFonts w:hint="eastAsia"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color w:val="auto"/>
          <w:kern w:val="28"/>
          <w:sz w:val="24"/>
        </w:rPr>
        <w:t>3.落实政府采购政策需满足的资格要求：本项目属于专门面向中小企业采购的项目,供应商应为中、小、微型企业，监狱企业、残疾人福利性单位</w:t>
      </w:r>
    </w:p>
    <w:p>
      <w:pPr>
        <w:spacing w:line="360" w:lineRule="auto"/>
        <w:ind w:firstLine="482" w:firstLineChars="200"/>
        <w:rPr>
          <w:rFonts w:hint="eastAsia" w:ascii="宋体" w:hAnsi="宋体" w:cs="宋体"/>
          <w:b/>
          <w:bCs/>
          <w:color w:val="auto"/>
          <w:sz w:val="24"/>
        </w:rPr>
      </w:pPr>
      <w:r>
        <w:rPr>
          <w:rFonts w:ascii="宋体" w:hAnsi="宋体" w:cs="宋体"/>
          <w:b/>
          <w:bCs/>
          <w:color w:val="auto"/>
          <w:sz w:val="24"/>
        </w:rPr>
        <w:t>4</w:t>
      </w:r>
      <w:r>
        <w:rPr>
          <w:rFonts w:hint="eastAsia" w:ascii="宋体" w:hAnsi="宋体" w:cs="宋体"/>
          <w:b/>
          <w:bCs/>
          <w:color w:val="auto"/>
          <w:sz w:val="24"/>
        </w:rPr>
        <w:t>.本项目的特定资格要求：</w:t>
      </w:r>
    </w:p>
    <w:p>
      <w:pPr>
        <w:spacing w:line="360" w:lineRule="auto"/>
        <w:ind w:firstLine="512" w:firstLineChars="200"/>
        <w:rPr>
          <w:rFonts w:ascii="宋体" w:hAnsi="宋体" w:cs="宋体"/>
          <w:color w:val="auto"/>
          <w:spacing w:val="8"/>
          <w:kern w:val="0"/>
          <w:sz w:val="24"/>
        </w:rPr>
      </w:pPr>
      <w:r>
        <w:rPr>
          <w:rFonts w:hint="eastAsia" w:ascii="宋体" w:hAnsi="宋体" w:cs="宋体"/>
          <w:color w:val="auto"/>
          <w:spacing w:val="8"/>
          <w:kern w:val="0"/>
          <w:sz w:val="24"/>
        </w:rPr>
        <w:t>（1）供应商应具备</w:t>
      </w:r>
      <w:r>
        <w:rPr>
          <w:rFonts w:hint="eastAsia" w:ascii="宋体" w:hAnsi="宋体" w:cs="宋体"/>
          <w:color w:val="auto"/>
          <w:spacing w:val="8"/>
          <w:kern w:val="0"/>
          <w:sz w:val="24"/>
          <w:lang w:val="en-US" w:eastAsia="zh-CN"/>
        </w:rPr>
        <w:t>建筑施工总承包三</w:t>
      </w:r>
      <w:r>
        <w:rPr>
          <w:rFonts w:hint="eastAsia" w:ascii="宋体" w:hAnsi="宋体" w:cs="宋体"/>
          <w:color w:val="auto"/>
          <w:spacing w:val="8"/>
          <w:kern w:val="0"/>
          <w:sz w:val="24"/>
        </w:rPr>
        <w:t>级及以上资质；</w:t>
      </w:r>
    </w:p>
    <w:p>
      <w:pPr>
        <w:spacing w:line="360" w:lineRule="auto"/>
        <w:ind w:firstLine="512" w:firstLineChars="200"/>
        <w:rPr>
          <w:rFonts w:ascii="宋体" w:hAnsi="宋体" w:cs="宋体"/>
          <w:color w:val="auto"/>
          <w:spacing w:val="8"/>
          <w:kern w:val="0"/>
          <w:sz w:val="24"/>
        </w:rPr>
      </w:pPr>
      <w:r>
        <w:rPr>
          <w:rFonts w:hint="eastAsia" w:ascii="宋体" w:hAnsi="宋体" w:cs="宋体"/>
          <w:color w:val="auto"/>
          <w:spacing w:val="8"/>
          <w:kern w:val="0"/>
          <w:sz w:val="24"/>
        </w:rPr>
        <w:t>（2）具有有效期内的安全生产许可证；</w:t>
      </w:r>
    </w:p>
    <w:p>
      <w:pPr>
        <w:spacing w:line="360" w:lineRule="auto"/>
        <w:ind w:firstLine="512" w:firstLineChars="200"/>
        <w:rPr>
          <w:rFonts w:ascii="宋体" w:hAnsi="宋体" w:cs="宋体"/>
          <w:color w:val="auto"/>
          <w:spacing w:val="8"/>
          <w:kern w:val="0"/>
          <w:sz w:val="24"/>
        </w:rPr>
      </w:pPr>
      <w:r>
        <w:rPr>
          <w:rFonts w:hint="eastAsia" w:ascii="宋体" w:hAnsi="宋体" w:cs="宋体"/>
          <w:color w:val="auto"/>
          <w:spacing w:val="8"/>
          <w:kern w:val="0"/>
          <w:sz w:val="24"/>
        </w:rPr>
        <w:t>（3）拟派项目经理具有建筑工程专业二级及以上注册建造师资格，且具有有效的三类人员B类证书，且无在建工程</w:t>
      </w:r>
      <w:r>
        <w:rPr>
          <w:rFonts w:hint="eastAsia" w:ascii="宋体" w:hAnsi="宋体" w:cs="宋体"/>
          <w:color w:val="auto"/>
          <w:spacing w:val="8"/>
          <w:kern w:val="0"/>
          <w:sz w:val="24"/>
          <w:lang w:val="en-US" w:eastAsia="zh-CN"/>
        </w:rPr>
        <w:t>并提供无在建工程书面承诺</w:t>
      </w:r>
      <w:r>
        <w:rPr>
          <w:rFonts w:hint="eastAsia" w:ascii="宋体" w:hAnsi="宋体" w:cs="宋体"/>
          <w:color w:val="auto"/>
          <w:spacing w:val="8"/>
          <w:kern w:val="0"/>
          <w:sz w:val="24"/>
        </w:rPr>
        <w:t>（在建合同工程的开始时间为合同工程中标通知书发出日期（不通过招标方式的，开始时间为合同签订日期），结束时间为该合同工程通过验收或合同解除日期）。</w:t>
      </w:r>
    </w:p>
    <w:p>
      <w:pPr>
        <w:spacing w:line="360" w:lineRule="auto"/>
        <w:ind w:firstLine="512" w:firstLineChars="200"/>
        <w:rPr>
          <w:rFonts w:hint="eastAsia" w:ascii="宋体" w:hAnsi="宋体" w:cs="宋体"/>
          <w:b/>
          <w:bCs/>
          <w:color w:val="auto"/>
          <w:sz w:val="24"/>
        </w:rPr>
      </w:pPr>
      <w:r>
        <w:rPr>
          <w:rFonts w:hint="eastAsia" w:ascii="宋体" w:hAnsi="宋体" w:cs="宋体"/>
          <w:color w:val="auto"/>
          <w:spacing w:val="8"/>
          <w:kern w:val="0"/>
          <w:sz w:val="24"/>
        </w:rPr>
        <w:t>（4）拟派施工现场专职安全生产管理人员【符合中华人民共和国住房和城乡建设部建质[2015]91 号《建筑施工企业安全生产管理机构设置及专职安全生产管理人员配备办法》的规定】具有“三类人员”C 类证书。</w:t>
      </w:r>
    </w:p>
    <w:p>
      <w:pPr>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color w:val="auto"/>
          <w:sz w:val="24"/>
        </w:rPr>
      </w:pPr>
      <w:r>
        <w:rPr>
          <w:rFonts w:hint="eastAsia" w:ascii="宋体" w:hAnsi="宋体" w:cs="宋体"/>
          <w:b/>
          <w:color w:val="auto"/>
          <w:sz w:val="24"/>
        </w:rPr>
        <w:t xml:space="preserve">三、获取采购文件 </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2025年0</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 xml:space="preserve">日 </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杭州市教育局非依法招标（小额）项目平台获取 </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供应商登录杭州市教育局非依法招标（小额）项目平台https://hzjyg.lecaiyun.com/在线申请获取采购文件（进入“项目采购”应用，在获取采购文件菜单中选择项目，申请获取采购文件）</w:t>
      </w:r>
    </w:p>
    <w:p>
      <w:pPr>
        <w:spacing w:line="360" w:lineRule="auto"/>
        <w:rPr>
          <w:rFonts w:hint="eastAsia" w:ascii="宋体" w:hAnsi="宋体" w:cs="宋体"/>
          <w:b/>
          <w:color w:val="auto"/>
          <w:sz w:val="24"/>
        </w:rPr>
      </w:pPr>
      <w:r>
        <w:rPr>
          <w:rFonts w:hint="eastAsia" w:ascii="宋体" w:hAnsi="宋体" w:cs="宋体"/>
          <w:b/>
          <w:color w:val="auto"/>
          <w:sz w:val="24"/>
        </w:rPr>
        <w:t>四、响应文件提交（上传）</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2025年0</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日09点</w:t>
      </w:r>
      <w:r>
        <w:rPr>
          <w:rFonts w:hint="eastAsia" w:ascii="宋体" w:hAnsi="宋体" w:cs="宋体"/>
          <w:color w:val="auto"/>
          <w:sz w:val="24"/>
          <w:u w:val="single"/>
          <w:lang w:val="en-US" w:eastAsia="zh-CN"/>
        </w:rPr>
        <w:t>3</w:t>
      </w:r>
      <w:r>
        <w:rPr>
          <w:rFonts w:hint="eastAsia" w:ascii="宋体" w:hAnsi="宋体" w:cs="宋体"/>
          <w:color w:val="auto"/>
          <w:sz w:val="24"/>
          <w:u w:val="single"/>
        </w:rPr>
        <w:t>0分</w:t>
      </w:r>
      <w:r>
        <w:rPr>
          <w:rFonts w:hint="eastAsia" w:ascii="宋体" w:hAnsi="宋体" w:cs="宋体"/>
          <w:color w:val="auto"/>
          <w:sz w:val="24"/>
        </w:rPr>
        <w:t>（北京时间）</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请登录乐采云投标客户端投标 </w:t>
      </w:r>
    </w:p>
    <w:p>
      <w:pPr>
        <w:spacing w:line="360" w:lineRule="auto"/>
        <w:rPr>
          <w:rFonts w:hint="eastAsia" w:ascii="宋体" w:hAnsi="宋体" w:cs="宋体"/>
          <w:color w:val="auto"/>
          <w:sz w:val="24"/>
        </w:rPr>
      </w:pPr>
      <w:r>
        <w:rPr>
          <w:rFonts w:hint="eastAsia" w:ascii="宋体" w:hAnsi="宋体" w:cs="宋体"/>
          <w:b/>
          <w:color w:val="auto"/>
          <w:sz w:val="24"/>
        </w:rPr>
        <w:t xml:space="preserve">五、响应文件开启 </w:t>
      </w:r>
    </w:p>
    <w:p>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 xml:space="preserve"> 2025年0</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日09点</w:t>
      </w:r>
      <w:r>
        <w:rPr>
          <w:rFonts w:hint="eastAsia" w:ascii="宋体" w:hAnsi="宋体" w:cs="宋体"/>
          <w:color w:val="auto"/>
          <w:sz w:val="24"/>
          <w:u w:val="single"/>
          <w:lang w:val="en-US" w:eastAsia="zh-CN"/>
        </w:rPr>
        <w:t>3</w:t>
      </w:r>
      <w:r>
        <w:rPr>
          <w:rFonts w:hint="eastAsia" w:ascii="宋体" w:hAnsi="宋体" w:cs="宋体"/>
          <w:color w:val="auto"/>
          <w:sz w:val="24"/>
          <w:u w:val="single"/>
        </w:rPr>
        <w:t>0分</w:t>
      </w:r>
      <w:r>
        <w:rPr>
          <w:rFonts w:hint="eastAsia" w:ascii="宋体" w:hAnsi="宋体" w:cs="宋体"/>
          <w:color w:val="auto"/>
          <w:sz w:val="24"/>
        </w:rPr>
        <w:t>（北京时间）</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https://hzjyg.lecaiyun.com</w:t>
      </w:r>
    </w:p>
    <w:p>
      <w:pPr>
        <w:spacing w:line="360" w:lineRule="auto"/>
        <w:rPr>
          <w:rFonts w:hint="eastAsia" w:ascii="宋体" w:hAnsi="宋体" w:cs="宋体"/>
          <w:color w:val="auto"/>
          <w:sz w:val="24"/>
        </w:rPr>
      </w:pPr>
      <w:r>
        <w:rPr>
          <w:rFonts w:hint="eastAsia" w:ascii="宋体" w:hAnsi="宋体" w:cs="宋体"/>
          <w:b/>
          <w:color w:val="auto"/>
          <w:sz w:val="24"/>
        </w:rPr>
        <w:t xml:space="preserve">六、公告期限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自本公告发布之日起3个工作日。</w:t>
      </w:r>
    </w:p>
    <w:p>
      <w:pPr>
        <w:spacing w:line="360" w:lineRule="auto"/>
        <w:rPr>
          <w:rFonts w:hint="eastAsia" w:ascii="宋体" w:hAnsi="宋体" w:cs="宋体"/>
          <w:b/>
          <w:color w:val="auto"/>
          <w:sz w:val="24"/>
        </w:rPr>
      </w:pPr>
      <w:r>
        <w:rPr>
          <w:rFonts w:hint="eastAsia" w:ascii="宋体" w:hAnsi="宋体" w:cs="宋体"/>
          <w:b/>
          <w:color w:val="auto"/>
          <w:sz w:val="24"/>
        </w:rPr>
        <w:t>七、其他补充事宜</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其他事项：（1）需要落实的政府采购政策：包括促进中小企业发展等。详见采购文件的第二部分总则。（2）电子交易的说明：①电子交易：本项目以数据电文形式，依托“乐采云平台（https://hzjyg.lecaiyun.com）”进行招投标活动，不接受纸质响应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采购文件的获取：使用账号登录或者使用CA登录乐采云平台；进入“项目采购”应用，在获取采购文件菜单中选择项目，获取采购文件；④响应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乐采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文件无效；⑩具体操作指南：详见乐采云平台“服务中心-帮助文档-项目采购-操作流程-电子招投标-政府采购项目电子交易管理操作指南-供应商”。（3）采购文件公告期限与竞争性磋商公告的公告期限一致。</w:t>
      </w:r>
    </w:p>
    <w:p>
      <w:pPr>
        <w:spacing w:line="360" w:lineRule="auto"/>
        <w:rPr>
          <w:rFonts w:hint="eastAsia" w:ascii="宋体" w:hAnsi="宋体" w:cs="宋体"/>
          <w:b/>
          <w:color w:val="auto"/>
          <w:sz w:val="24"/>
        </w:rPr>
      </w:pPr>
      <w:r>
        <w:rPr>
          <w:rFonts w:hint="eastAsia" w:ascii="宋体" w:hAnsi="宋体" w:cs="宋体"/>
          <w:b/>
          <w:color w:val="auto"/>
          <w:sz w:val="24"/>
        </w:rPr>
        <w:t>八、对本次采购提出询问、质疑、投诉，请按以下方式联系</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1.采购人信息</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杭州市中策职业学校钱塘学校</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地    址：</w:t>
      </w:r>
      <w:r>
        <w:rPr>
          <w:rFonts w:hint="eastAsia" w:ascii="宋体" w:hAnsi="宋体" w:cs="宋体"/>
          <w:color w:val="auto"/>
          <w:sz w:val="24"/>
          <w:lang w:val="en-US" w:eastAsia="zh-CN"/>
        </w:rPr>
        <w:t xml:space="preserve">杭州市钱塘新区品优街2789号 </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项目联系人：</w:t>
      </w:r>
      <w:r>
        <w:rPr>
          <w:rFonts w:hint="eastAsia" w:ascii="宋体" w:hAnsi="宋体" w:cs="宋体"/>
          <w:color w:val="auto"/>
          <w:sz w:val="24"/>
          <w:lang w:val="en-US" w:eastAsia="zh-CN"/>
        </w:rPr>
        <w:t xml:space="preserve">童老师  </w:t>
      </w:r>
      <w:r>
        <w:rPr>
          <w:rFonts w:ascii="宋体" w:hAnsi="宋体" w:cs="宋体"/>
          <w:color w:val="auto"/>
          <w:sz w:val="24"/>
        </w:rPr>
        <w:t xml:space="preserve"> </w:t>
      </w:r>
      <w:r>
        <w:rPr>
          <w:rFonts w:hint="eastAsia" w:ascii="宋体" w:hAnsi="宋体" w:cs="宋体"/>
          <w:color w:val="auto"/>
          <w:sz w:val="24"/>
          <w:lang w:val="en-US" w:eastAsia="zh-CN"/>
        </w:rPr>
        <w:t xml:space="preserve">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项目联系方式：0571-86659577</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2.采购代理机构信息            </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浙江省房地产管理咨询有限公司</w:t>
      </w:r>
    </w:p>
    <w:p>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val="en-US" w:eastAsia="zh-CN"/>
        </w:rPr>
        <w:t>杭州市拱墅区绍兴路538号三立时代广场1206号</w:t>
      </w:r>
    </w:p>
    <w:p>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项目联系人：</w:t>
      </w:r>
      <w:r>
        <w:rPr>
          <w:rFonts w:hint="eastAsia" w:ascii="宋体" w:hAnsi="宋体" w:cs="宋体"/>
          <w:color w:val="auto"/>
          <w:sz w:val="24"/>
          <w:lang w:val="en-US" w:eastAsia="zh-CN"/>
        </w:rPr>
        <w:t>周工</w:t>
      </w:r>
    </w:p>
    <w:p>
      <w:pPr>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项目联系方式：15057164723</w:t>
      </w:r>
    </w:p>
    <w:p>
      <w:pPr>
        <w:pStyle w:val="5"/>
        <w:rPr>
          <w:color w:val="auto"/>
        </w:rPr>
      </w:pPr>
    </w:p>
    <w:p>
      <w:pPr>
        <w:spacing w:line="360" w:lineRule="auto"/>
        <w:jc w:val="center"/>
        <w:rPr>
          <w:rFonts w:hint="eastAsia" w:hAnsi="宋体" w:cs="宋体"/>
          <w:b/>
          <w:color w:val="auto"/>
          <w:sz w:val="36"/>
          <w:szCs w:val="20"/>
        </w:rPr>
      </w:pPr>
      <w:r>
        <w:rPr>
          <w:rFonts w:hint="eastAsia" w:hAnsi="宋体" w:cs="宋体"/>
          <w:b/>
          <w:color w:val="auto"/>
          <w:sz w:val="36"/>
          <w:szCs w:val="20"/>
        </w:rPr>
        <w:br w:type="page"/>
      </w:r>
    </w:p>
    <w:p>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供应商须知</w:t>
      </w:r>
      <w:bookmarkEnd w:id="8"/>
    </w:p>
    <w:p>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前附表</w:t>
      </w:r>
    </w:p>
    <w:tbl>
      <w:tblPr>
        <w:tblStyle w:val="6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事项</w:t>
            </w:r>
          </w:p>
        </w:tc>
        <w:tc>
          <w:tcPr>
            <w:tcW w:w="7111"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trPr>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项目属性</w:t>
            </w:r>
          </w:p>
        </w:tc>
        <w:tc>
          <w:tcPr>
            <w:tcW w:w="7111" w:type="dxa"/>
            <w:vAlign w:val="center"/>
          </w:tcPr>
          <w:p>
            <w:pPr>
              <w:spacing w:line="360" w:lineRule="auto"/>
              <w:rPr>
                <w:rFonts w:hint="eastAsia" w:ascii="宋体" w:hAnsi="宋体" w:cs="宋体"/>
                <w:color w:val="auto"/>
                <w:sz w:val="24"/>
              </w:rPr>
            </w:pPr>
            <w:r>
              <w:rPr>
                <w:rFonts w:hint="eastAsia" w:ascii="宋体" w:hAnsi="宋体" w:cs="宋体"/>
                <w:color w:val="auto"/>
                <w:kern w:val="0"/>
                <w:sz w:val="24"/>
              </w:rPr>
              <w:t>工程</w:t>
            </w:r>
            <w:r>
              <w:rPr>
                <w:rFonts w:hint="eastAsia" w:ascii="宋体" w:hAnsi="宋体" w:cs="宋体"/>
                <w:color w:val="auto"/>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采购标的及其对应的中小企业划分标准所属行业</w:t>
            </w:r>
          </w:p>
        </w:tc>
        <w:tc>
          <w:tcPr>
            <w:tcW w:w="7111" w:type="dxa"/>
            <w:vAlign w:val="center"/>
          </w:tcPr>
          <w:p>
            <w:pPr>
              <w:snapToGrid w:val="0"/>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lang w:eastAsia="zh-CN"/>
              </w:rPr>
              <w:t>产教融合区域中高一体高技能人才实训中心（一期）工程项目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建筑业 </w:t>
            </w:r>
            <w:r>
              <w:rPr>
                <w:rFonts w:hint="eastAsia" w:ascii="宋体" w:hAnsi="宋体" w:cs="宋体"/>
                <w:color w:val="auto"/>
                <w:kern w:val="0"/>
                <w:sz w:val="24"/>
              </w:rPr>
              <w:t>行业；</w:t>
            </w:r>
          </w:p>
          <w:p>
            <w:pPr>
              <w:snapToGrid w:val="0"/>
              <w:rPr>
                <w:rFonts w:hint="eastAsia" w:ascii="宋体" w:hAnsi="宋体" w:cs="宋体"/>
                <w:color w:val="auto"/>
                <w:kern w:val="0"/>
                <w:sz w:val="24"/>
              </w:rPr>
            </w:pPr>
            <w:r>
              <w:rPr>
                <w:rFonts w:hint="eastAsia" w:ascii="宋体" w:hAnsi="宋体" w:cs="宋体"/>
                <w:snapToGrid w:val="0"/>
                <w:color w:val="auto"/>
                <w:kern w:val="0"/>
                <w:sz w:val="24"/>
              </w:rPr>
              <w:t>中小企业划分标准：</w:t>
            </w:r>
            <w:r>
              <w:rPr>
                <w:rFonts w:hint="eastAsia" w:ascii="宋体" w:hAnsi="宋体" w:cs="宋体"/>
                <w:snapToGrid w:val="0"/>
                <w:color w:val="auto"/>
                <w:kern w:val="0"/>
                <w:sz w:val="24"/>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是否允许采购进口产品</w:t>
            </w:r>
          </w:p>
        </w:tc>
        <w:tc>
          <w:tcPr>
            <w:tcW w:w="7111" w:type="dxa"/>
            <w:vAlign w:val="center"/>
          </w:tcPr>
          <w:p>
            <w:pPr>
              <w:spacing w:line="360" w:lineRule="auto"/>
              <w:rPr>
                <w:rFonts w:hint="eastAsia"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hint="eastAsia"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2093" w:type="dxa"/>
            <w:vAlign w:val="center"/>
          </w:tcPr>
          <w:p>
            <w:pPr>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分包</w:t>
            </w:r>
          </w:p>
        </w:tc>
        <w:tc>
          <w:tcPr>
            <w:tcW w:w="7111" w:type="dxa"/>
            <w:vAlign w:val="center"/>
          </w:tcPr>
          <w:p>
            <w:pPr>
              <w:spacing w:line="360" w:lineRule="auto"/>
              <w:rPr>
                <w:rFonts w:hint="eastAsia" w:ascii="宋体" w:hAnsi="宋体" w:cs="宋体"/>
                <w:color w:val="auto"/>
                <w:kern w:val="0"/>
                <w:sz w:val="24"/>
              </w:rPr>
            </w:pPr>
            <w:r>
              <w:rPr>
                <w:rFonts w:hint="eastAsia" w:ascii="宋体" w:hAnsi="宋体" w:cs="宋体"/>
                <w:color w:val="auto"/>
                <w:sz w:val="24"/>
              </w:rPr>
              <w:t>同意将非主体、非关键性的</w:t>
            </w:r>
            <w:r>
              <w:rPr>
                <w:rFonts w:hint="eastAsia" w:ascii="宋体" w:hAnsi="宋体" w:cs="宋体"/>
                <w:color w:val="auto"/>
                <w:sz w:val="24"/>
                <w:u w:val="single"/>
              </w:rPr>
              <w:t>劳务</w:t>
            </w:r>
            <w:r>
              <w:rPr>
                <w:rFonts w:hint="eastAsia" w:ascii="宋体" w:hAnsi="宋体" w:cs="宋体"/>
                <w:color w:val="auto"/>
                <w:sz w:val="24"/>
              </w:rPr>
              <w:t>工作分包。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磋商前答疑会或现场考察</w:t>
            </w:r>
          </w:p>
        </w:tc>
        <w:tc>
          <w:tcPr>
            <w:tcW w:w="7111" w:type="dxa"/>
            <w:vAlign w:val="center"/>
          </w:tcPr>
          <w:p>
            <w:pPr>
              <w:spacing w:line="360" w:lineRule="auto"/>
              <w:rPr>
                <w:rFonts w:hint="eastAsia"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hint="eastAsia"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样品提供</w:t>
            </w:r>
          </w:p>
        </w:tc>
        <w:tc>
          <w:tcPr>
            <w:tcW w:w="7111" w:type="dxa"/>
            <w:vAlign w:val="center"/>
          </w:tcPr>
          <w:p>
            <w:pPr>
              <w:spacing w:line="360" w:lineRule="auto"/>
              <w:rPr>
                <w:rFonts w:hint="eastAsia"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hint="eastAsia" w:ascii="宋体" w:hAnsi="宋体" w:cs="宋体"/>
                <w:b/>
                <w:color w:val="auto"/>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2093" w:type="dxa"/>
            <w:vAlign w:val="center"/>
          </w:tcPr>
          <w:p>
            <w:pPr>
              <w:snapToGrid w:val="0"/>
              <w:spacing w:line="360" w:lineRule="auto"/>
              <w:jc w:val="center"/>
              <w:rPr>
                <w:rFonts w:hint="eastAsia" w:ascii="宋体" w:hAnsi="宋体" w:cs="宋体"/>
                <w:bCs/>
                <w:color w:val="auto"/>
                <w:sz w:val="24"/>
              </w:rPr>
            </w:pPr>
            <w:r>
              <w:rPr>
                <w:rFonts w:hint="eastAsia" w:ascii="宋体" w:hAnsi="宋体" w:cs="宋体"/>
                <w:b/>
                <w:color w:val="auto"/>
                <w:sz w:val="24"/>
              </w:rPr>
              <w:t>方案讲解演示</w:t>
            </w:r>
          </w:p>
        </w:tc>
        <w:tc>
          <w:tcPr>
            <w:tcW w:w="7111" w:type="dxa"/>
            <w:vAlign w:val="center"/>
          </w:tcPr>
          <w:p>
            <w:pPr>
              <w:spacing w:line="360" w:lineRule="auto"/>
              <w:rPr>
                <w:rFonts w:hint="eastAsia"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hint="eastAsia" w:ascii="宋体" w:hAnsi="宋体" w:cs="宋体"/>
                <w:b/>
                <w:color w:val="auto"/>
                <w:kern w:val="0"/>
                <w:sz w:val="24"/>
                <w:lang w:val="zh-CN"/>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2093" w:type="dxa"/>
            <w:vMerge w:val="restart"/>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供应商应当提供的资格、资信证明文件</w:t>
            </w:r>
          </w:p>
        </w:tc>
        <w:tc>
          <w:tcPr>
            <w:tcW w:w="7111" w:type="dxa"/>
            <w:vAlign w:val="center"/>
          </w:tcPr>
          <w:p>
            <w:pPr>
              <w:spacing w:line="360" w:lineRule="auto"/>
              <w:rPr>
                <w:rFonts w:hint="eastAsia" w:ascii="宋体" w:hAnsi="宋体" w:cs="宋体"/>
                <w:color w:val="auto"/>
                <w:sz w:val="24"/>
              </w:rPr>
            </w:pPr>
            <w:r>
              <w:rPr>
                <w:rFonts w:hint="eastAsia" w:ascii="宋体" w:hAnsi="宋体" w:cs="宋体"/>
                <w:color w:val="auto"/>
                <w:sz w:val="24"/>
              </w:rPr>
              <w:t>（1）资格证明文件：见采购文件第二部分11.1。</w:t>
            </w:r>
          </w:p>
          <w:p>
            <w:pPr>
              <w:spacing w:line="360" w:lineRule="auto"/>
              <w:rPr>
                <w:rFonts w:hint="eastAsia" w:ascii="宋体" w:hAnsi="宋体" w:cs="宋体"/>
                <w:snapToGrid w:val="0"/>
                <w:color w:val="auto"/>
                <w:kern w:val="0"/>
                <w:szCs w:val="21"/>
              </w:rPr>
            </w:pPr>
            <w:r>
              <w:rPr>
                <w:rFonts w:hint="eastAsia" w:ascii="宋体" w:hAnsi="宋体" w:cs="宋体"/>
                <w:color w:val="auto"/>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hint="eastAsia" w:ascii="宋体" w:hAnsi="宋体" w:cs="宋体"/>
                <w:color w:val="auto"/>
                <w:sz w:val="24"/>
              </w:rPr>
            </w:pPr>
          </w:p>
        </w:tc>
        <w:tc>
          <w:tcPr>
            <w:tcW w:w="2093" w:type="dxa"/>
            <w:vMerge w:val="continue"/>
            <w:vAlign w:val="center"/>
          </w:tcPr>
          <w:p>
            <w:pPr>
              <w:snapToGrid w:val="0"/>
              <w:spacing w:line="360" w:lineRule="auto"/>
              <w:jc w:val="center"/>
              <w:rPr>
                <w:rFonts w:hint="eastAsia" w:ascii="宋体" w:hAnsi="宋体" w:cs="宋体"/>
                <w:b/>
                <w:color w:val="auto"/>
                <w:sz w:val="24"/>
              </w:rPr>
            </w:pPr>
          </w:p>
        </w:tc>
        <w:tc>
          <w:tcPr>
            <w:tcW w:w="7111" w:type="dxa"/>
            <w:vAlign w:val="center"/>
          </w:tcPr>
          <w:p>
            <w:pPr>
              <w:spacing w:line="360" w:lineRule="auto"/>
              <w:rPr>
                <w:rFonts w:hint="eastAsia" w:ascii="宋体" w:hAnsi="宋体" w:cs="宋体"/>
                <w:color w:val="auto"/>
                <w:sz w:val="24"/>
              </w:rPr>
            </w:pPr>
            <w:r>
              <w:rPr>
                <w:rFonts w:hint="eastAsia" w:ascii="宋体" w:hAnsi="宋体" w:cs="宋体"/>
                <w:color w:val="auto"/>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报价要求</w:t>
            </w:r>
          </w:p>
        </w:tc>
        <w:tc>
          <w:tcPr>
            <w:tcW w:w="7111" w:type="dxa"/>
            <w:vAlign w:val="center"/>
          </w:tcPr>
          <w:p>
            <w:pPr>
              <w:snapToGrid w:val="0"/>
              <w:spacing w:line="360" w:lineRule="auto"/>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color w:val="auto"/>
                <w:sz w:val="24"/>
              </w:rPr>
              <w:t>报价单是报价的唯一载体</w:t>
            </w:r>
            <w:r>
              <w:rPr>
                <w:rFonts w:hint="eastAsia" w:ascii="宋体" w:hAnsi="宋体" w:cs="宋体"/>
                <w:color w:val="auto"/>
                <w:kern w:val="0"/>
                <w:sz w:val="24"/>
                <w:lang w:val="zh-CN"/>
              </w:rPr>
              <w:t>。响应文件中价格全部采用人民币报价。采购文件未列明，而供应商认为必需的费用也需列入报价。</w:t>
            </w:r>
            <w:r>
              <w:rPr>
                <w:rFonts w:hint="eastAsia" w:ascii="宋体" w:hAnsi="宋体" w:cs="宋体"/>
                <w:b/>
                <w:color w:val="auto"/>
                <w:kern w:val="0"/>
                <w:sz w:val="24"/>
                <w:lang w:val="zh-CN"/>
              </w:rPr>
              <w:t>提醒：验收时检测费用由采购人承担，不包含在总价中。</w:t>
            </w:r>
          </w:p>
          <w:p>
            <w:pPr>
              <w:snapToGrid w:val="0"/>
              <w:spacing w:line="360" w:lineRule="auto"/>
              <w:jc w:val="left"/>
              <w:rPr>
                <w:rFonts w:hint="eastAsia" w:ascii="宋体" w:hAnsi="宋体" w:cs="宋体"/>
                <w:b/>
                <w:color w:val="auto"/>
                <w:kern w:val="0"/>
                <w:sz w:val="24"/>
                <w:lang w:val="zh-CN"/>
              </w:rPr>
            </w:pPr>
            <w:r>
              <w:rPr>
                <w:rFonts w:hint="eastAsia" w:ascii="宋体" w:hAnsi="宋体" w:cs="宋体"/>
                <w:b/>
                <w:color w:val="auto"/>
                <w:kern w:val="0"/>
                <w:sz w:val="24"/>
                <w:lang w:val="zh-CN"/>
              </w:rPr>
              <w:t>最后报价出现下列情形的，响应文件无效：</w:t>
            </w:r>
          </w:p>
          <w:p>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响应文件出现不是唯一的、有选择性最后报价的；</w:t>
            </w:r>
          </w:p>
          <w:p>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最后报价超过采购文件中规定的预算金额或者最高限价的;</w:t>
            </w:r>
          </w:p>
          <w:p>
            <w:pPr>
              <w:spacing w:line="360" w:lineRule="auto"/>
              <w:ind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hint="eastAsia" w:ascii="宋体" w:hAnsi="宋体" w:cs="宋体"/>
                <w:color w:val="auto"/>
                <w:sz w:val="24"/>
              </w:rPr>
            </w:pPr>
            <w:r>
              <w:rPr>
                <w:rFonts w:hint="eastAsia" w:ascii="宋体" w:hAnsi="宋体" w:cs="宋体"/>
                <w:b/>
                <w:color w:val="auto"/>
                <w:kern w:val="0"/>
                <w:sz w:val="24"/>
              </w:rPr>
              <w:t>供应商对根据修正原则修正后的报价不确认的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9" w:hRule="atLeast"/>
        </w:trPr>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备份响应文件送达地点和签收人员</w:t>
            </w:r>
          </w:p>
        </w:tc>
        <w:tc>
          <w:tcPr>
            <w:tcW w:w="7111" w:type="dxa"/>
            <w:vAlign w:val="center"/>
          </w:tcPr>
          <w:p>
            <w:pPr>
              <w:pStyle w:val="33"/>
              <w:spacing w:line="360" w:lineRule="auto"/>
              <w:rPr>
                <w:rFonts w:hint="eastAsia" w:hAnsi="宋体" w:cs="宋体"/>
                <w:color w:val="auto"/>
                <w:kern w:val="28"/>
                <w:sz w:val="24"/>
                <w:szCs w:val="24"/>
              </w:rPr>
            </w:pPr>
            <w:r>
              <w:rPr>
                <w:rFonts w:hint="eastAsia" w:hAnsi="宋体" w:cs="宋体"/>
                <w:color w:val="auto"/>
                <w:kern w:val="28"/>
                <w:sz w:val="24"/>
                <w:szCs w:val="24"/>
              </w:rPr>
              <w:t>备份响应文件送达地点：</w:t>
            </w:r>
            <w:r>
              <w:rPr>
                <w:rFonts w:hint="eastAsia" w:ascii="宋体" w:hAnsi="宋体" w:cs="宋体"/>
                <w:color w:val="auto"/>
                <w:sz w:val="24"/>
                <w:lang w:val="en-US" w:eastAsia="zh-CN"/>
              </w:rPr>
              <w:t>杭州市拱墅区绍兴路538号三立时代广场1206号</w:t>
            </w:r>
          </w:p>
          <w:p>
            <w:pPr>
              <w:pStyle w:val="33"/>
              <w:spacing w:line="360" w:lineRule="auto"/>
              <w:rPr>
                <w:rFonts w:hint="eastAsia" w:hAnsi="宋体" w:cs="宋体"/>
                <w:color w:val="auto"/>
                <w:kern w:val="28"/>
                <w:sz w:val="24"/>
                <w:szCs w:val="24"/>
              </w:rPr>
            </w:pPr>
            <w:r>
              <w:rPr>
                <w:rFonts w:hint="eastAsia" w:hAnsi="宋体" w:cs="宋体"/>
                <w:color w:val="auto"/>
                <w:kern w:val="28"/>
                <w:sz w:val="24"/>
                <w:szCs w:val="24"/>
              </w:rPr>
              <w:t>备份响应文件签收人员联系电话：</w:t>
            </w:r>
            <w:r>
              <w:rPr>
                <w:rFonts w:hint="eastAsia" w:hAnsi="宋体" w:cs="宋体"/>
                <w:color w:val="auto"/>
                <w:kern w:val="28"/>
                <w:sz w:val="24"/>
                <w:szCs w:val="24"/>
                <w:lang w:val="en-US" w:eastAsia="zh-CN"/>
              </w:rPr>
              <w:t>周工，15057164723</w:t>
            </w:r>
            <w:r>
              <w:rPr>
                <w:rFonts w:hint="eastAsia" w:hAnsi="宋体" w:cs="宋体"/>
                <w:color w:val="auto"/>
                <w:kern w:val="28"/>
                <w:sz w:val="24"/>
                <w:szCs w:val="24"/>
              </w:rPr>
              <w:t>。</w:t>
            </w:r>
          </w:p>
          <w:p>
            <w:pPr>
              <w:pStyle w:val="33"/>
              <w:spacing w:line="360" w:lineRule="auto"/>
              <w:rPr>
                <w:rFonts w:hint="eastAsia" w:hAnsi="宋体" w:cs="宋体"/>
                <w:color w:val="auto"/>
                <w:kern w:val="28"/>
                <w:sz w:val="24"/>
              </w:rPr>
            </w:pPr>
            <w:r>
              <w:rPr>
                <w:rFonts w:hint="eastAsia" w:hAnsi="宋体" w:cs="宋体"/>
                <w:color w:val="auto"/>
                <w:kern w:val="28"/>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其它说明</w:t>
            </w:r>
          </w:p>
        </w:tc>
        <w:tc>
          <w:tcPr>
            <w:tcW w:w="7111" w:type="dxa"/>
            <w:vAlign w:val="center"/>
          </w:tcPr>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采购代理服务费</w:t>
            </w:r>
          </w:p>
        </w:tc>
        <w:tc>
          <w:tcPr>
            <w:tcW w:w="7111" w:type="dxa"/>
            <w:vAlign w:val="center"/>
          </w:tcPr>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本项目采购代理服务费由成交人支付，代理服务费收费（响应报价）以《招标代理服务收费管理暂行办法》(浙价服(2003)77号文件)的收费标准的80%执行，保底收费6000元。</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结算方式及时间为：中标（成交）通知书发出7个工作日之内一次性支付给招标代理公司。</w:t>
            </w:r>
          </w:p>
          <w:p>
            <w:pPr>
              <w:spacing w:line="360" w:lineRule="auto"/>
              <w:rPr>
                <w:rFonts w:hint="eastAsia" w:ascii="宋体" w:hAnsi="宋体" w:cs="宋体"/>
                <w:snapToGrid w:val="0"/>
                <w:color w:val="auto"/>
                <w:kern w:val="28"/>
                <w:sz w:val="24"/>
                <w:lang w:val="zh-TW" w:eastAsia="zh-CN"/>
              </w:rPr>
            </w:pPr>
            <w:bookmarkStart w:id="12" w:name="OLE_LINK1"/>
            <w:r>
              <w:rPr>
                <w:rFonts w:hint="eastAsia" w:ascii="宋体" w:hAnsi="宋体" w:cs="宋体"/>
                <w:snapToGrid w:val="0"/>
                <w:color w:val="auto"/>
                <w:kern w:val="28"/>
                <w:sz w:val="24"/>
                <w:lang w:val="zh-TW" w:eastAsia="zh-CN"/>
              </w:rPr>
              <w:t>账户名称：浙江省房地产管理咨询有限公司</w:t>
            </w:r>
          </w:p>
          <w:p>
            <w:pPr>
              <w:spacing w:line="360" w:lineRule="auto"/>
              <w:rPr>
                <w:rFonts w:hint="eastAsia" w:ascii="宋体" w:hAnsi="宋体" w:cs="宋体"/>
                <w:snapToGrid w:val="0"/>
                <w:color w:val="auto"/>
                <w:kern w:val="28"/>
                <w:sz w:val="24"/>
                <w:lang w:val="zh-TW" w:eastAsia="zh-CN"/>
              </w:rPr>
            </w:pPr>
            <w:r>
              <w:rPr>
                <w:rFonts w:hint="eastAsia" w:ascii="宋体" w:hAnsi="宋体" w:cs="宋体"/>
                <w:snapToGrid w:val="0"/>
                <w:color w:val="auto"/>
                <w:kern w:val="28"/>
                <w:sz w:val="24"/>
                <w:lang w:val="zh-TW" w:eastAsia="zh-CN"/>
              </w:rPr>
              <w:t>开户银行：杭州银行保俶支行</w:t>
            </w:r>
            <w:r>
              <w:rPr>
                <w:rFonts w:hint="eastAsia" w:ascii="宋体" w:hAnsi="宋体" w:cs="宋体"/>
                <w:snapToGrid w:val="0"/>
                <w:color w:val="auto"/>
                <w:kern w:val="28"/>
                <w:sz w:val="24"/>
                <w:lang w:val="en-US" w:eastAsia="zh-CN"/>
              </w:rPr>
              <w:t xml:space="preserve"> </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lang w:val="zh-TW" w:eastAsia="zh-CN"/>
              </w:rPr>
              <w:t xml:space="preserve">银行账号：77508100150602 </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工程量清单编制</w:t>
            </w:r>
            <w:r>
              <w:rPr>
                <w:rFonts w:ascii="宋体" w:hAnsi="宋体" w:cs="宋体"/>
                <w:b/>
                <w:color w:val="auto"/>
                <w:sz w:val="24"/>
              </w:rPr>
              <w:t>费</w:t>
            </w:r>
          </w:p>
        </w:tc>
        <w:tc>
          <w:tcPr>
            <w:tcW w:w="7111" w:type="dxa"/>
            <w:vAlign w:val="center"/>
          </w:tcPr>
          <w:p>
            <w:pPr>
              <w:spacing w:line="360" w:lineRule="auto"/>
              <w:rPr>
                <w:rFonts w:hint="eastAsia" w:ascii="宋体" w:hAnsi="宋体" w:cs="宋体"/>
                <w:color w:val="auto"/>
                <w:kern w:val="0"/>
                <w:sz w:val="24"/>
              </w:rPr>
            </w:pPr>
            <w:r>
              <w:rPr>
                <w:rFonts w:ascii="宋体" w:hAnsi="宋体" w:cs="宋体"/>
                <w:snapToGrid w:val="0"/>
                <w:color w:val="auto"/>
                <w:kern w:val="28"/>
                <w:sz w:val="24"/>
              </w:rPr>
              <w:t>本项目的</w:t>
            </w:r>
            <w:r>
              <w:rPr>
                <w:rFonts w:hint="eastAsia" w:ascii="宋体" w:hAnsi="宋体" w:cs="宋体"/>
                <w:snapToGrid w:val="0"/>
                <w:color w:val="auto"/>
                <w:kern w:val="28"/>
                <w:sz w:val="24"/>
              </w:rPr>
              <w:t>工程量清单编制</w:t>
            </w:r>
            <w:r>
              <w:rPr>
                <w:rFonts w:ascii="宋体" w:hAnsi="宋体" w:cs="宋体"/>
                <w:snapToGrid w:val="0"/>
                <w:color w:val="auto"/>
                <w:kern w:val="28"/>
                <w:sz w:val="24"/>
              </w:rPr>
              <w:t>费由</w:t>
            </w:r>
            <w:r>
              <w:rPr>
                <w:rFonts w:hint="eastAsia" w:ascii="宋体" w:hAnsi="宋体" w:cs="宋体"/>
                <w:snapToGrid w:val="0"/>
                <w:color w:val="auto"/>
                <w:kern w:val="28"/>
                <w:sz w:val="24"/>
              </w:rPr>
              <w:t>成交人</w:t>
            </w:r>
            <w:r>
              <w:rPr>
                <w:rFonts w:ascii="宋体" w:hAnsi="宋体" w:cs="宋体"/>
                <w:snapToGrid w:val="0"/>
                <w:color w:val="auto"/>
                <w:kern w:val="28"/>
                <w:sz w:val="24"/>
              </w:rPr>
              <w:t>支付</w:t>
            </w:r>
            <w:r>
              <w:rPr>
                <w:rFonts w:hint="eastAsia" w:ascii="宋体" w:hAnsi="宋体" w:cs="宋体"/>
                <w:snapToGrid w:val="0"/>
                <w:color w:val="auto"/>
                <w:kern w:val="28"/>
                <w:sz w:val="24"/>
              </w:rPr>
              <w:t>，</w:t>
            </w:r>
            <w:r>
              <w:rPr>
                <w:rFonts w:hint="eastAsia" w:ascii="宋体" w:hAnsi="宋体" w:cs="宋体"/>
                <w:color w:val="auto"/>
                <w:kern w:val="0"/>
                <w:sz w:val="24"/>
              </w:rPr>
              <w:t>《浙江省建设工程造价咨询服务项目及收费指引》(浙建价协(2021)13号文件)规定的相应项目收费标准的80%执行，保底收费3000元。</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结算方式及时间为：中标（成交）通知书发出7个工作日之内一次性支付给招标代理公司。</w:t>
            </w:r>
          </w:p>
          <w:p>
            <w:pPr>
              <w:spacing w:line="360" w:lineRule="auto"/>
              <w:rPr>
                <w:rFonts w:hint="eastAsia" w:ascii="宋体" w:hAnsi="宋体" w:cs="宋体"/>
                <w:snapToGrid w:val="0"/>
                <w:color w:val="auto"/>
                <w:kern w:val="28"/>
                <w:sz w:val="24"/>
                <w:lang w:val="zh-TW" w:eastAsia="zh-CN"/>
              </w:rPr>
            </w:pPr>
            <w:r>
              <w:rPr>
                <w:rFonts w:hint="eastAsia" w:ascii="宋体" w:hAnsi="宋体" w:cs="宋体"/>
                <w:snapToGrid w:val="0"/>
                <w:color w:val="auto"/>
                <w:kern w:val="28"/>
                <w:sz w:val="24"/>
                <w:lang w:val="zh-TW" w:eastAsia="zh-CN"/>
              </w:rPr>
              <w:t>账户名称：浙江省房地产管理咨询有限公司</w:t>
            </w:r>
          </w:p>
          <w:p>
            <w:pPr>
              <w:spacing w:line="360" w:lineRule="auto"/>
              <w:rPr>
                <w:rFonts w:hint="eastAsia" w:ascii="宋体" w:hAnsi="宋体" w:cs="宋体"/>
                <w:snapToGrid w:val="0"/>
                <w:color w:val="auto"/>
                <w:kern w:val="28"/>
                <w:sz w:val="24"/>
                <w:lang w:val="zh-TW" w:eastAsia="zh-CN"/>
              </w:rPr>
            </w:pPr>
            <w:r>
              <w:rPr>
                <w:rFonts w:hint="eastAsia" w:ascii="宋体" w:hAnsi="宋体" w:cs="宋体"/>
                <w:snapToGrid w:val="0"/>
                <w:color w:val="auto"/>
                <w:kern w:val="28"/>
                <w:sz w:val="24"/>
                <w:lang w:val="zh-TW" w:eastAsia="zh-CN"/>
              </w:rPr>
              <w:t>开户银行：杭州银行保俶支行</w:t>
            </w:r>
            <w:r>
              <w:rPr>
                <w:rFonts w:hint="eastAsia" w:ascii="宋体" w:hAnsi="宋体" w:cs="宋体"/>
                <w:snapToGrid w:val="0"/>
                <w:color w:val="auto"/>
                <w:kern w:val="28"/>
                <w:sz w:val="24"/>
                <w:lang w:val="en-US" w:eastAsia="zh-CN"/>
              </w:rPr>
              <w:t xml:space="preserve"> </w:t>
            </w:r>
          </w:p>
          <w:p>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lang w:val="zh-TW" w:eastAsia="zh-CN"/>
              </w:rPr>
              <w:t xml:space="preserve">银行账号：77508100150602 </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bookmarkStart w:id="13" w:name="_Toc164416483"/>
            <w:bookmarkStart w:id="14" w:name="第三部分"/>
            <w:r>
              <w:rPr>
                <w:rFonts w:hint="eastAsia" w:ascii="宋体" w:hAnsi="宋体" w:cs="宋体"/>
                <w:color w:val="auto"/>
                <w:sz w:val="24"/>
              </w:rPr>
              <w:t>14</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中标候选人及中标人</w:t>
            </w:r>
          </w:p>
        </w:tc>
        <w:tc>
          <w:tcPr>
            <w:tcW w:w="7111" w:type="dxa"/>
            <w:vAlign w:val="center"/>
          </w:tcPr>
          <w:p>
            <w:pPr>
              <w:spacing w:line="360" w:lineRule="auto"/>
              <w:rPr>
                <w:rFonts w:hint="eastAsia" w:ascii="宋体" w:hAnsi="宋体" w:cs="宋体"/>
                <w:snapToGrid w:val="0"/>
                <w:color w:val="auto"/>
                <w:kern w:val="28"/>
                <w:sz w:val="24"/>
              </w:rPr>
            </w:pPr>
            <w:r>
              <w:rPr>
                <w:rFonts w:hint="eastAsia" w:ascii="宋体" w:hAnsi="宋体" w:cs="宋体"/>
                <w:bCs/>
                <w:color w:val="auto"/>
                <w:sz w:val="24"/>
              </w:rPr>
              <w:t>本项目中标候选人：3名，中标人：1名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宋体" w:hAnsi="宋体" w:cs="宋体"/>
                <w:color w:val="auto"/>
                <w:sz w:val="24"/>
              </w:rPr>
            </w:pPr>
            <w:r>
              <w:rPr>
                <w:rFonts w:hint="eastAsia" w:ascii="宋体" w:hAnsi="宋体" w:cs="宋体"/>
                <w:color w:val="auto"/>
                <w:sz w:val="24"/>
              </w:rPr>
              <w:t>15</w:t>
            </w:r>
          </w:p>
        </w:tc>
        <w:tc>
          <w:tcPr>
            <w:tcW w:w="2093" w:type="dxa"/>
            <w:vAlign w:val="center"/>
          </w:tcPr>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特别提醒</w:t>
            </w:r>
          </w:p>
        </w:tc>
        <w:tc>
          <w:tcPr>
            <w:tcW w:w="7111" w:type="dxa"/>
            <w:vAlign w:val="center"/>
          </w:tcPr>
          <w:p>
            <w:pPr>
              <w:snapToGrid w:val="0"/>
              <w:spacing w:line="288" w:lineRule="auto"/>
              <w:rPr>
                <w:rFonts w:hint="eastAsia" w:ascii="宋体" w:hAnsi="宋体" w:cs="宋体"/>
                <w:bCs/>
                <w:color w:val="auto"/>
                <w:sz w:val="24"/>
              </w:rPr>
            </w:pPr>
            <w:r>
              <w:rPr>
                <w:rFonts w:hint="eastAsia" w:ascii="宋体" w:hAnsi="宋体" w:cs="宋体"/>
                <w:bCs/>
                <w:color w:val="auto"/>
                <w:sz w:val="24"/>
              </w:rPr>
              <w:t>1、参与同一标段（包）的投标人（供应商）存在MAC地址相同、计算机硬盘序列号相同、响应文件细节错误一致且无合理解释、供应商手机号相同等情形的，其响应文件无效。</w:t>
            </w:r>
          </w:p>
          <w:p>
            <w:pPr>
              <w:pStyle w:val="3"/>
              <w:tabs>
                <w:tab w:val="clear" w:pos="432"/>
              </w:tabs>
              <w:spacing w:line="288" w:lineRule="auto"/>
              <w:ind w:left="0" w:firstLine="0"/>
              <w:jc w:val="both"/>
              <w:rPr>
                <w:rFonts w:hint="eastAsia" w:ascii="宋体" w:hAnsi="宋体" w:eastAsia="宋体" w:cs="宋体"/>
                <w:b w:val="0"/>
                <w:color w:val="auto"/>
                <w:sz w:val="24"/>
                <w:szCs w:val="24"/>
                <w:lang w:val="en-US"/>
              </w:rPr>
            </w:pPr>
            <w:r>
              <w:rPr>
                <w:rFonts w:hint="eastAsia" w:ascii="宋体" w:hAnsi="宋体" w:eastAsia="宋体" w:cs="宋体"/>
                <w:b w:val="0"/>
                <w:color w:val="auto"/>
                <w:sz w:val="24"/>
                <w:szCs w:val="24"/>
                <w:lang w:val="en-US"/>
              </w:rPr>
              <w:t>2、供应商不得进行影响产品质量或者诚信履约的恶意报价。供应商在项目评审前准备好报价核算、报价明细、报价说明等材料，以备评审专家核查</w:t>
            </w:r>
          </w:p>
          <w:p>
            <w:pPr>
              <w:spacing w:line="360" w:lineRule="auto"/>
              <w:rPr>
                <w:rFonts w:hint="eastAsia" w:ascii="宋体" w:hAnsi="宋体" w:cs="宋体"/>
                <w:snapToGrid w:val="0"/>
                <w:color w:val="auto"/>
                <w:kern w:val="28"/>
                <w:sz w:val="24"/>
              </w:rPr>
            </w:pPr>
            <w:r>
              <w:rPr>
                <w:rFonts w:hint="eastAsia" w:ascii="宋体" w:hAnsi="宋体" w:cs="宋体"/>
                <w:bCs/>
                <w:color w:val="auto"/>
                <w:sz w:val="24"/>
              </w:rPr>
              <w:t>▲供应商报价低于项目预算</w:t>
            </w:r>
            <w:r>
              <w:rPr>
                <w:rFonts w:ascii="宋体" w:hAnsi="宋体" w:cs="宋体"/>
                <w:bCs/>
                <w:color w:val="auto"/>
                <w:sz w:val="24"/>
              </w:rPr>
              <w:t>50%</w:t>
            </w:r>
            <w:r>
              <w:rPr>
                <w:rFonts w:hint="eastAsia" w:ascii="宋体" w:hAnsi="宋体" w:cs="宋体"/>
                <w:bCs/>
                <w:color w:val="auto"/>
                <w:sz w:val="24"/>
              </w:rPr>
              <w:t>的，应当在报价文件中详细阐述不影响产品质量或者诚信履约的具体原因。</w:t>
            </w:r>
          </w:p>
        </w:tc>
      </w:tr>
    </w:tbl>
    <w:p>
      <w:pPr>
        <w:jc w:val="left"/>
        <w:rPr>
          <w:rFonts w:hint="eastAsia" w:ascii="宋体" w:hAnsi="宋体" w:cs="宋体"/>
          <w:b/>
          <w:color w:val="auto"/>
          <w:sz w:val="32"/>
          <w:szCs w:val="20"/>
        </w:rPr>
      </w:pPr>
      <w:r>
        <w:rPr>
          <w:rFonts w:hint="eastAsia" w:ascii="宋体" w:hAnsi="宋体" w:cs="宋体"/>
          <w:b/>
          <w:color w:val="auto"/>
          <w:sz w:val="32"/>
          <w:szCs w:val="20"/>
        </w:rPr>
        <w:br w:type="page"/>
      </w: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rPr>
          <w:rFonts w:hint="eastAsia"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rPr>
          <w:rFonts w:hint="eastAsia" w:ascii="宋体" w:hAnsi="宋体" w:cs="宋体"/>
          <w:b/>
          <w:color w:val="auto"/>
          <w:sz w:val="24"/>
        </w:rPr>
      </w:pPr>
      <w:r>
        <w:rPr>
          <w:rFonts w:hint="eastAsia" w:ascii="宋体" w:hAnsi="宋体" w:cs="宋体"/>
          <w:b/>
          <w:color w:val="auto"/>
          <w:sz w:val="24"/>
        </w:rPr>
        <w:t>2.定义</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2.1 “采购人”系指竞争性磋商公告中载明的本项目的采购人。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2.2 “采购代理机构”系指竞争性磋商公告中载明的本项目的采购代理机构。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2.3 “供应商”系指是指提交响应文件和报价、参与竞争性磋商采购活动的法人、其他组织或者自然人。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2.6“电子交易平台”系指本项目采购活动所依托的乐采云平台（https://hzjyg.lecaiyun.com）。</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系指不适用本项目的要求，“※”系指磋商过程中可能实质性变动的内容。</w:t>
      </w:r>
    </w:p>
    <w:p>
      <w:pPr>
        <w:snapToGrid w:val="0"/>
        <w:spacing w:line="360" w:lineRule="auto"/>
        <w:rPr>
          <w:rFonts w:hint="eastAsia"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3.2支持中小企业发展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bCs/>
          <w:color w:val="auto"/>
          <w:sz w:val="24"/>
        </w:rPr>
        <w:t>3.2.2</w:t>
      </w:r>
      <w:r>
        <w:rPr>
          <w:rFonts w:hint="eastAsia" w:ascii="宋体" w:hAnsi="宋体" w:cs="宋体"/>
          <w:color w:val="auto"/>
          <w:kern w:val="0"/>
          <w:sz w:val="24"/>
        </w:rPr>
        <w:t>在政府采购活动中，供应商提供的工程符合下列情形的，享受中小企业扶持政策：</w:t>
      </w:r>
      <w:r>
        <w:rPr>
          <w:rFonts w:ascii="宋体" w:hAnsi="宋体" w:cs="宋体"/>
          <w:color w:val="auto"/>
          <w:sz w:val="24"/>
        </w:rPr>
        <w:t>在工程采购项目中，工程由中小企业承建，即工程施工单位为中小企业</w:t>
      </w:r>
      <w:r>
        <w:rPr>
          <w:rFonts w:hint="eastAsia" w:ascii="宋体" w:hAnsi="宋体" w:cs="宋体"/>
          <w:color w:val="auto"/>
          <w:kern w:val="0"/>
          <w:sz w:val="24"/>
        </w:rPr>
        <w:t>。</w:t>
      </w:r>
    </w:p>
    <w:p>
      <w:pPr>
        <w:widowControl/>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3.2.3符合《关于促进残疾人就业政府采购政策的通知》（财库〔2017〕141号）规定的条件并提供《残疾人福利性单位声明函》（附件1）的残疾人福利性单位视同小型、微型企业；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3.2.4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3.2.5中小企业享受扶持政策获得政府采购合同的，小微企业不得将合同分包给大中型企业，中型企业不得将合同分包给大型企业。</w:t>
      </w:r>
    </w:p>
    <w:p>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4. 询问、质疑</w:t>
      </w:r>
    </w:p>
    <w:p>
      <w:pPr>
        <w:autoSpaceDE w:val="0"/>
        <w:autoSpaceDN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w:t>
      </w:r>
      <w:r>
        <w:rPr>
          <w:rFonts w:hint="eastAsia" w:ascii="宋体" w:hAnsi="宋体" w:cs="宋体"/>
          <w:color w:val="auto"/>
          <w:kern w:val="0"/>
          <w:sz w:val="24"/>
        </w:rPr>
        <w:t>1</w:t>
      </w:r>
      <w:r>
        <w:rPr>
          <w:rFonts w:hint="eastAsia" w:ascii="宋体" w:hAnsi="宋体" w:cs="宋体"/>
          <w:color w:val="auto"/>
          <w:kern w:val="0"/>
          <w:sz w:val="24"/>
          <w:lang w:val="zh-CN"/>
        </w:rPr>
        <w:t>供应商询问</w:t>
      </w:r>
    </w:p>
    <w:p>
      <w:pPr>
        <w:autoSpaceDE w:val="0"/>
        <w:autoSpaceDN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w:t>
      </w:r>
      <w:r>
        <w:rPr>
          <w:rFonts w:hint="eastAsia" w:ascii="宋体" w:hAnsi="宋体" w:cs="宋体"/>
          <w:color w:val="auto"/>
          <w:kern w:val="0"/>
          <w:sz w:val="24"/>
        </w:rPr>
        <w:t>2</w:t>
      </w:r>
      <w:r>
        <w:rPr>
          <w:rFonts w:hint="eastAsia" w:ascii="宋体" w:hAnsi="宋体" w:cs="宋体"/>
          <w:color w:val="auto"/>
          <w:kern w:val="0"/>
          <w:sz w:val="24"/>
          <w:lang w:val="zh-CN"/>
        </w:rPr>
        <w:t>供应商质疑</w:t>
      </w:r>
    </w:p>
    <w:p>
      <w:pPr>
        <w:pStyle w:val="33"/>
        <w:snapToGrid w:val="0"/>
        <w:spacing w:line="360" w:lineRule="auto"/>
        <w:ind w:firstLine="480" w:firstLineChars="200"/>
        <w:rPr>
          <w:rFonts w:hint="eastAsia" w:hAnsi="宋体" w:cs="宋体"/>
          <w:color w:val="auto"/>
          <w:sz w:val="24"/>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sz w:val="24"/>
        </w:rPr>
        <w:t>.1提出质疑的供应商应当是参与所质疑项目采购活动的供应商。潜在供应商已依法获取其可质疑的采购文件的，可以对该文件提出质疑。</w:t>
      </w:r>
    </w:p>
    <w:p>
      <w:pPr>
        <w:pStyle w:val="33"/>
        <w:snapToGrid w:val="0"/>
        <w:spacing w:line="360" w:lineRule="auto"/>
        <w:ind w:firstLine="480" w:firstLineChars="200"/>
        <w:rPr>
          <w:rFonts w:hint="eastAsia" w:hAnsi="宋体" w:cs="宋体"/>
          <w:color w:val="auto"/>
          <w:sz w:val="24"/>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4.2.2.1对采购文件提出质疑的，质疑期限为供应商获得采购文件之日或者采购文件公告期限届满之日起计算。</w:t>
      </w:r>
    </w:p>
    <w:p>
      <w:pPr>
        <w:pStyle w:val="33"/>
        <w:snapToGrid w:val="0"/>
        <w:spacing w:line="360" w:lineRule="auto"/>
        <w:ind w:firstLine="480" w:firstLineChars="200"/>
        <w:rPr>
          <w:rFonts w:hint="eastAsia" w:hAnsi="宋体" w:cs="宋体"/>
          <w:color w:val="auto"/>
          <w:sz w:val="24"/>
        </w:rPr>
      </w:pPr>
      <w:r>
        <w:rPr>
          <w:rFonts w:hint="eastAsia" w:hAnsi="宋体" w:cs="宋体"/>
          <w:color w:val="auto"/>
          <w:sz w:val="24"/>
        </w:rPr>
        <w:t>4.2.2.2对采购过程提出质疑的，质疑期限为各采购程序环节结束之日起计算。</w:t>
      </w:r>
    </w:p>
    <w:p>
      <w:pPr>
        <w:pStyle w:val="33"/>
        <w:snapToGrid w:val="0"/>
        <w:spacing w:line="360" w:lineRule="auto"/>
        <w:ind w:firstLine="480" w:firstLineChars="200"/>
        <w:rPr>
          <w:rFonts w:hint="eastAsia" w:hAnsi="宋体" w:cs="宋体"/>
          <w:color w:val="auto"/>
          <w:sz w:val="24"/>
        </w:rPr>
      </w:pPr>
      <w:r>
        <w:rPr>
          <w:rFonts w:hint="eastAsia" w:hAnsi="宋体" w:cs="宋体"/>
          <w:color w:val="auto"/>
          <w:sz w:val="24"/>
        </w:rPr>
        <w:t>4.2.2.3对采购结果提出质疑的，质疑期限自采购结果公告期限届满之日起计算。</w:t>
      </w:r>
    </w:p>
    <w:p>
      <w:pPr>
        <w:pStyle w:val="33"/>
        <w:snapToGrid w:val="0"/>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kern w:val="0"/>
          <w:sz w:val="24"/>
          <w:lang w:val="zh-CN"/>
        </w:rPr>
        <w:t>.3</w:t>
      </w:r>
      <w:r>
        <w:rPr>
          <w:rFonts w:hint="eastAsia" w:hAnsi="宋体" w:cs="宋体"/>
          <w:color w:val="auto"/>
          <w:sz w:val="24"/>
        </w:rPr>
        <w:t>供应商提出质疑应当提交质疑函和必要的证明材料。质疑函应当包括下列内容：</w:t>
      </w:r>
    </w:p>
    <w:p>
      <w:pPr>
        <w:pStyle w:val="33"/>
        <w:snapToGrid w:val="0"/>
        <w:spacing w:line="360" w:lineRule="auto"/>
        <w:ind w:firstLine="720" w:firstLineChars="300"/>
        <w:rPr>
          <w:rFonts w:hint="eastAsia" w:hAnsi="宋体" w:cs="宋体"/>
          <w:color w:val="auto"/>
          <w:kern w:val="0"/>
          <w:sz w:val="24"/>
          <w:lang w:val="zh-CN"/>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kern w:val="0"/>
          <w:sz w:val="24"/>
          <w:lang w:val="zh-CN"/>
        </w:rPr>
        <w:t>.3.1供应商的姓名或者名称、地址、邮编、联系人及联系电话；</w:t>
      </w:r>
    </w:p>
    <w:p>
      <w:pPr>
        <w:pStyle w:val="33"/>
        <w:snapToGrid w:val="0"/>
        <w:spacing w:line="360" w:lineRule="auto"/>
        <w:ind w:firstLine="720" w:firstLineChars="300"/>
        <w:rPr>
          <w:rFonts w:hint="eastAsia" w:hAnsi="宋体" w:cs="宋体"/>
          <w:color w:val="auto"/>
          <w:kern w:val="0"/>
          <w:sz w:val="24"/>
          <w:lang w:val="zh-CN"/>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kern w:val="0"/>
          <w:sz w:val="24"/>
          <w:lang w:val="zh-CN"/>
        </w:rPr>
        <w:t>.3.2质疑项目的名称、编号；</w:t>
      </w:r>
    </w:p>
    <w:p>
      <w:pPr>
        <w:pStyle w:val="33"/>
        <w:snapToGrid w:val="0"/>
        <w:spacing w:line="360" w:lineRule="auto"/>
        <w:ind w:firstLine="720" w:firstLineChars="300"/>
        <w:rPr>
          <w:rFonts w:hint="eastAsia" w:hAnsi="宋体" w:cs="宋体"/>
          <w:color w:val="auto"/>
          <w:kern w:val="0"/>
          <w:sz w:val="24"/>
          <w:lang w:val="zh-CN"/>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kern w:val="0"/>
          <w:sz w:val="24"/>
          <w:lang w:val="zh-CN"/>
        </w:rPr>
        <w:t>.3.3具体、明确的质疑事项和与质疑事项相关的请求；</w:t>
      </w:r>
    </w:p>
    <w:p>
      <w:pPr>
        <w:pStyle w:val="33"/>
        <w:snapToGrid w:val="0"/>
        <w:spacing w:line="360" w:lineRule="auto"/>
        <w:ind w:firstLine="720" w:firstLineChars="300"/>
        <w:rPr>
          <w:rFonts w:hint="eastAsia" w:hAnsi="宋体" w:cs="宋体"/>
          <w:color w:val="auto"/>
          <w:kern w:val="0"/>
          <w:sz w:val="24"/>
          <w:lang w:val="zh-CN"/>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kern w:val="0"/>
          <w:sz w:val="24"/>
          <w:lang w:val="zh-CN"/>
        </w:rPr>
        <w:t>.3.4事实依据；</w:t>
      </w:r>
    </w:p>
    <w:p>
      <w:pPr>
        <w:pStyle w:val="33"/>
        <w:snapToGrid w:val="0"/>
        <w:spacing w:line="360" w:lineRule="auto"/>
        <w:ind w:firstLine="720" w:firstLineChars="300"/>
        <w:rPr>
          <w:rFonts w:hint="eastAsia" w:hAnsi="宋体" w:cs="宋体"/>
          <w:color w:val="auto"/>
          <w:kern w:val="0"/>
          <w:sz w:val="24"/>
          <w:lang w:val="zh-CN"/>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kern w:val="0"/>
          <w:sz w:val="24"/>
          <w:lang w:val="zh-CN"/>
        </w:rPr>
        <w:t>.3.5必要的法律依据；</w:t>
      </w:r>
    </w:p>
    <w:p>
      <w:pPr>
        <w:pStyle w:val="33"/>
        <w:snapToGrid w:val="0"/>
        <w:spacing w:line="360" w:lineRule="auto"/>
        <w:ind w:firstLine="720" w:firstLineChars="300"/>
        <w:rPr>
          <w:rFonts w:hint="eastAsia" w:hAnsi="宋体" w:cs="宋体"/>
          <w:color w:val="auto"/>
          <w:kern w:val="0"/>
          <w:sz w:val="24"/>
          <w:lang w:val="zh-CN"/>
        </w:rPr>
      </w:pPr>
      <w:r>
        <w:rPr>
          <w:rFonts w:hint="eastAsia" w:hAnsi="宋体" w:cs="宋体"/>
          <w:color w:val="auto"/>
          <w:kern w:val="0"/>
          <w:sz w:val="24"/>
          <w:lang w:val="zh-CN"/>
        </w:rPr>
        <w:t>4.</w:t>
      </w:r>
      <w:r>
        <w:rPr>
          <w:rFonts w:hint="eastAsia" w:hAnsi="宋体" w:cs="宋体"/>
          <w:color w:val="auto"/>
          <w:kern w:val="0"/>
          <w:sz w:val="24"/>
        </w:rPr>
        <w:t>2</w:t>
      </w:r>
      <w:r>
        <w:rPr>
          <w:rFonts w:hint="eastAsia" w:hAnsi="宋体" w:cs="宋体"/>
          <w:color w:val="auto"/>
          <w:kern w:val="0"/>
          <w:sz w:val="24"/>
          <w:lang w:val="zh-CN"/>
        </w:rPr>
        <w:t>.3.6提出质疑的日期。</w:t>
      </w:r>
    </w:p>
    <w:p>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rPr>
      </w:pPr>
      <w:r>
        <w:rPr>
          <w:rFonts w:hint="eastAsia"/>
          <w:color w:val="auto"/>
        </w:rPr>
        <w:t>质疑函范本及制作说明详见附件2。</w:t>
      </w:r>
    </w:p>
    <w:p>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rPr>
      </w:pPr>
      <w:r>
        <w:rPr>
          <w:rFonts w:hint="eastAsia"/>
          <w:color w:val="auto"/>
        </w:rPr>
        <w:t>4.2.4对同一采购程序环节的质疑，供应商须在法定质疑期内一次性提出。</w:t>
      </w:r>
    </w:p>
    <w:p>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rPr>
      </w:pPr>
      <w:r>
        <w:rPr>
          <w:rFonts w:hint="eastAsia"/>
          <w:color w:val="auto"/>
          <w:lang w:val="zh-CN"/>
        </w:rPr>
        <w:t>4.</w:t>
      </w:r>
      <w:r>
        <w:rPr>
          <w:rFonts w:hint="eastAsia"/>
          <w:color w:val="auto"/>
        </w:rPr>
        <w:t>2.5采购人或者采购代理机构应当在收到供应商的书面质疑后七个工作日内作出答复，并以书面形式通知质疑供应商和其他与质疑处理结果有利害关系的采购当事人，但答复的内容不得涉及商业秘密。</w:t>
      </w:r>
    </w:p>
    <w:p>
      <w:pPr>
        <w:pStyle w:val="892"/>
        <w:shd w:val="clear" w:color="auto" w:fill="FFFFFF"/>
        <w:adjustRightInd w:val="0"/>
        <w:snapToGrid w:val="0"/>
        <w:spacing w:before="0" w:beforeAutospacing="0" w:after="0" w:afterAutospacing="0" w:line="360" w:lineRule="auto"/>
        <w:ind w:firstLine="480" w:firstLineChars="200"/>
        <w:contextualSpacing/>
        <w:rPr>
          <w:rFonts w:hint="eastAsia"/>
          <w:color w:val="auto"/>
        </w:rPr>
      </w:pPr>
      <w:r>
        <w:rPr>
          <w:rFonts w:hint="eastAsia"/>
          <w:color w:val="auto"/>
          <w:lang w:val="zh-CN"/>
        </w:rPr>
        <w:t>4.</w:t>
      </w:r>
      <w:r>
        <w:rPr>
          <w:rFonts w:hint="eastAsia"/>
          <w:color w:val="auto"/>
        </w:rPr>
        <w:t>2.6询问或者质疑事项可能影响采购结果的，采购人应当暂停签订合同，已经签订合同的，应当中止履行合同。</w:t>
      </w:r>
    </w:p>
    <w:p>
      <w:pPr>
        <w:pStyle w:val="141"/>
        <w:snapToGrid w:val="0"/>
        <w:spacing w:before="0"/>
        <w:ind w:firstLine="360"/>
        <w:rPr>
          <w:rFonts w:hint="eastAsia" w:ascii="宋体" w:hAnsi="宋体" w:cs="宋体"/>
          <w:color w:val="auto"/>
          <w:sz w:val="18"/>
          <w:szCs w:val="18"/>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二、采购文件的构成、澄清、修改</w:t>
      </w:r>
    </w:p>
    <w:p>
      <w:pPr>
        <w:pStyle w:val="33"/>
        <w:spacing w:line="360" w:lineRule="auto"/>
        <w:rPr>
          <w:rFonts w:hint="eastAsia" w:hAnsi="宋体" w:cs="宋体"/>
          <w:b/>
          <w:color w:val="auto"/>
          <w:sz w:val="24"/>
          <w:szCs w:val="24"/>
        </w:rPr>
      </w:pPr>
      <w:r>
        <w:rPr>
          <w:rFonts w:hint="eastAsia" w:hAnsi="宋体" w:cs="宋体"/>
          <w:b/>
          <w:color w:val="auto"/>
          <w:sz w:val="24"/>
          <w:szCs w:val="24"/>
        </w:rPr>
        <w:t>5．采购文件的构成</w:t>
      </w:r>
    </w:p>
    <w:p>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5.1 采购文件包括下列文件及附件：</w:t>
      </w:r>
    </w:p>
    <w:p>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5.1.1竞争性磋商公告；</w:t>
      </w:r>
    </w:p>
    <w:p>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5.1.2供应商须知；</w:t>
      </w:r>
    </w:p>
    <w:p>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5.1.3采购需求；</w:t>
      </w:r>
    </w:p>
    <w:p>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5.1.4评审办法；</w:t>
      </w:r>
    </w:p>
    <w:p>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5.1.5拟签订的合同文本；</w:t>
      </w:r>
    </w:p>
    <w:p>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pPr>
        <w:pStyle w:val="33"/>
        <w:spacing w:line="360" w:lineRule="auto"/>
        <w:rPr>
          <w:rFonts w:hint="eastAsia" w:hAnsi="宋体" w:cs="宋体"/>
          <w:b/>
          <w:color w:val="auto"/>
          <w:sz w:val="24"/>
          <w:szCs w:val="24"/>
        </w:rPr>
      </w:pPr>
      <w:r>
        <w:rPr>
          <w:rFonts w:hint="eastAsia" w:hAnsi="宋体" w:cs="宋体"/>
          <w:b/>
          <w:color w:val="auto"/>
          <w:sz w:val="24"/>
          <w:szCs w:val="24"/>
        </w:rPr>
        <w:t>6. 采购文件的澄清、修改</w:t>
      </w:r>
    </w:p>
    <w:p>
      <w:pPr>
        <w:pStyle w:val="141"/>
        <w:snapToGrid w:val="0"/>
        <w:spacing w:before="0"/>
        <w:ind w:firstLine="480"/>
        <w:rPr>
          <w:rFonts w:hint="eastAsia" w:ascii="宋体" w:hAnsi="宋体" w:cs="宋体"/>
          <w:color w:val="auto"/>
        </w:rPr>
      </w:pPr>
      <w:r>
        <w:rPr>
          <w:rFonts w:hint="eastAsia" w:ascii="宋体" w:hAnsi="宋体" w:cs="宋体"/>
          <w:color w:val="auto"/>
        </w:rPr>
        <w:t>6.1已获取采购文件的潜在供应商，若有问题需要澄清，应于响应文件提交（上传）截止时间前，以书面形式向采购代理机构提出。</w:t>
      </w:r>
    </w:p>
    <w:p>
      <w:pPr>
        <w:pStyle w:val="141"/>
        <w:snapToGrid w:val="0"/>
        <w:spacing w:before="0"/>
        <w:ind w:firstLine="480"/>
        <w:rPr>
          <w:rFonts w:hint="eastAsia" w:ascii="宋体" w:hAnsi="宋体" w:cs="宋体"/>
          <w:color w:val="auto"/>
        </w:rPr>
      </w:pPr>
      <w:r>
        <w:rPr>
          <w:rFonts w:hint="eastAsia" w:ascii="宋体" w:hAnsi="宋体" w:cs="宋体"/>
          <w:color w:val="auto"/>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rPr>
          <w:rFonts w:hint="eastAsia" w:hAnsi="宋体" w:cs="宋体"/>
          <w:color w:val="auto"/>
          <w:sz w:val="18"/>
          <w:szCs w:val="18"/>
          <w:lang w:val="en-US"/>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三、提交响应文件</w:t>
      </w:r>
    </w:p>
    <w:p>
      <w:pPr>
        <w:pStyle w:val="33"/>
        <w:spacing w:line="360" w:lineRule="auto"/>
        <w:rPr>
          <w:rFonts w:hint="eastAsia" w:hAnsi="宋体" w:cs="宋体"/>
          <w:b/>
          <w:color w:val="auto"/>
          <w:sz w:val="24"/>
          <w:szCs w:val="24"/>
        </w:rPr>
      </w:pPr>
      <w:r>
        <w:rPr>
          <w:rFonts w:hint="eastAsia" w:hAnsi="宋体" w:cs="宋体"/>
          <w:b/>
          <w:color w:val="auto"/>
          <w:sz w:val="24"/>
          <w:szCs w:val="24"/>
        </w:rPr>
        <w:t>7. 采购文件的获取</w:t>
      </w:r>
    </w:p>
    <w:p>
      <w:pPr>
        <w:spacing w:line="360" w:lineRule="auto"/>
        <w:ind w:firstLine="480" w:firstLineChars="200"/>
        <w:rPr>
          <w:rFonts w:hint="eastAsia" w:ascii="宋体" w:hAnsi="宋体" w:cs="宋体"/>
          <w:snapToGrid w:val="0"/>
          <w:color w:val="auto"/>
          <w:kern w:val="28"/>
          <w:sz w:val="24"/>
        </w:rPr>
      </w:pPr>
      <w:r>
        <w:rPr>
          <w:rFonts w:hint="eastAsia" w:ascii="宋体" w:hAnsi="宋体" w:cs="宋体"/>
          <w:snapToGrid w:val="0"/>
          <w:color w:val="auto"/>
          <w:kern w:val="28"/>
          <w:sz w:val="24"/>
        </w:rPr>
        <w:t>详见竞争性磋商公告中获取采购文件的时间期限、地点、方式及采购文件售价。</w:t>
      </w:r>
    </w:p>
    <w:p>
      <w:pPr>
        <w:pStyle w:val="33"/>
        <w:spacing w:line="360" w:lineRule="auto"/>
        <w:rPr>
          <w:rFonts w:hint="eastAsia" w:hAnsi="宋体" w:cs="宋体"/>
          <w:b/>
          <w:color w:val="auto"/>
          <w:sz w:val="24"/>
          <w:szCs w:val="24"/>
        </w:rPr>
      </w:pPr>
      <w:r>
        <w:rPr>
          <w:rFonts w:hint="eastAsia" w:hAnsi="宋体" w:cs="宋体"/>
          <w:b/>
          <w:color w:val="auto"/>
          <w:sz w:val="24"/>
          <w:szCs w:val="24"/>
        </w:rPr>
        <w:t>8.磋商前答疑会或现场考察</w:t>
      </w:r>
    </w:p>
    <w:p>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采购人组织潜在供应商现场考察或者召开磋商前答疑会的，潜在供应商按第二部分供应商须知前附表的规定参加现场考察或者磋商前答疑会。</w:t>
      </w:r>
    </w:p>
    <w:p>
      <w:pPr>
        <w:pStyle w:val="33"/>
        <w:spacing w:line="360" w:lineRule="auto"/>
        <w:rPr>
          <w:rFonts w:hint="eastAsia" w:hAnsi="宋体" w:cs="宋体"/>
          <w:b/>
          <w:color w:val="auto"/>
          <w:szCs w:val="24"/>
        </w:rPr>
      </w:pPr>
      <w:r>
        <w:rPr>
          <w:rFonts w:hint="eastAsia" w:hAnsi="宋体" w:cs="宋体"/>
          <w:b/>
          <w:color w:val="auto"/>
          <w:kern w:val="28"/>
          <w:sz w:val="24"/>
          <w:szCs w:val="24"/>
        </w:rPr>
        <w:t>9.磋商保证金</w:t>
      </w:r>
    </w:p>
    <w:p>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本项目不需缴纳磋商保证金。</w:t>
      </w:r>
    </w:p>
    <w:p>
      <w:pPr>
        <w:pStyle w:val="33"/>
        <w:spacing w:line="360" w:lineRule="auto"/>
        <w:rPr>
          <w:rFonts w:hint="eastAsia" w:hAnsi="宋体" w:cs="宋体"/>
          <w:b/>
          <w:color w:val="auto"/>
          <w:sz w:val="24"/>
          <w:szCs w:val="24"/>
        </w:rPr>
      </w:pPr>
      <w:r>
        <w:rPr>
          <w:rFonts w:hint="eastAsia" w:hAnsi="宋体" w:cs="宋体"/>
          <w:b/>
          <w:color w:val="auto"/>
          <w:sz w:val="24"/>
          <w:szCs w:val="24"/>
        </w:rPr>
        <w:t>10. 响应文件的语言</w:t>
      </w:r>
    </w:p>
    <w:p>
      <w:pPr>
        <w:autoSpaceDE w:val="0"/>
        <w:autoSpaceDN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pPr>
        <w:pStyle w:val="33"/>
        <w:spacing w:line="360" w:lineRule="auto"/>
        <w:rPr>
          <w:rFonts w:hint="eastAsia" w:hAnsi="宋体" w:cs="宋体"/>
          <w:b/>
          <w:color w:val="auto"/>
          <w:sz w:val="24"/>
          <w:szCs w:val="24"/>
        </w:rPr>
      </w:pPr>
      <w:r>
        <w:rPr>
          <w:rFonts w:hint="eastAsia" w:hAnsi="宋体" w:cs="宋体"/>
          <w:b/>
          <w:color w:val="auto"/>
          <w:sz w:val="24"/>
          <w:szCs w:val="24"/>
        </w:rPr>
        <w:t>11. 响应文件的组成</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11.1.1符合参加采购活动应当具备的一般条件的承诺函；</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5" w:name="_Hlk101259339"/>
      <w:r>
        <w:rPr>
          <w:rFonts w:hint="eastAsia" w:ascii="宋体" w:hAnsi="宋体" w:cs="宋体"/>
          <w:snapToGrid w:val="0"/>
          <w:color w:val="auto"/>
          <w:kern w:val="28"/>
          <w:sz w:val="24"/>
          <w:szCs w:val="20"/>
        </w:rPr>
        <w:t>联合协议</w:t>
      </w:r>
      <w:bookmarkStart w:id="16" w:name="_Hlk101257010"/>
      <w:r>
        <w:rPr>
          <w:rFonts w:hint="eastAsia" w:ascii="宋体" w:hAnsi="宋体" w:cs="宋体"/>
          <w:snapToGrid w:val="0"/>
          <w:color w:val="auto"/>
          <w:kern w:val="28"/>
          <w:sz w:val="24"/>
          <w:szCs w:val="20"/>
        </w:rPr>
        <w:t>（如果有)</w:t>
      </w:r>
      <w:bookmarkEnd w:id="15"/>
      <w:bookmarkEnd w:id="16"/>
      <w:r>
        <w:rPr>
          <w:rFonts w:hint="eastAsia" w:ascii="宋体" w:hAnsi="宋体" w:cs="宋体"/>
          <w:snapToGrid w:val="0"/>
          <w:color w:val="auto"/>
          <w:kern w:val="28"/>
          <w:sz w:val="24"/>
          <w:szCs w:val="20"/>
        </w:rPr>
        <w:t>；</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11.2.1响应函；</w:t>
      </w:r>
      <w:r>
        <w:rPr>
          <w:rFonts w:hint="eastAsia" w:ascii="宋体" w:hAnsi="宋体" w:cs="宋体"/>
          <w:color w:val="auto"/>
          <w:sz w:val="24"/>
          <w:lang w:val="zh-CN"/>
        </w:rPr>
        <w:t xml:space="preserve"> </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11.2.3分包意向协议（如果有)；</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11.2.4符合性审查资料；</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11.2.5评审标准相应的商务技术资料；</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11.2.6商务技术偏离表；</w:t>
      </w:r>
    </w:p>
    <w:p>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采购供应商廉洁自律承诺书；</w:t>
      </w:r>
    </w:p>
    <w:p>
      <w:pPr>
        <w:snapToGrid w:val="0"/>
        <w:spacing w:line="360" w:lineRule="auto"/>
        <w:ind w:firstLine="480" w:firstLineChars="200"/>
        <w:rPr>
          <w:rFonts w:hint="eastAsia"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11.3.1报价单；</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11.3.2已标价工程量清单；</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响应文件含有采购人不能接受的附加条件的，响应文件无效；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pPr>
        <w:spacing w:line="360" w:lineRule="auto"/>
        <w:ind w:firstLine="720" w:firstLineChars="300"/>
        <w:rPr>
          <w:color w:val="auto"/>
        </w:rPr>
      </w:pPr>
      <w:r>
        <w:rPr>
          <w:rFonts w:hint="eastAsia"/>
          <w:color w:val="auto"/>
          <w:sz w:val="24"/>
          <w:shd w:val="clear" w:color="auto" w:fill="FFFFFF"/>
        </w:rPr>
        <w:t>供应商应对响应文件中材料的真实性、合法性负责。</w:t>
      </w:r>
    </w:p>
    <w:p>
      <w:pPr>
        <w:snapToGrid w:val="0"/>
        <w:spacing w:line="360" w:lineRule="auto"/>
        <w:rPr>
          <w:rFonts w:hint="eastAsia" w:ascii="宋体" w:hAnsi="宋体" w:cs="宋体"/>
          <w:b/>
          <w:color w:val="auto"/>
          <w:sz w:val="24"/>
        </w:rPr>
      </w:pPr>
      <w:r>
        <w:rPr>
          <w:rFonts w:hint="eastAsia" w:ascii="宋体" w:hAnsi="宋体" w:cs="宋体"/>
          <w:b/>
          <w:color w:val="auto"/>
          <w:sz w:val="24"/>
        </w:rPr>
        <w:t>12. 响应文件的编制</w:t>
      </w:r>
    </w:p>
    <w:p>
      <w:pPr>
        <w:spacing w:line="360" w:lineRule="auto"/>
        <w:ind w:firstLine="480" w:firstLineChars="200"/>
        <w:rPr>
          <w:rFonts w:hint="eastAsia" w:ascii="宋体" w:hAnsi="宋体" w:cs="宋体"/>
          <w:b/>
          <w:color w:val="auto"/>
          <w:sz w:val="24"/>
        </w:rPr>
      </w:pPr>
      <w:r>
        <w:rPr>
          <w:rFonts w:hint="eastAsia" w:ascii="宋体" w:hAnsi="宋体" w:cs="宋体"/>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12.2供应商进行电子投标应安装客户端软件—“乐采云电子交易客户端”，并按照采购文件和电子交易平台的要求编制并加密响应文件。供应商未按规定加密的响应文件，电子交易平台将拒收并提示。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12.3使用“乐采云电子交易客户端”需要提前申领CA数字证书，申领流程请自行前往“浙江政府采购网-下载专区-电子交易客户端-CA驱动和申领流程”进行查阅。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cs="宋体"/>
          <w:b/>
          <w:color w:val="auto"/>
          <w:sz w:val="24"/>
        </w:rPr>
      </w:pPr>
      <w:r>
        <w:rPr>
          <w:rFonts w:hint="eastAsia" w:ascii="宋体" w:hAnsi="宋体" w:cs="宋体"/>
          <w:b/>
          <w:color w:val="auto"/>
          <w:sz w:val="24"/>
        </w:rPr>
        <w:t>13.响应文件的签署、盖章</w:t>
      </w:r>
    </w:p>
    <w:p>
      <w:pPr>
        <w:pStyle w:val="141"/>
        <w:snapToGrid w:val="0"/>
        <w:spacing w:before="0"/>
        <w:ind w:firstLine="480"/>
        <w:rPr>
          <w:rFonts w:hint="eastAsia" w:ascii="宋体" w:hAnsi="宋体" w:cs="宋体"/>
          <w:b/>
          <w:color w:val="auto"/>
        </w:rPr>
      </w:pPr>
      <w:r>
        <w:rPr>
          <w:rFonts w:hint="eastAsia" w:ascii="宋体" w:hAnsi="宋体" w:cs="宋体"/>
          <w:color w:val="auto"/>
          <w:szCs w:val="24"/>
        </w:rPr>
        <w:t>13.1响应文件按照采购文件第六部分格式要</w:t>
      </w:r>
      <w:r>
        <w:rPr>
          <w:rFonts w:hint="eastAsia" w:ascii="宋体" w:hAnsi="宋体" w:cs="宋体"/>
          <w:color w:val="auto"/>
        </w:rPr>
        <w:t>求进行签署、盖章。</w:t>
      </w:r>
      <w:r>
        <w:rPr>
          <w:rFonts w:hint="eastAsia" w:ascii="宋体" w:hAnsi="宋体" w:cs="宋体"/>
          <w:b/>
          <w:color w:val="auto"/>
        </w:rPr>
        <w:t>▲供应商的响应文件未按照采购文件要求签署、盖章的，其响应文件无效</w:t>
      </w:r>
      <w:r>
        <w:rPr>
          <w:rFonts w:hint="eastAsia" w:ascii="宋体" w:hAnsi="宋体" w:cs="宋体"/>
          <w:color w:val="auto"/>
          <w:szCs w:val="24"/>
        </w:rPr>
        <w:t>。</w:t>
      </w:r>
    </w:p>
    <w:p>
      <w:pPr>
        <w:pStyle w:val="141"/>
        <w:snapToGrid w:val="0"/>
        <w:spacing w:before="0"/>
        <w:ind w:firstLine="480"/>
        <w:rPr>
          <w:rFonts w:hint="eastAsia" w:ascii="宋体" w:hAnsi="宋体" w:cs="宋体"/>
          <w:color w:val="auto"/>
        </w:rPr>
      </w:pPr>
      <w:r>
        <w:rPr>
          <w:rFonts w:hint="eastAsia" w:ascii="宋体" w:hAnsi="宋体" w:cs="宋体"/>
          <w:color w:val="auto"/>
        </w:rPr>
        <w:t>13.2为确保网上操作合法、有效和安全，供应商应当在响应文件提交（上传）截止时间前完成在“乐采云平台”的身份认证，确保在电子投标过程中能够对相关数据电文进行加密和使用电子签名。</w:t>
      </w:r>
    </w:p>
    <w:p>
      <w:pPr>
        <w:pStyle w:val="141"/>
        <w:snapToGrid w:val="0"/>
        <w:spacing w:before="0"/>
        <w:ind w:firstLine="480"/>
        <w:rPr>
          <w:rFonts w:hint="eastAsia" w:ascii="宋体" w:hAnsi="宋体" w:cs="宋体"/>
          <w:b/>
          <w:color w:val="auto"/>
          <w:szCs w:val="24"/>
        </w:rPr>
      </w:pPr>
      <w:r>
        <w:rPr>
          <w:rFonts w:hint="eastAsia" w:ascii="宋体" w:hAnsi="宋体" w:cs="宋体"/>
          <w:color w:val="auto"/>
        </w:rPr>
        <w:t>13.3采购文件对响应文件签署、盖章的要求适用于电子签名。</w:t>
      </w:r>
    </w:p>
    <w:p>
      <w:pPr>
        <w:pStyle w:val="141"/>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14. 响应文件的提交、补充、修改、撤回</w:t>
      </w:r>
    </w:p>
    <w:p>
      <w:pPr>
        <w:pStyle w:val="141"/>
        <w:snapToGrid w:val="0"/>
        <w:spacing w:before="0"/>
        <w:ind w:firstLine="480"/>
        <w:rPr>
          <w:rFonts w:hint="eastAsia" w:ascii="宋体" w:hAnsi="宋体" w:cs="宋体"/>
          <w:color w:val="auto"/>
          <w:szCs w:val="24"/>
        </w:rPr>
      </w:pPr>
      <w:r>
        <w:rPr>
          <w:rFonts w:hint="eastAsia" w:ascii="宋体" w:hAnsi="宋体" w:cs="宋体"/>
          <w:color w:val="auto"/>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41"/>
        <w:snapToGrid w:val="0"/>
        <w:spacing w:before="0"/>
        <w:ind w:firstLine="480"/>
        <w:rPr>
          <w:rFonts w:hint="eastAsia" w:ascii="宋体" w:hAnsi="宋体" w:cs="宋体"/>
          <w:color w:val="auto"/>
          <w:szCs w:val="24"/>
        </w:rPr>
      </w:pPr>
      <w:r>
        <w:rPr>
          <w:rFonts w:hint="eastAsia" w:ascii="宋体" w:hAnsi="宋体" w:cs="宋体"/>
          <w:color w:val="auto"/>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41"/>
        <w:snapToGrid w:val="0"/>
        <w:spacing w:before="0"/>
        <w:ind w:firstLine="480"/>
        <w:rPr>
          <w:rFonts w:hint="eastAsia" w:ascii="宋体" w:hAnsi="宋体" w:cs="宋体"/>
          <w:color w:val="auto"/>
          <w:szCs w:val="24"/>
        </w:rPr>
      </w:pPr>
      <w:r>
        <w:rPr>
          <w:rFonts w:hint="eastAsia" w:ascii="宋体" w:hAnsi="宋体" w:cs="宋体"/>
          <w:color w:val="auto"/>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3"/>
        <w:snapToGrid w:val="0"/>
        <w:spacing w:line="360" w:lineRule="auto"/>
        <w:rPr>
          <w:rFonts w:hint="eastAsia" w:hAnsi="宋体" w:cs="宋体"/>
          <w:b/>
          <w:color w:val="auto"/>
          <w:sz w:val="24"/>
          <w:szCs w:val="24"/>
        </w:rPr>
      </w:pPr>
      <w:r>
        <w:rPr>
          <w:rFonts w:hint="eastAsia" w:hAnsi="宋体" w:cs="宋体"/>
          <w:b/>
          <w:color w:val="auto"/>
          <w:sz w:val="24"/>
          <w:szCs w:val="24"/>
        </w:rPr>
        <w:t>15.备份响应文件</w:t>
      </w:r>
    </w:p>
    <w:p>
      <w:pPr>
        <w:pStyle w:val="33"/>
        <w:snapToGrid w:val="0"/>
        <w:spacing w:line="360" w:lineRule="auto"/>
        <w:ind w:firstLine="360" w:firstLineChars="150"/>
        <w:rPr>
          <w:rFonts w:hint="eastAsia" w:hAnsi="宋体" w:cs="宋体"/>
          <w:b/>
          <w:color w:val="auto"/>
          <w:sz w:val="24"/>
          <w:szCs w:val="24"/>
        </w:rPr>
      </w:pPr>
      <w:r>
        <w:rPr>
          <w:rFonts w:hint="eastAsia" w:hAnsi="宋体" w:cs="宋体"/>
          <w:color w:val="auto"/>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rPr>
        <w:t>但采购人、采购代理机构不强制或变相强制供应商提交备份响应文件。</w:t>
      </w:r>
    </w:p>
    <w:p>
      <w:pPr>
        <w:pStyle w:val="33"/>
        <w:snapToGrid w:val="0"/>
        <w:spacing w:line="360" w:lineRule="auto"/>
        <w:ind w:firstLine="480" w:firstLineChars="200"/>
        <w:rPr>
          <w:rFonts w:hint="eastAsia" w:hAnsi="宋体" w:cs="宋体"/>
          <w:b/>
          <w:color w:val="auto"/>
          <w:sz w:val="24"/>
          <w:szCs w:val="24"/>
        </w:rPr>
      </w:pPr>
      <w:r>
        <w:rPr>
          <w:rFonts w:hint="eastAsia" w:hAnsi="宋体" w:cs="宋体"/>
          <w:color w:val="auto"/>
          <w:sz w:val="24"/>
          <w:szCs w:val="24"/>
        </w:rPr>
        <w:t>15.2备份响应文件须在“乐采云投标客户端”制作生成，并储存在</w:t>
      </w:r>
      <w:r>
        <w:rPr>
          <w:rFonts w:hint="eastAsia" w:hAnsi="宋体" w:cs="宋体"/>
          <w:color w:val="auto"/>
          <w:sz w:val="24"/>
        </w:rPr>
        <w:t>DVD光盘等存储介质</w:t>
      </w:r>
      <w:r>
        <w:rPr>
          <w:rFonts w:hint="eastAsia" w:hAnsi="宋体" w:cs="宋体"/>
          <w:color w:val="auto"/>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存储、密封规定的备份响应文件将被视为无效或者被拒绝接收。</w:t>
      </w:r>
    </w:p>
    <w:p>
      <w:pPr>
        <w:pStyle w:val="33"/>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3"/>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rPr>
        <w:t>采购文件第二部分供应商须知前附表规定的备份响应文件送达地点；</w:t>
      </w:r>
      <w:r>
        <w:rPr>
          <w:rFonts w:hint="eastAsia" w:hAnsi="宋体" w:cs="宋体"/>
          <w:color w:val="auto"/>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3"/>
        <w:snapToGrid w:val="0"/>
        <w:spacing w:line="360" w:lineRule="auto"/>
        <w:ind w:firstLine="479" w:firstLineChars="199"/>
        <w:rPr>
          <w:rFonts w:hint="eastAsia" w:hAnsi="宋体" w:cs="宋体"/>
          <w:b/>
          <w:color w:val="auto"/>
          <w:sz w:val="24"/>
          <w:szCs w:val="24"/>
        </w:rPr>
      </w:pPr>
      <w:r>
        <w:rPr>
          <w:rFonts w:hint="eastAsia" w:hAnsi="宋体" w:cs="宋体"/>
          <w:b/>
          <w:color w:val="auto"/>
          <w:sz w:val="24"/>
          <w:szCs w:val="24"/>
        </w:rPr>
        <w:t>15.5供应商仅提交备份响应文件，未在电子交易平台传输递交响应文件的，响应文件无效。</w:t>
      </w:r>
    </w:p>
    <w:p>
      <w:pPr>
        <w:pStyle w:val="141"/>
        <w:spacing w:before="0"/>
        <w:ind w:firstLine="0" w:firstLineChars="0"/>
        <w:rPr>
          <w:rFonts w:hint="eastAsia" w:ascii="宋体" w:hAnsi="宋体" w:cs="宋体"/>
          <w:b/>
          <w:color w:val="auto"/>
          <w:szCs w:val="24"/>
        </w:rPr>
      </w:pPr>
      <w:r>
        <w:rPr>
          <w:rFonts w:hint="eastAsia" w:ascii="宋体" w:hAnsi="宋体" w:cs="宋体"/>
          <w:b/>
          <w:color w:val="auto"/>
          <w:szCs w:val="24"/>
        </w:rPr>
        <w:t>16.响应文件的无效处理</w:t>
      </w:r>
    </w:p>
    <w:p>
      <w:pPr>
        <w:pStyle w:val="25"/>
        <w:spacing w:line="360" w:lineRule="auto"/>
        <w:ind w:firstLine="360" w:firstLineChars="150"/>
        <w:rPr>
          <w:rFonts w:hint="eastAsia" w:cs="宋体"/>
          <w:color w:val="auto"/>
          <w:szCs w:val="21"/>
        </w:rPr>
      </w:pPr>
      <w:r>
        <w:rPr>
          <w:rFonts w:hint="eastAsia" w:cs="宋体"/>
          <w:color w:val="auto"/>
          <w:szCs w:val="21"/>
        </w:rPr>
        <w:t>有采购文件第四部分</w:t>
      </w:r>
      <w:r>
        <w:rPr>
          <w:rFonts w:hint="eastAsia" w:cs="宋体"/>
          <w:color w:val="auto"/>
        </w:rPr>
        <w:t>4.2规定</w:t>
      </w:r>
      <w:r>
        <w:rPr>
          <w:rFonts w:hint="eastAsia" w:cs="宋体"/>
          <w:color w:val="auto"/>
          <w:szCs w:val="21"/>
        </w:rPr>
        <w:t>的情形之一的，响应文件无效。</w:t>
      </w:r>
    </w:p>
    <w:p>
      <w:pPr>
        <w:pStyle w:val="141"/>
        <w:spacing w:before="0"/>
        <w:ind w:firstLine="0" w:firstLineChars="0"/>
        <w:rPr>
          <w:rFonts w:hint="eastAsia" w:ascii="宋体" w:hAnsi="宋体" w:cs="宋体"/>
          <w:b/>
          <w:color w:val="auto"/>
          <w:szCs w:val="24"/>
        </w:rPr>
      </w:pPr>
      <w:r>
        <w:rPr>
          <w:rFonts w:hint="eastAsia" w:ascii="宋体" w:hAnsi="宋体" w:cs="宋体"/>
          <w:b/>
          <w:color w:val="auto"/>
          <w:szCs w:val="24"/>
        </w:rPr>
        <w:t>17.响应文件有效期</w:t>
      </w:r>
    </w:p>
    <w:p>
      <w:pPr>
        <w:spacing w:line="360" w:lineRule="auto"/>
        <w:ind w:firstLine="480" w:firstLineChars="200"/>
        <w:rPr>
          <w:rFonts w:hint="eastAsia" w:ascii="宋体" w:hAnsi="宋体" w:cs="宋体"/>
          <w:b/>
          <w:color w:val="auto"/>
          <w:sz w:val="24"/>
          <w:szCs w:val="21"/>
        </w:rPr>
      </w:pPr>
      <w:r>
        <w:rPr>
          <w:rFonts w:hint="eastAsia" w:ascii="宋体" w:hAnsi="宋体" w:cs="宋体"/>
          <w:color w:val="auto"/>
          <w:sz w:val="24"/>
          <w:szCs w:val="20"/>
        </w:rPr>
        <w:t>17.1响应文件有效期为从提交响应文件的截止之日起90天。▲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诺的响应文件有效期少于采购文件中载明的响应文件有效期的，响应文件无效。</w:t>
      </w:r>
    </w:p>
    <w:p>
      <w:pPr>
        <w:pStyle w:val="141"/>
        <w:spacing w:before="0"/>
        <w:ind w:firstLine="480"/>
        <w:rPr>
          <w:rFonts w:hint="eastAsia" w:ascii="宋体" w:hAnsi="宋体" w:cs="宋体"/>
          <w:color w:val="auto"/>
        </w:rPr>
      </w:pPr>
      <w:r>
        <w:rPr>
          <w:rFonts w:hint="eastAsia" w:ascii="宋体" w:hAnsi="宋体" w:cs="宋体"/>
          <w:color w:val="auto"/>
        </w:rPr>
        <w:t>17.2响应文件合格投递后，自响应文件提交截止时间起，在响应文件有效期内有效。</w:t>
      </w:r>
    </w:p>
    <w:p>
      <w:pPr>
        <w:pStyle w:val="141"/>
        <w:spacing w:before="0"/>
        <w:ind w:firstLine="480"/>
        <w:rPr>
          <w:rFonts w:hint="eastAsia" w:ascii="宋体" w:hAnsi="宋体" w:cs="宋体"/>
          <w:color w:val="auto"/>
        </w:rPr>
      </w:pPr>
      <w:r>
        <w:rPr>
          <w:rFonts w:hint="eastAsia" w:ascii="宋体" w:hAnsi="宋体" w:cs="宋体"/>
          <w:color w:val="auto"/>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41"/>
        <w:spacing w:before="0"/>
        <w:ind w:firstLine="643"/>
        <w:rPr>
          <w:rFonts w:hint="eastAsia" w:ascii="宋体" w:hAnsi="宋体" w:cs="宋体"/>
          <w:b/>
          <w:color w:val="auto"/>
          <w:sz w:val="32"/>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四、响应文件开启、资格审查与信用信息查询</w:t>
      </w:r>
    </w:p>
    <w:p>
      <w:pPr>
        <w:pStyle w:val="560"/>
        <w:spacing w:before="0" w:line="360" w:lineRule="auto"/>
        <w:ind w:left="0" w:firstLine="0"/>
        <w:contextualSpacing/>
        <w:rPr>
          <w:rFonts w:hint="eastAsia" w:ascii="宋体" w:hAnsi="宋体" w:cs="宋体"/>
          <w:color w:val="auto"/>
          <w:sz w:val="24"/>
        </w:rPr>
      </w:pPr>
      <w:r>
        <w:rPr>
          <w:rFonts w:hint="eastAsia" w:ascii="宋体" w:hAnsi="宋体" w:cs="宋体"/>
          <w:b/>
          <w:color w:val="auto"/>
          <w:sz w:val="24"/>
          <w:szCs w:val="24"/>
        </w:rPr>
        <w:t>18.响应文件开启</w:t>
      </w:r>
      <w:r>
        <w:rPr>
          <w:rFonts w:hint="eastAsia" w:ascii="宋体" w:hAnsi="宋体" w:cs="宋体"/>
          <w:color w:val="auto"/>
          <w:sz w:val="24"/>
        </w:rPr>
        <w:t xml:space="preserve"> </w:t>
      </w:r>
    </w:p>
    <w:p>
      <w:pPr>
        <w:pStyle w:val="560"/>
        <w:snapToGrid w:val="0"/>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18.1采购代理机构按照采购文件规定的时间通过电子交易平台组织响应文件开启，所有供应商均应当准时在线参加。供应商不足3家的，不得开启。</w:t>
      </w:r>
    </w:p>
    <w:p>
      <w:pPr>
        <w:pStyle w:val="560"/>
        <w:snapToGrid w:val="0"/>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60"/>
        <w:snapToGrid w:val="0"/>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18.3</w:t>
      </w:r>
      <w:r>
        <w:rPr>
          <w:rFonts w:hint="eastAsia" w:ascii="宋体" w:hAnsi="宋体" w:cs="宋体"/>
          <w:b/>
          <w:bCs/>
          <w:color w:val="auto"/>
          <w:sz w:val="24"/>
        </w:rPr>
        <w:t>响应文件未按时解密，供应商提供了备份响应文件的，以备份响应文件作为依据，否则视为响应文件撤回。响应文件已按时解密的，备份响应文件自动失效。</w:t>
      </w:r>
    </w:p>
    <w:p>
      <w:pPr>
        <w:pStyle w:val="560"/>
        <w:spacing w:before="0" w:line="360" w:lineRule="auto"/>
        <w:ind w:left="0" w:firstLine="0"/>
        <w:contextualSpacing/>
        <w:rPr>
          <w:rFonts w:hint="eastAsia" w:ascii="宋体" w:hAnsi="宋体" w:cs="宋体"/>
          <w:b/>
          <w:color w:val="auto"/>
          <w:sz w:val="24"/>
          <w:szCs w:val="24"/>
        </w:rPr>
      </w:pPr>
      <w:r>
        <w:rPr>
          <w:rFonts w:hint="eastAsia" w:ascii="宋体" w:hAnsi="宋体" w:cs="宋体"/>
          <w:b/>
          <w:color w:val="auto"/>
          <w:sz w:val="24"/>
          <w:szCs w:val="24"/>
        </w:rPr>
        <w:t>19、资格审查</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磋商小组依据法律法规和采购文件的规定，对供应商的资格进行审查。</w:t>
      </w:r>
    </w:p>
    <w:p>
      <w:pPr>
        <w:pStyle w:val="141"/>
        <w:spacing w:before="0"/>
        <w:ind w:firstLine="480"/>
        <w:rPr>
          <w:rFonts w:hint="eastAsia" w:ascii="宋体" w:hAnsi="宋体" w:cs="宋体"/>
          <w:color w:val="auto"/>
        </w:rPr>
      </w:pPr>
      <w:r>
        <w:rPr>
          <w:rFonts w:hint="eastAsia" w:ascii="宋体" w:hAnsi="宋体" w:cs="宋体"/>
          <w:color w:val="auto"/>
          <w:kern w:val="0"/>
          <w:szCs w:val="24"/>
        </w:rPr>
        <w:t>19.2供应商未按照采购文件要求提供与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供应商不具备采购文件中规定的资格要求，其响应文件无效。</w:t>
      </w:r>
    </w:p>
    <w:p>
      <w:pPr>
        <w:pStyle w:val="14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3对未通过资格审查的供应商，采购人或采购代理机构告知其未通过的原因。</w:t>
      </w:r>
    </w:p>
    <w:p>
      <w:pPr>
        <w:pStyle w:val="14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4合格供应商不足3家的，不再评审。</w:t>
      </w:r>
    </w:p>
    <w:p>
      <w:pPr>
        <w:pStyle w:val="14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41"/>
        <w:spacing w:before="0"/>
        <w:ind w:firstLine="0" w:firstLineChars="0"/>
        <w:rPr>
          <w:rFonts w:hint="eastAsia" w:ascii="宋体" w:hAnsi="宋体" w:cs="宋体"/>
          <w:b/>
          <w:color w:val="auto"/>
          <w:szCs w:val="24"/>
        </w:rPr>
      </w:pPr>
      <w:r>
        <w:rPr>
          <w:rFonts w:hint="eastAsia" w:ascii="宋体" w:hAnsi="宋体" w:cs="宋体"/>
          <w:b/>
          <w:color w:val="auto"/>
          <w:szCs w:val="24"/>
        </w:rPr>
        <w:t>20、信用信息查询</w:t>
      </w:r>
    </w:p>
    <w:p>
      <w:pPr>
        <w:pStyle w:val="141"/>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20.1信用信息查询渠道及截止时间：采购代理机构将在资格审查时通过“信用中国”网站(www.creditchina.gov.cn)、中国政府采购网(www.ccgp.gov.cn)渠道查询供应商接受资格审查时的信用记录。</w:t>
      </w:r>
    </w:p>
    <w:p>
      <w:pPr>
        <w:pStyle w:val="141"/>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20.2信用信息查询记录和证据留存的具体方式：现场查询的供应商的信用记录、查询结果经确认后将与采购文件一起存档。</w:t>
      </w:r>
    </w:p>
    <w:p>
      <w:pPr>
        <w:pStyle w:val="141"/>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20.3信用信息的使用规则：经查询列入失信被执行人名单、重大税收违法案件当事人名单、政府采购严重违法失信行为记录名单的供应商将被拒绝参与政府采购活动。</w:t>
      </w:r>
    </w:p>
    <w:p>
      <w:pPr>
        <w:pStyle w:val="141"/>
        <w:spacing w:before="0"/>
        <w:ind w:firstLine="480"/>
        <w:rPr>
          <w:rFonts w:hint="eastAsia"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41"/>
        <w:spacing w:before="0"/>
        <w:ind w:firstLine="0" w:firstLineChars="0"/>
        <w:rPr>
          <w:rFonts w:hint="eastAsia" w:ascii="宋体" w:hAnsi="宋体" w:cs="宋体"/>
          <w:color w:val="auto"/>
          <w:kern w:val="0"/>
          <w:szCs w:val="24"/>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五、评审</w:t>
      </w:r>
    </w:p>
    <w:p>
      <w:pPr>
        <w:spacing w:line="360" w:lineRule="auto"/>
        <w:rPr>
          <w:rFonts w:hint="eastAsia"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rPr>
        <w:t>详见采购文件第四部分评审办法。</w:t>
      </w:r>
    </w:p>
    <w:p>
      <w:pPr>
        <w:spacing w:line="360" w:lineRule="auto"/>
        <w:rPr>
          <w:rFonts w:hint="eastAsia" w:ascii="宋体" w:hAnsi="宋体" w:cs="宋体"/>
          <w:b/>
          <w:color w:val="auto"/>
          <w:sz w:val="24"/>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六、成交供应商确定</w:t>
      </w:r>
    </w:p>
    <w:p>
      <w:pPr>
        <w:pStyle w:val="25"/>
        <w:spacing w:line="360" w:lineRule="auto"/>
        <w:ind w:left="479" w:hanging="479" w:hangingChars="199"/>
        <w:rPr>
          <w:rFonts w:hint="eastAsia" w:cs="宋体"/>
          <w:b/>
          <w:color w:val="auto"/>
        </w:rPr>
      </w:pPr>
      <w:r>
        <w:rPr>
          <w:rFonts w:hint="eastAsia" w:cs="宋体"/>
          <w:b/>
          <w:color w:val="auto"/>
        </w:rPr>
        <w:t>22. 确定成交供应商</w:t>
      </w:r>
    </w:p>
    <w:p>
      <w:pPr>
        <w:pStyle w:val="141"/>
        <w:snapToGrid w:val="0"/>
        <w:spacing w:before="0"/>
        <w:ind w:firstLine="480"/>
        <w:rPr>
          <w:rFonts w:hint="eastAsia" w:ascii="宋体" w:hAnsi="宋体" w:cs="宋体"/>
          <w:b/>
          <w:color w:val="auto"/>
          <w:szCs w:val="24"/>
        </w:rPr>
      </w:pPr>
      <w:r>
        <w:rPr>
          <w:rFonts w:hint="eastAsia" w:ascii="宋体" w:hAnsi="宋体" w:cs="宋体"/>
          <w:color w:val="auto"/>
          <w:szCs w:val="24"/>
        </w:rPr>
        <w:t>采购项目实行全流程电子化，评审报告送交、采购结果确定和结果公告均在线完成。</w:t>
      </w:r>
    </w:p>
    <w:p>
      <w:pPr>
        <w:pStyle w:val="141"/>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23. 成交通知与成交结果公告</w:t>
      </w:r>
    </w:p>
    <w:p>
      <w:pPr>
        <w:pStyle w:val="141"/>
        <w:snapToGrid w:val="0"/>
        <w:spacing w:before="0"/>
        <w:ind w:firstLine="480"/>
        <w:rPr>
          <w:rFonts w:hint="eastAsia" w:ascii="宋体" w:hAnsi="宋体" w:cs="宋体"/>
          <w:color w:val="auto"/>
          <w:szCs w:val="24"/>
          <w:lang w:val="en-US" w:eastAsia="zh-CN"/>
        </w:rPr>
      </w:pPr>
      <w:r>
        <w:rPr>
          <w:rFonts w:hint="eastAsia" w:ascii="宋体" w:hAnsi="宋体" w:cs="宋体"/>
          <w:color w:val="auto"/>
          <w:szCs w:val="24"/>
          <w:lang w:val="en-US" w:eastAsia="zh-CN"/>
        </w:rPr>
        <w:t>23.1自成交供应商确定之日起1个工作日内，采购代理机构通过电子交易平台向成交供应商发出成交通知书，同时编制发布采购结果公告。采购代理机构也可以以纸质形式进行成交通知。</w:t>
      </w:r>
    </w:p>
    <w:p>
      <w:pPr>
        <w:pStyle w:val="141"/>
        <w:snapToGrid w:val="0"/>
        <w:spacing w:before="0"/>
        <w:ind w:firstLine="480"/>
        <w:rPr>
          <w:rFonts w:hint="eastAsia" w:ascii="宋体" w:hAnsi="宋体" w:cs="宋体"/>
          <w:color w:val="auto"/>
          <w:szCs w:val="24"/>
          <w:lang w:val="en-US" w:eastAsia="zh-CN"/>
        </w:rPr>
      </w:pPr>
      <w:r>
        <w:rPr>
          <w:rFonts w:hint="eastAsia" w:ascii="宋体" w:hAnsi="宋体" w:cs="宋体"/>
          <w:color w:val="auto"/>
          <w:szCs w:val="24"/>
          <w:lang w:val="en-US" w:eastAsia="zh-CN"/>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pStyle w:val="141"/>
        <w:snapToGrid w:val="0"/>
        <w:spacing w:before="0"/>
        <w:ind w:firstLine="480"/>
        <w:rPr>
          <w:rFonts w:hint="eastAsia" w:ascii="宋体" w:hAnsi="宋体" w:cs="宋体"/>
          <w:color w:val="auto"/>
          <w:szCs w:val="24"/>
          <w:lang w:val="en-US" w:eastAsia="zh-CN"/>
        </w:rPr>
      </w:pPr>
      <w:r>
        <w:rPr>
          <w:rFonts w:hint="eastAsia" w:ascii="宋体" w:hAnsi="宋体" w:cs="宋体"/>
          <w:color w:val="auto"/>
          <w:szCs w:val="24"/>
          <w:lang w:val="en-US" w:eastAsia="zh-CN"/>
        </w:rPr>
        <w:t>23.3公告期限为1个工作日。</w:t>
      </w:r>
    </w:p>
    <w:p>
      <w:pPr>
        <w:pStyle w:val="141"/>
        <w:snapToGrid w:val="0"/>
        <w:spacing w:before="0"/>
        <w:ind w:firstLine="480"/>
        <w:rPr>
          <w:rFonts w:hint="eastAsia" w:ascii="宋体" w:hAnsi="宋体" w:cs="宋体"/>
          <w:color w:val="auto"/>
          <w:szCs w:val="24"/>
          <w:lang w:val="en-US" w:eastAsia="zh-CN"/>
        </w:rPr>
      </w:pPr>
      <w:r>
        <w:rPr>
          <w:rFonts w:hint="eastAsia" w:ascii="宋体" w:hAnsi="宋体" w:cs="宋体"/>
          <w:color w:val="auto"/>
          <w:szCs w:val="24"/>
          <w:lang w:val="en-US" w:eastAsia="zh-CN"/>
        </w:rPr>
        <w:t>23.4由于成交供应商原因导致重新采购的，应当承担支付代理费和专家评审费等费用在内的赔偿责任。</w:t>
      </w:r>
    </w:p>
    <w:p>
      <w:pPr>
        <w:snapToGrid w:val="0"/>
        <w:spacing w:line="360" w:lineRule="auto"/>
        <w:ind w:left="120" w:leftChars="57" w:firstLine="482" w:firstLineChars="150"/>
        <w:jc w:val="center"/>
        <w:rPr>
          <w:rFonts w:hint="eastAsia" w:ascii="宋体" w:hAnsi="宋体" w:cs="宋体"/>
          <w:b/>
          <w:color w:val="auto"/>
          <w:sz w:val="32"/>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七、合同授予</w:t>
      </w:r>
    </w:p>
    <w:p>
      <w:pPr>
        <w:pStyle w:val="25"/>
        <w:snapToGrid w:val="0"/>
        <w:spacing w:line="360" w:lineRule="auto"/>
        <w:ind w:left="479" w:hanging="479" w:hangingChars="199"/>
        <w:rPr>
          <w:rFonts w:hint="eastAsia"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5"/>
        <w:snapToGrid w:val="0"/>
        <w:spacing w:line="360" w:lineRule="auto"/>
        <w:ind w:left="479" w:hanging="479" w:hangingChars="199"/>
        <w:rPr>
          <w:rFonts w:hint="eastAsia" w:cs="宋体"/>
          <w:b/>
          <w:color w:val="auto"/>
        </w:rPr>
      </w:pPr>
      <w:r>
        <w:rPr>
          <w:rFonts w:hint="eastAsia" w:cs="宋体"/>
          <w:b/>
          <w:color w:val="auto"/>
        </w:rPr>
        <w:t>25. 合同的签订</w:t>
      </w:r>
    </w:p>
    <w:p>
      <w:pPr>
        <w:pStyle w:val="141"/>
        <w:snapToGrid w:val="0"/>
        <w:spacing w:before="0"/>
        <w:ind w:firstLine="480"/>
        <w:rPr>
          <w:rFonts w:hint="eastAsia" w:ascii="宋体" w:hAnsi="宋体" w:cs="宋体"/>
          <w:color w:val="auto"/>
        </w:rPr>
      </w:pPr>
      <w:r>
        <w:rPr>
          <w:rFonts w:hint="eastAsia" w:ascii="宋体" w:hAnsi="宋体" w:cs="宋体"/>
          <w:color w:val="auto"/>
        </w:rPr>
        <w:t>25.1</w:t>
      </w:r>
      <w:r>
        <w:rPr>
          <w:rFonts w:hint="eastAsia" w:ascii="宋体" w:hAnsi="宋体" w:cs="宋体"/>
          <w:color w:val="auto"/>
          <w:kern w:val="0"/>
        </w:rPr>
        <w:t xml:space="preserve"> 采购人与成交供应商应当通过电子交易平台在成交通知书发出之日起三十日内，按照采购文件确定的事项签订采购合同</w:t>
      </w:r>
    </w:p>
    <w:p>
      <w:pPr>
        <w:pStyle w:val="25"/>
        <w:snapToGrid w:val="0"/>
        <w:spacing w:line="360" w:lineRule="auto"/>
        <w:ind w:left="479" w:hanging="479" w:hangingChars="199"/>
        <w:rPr>
          <w:rFonts w:hint="eastAsia" w:cs="宋体"/>
          <w:b/>
          <w:color w:val="auto"/>
        </w:rPr>
      </w:pPr>
      <w:r>
        <w:rPr>
          <w:rFonts w:hint="eastAsia" w:cs="宋体"/>
          <w:b/>
          <w:color w:val="auto"/>
        </w:rPr>
        <w:t>26. 履约保证金</w:t>
      </w:r>
    </w:p>
    <w:p>
      <w:pPr>
        <w:tabs>
          <w:tab w:val="left" w:pos="0"/>
        </w:tabs>
        <w:snapToGrid w:val="0"/>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w:t>
      </w:r>
    </w:p>
    <w:p>
      <w:pPr>
        <w:rPr>
          <w:color w:val="auto"/>
        </w:rPr>
      </w:pPr>
    </w:p>
    <w:p>
      <w:pPr>
        <w:snapToGrid w:val="0"/>
        <w:spacing w:line="360" w:lineRule="auto"/>
        <w:ind w:firstLine="3357" w:firstLineChars="1045"/>
        <w:rPr>
          <w:rFonts w:hint="eastAsia" w:ascii="宋体" w:hAnsi="宋体" w:cs="宋体"/>
          <w:b/>
          <w:color w:val="auto"/>
          <w:sz w:val="32"/>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八、电子交易活动的中止</w:t>
      </w:r>
    </w:p>
    <w:p>
      <w:pPr>
        <w:pStyle w:val="141"/>
        <w:snapToGrid w:val="0"/>
        <w:spacing w:before="0"/>
        <w:ind w:firstLine="0" w:firstLineChars="0"/>
        <w:rPr>
          <w:rFonts w:hint="eastAsia" w:ascii="宋体" w:hAnsi="宋体" w:cs="宋体"/>
          <w:color w:val="auto"/>
        </w:rPr>
      </w:pPr>
      <w:r>
        <w:rPr>
          <w:rFonts w:ascii="宋体" w:hAnsi="宋体" w:cs="宋体"/>
          <w:b/>
          <w:bCs/>
          <w:color w:val="auto"/>
        </w:rPr>
        <w:t>2</w:t>
      </w:r>
      <w:r>
        <w:rPr>
          <w:rFonts w:hint="eastAsia" w:ascii="宋体" w:hAnsi="宋体" w:cs="宋体"/>
          <w:b/>
          <w:bCs/>
          <w:color w:val="auto"/>
          <w:szCs w:val="24"/>
        </w:rPr>
        <w:t>7</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41"/>
        <w:snapToGrid w:val="0"/>
        <w:spacing w:before="0"/>
        <w:ind w:firstLine="480"/>
        <w:rPr>
          <w:rFonts w:hint="eastAsia" w:ascii="宋体" w:hAnsi="宋体" w:cs="宋体"/>
          <w:color w:val="auto"/>
        </w:rPr>
      </w:pPr>
      <w:r>
        <w:rPr>
          <w:rFonts w:hint="eastAsia" w:ascii="宋体" w:hAnsi="宋体" w:cs="宋体"/>
          <w:color w:val="auto"/>
        </w:rPr>
        <w:t xml:space="preserve">27.1电子交易平台发生故障而无法登录访问的； </w:t>
      </w:r>
    </w:p>
    <w:p>
      <w:pPr>
        <w:pStyle w:val="141"/>
        <w:snapToGrid w:val="0"/>
        <w:spacing w:before="0"/>
        <w:ind w:firstLine="480"/>
        <w:rPr>
          <w:rFonts w:hint="eastAsia" w:ascii="宋体" w:hAnsi="宋体" w:cs="宋体"/>
          <w:color w:val="auto"/>
        </w:rPr>
      </w:pPr>
      <w:r>
        <w:rPr>
          <w:rFonts w:hint="eastAsia" w:ascii="宋体" w:hAnsi="宋体" w:cs="宋体"/>
          <w:color w:val="auto"/>
        </w:rPr>
        <w:t>27.2电子交易平台应用或数据库出现错误，不能进行正常操作的；</w:t>
      </w:r>
    </w:p>
    <w:p>
      <w:pPr>
        <w:pStyle w:val="141"/>
        <w:snapToGrid w:val="0"/>
        <w:spacing w:before="0"/>
        <w:ind w:firstLine="480"/>
        <w:rPr>
          <w:rFonts w:hint="eastAsia" w:ascii="宋体" w:hAnsi="宋体" w:cs="宋体"/>
          <w:color w:val="auto"/>
        </w:rPr>
      </w:pPr>
      <w:r>
        <w:rPr>
          <w:rFonts w:hint="eastAsia" w:ascii="宋体" w:hAnsi="宋体" w:cs="宋体"/>
          <w:color w:val="auto"/>
        </w:rPr>
        <w:t>27.3电子交易平台发现严重安全漏洞，有潜在泄密危险的；</w:t>
      </w:r>
    </w:p>
    <w:p>
      <w:pPr>
        <w:pStyle w:val="141"/>
        <w:snapToGrid w:val="0"/>
        <w:spacing w:before="0"/>
        <w:ind w:firstLine="480"/>
        <w:rPr>
          <w:rFonts w:hint="eastAsia" w:ascii="宋体" w:hAnsi="宋体" w:cs="宋体"/>
          <w:color w:val="auto"/>
        </w:rPr>
      </w:pPr>
      <w:r>
        <w:rPr>
          <w:rFonts w:hint="eastAsia" w:ascii="宋体" w:hAnsi="宋体" w:cs="宋体"/>
          <w:color w:val="auto"/>
        </w:rPr>
        <w:t xml:space="preserve">27.4病毒发作导致不能进行正常操作的； </w:t>
      </w:r>
    </w:p>
    <w:p>
      <w:pPr>
        <w:pStyle w:val="141"/>
        <w:snapToGrid w:val="0"/>
        <w:spacing w:before="0"/>
        <w:ind w:firstLine="480"/>
        <w:rPr>
          <w:rFonts w:hint="eastAsia" w:ascii="宋体" w:hAnsi="宋体" w:cs="宋体"/>
          <w:color w:val="auto"/>
        </w:rPr>
      </w:pPr>
      <w:r>
        <w:rPr>
          <w:rFonts w:hint="eastAsia" w:ascii="宋体" w:hAnsi="宋体" w:cs="宋体"/>
          <w:color w:val="auto"/>
        </w:rPr>
        <w:t>27.5其他无法保证电子交易的公平、公正和安全的情况。</w:t>
      </w:r>
    </w:p>
    <w:p>
      <w:pPr>
        <w:pStyle w:val="141"/>
        <w:snapToGrid w:val="0"/>
        <w:spacing w:before="0"/>
        <w:ind w:firstLine="0" w:firstLineChars="0"/>
        <w:rPr>
          <w:rFonts w:hint="eastAsia" w:ascii="宋体" w:hAnsi="宋体" w:cs="宋体"/>
          <w:color w:val="auto"/>
        </w:rPr>
      </w:pPr>
      <w:r>
        <w:rPr>
          <w:rFonts w:hint="eastAsia" w:ascii="宋体" w:hAnsi="宋体" w:cs="宋体"/>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cs="宋体"/>
          <w:color w:val="auto"/>
          <w:sz w:val="24"/>
        </w:rPr>
      </w:pPr>
    </w:p>
    <w:p>
      <w:pPr>
        <w:snapToGrid w:val="0"/>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九、验收</w:t>
      </w:r>
    </w:p>
    <w:p>
      <w:pPr>
        <w:pStyle w:val="25"/>
        <w:spacing w:line="360" w:lineRule="auto"/>
        <w:ind w:firstLine="0" w:firstLineChars="0"/>
        <w:rPr>
          <w:rFonts w:hint="eastAsia" w:cs="宋体"/>
          <w:b/>
          <w:color w:val="auto"/>
        </w:rPr>
      </w:pPr>
      <w:r>
        <w:rPr>
          <w:rFonts w:hint="eastAsia" w:cs="宋体"/>
          <w:b/>
          <w:color w:val="auto"/>
        </w:rPr>
        <w:t>29.验收</w:t>
      </w:r>
    </w:p>
    <w:p>
      <w:pPr>
        <w:tabs>
          <w:tab w:val="left" w:pos="0"/>
        </w:tabs>
        <w:spacing w:line="360" w:lineRule="auto"/>
        <w:ind w:firstLine="480"/>
        <w:rPr>
          <w:rFonts w:hint="eastAsia" w:ascii="宋体" w:hAnsi="宋体" w:cs="宋体"/>
          <w:color w:val="auto"/>
          <w:sz w:val="18"/>
          <w:szCs w:val="18"/>
        </w:rPr>
      </w:pPr>
      <w:r>
        <w:rPr>
          <w:rFonts w:hint="eastAsia" w:ascii="宋体" w:hAnsi="宋体" w:cs="宋体"/>
          <w:color w:val="auto"/>
          <w:kern w:val="0"/>
          <w:sz w:val="24"/>
        </w:rPr>
        <w:t>采购人应当根据采购项目的具体情况，自行组织项目验收或者委托采购代理机构验收。</w:t>
      </w:r>
    </w:p>
    <w:bookmarkEnd w:id="17"/>
    <w:p>
      <w:pPr>
        <w:pStyle w:val="92"/>
        <w:rPr>
          <w:rFonts w:hint="eastAsia"/>
          <w:color w:val="auto"/>
        </w:rPr>
        <w:sectPr>
          <w:footerReference r:id="rId4" w:type="first"/>
          <w:footerReference r:id="rId3" w:type="default"/>
          <w:pgSz w:w="11906" w:h="16838"/>
          <w:pgMar w:top="1440" w:right="1080" w:bottom="1440" w:left="1080" w:header="851" w:footer="992" w:gutter="0"/>
          <w:cols w:space="720" w:num="1"/>
          <w:titlePg/>
          <w:docGrid w:linePitch="312" w:charSpace="0"/>
        </w:sectPr>
      </w:pPr>
      <w:bookmarkStart w:id="18" w:name="_Hlt74729768"/>
      <w:bookmarkEnd w:id="18"/>
      <w:bookmarkStart w:id="19" w:name="_Hlt74730295"/>
      <w:bookmarkEnd w:id="19"/>
      <w:bookmarkStart w:id="20" w:name="_Hlt75236101"/>
      <w:bookmarkEnd w:id="20"/>
      <w:bookmarkStart w:id="21" w:name="_Hlt68073093"/>
      <w:bookmarkEnd w:id="21"/>
      <w:bookmarkStart w:id="22" w:name="_Hlt75236290"/>
      <w:bookmarkEnd w:id="22"/>
      <w:bookmarkStart w:id="23" w:name="_Hlt74714665"/>
      <w:bookmarkEnd w:id="23"/>
      <w:bookmarkStart w:id="24" w:name="_Hlt68057669"/>
      <w:bookmarkEnd w:id="24"/>
      <w:bookmarkStart w:id="25" w:name="_Hlt68403820"/>
      <w:bookmarkEnd w:id="25"/>
      <w:bookmarkStart w:id="26" w:name="_Hlt68072990"/>
      <w:bookmarkEnd w:id="26"/>
      <w:bookmarkStart w:id="27" w:name="_Hlt74707468"/>
      <w:bookmarkEnd w:id="27"/>
      <w:bookmarkStart w:id="28" w:name="_Hlt75236011"/>
      <w:bookmarkEnd w:id="28"/>
      <w:bookmarkStart w:id="29" w:name="_Hlt68072998"/>
      <w:bookmarkEnd w:id="29"/>
    </w:p>
    <w:bookmarkEnd w:id="13"/>
    <w:bookmarkEnd w:id="14"/>
    <w:p>
      <w:pPr>
        <w:adjustRightInd/>
        <w:spacing w:line="360" w:lineRule="auto"/>
        <w:jc w:val="center"/>
        <w:outlineLvl w:val="0"/>
        <w:rPr>
          <w:rFonts w:hint="eastAsia" w:ascii="宋体" w:hAnsi="宋体" w:cs="宋体"/>
          <w:b/>
          <w:color w:val="auto"/>
          <w:sz w:val="36"/>
          <w:szCs w:val="20"/>
        </w:rPr>
      </w:pPr>
      <w:bookmarkStart w:id="30" w:name="第四部分"/>
      <w:r>
        <w:rPr>
          <w:rFonts w:hint="eastAsia" w:ascii="宋体" w:hAnsi="宋体" w:cs="宋体"/>
          <w:b/>
          <w:color w:val="auto"/>
          <w:sz w:val="36"/>
          <w:szCs w:val="20"/>
        </w:rPr>
        <w:t>第三部分 采购需求</w:t>
      </w:r>
    </w:p>
    <w:p>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一、工程概况</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1.产教融合区域中高一体高技能人才实训中心（一期）工程项目</w:t>
      </w:r>
      <w:r>
        <w:rPr>
          <w:rFonts w:hint="eastAsia" w:ascii="宋体" w:hAnsi="宋体" w:cs="宋体"/>
          <w:color w:val="auto"/>
          <w:sz w:val="24"/>
        </w:rPr>
        <w:t>。具体内容详见施工图纸以及工程量清单，并结合现场实际情况进行施工。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2、工程地点：</w:t>
      </w:r>
      <w:r>
        <w:rPr>
          <w:rFonts w:hint="eastAsia" w:ascii="宋体" w:hAnsi="宋体" w:cs="宋体"/>
          <w:color w:val="auto"/>
          <w:sz w:val="24"/>
          <w:lang w:eastAsia="zh-CN"/>
        </w:rPr>
        <w:t>杭州市中策职业学校钱塘学校</w:t>
      </w:r>
      <w:r>
        <w:rPr>
          <w:rFonts w:hint="eastAsia" w:ascii="宋体" w:hAnsi="宋体" w:cs="宋体"/>
          <w:color w:val="auto"/>
          <w:sz w:val="24"/>
        </w:rPr>
        <w:t>校区。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3、现场条件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（1）已具备施工条件，但施工不能影响正常的教学工作。</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（2）采购人不组织现场踏勘，</w:t>
      </w:r>
      <w:r>
        <w:rPr>
          <w:rFonts w:hint="eastAsia" w:ascii="宋体" w:hAnsi="宋体" w:cs="宋体"/>
          <w:color w:val="auto"/>
          <w:sz w:val="24"/>
          <w:u w:val="single"/>
        </w:rPr>
        <w:t>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w:t>
      </w:r>
    </w:p>
    <w:p>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二、采购范围和内容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1、工程范围：</w:t>
      </w:r>
      <w:r>
        <w:rPr>
          <w:rFonts w:hint="eastAsia" w:ascii="宋体" w:hAnsi="宋体" w:cs="宋体"/>
          <w:color w:val="auto"/>
          <w:sz w:val="24"/>
          <w:lang w:eastAsia="zh-CN"/>
        </w:rPr>
        <w:t>产教融合区域中高一体高技能人才实训中心（一期）工程项目</w:t>
      </w:r>
      <w:r>
        <w:rPr>
          <w:rFonts w:hint="eastAsia" w:ascii="宋体" w:hAnsi="宋体" w:cs="宋体"/>
          <w:color w:val="auto"/>
          <w:sz w:val="24"/>
        </w:rPr>
        <w:t>，具体内容详见采购文件、施工图纸及工程量清单，并结合现场实际情况进行施工。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2、工程实施过程，采购人保留局部调整和变更工程内容的权力。</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三、承包和计价方式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1、承包方式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承包范围内的工程由承包人包工包料、包检测、包质量、包安全防护、包文明施工、包工期、包验收。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2、计价方式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采用综合单价合同。建设工程安全防护、文明施工措施费用不得作为竞争性费用，其他措施项目费按磋商报价包干，不再调整。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本工程垃圾外运费用一次性包干，包括垃圾清理、搬运、外运与消纳所产生的费用，成交后不予调整。</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3、采购人有权对工程内容、数量等</w:t>
      </w:r>
      <w:r>
        <w:rPr>
          <w:rFonts w:hint="eastAsia" w:ascii="宋体" w:hAnsi="宋体" w:cs="宋体"/>
          <w:color w:val="auto"/>
          <w:kern w:val="0"/>
          <w:sz w:val="24"/>
        </w:rPr>
        <w:t>作出调整，不论增减，供应商都应无条件服从。因工程量变化引起的成本差异，由供应商在报价中综合考虑，供应商不得以任何理由</w:t>
      </w:r>
      <w:r>
        <w:rPr>
          <w:rFonts w:hint="eastAsia" w:ascii="宋体" w:hAnsi="宋体" w:cs="宋体"/>
          <w:color w:val="auto"/>
          <w:sz w:val="24"/>
        </w:rPr>
        <w:t>提出额外付款或延长工期等的要求。若有此类要求，采购人将不作任何答复与考虑。</w:t>
      </w:r>
    </w:p>
    <w:p>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四、技术标准和要求</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（一）工程实施的技术标准和规范一般规定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1、除本技术要求另有规定外，所有材料、设备和工程的质量均应符合采购时国家和项目所在地已颁布标准、规范的相应规定和要求，其中与本技术要求不一致时以要求高的为准。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2、本技术条款另有规定外，成交人施工所用的材料、设备、施工工艺和工程质量的检验和验收应符合本技术条款中引用的国家和行业颁布的技术标准和规程规范规定的技术要求。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3、当本技术条款的内容与所引用的标准和规程规范的规定有矛盾时，应以采购人指示为准。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4、技术条款中有关涉及工程安全的规定，必须严格遵守国家和行业的标准，遇有矛盾时应由采购人按国家和行业标准的规定进行修正。</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5、本采购项目采用的材料、设备、施工工艺、检验检测标准和方法、验收等均须符合本工程施工图等设计文件的要求，并按现行的国家标准、相关技术规范、相关法律法规等实施。</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（二）本工程施工、验收、材料的选用必须符合施工图纸、法律、法规相关要求和现行的相关标准、技术规范。</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其他相关要求：</w:t>
      </w:r>
      <w:r>
        <w:rPr>
          <w:rFonts w:hint="eastAsia" w:ascii="宋体" w:hAnsi="宋体" w:cs="宋体"/>
          <w:color w:val="auto"/>
          <w:sz w:val="24"/>
        </w:rPr>
        <w:t>供应商须遵守采购人的施工安全管理制度</w:t>
      </w:r>
      <w:r>
        <w:rPr>
          <w:rFonts w:hint="eastAsia" w:ascii="宋体" w:hAnsi="宋体" w:cs="宋体"/>
          <w:bCs/>
          <w:color w:val="auto"/>
          <w:sz w:val="24"/>
        </w:rPr>
        <w:t>以</w:t>
      </w:r>
      <w:r>
        <w:rPr>
          <w:rFonts w:hint="eastAsia" w:ascii="宋体" w:hAnsi="宋体" w:cs="宋体"/>
          <w:color w:val="auto"/>
          <w:sz w:val="24"/>
        </w:rPr>
        <w:t>及其他相关管理制度，确保施工项目的安全、高效、顺利进行，满足业主的日常需求，防范消防等安全事件的发生。采购人的管理部门有权对施工项目的组织和实施进行监督、检查，并提出整改要求，但此类监督检查并不解除供应商对施工项目应负的全部责任，如供应商不按要求整改或整改后仍不符合采购人的规定，采购人可从工程进度款或履约保证金中酌情扣罚，情节严重的，可解除合同，给采购人造成的全部损失由供应商承担，并可拒绝该供应商继续参与采购人其他项目的采购活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以上与施工相关的管理要求所需要的费用包含在各综合单价、合价和磋商总报价中。</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（三）材料基本技术要求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lang w:eastAsia="zh-CN"/>
        </w:rPr>
        <w:t>（</w:t>
      </w:r>
      <w:r>
        <w:rPr>
          <w:rFonts w:hint="eastAsia" w:ascii="宋体" w:hAnsi="宋体"/>
          <w:color w:val="auto"/>
          <w:sz w:val="24"/>
          <w:u w:val="none"/>
          <w:lang w:val="en-US" w:eastAsia="zh-CN"/>
        </w:rPr>
        <w:t>1</w:t>
      </w:r>
      <w:r>
        <w:rPr>
          <w:rFonts w:hint="eastAsia" w:ascii="宋体" w:hAnsi="宋体"/>
          <w:color w:val="auto"/>
          <w:sz w:val="24"/>
          <w:u w:val="none"/>
          <w:lang w:eastAsia="zh-CN"/>
        </w:rPr>
        <w:t>）</w:t>
      </w:r>
      <w:r>
        <w:rPr>
          <w:rFonts w:hint="eastAsia" w:ascii="宋体" w:hAnsi="宋体"/>
          <w:color w:val="auto"/>
          <w:sz w:val="24"/>
          <w:u w:val="none"/>
        </w:rPr>
        <w:t>材料设备选择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本工程使用的原材料必须符合设计要求和施工规范的规定。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采购文件中对主要材料设备品牌、规格、型号有推荐的，供应商在磋商响应时可在选择推荐品牌中的任选一个或产品品质相当于或高于推荐品牌的产品中自行选择一个产品，并在“主要设备材料品牌表”中明确。如供应商没有按采购文件要求进行选择，或没有明确注明，或所选材料设备的材质、规格、颜色、档次与采购文件要求的存在明显差别，或虽按采购文件推荐的材料品牌选择但该材料因某种原因停产或其他原因而不能供应的，则实际施工过程中采购人有权在采购文件推荐的材料品牌中自行确定，且成交价格不予调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采购文件中对材料的品牌、规格、型号没有具体规定的，由供应商按采购文件及施工图的要求进行响应报价，并在“主要设备材料品牌表”里注明所选材料设备的品牌、规格、型号，若供应商没有进行注明的，则采购人有权指定品牌，成交价格不调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采购文件中指出的工艺、材料、设备、服务等标准以及推荐、参照的品牌或型号仅起说明作用，并没有任何限制性。供应商在响应文件中可以选用替代标准、品牌或型号，但这些替代要实质上满足或超过采购文件的要求。</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主要材料（设备）推荐表</w:t>
      </w:r>
    </w:p>
    <w:tbl>
      <w:tblPr>
        <w:tblStyle w:val="63"/>
        <w:tblW w:w="4720" w:type="pct"/>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249"/>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727" w:type="pct"/>
            <w:shd w:val="clear" w:color="auto" w:fill="auto"/>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材料名称</w:t>
            </w:r>
          </w:p>
        </w:tc>
        <w:tc>
          <w:tcPr>
            <w:tcW w:w="2784" w:type="pct"/>
            <w:shd w:val="clear" w:color="auto" w:fill="auto"/>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品牌（厂家）名称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建筑装饰工程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地砖、墙砖</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萨米特、金朝阳、诺贝尔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强化地板</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升佳、兔宝宝、大潮（实木复合地板）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真石漆</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立邦、多乐士、尤斯格林或相当于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27" w:type="pct"/>
            <w:shd w:val="clear" w:color="auto" w:fill="auto"/>
            <w:vAlign w:val="center"/>
          </w:tcPr>
          <w:p>
            <w:pPr>
              <w:spacing w:line="360" w:lineRule="auto"/>
              <w:ind w:firstLine="840" w:firstLineChars="350"/>
              <w:rPr>
                <w:rFonts w:hint="eastAsia" w:ascii="宋体" w:hAnsi="宋体" w:eastAsia="宋体" w:cs="宋体"/>
                <w:b/>
                <w:color w:val="auto"/>
                <w:sz w:val="24"/>
                <w:szCs w:val="24"/>
              </w:rPr>
            </w:pPr>
            <w:r>
              <w:rPr>
                <w:rFonts w:hint="eastAsia" w:ascii="宋体" w:hAnsi="宋体" w:eastAsia="宋体" w:cs="宋体"/>
                <w:color w:val="auto"/>
                <w:sz w:val="24"/>
                <w:szCs w:val="24"/>
              </w:rPr>
              <w:t>无机涂料</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立邦、多乐士、嘉宝莉或相当于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水泥漆</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传化、立邦、多乐士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27" w:type="pct"/>
            <w:shd w:val="clear" w:color="auto" w:fill="auto"/>
            <w:vAlign w:val="center"/>
          </w:tcPr>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石膏板</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杰森、杰科、千年舟或相当于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轻钢龙骨</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拉法基、可耐福、龙牌或相当于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阻燃板、木饰面板</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千年舟、兔宝宝、莫干山或相当于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玻璃</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蓝天、南玻、浙玻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氟碳漆</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大桥，吉人，立邦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开关、插座</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鸿雁、德力西、正泰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电线、电缆</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中策、远通、起帆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灯具、光源</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雷士、飞利浦、三雄极光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配电箱</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正泰、鸿雁、德力西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空调</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美的、奥克斯、志高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8"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27"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卫生洁具</w:t>
            </w:r>
          </w:p>
        </w:tc>
        <w:tc>
          <w:tcPr>
            <w:tcW w:w="2784" w:type="pct"/>
            <w:shd w:val="clear" w:color="auto" w:fill="auto"/>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恒洁、箭牌、惠达</w:t>
            </w:r>
          </w:p>
        </w:tc>
      </w:tr>
    </w:tbl>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default" w:ascii="宋体" w:hAnsi="宋体"/>
          <w:color w:val="auto"/>
          <w:sz w:val="24"/>
          <w:highlight w:val="yellow"/>
          <w:u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lang w:eastAsia="zh-CN"/>
        </w:rPr>
        <w:t>（</w:t>
      </w:r>
      <w:r>
        <w:rPr>
          <w:rFonts w:hint="eastAsia" w:ascii="宋体" w:hAnsi="宋体"/>
          <w:color w:val="auto"/>
          <w:sz w:val="24"/>
          <w:u w:val="none"/>
          <w:lang w:val="en-US" w:eastAsia="zh-CN"/>
        </w:rPr>
        <w:t>2</w:t>
      </w:r>
      <w:r>
        <w:rPr>
          <w:rFonts w:hint="eastAsia" w:ascii="宋体" w:hAnsi="宋体"/>
          <w:color w:val="auto"/>
          <w:sz w:val="24"/>
          <w:u w:val="none"/>
          <w:lang w:eastAsia="zh-CN"/>
        </w:rPr>
        <w:t>）</w:t>
      </w:r>
      <w:r>
        <w:rPr>
          <w:rFonts w:hint="eastAsia" w:ascii="宋体" w:hAnsi="宋体"/>
          <w:color w:val="auto"/>
          <w:sz w:val="24"/>
          <w:u w:val="none"/>
        </w:rPr>
        <w:t>材料的质量保证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在保修期内，中标人对有缺陷的部位必须无偿地给予修理与更换，并承担一切由此引起的对采购人或使用单位的直接损失，除非该缺陷是由于人为破坏或合同规定的不可抗因素造成的损坏。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中标人必须对所承包的工程的质量负全部责任，其责任不因产品制造商提供的保证书而减轻或更改。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材料检验按政府部门相关规定的见证取样和送检规定的程序进行。凡检验结果证明其有害物质含量指标超标的产品不得在工程上使用。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lang w:eastAsia="zh-CN"/>
        </w:rPr>
        <w:t>（</w:t>
      </w:r>
      <w:r>
        <w:rPr>
          <w:rFonts w:hint="eastAsia" w:ascii="宋体" w:hAnsi="宋体"/>
          <w:color w:val="auto"/>
          <w:sz w:val="24"/>
          <w:u w:val="none"/>
          <w:lang w:val="en-US" w:eastAsia="zh-CN"/>
        </w:rPr>
        <w:t>3</w:t>
      </w:r>
      <w:r>
        <w:rPr>
          <w:rFonts w:hint="eastAsia" w:ascii="宋体" w:hAnsi="宋体"/>
          <w:color w:val="auto"/>
          <w:sz w:val="24"/>
          <w:u w:val="none"/>
          <w:lang w:eastAsia="zh-CN"/>
        </w:rPr>
        <w:t>）</w:t>
      </w:r>
      <w:r>
        <w:rPr>
          <w:rFonts w:hint="eastAsia" w:ascii="宋体" w:hAnsi="宋体"/>
          <w:color w:val="auto"/>
          <w:sz w:val="24"/>
          <w:u w:val="none"/>
        </w:rPr>
        <w:t>供应要求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olor w:val="auto"/>
          <w:sz w:val="24"/>
          <w:u w:val="none"/>
        </w:rPr>
      </w:pPr>
      <w:r>
        <w:rPr>
          <w:rFonts w:hint="eastAsia" w:ascii="宋体" w:hAnsi="宋体"/>
          <w:color w:val="auto"/>
          <w:sz w:val="24"/>
          <w:u w:val="none"/>
        </w:rPr>
        <w:t>本次采购范围内的建筑施工材料均由中标人根据本磋商文件、设计图纸</w:t>
      </w:r>
      <w:r>
        <w:rPr>
          <w:rFonts w:hint="eastAsia" w:ascii="宋体" w:hAnsi="宋体"/>
          <w:color w:val="auto"/>
          <w:sz w:val="24"/>
          <w:u w:val="none"/>
          <w:lang w:eastAsia="zh-CN"/>
        </w:rPr>
        <w:t>（</w:t>
      </w:r>
      <w:r>
        <w:rPr>
          <w:rFonts w:hint="eastAsia" w:ascii="宋体" w:hAnsi="宋体"/>
          <w:color w:val="auto"/>
          <w:sz w:val="24"/>
          <w:u w:val="none"/>
          <w:lang w:val="en-US" w:eastAsia="zh-CN"/>
        </w:rPr>
        <w:t>如有</w:t>
      </w:r>
      <w:r>
        <w:rPr>
          <w:rFonts w:hint="eastAsia" w:ascii="宋体" w:hAnsi="宋体"/>
          <w:color w:val="auto"/>
          <w:sz w:val="24"/>
          <w:u w:val="none"/>
          <w:lang w:eastAsia="zh-CN"/>
        </w:rPr>
        <w:t>）</w:t>
      </w:r>
      <w:r>
        <w:rPr>
          <w:rFonts w:hint="eastAsia" w:ascii="宋体" w:hAnsi="宋体"/>
          <w:color w:val="auto"/>
          <w:sz w:val="24"/>
          <w:u w:val="none"/>
        </w:rPr>
        <w:t>和国家有关规定的具体要求进行采购、运输、检验、保管，但采购人保留变更和指定材料的权利；所有建筑材料须有产品合格证，质量保证书、国家规定的认证证书、报告。</w:t>
      </w:r>
    </w:p>
    <w:p>
      <w:pPr>
        <w:spacing w:line="360" w:lineRule="auto"/>
        <w:ind w:firstLine="480" w:firstLineChars="200"/>
        <w:jc w:val="left"/>
        <w:rPr>
          <w:rFonts w:hint="eastAsia" w:ascii="宋体" w:hAnsi="宋体" w:cs="宋体"/>
          <w:color w:val="auto"/>
          <w:sz w:val="24"/>
        </w:rPr>
      </w:pPr>
      <w:r>
        <w:rPr>
          <w:rFonts w:hint="eastAsia" w:ascii="宋体" w:hAnsi="宋体"/>
          <w:color w:val="auto"/>
          <w:sz w:val="24"/>
          <w:u w:val="none"/>
        </w:rPr>
        <w:t>由中标人采购的主要材料设备，当中标人选定的产品质量达不到设计要求和预期质量目标时，采购人保留更换的权利，且成交价不予调整。</w:t>
      </w:r>
    </w:p>
    <w:p>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五、质量保证</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工程质量保修书格式见第五部分合同条款及格式中的“工程质量保修书”。</w:t>
      </w:r>
    </w:p>
    <w:p>
      <w:pPr>
        <w:snapToGrid w:val="0"/>
        <w:spacing w:line="360" w:lineRule="auto"/>
        <w:ind w:firstLine="482" w:firstLineChars="200"/>
        <w:rPr>
          <w:rFonts w:hint="eastAsia" w:ascii="宋体" w:hAnsi="宋体" w:cs="宋体"/>
          <w:b/>
          <w:bCs/>
          <w:color w:val="auto"/>
          <w:sz w:val="24"/>
          <w:shd w:val="clear" w:color="auto" w:fill="FFFFFF"/>
        </w:rPr>
      </w:pPr>
      <w:r>
        <w:rPr>
          <w:rFonts w:hint="eastAsia" w:ascii="宋体" w:hAnsi="宋体" w:cs="宋体"/>
          <w:b/>
          <w:bCs/>
          <w:color w:val="auto"/>
          <w:sz w:val="24"/>
          <w:shd w:val="clear" w:color="auto" w:fill="FFFFFF"/>
        </w:rPr>
        <w:t>六、合同签订注意事项</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供应商应充分理解施工承包合同条款中的内容，应对该施工承包合同文本中的条款或内容作全面地响应。对施工承包合同文本中的主要条款或内容所作的任何实质性修改将不予接受。供应商应在收到成交通知书后采购人要求的时间内，派代表前来履行签订工程合同、廉政责任书及安全责任书等手续。</w:t>
      </w:r>
    </w:p>
    <w:p>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七.其他要求</w:t>
      </w:r>
    </w:p>
    <w:p>
      <w:pPr>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1</w:t>
      </w:r>
      <w:r>
        <w:rPr>
          <w:rFonts w:hint="eastAsia" w:ascii="宋体" w:hAnsi="宋体" w:cs="宋体"/>
          <w:b/>
          <w:bCs/>
          <w:color w:val="auto"/>
          <w:kern w:val="0"/>
          <w:sz w:val="24"/>
        </w:rPr>
        <w:t>、拟派项目经理具有建筑工程专业二级及以上注册建造师资格，且具有有效的三类人员B类证书，且无在建工程</w:t>
      </w:r>
      <w:r>
        <w:rPr>
          <w:rFonts w:hint="eastAsia" w:ascii="宋体" w:hAnsi="宋体" w:cs="宋体"/>
          <w:b/>
          <w:bCs/>
          <w:color w:val="auto"/>
          <w:kern w:val="0"/>
          <w:sz w:val="24"/>
          <w:lang w:val="en-US" w:eastAsia="zh-CN"/>
        </w:rPr>
        <w:t>并提供无在建工程书面承诺</w:t>
      </w:r>
      <w:r>
        <w:rPr>
          <w:rFonts w:hint="eastAsia" w:ascii="宋体" w:hAnsi="宋体" w:cs="宋体"/>
          <w:b/>
          <w:bCs/>
          <w:color w:val="auto"/>
          <w:kern w:val="0"/>
          <w:sz w:val="24"/>
        </w:rPr>
        <w:t>（在建合同工程的开始时间为合同工程中标通知书发出日期（不通过招标方式的，开始时间为合同签订日期），结束时间为该合同工程通过验收或合同解除日期）。</w:t>
      </w:r>
    </w:p>
    <w:p>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2</w:t>
      </w:r>
      <w:r>
        <w:rPr>
          <w:rFonts w:hint="eastAsia" w:ascii="宋体" w:hAnsi="宋体" w:cs="宋体"/>
          <w:b/>
          <w:bCs/>
          <w:color w:val="auto"/>
          <w:kern w:val="0"/>
          <w:sz w:val="24"/>
        </w:rPr>
        <w:t>、拟派现场的安全专职管理员具有施工现场安全生产专职管理人员“三类人员”C类证书。</w:t>
      </w:r>
    </w:p>
    <w:p>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八、验收要求</w:t>
      </w:r>
    </w:p>
    <w:p>
      <w:pPr>
        <w:snapToGrid w:val="0"/>
        <w:spacing w:line="360" w:lineRule="auto"/>
        <w:ind w:firstLine="723" w:firstLineChars="300"/>
        <w:rPr>
          <w:rFonts w:hint="eastAsia" w:ascii="宋体" w:hAnsi="宋体" w:cs="宋体"/>
          <w:b/>
          <w:bCs/>
          <w:color w:val="auto"/>
          <w:kern w:val="0"/>
          <w:sz w:val="24"/>
        </w:rPr>
      </w:pPr>
      <w:r>
        <w:rPr>
          <w:rFonts w:hint="eastAsia" w:ascii="宋体" w:hAnsi="宋体" w:cs="宋体"/>
          <w:b/>
          <w:bCs/>
          <w:color w:val="auto"/>
          <w:kern w:val="0"/>
          <w:sz w:val="24"/>
        </w:rPr>
        <w:t>供应商按规范进行施工，直至通过采购人组织的验收，验收过程中，如有不满足磋商文件规定要求及不符合国家相关规范要求的，由供应商负责整改，费用自理。</w:t>
      </w:r>
    </w:p>
    <w:p>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九、特别说明</w:t>
      </w:r>
    </w:p>
    <w:p>
      <w:pPr>
        <w:snapToGrid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请各供应商仔细查看清单，做好成本核算，本项目原则上不增加施工费用。</w:t>
      </w: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p>
    <w:p>
      <w:pPr>
        <w:pStyle w:val="87"/>
        <w:jc w:val="center"/>
        <w:rPr>
          <w:rFonts w:hint="eastAsia" w:ascii="宋体" w:hAnsi="宋体" w:cs="宋体"/>
          <w:b/>
          <w:color w:val="auto"/>
          <w:sz w:val="36"/>
          <w:szCs w:val="20"/>
        </w:rPr>
      </w:pPr>
      <w:r>
        <w:rPr>
          <w:rFonts w:hint="eastAsia" w:ascii="宋体" w:hAnsi="宋体" w:cs="宋体"/>
          <w:b/>
          <w:color w:val="auto"/>
          <w:sz w:val="36"/>
          <w:szCs w:val="20"/>
        </w:rPr>
        <w:t>第四部分</w:t>
      </w:r>
      <w:bookmarkStart w:id="31" w:name="_Toc184312086"/>
      <w:bookmarkEnd w:id="31"/>
      <w:bookmarkStart w:id="32" w:name="_Toc184312095"/>
      <w:bookmarkEnd w:id="32"/>
      <w:bookmarkStart w:id="33" w:name="_Toc184308068"/>
      <w:bookmarkEnd w:id="33"/>
      <w:bookmarkStart w:id="34" w:name="_Toc184308041"/>
      <w:bookmarkEnd w:id="34"/>
      <w:bookmarkStart w:id="35" w:name="_Toc184312099"/>
      <w:bookmarkEnd w:id="35"/>
      <w:bookmarkStart w:id="36" w:name="_Toc184312120"/>
      <w:bookmarkEnd w:id="36"/>
      <w:bookmarkStart w:id="37" w:name="_Toc184310326"/>
      <w:bookmarkEnd w:id="37"/>
      <w:bookmarkStart w:id="38" w:name="_Toc184312104"/>
      <w:bookmarkEnd w:id="38"/>
      <w:bookmarkStart w:id="39" w:name="_Toc184310319"/>
      <w:bookmarkEnd w:id="39"/>
      <w:bookmarkStart w:id="40" w:name="_Toc184313249"/>
      <w:bookmarkEnd w:id="40"/>
      <w:bookmarkStart w:id="41" w:name="_Toc184310280"/>
      <w:bookmarkEnd w:id="41"/>
      <w:bookmarkStart w:id="42" w:name="_Toc184310312"/>
      <w:bookmarkEnd w:id="42"/>
      <w:bookmarkStart w:id="43" w:name="_Toc184312074"/>
      <w:bookmarkEnd w:id="43"/>
      <w:bookmarkStart w:id="44" w:name="_Toc184314457"/>
      <w:bookmarkEnd w:id="44"/>
      <w:bookmarkStart w:id="45" w:name="_Toc184312080"/>
      <w:bookmarkEnd w:id="45"/>
      <w:bookmarkStart w:id="46" w:name="_Toc184314476"/>
      <w:bookmarkEnd w:id="46"/>
      <w:bookmarkStart w:id="47" w:name="_Toc184313264"/>
      <w:bookmarkEnd w:id="47"/>
      <w:bookmarkStart w:id="48" w:name="_Toc184312082"/>
      <w:bookmarkEnd w:id="48"/>
      <w:bookmarkStart w:id="49" w:name="_Toc184310297"/>
      <w:bookmarkEnd w:id="49"/>
      <w:bookmarkStart w:id="50" w:name="_Toc184310315"/>
      <w:bookmarkEnd w:id="50"/>
      <w:bookmarkStart w:id="51" w:name="_Toc184314481"/>
      <w:bookmarkEnd w:id="51"/>
      <w:bookmarkStart w:id="52" w:name="_Toc184310306"/>
      <w:bookmarkEnd w:id="52"/>
      <w:bookmarkStart w:id="53" w:name="_Toc184313267"/>
      <w:bookmarkEnd w:id="53"/>
      <w:bookmarkStart w:id="54" w:name="_Toc184312079"/>
      <w:bookmarkEnd w:id="54"/>
      <w:bookmarkStart w:id="55" w:name="_Toc184312111"/>
      <w:bookmarkEnd w:id="55"/>
      <w:bookmarkStart w:id="56" w:name="_Toc184313244"/>
      <w:bookmarkEnd w:id="56"/>
      <w:bookmarkStart w:id="57" w:name="_Toc184310337"/>
      <w:bookmarkEnd w:id="57"/>
      <w:bookmarkStart w:id="58" w:name="_Toc184308074"/>
      <w:bookmarkEnd w:id="58"/>
      <w:bookmarkStart w:id="59" w:name="_Toc184310322"/>
      <w:bookmarkEnd w:id="59"/>
      <w:bookmarkStart w:id="60" w:name="_Toc184308070"/>
      <w:bookmarkEnd w:id="60"/>
      <w:bookmarkStart w:id="61" w:name="_Toc184314463"/>
      <w:bookmarkEnd w:id="61"/>
      <w:bookmarkStart w:id="62" w:name="_Toc184314418"/>
      <w:bookmarkEnd w:id="62"/>
      <w:bookmarkStart w:id="63" w:name="_Toc184308036"/>
      <w:bookmarkEnd w:id="63"/>
      <w:bookmarkStart w:id="64" w:name="_Toc184312102"/>
      <w:bookmarkEnd w:id="64"/>
      <w:bookmarkStart w:id="65" w:name="_Toc184310344"/>
      <w:bookmarkEnd w:id="65"/>
      <w:bookmarkStart w:id="66" w:name="_Toc184308073"/>
      <w:bookmarkEnd w:id="66"/>
      <w:bookmarkStart w:id="67" w:name="_Toc184313271"/>
      <w:bookmarkEnd w:id="67"/>
      <w:bookmarkStart w:id="68" w:name="_Toc184312108"/>
      <w:bookmarkEnd w:id="68"/>
      <w:bookmarkStart w:id="69" w:name="_Toc184314423"/>
      <w:bookmarkEnd w:id="69"/>
      <w:bookmarkStart w:id="70" w:name="_Toc184313286"/>
      <w:bookmarkEnd w:id="70"/>
      <w:bookmarkStart w:id="71" w:name="_Toc184308084"/>
      <w:bookmarkEnd w:id="71"/>
      <w:bookmarkStart w:id="72" w:name="_Toc184310334"/>
      <w:bookmarkEnd w:id="72"/>
      <w:bookmarkStart w:id="73" w:name="_Toc184313305"/>
      <w:bookmarkEnd w:id="73"/>
      <w:bookmarkStart w:id="74" w:name="_Toc184312069"/>
      <w:bookmarkEnd w:id="74"/>
      <w:bookmarkStart w:id="75" w:name="_Toc184308038"/>
      <w:bookmarkEnd w:id="75"/>
      <w:bookmarkStart w:id="76" w:name="_Toc184312106"/>
      <w:bookmarkEnd w:id="76"/>
      <w:bookmarkStart w:id="77" w:name="_Toc184314440"/>
      <w:bookmarkEnd w:id="77"/>
      <w:bookmarkStart w:id="78" w:name="_Toc184313307"/>
      <w:bookmarkEnd w:id="78"/>
      <w:bookmarkStart w:id="79" w:name="_Toc184310298"/>
      <w:bookmarkEnd w:id="79"/>
      <w:bookmarkStart w:id="80" w:name="_Toc184312094"/>
      <w:bookmarkEnd w:id="80"/>
      <w:bookmarkStart w:id="81" w:name="_Toc184310331"/>
      <w:bookmarkEnd w:id="81"/>
      <w:bookmarkStart w:id="82" w:name="_Toc184312124"/>
      <w:bookmarkEnd w:id="82"/>
      <w:bookmarkStart w:id="83" w:name="_Toc184310292"/>
      <w:bookmarkEnd w:id="83"/>
      <w:bookmarkStart w:id="84" w:name="_Toc184312127"/>
      <w:bookmarkEnd w:id="84"/>
      <w:bookmarkStart w:id="85" w:name="_Toc184310288"/>
      <w:bookmarkEnd w:id="85"/>
      <w:bookmarkStart w:id="86" w:name="_Toc184314449"/>
      <w:bookmarkEnd w:id="86"/>
      <w:bookmarkStart w:id="87" w:name="_Toc184308046"/>
      <w:bookmarkEnd w:id="87"/>
      <w:bookmarkStart w:id="88" w:name="_Toc184308085"/>
      <w:bookmarkEnd w:id="88"/>
      <w:bookmarkStart w:id="89" w:name="_Toc184308058"/>
      <w:bookmarkEnd w:id="89"/>
      <w:bookmarkStart w:id="90" w:name="_Toc184312139"/>
      <w:bookmarkEnd w:id="90"/>
      <w:bookmarkStart w:id="91" w:name="_Toc184310284"/>
      <w:bookmarkEnd w:id="91"/>
      <w:bookmarkStart w:id="92" w:name="_Toc184310283"/>
      <w:bookmarkEnd w:id="92"/>
      <w:bookmarkStart w:id="93" w:name="_Toc184310300"/>
      <w:bookmarkEnd w:id="93"/>
      <w:bookmarkStart w:id="94" w:name="_Toc184308086"/>
      <w:bookmarkEnd w:id="94"/>
      <w:bookmarkStart w:id="95" w:name="_Toc184308062"/>
      <w:bookmarkEnd w:id="95"/>
      <w:bookmarkStart w:id="96" w:name="_Toc184314431"/>
      <w:bookmarkEnd w:id="96"/>
      <w:bookmarkStart w:id="97" w:name="_Toc184308043"/>
      <w:bookmarkEnd w:id="97"/>
      <w:bookmarkStart w:id="98" w:name="_Toc184312123"/>
      <w:bookmarkEnd w:id="98"/>
      <w:bookmarkStart w:id="99" w:name="_Toc184314465"/>
      <w:bookmarkEnd w:id="99"/>
      <w:bookmarkStart w:id="100" w:name="_Toc184310324"/>
      <w:bookmarkEnd w:id="100"/>
      <w:bookmarkStart w:id="101" w:name="_Toc184314467"/>
      <w:bookmarkEnd w:id="101"/>
      <w:bookmarkStart w:id="102" w:name="_Toc184314456"/>
      <w:bookmarkEnd w:id="102"/>
      <w:bookmarkStart w:id="103" w:name="_Toc184308064"/>
      <w:bookmarkEnd w:id="103"/>
      <w:bookmarkStart w:id="104" w:name="_Toc184314453"/>
      <w:bookmarkEnd w:id="104"/>
      <w:bookmarkStart w:id="105" w:name="_Toc184308087"/>
      <w:bookmarkEnd w:id="105"/>
      <w:bookmarkStart w:id="106" w:name="_Toc184314450"/>
      <w:bookmarkEnd w:id="106"/>
      <w:bookmarkStart w:id="107" w:name="_Toc184313292"/>
      <w:bookmarkEnd w:id="107"/>
      <w:bookmarkStart w:id="108" w:name="_Toc184308050"/>
      <w:bookmarkEnd w:id="108"/>
      <w:bookmarkStart w:id="109" w:name="_Toc184312088"/>
      <w:bookmarkEnd w:id="109"/>
      <w:bookmarkStart w:id="110" w:name="_Toc184308054"/>
      <w:bookmarkEnd w:id="110"/>
      <w:bookmarkStart w:id="111" w:name="_Toc184310275"/>
      <w:bookmarkEnd w:id="111"/>
      <w:bookmarkStart w:id="112" w:name="_Toc184313248"/>
      <w:bookmarkEnd w:id="112"/>
      <w:bookmarkStart w:id="113" w:name="_Toc184313278"/>
      <w:bookmarkEnd w:id="113"/>
      <w:bookmarkStart w:id="114" w:name="_Toc184310309"/>
      <w:bookmarkEnd w:id="114"/>
      <w:bookmarkStart w:id="115" w:name="_Toc184314438"/>
      <w:bookmarkEnd w:id="115"/>
      <w:bookmarkStart w:id="116" w:name="_Toc184310339"/>
      <w:bookmarkEnd w:id="116"/>
      <w:bookmarkStart w:id="117" w:name="_Toc184310338"/>
      <w:bookmarkEnd w:id="117"/>
      <w:bookmarkStart w:id="118" w:name="_Toc184313238"/>
      <w:bookmarkEnd w:id="118"/>
      <w:bookmarkStart w:id="119" w:name="_Toc184313252"/>
      <w:bookmarkEnd w:id="119"/>
      <w:bookmarkStart w:id="120" w:name="_Toc184310296"/>
      <w:bookmarkEnd w:id="120"/>
      <w:bookmarkStart w:id="121" w:name="_Toc184312122"/>
      <w:bookmarkEnd w:id="121"/>
      <w:bookmarkStart w:id="122" w:name="_Toc184312119"/>
      <w:bookmarkEnd w:id="122"/>
      <w:bookmarkStart w:id="123" w:name="_Toc184308048"/>
      <w:bookmarkEnd w:id="123"/>
      <w:bookmarkStart w:id="124" w:name="_Toc184313253"/>
      <w:bookmarkEnd w:id="124"/>
      <w:bookmarkStart w:id="125" w:name="_Toc184314444"/>
      <w:bookmarkEnd w:id="125"/>
      <w:bookmarkStart w:id="126" w:name="_Toc184312131"/>
      <w:bookmarkEnd w:id="126"/>
      <w:bookmarkStart w:id="127" w:name="_Toc184310313"/>
      <w:bookmarkEnd w:id="127"/>
      <w:bookmarkStart w:id="128" w:name="_Toc184308044"/>
      <w:bookmarkEnd w:id="128"/>
      <w:bookmarkStart w:id="129" w:name="_Toc184312126"/>
      <w:bookmarkEnd w:id="129"/>
      <w:bookmarkStart w:id="130" w:name="_Toc184310336"/>
      <w:bookmarkEnd w:id="130"/>
      <w:bookmarkStart w:id="131" w:name="_Toc184313297"/>
      <w:bookmarkEnd w:id="131"/>
      <w:bookmarkStart w:id="132" w:name="_Toc184314429"/>
      <w:bookmarkEnd w:id="132"/>
      <w:bookmarkStart w:id="133" w:name="_Toc184310276"/>
      <w:bookmarkEnd w:id="133"/>
      <w:bookmarkStart w:id="134" w:name="_Toc184312090"/>
      <w:bookmarkEnd w:id="134"/>
      <w:bookmarkStart w:id="135" w:name="_Toc184314414"/>
      <w:bookmarkEnd w:id="135"/>
      <w:bookmarkStart w:id="136" w:name="_Toc184312068"/>
      <w:bookmarkEnd w:id="136"/>
      <w:bookmarkStart w:id="137" w:name="_Toc184313261"/>
      <w:bookmarkEnd w:id="137"/>
      <w:bookmarkStart w:id="138" w:name="_Toc184313250"/>
      <w:bookmarkEnd w:id="138"/>
      <w:bookmarkStart w:id="139" w:name="_Toc184313277"/>
      <w:bookmarkEnd w:id="139"/>
      <w:bookmarkStart w:id="140" w:name="_Toc184313283"/>
      <w:bookmarkEnd w:id="140"/>
      <w:bookmarkStart w:id="141" w:name="_Toc184308103"/>
      <w:bookmarkEnd w:id="141"/>
      <w:bookmarkStart w:id="142" w:name="_Toc184308083"/>
      <w:bookmarkEnd w:id="142"/>
      <w:bookmarkStart w:id="143" w:name="_Toc184312093"/>
      <w:bookmarkEnd w:id="143"/>
      <w:bookmarkStart w:id="144" w:name="_Toc184312117"/>
      <w:bookmarkEnd w:id="144"/>
      <w:bookmarkStart w:id="145" w:name="_Toc184310311"/>
      <w:bookmarkEnd w:id="145"/>
      <w:bookmarkStart w:id="146" w:name="_Toc184313309"/>
      <w:bookmarkEnd w:id="146"/>
      <w:bookmarkStart w:id="147" w:name="_Toc184310321"/>
      <w:bookmarkEnd w:id="147"/>
      <w:bookmarkStart w:id="148" w:name="_Toc184314427"/>
      <w:bookmarkEnd w:id="148"/>
      <w:bookmarkStart w:id="149" w:name="_Toc184308051"/>
      <w:bookmarkEnd w:id="149"/>
      <w:bookmarkStart w:id="150" w:name="_Toc184313255"/>
      <w:bookmarkEnd w:id="150"/>
      <w:bookmarkStart w:id="151" w:name="_Toc184312077"/>
      <w:bookmarkEnd w:id="151"/>
      <w:bookmarkStart w:id="152" w:name="_Toc184310274"/>
      <w:bookmarkEnd w:id="152"/>
      <w:bookmarkStart w:id="153" w:name="_Toc184308093"/>
      <w:bookmarkEnd w:id="153"/>
      <w:bookmarkStart w:id="154" w:name="_Toc184310278"/>
      <w:bookmarkEnd w:id="154"/>
      <w:bookmarkStart w:id="155" w:name="_Toc184312078"/>
      <w:bookmarkEnd w:id="155"/>
      <w:bookmarkStart w:id="156" w:name="_Toc184314455"/>
      <w:bookmarkEnd w:id="156"/>
      <w:bookmarkStart w:id="157" w:name="_Toc184314474"/>
      <w:bookmarkEnd w:id="157"/>
      <w:bookmarkStart w:id="158" w:name="_Toc184314475"/>
      <w:bookmarkEnd w:id="158"/>
      <w:bookmarkStart w:id="159" w:name="_Toc184308105"/>
      <w:bookmarkEnd w:id="159"/>
      <w:bookmarkStart w:id="160" w:name="_Toc184308055"/>
      <w:bookmarkEnd w:id="160"/>
      <w:bookmarkStart w:id="161" w:name="_Toc184313257"/>
      <w:bookmarkEnd w:id="161"/>
      <w:bookmarkStart w:id="162" w:name="_Toc184308065"/>
      <w:bookmarkEnd w:id="162"/>
      <w:bookmarkStart w:id="163" w:name="_Toc184313285"/>
      <w:bookmarkEnd w:id="163"/>
      <w:bookmarkStart w:id="164" w:name="_Toc184313246"/>
      <w:bookmarkEnd w:id="164"/>
      <w:bookmarkStart w:id="165" w:name="_Toc184314471"/>
      <w:bookmarkEnd w:id="165"/>
      <w:bookmarkStart w:id="166" w:name="_Toc184312129"/>
      <w:bookmarkEnd w:id="166"/>
      <w:bookmarkStart w:id="167" w:name="_Toc184308098"/>
      <w:bookmarkEnd w:id="167"/>
      <w:bookmarkStart w:id="168" w:name="_Toc184313290"/>
      <w:bookmarkEnd w:id="168"/>
      <w:bookmarkStart w:id="169" w:name="_Toc184314430"/>
      <w:bookmarkEnd w:id="169"/>
      <w:bookmarkStart w:id="170" w:name="_Toc184308101"/>
      <w:bookmarkEnd w:id="170"/>
      <w:bookmarkStart w:id="171" w:name="_Toc184313272"/>
      <w:bookmarkEnd w:id="171"/>
      <w:bookmarkStart w:id="172" w:name="_Toc184314441"/>
      <w:bookmarkEnd w:id="172"/>
      <w:bookmarkStart w:id="173" w:name="_Toc184308091"/>
      <w:bookmarkEnd w:id="173"/>
      <w:bookmarkStart w:id="174" w:name="_Toc184310305"/>
      <w:bookmarkEnd w:id="174"/>
      <w:bookmarkStart w:id="175" w:name="_Toc184313282"/>
      <w:bookmarkEnd w:id="175"/>
      <w:bookmarkStart w:id="176" w:name="_Toc184308106"/>
      <w:bookmarkEnd w:id="176"/>
      <w:bookmarkStart w:id="177" w:name="_Toc184312118"/>
      <w:bookmarkEnd w:id="177"/>
      <w:bookmarkStart w:id="178" w:name="_Toc184312107"/>
      <w:bookmarkEnd w:id="178"/>
      <w:bookmarkStart w:id="179" w:name="_Toc184313284"/>
      <w:bookmarkEnd w:id="179"/>
      <w:bookmarkStart w:id="180" w:name="_Toc184310286"/>
      <w:bookmarkEnd w:id="180"/>
      <w:bookmarkStart w:id="181" w:name="_Toc184308092"/>
      <w:bookmarkEnd w:id="181"/>
      <w:bookmarkStart w:id="182" w:name="_Toc184313304"/>
      <w:bookmarkEnd w:id="182"/>
      <w:bookmarkStart w:id="183" w:name="_Toc184312097"/>
      <w:bookmarkEnd w:id="183"/>
      <w:bookmarkStart w:id="184" w:name="_Toc184310342"/>
      <w:bookmarkEnd w:id="184"/>
      <w:bookmarkStart w:id="185" w:name="_Toc184314434"/>
      <w:bookmarkEnd w:id="185"/>
      <w:bookmarkStart w:id="186" w:name="_Toc184314417"/>
      <w:bookmarkEnd w:id="186"/>
      <w:bookmarkStart w:id="187" w:name="_Toc184314433"/>
      <w:bookmarkEnd w:id="187"/>
      <w:bookmarkStart w:id="188" w:name="_Toc184314415"/>
      <w:bookmarkEnd w:id="188"/>
      <w:bookmarkStart w:id="189" w:name="_Toc184312101"/>
      <w:bookmarkEnd w:id="189"/>
      <w:bookmarkStart w:id="190" w:name="_Toc184313258"/>
      <w:bookmarkEnd w:id="190"/>
      <w:bookmarkStart w:id="191" w:name="_Toc184310293"/>
      <w:bookmarkEnd w:id="191"/>
      <w:bookmarkStart w:id="192" w:name="_Toc184313241"/>
      <w:bookmarkEnd w:id="192"/>
      <w:bookmarkStart w:id="193" w:name="_Toc184312081"/>
      <w:bookmarkEnd w:id="193"/>
      <w:bookmarkStart w:id="194" w:name="_Toc184314482"/>
      <w:bookmarkEnd w:id="194"/>
      <w:bookmarkStart w:id="195" w:name="_Toc184314419"/>
      <w:bookmarkEnd w:id="195"/>
      <w:bookmarkStart w:id="196" w:name="_Toc184310316"/>
      <w:bookmarkEnd w:id="196"/>
      <w:bookmarkStart w:id="197" w:name="_Toc184312130"/>
      <w:bookmarkEnd w:id="197"/>
      <w:bookmarkStart w:id="198" w:name="_Toc184312092"/>
      <w:bookmarkEnd w:id="198"/>
      <w:bookmarkStart w:id="199" w:name="_Toc184313300"/>
      <w:bookmarkEnd w:id="199"/>
      <w:bookmarkStart w:id="200" w:name="_Toc184310294"/>
      <w:bookmarkEnd w:id="200"/>
      <w:bookmarkStart w:id="201" w:name="_Toc184314473"/>
      <w:bookmarkEnd w:id="201"/>
      <w:bookmarkStart w:id="202" w:name="_Toc184314446"/>
      <w:bookmarkEnd w:id="202"/>
      <w:bookmarkStart w:id="203" w:name="_Toc184313299"/>
      <w:bookmarkEnd w:id="203"/>
      <w:bookmarkStart w:id="204" w:name="_Toc184313270"/>
      <w:bookmarkEnd w:id="204"/>
      <w:bookmarkStart w:id="205" w:name="_Toc184308107"/>
      <w:bookmarkEnd w:id="205"/>
      <w:bookmarkStart w:id="206" w:name="_Toc184314479"/>
      <w:bookmarkEnd w:id="206"/>
      <w:bookmarkStart w:id="207" w:name="_Toc184314442"/>
      <w:bookmarkEnd w:id="207"/>
      <w:bookmarkStart w:id="208" w:name="_Toc184308108"/>
      <w:bookmarkEnd w:id="208"/>
      <w:bookmarkStart w:id="209" w:name="_Toc184308088"/>
      <w:bookmarkEnd w:id="209"/>
      <w:bookmarkStart w:id="210" w:name="_Toc184314472"/>
      <w:bookmarkEnd w:id="210"/>
      <w:bookmarkStart w:id="211" w:name="_Toc184310282"/>
      <w:bookmarkEnd w:id="211"/>
      <w:bookmarkStart w:id="212" w:name="_Toc184312083"/>
      <w:bookmarkEnd w:id="212"/>
      <w:bookmarkStart w:id="213" w:name="_Toc184310333"/>
      <w:bookmarkEnd w:id="213"/>
      <w:bookmarkStart w:id="214" w:name="_Toc184308067"/>
      <w:bookmarkEnd w:id="214"/>
      <w:bookmarkStart w:id="215" w:name="_Toc184310310"/>
      <w:bookmarkEnd w:id="215"/>
      <w:bookmarkStart w:id="216" w:name="_Toc184314428"/>
      <w:bookmarkEnd w:id="216"/>
      <w:bookmarkStart w:id="217" w:name="_Toc184312076"/>
      <w:bookmarkEnd w:id="217"/>
      <w:bookmarkStart w:id="218" w:name="_Toc184308057"/>
      <w:bookmarkEnd w:id="218"/>
      <w:bookmarkStart w:id="219" w:name="_Toc184308078"/>
      <w:bookmarkEnd w:id="219"/>
      <w:bookmarkStart w:id="220" w:name="_Toc184308061"/>
      <w:bookmarkEnd w:id="220"/>
      <w:bookmarkStart w:id="221" w:name="_Toc184312070"/>
      <w:bookmarkEnd w:id="221"/>
      <w:bookmarkStart w:id="222" w:name="_Toc184314416"/>
      <w:bookmarkEnd w:id="222"/>
      <w:bookmarkStart w:id="223" w:name="_Toc184313310"/>
      <w:bookmarkEnd w:id="223"/>
      <w:bookmarkStart w:id="224" w:name="_Toc184310327"/>
      <w:bookmarkEnd w:id="224"/>
      <w:bookmarkStart w:id="225" w:name="_Toc184308045"/>
      <w:bookmarkEnd w:id="225"/>
      <w:bookmarkStart w:id="226" w:name="_Toc184310277"/>
      <w:bookmarkEnd w:id="226"/>
      <w:bookmarkStart w:id="227" w:name="_Toc184310281"/>
      <w:bookmarkEnd w:id="227"/>
      <w:bookmarkStart w:id="228" w:name="_Toc184313245"/>
      <w:bookmarkEnd w:id="228"/>
      <w:bookmarkStart w:id="229" w:name="_Toc184312128"/>
      <w:bookmarkEnd w:id="229"/>
      <w:bookmarkStart w:id="230" w:name="_Toc184312112"/>
      <w:bookmarkEnd w:id="230"/>
      <w:bookmarkStart w:id="231" w:name="_Toc184310299"/>
      <w:bookmarkEnd w:id="231"/>
      <w:bookmarkStart w:id="232" w:name="_Toc184312136"/>
      <w:bookmarkEnd w:id="232"/>
      <w:bookmarkStart w:id="233" w:name="_Toc184310330"/>
      <w:bookmarkEnd w:id="233"/>
      <w:bookmarkStart w:id="234" w:name="_Toc184312075"/>
      <w:bookmarkEnd w:id="234"/>
      <w:bookmarkStart w:id="235" w:name="_Toc184310285"/>
      <w:bookmarkEnd w:id="235"/>
      <w:bookmarkStart w:id="236" w:name="_Toc184310272"/>
      <w:bookmarkEnd w:id="236"/>
      <w:bookmarkStart w:id="237" w:name="_Toc184314477"/>
      <w:bookmarkEnd w:id="237"/>
      <w:bookmarkStart w:id="238" w:name="_Toc184313298"/>
      <w:bookmarkEnd w:id="238"/>
      <w:bookmarkStart w:id="239" w:name="_Toc184308104"/>
      <w:bookmarkEnd w:id="239"/>
      <w:bookmarkStart w:id="240" w:name="_Toc184314422"/>
      <w:bookmarkEnd w:id="240"/>
      <w:bookmarkStart w:id="241" w:name="_Toc184310273"/>
      <w:bookmarkEnd w:id="241"/>
      <w:bookmarkStart w:id="242" w:name="_Toc184313260"/>
      <w:bookmarkEnd w:id="242"/>
      <w:bookmarkStart w:id="243" w:name="_Toc184308052"/>
      <w:bookmarkEnd w:id="243"/>
      <w:bookmarkStart w:id="244" w:name="_Toc184313295"/>
      <w:bookmarkEnd w:id="244"/>
      <w:bookmarkStart w:id="245" w:name="_Toc184313268"/>
      <w:bookmarkEnd w:id="245"/>
      <w:bookmarkStart w:id="246" w:name="_Toc184314454"/>
      <w:bookmarkEnd w:id="246"/>
      <w:bookmarkStart w:id="247" w:name="_Toc184314480"/>
      <w:bookmarkEnd w:id="247"/>
      <w:bookmarkStart w:id="248" w:name="_Toc184313306"/>
      <w:bookmarkEnd w:id="248"/>
      <w:bookmarkStart w:id="249" w:name="_Toc184314469"/>
      <w:bookmarkEnd w:id="249"/>
      <w:bookmarkStart w:id="250" w:name="_Toc184308039"/>
      <w:bookmarkEnd w:id="250"/>
      <w:bookmarkStart w:id="251" w:name="_Toc184312089"/>
      <w:bookmarkEnd w:id="251"/>
      <w:bookmarkStart w:id="252" w:name="_Toc184313294"/>
      <w:bookmarkEnd w:id="252"/>
      <w:bookmarkStart w:id="253" w:name="_Toc184314432"/>
      <w:bookmarkEnd w:id="253"/>
      <w:bookmarkStart w:id="254" w:name="_Toc184314464"/>
      <w:bookmarkEnd w:id="254"/>
      <w:bookmarkStart w:id="255" w:name="_Toc184314470"/>
      <w:bookmarkEnd w:id="255"/>
      <w:bookmarkStart w:id="256" w:name="_Toc184313262"/>
      <w:bookmarkEnd w:id="256"/>
      <w:bookmarkStart w:id="257" w:name="_Toc184312138"/>
      <w:bookmarkEnd w:id="257"/>
      <w:bookmarkStart w:id="258" w:name="_Toc184308066"/>
      <w:bookmarkEnd w:id="258"/>
      <w:bookmarkStart w:id="259" w:name="_Toc184310318"/>
      <w:bookmarkEnd w:id="259"/>
      <w:bookmarkStart w:id="260" w:name="_Toc184308072"/>
      <w:bookmarkEnd w:id="260"/>
      <w:bookmarkStart w:id="261" w:name="_Toc184314468"/>
      <w:bookmarkEnd w:id="261"/>
      <w:bookmarkStart w:id="262" w:name="_Toc184312133"/>
      <w:bookmarkEnd w:id="262"/>
      <w:bookmarkStart w:id="263" w:name="_Toc184312134"/>
      <w:bookmarkEnd w:id="263"/>
      <w:bookmarkStart w:id="264" w:name="_Toc184310341"/>
      <w:bookmarkEnd w:id="264"/>
      <w:bookmarkStart w:id="265" w:name="_Toc184313256"/>
      <w:bookmarkEnd w:id="265"/>
      <w:bookmarkStart w:id="266" w:name="_Toc184308049"/>
      <w:bookmarkEnd w:id="266"/>
      <w:bookmarkStart w:id="267" w:name="_Toc184312084"/>
      <w:bookmarkEnd w:id="267"/>
      <w:bookmarkStart w:id="268" w:name="_Toc184308037"/>
      <w:bookmarkEnd w:id="268"/>
      <w:bookmarkStart w:id="269" w:name="_Toc184312132"/>
      <w:bookmarkEnd w:id="269"/>
      <w:bookmarkStart w:id="270" w:name="_Toc184310304"/>
      <w:bookmarkEnd w:id="270"/>
      <w:bookmarkStart w:id="271" w:name="_Toc184312071"/>
      <w:bookmarkEnd w:id="271"/>
      <w:bookmarkStart w:id="272" w:name="_Toc184308056"/>
      <w:bookmarkEnd w:id="272"/>
      <w:bookmarkStart w:id="273" w:name="_Toc184313287"/>
      <w:bookmarkEnd w:id="273"/>
      <w:bookmarkStart w:id="274" w:name="_Toc184314445"/>
      <w:bookmarkEnd w:id="274"/>
      <w:bookmarkStart w:id="275" w:name="_Toc184308100"/>
      <w:bookmarkEnd w:id="275"/>
      <w:bookmarkStart w:id="276" w:name="_Toc184314452"/>
      <w:bookmarkEnd w:id="276"/>
      <w:bookmarkStart w:id="277" w:name="_Toc184310328"/>
      <w:bookmarkEnd w:id="277"/>
      <w:bookmarkStart w:id="278" w:name="_Toc184314437"/>
      <w:bookmarkEnd w:id="278"/>
      <w:bookmarkStart w:id="279" w:name="_Toc184308047"/>
      <w:bookmarkEnd w:id="279"/>
      <w:bookmarkStart w:id="280" w:name="_Toc184313240"/>
      <w:bookmarkEnd w:id="280"/>
      <w:bookmarkStart w:id="281" w:name="_Toc184314424"/>
      <w:bookmarkEnd w:id="281"/>
      <w:bookmarkStart w:id="282" w:name="_Toc184313308"/>
      <w:bookmarkEnd w:id="282"/>
      <w:bookmarkStart w:id="283" w:name="_Toc184313301"/>
      <w:bookmarkEnd w:id="283"/>
      <w:bookmarkStart w:id="284" w:name="_Toc184312110"/>
      <w:bookmarkEnd w:id="284"/>
      <w:bookmarkStart w:id="285" w:name="_Toc184314451"/>
      <w:bookmarkEnd w:id="285"/>
      <w:bookmarkStart w:id="286" w:name="_Toc184313243"/>
      <w:bookmarkEnd w:id="286"/>
      <w:bookmarkStart w:id="287" w:name="_Toc184308080"/>
      <w:bookmarkEnd w:id="287"/>
      <w:bookmarkStart w:id="288" w:name="_Toc184313254"/>
      <w:bookmarkEnd w:id="288"/>
      <w:bookmarkStart w:id="289" w:name="_Toc184313280"/>
      <w:bookmarkEnd w:id="289"/>
      <w:bookmarkStart w:id="290" w:name="_Toc184308089"/>
      <w:bookmarkEnd w:id="290"/>
      <w:bookmarkStart w:id="291" w:name="_Toc184313275"/>
      <w:bookmarkEnd w:id="291"/>
      <w:bookmarkStart w:id="292" w:name="_Toc184308096"/>
      <w:bookmarkEnd w:id="292"/>
      <w:bookmarkStart w:id="293" w:name="_Toc184313273"/>
      <w:bookmarkEnd w:id="293"/>
      <w:bookmarkStart w:id="294" w:name="_Toc184313289"/>
      <w:bookmarkEnd w:id="294"/>
      <w:bookmarkStart w:id="295" w:name="_Toc184308095"/>
      <w:bookmarkEnd w:id="295"/>
      <w:bookmarkStart w:id="296" w:name="_Toc184308097"/>
      <w:bookmarkEnd w:id="296"/>
      <w:bookmarkStart w:id="297" w:name="_Toc184312072"/>
      <w:bookmarkEnd w:id="297"/>
      <w:bookmarkStart w:id="298" w:name="_Toc184310317"/>
      <w:bookmarkEnd w:id="298"/>
      <w:bookmarkStart w:id="299" w:name="_Toc184313269"/>
      <w:bookmarkEnd w:id="299"/>
      <w:bookmarkStart w:id="300" w:name="_Toc184314439"/>
      <w:bookmarkEnd w:id="300"/>
      <w:bookmarkStart w:id="301" w:name="_Toc184313251"/>
      <w:bookmarkEnd w:id="301"/>
      <w:bookmarkStart w:id="302" w:name="_Toc184310295"/>
      <w:bookmarkEnd w:id="302"/>
      <w:bookmarkStart w:id="303" w:name="_Toc184313293"/>
      <w:bookmarkEnd w:id="303"/>
      <w:bookmarkStart w:id="304" w:name="_Toc184308069"/>
      <w:bookmarkEnd w:id="304"/>
      <w:bookmarkStart w:id="305" w:name="_Toc184312073"/>
      <w:bookmarkEnd w:id="305"/>
      <w:bookmarkStart w:id="306" w:name="_Toc184308077"/>
      <w:bookmarkEnd w:id="306"/>
      <w:bookmarkStart w:id="307" w:name="_Toc184310307"/>
      <w:bookmarkEnd w:id="307"/>
      <w:bookmarkStart w:id="308" w:name="_Toc184314426"/>
      <w:bookmarkEnd w:id="308"/>
      <w:bookmarkStart w:id="309" w:name="_Toc184310335"/>
      <w:bookmarkEnd w:id="309"/>
      <w:bookmarkStart w:id="310" w:name="_Toc184308076"/>
      <w:bookmarkEnd w:id="310"/>
      <w:bookmarkStart w:id="311" w:name="_Toc184310289"/>
      <w:bookmarkEnd w:id="311"/>
      <w:bookmarkStart w:id="312" w:name="_Toc184310290"/>
      <w:bookmarkEnd w:id="312"/>
      <w:bookmarkStart w:id="313" w:name="_Toc184308094"/>
      <w:bookmarkEnd w:id="313"/>
      <w:bookmarkStart w:id="314" w:name="_Toc184314466"/>
      <w:bookmarkEnd w:id="314"/>
      <w:bookmarkStart w:id="315" w:name="_Toc184312100"/>
      <w:bookmarkEnd w:id="315"/>
      <w:bookmarkStart w:id="316" w:name="_Toc184312103"/>
      <w:bookmarkEnd w:id="316"/>
      <w:bookmarkStart w:id="317" w:name="_Toc184308053"/>
      <w:bookmarkEnd w:id="317"/>
      <w:bookmarkStart w:id="318" w:name="_Toc184308040"/>
      <w:bookmarkEnd w:id="318"/>
      <w:bookmarkStart w:id="319" w:name="_Toc184308063"/>
      <w:bookmarkEnd w:id="319"/>
      <w:bookmarkStart w:id="320" w:name="_Toc184310332"/>
      <w:bookmarkEnd w:id="320"/>
      <w:bookmarkStart w:id="321" w:name="_Toc184308059"/>
      <w:bookmarkEnd w:id="321"/>
      <w:bookmarkStart w:id="322" w:name="_Toc184310291"/>
      <w:bookmarkEnd w:id="322"/>
      <w:bookmarkStart w:id="323" w:name="_Toc184313247"/>
      <w:bookmarkEnd w:id="323"/>
      <w:bookmarkStart w:id="324" w:name="_Toc184310308"/>
      <w:bookmarkEnd w:id="324"/>
      <w:bookmarkStart w:id="325" w:name="_Toc184310343"/>
      <w:bookmarkEnd w:id="325"/>
      <w:bookmarkStart w:id="326" w:name="_Toc184314478"/>
      <w:bookmarkEnd w:id="326"/>
      <w:bookmarkStart w:id="327" w:name="_Toc184313259"/>
      <w:bookmarkEnd w:id="327"/>
      <w:bookmarkStart w:id="328" w:name="_Toc184313291"/>
      <w:bookmarkEnd w:id="328"/>
      <w:bookmarkStart w:id="329" w:name="_Toc184313239"/>
      <w:bookmarkEnd w:id="329"/>
      <w:bookmarkStart w:id="330" w:name="_Toc184314447"/>
      <w:bookmarkEnd w:id="330"/>
      <w:bookmarkStart w:id="331" w:name="_Toc184312113"/>
      <w:bookmarkEnd w:id="331"/>
      <w:bookmarkStart w:id="332" w:name="_Toc184310302"/>
      <w:bookmarkEnd w:id="332"/>
      <w:bookmarkStart w:id="333" w:name="_Toc184314458"/>
      <w:bookmarkEnd w:id="333"/>
      <w:bookmarkStart w:id="334" w:name="_Toc184314460"/>
      <w:bookmarkEnd w:id="334"/>
      <w:bookmarkStart w:id="335" w:name="_Toc184312087"/>
      <w:bookmarkEnd w:id="335"/>
      <w:bookmarkStart w:id="336" w:name="_Toc184310301"/>
      <w:bookmarkEnd w:id="336"/>
      <w:bookmarkStart w:id="337" w:name="_Toc184313265"/>
      <w:bookmarkEnd w:id="337"/>
      <w:bookmarkStart w:id="338" w:name="_Toc184310340"/>
      <w:bookmarkEnd w:id="338"/>
      <w:bookmarkStart w:id="339" w:name="_Toc184310323"/>
      <w:bookmarkEnd w:id="339"/>
      <w:bookmarkStart w:id="340" w:name="_Toc184308099"/>
      <w:bookmarkEnd w:id="340"/>
      <w:bookmarkStart w:id="341" w:name="_Toc184314410"/>
      <w:bookmarkEnd w:id="341"/>
      <w:bookmarkStart w:id="342" w:name="_Toc184310303"/>
      <w:bookmarkEnd w:id="342"/>
      <w:bookmarkStart w:id="343" w:name="_Toc184308082"/>
      <w:bookmarkEnd w:id="343"/>
      <w:bookmarkStart w:id="344" w:name="_Toc184312125"/>
      <w:bookmarkEnd w:id="344"/>
      <w:bookmarkStart w:id="345" w:name="_Toc184310329"/>
      <w:bookmarkEnd w:id="345"/>
      <w:bookmarkStart w:id="346" w:name="_Toc184314413"/>
      <w:bookmarkEnd w:id="346"/>
      <w:bookmarkStart w:id="347" w:name="_Toc184314425"/>
      <w:bookmarkEnd w:id="347"/>
      <w:bookmarkStart w:id="348" w:name="_Toc184312085"/>
      <w:bookmarkEnd w:id="348"/>
      <w:bookmarkStart w:id="349" w:name="_Toc184308102"/>
      <w:bookmarkEnd w:id="349"/>
      <w:bookmarkStart w:id="350" w:name="_Toc184308090"/>
      <w:bookmarkEnd w:id="350"/>
      <w:bookmarkStart w:id="351" w:name="_Toc184313281"/>
      <w:bookmarkEnd w:id="351"/>
      <w:bookmarkStart w:id="352" w:name="_Toc184314443"/>
      <w:bookmarkEnd w:id="352"/>
      <w:bookmarkStart w:id="353" w:name="_Toc184313296"/>
      <w:bookmarkEnd w:id="353"/>
      <w:bookmarkStart w:id="354" w:name="_Toc184308060"/>
      <w:bookmarkEnd w:id="354"/>
      <w:bookmarkStart w:id="355" w:name="_Toc184310279"/>
      <w:bookmarkEnd w:id="355"/>
      <w:bookmarkStart w:id="356" w:name="_Toc184312114"/>
      <w:bookmarkEnd w:id="356"/>
      <w:bookmarkStart w:id="357" w:name="_Toc184313303"/>
      <w:bookmarkEnd w:id="357"/>
      <w:bookmarkStart w:id="358" w:name="_Toc184308071"/>
      <w:bookmarkEnd w:id="358"/>
      <w:bookmarkStart w:id="359" w:name="_Toc184312109"/>
      <w:bookmarkEnd w:id="359"/>
      <w:bookmarkStart w:id="360" w:name="_Toc184313279"/>
      <w:bookmarkEnd w:id="360"/>
      <w:bookmarkStart w:id="361" w:name="_Toc184310325"/>
      <w:bookmarkEnd w:id="361"/>
      <w:bookmarkStart w:id="362" w:name="_Toc184313288"/>
      <w:bookmarkEnd w:id="362"/>
      <w:bookmarkStart w:id="363" w:name="_Toc184314420"/>
      <w:bookmarkEnd w:id="363"/>
      <w:bookmarkStart w:id="364" w:name="_Toc184312135"/>
      <w:bookmarkEnd w:id="364"/>
      <w:bookmarkStart w:id="365" w:name="_Toc184313266"/>
      <w:bookmarkEnd w:id="365"/>
      <w:bookmarkStart w:id="366" w:name="_Toc184314435"/>
      <w:bookmarkEnd w:id="366"/>
      <w:bookmarkStart w:id="367" w:name="_Toc184314411"/>
      <w:bookmarkEnd w:id="367"/>
      <w:bookmarkStart w:id="368" w:name="_Toc184308042"/>
      <w:bookmarkEnd w:id="368"/>
      <w:bookmarkStart w:id="369" w:name="_Toc184314436"/>
      <w:bookmarkEnd w:id="369"/>
      <w:bookmarkStart w:id="370" w:name="_Toc184314421"/>
      <w:bookmarkEnd w:id="370"/>
      <w:bookmarkStart w:id="371" w:name="_Toc184310314"/>
      <w:bookmarkEnd w:id="371"/>
      <w:bookmarkStart w:id="372" w:name="_Toc184312091"/>
      <w:bookmarkEnd w:id="372"/>
      <w:bookmarkStart w:id="373" w:name="_Toc184312121"/>
      <w:bookmarkEnd w:id="373"/>
      <w:bookmarkStart w:id="374" w:name="_Toc184312137"/>
      <w:bookmarkEnd w:id="374"/>
      <w:bookmarkStart w:id="375" w:name="_Toc184313302"/>
      <w:bookmarkEnd w:id="375"/>
      <w:bookmarkStart w:id="376" w:name="_Toc184313263"/>
      <w:bookmarkEnd w:id="376"/>
      <w:bookmarkStart w:id="377" w:name="_Toc184312098"/>
      <w:bookmarkEnd w:id="377"/>
      <w:bookmarkStart w:id="378" w:name="_Toc184313242"/>
      <w:bookmarkEnd w:id="378"/>
      <w:bookmarkStart w:id="379" w:name="_Toc184310320"/>
      <w:bookmarkEnd w:id="379"/>
      <w:bookmarkStart w:id="380" w:name="_Toc184308079"/>
      <w:bookmarkEnd w:id="380"/>
      <w:bookmarkStart w:id="381" w:name="_Toc184310287"/>
      <w:bookmarkEnd w:id="381"/>
      <w:bookmarkStart w:id="382" w:name="_Toc184313276"/>
      <w:bookmarkEnd w:id="382"/>
      <w:bookmarkStart w:id="383" w:name="_Toc184314412"/>
      <w:bookmarkEnd w:id="383"/>
      <w:bookmarkStart w:id="384" w:name="_Toc184308075"/>
      <w:bookmarkEnd w:id="384"/>
      <w:bookmarkStart w:id="385" w:name="_Toc184313274"/>
      <w:bookmarkEnd w:id="385"/>
      <w:bookmarkStart w:id="386" w:name="_Toc184308081"/>
      <w:bookmarkEnd w:id="386"/>
      <w:bookmarkStart w:id="387" w:name="_Toc184314459"/>
      <w:bookmarkEnd w:id="387"/>
      <w:bookmarkStart w:id="388" w:name="_Toc184312096"/>
      <w:bookmarkEnd w:id="388"/>
      <w:bookmarkStart w:id="389" w:name="_Toc184312115"/>
      <w:bookmarkEnd w:id="389"/>
      <w:bookmarkStart w:id="390" w:name="_Toc184312116"/>
      <w:bookmarkEnd w:id="390"/>
      <w:bookmarkStart w:id="391" w:name="_Toc184314462"/>
      <w:bookmarkEnd w:id="391"/>
      <w:bookmarkStart w:id="392" w:name="_Toc184312105"/>
      <w:bookmarkEnd w:id="392"/>
      <w:bookmarkStart w:id="393" w:name="_Toc184314461"/>
      <w:bookmarkEnd w:id="393"/>
      <w:bookmarkStart w:id="394" w:name="_Toc184312067"/>
      <w:bookmarkEnd w:id="394"/>
      <w:bookmarkStart w:id="395" w:name="_Toc184314448"/>
      <w:bookmarkEnd w:id="395"/>
      <w:r>
        <w:rPr>
          <w:rFonts w:hint="eastAsia" w:ascii="宋体" w:hAnsi="宋体" w:cs="宋体"/>
          <w:b/>
          <w:color w:val="auto"/>
          <w:sz w:val="36"/>
          <w:szCs w:val="20"/>
        </w:rPr>
        <w:t xml:space="preserve"> 评审办法</w:t>
      </w:r>
    </w:p>
    <w:p>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评审办法前附表</w:t>
      </w:r>
    </w:p>
    <w:tbl>
      <w:tblPr>
        <w:tblStyle w:val="63"/>
        <w:tblW w:w="498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1701"/>
        <w:gridCol w:w="5680"/>
        <w:gridCol w:w="467"/>
        <w:gridCol w:w="15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序号</w:t>
            </w:r>
          </w:p>
        </w:tc>
        <w:tc>
          <w:tcPr>
            <w:tcW w:w="857"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评价指标</w:t>
            </w:r>
          </w:p>
        </w:tc>
        <w:tc>
          <w:tcPr>
            <w:tcW w:w="2861"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评审标准</w:t>
            </w:r>
          </w:p>
        </w:tc>
        <w:tc>
          <w:tcPr>
            <w:tcW w:w="23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权重</w:t>
            </w:r>
          </w:p>
        </w:tc>
        <w:tc>
          <w:tcPr>
            <w:tcW w:w="771"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响应文件中评审标准相应的商务技术资料目录*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1</w:t>
            </w:r>
          </w:p>
        </w:tc>
        <w:tc>
          <w:tcPr>
            <w:tcW w:w="85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施工方案总体情况</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方案内容全面、合理、条理清晰，涵盖本次工程实施有关的内容，且具有针对性得4分，方案内容全面合理得3分，方案内容基本合理，满足采购需求得2分，方案内容有提及得1分。未提供方案不得分。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2</w:t>
            </w:r>
          </w:p>
        </w:tc>
        <w:tc>
          <w:tcPr>
            <w:tcW w:w="85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针对本项目特殊施工环境需要采取的专门的施工技术内容科学合理，针对性强的得4分，措施内容基本合理，针对性较强得3分，措施内容基本合理得2分，措施内容一般，有提及得1分。</w:t>
            </w:r>
            <w:r>
              <w:rPr>
                <w:rFonts w:hint="eastAsia" w:ascii="宋体" w:hAnsi="宋体" w:eastAsia="宋体" w:cs="宋体"/>
                <w:i w:val="0"/>
                <w:iCs w:val="0"/>
                <w:color w:val="auto"/>
                <w:kern w:val="2"/>
                <w:sz w:val="24"/>
                <w:szCs w:val="24"/>
                <w:highlight w:val="none"/>
                <w:u w:val="none"/>
                <w:shd w:val="clear" w:color="auto" w:fill="auto"/>
                <w:lang w:val="en-US" w:eastAsia="zh-CN" w:bidi="ar-SA"/>
              </w:rPr>
              <w:t>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3</w:t>
            </w:r>
          </w:p>
        </w:tc>
        <w:tc>
          <w:tcPr>
            <w:tcW w:w="85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组织措施内容科学合理，针对性强的得4分，措施内容基本合理，针对性较强得3分，措施内容基本合理得2分，措施内容一般，有提及得1分。</w:t>
            </w:r>
            <w:r>
              <w:rPr>
                <w:rFonts w:hint="eastAsia" w:ascii="宋体" w:hAnsi="宋体" w:eastAsia="宋体" w:cs="宋体"/>
                <w:i w:val="0"/>
                <w:iCs w:val="0"/>
                <w:color w:val="auto"/>
                <w:kern w:val="2"/>
                <w:sz w:val="24"/>
                <w:szCs w:val="24"/>
                <w:highlight w:val="none"/>
                <w:u w:val="none"/>
                <w:shd w:val="clear" w:color="auto" w:fill="auto"/>
                <w:lang w:val="en-US" w:eastAsia="zh-CN" w:bidi="ar-SA"/>
              </w:rPr>
              <w:t>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sz w:val="24"/>
                <w:szCs w:val="24"/>
                <w:highlight w:val="none"/>
                <w:shd w:val="clear" w:color="auto" w:fill="auto"/>
                <w:lang w:val="en-US" w:eastAsia="zh-CN"/>
              </w:rPr>
              <w:t>4</w:t>
            </w:r>
          </w:p>
        </w:tc>
        <w:tc>
          <w:tcPr>
            <w:tcW w:w="8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重点难点分析</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投标人针对本项目施工重点难点分析到位，针对性强的得4分，施工重点难点内容分析合理得3分，施工重点难点内容分析基本合理得2分，内容有提及得1分。</w:t>
            </w:r>
            <w:r>
              <w:rPr>
                <w:rFonts w:hint="eastAsia" w:ascii="宋体" w:hAnsi="宋体" w:eastAsia="宋体" w:cs="宋体"/>
                <w:i w:val="0"/>
                <w:iCs w:val="0"/>
                <w:color w:val="auto"/>
                <w:kern w:val="2"/>
                <w:sz w:val="24"/>
                <w:szCs w:val="24"/>
                <w:highlight w:val="none"/>
                <w:u w:val="none"/>
                <w:shd w:val="clear" w:color="auto" w:fill="auto"/>
                <w:lang w:val="en-US" w:eastAsia="zh-CN" w:bidi="ar-SA"/>
              </w:rPr>
              <w:t>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sz w:val="24"/>
                <w:szCs w:val="24"/>
                <w:highlight w:val="none"/>
                <w:shd w:val="clear" w:color="auto" w:fill="auto"/>
                <w:lang w:val="en-US" w:eastAsia="zh-CN"/>
              </w:rPr>
              <w:t>5</w:t>
            </w:r>
          </w:p>
        </w:tc>
        <w:tc>
          <w:tcPr>
            <w:tcW w:w="8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施工进度计划及保证措施</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施工进度计划及保证措施等保障措施是否合理、明确，针对性强的得4分，措施内容基本合理，针对性较强得3分，措施内容基本合理得2分，措施内容一般，有提及得1分。</w:t>
            </w:r>
            <w:r>
              <w:rPr>
                <w:rFonts w:hint="eastAsia" w:ascii="宋体" w:hAnsi="宋体" w:eastAsia="宋体" w:cs="宋体"/>
                <w:i w:val="0"/>
                <w:iCs w:val="0"/>
                <w:color w:val="auto"/>
                <w:kern w:val="2"/>
                <w:sz w:val="24"/>
                <w:szCs w:val="24"/>
                <w:highlight w:val="none"/>
                <w:u w:val="none"/>
                <w:shd w:val="clear" w:color="auto" w:fill="auto"/>
                <w:lang w:val="en-US" w:eastAsia="zh-CN" w:bidi="ar-SA"/>
              </w:rPr>
              <w:t>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6</w:t>
            </w:r>
          </w:p>
        </w:tc>
        <w:tc>
          <w:tcPr>
            <w:tcW w:w="85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专项施工方案</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专项施工方案内容科学合理，主要分部施工方法符合项目实际针对性强得4分，方案内容全面合理得3分，方案内容基本合理，满足采购需求得2分，方案内容有提及得1分。未提供方案不得分。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7</w:t>
            </w:r>
          </w:p>
        </w:tc>
        <w:tc>
          <w:tcPr>
            <w:tcW w:w="85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关键工序、复杂环节的相应技术措施内容科学合理，针对性强的得4分，措施内容基本合理，针对性较强得3分，措施内容基本合理得2分，措施内容一般，有提及得1分。未提供方案不得分。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8</w:t>
            </w:r>
          </w:p>
        </w:tc>
        <w:tc>
          <w:tcPr>
            <w:tcW w:w="8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响应性承诺</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投标人对采购人提出的工期、质量、安全等方面要求响应性:(1)响应方案充分考虑采购人需求以及实际情况的得3分，(2)响应方案满足采购文件基本要求的得2分，(3)响应方案部分响应采购文件基本要求的得1分，(4)未提出实质性方案阐述和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3</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9</w:t>
            </w:r>
          </w:p>
        </w:tc>
        <w:tc>
          <w:tcPr>
            <w:tcW w:w="8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质量控制措施</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施工质量目标明确，质量控制措施科学、合理，且有技术支撑的得4分，质量措施合理得3分，质量措施基本合理得2分，质量措施内容一般得1分。未提供方案不得分。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10</w:t>
            </w:r>
          </w:p>
        </w:tc>
        <w:tc>
          <w:tcPr>
            <w:tcW w:w="8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安全、文明施工及市政、市容、环保、消防等的保证措施</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安全、文明施工及市政、市容、环保、消防等的保证措施科学、合理、到位的得4分，措施合理得3分，措施基本合理得2分，措施内容一般得1分。未提供方案不得分。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11</w:t>
            </w:r>
          </w:p>
        </w:tc>
        <w:tc>
          <w:tcPr>
            <w:tcW w:w="8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施工机具和检验仪器</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施工机具和检验仪器的投入能够优于工程实施的需要，且与项目相适应针对性强得4分，施工机具和检验仪器的投入满足工程实施需求且针对性强得3分，施工机具和检验仪器的投入基本满足工程实施需求得2分，施工机具和检验仪器的投入对工程实施需求能够涉及到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12</w:t>
            </w:r>
          </w:p>
        </w:tc>
        <w:tc>
          <w:tcPr>
            <w:tcW w:w="8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材料设备</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材料设备进场计划及施工计划情况：具有详细的材料设备进场计划且计划周密，材料数量、质量控制，时间安排合理，满足施工需要的得3分，材料设备进场计划安排有缺失，时间安排与施工配合有差异的得2分，进场计划、时间安排混乱的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3</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13</w:t>
            </w:r>
          </w:p>
        </w:tc>
        <w:tc>
          <w:tcPr>
            <w:tcW w:w="8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成品保护的保证措施</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投标人对成品保护的保证措施合理、科学，具有可操作性得4分，措施合理得3分，措施基本合理得</w:t>
            </w:r>
            <w:r>
              <w:rPr>
                <w:rFonts w:hint="eastAsia" w:ascii="宋体" w:hAnsi="宋体" w:cs="宋体"/>
                <w:i w:val="0"/>
                <w:iCs w:val="0"/>
                <w:color w:val="auto"/>
                <w:kern w:val="2"/>
                <w:sz w:val="24"/>
                <w:szCs w:val="24"/>
                <w:highlight w:val="none"/>
                <w:u w:val="none"/>
                <w:shd w:val="clear" w:color="auto" w:fill="auto"/>
                <w:lang w:val="en-US" w:eastAsia="zh-CN" w:bidi="ar-SA"/>
              </w:rPr>
              <w:t>2</w:t>
            </w:r>
            <w:r>
              <w:rPr>
                <w:rFonts w:hint="eastAsia" w:ascii="宋体" w:hAnsi="宋体" w:eastAsia="宋体" w:cs="宋体"/>
                <w:i w:val="0"/>
                <w:iCs w:val="0"/>
                <w:color w:val="auto"/>
                <w:kern w:val="2"/>
                <w:sz w:val="24"/>
                <w:szCs w:val="24"/>
                <w:highlight w:val="none"/>
                <w:u w:val="none"/>
                <w:shd w:val="clear" w:color="auto" w:fill="auto"/>
                <w:lang w:val="en-US" w:eastAsia="zh-CN" w:bidi="ar-SA"/>
              </w:rPr>
              <w:t>分</w:t>
            </w:r>
            <w:r>
              <w:rPr>
                <w:rFonts w:hint="eastAsia" w:ascii="宋体" w:hAnsi="宋体" w:cs="宋体"/>
                <w:i w:val="0"/>
                <w:iCs w:val="0"/>
                <w:color w:val="auto"/>
                <w:kern w:val="2"/>
                <w:sz w:val="24"/>
                <w:szCs w:val="24"/>
                <w:highlight w:val="none"/>
                <w:u w:val="none"/>
                <w:shd w:val="clear" w:color="auto" w:fill="auto"/>
                <w:lang w:val="en-US" w:eastAsia="zh-CN" w:bidi="ar-SA"/>
              </w:rPr>
              <w:t>，措施内容一般得1分</w:t>
            </w:r>
            <w:r>
              <w:rPr>
                <w:rFonts w:hint="eastAsia" w:ascii="宋体" w:hAnsi="宋体" w:eastAsia="宋体" w:cs="宋体"/>
                <w:i w:val="0"/>
                <w:iCs w:val="0"/>
                <w:color w:val="auto"/>
                <w:kern w:val="2"/>
                <w:sz w:val="24"/>
                <w:szCs w:val="24"/>
                <w:highlight w:val="none"/>
                <w:u w:val="none"/>
                <w:shd w:val="clear" w:color="auto" w:fill="auto"/>
                <w:lang w:val="en-US" w:eastAsia="zh-CN" w:bidi="ar-SA"/>
              </w:rPr>
              <w:t>。未提供方案不得分。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4</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14</w:t>
            </w:r>
          </w:p>
        </w:tc>
        <w:tc>
          <w:tcPr>
            <w:tcW w:w="8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降噪措施</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投标人的降噪措施合理、具有可操作性得3分，措施合理得2分，措施基本合理得1分。未提供方案不得分。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3</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15</w:t>
            </w:r>
          </w:p>
        </w:tc>
        <w:tc>
          <w:tcPr>
            <w:tcW w:w="85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团队人员</w:t>
            </w:r>
          </w:p>
        </w:tc>
        <w:tc>
          <w:tcPr>
            <w:tcW w:w="2861" w:type="pct"/>
            <w:noWrap w:val="0"/>
            <w:vAlign w:val="center"/>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sz w:val="24"/>
                <w:szCs w:val="24"/>
                <w:highlight w:val="none"/>
                <w:shd w:val="clear" w:color="auto" w:fill="auto"/>
              </w:rPr>
              <w:t>项目</w:t>
            </w:r>
            <w:r>
              <w:rPr>
                <w:rFonts w:hint="eastAsia" w:ascii="宋体" w:hAnsi="宋体" w:eastAsia="宋体" w:cs="宋体"/>
                <w:i w:val="0"/>
                <w:iCs w:val="0"/>
                <w:color w:val="auto"/>
                <w:sz w:val="24"/>
                <w:szCs w:val="24"/>
                <w:highlight w:val="none"/>
                <w:shd w:val="clear" w:color="auto" w:fill="auto"/>
                <w:lang w:val="en-US"/>
              </w:rPr>
              <w:t>组</w:t>
            </w:r>
            <w:r>
              <w:rPr>
                <w:rFonts w:hint="eastAsia" w:ascii="宋体" w:hAnsi="宋体" w:eastAsia="宋体" w:cs="宋体"/>
                <w:i w:val="0"/>
                <w:iCs w:val="0"/>
                <w:color w:val="auto"/>
                <w:sz w:val="24"/>
                <w:szCs w:val="24"/>
                <w:highlight w:val="none"/>
                <w:shd w:val="clear" w:color="auto" w:fill="auto"/>
                <w:lang w:val="en-US" w:eastAsia="zh-CN"/>
              </w:rPr>
              <w:t>团队</w:t>
            </w:r>
            <w:r>
              <w:rPr>
                <w:rFonts w:hint="eastAsia" w:ascii="宋体" w:hAnsi="宋体" w:eastAsia="宋体" w:cs="宋体"/>
                <w:i w:val="0"/>
                <w:iCs w:val="0"/>
                <w:color w:val="auto"/>
                <w:sz w:val="24"/>
                <w:szCs w:val="24"/>
                <w:highlight w:val="none"/>
                <w:shd w:val="clear" w:color="auto" w:fill="auto"/>
                <w:lang w:val="en-US"/>
              </w:rPr>
              <w:t>人员数量充足</w:t>
            </w:r>
            <w:r>
              <w:rPr>
                <w:rFonts w:hint="eastAsia" w:ascii="宋体" w:hAnsi="宋体" w:eastAsia="宋体" w:cs="宋体"/>
                <w:i w:val="0"/>
                <w:iCs w:val="0"/>
                <w:color w:val="auto"/>
                <w:sz w:val="24"/>
                <w:szCs w:val="24"/>
                <w:highlight w:val="none"/>
                <w:shd w:val="clear" w:color="auto" w:fill="auto"/>
                <w:lang w:val="en-US" w:eastAsia="zh-CN"/>
              </w:rPr>
              <w:t>能充分保障施工进度的得2分，团队人员有一定数量，但无法满足施工进度的得1分，不提供团队人员清单的不得分。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2</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16</w:t>
            </w:r>
          </w:p>
        </w:tc>
        <w:tc>
          <w:tcPr>
            <w:tcW w:w="85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p>
        </w:tc>
        <w:tc>
          <w:tcPr>
            <w:tcW w:w="2861" w:type="pct"/>
            <w:noWrap w:val="0"/>
            <w:vAlign w:val="center"/>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项目组团队人员</w:t>
            </w:r>
            <w:r>
              <w:rPr>
                <w:rFonts w:hint="eastAsia" w:ascii="宋体" w:hAnsi="宋体" w:eastAsia="宋体" w:cs="宋体"/>
                <w:i w:val="0"/>
                <w:iCs w:val="0"/>
                <w:color w:val="auto"/>
                <w:sz w:val="24"/>
                <w:szCs w:val="24"/>
                <w:highlight w:val="none"/>
                <w:shd w:val="clear" w:color="auto" w:fill="auto"/>
                <w:lang w:val="en-US"/>
              </w:rPr>
              <w:t>结构合理</w:t>
            </w:r>
            <w:r>
              <w:rPr>
                <w:rFonts w:hint="eastAsia" w:ascii="宋体" w:hAnsi="宋体" w:eastAsia="宋体" w:cs="宋体"/>
                <w:i w:val="0"/>
                <w:iCs w:val="0"/>
                <w:color w:val="auto"/>
                <w:sz w:val="24"/>
                <w:szCs w:val="24"/>
                <w:highlight w:val="none"/>
                <w:shd w:val="clear" w:color="auto" w:fill="auto"/>
                <w:lang w:val="en-US" w:eastAsia="zh-CN"/>
              </w:rPr>
              <w:t>的，</w:t>
            </w:r>
            <w:r>
              <w:rPr>
                <w:rFonts w:hint="eastAsia" w:ascii="宋体" w:hAnsi="宋体" w:eastAsia="宋体" w:cs="宋体"/>
                <w:i w:val="0"/>
                <w:iCs w:val="0"/>
                <w:color w:val="auto"/>
                <w:sz w:val="24"/>
                <w:szCs w:val="24"/>
                <w:highlight w:val="none"/>
                <w:shd w:val="clear" w:color="auto" w:fill="auto"/>
                <w:lang w:val="en-US"/>
              </w:rPr>
              <w:t>专业技术能力强</w:t>
            </w:r>
            <w:r>
              <w:rPr>
                <w:rFonts w:hint="eastAsia" w:ascii="宋体" w:hAnsi="宋体" w:eastAsia="宋体" w:cs="宋体"/>
                <w:i w:val="0"/>
                <w:iCs w:val="0"/>
                <w:color w:val="auto"/>
                <w:sz w:val="24"/>
                <w:szCs w:val="24"/>
                <w:highlight w:val="none"/>
                <w:shd w:val="clear" w:color="auto" w:fill="auto"/>
                <w:lang w:val="en-US" w:eastAsia="zh-CN"/>
              </w:rPr>
              <w:t>，有不同与项目实施相关专业的技术人员进行施工指导工作的得3分；人员结构、专业技术人员基本满足采购需求的得2分；人员结构混乱，相关专业技术人员力量薄弱的得1分</w:t>
            </w:r>
            <w:r>
              <w:rPr>
                <w:rFonts w:hint="eastAsia" w:ascii="宋体" w:hAnsi="宋体" w:eastAsia="宋体" w:cs="宋体"/>
                <w:i w:val="0"/>
                <w:iCs w:val="0"/>
                <w:color w:val="auto"/>
                <w:sz w:val="24"/>
                <w:szCs w:val="24"/>
                <w:highlight w:val="none"/>
                <w:shd w:val="clear" w:color="auto" w:fill="auto"/>
                <w:lang w:val="en-US"/>
              </w:rPr>
              <w:t>。</w:t>
            </w:r>
            <w:r>
              <w:rPr>
                <w:rFonts w:hint="eastAsia" w:ascii="宋体" w:hAnsi="宋体" w:eastAsia="宋体" w:cs="宋体"/>
                <w:i w:val="0"/>
                <w:iCs w:val="0"/>
                <w:color w:val="auto"/>
                <w:sz w:val="24"/>
                <w:szCs w:val="24"/>
                <w:highlight w:val="none"/>
                <w:shd w:val="clear" w:color="auto" w:fill="auto"/>
                <w:lang w:val="en-US" w:eastAsia="zh-CN"/>
              </w:rPr>
              <w:t>不提供人员清单配备情况，专业技术情况的不得分。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3</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17</w:t>
            </w:r>
          </w:p>
        </w:tc>
        <w:tc>
          <w:tcPr>
            <w:tcW w:w="85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p>
        </w:tc>
        <w:tc>
          <w:tcPr>
            <w:tcW w:w="2861" w:type="pct"/>
            <w:noWrap w:val="0"/>
            <w:vAlign w:val="center"/>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项目负责人具备工程师及以上职称的，得</w:t>
            </w:r>
            <w:r>
              <w:rPr>
                <w:rFonts w:hint="eastAsia" w:ascii="宋体" w:hAnsi="宋体" w:eastAsia="宋体" w:cs="宋体"/>
                <w:i w:val="0"/>
                <w:iCs w:val="0"/>
                <w:color w:val="auto"/>
                <w:sz w:val="24"/>
                <w:szCs w:val="24"/>
                <w:highlight w:val="none"/>
                <w:shd w:val="clear" w:color="auto" w:fill="auto"/>
                <w:lang w:val="en-US" w:eastAsia="zh-CN"/>
              </w:rPr>
              <w:t>1</w:t>
            </w:r>
            <w:r>
              <w:rPr>
                <w:rFonts w:hint="eastAsia" w:ascii="宋体" w:hAnsi="宋体" w:eastAsia="宋体" w:cs="宋体"/>
                <w:i w:val="0"/>
                <w:iCs w:val="0"/>
                <w:color w:val="auto"/>
                <w:sz w:val="24"/>
                <w:szCs w:val="24"/>
                <w:highlight w:val="none"/>
                <w:shd w:val="clear" w:color="auto" w:fill="auto"/>
              </w:rPr>
              <w:t>分；作为项目负责人具有类似项目工作经验的，每1个业绩得</w:t>
            </w:r>
            <w:r>
              <w:rPr>
                <w:rFonts w:hint="eastAsia" w:ascii="宋体" w:hAnsi="宋体" w:eastAsia="宋体" w:cs="宋体"/>
                <w:i w:val="0"/>
                <w:iCs w:val="0"/>
                <w:color w:val="auto"/>
                <w:sz w:val="24"/>
                <w:szCs w:val="24"/>
                <w:highlight w:val="none"/>
                <w:shd w:val="clear" w:color="auto" w:fill="auto"/>
                <w:lang w:val="en-US" w:eastAsia="zh-CN"/>
              </w:rPr>
              <w:t>0.5</w:t>
            </w:r>
            <w:r>
              <w:rPr>
                <w:rFonts w:hint="eastAsia" w:ascii="宋体" w:hAnsi="宋体" w:eastAsia="宋体" w:cs="宋体"/>
                <w:i w:val="0"/>
                <w:iCs w:val="0"/>
                <w:color w:val="auto"/>
                <w:sz w:val="24"/>
                <w:szCs w:val="24"/>
                <w:highlight w:val="none"/>
                <w:shd w:val="clear" w:color="auto" w:fill="auto"/>
              </w:rPr>
              <w:t>分，最高得</w:t>
            </w:r>
            <w:r>
              <w:rPr>
                <w:rFonts w:hint="eastAsia" w:ascii="宋体" w:hAnsi="宋体" w:eastAsia="宋体" w:cs="宋体"/>
                <w:i w:val="0"/>
                <w:iCs w:val="0"/>
                <w:color w:val="auto"/>
                <w:sz w:val="24"/>
                <w:szCs w:val="24"/>
                <w:highlight w:val="none"/>
                <w:shd w:val="clear" w:color="auto" w:fill="auto"/>
                <w:lang w:val="en-US" w:eastAsia="zh-CN"/>
              </w:rPr>
              <w:t>1</w:t>
            </w:r>
            <w:r>
              <w:rPr>
                <w:rFonts w:hint="eastAsia" w:ascii="宋体" w:hAnsi="宋体" w:eastAsia="宋体" w:cs="宋体"/>
                <w:i w:val="0"/>
                <w:iCs w:val="0"/>
                <w:color w:val="auto"/>
                <w:sz w:val="24"/>
                <w:szCs w:val="24"/>
                <w:highlight w:val="none"/>
                <w:shd w:val="clear" w:color="auto" w:fill="auto"/>
              </w:rPr>
              <w:t>分。</w:t>
            </w:r>
          </w:p>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（须提供人员证书及人员工作经验证明材料扫描件及</w:t>
            </w:r>
            <w:r>
              <w:rPr>
                <w:rFonts w:hint="eastAsia" w:ascii="宋体" w:hAnsi="宋体" w:eastAsia="宋体" w:cs="宋体"/>
                <w:i w:val="0"/>
                <w:iCs w:val="0"/>
                <w:color w:val="auto"/>
                <w:kern w:val="2"/>
                <w:sz w:val="24"/>
                <w:szCs w:val="24"/>
                <w:highlight w:val="none"/>
                <w:shd w:val="clear" w:color="auto" w:fill="auto"/>
                <w:lang w:val="en-US" w:eastAsia="zh-CN" w:bidi="ar-SA"/>
              </w:rPr>
              <w:t>开标前三个月任意一个月的本单位缴纳社保证明扫描件</w:t>
            </w:r>
            <w:r>
              <w:rPr>
                <w:rFonts w:hint="eastAsia" w:ascii="宋体" w:hAnsi="宋体" w:eastAsia="宋体" w:cs="宋体"/>
                <w:i w:val="0"/>
                <w:iCs w:val="0"/>
                <w:color w:val="auto"/>
                <w:sz w:val="24"/>
                <w:szCs w:val="24"/>
                <w:highlight w:val="none"/>
                <w:shd w:val="clear" w:color="auto" w:fill="auto"/>
              </w:rPr>
              <w:t>，并加盖投标人公章），未提供不得分。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2</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18</w:t>
            </w:r>
          </w:p>
        </w:tc>
        <w:tc>
          <w:tcPr>
            <w:tcW w:w="857" w:type="pct"/>
            <w:vMerge w:val="continue"/>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eastAsia="zh-CN"/>
              </w:rPr>
            </w:pPr>
          </w:p>
        </w:tc>
        <w:tc>
          <w:tcPr>
            <w:tcW w:w="2861" w:type="pct"/>
            <w:noWrap w:val="0"/>
            <w:vAlign w:val="center"/>
          </w:tcPr>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针对本项目拟派人员中具有施工员、安全员、质量员、材料员、资料员，每具备1个，得1分，最高得3分。【提供人员相关证书及开标前三个月任意一个月的本单位缴纳社保证明扫描件】，未提供不得分。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color="000000"/>
                <w:shd w:val="clear" w:color="auto" w:fill="auto"/>
                <w:lang w:val="en-US" w:eastAsia="zh-CN" w:bidi="ar-SA"/>
              </w:rPr>
            </w:pPr>
            <w:r>
              <w:rPr>
                <w:rFonts w:hint="eastAsia" w:ascii="宋体" w:hAnsi="宋体" w:eastAsia="宋体" w:cs="宋体"/>
                <w:i w:val="0"/>
                <w:iCs w:val="0"/>
                <w:color w:val="auto"/>
                <w:kern w:val="2"/>
                <w:sz w:val="24"/>
                <w:szCs w:val="24"/>
                <w:highlight w:val="none"/>
                <w:u w:val="none" w:color="000000"/>
                <w:shd w:val="clear" w:color="auto" w:fill="auto"/>
                <w:lang w:val="en-US" w:eastAsia="zh-CN" w:bidi="ar-SA"/>
              </w:rPr>
              <w:t>3</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19</w:t>
            </w:r>
          </w:p>
        </w:tc>
        <w:tc>
          <w:tcPr>
            <w:tcW w:w="857"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合理化建议</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i w:val="0"/>
                <w:iCs w:val="0"/>
                <w:color w:val="auto"/>
                <w:kern w:val="0"/>
                <w:sz w:val="24"/>
                <w:szCs w:val="24"/>
                <w:highlight w:val="none"/>
                <w:u w:val="none"/>
                <w:shd w:val="clear" w:color="auto" w:fill="auto"/>
                <w:lang w:val="en-US" w:eastAsia="zh-CN" w:bidi="ar"/>
              </w:rPr>
              <w:t>投标人提供的合理化建议合理、具有可操作性、针对性，得3分，内容合理得2分，内容基本合理得1分。</w:t>
            </w:r>
            <w:r>
              <w:rPr>
                <w:rFonts w:hint="eastAsia" w:ascii="宋体" w:hAnsi="宋体" w:eastAsia="宋体" w:cs="宋体"/>
                <w:i w:val="0"/>
                <w:iCs w:val="0"/>
                <w:color w:val="auto"/>
                <w:kern w:val="2"/>
                <w:sz w:val="24"/>
                <w:szCs w:val="24"/>
                <w:highlight w:val="none"/>
                <w:u w:val="none"/>
                <w:shd w:val="clear" w:color="auto" w:fill="auto"/>
                <w:lang w:val="en-US" w:eastAsia="zh-CN" w:bidi="ar-SA"/>
              </w:rPr>
              <w:t>未提供方案不得分。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3</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20</w:t>
            </w:r>
          </w:p>
        </w:tc>
        <w:tc>
          <w:tcPr>
            <w:tcW w:w="8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0"/>
                <w:sz w:val="24"/>
                <w:szCs w:val="24"/>
                <w:highlight w:val="none"/>
                <w:u w:val="none"/>
                <w:shd w:val="clear" w:color="auto" w:fill="auto"/>
                <w:lang w:val="en-US" w:eastAsia="zh-CN" w:bidi="ar"/>
              </w:rPr>
              <w:t>投标人情况</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投标人具有有效的质量管理体系认证证书、环境管理体系认证证书、职业健康安全管理体系认证证书；每个得1分，最高</w:t>
            </w:r>
            <w:r>
              <w:rPr>
                <w:rFonts w:hint="eastAsia" w:ascii="宋体" w:hAnsi="宋体" w:eastAsia="宋体" w:cs="宋体"/>
                <w:i w:val="0"/>
                <w:iCs w:val="0"/>
                <w:color w:val="auto"/>
                <w:kern w:val="2"/>
                <w:sz w:val="24"/>
                <w:szCs w:val="24"/>
                <w:highlight w:val="none"/>
                <w:u w:val="none"/>
                <w:shd w:val="clear" w:color="auto" w:fill="auto"/>
                <w:lang w:val="en-US" w:eastAsia="zh-CN" w:bidi="ar-SA"/>
              </w:rPr>
              <w:t>得</w:t>
            </w:r>
            <w:r>
              <w:rPr>
                <w:rFonts w:hint="eastAsia" w:ascii="宋体" w:hAnsi="宋体" w:eastAsia="宋体" w:cs="宋体"/>
                <w:i w:val="0"/>
                <w:iCs w:val="0"/>
                <w:color w:val="auto"/>
                <w:kern w:val="2"/>
                <w:sz w:val="24"/>
                <w:szCs w:val="24"/>
                <w:highlight w:val="none"/>
                <w:u w:val="none"/>
                <w:shd w:val="clear" w:color="auto" w:fill="auto"/>
                <w:lang w:val="zh-TW" w:eastAsia="zh-CN" w:bidi="ar-SA"/>
              </w:rPr>
              <w:t>3分。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zh-TW" w:eastAsia="zh-CN" w:bidi="ar-SA"/>
              </w:rPr>
            </w:pPr>
            <w:r>
              <w:rPr>
                <w:rFonts w:hint="eastAsia" w:ascii="宋体" w:hAnsi="宋体" w:eastAsia="宋体" w:cs="宋体"/>
                <w:i w:val="0"/>
                <w:iCs w:val="0"/>
                <w:color w:val="auto"/>
                <w:kern w:val="2"/>
                <w:sz w:val="24"/>
                <w:szCs w:val="24"/>
                <w:highlight w:val="none"/>
                <w:u w:val="none"/>
                <w:shd w:val="clear" w:color="auto" w:fill="auto"/>
                <w:lang w:val="zh-TW" w:eastAsia="zh-CN" w:bidi="ar-SA"/>
              </w:rPr>
              <w:t xml:space="preserve">（投标文件中需提供相关证书扫描件并加盖投标人公章，认证证书都必需在“发证机关必需在国家认证认可监督委员会官网http://www.cnca.gov.cn/登记在册，否则该项不得分）。 </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0"/>
                <w:sz w:val="24"/>
                <w:szCs w:val="24"/>
                <w:highlight w:val="none"/>
                <w:u w:val="none"/>
                <w:shd w:val="clear" w:color="auto" w:fill="auto"/>
                <w:lang w:val="en-US" w:eastAsia="zh-CN" w:bidi="ar"/>
              </w:rPr>
              <w:t>3</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21</w:t>
            </w:r>
          </w:p>
        </w:tc>
        <w:tc>
          <w:tcPr>
            <w:tcW w:w="8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0"/>
                <w:sz w:val="24"/>
                <w:szCs w:val="24"/>
                <w:highlight w:val="none"/>
                <w:u w:val="none"/>
                <w:shd w:val="clear" w:color="auto" w:fill="auto"/>
                <w:lang w:val="en-US" w:eastAsia="zh-CN" w:bidi="ar"/>
              </w:rPr>
              <w:t>类似业绩</w:t>
            </w:r>
          </w:p>
        </w:tc>
        <w:tc>
          <w:tcPr>
            <w:tcW w:w="286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供应商自2022年1月1日以来完成类似工程项目，一个得0.5分，最多得1分。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2"/>
                <w:sz w:val="24"/>
                <w:szCs w:val="24"/>
                <w:highlight w:val="none"/>
                <w:u w:val="none"/>
                <w:shd w:val="clear" w:color="auto" w:fill="auto"/>
                <w:lang w:val="en-US" w:eastAsia="zh-CN" w:bidi="ar-SA"/>
              </w:rPr>
              <w:t>证明材料：合同复印件，需体现合同签订时间、签订内容、签订双方（以公章为准）。</w:t>
            </w:r>
          </w:p>
        </w:tc>
        <w:tc>
          <w:tcPr>
            <w:tcW w:w="2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4"/>
                <w:szCs w:val="24"/>
                <w:highlight w:val="none"/>
                <w:u w:val="none"/>
                <w:shd w:val="clear" w:color="auto" w:fill="auto"/>
                <w:lang w:val="en-US" w:eastAsia="zh-CN" w:bidi="ar-SA"/>
              </w:rPr>
            </w:pPr>
            <w:r>
              <w:rPr>
                <w:rFonts w:hint="eastAsia" w:ascii="宋体" w:hAnsi="宋体" w:eastAsia="宋体" w:cs="宋体"/>
                <w:i w:val="0"/>
                <w:iCs w:val="0"/>
                <w:color w:val="auto"/>
                <w:kern w:val="0"/>
                <w:sz w:val="24"/>
                <w:szCs w:val="24"/>
                <w:highlight w:val="none"/>
                <w:u w:val="none"/>
                <w:shd w:val="clear" w:color="auto" w:fill="auto"/>
                <w:lang w:val="en-US" w:eastAsia="zh-CN" w:bidi="ar"/>
              </w:rPr>
              <w:t>1</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22</w:t>
            </w:r>
          </w:p>
        </w:tc>
        <w:tc>
          <w:tcPr>
            <w:tcW w:w="857"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报价</w:t>
            </w:r>
          </w:p>
        </w:tc>
        <w:tc>
          <w:tcPr>
            <w:tcW w:w="2861"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有效最后报价的最低价作为评审基准价，其最低报价为满分；按［最后报价得分=（评审基准价/最后报价）*</w:t>
            </w:r>
            <w:r>
              <w:rPr>
                <w:rFonts w:hint="eastAsia" w:ascii="宋体" w:hAnsi="宋体" w:eastAsia="宋体" w:cs="宋体"/>
                <w:i w:val="0"/>
                <w:iCs w:val="0"/>
                <w:color w:val="auto"/>
                <w:sz w:val="24"/>
                <w:szCs w:val="24"/>
                <w:highlight w:val="none"/>
                <w:shd w:val="clear" w:color="auto" w:fill="auto"/>
                <w:lang w:val="en-US" w:eastAsia="zh-CN"/>
              </w:rPr>
              <w:t>3</w:t>
            </w:r>
            <w:r>
              <w:rPr>
                <w:rFonts w:hint="eastAsia" w:ascii="宋体" w:hAnsi="宋体" w:eastAsia="宋体" w:cs="宋体"/>
                <w:i w:val="0"/>
                <w:iCs w:val="0"/>
                <w:color w:val="auto"/>
                <w:sz w:val="24"/>
                <w:szCs w:val="24"/>
                <w:highlight w:val="none"/>
                <w:shd w:val="clear" w:color="auto" w:fill="auto"/>
              </w:rPr>
              <w:t>0］的计算公式计算。</w:t>
            </w:r>
          </w:p>
          <w:p>
            <w:pPr>
              <w:pStyle w:val="787"/>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评审过程中，不得去掉报价中的最高报价和最低报价。</w:t>
            </w:r>
          </w:p>
          <w:p>
            <w:pPr>
              <w:pStyle w:val="787"/>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因落实政府采购政策需要进行价格调整的，以调整后的价格计算评审基准价和最后报价。</w:t>
            </w:r>
          </w:p>
        </w:tc>
        <w:tc>
          <w:tcPr>
            <w:tcW w:w="235" w:type="pct"/>
            <w:noWrap w:val="0"/>
            <w:vAlign w:val="center"/>
          </w:tcPr>
          <w:p>
            <w:pPr>
              <w:pStyle w:val="787"/>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30</w:t>
            </w:r>
          </w:p>
        </w:tc>
        <w:tc>
          <w:tcPr>
            <w:tcW w:w="771"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bl>
    <w:p>
      <w:pPr>
        <w:pStyle w:val="19"/>
        <w:rPr>
          <w:color w:val="auto"/>
        </w:rPr>
      </w:pPr>
    </w:p>
    <w:p>
      <w:pPr>
        <w:snapToGrid w:val="0"/>
        <w:spacing w:line="360" w:lineRule="auto"/>
        <w:rPr>
          <w:rFonts w:hint="eastAsia"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供应商编制响应文件（商务技术文件部分）时，建议按此目录（序号和内容）提供评审标准相应的商务技术资料。 </w:t>
      </w:r>
    </w:p>
    <w:p>
      <w:pPr>
        <w:widowControl/>
        <w:adjustRightInd/>
        <w:jc w:val="left"/>
        <w:rPr>
          <w:rFonts w:hint="eastAsia" w:ascii="宋体" w:hAnsi="宋体" w:cs="宋体"/>
          <w:b/>
          <w:color w:val="auto"/>
          <w:sz w:val="32"/>
        </w:rPr>
      </w:pPr>
      <w:r>
        <w:rPr>
          <w:rFonts w:hint="eastAsia" w:ascii="宋体" w:hAnsi="宋体" w:cs="宋体"/>
          <w:b/>
          <w:color w:val="auto"/>
          <w:sz w:val="32"/>
        </w:rPr>
        <w:br w:type="page"/>
      </w:r>
    </w:p>
    <w:p>
      <w:pPr>
        <w:snapToGrid w:val="0"/>
        <w:spacing w:line="360" w:lineRule="auto"/>
        <w:jc w:val="center"/>
        <w:rPr>
          <w:rFonts w:hint="eastAsia" w:ascii="宋体" w:hAnsi="宋体" w:cs="宋体"/>
          <w:b/>
          <w:color w:val="auto"/>
          <w:sz w:val="28"/>
          <w:szCs w:val="28"/>
        </w:rPr>
      </w:pPr>
      <w:r>
        <w:rPr>
          <w:rFonts w:hint="eastAsia" w:ascii="宋体" w:hAnsi="宋体" w:cs="宋体"/>
          <w:b/>
          <w:color w:val="auto"/>
          <w:sz w:val="32"/>
        </w:rPr>
        <w:t>一、评审方法</w:t>
      </w:r>
    </w:p>
    <w:p>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hint="eastAsia" w:ascii="宋体" w:hAnsi="宋体" w:cs="宋体"/>
          <w:b/>
          <w:color w:val="auto"/>
          <w:sz w:val="32"/>
        </w:rPr>
      </w:pPr>
      <w:r>
        <w:rPr>
          <w:rFonts w:hint="eastAsia" w:ascii="宋体" w:hAnsi="宋体" w:cs="宋体"/>
          <w:b/>
          <w:color w:val="auto"/>
          <w:sz w:val="32"/>
        </w:rPr>
        <w:t>二、评审标准</w:t>
      </w:r>
    </w:p>
    <w:p>
      <w:pPr>
        <w:spacing w:line="360" w:lineRule="auto"/>
        <w:ind w:firstLine="472" w:firstLineChars="196"/>
        <w:rPr>
          <w:rFonts w:hint="eastAsia"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评审标准：</w:t>
      </w:r>
      <w:r>
        <w:rPr>
          <w:rFonts w:hint="eastAsia" w:ascii="宋体" w:hAnsi="宋体" w:cs="宋体"/>
          <w:color w:val="auto"/>
          <w:kern w:val="0"/>
          <w:sz w:val="24"/>
        </w:rPr>
        <w:t>见评审办法前附表。</w:t>
      </w:r>
    </w:p>
    <w:p>
      <w:pPr>
        <w:snapToGrid w:val="0"/>
        <w:spacing w:line="360" w:lineRule="auto"/>
        <w:jc w:val="center"/>
        <w:rPr>
          <w:rFonts w:hint="eastAsia" w:ascii="宋体" w:hAnsi="宋体" w:cs="宋体"/>
          <w:b/>
          <w:color w:val="auto"/>
          <w:sz w:val="32"/>
        </w:rPr>
      </w:pPr>
      <w:r>
        <w:rPr>
          <w:rFonts w:hint="eastAsia" w:ascii="宋体" w:hAnsi="宋体" w:cs="宋体"/>
          <w:b/>
          <w:color w:val="auto"/>
          <w:sz w:val="32"/>
        </w:rPr>
        <w:t>三、评审程序</w:t>
      </w:r>
    </w:p>
    <w:p>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hint="eastAsia" w:ascii="宋体" w:hAnsi="宋体" w:cs="宋体"/>
          <w:color w:val="auto"/>
          <w:sz w:val="24"/>
        </w:rPr>
      </w:pPr>
      <w:r>
        <w:rPr>
          <w:rFonts w:hint="eastAsia" w:ascii="宋体" w:hAnsi="宋体" w:cs="宋体"/>
          <w:b/>
          <w:color w:val="auto"/>
          <w:kern w:val="0"/>
          <w:sz w:val="24"/>
        </w:rPr>
        <w:t>3.2 磋商。</w:t>
      </w:r>
      <w:r>
        <w:rPr>
          <w:rFonts w:hint="eastAsia" w:ascii="宋体" w:hAnsi="宋体" w:cs="宋体"/>
          <w:color w:val="auto"/>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rPr>
        <w:t>符合性审查合格的</w:t>
      </w:r>
      <w:r>
        <w:rPr>
          <w:rFonts w:hint="eastAsia" w:ascii="宋体" w:hAnsi="宋体" w:cs="宋体"/>
          <w:color w:val="auto"/>
          <w:sz w:val="24"/>
        </w:rPr>
        <w:t>供应商逐一进行磋商。</w:t>
      </w:r>
    </w:p>
    <w:p>
      <w:pPr>
        <w:spacing w:line="360" w:lineRule="auto"/>
        <w:ind w:firstLine="470" w:firstLineChars="196"/>
        <w:rPr>
          <w:rFonts w:hint="eastAsia" w:ascii="宋体" w:hAnsi="宋体" w:cs="宋体"/>
          <w:b/>
          <w:color w:val="auto"/>
          <w:sz w:val="24"/>
        </w:rPr>
      </w:pPr>
      <w:r>
        <w:rPr>
          <w:rFonts w:hint="eastAsia" w:ascii="宋体" w:hAnsi="宋体" w:cs="宋体"/>
          <w:bCs/>
          <w:color w:val="auto"/>
          <w:sz w:val="24"/>
        </w:rPr>
        <w:t xml:space="preserve">3.2.1 </w:t>
      </w:r>
      <w:r>
        <w:rPr>
          <w:rFonts w:hint="eastAsia" w:ascii="宋体" w:hAnsi="宋体" w:cs="宋体"/>
          <w:color w:val="auto"/>
          <w:sz w:val="24"/>
        </w:rPr>
        <w:t>供应商逐家回答磋商小组的提问；</w:t>
      </w:r>
      <w:r>
        <w:rPr>
          <w:rFonts w:hint="eastAsia" w:ascii="宋体" w:hAnsi="宋体" w:cs="宋体"/>
          <w:b/>
          <w:color w:val="auto"/>
          <w:sz w:val="24"/>
        </w:rPr>
        <w:t>逐家磋商一次为一个轮次，磋商轮次根据实际情况进行。</w:t>
      </w:r>
    </w:p>
    <w:p>
      <w:pPr>
        <w:spacing w:line="360" w:lineRule="auto"/>
        <w:ind w:firstLine="470" w:firstLineChars="196"/>
        <w:rPr>
          <w:rFonts w:hint="eastAsia" w:ascii="宋体" w:hAnsi="宋体" w:cs="宋体"/>
          <w:color w:val="auto"/>
          <w:sz w:val="24"/>
        </w:rPr>
      </w:pPr>
      <w:r>
        <w:rPr>
          <w:rFonts w:hint="eastAsia" w:ascii="宋体" w:hAnsi="宋体" w:cs="宋体"/>
          <w:bCs/>
          <w:color w:val="auto"/>
          <w:sz w:val="24"/>
        </w:rPr>
        <w:t xml:space="preserve">3.2.2 </w:t>
      </w:r>
      <w:r>
        <w:rPr>
          <w:rFonts w:hint="eastAsia" w:ascii="宋体" w:hAnsi="宋体" w:cs="宋体"/>
          <w:color w:val="auto"/>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hint="eastAsia" w:ascii="宋体" w:hAnsi="宋体" w:cs="宋体"/>
          <w:bCs/>
          <w:color w:val="auto"/>
          <w:kern w:val="0"/>
          <w:sz w:val="24"/>
        </w:rPr>
      </w:pPr>
      <w:r>
        <w:rPr>
          <w:rFonts w:hint="eastAsia" w:ascii="宋体" w:hAnsi="宋体" w:cs="宋体"/>
          <w:color w:val="auto"/>
          <w:sz w:val="24"/>
        </w:rPr>
        <w:t xml:space="preserve">3.2.3 </w:t>
      </w:r>
      <w:r>
        <w:rPr>
          <w:rFonts w:hint="eastAsia" w:ascii="宋体" w:hAnsi="宋体" w:cs="宋体"/>
          <w:b/>
          <w:bCs/>
          <w:color w:val="auto"/>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rPr>
        <w:t>实质性变动的内容，须经采购人代表确认。磋商文件有实质性变动的，磋商小组将以书面形式通知所有</w:t>
      </w:r>
      <w:r>
        <w:rPr>
          <w:rFonts w:hint="eastAsia" w:ascii="宋体" w:hAnsi="宋体" w:cs="宋体"/>
          <w:color w:val="auto"/>
          <w:kern w:val="0"/>
          <w:sz w:val="24"/>
        </w:rPr>
        <w:t>符合性审查合格的</w:t>
      </w:r>
      <w:r>
        <w:rPr>
          <w:rFonts w:hint="eastAsia" w:ascii="宋体" w:hAnsi="宋体" w:cs="宋体"/>
          <w:color w:val="auto"/>
          <w:sz w:val="24"/>
        </w:rPr>
        <w:t xml:space="preserve">供应商。 </w:t>
      </w:r>
    </w:p>
    <w:p>
      <w:pPr>
        <w:spacing w:line="360" w:lineRule="auto"/>
        <w:ind w:firstLine="472" w:firstLineChars="196"/>
        <w:rPr>
          <w:rFonts w:hint="eastAsia" w:ascii="宋体" w:hAnsi="宋体" w:cs="宋体"/>
          <w:b/>
          <w:bCs/>
          <w:color w:val="auto"/>
          <w:kern w:val="0"/>
          <w:sz w:val="24"/>
        </w:rPr>
      </w:pPr>
      <w:r>
        <w:rPr>
          <w:rFonts w:hint="eastAsia" w:ascii="宋体" w:hAnsi="宋体" w:cs="宋体"/>
          <w:b/>
          <w:bCs/>
          <w:color w:val="auto"/>
          <w:kern w:val="0"/>
          <w:sz w:val="24"/>
        </w:rPr>
        <w:t>3.3最后报价</w:t>
      </w:r>
    </w:p>
    <w:p>
      <w:pPr>
        <w:spacing w:line="360" w:lineRule="auto"/>
        <w:ind w:firstLine="470" w:firstLineChars="196"/>
        <w:rPr>
          <w:rFonts w:hint="eastAsia" w:ascii="宋体" w:hAnsi="宋体" w:cs="宋体"/>
          <w:color w:val="auto"/>
          <w:kern w:val="0"/>
          <w:sz w:val="24"/>
        </w:rPr>
      </w:pPr>
      <w:r>
        <w:rPr>
          <w:rFonts w:hint="eastAsia" w:ascii="宋体" w:hAnsi="宋体" w:cs="宋体"/>
          <w:color w:val="auto"/>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hint="eastAsia" w:ascii="宋体" w:hAnsi="宋体" w:cs="宋体"/>
          <w:color w:val="auto"/>
          <w:kern w:val="0"/>
          <w:sz w:val="24"/>
        </w:rPr>
      </w:pPr>
      <w:r>
        <w:rPr>
          <w:rFonts w:hint="eastAsia" w:ascii="宋体" w:hAnsi="宋体" w:cs="宋体"/>
          <w:color w:val="auto"/>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hint="eastAsia" w:ascii="宋体" w:hAnsi="宋体" w:cs="宋体"/>
          <w:color w:val="auto"/>
          <w:kern w:val="0"/>
          <w:sz w:val="24"/>
        </w:rPr>
      </w:pPr>
      <w:r>
        <w:rPr>
          <w:rFonts w:hint="eastAsia" w:ascii="宋体" w:hAnsi="宋体" w:cs="宋体"/>
          <w:color w:val="auto"/>
          <w:kern w:val="0"/>
          <w:sz w:val="24"/>
        </w:rPr>
        <w:t>3.3.3 已提交响应文件的供应商，在提交最后报价之前，可以根据磋商情况退出磋商</w:t>
      </w:r>
    </w:p>
    <w:p>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3.4 综合评分。</w:t>
      </w:r>
      <w:r>
        <w:rPr>
          <w:rFonts w:hint="eastAsia" w:ascii="宋体" w:hAnsi="宋体" w:cs="宋体"/>
          <w:bCs/>
          <w:color w:val="auto"/>
          <w:kern w:val="0"/>
          <w:sz w:val="24"/>
        </w:rPr>
        <w:t>经磋商确定最终采购需求和提交最后报价的供应商后，</w:t>
      </w:r>
      <w:r>
        <w:rPr>
          <w:rFonts w:hint="eastAsia" w:ascii="宋体" w:hAnsi="宋体" w:cs="宋体"/>
          <w:color w:val="auto"/>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hint="eastAsia" w:ascii="宋体" w:hAnsi="宋体" w:cs="宋体"/>
          <w:b/>
          <w:color w:val="auto"/>
          <w:kern w:val="0"/>
          <w:sz w:val="24"/>
        </w:rPr>
      </w:pPr>
      <w:r>
        <w:rPr>
          <w:rFonts w:hint="eastAsia" w:ascii="宋体" w:hAnsi="宋体" w:cs="宋体"/>
          <w:b/>
          <w:color w:val="auto"/>
          <w:kern w:val="0"/>
          <w:sz w:val="24"/>
        </w:rPr>
        <w:t>3.6报价评审。</w:t>
      </w:r>
    </w:p>
    <w:p>
      <w:pPr>
        <w:pStyle w:val="141"/>
        <w:spacing w:before="0"/>
        <w:ind w:firstLine="508" w:firstLineChars="212"/>
        <w:rPr>
          <w:rFonts w:hint="eastAsia" w:ascii="宋体" w:hAnsi="宋体" w:cs="宋体"/>
          <w:color w:val="auto"/>
          <w:kern w:val="0"/>
        </w:rPr>
      </w:pPr>
      <w:r>
        <w:rPr>
          <w:rFonts w:hint="eastAsia" w:ascii="宋体" w:hAnsi="宋体" w:cs="宋体"/>
          <w:color w:val="auto"/>
          <w:kern w:val="0"/>
        </w:rPr>
        <w:t>3.6.1响应文件报价出现前后不一致的，按照下列规定修正：</w:t>
      </w:r>
    </w:p>
    <w:p>
      <w:pPr>
        <w:pStyle w:val="141"/>
        <w:spacing w:before="0"/>
        <w:ind w:firstLine="480"/>
        <w:rPr>
          <w:rFonts w:hint="eastAsia" w:ascii="宋体" w:hAnsi="宋体" w:cs="宋体"/>
          <w:color w:val="auto"/>
          <w:kern w:val="0"/>
          <w:szCs w:val="24"/>
        </w:rPr>
      </w:pPr>
      <w:r>
        <w:rPr>
          <w:rFonts w:hint="eastAsia" w:ascii="宋体" w:hAnsi="宋体" w:cs="宋体"/>
          <w:color w:val="auto"/>
          <w:kern w:val="0"/>
          <w:szCs w:val="24"/>
        </w:rPr>
        <w:t>3.6.1.1响应文件中已标价工程量清单内容与响应文件中相应内容不一致的，以已标价工程量清单为准;</w:t>
      </w:r>
    </w:p>
    <w:p>
      <w:pPr>
        <w:pStyle w:val="141"/>
        <w:spacing w:before="0"/>
        <w:ind w:firstLine="480"/>
        <w:rPr>
          <w:rFonts w:hint="eastAsia" w:ascii="宋体" w:hAnsi="宋体" w:cs="宋体"/>
          <w:color w:val="auto"/>
          <w:kern w:val="0"/>
          <w:szCs w:val="24"/>
        </w:rPr>
      </w:pPr>
      <w:r>
        <w:rPr>
          <w:rFonts w:hint="eastAsia" w:ascii="宋体" w:hAnsi="宋体" w:cs="宋体"/>
          <w:color w:val="auto"/>
          <w:kern w:val="0"/>
          <w:szCs w:val="24"/>
        </w:rPr>
        <w:t>3.6.1.2大写金额和小写金额不一致的，以大写金额为准;</w:t>
      </w:r>
    </w:p>
    <w:p>
      <w:pPr>
        <w:pStyle w:val="141"/>
        <w:spacing w:before="0"/>
        <w:ind w:firstLine="480"/>
        <w:rPr>
          <w:rFonts w:hint="eastAsia" w:ascii="宋体" w:hAnsi="宋体" w:cs="宋体"/>
          <w:color w:val="auto"/>
          <w:kern w:val="0"/>
          <w:szCs w:val="24"/>
        </w:rPr>
      </w:pPr>
      <w:r>
        <w:rPr>
          <w:rFonts w:hint="eastAsia" w:ascii="宋体" w:hAnsi="宋体" w:cs="宋体"/>
          <w:color w:val="auto"/>
          <w:kern w:val="0"/>
          <w:szCs w:val="24"/>
        </w:rPr>
        <w:t>3.6.1.3单价金额小数点或者百分比有明显错位的，以已标价工程量清单的总价为准，并修改单价;</w:t>
      </w:r>
    </w:p>
    <w:p>
      <w:pPr>
        <w:pStyle w:val="141"/>
        <w:spacing w:before="0"/>
        <w:ind w:firstLine="480"/>
        <w:rPr>
          <w:rFonts w:hint="eastAsia" w:ascii="宋体" w:hAnsi="宋体" w:cs="宋体"/>
          <w:color w:val="auto"/>
          <w:kern w:val="0"/>
          <w:szCs w:val="24"/>
        </w:rPr>
      </w:pPr>
      <w:r>
        <w:rPr>
          <w:rFonts w:hint="eastAsia" w:ascii="宋体" w:hAnsi="宋体" w:cs="宋体"/>
          <w:color w:val="auto"/>
          <w:kern w:val="0"/>
          <w:szCs w:val="24"/>
        </w:rPr>
        <w:t>3.6.1.4总价金额与按单价汇总金额不一致的，以单价金额计算结果为准。</w:t>
      </w:r>
    </w:p>
    <w:p>
      <w:pPr>
        <w:pStyle w:val="141"/>
        <w:spacing w:before="0"/>
        <w:ind w:firstLine="480"/>
        <w:rPr>
          <w:rFonts w:hint="eastAsia" w:ascii="宋体" w:hAnsi="宋体" w:cs="宋体"/>
          <w:color w:val="auto"/>
          <w:kern w:val="0"/>
          <w:szCs w:val="24"/>
        </w:rPr>
      </w:pPr>
      <w:r>
        <w:rPr>
          <w:rFonts w:hint="eastAsia" w:ascii="宋体" w:hAnsi="宋体" w:cs="宋体"/>
          <w:color w:val="auto"/>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3.6.2响应文件出现不是唯一的、有选择性最后报价的，响应文件无效。</w:t>
      </w:r>
    </w:p>
    <w:p>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3.6.3最后报价超过采购文件中规定的预算金额或者最高限价的，响应文件无效。</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3.7排序与推荐。</w:t>
      </w:r>
      <w:r>
        <w:rPr>
          <w:rFonts w:hint="eastAsia" w:ascii="宋体" w:hAnsi="宋体" w:cs="宋体"/>
          <w:color w:val="auto"/>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3.8编写评审报告。</w:t>
      </w:r>
      <w:r>
        <w:rPr>
          <w:rFonts w:hint="eastAsia" w:ascii="宋体" w:hAnsi="宋体" w:cs="宋体"/>
          <w:color w:val="auto"/>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hint="eastAsia" w:ascii="宋体" w:hAnsi="宋体" w:cs="宋体"/>
          <w:b/>
          <w:color w:val="auto"/>
          <w:sz w:val="32"/>
        </w:rPr>
      </w:pPr>
      <w:r>
        <w:rPr>
          <w:rFonts w:hint="eastAsia" w:ascii="宋体" w:hAnsi="宋体" w:cs="宋体"/>
          <w:b/>
          <w:color w:val="auto"/>
          <w:sz w:val="32"/>
        </w:rPr>
        <w:t>四、评审中的其他事项</w:t>
      </w:r>
    </w:p>
    <w:p>
      <w:pPr>
        <w:pStyle w:val="141"/>
        <w:spacing w:before="0"/>
        <w:ind w:firstLine="472" w:firstLineChars="196"/>
        <w:rPr>
          <w:rFonts w:hint="eastAsia"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hint="eastAsia" w:cs="宋体"/>
          <w:color w:val="auto"/>
          <w:szCs w:val="21"/>
        </w:rPr>
      </w:pPr>
      <w:r>
        <w:rPr>
          <w:rFonts w:hint="eastAsia" w:cs="宋体"/>
          <w:b/>
          <w:color w:val="auto"/>
          <w:kern w:val="0"/>
        </w:rPr>
        <w:t>4.2响应文件无效。</w:t>
      </w:r>
      <w:r>
        <w:rPr>
          <w:rFonts w:hint="eastAsia" w:cs="宋体"/>
          <w:color w:val="auto"/>
          <w:szCs w:val="21"/>
        </w:rPr>
        <w:t>有下列情形之一的，响应文件无效：</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4.2.2响应文件未按照采购文件要求签署、盖章的；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3</w:t>
      </w:r>
      <w:r>
        <w:rPr>
          <w:rFonts w:hint="eastAsia" w:ascii="宋体" w:hAnsi="宋体" w:cs="宋体"/>
          <w:color w:val="auto"/>
          <w:kern w:val="0"/>
          <w:sz w:val="24"/>
        </w:rPr>
        <w:t>响应文件含有采购人不能接受的附加条件的；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4</w:t>
      </w:r>
      <w:r>
        <w:rPr>
          <w:rFonts w:hint="eastAsia" w:ascii="宋体" w:hAnsi="宋体" w:cs="宋体"/>
          <w:color w:val="auto"/>
          <w:kern w:val="0"/>
          <w:sz w:val="24"/>
        </w:rPr>
        <w:t>响应文件中承诺的响应文件有效期少于采购文件中载明的响应文件有效期的；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5</w:t>
      </w:r>
      <w:r>
        <w:rPr>
          <w:rFonts w:hint="eastAsia" w:ascii="宋体" w:hAnsi="宋体" w:cs="宋体"/>
          <w:color w:val="auto"/>
          <w:kern w:val="0"/>
          <w:sz w:val="24"/>
        </w:rPr>
        <w:t>响应文件出现不是唯一的、有选择性最后报价的;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6</w:t>
      </w:r>
      <w:r>
        <w:rPr>
          <w:rFonts w:hint="eastAsia" w:ascii="宋体" w:hAnsi="宋体" w:cs="宋体"/>
          <w:color w:val="auto"/>
          <w:kern w:val="0"/>
          <w:sz w:val="24"/>
        </w:rPr>
        <w:t>最后报价超过采购文件中规定的预算金额或者最高限价的;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7</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8</w:t>
      </w:r>
      <w:r>
        <w:rPr>
          <w:rFonts w:hint="eastAsia" w:ascii="宋体" w:hAnsi="宋体" w:cs="宋体"/>
          <w:color w:val="auto"/>
          <w:kern w:val="0"/>
          <w:sz w:val="24"/>
        </w:rPr>
        <w:t>供应商对根据修正原则修正后的报价不确认的；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w:t>
      </w:r>
      <w:r>
        <w:rPr>
          <w:rFonts w:hint="eastAsia" w:ascii="宋体" w:hAnsi="宋体" w:cs="宋体"/>
          <w:color w:val="auto"/>
          <w:kern w:val="0"/>
          <w:sz w:val="24"/>
          <w:lang w:val="en-US" w:eastAsia="zh-CN"/>
        </w:rPr>
        <w:t>9</w:t>
      </w:r>
      <w:r>
        <w:rPr>
          <w:rFonts w:hint="eastAsia" w:ascii="宋体" w:hAnsi="宋体" w:cs="宋体"/>
          <w:color w:val="auto"/>
          <w:kern w:val="0"/>
          <w:sz w:val="24"/>
        </w:rPr>
        <w:t>供应商提供虚假材料响应的；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0</w:t>
      </w:r>
      <w:r>
        <w:rPr>
          <w:rFonts w:hint="eastAsia" w:ascii="宋体" w:hAnsi="宋体" w:cs="宋体"/>
          <w:color w:val="auto"/>
          <w:kern w:val="0"/>
          <w:sz w:val="24"/>
        </w:rPr>
        <w:t>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1</w:t>
      </w:r>
      <w:r>
        <w:rPr>
          <w:rFonts w:hint="eastAsia" w:ascii="宋体" w:hAnsi="宋体" w:cs="宋体"/>
          <w:color w:val="auto"/>
          <w:kern w:val="0"/>
          <w:sz w:val="24"/>
        </w:rPr>
        <w:t>供应商仅提交备份响应文件，未在电子交易平台传输递交响应文件的，响应文件无效；</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2</w:t>
      </w:r>
      <w:r>
        <w:rPr>
          <w:rFonts w:hint="eastAsia" w:ascii="宋体" w:hAnsi="宋体" w:cs="宋体"/>
          <w:color w:val="auto"/>
          <w:kern w:val="0"/>
          <w:sz w:val="24"/>
        </w:rPr>
        <w:t xml:space="preserve"> 响应文件不满足采购文件的其它实质性要求的；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法律、法规、规章（适用本市的）及</w:t>
      </w:r>
      <w:bookmarkStart w:id="447" w:name="_GoBack"/>
      <w:bookmarkEnd w:id="447"/>
      <w:r>
        <w:rPr>
          <w:rFonts w:hint="eastAsia" w:ascii="宋体" w:hAnsi="宋体" w:cs="宋体"/>
          <w:color w:val="auto"/>
          <w:kern w:val="0"/>
          <w:sz w:val="24"/>
        </w:rPr>
        <w:t>省级以上规范性文件（适用本市的）规定的其他无效情形。</w:t>
      </w:r>
    </w:p>
    <w:p>
      <w:pPr>
        <w:pStyle w:val="25"/>
        <w:snapToGrid w:val="0"/>
        <w:spacing w:line="360" w:lineRule="auto"/>
        <w:ind w:firstLine="472" w:firstLineChars="196"/>
        <w:rPr>
          <w:rFonts w:hint="eastAsia" w:cs="宋体"/>
          <w:color w:val="auto"/>
        </w:rPr>
      </w:pPr>
      <w:r>
        <w:rPr>
          <w:rFonts w:hint="eastAsia" w:cs="宋体"/>
          <w:b/>
          <w:color w:val="auto"/>
        </w:rPr>
        <w:t>5.终止竞争性磋商采购活动。</w:t>
      </w:r>
      <w:r>
        <w:rPr>
          <w:rFonts w:hint="eastAsia" w:cs="宋体"/>
          <w:color w:val="auto"/>
        </w:rPr>
        <w:t>出现下列情形之一的，采购人或者采购代理机构应当终止竞争性磋商采购活动，发布项目终止公告并说明原因，重新开展采购活动：</w:t>
      </w:r>
    </w:p>
    <w:p>
      <w:pPr>
        <w:pStyle w:val="25"/>
        <w:snapToGrid w:val="0"/>
        <w:spacing w:line="360" w:lineRule="auto"/>
        <w:rPr>
          <w:rFonts w:hint="eastAsia" w:cs="宋体"/>
          <w:color w:val="auto"/>
        </w:rPr>
      </w:pPr>
      <w:r>
        <w:rPr>
          <w:rFonts w:hint="eastAsia" w:cs="宋体"/>
          <w:color w:val="auto"/>
        </w:rPr>
        <w:t>5.1因情况变化，不再符合规定的竞争性磋商采购方式适用情形的；</w:t>
      </w:r>
    </w:p>
    <w:p>
      <w:pPr>
        <w:pStyle w:val="25"/>
        <w:snapToGrid w:val="0"/>
        <w:spacing w:line="360" w:lineRule="auto"/>
        <w:rPr>
          <w:rFonts w:hint="eastAsia" w:cs="宋体"/>
          <w:color w:val="auto"/>
        </w:rPr>
      </w:pPr>
      <w:r>
        <w:rPr>
          <w:rFonts w:hint="eastAsia" w:cs="宋体"/>
          <w:color w:val="auto"/>
        </w:rPr>
        <w:t>5.2出现影响采购公正的违法、违规行为的；</w:t>
      </w:r>
    </w:p>
    <w:p>
      <w:pPr>
        <w:pStyle w:val="25"/>
        <w:snapToGrid w:val="0"/>
        <w:spacing w:line="360" w:lineRule="auto"/>
        <w:rPr>
          <w:rFonts w:hint="eastAsia" w:cs="宋体"/>
          <w:color w:val="auto"/>
        </w:rPr>
      </w:pPr>
      <w:r>
        <w:rPr>
          <w:rFonts w:hint="eastAsia" w:cs="宋体"/>
          <w:color w:val="auto"/>
        </w:rPr>
        <w:t>5.3除本办法第二十一条第三款规定的情形外，在采购过程中符合要求的供应商或者报价未超过采购预算的供应商不足3家的。</w:t>
      </w:r>
    </w:p>
    <w:p>
      <w:pPr>
        <w:pStyle w:val="25"/>
        <w:snapToGrid w:val="0"/>
        <w:spacing w:line="360" w:lineRule="auto"/>
        <w:rPr>
          <w:rFonts w:hint="eastAsia" w:cs="宋体"/>
          <w:color w:val="auto"/>
        </w:rPr>
      </w:pPr>
      <w:r>
        <w:rPr>
          <w:rFonts w:hint="eastAsia" w:cs="宋体"/>
          <w:color w:val="auto"/>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hint="eastAsia" w:cs="宋体"/>
          <w:color w:val="auto"/>
        </w:rPr>
      </w:pPr>
      <w:r>
        <w:rPr>
          <w:rFonts w:hint="eastAsia" w:cs="宋体"/>
          <w:b/>
          <w:color w:val="auto"/>
          <w:kern w:val="0"/>
        </w:rPr>
        <w:t>6.重新开展采购。</w:t>
      </w:r>
      <w:r>
        <w:rPr>
          <w:rFonts w:hint="eastAsia" w:cs="宋体"/>
          <w:color w:val="auto"/>
        </w:rPr>
        <w:t>有政府采购法第七十一条、第七十二条规定的违法行为之一，影响或者可能影响成交结果的，依照下列规定处理：</w:t>
      </w:r>
    </w:p>
    <w:p>
      <w:pPr>
        <w:pStyle w:val="25"/>
        <w:snapToGrid w:val="0"/>
        <w:spacing w:line="360" w:lineRule="auto"/>
        <w:rPr>
          <w:rFonts w:hint="eastAsia" w:cs="宋体"/>
          <w:color w:val="auto"/>
        </w:rPr>
      </w:pPr>
      <w:r>
        <w:rPr>
          <w:rFonts w:hint="eastAsia" w:cs="宋体"/>
          <w:color w:val="auto"/>
        </w:rPr>
        <w:t>6.1未确定成交供应商的，终止本次政府采购活动，重新开展政府采购活动。</w:t>
      </w:r>
    </w:p>
    <w:p>
      <w:pPr>
        <w:pStyle w:val="25"/>
        <w:snapToGrid w:val="0"/>
        <w:spacing w:line="360" w:lineRule="auto"/>
        <w:rPr>
          <w:rFonts w:hint="eastAsia" w:cs="宋体"/>
          <w:color w:val="auto"/>
        </w:rPr>
      </w:pPr>
      <w:r>
        <w:rPr>
          <w:rFonts w:hint="eastAsia" w:cs="宋体"/>
          <w:color w:val="auto"/>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hint="eastAsia" w:cs="宋体"/>
          <w:color w:val="auto"/>
        </w:rPr>
      </w:pPr>
      <w:r>
        <w:rPr>
          <w:rFonts w:hint="eastAsia" w:cs="宋体"/>
          <w:color w:val="auto"/>
        </w:rPr>
        <w:t>6.3采购合同已签订但尚未履行的，撤销合同，从合格的成交候选供应商中另行确定成交供应商；没有合格的成交候选供应商的，重新开展政府采购活动。</w:t>
      </w:r>
    </w:p>
    <w:p>
      <w:pPr>
        <w:pStyle w:val="25"/>
        <w:snapToGrid w:val="0"/>
        <w:spacing w:line="360" w:lineRule="auto"/>
        <w:rPr>
          <w:rFonts w:hint="eastAsia" w:cs="宋体"/>
          <w:color w:val="auto"/>
        </w:rPr>
      </w:pPr>
      <w:r>
        <w:rPr>
          <w:rFonts w:hint="eastAsia" w:cs="宋体"/>
          <w:color w:val="auto"/>
        </w:rPr>
        <w:t>6.4采购合同已经履行，给采购人、供应商造成损失的，由责任人承担赔偿责任。</w:t>
      </w:r>
    </w:p>
    <w:p>
      <w:pPr>
        <w:pStyle w:val="25"/>
        <w:snapToGrid w:val="0"/>
        <w:spacing w:line="360" w:lineRule="auto"/>
        <w:rPr>
          <w:rFonts w:hint="eastAsia" w:cs="宋体"/>
          <w:color w:val="auto"/>
        </w:rPr>
      </w:pPr>
      <w:r>
        <w:rPr>
          <w:rFonts w:hint="eastAsia" w:cs="宋体"/>
          <w:color w:val="auto"/>
        </w:rPr>
        <w:t>6.5采购当事人有其他违反政府采购法或者政府采购法实施条例等法律法规规定的行为，经改正后仍然影响或者可能影响成交结果或者依法被认定为成交无效的，依照6.1-6.4规定处理。</w:t>
      </w:r>
    </w:p>
    <w:p>
      <w:pPr>
        <w:pStyle w:val="25"/>
        <w:snapToGrid w:val="0"/>
        <w:spacing w:line="360" w:lineRule="auto"/>
        <w:ind w:firstLine="0" w:firstLineChars="0"/>
        <w:rPr>
          <w:rFonts w:hint="eastAsia" w:cs="宋体"/>
          <w:color w:val="auto"/>
        </w:rPr>
        <w:sectPr>
          <w:headerReference r:id="rId5" w:type="default"/>
          <w:footerReference r:id="rId6" w:type="default"/>
          <w:pgSz w:w="11907" w:h="16840"/>
          <w:pgMar w:top="1440" w:right="1080" w:bottom="1440" w:left="1080" w:header="851" w:footer="851" w:gutter="0"/>
          <w:cols w:space="720" w:num="1"/>
        </w:sectPr>
      </w:pPr>
    </w:p>
    <w:bookmarkEnd w:id="30"/>
    <w:p>
      <w:pPr>
        <w:numPr>
          <w:ilvl w:val="0"/>
          <w:numId w:val="1"/>
        </w:numPr>
        <w:spacing w:line="360" w:lineRule="auto"/>
        <w:jc w:val="center"/>
        <w:outlineLvl w:val="0"/>
        <w:rPr>
          <w:rFonts w:hint="eastAsia" w:ascii="宋体" w:hAnsi="宋体" w:cs="宋体"/>
          <w:b/>
          <w:color w:val="auto"/>
          <w:sz w:val="36"/>
          <w:szCs w:val="36"/>
        </w:rPr>
      </w:pPr>
      <w:bookmarkStart w:id="396" w:name="第五部分"/>
      <w:bookmarkStart w:id="397" w:name="_Toc86217003"/>
      <w:r>
        <w:rPr>
          <w:rFonts w:hint="eastAsia" w:ascii="宋体" w:hAnsi="宋体" w:cs="宋体"/>
          <w:b/>
          <w:color w:val="auto"/>
          <w:sz w:val="36"/>
          <w:szCs w:val="36"/>
        </w:rPr>
        <w:t>拟签订的合同文本</w:t>
      </w:r>
    </w:p>
    <w:p>
      <w:pPr>
        <w:numPr>
          <w:ilvl w:val="0"/>
          <w:numId w:val="0"/>
        </w:numPr>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lang w:eastAsia="zh-CN"/>
        </w:rPr>
        <w:t>（</w:t>
      </w:r>
      <w:r>
        <w:rPr>
          <w:rFonts w:hint="eastAsia" w:ascii="宋体" w:hAnsi="宋体" w:cs="宋体"/>
          <w:b/>
          <w:color w:val="auto"/>
          <w:sz w:val="36"/>
          <w:szCs w:val="36"/>
          <w:lang w:val="en-US" w:eastAsia="zh-CN"/>
        </w:rPr>
        <w:t>以最终签订为准</w:t>
      </w:r>
      <w:r>
        <w:rPr>
          <w:rFonts w:hint="eastAsia" w:ascii="宋体" w:hAnsi="宋体" w:cs="宋体"/>
          <w:b/>
          <w:color w:val="auto"/>
          <w:sz w:val="36"/>
          <w:szCs w:val="36"/>
          <w:lang w:eastAsia="zh-CN"/>
        </w:rPr>
        <w:t>）</w:t>
      </w:r>
    </w:p>
    <w:p>
      <w:pPr>
        <w:snapToGrid w:val="0"/>
        <w:spacing w:line="360" w:lineRule="auto"/>
        <w:ind w:firstLine="480" w:firstLineChars="200"/>
        <w:jc w:val="left"/>
        <w:rPr>
          <w:rFonts w:hint="eastAsia" w:ascii="宋体" w:hAnsi="宋体"/>
          <w:snapToGrid w:val="0"/>
          <w:color w:val="auto"/>
          <w:kern w:val="0"/>
          <w:sz w:val="24"/>
          <w:szCs w:val="20"/>
        </w:rPr>
      </w:pPr>
      <w:r>
        <w:rPr>
          <w:rFonts w:hint="eastAsia" w:ascii="宋体" w:hAnsi="宋体"/>
          <w:snapToGrid w:val="0"/>
          <w:color w:val="auto"/>
          <w:kern w:val="0"/>
          <w:sz w:val="24"/>
          <w:szCs w:val="20"/>
        </w:rPr>
        <w:t>参考住房城乡建设部、原国家工商行政管理总局制定的《建设工程施工合同（示范文本）》（GF-2017-0201）。</w:t>
      </w:r>
    </w:p>
    <w:p>
      <w:pPr>
        <w:spacing w:line="360" w:lineRule="auto"/>
        <w:ind w:firstLine="482" w:firstLineChars="200"/>
        <w:jc w:val="center"/>
        <w:rPr>
          <w:rFonts w:hint="eastAsia" w:ascii="宋体" w:hAnsi="宋体" w:cs="宋体"/>
          <w:b/>
          <w:bCs/>
          <w:color w:val="auto"/>
          <w:sz w:val="24"/>
        </w:rPr>
      </w:pPr>
      <w:r>
        <w:rPr>
          <w:rFonts w:hint="eastAsia" w:ascii="宋体" w:hAnsi="宋体" w:cs="宋体"/>
          <w:b/>
          <w:bCs/>
          <w:color w:val="auto"/>
          <w:sz w:val="24"/>
        </w:rPr>
        <w:t xml:space="preserve"> </w:t>
      </w:r>
      <w:bookmarkStart w:id="398" w:name="_Toc28518"/>
      <w:r>
        <w:rPr>
          <w:rFonts w:hint="eastAsia" w:ascii="宋体" w:hAnsi="宋体" w:cs="宋体"/>
          <w:b/>
          <w:bCs/>
          <w:color w:val="auto"/>
          <w:sz w:val="24"/>
        </w:rPr>
        <w:t>第一部分 合同协议书</w:t>
      </w:r>
      <w:bookmarkEnd w:id="398"/>
    </w:p>
    <w:p>
      <w:pPr>
        <w:snapToGrid w:val="0"/>
        <w:spacing w:line="360" w:lineRule="auto"/>
        <w:ind w:firstLine="482" w:firstLineChars="200"/>
        <w:rPr>
          <w:rFonts w:hint="eastAsia" w:ascii="宋体" w:hAnsi="宋体" w:eastAsia="宋体" w:cs="宋体"/>
          <w:b/>
          <w:bCs/>
          <w:strike/>
          <w:color w:val="auto"/>
          <w:sz w:val="24"/>
          <w:u w:val="single"/>
          <w:lang w:eastAsia="zh-CN"/>
        </w:rPr>
      </w:pPr>
      <w:bookmarkStart w:id="399" w:name="_Hlk62322485"/>
      <w:bookmarkStart w:id="400" w:name="_Hlk70081597"/>
      <w:r>
        <w:rPr>
          <w:rFonts w:hint="eastAsia" w:ascii="宋体" w:hAnsi="宋体" w:cs="宋体"/>
          <w:b/>
          <w:bCs/>
          <w:color w:val="auto"/>
          <w:sz w:val="24"/>
        </w:rPr>
        <w:t>发包人（全称）：</w:t>
      </w:r>
      <w:r>
        <w:rPr>
          <w:rFonts w:hint="eastAsia" w:ascii="宋体" w:hAnsi="宋体" w:cs="宋体"/>
          <w:b/>
          <w:bCs/>
          <w:color w:val="auto"/>
          <w:sz w:val="24"/>
          <w:u w:val="single"/>
          <w:lang w:eastAsia="zh-CN"/>
        </w:rPr>
        <w:t>杭州市中策职业学校钱塘学校</w:t>
      </w:r>
    </w:p>
    <w:p>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承包人（全称）：</w:t>
      </w:r>
      <w:r>
        <w:rPr>
          <w:rFonts w:hint="eastAsia" w:ascii="宋体" w:hAnsi="宋体" w:cs="宋体"/>
          <w:b/>
          <w:bCs/>
          <w:color w:val="auto"/>
          <w:sz w:val="24"/>
          <w:u w:val="single"/>
        </w:rPr>
        <w:t xml:space="preserve">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根据《中华人民共和国民法典》、《中华人民共和国建筑法》及有关法律规定，遵循平等、自愿、公平和诚实信用的原则，双方就   </w:t>
      </w:r>
      <w:r>
        <w:rPr>
          <w:rFonts w:hint="eastAsia" w:ascii="宋体" w:hAnsi="宋体" w:cs="宋体"/>
          <w:color w:val="auto"/>
          <w:sz w:val="24"/>
          <w:u w:val="single"/>
        </w:rPr>
        <w:t>项目</w:t>
      </w:r>
      <w:r>
        <w:rPr>
          <w:rFonts w:hint="eastAsia" w:ascii="宋体" w:hAnsi="宋体" w:cs="宋体"/>
          <w:color w:val="auto"/>
          <w:sz w:val="24"/>
        </w:rPr>
        <w:t>施工及有关事项协商一致，共同达成如下协议：</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一、工程概况</w:t>
      </w:r>
    </w:p>
    <w:p>
      <w:pPr>
        <w:snapToGrid w:val="0"/>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 xml:space="preserve">1.工程名称：  </w:t>
      </w:r>
      <w:r>
        <w:rPr>
          <w:rFonts w:hint="eastAsia" w:ascii="宋体" w:hAnsi="宋体" w:cs="宋体"/>
          <w:b/>
          <w:bCs/>
          <w:color w:val="auto"/>
          <w:sz w:val="24"/>
          <w:u w:val="single"/>
        </w:rPr>
        <w:t xml:space="preserve">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2.工程地点：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3.工程立项批准文号：</w:t>
      </w:r>
      <w:r>
        <w:rPr>
          <w:rFonts w:hint="eastAsia" w:ascii="宋体" w:hAnsi="宋体" w:cs="宋体"/>
          <w:b/>
          <w:bCs/>
          <w:color w:val="auto"/>
          <w:sz w:val="24"/>
          <w:u w:val="single"/>
        </w:rPr>
        <w:t xml:space="preserve">   /   </w:t>
      </w:r>
    </w:p>
    <w:p>
      <w:pPr>
        <w:snapToGrid w:val="0"/>
        <w:spacing w:line="360" w:lineRule="auto"/>
        <w:ind w:firstLine="480" w:firstLineChars="200"/>
        <w:rPr>
          <w:rFonts w:hint="eastAsia" w:ascii="宋体" w:hAnsi="宋体" w:cs="宋体"/>
          <w:strike/>
          <w:color w:val="auto"/>
          <w:sz w:val="24"/>
        </w:rPr>
      </w:pPr>
      <w:r>
        <w:rPr>
          <w:rFonts w:hint="eastAsia" w:ascii="宋体" w:hAnsi="宋体" w:cs="宋体"/>
          <w:color w:val="auto"/>
          <w:sz w:val="24"/>
        </w:rPr>
        <w:t>4.资金来源：</w:t>
      </w:r>
      <w:r>
        <w:rPr>
          <w:rFonts w:hint="eastAsia" w:ascii="宋体" w:hAnsi="宋体" w:cs="宋体"/>
          <w:b/>
          <w:bCs/>
          <w:color w:val="auto"/>
          <w:sz w:val="24"/>
          <w:u w:val="single"/>
        </w:rPr>
        <w:t xml:space="preserve"> 已落实   </w:t>
      </w:r>
    </w:p>
    <w:p>
      <w:pPr>
        <w:snapToGrid w:val="0"/>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5.工程内容：</w:t>
      </w:r>
      <w:r>
        <w:rPr>
          <w:rFonts w:hint="eastAsia" w:ascii="宋体" w:hAnsi="宋体" w:cs="宋体"/>
          <w:b/>
          <w:bCs/>
          <w:color w:val="auto"/>
          <w:sz w:val="24"/>
          <w:u w:val="single"/>
        </w:rPr>
        <w:t>施工图范围内的</w:t>
      </w:r>
      <w:r>
        <w:rPr>
          <w:rFonts w:hint="eastAsia" w:ascii="宋体" w:hAnsi="宋体" w:cs="宋体"/>
          <w:b/>
          <w:bCs/>
          <w:color w:val="auto"/>
          <w:sz w:val="24"/>
          <w:u w:val="single"/>
          <w:lang w:val="en-US" w:eastAsia="zh-CN"/>
        </w:rPr>
        <w:t>装修</w:t>
      </w:r>
      <w:r>
        <w:rPr>
          <w:rFonts w:hint="eastAsia" w:ascii="宋体" w:hAnsi="宋体" w:cs="宋体"/>
          <w:b/>
          <w:bCs/>
          <w:color w:val="auto"/>
          <w:sz w:val="24"/>
          <w:u w:val="single"/>
        </w:rPr>
        <w:t>工程，具体内容以施工图及工程量清单为准。</w:t>
      </w:r>
    </w:p>
    <w:p>
      <w:pPr>
        <w:snapToGrid w:val="0"/>
        <w:spacing w:line="360" w:lineRule="auto"/>
        <w:ind w:firstLine="480" w:firstLineChars="200"/>
        <w:rPr>
          <w:rFonts w:hint="eastAsia" w:ascii="宋体" w:hAnsi="宋体" w:cs="宋体"/>
          <w:bCs/>
          <w:color w:val="auto"/>
          <w:sz w:val="24"/>
          <w:u w:val="single"/>
        </w:rPr>
      </w:pPr>
      <w:r>
        <w:rPr>
          <w:rFonts w:hint="eastAsia" w:ascii="宋体" w:hAnsi="宋体" w:cs="宋体"/>
          <w:color w:val="auto"/>
          <w:sz w:val="24"/>
        </w:rPr>
        <w:t>6.工程承包范围：</w:t>
      </w:r>
      <w:r>
        <w:rPr>
          <w:rFonts w:hint="eastAsia" w:ascii="宋体" w:hAnsi="宋体" w:cs="宋体"/>
          <w:b/>
          <w:color w:val="auto"/>
          <w:sz w:val="24"/>
          <w:u w:val="single"/>
        </w:rPr>
        <w:t>施工图、工程量清单及其编制说明、竞争性磋商文件中明确的内容为准，可能出现的施工图设计变更及根据发包人明确指令需在施工图范围外增加的工程量及施工图范围内减少的工程量。</w:t>
      </w:r>
    </w:p>
    <w:p>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二、合同工期</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计划开工日期：</w:t>
      </w:r>
      <w:r>
        <w:rPr>
          <w:rFonts w:hint="eastAsia" w:ascii="宋体" w:hAnsi="宋体" w:cs="宋体"/>
          <w:color w:val="auto"/>
          <w:sz w:val="24"/>
          <w:u w:val="single"/>
        </w:rPr>
        <w:t xml:space="preserve">    </w:t>
      </w:r>
      <w:r>
        <w:rPr>
          <w:rFonts w:hint="eastAsia" w:ascii="宋体" w:hAnsi="宋体" w:cs="宋体"/>
          <w:color w:val="auto"/>
          <w:sz w:val="24"/>
        </w:rPr>
        <w:t>年 月  日。</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 xml:space="preserve">计划竣工日期： </w:t>
      </w:r>
      <w:r>
        <w:rPr>
          <w:rFonts w:hint="eastAsia" w:ascii="宋体" w:hAnsi="宋体" w:cs="宋体"/>
          <w:color w:val="auto"/>
          <w:sz w:val="24"/>
          <w:u w:val="single"/>
        </w:rPr>
        <w:t xml:space="preserve">   </w:t>
      </w:r>
      <w:r>
        <w:rPr>
          <w:rFonts w:hint="eastAsia" w:ascii="宋体" w:hAnsi="宋体" w:cs="宋体"/>
          <w:color w:val="auto"/>
          <w:sz w:val="24"/>
        </w:rPr>
        <w:t>年 月  日。</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工期总日历天数：接进场通知之日起，30日历天内竣工。工期总日历天数与根据前述计划开竣工日期计算的工期天数不一致的，以工期总日历天数为准。</w:t>
      </w:r>
    </w:p>
    <w:p>
      <w:pPr>
        <w:snapToGrid w:val="0"/>
        <w:spacing w:line="360" w:lineRule="auto"/>
        <w:ind w:firstLine="482" w:firstLineChars="200"/>
        <w:rPr>
          <w:rFonts w:hint="eastAsia" w:ascii="宋体" w:hAnsi="宋体" w:cs="宋体"/>
          <w:color w:val="auto"/>
          <w:sz w:val="24"/>
          <w:u w:val="single"/>
        </w:rPr>
      </w:pPr>
      <w:r>
        <w:rPr>
          <w:rFonts w:hint="eastAsia" w:ascii="宋体" w:hAnsi="宋体" w:cs="宋体"/>
          <w:b/>
          <w:bCs/>
          <w:color w:val="auto"/>
          <w:sz w:val="24"/>
        </w:rPr>
        <w:t>三、质量标准</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工程质量符合</w:t>
      </w:r>
      <w:r>
        <w:rPr>
          <w:rFonts w:hint="eastAsia" w:ascii="宋体" w:hAnsi="宋体" w:cs="宋体"/>
          <w:b/>
          <w:bCs/>
          <w:color w:val="auto"/>
          <w:sz w:val="24"/>
          <w:u w:val="single"/>
        </w:rPr>
        <w:t>合格</w:t>
      </w:r>
      <w:r>
        <w:rPr>
          <w:rFonts w:hint="eastAsia" w:ascii="宋体" w:hAnsi="宋体" w:cs="宋体"/>
          <w:color w:val="auto"/>
          <w:sz w:val="24"/>
        </w:rPr>
        <w:t>标准。</w:t>
      </w:r>
    </w:p>
    <w:p>
      <w:pPr>
        <w:snapToGrid w:val="0"/>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四、签约合同价与合同价格形式</w:t>
      </w:r>
      <w:r>
        <w:rPr>
          <w:rFonts w:hint="eastAsia" w:ascii="宋体" w:hAnsi="宋体" w:cs="宋体"/>
          <w:b/>
          <w:bCs/>
          <w:color w:val="auto"/>
          <w:sz w:val="24"/>
        </w:rPr>
        <w:tab/>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1.签约合同价为：人民币（大写）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元)；</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其中：（1）安全文明施工费：人民币（大写）</w:t>
      </w:r>
      <w:r>
        <w:rPr>
          <w:rFonts w:hint="eastAsia" w:ascii="宋体" w:hAnsi="宋体" w:cs="宋体"/>
          <w:color w:val="auto"/>
          <w:sz w:val="24"/>
          <w:u w:val="single"/>
        </w:rPr>
        <w:t xml:space="preserve">             </w:t>
      </w:r>
      <w:r>
        <w:rPr>
          <w:rFonts w:hint="eastAsia" w:ascii="宋体" w:hAnsi="宋体" w:cs="宋体"/>
          <w:color w:val="auto"/>
          <w:sz w:val="24"/>
        </w:rPr>
        <w:t xml:space="preserve"> (¥ </w:t>
      </w:r>
      <w:r>
        <w:rPr>
          <w:rFonts w:hint="eastAsia" w:ascii="宋体" w:hAnsi="宋体" w:cs="宋体"/>
          <w:color w:val="auto"/>
          <w:sz w:val="24"/>
          <w:u w:val="single"/>
        </w:rPr>
        <w:t xml:space="preserve">           </w:t>
      </w:r>
      <w:r>
        <w:rPr>
          <w:rFonts w:hint="eastAsia" w:ascii="宋体" w:hAnsi="宋体" w:cs="宋体"/>
          <w:color w:val="auto"/>
          <w:sz w:val="24"/>
        </w:rPr>
        <w:t>元)；</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（2）材料和工程设备暂估价金额：人民币（大写）</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元)；</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（3）专业工程暂估价金额：人民币（大写） </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元)；</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（4）暂列金额：人民币（大写）</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元)。</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2.合同价格形式：</w:t>
      </w:r>
      <w:r>
        <w:rPr>
          <w:rFonts w:hint="eastAsia" w:ascii="宋体" w:hAnsi="宋体" w:cs="宋体"/>
          <w:b/>
          <w:bCs/>
          <w:color w:val="auto"/>
          <w:sz w:val="24"/>
          <w:u w:val="single"/>
        </w:rPr>
        <w:t>固定单价合同</w:t>
      </w:r>
      <w:r>
        <w:rPr>
          <w:rFonts w:hint="eastAsia" w:ascii="宋体" w:hAnsi="宋体" w:cs="宋体"/>
          <w:color w:val="auto"/>
          <w:sz w:val="24"/>
        </w:rPr>
        <w:t>。</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五、项目经理</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承包人项目经理：</w:t>
      </w:r>
      <w:r>
        <w:rPr>
          <w:rFonts w:hint="eastAsia" w:ascii="宋体" w:hAnsi="宋体" w:cs="宋体"/>
          <w:color w:val="auto"/>
          <w:sz w:val="24"/>
          <w:u w:val="single"/>
        </w:rPr>
        <w:t></w:t>
      </w:r>
      <w:r>
        <w:rPr>
          <w:rFonts w:hint="eastAsia" w:ascii="宋体" w:hAnsi="宋体" w:cs="宋体"/>
          <w:color w:val="auto"/>
          <w:sz w:val="24"/>
        </w:rPr>
        <w:t>。</w:t>
      </w:r>
    </w:p>
    <w:p>
      <w:pPr>
        <w:snapToGrid w:val="0"/>
        <w:spacing w:line="360" w:lineRule="auto"/>
        <w:ind w:firstLine="482" w:firstLineChars="200"/>
        <w:rPr>
          <w:rFonts w:hint="eastAsia" w:ascii="宋体" w:hAnsi="宋体" w:cs="宋体"/>
          <w:color w:val="auto"/>
          <w:sz w:val="24"/>
        </w:rPr>
      </w:pPr>
      <w:r>
        <w:rPr>
          <w:rFonts w:hint="eastAsia" w:ascii="宋体" w:hAnsi="宋体" w:cs="宋体"/>
          <w:b/>
          <w:bCs/>
          <w:color w:val="auto"/>
          <w:sz w:val="24"/>
        </w:rPr>
        <w:t>六、合同文件构成</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本协议书与下列文件一起构成合同文件：（1）中标通知书；（2）磋商函及其附录； （3）专用合同条款及其附件；（4）通用合同条款；（5）技术标准和要求；（6）图纸；（7）已标价工程量清单或预算书；（8）其他合同文件。</w:t>
      </w:r>
    </w:p>
    <w:p>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在合同订立及履行过程中形成的与合同有关的文件均构成合同文件组成部分。</w:t>
      </w:r>
    </w:p>
    <w:p>
      <w:pPr>
        <w:autoSpaceDE w:val="0"/>
        <w:autoSpaceDN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七、承诺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1.发包人承诺按照法律规定履行项目审批手续、筹集工程建设资金并按照合同约定的期限和方式支付合同价款。</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3.发包人和承包人通过招磋商形式签订合同的，双方理解并承诺不再就同一工程另行签订与合同实质性内容相背离的协议。</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八、词语含义</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本协议书中词语含义与第二部分通用合同条款中赋予的含义相同。</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九、签订时间及地点</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日在</w:t>
      </w:r>
      <w:r>
        <w:rPr>
          <w:rFonts w:hint="eastAsia" w:ascii="宋体" w:hAnsi="宋体" w:cs="宋体"/>
          <w:color w:val="auto"/>
          <w:sz w:val="24"/>
          <w:u w:val="single"/>
        </w:rPr>
        <w:t xml:space="preserve">  杭州市  </w:t>
      </w:r>
      <w:r>
        <w:rPr>
          <w:rFonts w:hint="eastAsia" w:ascii="宋体" w:hAnsi="宋体" w:cs="宋体"/>
          <w:color w:val="auto"/>
          <w:sz w:val="24"/>
        </w:rPr>
        <w:t>签订。</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十、补充协议</w:t>
      </w:r>
    </w:p>
    <w:p>
      <w:pPr>
        <w:snapToGrid w:val="0"/>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合同未尽事宜，合同当事人另行签订补充协议，补充协议是合同的组成部分。</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十一、合同生效</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本合同自</w:t>
      </w:r>
      <w:r>
        <w:rPr>
          <w:rFonts w:hint="eastAsia" w:ascii="宋体" w:hAnsi="宋体" w:cs="宋体"/>
          <w:color w:val="auto"/>
          <w:sz w:val="24"/>
          <w:u w:val="single"/>
        </w:rPr>
        <w:t xml:space="preserve">  签订之日  </w:t>
      </w:r>
      <w:r>
        <w:rPr>
          <w:rFonts w:hint="eastAsia" w:ascii="宋体" w:hAnsi="宋体" w:cs="宋体"/>
          <w:color w:val="auto"/>
          <w:sz w:val="24"/>
        </w:rPr>
        <w:t>生效。</w:t>
      </w: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十二、合同份数</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本合同正本贰份，双方各执壹份；副本壹拾肆份，双方各执柒份；如正本与副本有不一致处，以正本为准，均具有同等法律效力。</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  (公章)                              承包人：  (公章)</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法定代表人或其委托代理人：                    法定代表人或其委托代理人：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（签字或盖章）                                        （签字或盖章）</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统一社会信用代码：                           统一社会信用代码：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地  址：                                        地  址：</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电  话：                                        电  话：</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传  真：                                        传  真：</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开户银行：                                       开户银行：</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账  号：                                         账  号：</w:t>
      </w:r>
    </w:p>
    <w:p>
      <w:pPr>
        <w:spacing w:line="360" w:lineRule="auto"/>
        <w:ind w:firstLine="480" w:firstLineChars="200"/>
        <w:jc w:val="center"/>
        <w:rPr>
          <w:rFonts w:hint="eastAsia"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24"/>
        </w:rPr>
        <w:t>第二部分 通用合同条款（略）</w:t>
      </w: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通用合同条款采用住房城乡建设部、国家工商行政管理总局制定的《建设工程施工合同（示范文本）》（GF-2017-0201）的通用合同条款。</w:t>
      </w:r>
    </w:p>
    <w:p>
      <w:pPr>
        <w:spacing w:line="360" w:lineRule="auto"/>
        <w:ind w:firstLine="480" w:firstLineChars="200"/>
        <w:rPr>
          <w:rFonts w:hint="eastAsia" w:ascii="宋体" w:hAnsi="宋体" w:cs="宋体"/>
          <w:color w:val="auto"/>
          <w:sz w:val="24"/>
        </w:rPr>
      </w:pPr>
    </w:p>
    <w:p>
      <w:pPr>
        <w:spacing w:line="360" w:lineRule="auto"/>
        <w:ind w:firstLine="482" w:firstLineChars="200"/>
        <w:jc w:val="center"/>
        <w:rPr>
          <w:rFonts w:hint="eastAsia" w:ascii="宋体" w:hAnsi="宋体" w:cs="宋体"/>
          <w:b/>
          <w:bCs/>
          <w:color w:val="auto"/>
          <w:sz w:val="24"/>
        </w:rPr>
      </w:pPr>
      <w:r>
        <w:rPr>
          <w:rFonts w:hint="eastAsia" w:ascii="宋体" w:hAnsi="宋体" w:cs="宋体"/>
          <w:b/>
          <w:bCs/>
          <w:color w:val="auto"/>
          <w:sz w:val="24"/>
        </w:rPr>
        <w:t>第三部分  专用合同条款</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1、一般约定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1.1词语定义</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1.1.1合同</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kern w:val="0"/>
          <w:sz w:val="24"/>
        </w:rPr>
        <w:t>1.1.1.1其他合同文件包括：</w:t>
      </w:r>
      <w:r>
        <w:rPr>
          <w:rFonts w:hint="eastAsia" w:ascii="宋体" w:hAnsi="宋体" w:cs="宋体"/>
          <w:color w:val="auto"/>
          <w:kern w:val="0"/>
          <w:sz w:val="24"/>
          <w:u w:val="single"/>
        </w:rPr>
        <w:t xml:space="preserve"> </w:t>
      </w:r>
      <w:r>
        <w:rPr>
          <w:rFonts w:hint="eastAsia" w:ascii="宋体" w:hAnsi="宋体" w:cs="宋体"/>
          <w:b/>
          <w:bCs/>
          <w:color w:val="auto"/>
          <w:kern w:val="0"/>
          <w:sz w:val="24"/>
          <w:u w:val="single"/>
        </w:rPr>
        <w:t xml:space="preserve">施工组织设计，竞争性磋商文件及招标答疑。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1.1.2合同当事人及其他相关方：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1.1.2.1发包人代表：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身份证号：</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1.1.2.2承包人</w:t>
      </w:r>
      <w:r>
        <w:rPr>
          <w:rFonts w:hint="eastAsia" w:ascii="宋体" w:hAnsi="宋体" w:cs="宋体"/>
          <w:color w:val="auto"/>
          <w:sz w:val="24"/>
        </w:rPr>
        <w:t>项目经理：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身份证号：</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建造师执业资格等级：</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建造师注册证书号：</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建造师执业印章号：</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安全生产考核合格证书号：</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1.1.2.3监理人全称：</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总监理工程师：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身份证号：</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监理工程师执业资格证书号：</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1.1.2.4设计人全称：</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设计人代表：</w:t>
      </w:r>
      <w:r>
        <w:rPr>
          <w:rFonts w:hint="eastAsia" w:ascii="宋体" w:hAnsi="宋体" w:cs="宋体"/>
          <w:color w:val="auto"/>
          <w:sz w:val="24"/>
          <w:u w:val="single"/>
        </w:rPr>
        <w:t></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1.1.3工程和设备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1.1.3.7作为施工现场组成部分的其他场所包括：</w:t>
      </w:r>
      <w:r>
        <w:rPr>
          <w:rFonts w:hint="eastAsia" w:ascii="宋体" w:hAnsi="宋体" w:cs="宋体"/>
          <w:color w:val="auto"/>
          <w:sz w:val="24"/>
          <w:u w:val="single"/>
        </w:rPr>
        <w:t xml:space="preserve">  /  </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1.1.3.9永久占地包括：</w:t>
      </w:r>
      <w:r>
        <w:rPr>
          <w:rFonts w:hint="eastAsia" w:ascii="宋体" w:hAnsi="宋体" w:cs="宋体"/>
          <w:color w:val="auto"/>
          <w:kern w:val="0"/>
          <w:sz w:val="24"/>
          <w:u w:val="single"/>
        </w:rPr>
        <w:t xml:space="preserve"> </w:t>
      </w:r>
      <w:r>
        <w:rPr>
          <w:rFonts w:hint="eastAsia" w:ascii="宋体" w:hAnsi="宋体" w:cs="宋体"/>
          <w:b/>
          <w:bCs/>
          <w:color w:val="auto"/>
          <w:sz w:val="24"/>
          <w:u w:val="single"/>
        </w:rPr>
        <w:t>实施工程需永久占用的土地</w:t>
      </w:r>
      <w:r>
        <w:rPr>
          <w:rFonts w:hint="eastAsia" w:ascii="宋体" w:hAnsi="宋体" w:cs="宋体"/>
          <w:color w:val="auto"/>
          <w:kern w:val="0"/>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1.1.3.10临时占地包括：</w:t>
      </w:r>
      <w:r>
        <w:rPr>
          <w:rFonts w:hint="eastAsia" w:ascii="宋体" w:hAnsi="宋体" w:cs="宋体"/>
          <w:color w:val="auto"/>
          <w:kern w:val="0"/>
          <w:sz w:val="24"/>
          <w:u w:val="single"/>
        </w:rPr>
        <w:t xml:space="preserve"> </w:t>
      </w:r>
      <w:r>
        <w:rPr>
          <w:rFonts w:hint="eastAsia" w:ascii="宋体" w:hAnsi="宋体" w:cs="宋体"/>
          <w:b/>
          <w:bCs/>
          <w:color w:val="auto"/>
          <w:sz w:val="24"/>
          <w:u w:val="single"/>
        </w:rPr>
        <w:t>为实施工程需临时占用的土地</w:t>
      </w:r>
      <w:r>
        <w:rPr>
          <w:rFonts w:hint="eastAsia" w:ascii="宋体" w:hAnsi="宋体" w:cs="宋体"/>
          <w:color w:val="auto"/>
          <w:kern w:val="0"/>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1.3法律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适用于合同的其他规范性文件：</w:t>
      </w:r>
    </w:p>
    <w:p>
      <w:pPr>
        <w:spacing w:line="360" w:lineRule="auto"/>
        <w:ind w:firstLine="482" w:firstLineChars="200"/>
        <w:rPr>
          <w:rFonts w:hint="eastAsia" w:ascii="宋体" w:hAnsi="宋体" w:cs="宋体"/>
          <w:b/>
          <w:color w:val="auto"/>
          <w:sz w:val="24"/>
          <w:u w:val="single"/>
        </w:rPr>
      </w:pPr>
      <w:r>
        <w:rPr>
          <w:rFonts w:hint="eastAsia" w:ascii="宋体" w:hAnsi="宋体" w:cs="宋体"/>
          <w:b/>
          <w:color w:val="auto"/>
          <w:sz w:val="24"/>
          <w:u w:val="single"/>
        </w:rPr>
        <w:t>（1）关于印发《杭州市建设工程工程量清单计价实施细则》（2018年修订）的通知（杭建市发【2018】578号）</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u w:val="single"/>
        </w:rPr>
        <w:t xml:space="preserve">（2）《关于进一步加强建筑施工领域企业安全生产工作的实施意见》的通知 （杭建工发〔2011〕130号） </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u w:val="single"/>
        </w:rPr>
        <w:t>（3）《关于进一步加强建设工程安全质量物联网管理应用平台建设的通知》（</w:t>
      </w:r>
      <w:r>
        <w:rPr>
          <w:rFonts w:hint="eastAsia" w:ascii="宋体" w:hAnsi="宋体" w:cs="宋体"/>
          <w:b/>
          <w:bCs/>
          <w:color w:val="auto"/>
          <w:kern w:val="0"/>
          <w:sz w:val="24"/>
          <w:u w:val="single"/>
        </w:rPr>
        <w:t xml:space="preserve">杭建工发【2012】426号） </w:t>
      </w:r>
    </w:p>
    <w:p>
      <w:pPr>
        <w:spacing w:line="360" w:lineRule="auto"/>
        <w:ind w:firstLine="482" w:firstLineChars="200"/>
        <w:rPr>
          <w:rFonts w:hint="eastAsia" w:ascii="宋体" w:hAnsi="宋体" w:cs="宋体"/>
          <w:color w:val="auto"/>
          <w:sz w:val="24"/>
        </w:rPr>
      </w:pPr>
      <w:r>
        <w:rPr>
          <w:rFonts w:hint="eastAsia" w:ascii="宋体" w:hAnsi="宋体" w:cs="宋体"/>
          <w:b/>
          <w:bCs/>
          <w:color w:val="auto"/>
          <w:kern w:val="0"/>
          <w:sz w:val="24"/>
          <w:u w:val="single"/>
        </w:rPr>
        <w:t xml:space="preserve">（4）《杭州市人民政府办公厅关于印发杭州市建设工程推广应用预拌砂浆管理办法的通知》（杭政办函（2011）32号） </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u w:val="single"/>
        </w:rPr>
        <w:t>（5）</w:t>
      </w:r>
      <w:r>
        <w:rPr>
          <w:rFonts w:hint="eastAsia" w:ascii="宋体" w:hAnsi="宋体" w:cs="宋体"/>
          <w:b/>
          <w:bCs/>
          <w:color w:val="auto"/>
          <w:kern w:val="0"/>
          <w:sz w:val="24"/>
          <w:u w:val="single"/>
        </w:rPr>
        <w:t>《关于落实建筑工棚安装空调事宜的通知》（</w:t>
      </w:r>
      <w:r>
        <w:rPr>
          <w:rFonts w:hint="eastAsia" w:ascii="宋体" w:hAnsi="宋体" w:cs="宋体"/>
          <w:b/>
          <w:bCs/>
          <w:color w:val="auto"/>
          <w:sz w:val="24"/>
          <w:u w:val="single"/>
        </w:rPr>
        <w:t xml:space="preserve">杭建工发【2011】237号） </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u w:val="single"/>
        </w:rPr>
        <w:t>（6）《关于进一步加强杭州市建设工程市场要素价格动态管理的指导意见》（杭建市发【2018】579号）</w:t>
      </w:r>
    </w:p>
    <w:p>
      <w:pPr>
        <w:spacing w:line="360" w:lineRule="auto"/>
        <w:ind w:firstLine="482" w:firstLineChars="200"/>
        <w:rPr>
          <w:rFonts w:hint="eastAsia" w:ascii="宋体" w:hAnsi="宋体" w:cs="宋体"/>
          <w:color w:val="auto"/>
          <w:kern w:val="0"/>
          <w:sz w:val="24"/>
          <w:u w:val="single"/>
        </w:rPr>
      </w:pPr>
      <w:r>
        <w:rPr>
          <w:rFonts w:hint="eastAsia" w:ascii="宋体" w:hAnsi="宋体" w:cs="宋体"/>
          <w:b/>
          <w:bCs/>
          <w:color w:val="auto"/>
          <w:sz w:val="24"/>
          <w:u w:val="single"/>
        </w:rPr>
        <w:t>（7）新工艺、新技术的约定：</w:t>
      </w:r>
      <w:r>
        <w:rPr>
          <w:rFonts w:hint="eastAsia" w:ascii="宋体" w:hAnsi="宋体" w:cs="宋体"/>
          <w:color w:val="auto"/>
          <w:kern w:val="0"/>
          <w:sz w:val="24"/>
          <w:u w:val="single"/>
        </w:rPr>
        <w:t xml:space="preserve">    /   </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（8）其他：</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《杭州市建筑市场管理若干规定》（杭州市人民政府令第277号）</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《杭州市建设工程文明施工管理规定》（杭州市人民政府令第278号）</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《杭州市政府投资项目概算管理办法（试行）》（杭发改投资[2013]422号）</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《杭州市政府投资项目工程变更管理暂行办法》（杭财建[2013]1246号）</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《关于进一步明确本市政府投资项目工程结算审查费用管理相关事项的通知》（杭财基[2014]109号）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1.4标准和规范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1.4.1适用于工程的标准规范包括：</w:t>
      </w:r>
      <w:r>
        <w:rPr>
          <w:rFonts w:hint="eastAsia" w:ascii="宋体" w:hAnsi="宋体" w:cs="宋体"/>
          <w:color w:val="auto"/>
          <w:sz w:val="24"/>
          <w:u w:val="single"/>
        </w:rPr>
        <w:t xml:space="preserve"> </w:t>
      </w:r>
      <w:r>
        <w:rPr>
          <w:rFonts w:hint="eastAsia" w:ascii="宋体" w:hAnsi="宋体" w:cs="宋体"/>
          <w:b/>
          <w:bCs/>
          <w:color w:val="auto"/>
          <w:sz w:val="24"/>
          <w:u w:val="single"/>
        </w:rPr>
        <w:t>按通用条款；</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1.4.2发包人提供国外标准、规范的名称：</w:t>
      </w:r>
      <w:r>
        <w:rPr>
          <w:rFonts w:hint="eastAsia" w:ascii="宋体" w:hAnsi="宋体" w:cs="宋体"/>
          <w:color w:val="auto"/>
          <w:kern w:val="0"/>
          <w:sz w:val="24"/>
          <w:u w:val="single"/>
        </w:rPr>
        <w:t xml:space="preserve">    /    </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发包人提供国外标准、规范的份数：</w:t>
      </w:r>
      <w:r>
        <w:rPr>
          <w:rFonts w:hint="eastAsia" w:ascii="宋体" w:hAnsi="宋体" w:cs="宋体"/>
          <w:color w:val="auto"/>
          <w:kern w:val="0"/>
          <w:sz w:val="24"/>
          <w:u w:val="single"/>
        </w:rPr>
        <w:t xml:space="preserve">    /    </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发包人提供国外标准、规范的名称：</w:t>
      </w:r>
      <w:r>
        <w:rPr>
          <w:rFonts w:hint="eastAsia" w:ascii="宋体" w:hAnsi="宋体" w:cs="宋体"/>
          <w:color w:val="auto"/>
          <w:kern w:val="0"/>
          <w:sz w:val="24"/>
          <w:u w:val="single"/>
        </w:rPr>
        <w:t xml:space="preserve">     /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1.4.3发包人对工程的技术标准和功能要求的特殊要求：</w:t>
      </w:r>
      <w:r>
        <w:rPr>
          <w:rFonts w:hint="eastAsia" w:ascii="宋体" w:hAnsi="宋体" w:cs="宋体"/>
          <w:b/>
          <w:bCs/>
          <w:color w:val="auto"/>
          <w:sz w:val="24"/>
          <w:u w:val="single"/>
        </w:rPr>
        <w:t>国家或行业如有新的技术标准和功能要求，则要求从新</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1.5合同文件的优先顺序为：</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（1）合同协议书；</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（2）中标通知书（或项目发承包基本情况表）；</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（3）磋商函及其附录（如果有）；</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（4）专用合同条款及其附件；</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（5）通用合同条款；</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（6）技术标准和要求；</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（7）图纸；</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（8）已标价工程量清单或预算书；</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（9）其他合同文件：</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①施工组织设计；</w:t>
      </w:r>
    </w:p>
    <w:p>
      <w:pPr>
        <w:spacing w:line="360" w:lineRule="auto"/>
        <w:ind w:firstLine="482" w:firstLineChars="200"/>
        <w:rPr>
          <w:rFonts w:hint="eastAsia" w:ascii="宋体" w:hAnsi="宋体" w:cs="宋体"/>
          <w:color w:val="auto"/>
          <w:sz w:val="24"/>
        </w:rPr>
      </w:pPr>
      <w:r>
        <w:rPr>
          <w:rFonts w:hint="eastAsia" w:ascii="宋体" w:hAnsi="宋体" w:cs="宋体"/>
          <w:b/>
          <w:bCs/>
          <w:color w:val="auto"/>
          <w:kern w:val="0"/>
          <w:sz w:val="24"/>
          <w:u w:val="single"/>
        </w:rPr>
        <w:t>②</w:t>
      </w:r>
      <w:r>
        <w:rPr>
          <w:rFonts w:hint="eastAsia" w:ascii="宋体" w:hAnsi="宋体" w:cs="宋体"/>
          <w:b/>
          <w:bCs/>
          <w:color w:val="auto"/>
          <w:sz w:val="24"/>
          <w:u w:val="single"/>
        </w:rPr>
        <w:t>竞争性磋商文件及招标答疑。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1.6图纸和承包人文件</w:t>
      </w:r>
      <w:r>
        <w:rPr>
          <w:rFonts w:hint="eastAsia" w:ascii="宋体" w:hAnsi="宋体" w:cs="宋体"/>
          <w:color w:val="auto"/>
          <w:sz w:val="24"/>
        </w:rPr>
        <w:tab/>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1.6.1图纸的提供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发包人向承包人提供图纸的期限：</w:t>
      </w:r>
      <w:r>
        <w:rPr>
          <w:rFonts w:hint="eastAsia" w:ascii="宋体" w:hAnsi="宋体" w:cs="宋体"/>
          <w:b/>
          <w:bCs/>
          <w:color w:val="auto"/>
          <w:sz w:val="24"/>
          <w:u w:val="single"/>
        </w:rPr>
        <w:t>开工前十五天；</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发包人向承包人提供图纸的数量：</w:t>
      </w:r>
      <w:r>
        <w:rPr>
          <w:rFonts w:hint="eastAsia" w:ascii="宋体" w:hAnsi="宋体" w:cs="宋体"/>
          <w:b/>
          <w:bCs/>
          <w:color w:val="auto"/>
          <w:sz w:val="24"/>
          <w:u w:val="single"/>
        </w:rPr>
        <w:t>陆套施工图纸(不包括竣工图)，如承包人额外需要提供施工图纸的，则额外增加的施工图纸的制作费由承包人承担</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发包人向承包人提供图纸的内容：</w:t>
      </w:r>
      <w:r>
        <w:rPr>
          <w:rFonts w:hint="eastAsia" w:ascii="宋体" w:hAnsi="宋体" w:cs="宋体"/>
          <w:b/>
          <w:bCs/>
          <w:color w:val="auto"/>
          <w:sz w:val="24"/>
          <w:u w:val="single"/>
        </w:rPr>
        <w:t>承包范围内的全套施工图纸、设计联系单等</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1.6.4承包人文件</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需要由承包人提供的文件，包括：</w:t>
      </w:r>
      <w:r>
        <w:rPr>
          <w:rFonts w:hint="eastAsia" w:ascii="宋体" w:hAnsi="宋体" w:cs="宋体"/>
          <w:b/>
          <w:bCs/>
          <w:color w:val="auto"/>
          <w:sz w:val="24"/>
          <w:u w:val="single"/>
        </w:rPr>
        <w:t>施工组织设计、进度计划等</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承包人提供的文件的期限为：</w:t>
      </w:r>
      <w:r>
        <w:rPr>
          <w:rFonts w:hint="eastAsia" w:ascii="宋体" w:hAnsi="宋体" w:cs="宋体"/>
          <w:b/>
          <w:bCs/>
          <w:color w:val="auto"/>
          <w:sz w:val="24"/>
          <w:u w:val="single"/>
        </w:rPr>
        <w:t>合同签订后五个工作日内</w:t>
      </w:r>
      <w:r>
        <w:rPr>
          <w:rFonts w:hint="eastAsia" w:ascii="宋体" w:hAnsi="宋体" w:cs="宋体"/>
          <w:color w:val="auto"/>
          <w:sz w:val="24"/>
          <w:u w:val="single"/>
        </w:rPr>
        <w:t>；</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承包人提供的文件的数量为：</w:t>
      </w:r>
      <w:r>
        <w:rPr>
          <w:rFonts w:hint="eastAsia" w:ascii="宋体" w:hAnsi="宋体" w:cs="宋体"/>
          <w:b/>
          <w:bCs/>
          <w:color w:val="auto"/>
          <w:sz w:val="24"/>
          <w:u w:val="single"/>
        </w:rPr>
        <w:t>一式三份</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承包人提供的文件的形式为：</w:t>
      </w:r>
      <w:r>
        <w:rPr>
          <w:rFonts w:hint="eastAsia" w:ascii="宋体" w:hAnsi="宋体" w:cs="宋体"/>
          <w:b/>
          <w:bCs/>
          <w:color w:val="auto"/>
          <w:sz w:val="24"/>
          <w:u w:val="single"/>
        </w:rPr>
        <w:t>书面形式</w:t>
      </w:r>
      <w:r>
        <w:rPr>
          <w:rFonts w:hint="eastAsia" w:ascii="宋体" w:hAnsi="宋体" w:cs="宋体"/>
          <w:color w:val="auto"/>
          <w:sz w:val="24"/>
          <w:u w:val="single"/>
        </w:rPr>
        <w:t>；</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发包人审批承包人文件的期限：</w:t>
      </w:r>
      <w:r>
        <w:rPr>
          <w:rFonts w:hint="eastAsia" w:ascii="宋体" w:hAnsi="宋体" w:cs="宋体"/>
          <w:b/>
          <w:bCs/>
          <w:color w:val="auto"/>
          <w:sz w:val="24"/>
          <w:u w:val="single"/>
        </w:rPr>
        <w:t>收到承包人齐全的文件资料后10个工作日内</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1.6.5现场图纸准备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关于现场图纸准备的约定：</w:t>
      </w:r>
      <w:r>
        <w:rPr>
          <w:rFonts w:hint="eastAsia" w:ascii="宋体" w:hAnsi="宋体" w:cs="宋体"/>
          <w:b/>
          <w:bCs/>
          <w:color w:val="auto"/>
          <w:sz w:val="24"/>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cs="宋体"/>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1.7联络</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1.7.1发包人和承包人应当在</w:t>
      </w:r>
      <w:r>
        <w:rPr>
          <w:rFonts w:hint="eastAsia" w:ascii="宋体" w:hAnsi="宋体" w:cs="宋体"/>
          <w:b/>
          <w:bCs/>
          <w:color w:val="auto"/>
          <w:sz w:val="24"/>
          <w:u w:val="single"/>
        </w:rPr>
        <w:t xml:space="preserve">3  </w:t>
      </w:r>
      <w:r>
        <w:rPr>
          <w:rFonts w:hint="eastAsia" w:ascii="宋体" w:hAnsi="宋体" w:cs="宋体"/>
          <w:color w:val="auto"/>
          <w:kern w:val="0"/>
          <w:sz w:val="24"/>
        </w:rPr>
        <w:t>天内将与合同有关的通知、批准、证明、证书、指示、指令、要求、请求、同意、意见、确定和决定等书面函件送达对方当事人。</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1.7.2 发包人、承包人及监理人接收文件的地点：</w:t>
      </w:r>
      <w:r>
        <w:rPr>
          <w:rFonts w:hint="eastAsia" w:ascii="宋体" w:hAnsi="宋体" w:cs="宋体"/>
          <w:color w:val="auto"/>
          <w:kern w:val="0"/>
          <w:sz w:val="24"/>
          <w:u w:val="single"/>
        </w:rPr>
        <w:t xml:space="preserve"> </w:t>
      </w:r>
      <w:r>
        <w:rPr>
          <w:rFonts w:hint="eastAsia" w:ascii="宋体" w:hAnsi="宋体" w:cs="宋体"/>
          <w:b/>
          <w:bCs/>
          <w:color w:val="auto"/>
          <w:sz w:val="24"/>
          <w:u w:val="single"/>
        </w:rPr>
        <w:t>施工现场办公室；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1.10交通运输</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1.10.1出入现场的权利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关于出入现场的权利的约定：</w:t>
      </w:r>
      <w:r>
        <w:rPr>
          <w:rFonts w:hint="eastAsia" w:ascii="宋体" w:hAnsi="宋体" w:cs="宋体"/>
          <w:b/>
          <w:bCs/>
          <w:color w:val="auto"/>
          <w:sz w:val="24"/>
          <w:u w:val="single"/>
        </w:rPr>
        <w:t>按通用条款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1.10.3场内交通</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关于场外交通和场内交通的边界的约定：</w:t>
      </w:r>
      <w:r>
        <w:rPr>
          <w:rFonts w:hint="eastAsia" w:ascii="宋体" w:hAnsi="宋体" w:cs="宋体"/>
          <w:b/>
          <w:bCs/>
          <w:color w:val="auto"/>
          <w:sz w:val="24"/>
          <w:u w:val="single"/>
        </w:rPr>
        <w:t>由发包人根据现场条件划定，承包人无条件服从。</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关于发包人向承包人免费提供满足工程施工需要的场内道路和交通设施的约定：</w:t>
      </w:r>
      <w:r>
        <w:rPr>
          <w:rFonts w:hint="eastAsia" w:ascii="宋体" w:hAnsi="宋体" w:cs="宋体"/>
          <w:b/>
          <w:bCs/>
          <w:color w:val="auto"/>
          <w:sz w:val="24"/>
          <w:u w:val="single"/>
        </w:rPr>
        <w:t>按通用条款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1.10.4超大件和超重件的运输</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运输超大件或超重件所需的道路和桥梁临时加固改造费用和其他有关费用由</w:t>
      </w:r>
      <w:r>
        <w:rPr>
          <w:rFonts w:hint="eastAsia" w:ascii="宋体" w:hAnsi="宋体" w:cs="宋体"/>
          <w:b/>
          <w:bCs/>
          <w:color w:val="auto"/>
          <w:sz w:val="24"/>
          <w:u w:val="single"/>
        </w:rPr>
        <w:t xml:space="preserve">承包人 </w:t>
      </w:r>
      <w:r>
        <w:rPr>
          <w:rFonts w:hint="eastAsia" w:ascii="宋体" w:hAnsi="宋体" w:cs="宋体"/>
          <w:color w:val="auto"/>
          <w:sz w:val="24"/>
        </w:rPr>
        <w:t>承担。</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本工程的超大件：</w:t>
      </w:r>
      <w:r>
        <w:rPr>
          <w:rFonts w:hint="eastAsia" w:ascii="宋体" w:hAnsi="宋体" w:cs="宋体"/>
          <w:color w:val="auto"/>
          <w:kern w:val="0"/>
          <w:sz w:val="24"/>
          <w:u w:val="single"/>
        </w:rPr>
        <w:t xml:space="preserve">/    </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本工程的超重件：</w:t>
      </w:r>
      <w:r>
        <w:rPr>
          <w:rFonts w:hint="eastAsia" w:ascii="宋体" w:hAnsi="宋体" w:cs="宋体"/>
          <w:color w:val="auto"/>
          <w:kern w:val="0"/>
          <w:sz w:val="24"/>
          <w:u w:val="single"/>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1.11知识产权</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归发包人。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关于发包人提供的上述文件的使用限制的要求：</w:t>
      </w:r>
      <w:r>
        <w:rPr>
          <w:rFonts w:hint="eastAsia" w:ascii="宋体" w:hAnsi="宋体" w:cs="宋体"/>
          <w:b/>
          <w:bCs/>
          <w:color w:val="auto"/>
          <w:sz w:val="24"/>
          <w:u w:val="single"/>
        </w:rPr>
        <w:t>未经发包人同意，不得向他人提供，否则发包人有权解除合同并有权向承包人进行索赔。</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1.11.2 关于承包人为实施工程所编制文件的著作权的归属：</w:t>
      </w:r>
      <w:r>
        <w:rPr>
          <w:rFonts w:hint="eastAsia" w:ascii="宋体" w:hAnsi="宋体" w:cs="宋体"/>
          <w:b/>
          <w:bCs/>
          <w:color w:val="auto"/>
          <w:sz w:val="24"/>
          <w:u w:val="single"/>
        </w:rPr>
        <w:t xml:space="preserve">按通用条款。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关于承包人提供的上述文件的使用限制的要求：</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用于本工程。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1.11.4 承包人在施工过程中所采用的专利、专有技术、技术秘密的使用费的承担方式：</w:t>
      </w:r>
      <w:r>
        <w:rPr>
          <w:rFonts w:hint="eastAsia" w:ascii="宋体" w:hAnsi="宋体" w:cs="宋体"/>
          <w:b/>
          <w:bCs/>
          <w:color w:val="auto"/>
          <w:sz w:val="24"/>
          <w:u w:val="single"/>
        </w:rPr>
        <w:t>（除发包人指明外）承包人在施工过程中所采用的专利、专有技术、技术秘密的使用费包含在合同价款内。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1.13工程量清单错误的修正</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出现工程量清单错误时，是否调整合同价格：</w:t>
      </w:r>
      <w:r>
        <w:rPr>
          <w:rFonts w:hint="eastAsia" w:ascii="宋体" w:hAnsi="宋体" w:cs="宋体"/>
          <w:b/>
          <w:bCs/>
          <w:color w:val="auto"/>
          <w:sz w:val="24"/>
          <w:u w:val="single"/>
        </w:rPr>
        <w:t xml:space="preserve">  是  </w:t>
      </w:r>
      <w:r>
        <w:rPr>
          <w:rFonts w:hint="eastAsia" w:ascii="宋体" w:hAnsi="宋体" w:cs="宋体"/>
          <w:b/>
          <w:bCs/>
          <w:color w:val="auto"/>
          <w:sz w:val="24"/>
        </w:rPr>
        <w:t>；</w:t>
      </w:r>
    </w:p>
    <w:p>
      <w:pPr>
        <w:spacing w:line="360" w:lineRule="auto"/>
        <w:ind w:firstLine="480" w:firstLineChars="200"/>
        <w:rPr>
          <w:rFonts w:hint="eastAsia" w:ascii="宋体" w:hAnsi="宋体" w:cs="宋体"/>
          <w:strike/>
          <w:color w:val="auto"/>
          <w:sz w:val="24"/>
        </w:rPr>
      </w:pPr>
      <w:r>
        <w:rPr>
          <w:rFonts w:hint="eastAsia" w:ascii="宋体" w:hAnsi="宋体" w:cs="宋体"/>
          <w:color w:val="auto"/>
          <w:sz w:val="24"/>
        </w:rPr>
        <w:t>允许调整合同价格的工程量偏差范围：</w:t>
      </w:r>
      <w:r>
        <w:rPr>
          <w:rFonts w:hint="eastAsia" w:ascii="宋体" w:hAnsi="宋体" w:cs="宋体"/>
          <w:color w:val="auto"/>
          <w:sz w:val="24"/>
          <w:u w:val="single"/>
        </w:rPr>
        <w:t xml:space="preserve"> </w:t>
      </w:r>
      <w:r>
        <w:rPr>
          <w:rFonts w:hint="eastAsia" w:ascii="宋体" w:hAnsi="宋体" w:cs="宋体"/>
          <w:b/>
          <w:bCs/>
          <w:color w:val="auto"/>
          <w:sz w:val="24"/>
          <w:u w:val="single"/>
        </w:rPr>
        <w:t>按本专用条款第10.4.1条执行；</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调整合同价格的修正时间：</w:t>
      </w:r>
      <w:r>
        <w:rPr>
          <w:rFonts w:hint="eastAsia" w:ascii="宋体" w:hAnsi="宋体" w:cs="宋体"/>
          <w:color w:val="auto"/>
          <w:sz w:val="24"/>
          <w:u w:val="single"/>
        </w:rPr>
        <w:t xml:space="preserve"> </w:t>
      </w:r>
      <w:r>
        <w:rPr>
          <w:rFonts w:hint="eastAsia" w:ascii="宋体" w:hAnsi="宋体" w:cs="宋体"/>
          <w:b/>
          <w:bCs/>
          <w:color w:val="auto"/>
          <w:sz w:val="24"/>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2、发包人</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发包人应根据工程所需配备发包人代表，同时配备1-2名相关人员到岗履职。</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发包人对发包人代表的授权范围如下：</w:t>
      </w:r>
      <w:r>
        <w:rPr>
          <w:rFonts w:hint="eastAsia" w:ascii="宋体" w:hAnsi="宋体" w:cs="宋体"/>
          <w:b/>
          <w:color w:val="auto"/>
          <w:sz w:val="24"/>
          <w:u w:val="single"/>
        </w:rPr>
        <w:t>对质量、成本、安全、进度进行全面管理，但涉及合同价格变更、安全事故、质量事故等重大事项的处理须经发包人加盖公章方有效。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2.4施工现场、施工条件和基础资料的提供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2.4.1提供施工现场</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关于发包人移交施工现场的期限要求：</w:t>
      </w:r>
      <w:r>
        <w:rPr>
          <w:rFonts w:hint="eastAsia" w:ascii="宋体" w:hAnsi="宋体" w:cs="宋体"/>
          <w:b/>
          <w:bCs/>
          <w:color w:val="auto"/>
          <w:sz w:val="24"/>
          <w:u w:val="single"/>
        </w:rPr>
        <w:t xml:space="preserve"> 开工日期7天前移交。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2.4.2提供施工条件</w:t>
      </w:r>
    </w:p>
    <w:p>
      <w:pPr>
        <w:autoSpaceDE w:val="0"/>
        <w:autoSpaceDN w:val="0"/>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关于发包人应负责提供施工所需要的条件，包括：</w:t>
      </w:r>
      <w:r>
        <w:rPr>
          <w:rFonts w:hint="eastAsia" w:ascii="宋体" w:hAnsi="宋体" w:cs="宋体"/>
          <w:b/>
          <w:bCs/>
          <w:color w:val="auto"/>
          <w:sz w:val="24"/>
          <w:u w:val="single"/>
        </w:rPr>
        <w:t xml:space="preserve">按通用条款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2.5资金来源证明及支付担保</w:t>
      </w:r>
    </w:p>
    <w:p>
      <w:pPr>
        <w:spacing w:line="360" w:lineRule="auto"/>
        <w:ind w:firstLine="480" w:firstLineChars="200"/>
        <w:rPr>
          <w:rFonts w:hint="eastAsia" w:ascii="宋体" w:hAnsi="宋体" w:cs="宋体"/>
          <w:b/>
          <w:bCs/>
          <w:strike/>
          <w:color w:val="auto"/>
          <w:sz w:val="24"/>
          <w:u w:val="single"/>
        </w:rPr>
      </w:pPr>
      <w:r>
        <w:rPr>
          <w:rFonts w:hint="eastAsia" w:ascii="宋体" w:hAnsi="宋体" w:cs="宋体"/>
          <w:color w:val="auto"/>
          <w:sz w:val="24"/>
        </w:rPr>
        <w:t>发包人提供资金来源证明的期限要求：</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发包人是否提供支付担保：</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发包人提供支付担保的形式：</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3、承包人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3.1承包人的一般义务</w:t>
      </w:r>
    </w:p>
    <w:p>
      <w:pPr>
        <w:spacing w:line="360" w:lineRule="auto"/>
        <w:ind w:firstLine="480" w:firstLineChars="200"/>
        <w:rPr>
          <w:rFonts w:hint="eastAsia" w:ascii="宋体" w:hAnsi="宋体" w:cs="宋体"/>
          <w:strike/>
          <w:color w:val="auto"/>
          <w:sz w:val="24"/>
        </w:rPr>
      </w:pPr>
      <w:r>
        <w:rPr>
          <w:rFonts w:hint="eastAsia" w:ascii="宋体" w:hAnsi="宋体" w:cs="宋体"/>
          <w:color w:val="auto"/>
          <w:kern w:val="0"/>
          <w:sz w:val="24"/>
        </w:rPr>
        <w:t>（5）</w:t>
      </w:r>
      <w:r>
        <w:rPr>
          <w:rFonts w:hint="eastAsia" w:ascii="宋体" w:hAnsi="宋体" w:cs="宋体"/>
          <w:color w:val="auto"/>
          <w:sz w:val="24"/>
        </w:rPr>
        <w:t>承包人提交的竣工资料的内容：</w:t>
      </w:r>
      <w:r>
        <w:rPr>
          <w:rFonts w:hint="eastAsia" w:ascii="宋体" w:hAnsi="宋体" w:cs="宋体"/>
          <w:b/>
          <w:bCs/>
          <w:color w:val="auto"/>
          <w:sz w:val="24"/>
          <w:u w:val="single"/>
        </w:rPr>
        <w:t>竣工图纸和竣工资料（包括影像资料）、电子版竣工图光盘</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承包人需要提交的竣工资料套数：</w:t>
      </w:r>
      <w:r>
        <w:rPr>
          <w:rFonts w:hint="eastAsia" w:ascii="宋体" w:hAnsi="宋体" w:cs="宋体"/>
          <w:b/>
          <w:bCs/>
          <w:color w:val="auto"/>
          <w:sz w:val="24"/>
          <w:u w:val="single"/>
        </w:rPr>
        <w:t>陆套</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承包人提交的竣工资料的费用承担：</w:t>
      </w:r>
      <w:r>
        <w:rPr>
          <w:rFonts w:hint="eastAsia" w:ascii="宋体" w:hAnsi="宋体" w:cs="宋体"/>
          <w:b/>
          <w:bCs/>
          <w:color w:val="auto"/>
          <w:sz w:val="24"/>
          <w:u w:val="single"/>
        </w:rPr>
        <w:t>由承包人承担</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承包人提交的竣工资料移交时间：</w:t>
      </w:r>
      <w:r>
        <w:rPr>
          <w:rFonts w:hint="eastAsia" w:ascii="宋体" w:hAnsi="宋体" w:cs="宋体"/>
          <w:b/>
          <w:bCs/>
          <w:color w:val="auto"/>
          <w:sz w:val="24"/>
          <w:u w:val="single"/>
        </w:rPr>
        <w:t>工程竣工验收合格后10天内</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承包人提交的竣工资料形式要求：</w:t>
      </w:r>
      <w:r>
        <w:rPr>
          <w:rFonts w:hint="eastAsia" w:ascii="宋体" w:hAnsi="宋体" w:cs="宋体"/>
          <w:b/>
          <w:bCs/>
          <w:color w:val="auto"/>
          <w:sz w:val="24"/>
          <w:u w:val="single"/>
        </w:rPr>
        <w:t>符合城建档案管理部门相关规定的</w:t>
      </w:r>
      <w:r>
        <w:rPr>
          <w:rFonts w:hint="eastAsia" w:ascii="宋体" w:hAnsi="宋体" w:cs="宋体"/>
          <w:b/>
          <w:color w:val="auto"/>
          <w:sz w:val="24"/>
          <w:u w:val="single"/>
        </w:rPr>
        <w:t>纸质、电子文本</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（6）承包人应履行的其他义务：</w:t>
      </w:r>
      <w:r>
        <w:rPr>
          <w:rFonts w:hint="eastAsia" w:ascii="宋体" w:hAnsi="宋体" w:cs="宋体"/>
          <w:b/>
          <w:bCs/>
          <w:color w:val="auto"/>
          <w:sz w:val="24"/>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3.2项目经理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承包人对项目经理的授权范围如下：</w:t>
      </w:r>
      <w:r>
        <w:rPr>
          <w:rFonts w:hint="eastAsia" w:ascii="宋体" w:hAnsi="宋体" w:cs="宋体"/>
          <w:b/>
          <w:bCs/>
          <w:color w:val="auto"/>
          <w:sz w:val="24"/>
          <w:u w:val="single"/>
        </w:rPr>
        <w:t>受承包人委托全面负责工程安全、质量、进度、投资四大控制要素，完善合同、信息、组织管理体系，做好安全监督，文明标准化现场工作。</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关于项目经理每月在施工现场的时间要求：</w:t>
      </w:r>
      <w:r>
        <w:rPr>
          <w:rFonts w:hint="eastAsia" w:ascii="宋体" w:hAnsi="宋体" w:cs="宋体"/>
          <w:b/>
          <w:bCs/>
          <w:color w:val="auto"/>
          <w:sz w:val="24"/>
          <w:u w:val="single"/>
        </w:rPr>
        <w:t>每月不少于22日历天。</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承包人未提交劳动合同，以及没有为项目经理缴纳社会保险证明的违约责任：</w:t>
      </w:r>
      <w:r>
        <w:rPr>
          <w:rFonts w:hint="eastAsia" w:ascii="宋体" w:hAnsi="宋体" w:cs="宋体"/>
          <w:b/>
          <w:bCs/>
          <w:color w:val="auto"/>
          <w:sz w:val="24"/>
          <w:u w:val="single"/>
        </w:rPr>
        <w:t>将被视为承包人违约，发包人将没收部分或全部履约保证金，直至单方面解除本施工合同。</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项目经理未经批准，擅自离开施工现场的违约责任：</w:t>
      </w:r>
      <w:r>
        <w:rPr>
          <w:rFonts w:hint="eastAsia" w:ascii="宋体" w:hAnsi="宋体" w:cs="宋体"/>
          <w:b/>
          <w:bCs/>
          <w:color w:val="auto"/>
          <w:sz w:val="24"/>
          <w:u w:val="single"/>
        </w:rPr>
        <w:t>擅自离开施工现场每一天，处罚人民币1000元/天，上述扣款在支付进度款中逐期扣除。</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3.2.3承包人擅自更换项目经理的违约责任：</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（1）</w:t>
      </w:r>
      <w:r>
        <w:rPr>
          <w:rFonts w:hint="eastAsia" w:ascii="宋体" w:hAnsi="宋体" w:cs="宋体"/>
          <w:b/>
          <w:bCs/>
          <w:color w:val="auto"/>
          <w:kern w:val="0"/>
          <w:sz w:val="24"/>
        </w:rPr>
        <w:t>承包人确需更换项目经理的，继任项目经理注册执业资格、管理经验的约定：</w:t>
      </w:r>
      <w:r>
        <w:rPr>
          <w:rFonts w:hint="eastAsia" w:ascii="宋体" w:hAnsi="宋体" w:cs="宋体"/>
          <w:b/>
          <w:bCs/>
          <w:color w:val="auto"/>
          <w:sz w:val="24"/>
          <w:u w:val="single"/>
        </w:rPr>
        <w:t>均要求等同于或高于被更换项目经理。</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（2）</w:t>
      </w:r>
      <w:r>
        <w:rPr>
          <w:rFonts w:hint="eastAsia" w:ascii="宋体" w:hAnsi="宋体" w:cs="宋体"/>
          <w:color w:val="auto"/>
          <w:sz w:val="24"/>
        </w:rPr>
        <w:t>承包人擅自更换项目经理的违约责任：</w:t>
      </w:r>
      <w:r>
        <w:rPr>
          <w:rFonts w:hint="eastAsia" w:ascii="宋体" w:hAnsi="宋体" w:cs="宋体"/>
          <w:b/>
          <w:bCs/>
          <w:color w:val="auto"/>
          <w:sz w:val="24"/>
          <w:u w:val="single"/>
        </w:rPr>
        <w:t>未经发包人及相关行政主管部门同意，擅自更换项目经理时，将被视为承包人违约，发包人将没收部分或全部履约保证金，直至单方面解除本施工合同。</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3.2.4承包人无正当理由拒绝更换项目经理的违约责任：</w:t>
      </w:r>
      <w:r>
        <w:rPr>
          <w:rFonts w:hint="eastAsia" w:ascii="宋体" w:hAnsi="宋体" w:cs="宋体"/>
          <w:b/>
          <w:bCs/>
          <w:color w:val="auto"/>
          <w:sz w:val="24"/>
          <w:u w:val="single"/>
        </w:rPr>
        <w:t>将被视为承包人违约，发包人将没收部分或全部履约保证金，直至单方面解除本施工合同。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3.3承包人人员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3.3.1承包人提交项目管理机构及施工现场管理人员安排报告的期限：</w:t>
      </w:r>
      <w:r>
        <w:rPr>
          <w:rFonts w:hint="eastAsia" w:ascii="宋体" w:hAnsi="宋体" w:cs="宋体"/>
          <w:b/>
          <w:bCs/>
          <w:color w:val="auto"/>
          <w:sz w:val="24"/>
          <w:u w:val="single"/>
        </w:rPr>
        <w:t>开工前七天</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3.3.2 承包人需更换主要施工管理人员的，继任人员的数量、注册执业资格、管理经验的约定：</w:t>
      </w:r>
      <w:r>
        <w:rPr>
          <w:rFonts w:hint="eastAsia" w:ascii="宋体" w:hAnsi="宋体" w:cs="宋体"/>
          <w:b/>
          <w:bCs/>
          <w:color w:val="auto"/>
          <w:sz w:val="24"/>
          <w:u w:val="single"/>
        </w:rPr>
        <w:t>均要求等同于或高于被更换主要施工管理人员。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3.3.3承包人无正当理由拒绝撤换主要施工管理人员的违约责任：</w:t>
      </w:r>
      <w:r>
        <w:rPr>
          <w:rFonts w:hint="eastAsia" w:ascii="宋体" w:hAnsi="宋体" w:cs="宋体"/>
          <w:b/>
          <w:bCs/>
          <w:color w:val="auto"/>
          <w:sz w:val="24"/>
          <w:u w:val="single"/>
        </w:rPr>
        <w:t>将被视为承包人违约，发包人将没收部分或全部履约保证金，直至单方面解除本施工合同。</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3.3.4 承包人主要施工管理人员离开施工现场的批准要求：</w:t>
      </w:r>
      <w:r>
        <w:rPr>
          <w:rFonts w:hint="eastAsia" w:ascii="宋体" w:hAnsi="宋体" w:cs="宋体"/>
          <w:b/>
          <w:bCs/>
          <w:color w:val="auto"/>
          <w:sz w:val="24"/>
          <w:u w:val="single"/>
        </w:rPr>
        <w:t>离开前向发包人代表提出书面报告，发包人代表同意后方可离开施工现场。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3.3.5承包人擅自更换主要施工管理人员的违约责任：</w:t>
      </w:r>
      <w:r>
        <w:rPr>
          <w:rFonts w:hint="eastAsia" w:ascii="宋体" w:hAnsi="宋体" w:cs="宋体"/>
          <w:b/>
          <w:bCs/>
          <w:color w:val="auto"/>
          <w:sz w:val="24"/>
          <w:u w:val="single"/>
        </w:rPr>
        <w:t>未经发包人及相关行政主管部门同意，擅自更换主要施工管理人员时，将被视为承包人违约，发包人将没收部分或全部履约保证金，直至单方面解除本施工合同。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承包人主要施工管理人员擅自离开施工现场的违约责任：</w:t>
      </w:r>
      <w:r>
        <w:rPr>
          <w:rFonts w:hint="eastAsia" w:ascii="宋体" w:hAnsi="宋体" w:cs="宋体"/>
          <w:b/>
          <w:bCs/>
          <w:color w:val="auto"/>
          <w:sz w:val="24"/>
          <w:u w:val="single"/>
        </w:rPr>
        <w:t>擅自离开施工现场每一天，处罚人民币400元/天，上述扣款在支付进度款中逐期扣除。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3.5分包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3.5.1分包的一般约定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禁止分包的工程包括：</w:t>
      </w:r>
      <w:r>
        <w:rPr>
          <w:rFonts w:hint="eastAsia" w:ascii="宋体" w:hAnsi="宋体" w:cs="宋体"/>
          <w:b/>
          <w:bCs/>
          <w:color w:val="auto"/>
          <w:sz w:val="24"/>
          <w:u w:val="single"/>
        </w:rPr>
        <w:t>主体结构、关键性工作等其他国家现行法律、法规明令禁止分包的内容。</w:t>
      </w:r>
      <w:r>
        <w:rPr>
          <w:rFonts w:hint="eastAsia" w:ascii="宋体" w:hAnsi="宋体" w:cs="宋体"/>
          <w:b/>
          <w:color w:val="auto"/>
          <w:sz w:val="24"/>
          <w:u w:val="single"/>
        </w:rPr>
        <w:t>未经发包人书面同意，不得分包。</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主体结构、关键性工作的范围：</w:t>
      </w:r>
      <w:r>
        <w:rPr>
          <w:rFonts w:hint="eastAsia" w:ascii="宋体" w:hAnsi="宋体" w:cs="宋体"/>
          <w:b/>
          <w:bCs/>
          <w:color w:val="auto"/>
          <w:sz w:val="24"/>
          <w:u w:val="single"/>
        </w:rPr>
        <w:t>按通用条款或国家现行法律、法规执行。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3.5.2分包的确定</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允许分包的专业工程包括：</w:t>
      </w:r>
      <w:r>
        <w:rPr>
          <w:rFonts w:hint="eastAsia" w:ascii="宋体" w:hAnsi="宋体" w:cs="宋体"/>
          <w:b/>
          <w:bCs/>
          <w:color w:val="auto"/>
          <w:sz w:val="24"/>
          <w:u w:val="single"/>
        </w:rPr>
        <w:t>合同签订时明确。</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其他关于分包的约定：</w:t>
      </w:r>
      <w:r>
        <w:rPr>
          <w:rFonts w:hint="eastAsia" w:ascii="宋体" w:hAnsi="宋体" w:cs="宋体"/>
          <w:b/>
          <w:bCs/>
          <w:color w:val="auto"/>
          <w:sz w:val="24"/>
          <w:u w:val="single"/>
        </w:rPr>
        <w:t>合同签订时明确。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3.5.4分包合同价款</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关于分包合同价款支付的约定：</w:t>
      </w:r>
      <w:r>
        <w:rPr>
          <w:rFonts w:hint="eastAsia" w:ascii="宋体" w:hAnsi="宋体" w:cs="宋体"/>
          <w:b/>
          <w:bCs/>
          <w:color w:val="auto"/>
          <w:sz w:val="24"/>
          <w:u w:val="single"/>
        </w:rPr>
        <w:t>合同签订时明确。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3.6工程照管与成品、半成品保护</w:t>
      </w:r>
    </w:p>
    <w:p>
      <w:pPr>
        <w:spacing w:line="360" w:lineRule="auto"/>
        <w:ind w:firstLine="480" w:firstLineChars="200"/>
        <w:rPr>
          <w:rFonts w:hint="eastAsia" w:ascii="宋体" w:hAnsi="宋体" w:cs="宋体"/>
          <w:b/>
          <w:bCs/>
          <w:color w:val="auto"/>
          <w:kern w:val="0"/>
          <w:sz w:val="24"/>
          <w:u w:val="single"/>
        </w:rPr>
      </w:pPr>
      <w:r>
        <w:rPr>
          <w:rFonts w:hint="eastAsia" w:ascii="宋体" w:hAnsi="宋体" w:cs="宋体"/>
          <w:color w:val="auto"/>
          <w:kern w:val="0"/>
          <w:sz w:val="24"/>
        </w:rPr>
        <w:t>承包人负责照管工程及工程相关的材料、工程设备的起始时间：</w:t>
      </w:r>
      <w:r>
        <w:rPr>
          <w:rFonts w:hint="eastAsia" w:ascii="宋体" w:hAnsi="宋体" w:cs="宋体"/>
          <w:b/>
          <w:bCs/>
          <w:color w:val="auto"/>
          <w:sz w:val="24"/>
          <w:u w:val="single"/>
        </w:rPr>
        <w:t>按通用条款。</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3.7履约担保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承包人是否提供履约担保：</w:t>
      </w:r>
      <w:r>
        <w:rPr>
          <w:rFonts w:hint="eastAsia" w:ascii="宋体" w:hAnsi="宋体" w:cs="宋体"/>
          <w:b/>
          <w:bCs/>
          <w:color w:val="auto"/>
          <w:sz w:val="24"/>
          <w:u w:val="single"/>
        </w:rPr>
        <w:t xml:space="preserve">   否   </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4、监理人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4.1监理人的一般规定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关于监理人的监理内容：</w:t>
      </w:r>
      <w:r>
        <w:rPr>
          <w:rFonts w:hint="eastAsia" w:ascii="宋体" w:hAnsi="宋体" w:cs="宋体"/>
          <w:b/>
          <w:bCs/>
          <w:color w:val="auto"/>
          <w:sz w:val="24"/>
          <w:u w:val="single"/>
        </w:rPr>
        <w:t>本工程实施范围内的所有内容</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关于监理人的监理权限：</w:t>
      </w:r>
      <w:r>
        <w:rPr>
          <w:rFonts w:hint="eastAsia" w:ascii="宋体" w:hAnsi="宋体" w:cs="宋体"/>
          <w:b/>
          <w:bCs/>
          <w:color w:val="auto"/>
          <w:sz w:val="24"/>
          <w:u w:val="single"/>
        </w:rPr>
        <w:t>按本工程监理合同执行</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关于监理人在施工现场的办公场所、生活场所的提供和费用承担的约定：</w:t>
      </w:r>
      <w:r>
        <w:rPr>
          <w:rFonts w:hint="eastAsia" w:ascii="宋体" w:hAnsi="宋体" w:cs="宋体"/>
          <w:b/>
          <w:bCs/>
          <w:color w:val="auto"/>
          <w:sz w:val="24"/>
          <w:u w:val="single"/>
        </w:rPr>
        <w:t>由承包人解决并承担相关费用。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4.2监理人员</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关于监理人的其他约定：</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需要取得发包人批准才能行使的职权：</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A 涉及全局进度的工程暂停；</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B 变更的估价；</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C 部分工程分包；</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D 索赔的支付；</w:t>
      </w:r>
    </w:p>
    <w:p>
      <w:pPr>
        <w:snapToGrid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E 有关暂列金额的使用；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F 涉及改变原设计意图或影响原设计结构的补充图纸和指示。</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5、工程质量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5.1质量要求</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5.1.1特殊质量标准和要求：</w:t>
      </w:r>
      <w:r>
        <w:rPr>
          <w:rFonts w:hint="eastAsia" w:ascii="宋体" w:hAnsi="宋体" w:cs="宋体"/>
          <w:b/>
          <w:bCs/>
          <w:color w:val="auto"/>
          <w:sz w:val="24"/>
          <w:u w:val="single"/>
        </w:rPr>
        <w:t>符合（工程施工质量验收规范）合格标准。</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关于工程奖项的约定：</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5.3隐蔽工程检查</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5.3.2承包人提前通知监理人隐蔽工程检查的期限的约定：</w:t>
      </w:r>
      <w:r>
        <w:rPr>
          <w:rFonts w:hint="eastAsia" w:ascii="宋体" w:hAnsi="宋体" w:cs="宋体"/>
          <w:b/>
          <w:bCs/>
          <w:color w:val="auto"/>
          <w:sz w:val="24"/>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有防水要求的地方，均应进行防水试验，并通过验收；未进行防水验收即进入下一道工序的，除补充进行验收外，且发包人每次扣罚违约金1万元，上述扣款在工程进度款中逐期扣除。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监理人不能按时进行检查时，应提前</w:t>
      </w:r>
      <w:r>
        <w:rPr>
          <w:rFonts w:hint="eastAsia" w:ascii="宋体" w:hAnsi="宋体" w:cs="宋体"/>
          <w:b/>
          <w:bCs/>
          <w:color w:val="auto"/>
          <w:sz w:val="24"/>
          <w:u w:val="single"/>
        </w:rPr>
        <w:t xml:space="preserve"> 24 </w:t>
      </w:r>
      <w:r>
        <w:rPr>
          <w:rFonts w:hint="eastAsia" w:ascii="宋体" w:hAnsi="宋体" w:cs="宋体"/>
          <w:color w:val="auto"/>
          <w:sz w:val="24"/>
        </w:rPr>
        <w:t>小时提交书面延期要求。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关于延期最长不得超过：</w:t>
      </w:r>
      <w:r>
        <w:rPr>
          <w:rFonts w:hint="eastAsia" w:ascii="宋体" w:hAnsi="宋体" w:cs="宋体"/>
          <w:b/>
          <w:bCs/>
          <w:color w:val="auto"/>
          <w:sz w:val="24"/>
          <w:u w:val="single"/>
        </w:rPr>
        <w:t xml:space="preserve"> 48 </w:t>
      </w:r>
      <w:r>
        <w:rPr>
          <w:rFonts w:hint="eastAsia" w:ascii="宋体" w:hAnsi="宋体" w:cs="宋体"/>
          <w:color w:val="auto"/>
          <w:sz w:val="24"/>
        </w:rPr>
        <w:t>小时。</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6、安全文明施工与环境保护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6.1安全文明施工</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6.1.1项目安全生产的达标目标及相应事项的约定：</w:t>
      </w:r>
      <w:r>
        <w:rPr>
          <w:rFonts w:hint="eastAsia" w:ascii="宋体" w:hAnsi="宋体" w:cs="宋体"/>
          <w:b/>
          <w:bCs/>
          <w:color w:val="auto"/>
          <w:sz w:val="24"/>
          <w:u w:val="single"/>
        </w:rPr>
        <w:t>施工现场按照《建筑施工安全检查标准》（JGJ59-2011）评定达到“合格”标准。</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6.1.4关于治安保卫的特别约定：</w:t>
      </w:r>
      <w:r>
        <w:rPr>
          <w:rFonts w:hint="eastAsia" w:ascii="宋体" w:hAnsi="宋体" w:cs="宋体"/>
          <w:b/>
          <w:bCs/>
          <w:color w:val="auto"/>
          <w:sz w:val="24"/>
          <w:u w:val="single"/>
        </w:rPr>
        <w:t>由承包人与当地公安部门协商，在现场建立治安管理机构或联防组织，统一管理施工场地的治安保卫事项，履行合同工程的治安保卫职责，发包人做好配合。</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关于编制施工场地治安管理计划的约定：</w:t>
      </w:r>
      <w:r>
        <w:rPr>
          <w:rFonts w:hint="eastAsia" w:ascii="宋体" w:hAnsi="宋体" w:cs="宋体"/>
          <w:b/>
          <w:bCs/>
          <w:color w:val="auto"/>
          <w:sz w:val="24"/>
          <w:u w:val="single"/>
        </w:rPr>
        <w:t>由承包人在开工后7日内编制施工场地治安管理计划，制定应对突发治安事件的紧急预案。</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6.1.5文明施工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合同当事人对文明施工的要求：</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（1）遵守地方政府和有关部门对施工场地交通、环卫、安全和施工噪音等管理规定，并办理相关审批手续。</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（2）</w:t>
      </w:r>
      <w:r>
        <w:rPr>
          <w:rFonts w:hint="eastAsia" w:ascii="宋体" w:hAnsi="宋体" w:cs="宋体"/>
          <w:b/>
          <w:color w:val="auto"/>
          <w:sz w:val="24"/>
          <w:u w:val="single"/>
        </w:rPr>
        <w:t>施工时承包人应严格遵守施工现场管理规定，服从物业单位的管理，采取有效措施尽量减小尘土和噪音污染。</w:t>
      </w:r>
      <w:r>
        <w:rPr>
          <w:rFonts w:hint="eastAsia" w:ascii="宋体" w:hAnsi="宋体" w:cs="宋体"/>
          <w:b/>
          <w:bCs/>
          <w:color w:val="auto"/>
          <w:kern w:val="0"/>
          <w:sz w:val="24"/>
          <w:u w:val="single"/>
        </w:rPr>
        <w:t xml:space="preserve"> </w:t>
      </w:r>
    </w:p>
    <w:p>
      <w:pPr>
        <w:pStyle w:val="727"/>
        <w:spacing w:line="360" w:lineRule="auto"/>
        <w:ind w:firstLine="482" w:firstLineChars="200"/>
        <w:jc w:val="both"/>
        <w:rPr>
          <w:rFonts w:hint="eastAsia" w:cs="宋体"/>
          <w:b/>
          <w:color w:val="auto"/>
          <w:kern w:val="2"/>
          <w:szCs w:val="24"/>
          <w:u w:val="single"/>
        </w:rPr>
      </w:pPr>
      <w:r>
        <w:rPr>
          <w:rFonts w:hint="eastAsia" w:cs="宋体"/>
          <w:b/>
          <w:color w:val="auto"/>
          <w:kern w:val="2"/>
          <w:szCs w:val="24"/>
          <w:u w:val="single"/>
        </w:rPr>
        <w:t>如发包人要求须暂停施工，承包人须无条件服从，并采取夜间加班等措施保证工程进度不拖延，加班等所需全部费用包含在合同报价中，不得以发包人要求暂停施工为由调整合同价格。</w:t>
      </w:r>
    </w:p>
    <w:p>
      <w:pPr>
        <w:pStyle w:val="727"/>
        <w:spacing w:line="360" w:lineRule="auto"/>
        <w:ind w:firstLine="482" w:firstLineChars="200"/>
        <w:jc w:val="both"/>
        <w:rPr>
          <w:rFonts w:hint="eastAsia" w:cs="宋体"/>
          <w:b/>
          <w:color w:val="auto"/>
          <w:kern w:val="2"/>
          <w:szCs w:val="24"/>
          <w:u w:val="single"/>
        </w:rPr>
      </w:pPr>
      <w:r>
        <w:rPr>
          <w:rFonts w:hint="eastAsia" w:cs="宋体"/>
          <w:b/>
          <w:color w:val="auto"/>
          <w:kern w:val="2"/>
          <w:szCs w:val="24"/>
          <w:u w:val="single"/>
        </w:rPr>
        <w:t>如因发包人原因导致施工暂停时间较多通过夜间加班也无法确保工期的，工期延长时间须经发包人、监理人审核同意。</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（4）承包人应对进入施工现场的施工人员进行人员安全文明施工教育，配备必须的劳动保护用具，保证工程的施工安全和人身安全。</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（5）承包人由于违反安全操作规范，被政府有关部门处罚，如通报批评、警告和罚款等，承包人承担一切责任，并每被查处一次，发包人每次扣罚违约金5000元，</w:t>
      </w:r>
      <w:r>
        <w:rPr>
          <w:rFonts w:hint="eastAsia" w:ascii="宋体" w:hAnsi="宋体" w:cs="宋体"/>
          <w:b/>
          <w:bCs/>
          <w:color w:val="auto"/>
          <w:sz w:val="24"/>
          <w:u w:val="single"/>
        </w:rPr>
        <w:t>上述扣款在工程进度款中逐期扣除。</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cs="宋体"/>
          <w:b/>
          <w:bCs/>
          <w:color w:val="auto"/>
          <w:sz w:val="24"/>
          <w:u w:val="single"/>
        </w:rPr>
        <w:t>上述扣款在工程进度款中逐期扣除</w:t>
      </w:r>
      <w:r>
        <w:rPr>
          <w:rFonts w:hint="eastAsia" w:ascii="宋体" w:hAnsi="宋体" w:cs="宋体"/>
          <w:b/>
          <w:bCs/>
          <w:color w:val="auto"/>
          <w:kern w:val="0"/>
          <w:sz w:val="24"/>
          <w:u w:val="single"/>
        </w:rPr>
        <w:t>。</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（7）发包人或监理工程师有权对承包人的安全施工状况进行检查，发现有违反安全施工情况的，有权提出整改要求，承包人须按要求进行整改。</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（8）上述手续办理费用约定如下： 由承包人承担。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6.1.6关于安全文明施工费支付比例和支付期限的约定，按以下</w:t>
      </w:r>
      <w:r>
        <w:rPr>
          <w:rFonts w:hint="eastAsia" w:ascii="宋体" w:hAnsi="宋体" w:cs="宋体"/>
          <w:color w:val="auto"/>
          <w:sz w:val="24"/>
          <w:u w:val="single"/>
        </w:rPr>
        <w:t>第（1）种方式</w:t>
      </w:r>
      <w:r>
        <w:rPr>
          <w:rFonts w:hint="eastAsia" w:ascii="宋体" w:hAnsi="宋体" w:cs="宋体"/>
          <w:color w:val="auto"/>
          <w:sz w:val="24"/>
        </w:rPr>
        <w:t>约定：</w:t>
      </w:r>
    </w:p>
    <w:p>
      <w:pPr>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u w:val="single"/>
        </w:rPr>
        <w:t>（1）安全文明施工费总额的60%包含在工程预付款中支付，剩余部分根据工程进度在进度款中支付</w:t>
      </w:r>
      <w:r>
        <w:rPr>
          <w:rFonts w:hint="eastAsia" w:ascii="宋体" w:hAnsi="宋体" w:cs="宋体"/>
          <w:b/>
          <w:bCs/>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u w:val="single"/>
        </w:rPr>
        <w:t xml:space="preserve">（2）其他： / </w:t>
      </w:r>
      <w:r>
        <w:rPr>
          <w:rFonts w:hint="eastAsia" w:ascii="宋体" w:hAnsi="宋体" w:cs="宋体"/>
          <w:color w:val="auto"/>
          <w:kern w:val="0"/>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7、工期和进度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7.1施工组织设计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7.1.1合</w:t>
      </w:r>
      <w:r>
        <w:rPr>
          <w:rFonts w:hint="eastAsia" w:ascii="宋体" w:hAnsi="宋体" w:cs="宋体"/>
          <w:color w:val="auto"/>
          <w:kern w:val="0"/>
          <w:sz w:val="24"/>
        </w:rPr>
        <w:t>同当事人约定的施工组织设计应包括的其他内容：</w:t>
      </w:r>
      <w:r>
        <w:rPr>
          <w:rFonts w:hint="eastAsia" w:ascii="宋体" w:hAnsi="宋体" w:cs="宋体"/>
          <w:b/>
          <w:bCs/>
          <w:color w:val="auto"/>
          <w:sz w:val="24"/>
          <w:u w:val="single"/>
        </w:rPr>
        <w:t>按《通用合同条款》7.1.1条执行</w:t>
      </w:r>
      <w:r>
        <w:rPr>
          <w:rFonts w:hint="eastAsia" w:ascii="宋体" w:hAnsi="宋体" w:cs="宋体"/>
          <w:color w:val="auto"/>
          <w:sz w:val="24"/>
        </w:rPr>
        <w:t>。</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7.1.2</w:t>
      </w:r>
      <w:r>
        <w:rPr>
          <w:rFonts w:hint="eastAsia" w:ascii="宋体" w:hAnsi="宋体" w:cs="宋体"/>
          <w:color w:val="auto"/>
          <w:kern w:val="0"/>
          <w:sz w:val="24"/>
        </w:rPr>
        <w:t>施工组织设计的提交和修改</w:t>
      </w:r>
    </w:p>
    <w:p>
      <w:pPr>
        <w:autoSpaceDE w:val="0"/>
        <w:autoSpaceDN w:val="0"/>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承包人提交详细施工组织设计的期限的约定：</w:t>
      </w:r>
      <w:r>
        <w:rPr>
          <w:rFonts w:hint="eastAsia" w:ascii="宋体" w:hAnsi="宋体" w:cs="宋体"/>
          <w:b/>
          <w:bCs/>
          <w:color w:val="auto"/>
          <w:sz w:val="24"/>
          <w:u w:val="single"/>
        </w:rPr>
        <w:t>合同签订后5天内提供详细施工组织设计（施工方案）和进度计划。</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发包人和监理人在收到详细的施工组织设计后确认或提出修改意见的期限：</w:t>
      </w:r>
      <w:r>
        <w:rPr>
          <w:rFonts w:hint="eastAsia" w:ascii="宋体" w:hAnsi="宋体" w:cs="宋体"/>
          <w:b/>
          <w:bCs/>
          <w:color w:val="auto"/>
          <w:sz w:val="24"/>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7.2施工进度计划</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7.2.2施工进度计划的修订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发包人和监理人在收到修订的施工进度计划后确认或提出修改意见的期限：</w:t>
      </w:r>
      <w:r>
        <w:rPr>
          <w:rFonts w:hint="eastAsia" w:ascii="宋体" w:hAnsi="宋体" w:cs="宋体"/>
          <w:b/>
          <w:bCs/>
          <w:color w:val="auto"/>
          <w:sz w:val="24"/>
          <w:u w:val="single"/>
        </w:rPr>
        <w:t>收到完整资料后7天内确认或提出修改意见。</w:t>
      </w:r>
      <w:r>
        <w:rPr>
          <w:rFonts w:hint="eastAsia" w:ascii="宋体" w:hAnsi="宋体" w:cs="宋体"/>
          <w:color w:val="auto"/>
          <w:sz w:val="24"/>
        </w:rPr>
        <w:t>发包人、监理单位对施工进度计划的确认是对施工进度计划可行性的确认，并不是对所涉费用的确认，也不免除承包人对施工进度计划应承担的责任。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7.3开工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7.3.1开工准备</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关于承包人提交</w:t>
      </w:r>
      <w:r>
        <w:rPr>
          <w:rFonts w:hint="eastAsia" w:ascii="宋体" w:hAnsi="宋体" w:cs="宋体"/>
          <w:color w:val="auto"/>
          <w:kern w:val="0"/>
          <w:sz w:val="24"/>
        </w:rPr>
        <w:t>工程开工报审表的期限：</w:t>
      </w:r>
      <w:r>
        <w:rPr>
          <w:rFonts w:hint="eastAsia" w:ascii="宋体" w:hAnsi="宋体" w:cs="宋体"/>
          <w:b/>
          <w:bCs/>
          <w:color w:val="auto"/>
          <w:sz w:val="24"/>
          <w:u w:val="single"/>
        </w:rPr>
        <w:t>开工日期前7天。</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关于发包人应完成的其他开工准备工作及期限：</w:t>
      </w:r>
      <w:r>
        <w:rPr>
          <w:rFonts w:hint="eastAsia" w:ascii="宋体" w:hAnsi="宋体" w:cs="宋体"/>
          <w:b/>
          <w:bCs/>
          <w:color w:val="auto"/>
          <w:sz w:val="24"/>
          <w:u w:val="single"/>
        </w:rPr>
        <w:t>开工日期前7天。</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关于承包人应完成的其他开工准备工作及期限：</w:t>
      </w:r>
      <w:r>
        <w:rPr>
          <w:rFonts w:hint="eastAsia" w:ascii="宋体" w:hAnsi="宋体" w:cs="宋体"/>
          <w:b/>
          <w:bCs/>
          <w:color w:val="auto"/>
          <w:sz w:val="24"/>
          <w:u w:val="single"/>
        </w:rPr>
        <w:t>开工日期前7天。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7.3.2开工通知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因发包人原因造成监理人未能在计划开工日期之日起</w:t>
      </w:r>
      <w:r>
        <w:rPr>
          <w:rFonts w:hint="eastAsia" w:ascii="宋体" w:hAnsi="宋体" w:cs="宋体"/>
          <w:b/>
          <w:bCs/>
          <w:color w:val="auto"/>
          <w:sz w:val="24"/>
          <w:u w:val="single"/>
        </w:rPr>
        <w:t xml:space="preserve"> 90 </w:t>
      </w:r>
      <w:r>
        <w:rPr>
          <w:rFonts w:hint="eastAsia" w:ascii="宋体" w:hAnsi="宋体" w:cs="宋体"/>
          <w:color w:val="auto"/>
          <w:sz w:val="24"/>
        </w:rPr>
        <w:t>天内发出开工通知的，承包人有权提出价格调整要求，或者解除合同。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7.4测量放线</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7.4.1发包人通过监理人向承包人提供测量基准点、基准线和水准点及其书面资料的期限：</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7.5工期延误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7.5.1因发包人原因导致工期延误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（7）因发包人原因导致工期延误的其他情形：</w:t>
      </w:r>
      <w:r>
        <w:rPr>
          <w:rFonts w:hint="eastAsia" w:ascii="宋体" w:hAnsi="宋体" w:cs="宋体"/>
          <w:color w:val="auto"/>
          <w:sz w:val="24"/>
          <w:u w:val="single"/>
        </w:rPr>
        <w:t xml:space="preserve"> /  </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①重大设计变更引起的工期延误；</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②其他：不可抗力。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7.5.2因承包人原因导致工期延误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因承包人原因造成工期延误，逾期竣工违约金的计算方法为：</w:t>
      </w:r>
      <w:r>
        <w:rPr>
          <w:rFonts w:hint="eastAsia" w:ascii="宋体" w:hAnsi="宋体" w:cs="宋体"/>
          <w:b/>
          <w:bCs/>
          <w:color w:val="auto"/>
          <w:sz w:val="24"/>
          <w:u w:val="single"/>
        </w:rPr>
        <w:t>因承包人原因造成延误工期每延误一天，扣罚2000元</w:t>
      </w:r>
      <w:r>
        <w:rPr>
          <w:rFonts w:hint="eastAsia" w:ascii="宋体" w:hAnsi="宋体" w:cs="宋体"/>
          <w:color w:val="auto"/>
          <w:sz w:val="24"/>
          <w:u w:val="single"/>
        </w:rPr>
        <w:t>。</w:t>
      </w:r>
      <w:r>
        <w:rPr>
          <w:rFonts w:hint="eastAsia" w:ascii="宋体" w:hAnsi="宋体" w:cs="宋体"/>
          <w:color w:val="auto"/>
          <w:sz w:val="24"/>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因承包人原因造成工期延误，逾期竣工违约金的上限：</w:t>
      </w:r>
      <w:r>
        <w:rPr>
          <w:rFonts w:hint="eastAsia" w:ascii="宋体" w:hAnsi="宋体" w:cs="宋体"/>
          <w:b/>
          <w:bCs/>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7.6不利物质条件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不利物质条件的其他情形和有关约定：</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xml:space="preserve">（1）施工场地周围地下管线  </w:t>
      </w:r>
      <w:r>
        <w:rPr>
          <w:rFonts w:hint="eastAsia" w:ascii="宋体" w:hAnsi="宋体" w:cs="宋体"/>
          <w:b/>
          <w:bCs/>
          <w:color w:val="auto"/>
          <w:sz w:val="24"/>
        </w:rPr>
        <w:t>；</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xml:space="preserve">（2）地下障碍物和污染物  </w:t>
      </w:r>
      <w:r>
        <w:rPr>
          <w:rFonts w:hint="eastAsia" w:ascii="宋体" w:hAnsi="宋体" w:cs="宋体"/>
          <w:b/>
          <w:bCs/>
          <w:color w:val="auto"/>
          <w:sz w:val="24"/>
        </w:rPr>
        <w:t>；</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xml:space="preserve">（3）其他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7.7异常恶劣的气候条件</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发包人和承包人同意以下情形视为异常恶劣的气候条件：</w:t>
      </w:r>
      <w:r>
        <w:rPr>
          <w:rFonts w:hint="eastAsia" w:ascii="宋体" w:hAnsi="宋体" w:cs="宋体"/>
          <w:b/>
          <w:bCs/>
          <w:color w:val="auto"/>
          <w:sz w:val="24"/>
          <w:u w:val="single"/>
        </w:rPr>
        <w:t>持续半小时10级及10级以上的台风、3小时内降雨量达50毫米、6小时内降雪量达15毫米、日气温超过40度或低于零下10度</w:t>
      </w:r>
      <w:r>
        <w:rPr>
          <w:rFonts w:hint="eastAsia" w:ascii="宋体" w:hAnsi="宋体" w:cs="宋体"/>
          <w:b/>
          <w:bCs/>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7.8提前竣工的奖励</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7.8.2提前竣工的奖励：</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 </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8、材料与设备</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8.4材料与工程设备的保管与使用</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8.4.1发包人供应的材料设备的保管费用的承担：</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8.6样品</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8.6.1样品的报送与封存</w:t>
      </w:r>
    </w:p>
    <w:p>
      <w:pPr>
        <w:autoSpaceDE w:val="0"/>
        <w:autoSpaceDN w:val="0"/>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需要承包人报送样品的材料或工程设备，样品的种类、名称、规格、数量要求：</w:t>
      </w:r>
      <w:r>
        <w:rPr>
          <w:rFonts w:hint="eastAsia" w:ascii="宋体" w:hAnsi="宋体" w:cs="宋体"/>
          <w:b/>
          <w:bCs/>
          <w:color w:val="auto"/>
          <w:sz w:val="24"/>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8.8施工设备和临时设施</w:t>
      </w:r>
    </w:p>
    <w:p>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8.8.1承包人提供的施工设备和临时设施</w:t>
      </w:r>
    </w:p>
    <w:p>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关于修建临时设施费用承担的约定：</w:t>
      </w:r>
      <w:r>
        <w:rPr>
          <w:rFonts w:hint="eastAsia" w:ascii="宋体" w:hAnsi="宋体" w:cs="宋体"/>
          <w:b/>
          <w:bCs/>
          <w:color w:val="auto"/>
          <w:sz w:val="24"/>
          <w:u w:val="single"/>
        </w:rPr>
        <w:t>由承包人自行考虑，相关费用计入报价。</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9、试验与检验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9.1试验设备与试验人员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9.1.2试验设备</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施工现场需要配置的试验场所：</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由承包人提供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施工现场需要配备的试验设备：</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由承包人提供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施工现场需要具备的其他试验条件：</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由承包人提供 </w:t>
      </w:r>
    </w:p>
    <w:p>
      <w:pPr>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9.3</w:t>
      </w:r>
      <w:r>
        <w:rPr>
          <w:rFonts w:hint="eastAsia" w:ascii="宋体" w:hAnsi="宋体" w:cs="宋体"/>
          <w:color w:val="auto"/>
          <w:kern w:val="0"/>
          <w:sz w:val="24"/>
        </w:rPr>
        <w:t>材料、工程设备和工程的试验和检验</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kern w:val="0"/>
          <w:sz w:val="24"/>
        </w:rPr>
        <w:t>试验、检测单位资质条件约定：</w:t>
      </w:r>
      <w:r>
        <w:rPr>
          <w:rFonts w:hint="eastAsia" w:ascii="宋体" w:hAnsi="宋体" w:cs="宋体"/>
          <w:b/>
          <w:bCs/>
          <w:color w:val="auto"/>
          <w:sz w:val="24"/>
          <w:u w:val="single"/>
        </w:rPr>
        <w:t>按有关规定执行；</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kern w:val="0"/>
          <w:sz w:val="24"/>
        </w:rPr>
        <w:t>试验、检测单位选择约定：</w:t>
      </w:r>
      <w:r>
        <w:rPr>
          <w:rFonts w:hint="eastAsia" w:ascii="宋体" w:hAnsi="宋体" w:cs="宋体"/>
          <w:b/>
          <w:bCs/>
          <w:color w:val="auto"/>
          <w:sz w:val="24"/>
          <w:u w:val="single"/>
        </w:rPr>
        <w:t>报监理及发包人审核批准；</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试验、检测费用约定：</w:t>
      </w:r>
      <w:r>
        <w:rPr>
          <w:rFonts w:hint="eastAsia" w:ascii="宋体" w:hAnsi="宋体" w:cs="宋体"/>
          <w:b/>
          <w:bCs/>
          <w:color w:val="auto"/>
          <w:sz w:val="24"/>
          <w:u w:val="single"/>
        </w:rPr>
        <w:t xml:space="preserve"> 按有关规定执行。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9.4 现场工艺试验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现场工艺试验的有关约定：</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按通用条款 </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10、变更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10.1变更的范围</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关于变更的范围的约定：</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按通用条款  </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10.1.1关于变更范围的约定：按照《杭州市政府投资项目工程变更管理暂行办法》（杭财建[2013]1246号）中工程变更的相关规定。</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10.1.2因承包人擅自变更设计发生的费用和由此导致发包人的直接损失，由承包人承担，延误的工期不予顺延。</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10.1.3承包人提出的合理化建议涉及到的工程变更，须经发包人同意并办理相关变更审查手续。未经同意擅自更改的，承包人承担由此产生的费用，并赔偿发包人的有关损失，延误的工期不予顺延。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10.4变更估价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10.4.1变更估价原则</w:t>
      </w:r>
    </w:p>
    <w:p>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关于变更估价的约定: </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（1）已标价工程量清单或预算书有相同项目的，按照相同项目单价确定。</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（2）已标价工程量清单或预算书中无相同项目，但有类似项目的，参照类似项目的单价确定。</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②清单项目某一特征或工程内容变化，不影响其他特征及工程内容价格的，其他特征组合标准不变，仅调整发生变化的组合子目价格。</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（3）已标价工程量清单或预算书中无相同项目及类似项目单价的，其单价的确定，按以下约定：</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按照《建设工程工程量清单计价规范》（GB50500-2013）9.6.2条规定，增加部分的工程量的综合单价应予调低，减少后剩余部分的工程量的综合单价应予调高，可按下列公式调整:</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凡合价金额占合同总价2%及以上的分部分项清单项目，</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①当Q1&gt;1.15Q0时:    S=1.15Q0×P0+（Q1-1.15 Q0）×P1</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②当Q1&lt;0.85Q0时:    S=Q1×P1</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凡合价金额占合同总价不到2%的分部分项清单项目，</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③当Q1&gt;1.25Q0时:    S=1.25Q0×P0+（Q1-1.25 Q0）×P1</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④当Q1&lt;0.75Q0时:    S=Q1×P1</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式中 S——调整后某一分部分项工程费结算价；</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Q1——最终完成的工程量；</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Q0——招标工程量清单中列出的工程量；</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P0——承包人在已标价工程量清单中填报的综合单价</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P1——按照最终完成工程量重新调整后的综合单价，按本合同第10.4.1条（3）款计算结果和P0比较，在工程量增加时，若计算结果大于P0的,取 P1= P0，在工程量减少时，若计算结果小于P0的,取P1= P0。</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（5）其他：</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①工程量必须按照《建设工程工程量清单计价规范》（GB50500-2013）规定的工程量计算规则计算。工程量必须以承包人完成合同工程应予计量的工程量确定。最终结算工程量应首先报监理及发包人初审。</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②工程变更管理按《杭州市政府投资项目工程变更管理暂行办法》（杭财建[2013]1246号）执行，未履行规定程序的联系单，不得纳入工程结算。</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pPr>
        <w:spacing w:line="360" w:lineRule="auto"/>
        <w:ind w:firstLine="482" w:firstLineChars="200"/>
        <w:rPr>
          <w:rFonts w:hint="eastAsia" w:ascii="宋体" w:hAnsi="宋体" w:cs="宋体"/>
          <w:color w:val="auto"/>
          <w:sz w:val="24"/>
          <w:u w:val="single"/>
        </w:rPr>
      </w:pPr>
      <w:r>
        <w:rPr>
          <w:rFonts w:hint="eastAsia" w:ascii="宋体" w:hAnsi="宋体" w:cs="宋体"/>
          <w:b/>
          <w:bCs/>
          <w:color w:val="auto"/>
          <w:sz w:val="24"/>
          <w:u w:val="single"/>
        </w:rPr>
        <w:t>⑥发包人与承包人在询标过程中，涉及到合同价款结算有须明确或澄清的事项包括：</w:t>
      </w:r>
      <w:r>
        <w:rPr>
          <w:rFonts w:hint="eastAsia" w:ascii="宋体" w:hAnsi="宋体" w:cs="宋体"/>
          <w:color w:val="auto"/>
          <w:sz w:val="24"/>
          <w:u w:val="single"/>
        </w:rPr>
        <w:t xml:space="preserve">   /   </w:t>
      </w:r>
    </w:p>
    <w:p>
      <w:pPr>
        <w:spacing w:line="360" w:lineRule="auto"/>
        <w:ind w:firstLine="482" w:firstLineChars="200"/>
        <w:rPr>
          <w:rFonts w:hint="eastAsia" w:ascii="宋体" w:hAnsi="宋体" w:cs="宋体"/>
          <w:color w:val="auto"/>
          <w:sz w:val="24"/>
          <w:u w:val="single"/>
        </w:rPr>
      </w:pPr>
      <w:r>
        <w:rPr>
          <w:rFonts w:hint="eastAsia" w:ascii="宋体" w:hAnsi="宋体" w:cs="宋体"/>
          <w:b/>
          <w:color w:val="auto"/>
          <w:sz w:val="24"/>
          <w:u w:val="single"/>
        </w:rPr>
        <w:t>⑦本工程结算造价以国家审计或财政评审为准。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10.5承包人的合理化建议</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监理人审查承包人合理化建议的期限：</w:t>
      </w:r>
      <w:r>
        <w:rPr>
          <w:rFonts w:hint="eastAsia" w:ascii="宋体" w:hAnsi="宋体" w:cs="宋体"/>
          <w:b/>
          <w:bCs/>
          <w:color w:val="auto"/>
          <w:sz w:val="24"/>
          <w:u w:val="single"/>
        </w:rPr>
        <w:t xml:space="preserve">按通用条款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发包人审批承包人合理化建议的期限：</w:t>
      </w:r>
      <w:r>
        <w:rPr>
          <w:rFonts w:hint="eastAsia" w:ascii="宋体" w:hAnsi="宋体" w:cs="宋体"/>
          <w:b/>
          <w:bCs/>
          <w:color w:val="auto"/>
          <w:sz w:val="24"/>
          <w:u w:val="single"/>
        </w:rPr>
        <w:t xml:space="preserve">按通用条款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承包人提出的合理化建议降低了合同价格或者提高了工程经济效益的奖励的方法和金额为：</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10.7暂估价</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暂估价材料和工程设备的明细详见附件11：《</w:t>
      </w:r>
      <w:r>
        <w:rPr>
          <w:rFonts w:hint="eastAsia" w:ascii="宋体" w:hAnsi="宋体" w:cs="宋体"/>
          <w:color w:val="auto"/>
          <w:sz w:val="24"/>
        </w:rPr>
        <w:t>暂估价一览表》</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10.7.1依法必须招标的暂估价项目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对于依法必须招标的暂估价项目的确认和批准采取第</w:t>
      </w:r>
      <w:r>
        <w:rPr>
          <w:rFonts w:hint="eastAsia" w:ascii="宋体" w:hAnsi="宋体" w:cs="宋体"/>
          <w:color w:val="auto"/>
          <w:sz w:val="24"/>
          <w:u w:val="single"/>
        </w:rPr>
        <w:t xml:space="preserve">  /  </w:t>
      </w:r>
      <w:r>
        <w:rPr>
          <w:rFonts w:hint="eastAsia" w:ascii="宋体" w:hAnsi="宋体" w:cs="宋体"/>
          <w:color w:val="auto"/>
          <w:sz w:val="24"/>
        </w:rPr>
        <w:t>种方式确定。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10.7.2不属于依法必须招标的暂估价项目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对于不属于依法必须招标的暂估价项目的确认和批准采取第</w:t>
      </w:r>
      <w:r>
        <w:rPr>
          <w:rFonts w:hint="eastAsia" w:ascii="宋体" w:hAnsi="宋体" w:cs="宋体"/>
          <w:color w:val="auto"/>
          <w:sz w:val="24"/>
          <w:u w:val="single"/>
        </w:rPr>
        <w:t xml:space="preserve">  /  </w:t>
      </w:r>
      <w:r>
        <w:rPr>
          <w:rFonts w:hint="eastAsia" w:ascii="宋体" w:hAnsi="宋体" w:cs="宋体"/>
          <w:color w:val="auto"/>
          <w:sz w:val="24"/>
        </w:rPr>
        <w:t>种方式确定。</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第3种方式：</w:t>
      </w:r>
      <w:r>
        <w:rPr>
          <w:rFonts w:hint="eastAsia" w:ascii="宋体" w:hAnsi="宋体" w:cs="宋体"/>
          <w:color w:val="auto"/>
          <w:kern w:val="0"/>
          <w:sz w:val="24"/>
        </w:rPr>
        <w:t>承包人直接实施的暂估价项目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承包人直接实施的暂估价项目的约定：</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10.8暂列金额</w:t>
      </w:r>
    </w:p>
    <w:p>
      <w:pPr>
        <w:autoSpaceDE w:val="0"/>
        <w:autoSpaceDN w:val="0"/>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合同当事人关于暂列金额使用的约定：</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11、价格调整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11.1市场价格波动引起的调整</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市场价格波动是否调整合同价格的约定：</w:t>
      </w:r>
      <w:r>
        <w:rPr>
          <w:rFonts w:hint="eastAsia" w:ascii="宋体" w:hAnsi="宋体" w:cs="宋体"/>
          <w:color w:val="auto"/>
          <w:kern w:val="0"/>
          <w:sz w:val="24"/>
          <w:u w:val="single"/>
        </w:rPr>
        <w:t>调整</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因市场价格波动调整合同价格，采用以下第</w:t>
      </w:r>
      <w:r>
        <w:rPr>
          <w:rFonts w:hint="eastAsia" w:ascii="宋体" w:hAnsi="宋体" w:cs="宋体"/>
          <w:b/>
          <w:bCs/>
          <w:color w:val="auto"/>
          <w:sz w:val="24"/>
          <w:u w:val="single"/>
        </w:rPr>
        <w:t xml:space="preserve">  3   </w:t>
      </w:r>
      <w:r>
        <w:rPr>
          <w:rFonts w:hint="eastAsia" w:ascii="宋体" w:hAnsi="宋体" w:cs="宋体"/>
          <w:color w:val="auto"/>
          <w:sz w:val="24"/>
        </w:rPr>
        <w:t>种方式对合同价格进行调整：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第1种方式：采用价格指数进行价格调整。</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关于各可调因子、定值和变值权重，以及基本价格指数及其来源的约定：</w:t>
      </w:r>
      <w:r>
        <w:rPr>
          <w:rFonts w:hint="eastAsia" w:ascii="宋体" w:hAnsi="宋体" w:cs="宋体"/>
          <w:color w:val="auto"/>
          <w:sz w:val="24"/>
          <w:u w:val="single"/>
        </w:rPr>
        <w:t xml:space="preserve"> /  </w:t>
      </w: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第2种方式：采用造价信息进行价格调整。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（2）关于基准价格的约定：。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③承包人在已标价工程量清单或预算书中载明的材料单价等于基准单价的：专用合同条款合同履行期间材料单价涨跌幅以基准单价为基础超过±%时，其超过部分据实调整。</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第3种方式：</w:t>
      </w:r>
      <w:r>
        <w:rPr>
          <w:rFonts w:hint="eastAsia" w:ascii="宋体" w:hAnsi="宋体" w:cs="宋体"/>
          <w:b/>
          <w:bCs/>
          <w:color w:val="auto"/>
          <w:sz w:val="24"/>
          <w:u w:val="single"/>
        </w:rPr>
        <w:t>采用政策性文件进行价格调整</w:t>
      </w:r>
      <w:r>
        <w:rPr>
          <w:rFonts w:hint="eastAsia" w:ascii="宋体" w:hAnsi="宋体" w:cs="宋体"/>
          <w:b/>
          <w:bCs/>
          <w:color w:val="auto"/>
          <w:sz w:val="24"/>
        </w:rPr>
        <w:t>。</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政府投资工程因市场价格波动引起的调整：</w:t>
      </w:r>
      <w:r>
        <w:rPr>
          <w:rFonts w:hint="eastAsia" w:ascii="宋体" w:hAnsi="宋体" w:cs="宋体"/>
          <w:color w:val="auto"/>
          <w:kern w:val="0"/>
          <w:sz w:val="24"/>
          <w:u w:val="single"/>
        </w:rPr>
        <w:t>按《关于进一步加强杭州市建设工程市场要素价格动态管理的指导意见》(杭建市发〔2018）579号)文执行。</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其中：</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1、风险范围及幅度的约定：</w:t>
      </w:r>
    </w:p>
    <w:p>
      <w:pPr>
        <w:widowControl/>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u w:val="single"/>
        </w:rPr>
        <w:t>（1）人工价格风险幅度为5%；</w:t>
      </w:r>
    </w:p>
    <w:p>
      <w:pPr>
        <w:widowControl/>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u w:val="single"/>
        </w:rPr>
        <w:t>（2）单种规格材料价格风险幅度为5%；</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2、材料价款动态调整结算方式采用以下</w:t>
      </w:r>
      <w:r>
        <w:rPr>
          <w:rFonts w:hint="eastAsia" w:ascii="宋体" w:hAnsi="宋体" w:cs="宋体"/>
          <w:color w:val="auto"/>
          <w:sz w:val="24"/>
          <w:u w:val="single"/>
        </w:rPr>
        <w:t xml:space="preserve"> </w:t>
      </w:r>
      <w:r>
        <w:rPr>
          <w:rFonts w:hint="eastAsia" w:ascii="宋体" w:hAnsi="宋体" w:cs="宋体"/>
          <w:b/>
          <w:bCs/>
          <w:color w:val="auto"/>
          <w:sz w:val="24"/>
          <w:u w:val="single"/>
        </w:rPr>
        <w:t>第（3）种方式</w:t>
      </w:r>
      <w:r>
        <w:rPr>
          <w:rFonts w:hint="eastAsia" w:ascii="宋体" w:hAnsi="宋体" w:cs="宋体"/>
          <w:color w:val="auto"/>
          <w:sz w:val="24"/>
          <w:u w:val="single"/>
        </w:rPr>
        <w:t xml:space="preserve"> </w:t>
      </w:r>
      <w:r>
        <w:rPr>
          <w:rFonts w:hint="eastAsia" w:ascii="宋体" w:hAnsi="宋体" w:cs="宋体"/>
          <w:color w:val="auto"/>
          <w:sz w:val="24"/>
        </w:rPr>
        <w:t>约定：</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u w:val="single"/>
        </w:rPr>
        <w:t>（1）按时间进度分段结算： /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（2）按工程形象部位(目标)分段结算：/  。</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xml:space="preserve">（3）竣工后一次性结算调价。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①当单种规格材料价格上涨超过约定的风险幅度时，材料差价（正值）=〔合同工期内各月份信息价算术平均值-编制期信息价×（1+风险幅度）〕×单种规格材料用量。</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②当单种规格材料价格下跌超过约定的风险幅度时，材料差价（负值）=〔合同工期内各月份信息价算术平均值-编制期信息价×（1-风险幅度)〕×单种规格材料用量。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3、非承包人原因引起的延期，经发包人、监理单位审批同意顺延后，经批准的顺延工期可计入合同工期，未经审批同意，不得延长合同工期。</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4、承包人办理工程结算时必须向审核部门提供预算软件导出的带有计价软件格式的电子结算文件。</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12、合同价格、计量与支付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12.1合同价格形式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1、单价合同。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综合单价包含的风险范围：</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 xml:space="preserve">（1）应由承包人承担的工、料、机在磋商编制期或预算书编制期与合同实施期间所发生的市场价格波动。 </w:t>
      </w:r>
    </w:p>
    <w:p>
      <w:pPr>
        <w:widowControl/>
        <w:spacing w:line="360" w:lineRule="auto"/>
        <w:ind w:firstLine="482" w:firstLineChars="200"/>
        <w:rPr>
          <w:rFonts w:hint="eastAsia" w:ascii="宋体" w:hAnsi="宋体" w:cs="宋体"/>
          <w:color w:val="auto"/>
          <w:kern w:val="0"/>
          <w:sz w:val="24"/>
        </w:rPr>
      </w:pPr>
      <w:r>
        <w:rPr>
          <w:rFonts w:hint="eastAsia" w:ascii="宋体" w:hAnsi="宋体" w:cs="宋体"/>
          <w:b/>
          <w:bCs/>
          <w:color w:val="auto"/>
          <w:kern w:val="0"/>
          <w:sz w:val="24"/>
          <w:u w:val="single"/>
        </w:rPr>
        <w:t>（2）其他：按通用条款</w:t>
      </w:r>
    </w:p>
    <w:p>
      <w:pPr>
        <w:widowControl/>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风险费用的计算方法：</w:t>
      </w:r>
      <w:r>
        <w:rPr>
          <w:rFonts w:hint="eastAsia" w:ascii="宋体" w:hAnsi="宋体" w:cs="宋体"/>
          <w:b/>
          <w:bCs/>
          <w:color w:val="auto"/>
          <w:kern w:val="0"/>
          <w:sz w:val="24"/>
          <w:u w:val="single"/>
        </w:rPr>
        <w:t>风险因素范围内的风险费用不在合同价外另行计列及调整。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风险范围以外合同价格的调整方法：</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（1）市场价格波动引起的调整按本合同11.1约定计算。</w:t>
      </w:r>
    </w:p>
    <w:p>
      <w:pPr>
        <w:spacing w:line="360" w:lineRule="auto"/>
        <w:ind w:firstLine="482" w:firstLineChars="200"/>
        <w:rPr>
          <w:rFonts w:hint="eastAsia" w:ascii="宋体" w:hAnsi="宋体" w:cs="宋体"/>
          <w:b/>
          <w:bCs/>
          <w:color w:val="auto"/>
          <w:kern w:val="0"/>
          <w:sz w:val="24"/>
          <w:u w:val="single"/>
        </w:rPr>
      </w:pPr>
      <w:r>
        <w:rPr>
          <w:rFonts w:hint="eastAsia" w:ascii="宋体" w:hAnsi="宋体" w:cs="宋体"/>
          <w:b/>
          <w:bCs/>
          <w:color w:val="auto"/>
          <w:kern w:val="0"/>
          <w:sz w:val="24"/>
          <w:u w:val="single"/>
        </w:rPr>
        <w:t xml:space="preserve">（2）其他：  /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2、总价合同。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总价包含的风险范围：</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风险费用的计算方法：</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风险范围以外合同价格的调整方法：</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3、其他价格方式：</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12.2 预付款</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12.2.1 预付款的支付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预付款支付比例或金额：</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 合同总价的50%</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预付款支付期限：</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合同签订后且主要施工人员和机械进场后 5个工作日内 </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预付款扣回的方式：</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12.2.2 预付款担保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承包人提交预付款担保的期限：</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预付款担保的形式为：</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12.3计量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12.3.1计量原则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工程量计算规则：</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（1）</w:t>
      </w:r>
      <w:r>
        <w:rPr>
          <w:rFonts w:hint="eastAsia" w:ascii="宋体" w:hAnsi="宋体" w:cs="宋体"/>
          <w:b/>
          <w:bCs/>
          <w:color w:val="auto"/>
          <w:sz w:val="24"/>
          <w:u w:val="single"/>
        </w:rPr>
        <w:t xml:space="preserve"> 实行工程量清单计价的工程项目，其工程量的计算规则应按国家标准工程量计算规范及省级行业主管部门颁布的补充规定执行。</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（2）</w:t>
      </w:r>
      <w:r>
        <w:rPr>
          <w:rFonts w:hint="eastAsia" w:ascii="宋体" w:hAnsi="宋体" w:cs="宋体"/>
          <w:b/>
          <w:bCs/>
          <w:color w:val="auto"/>
          <w:sz w:val="24"/>
          <w:u w:val="single"/>
        </w:rPr>
        <w:t>不实行工程量清单计价的工程项目，工程量的计算规则应按省、市行业主管部门颁布的各专业工程定额的工程量计算规则执行。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12.3.2计量周期</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关于计量周期的约定：</w:t>
      </w:r>
      <w:r>
        <w:rPr>
          <w:rFonts w:hint="eastAsia" w:ascii="宋体" w:hAnsi="宋体" w:cs="宋体"/>
          <w:b/>
          <w:bCs/>
          <w:color w:val="auto"/>
          <w:sz w:val="24"/>
          <w:u w:val="single"/>
        </w:rPr>
        <w:t>每月25日前提交已完工程量报告</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12.3.3单价合同的计量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关于单价合同计量的约定：</w:t>
      </w:r>
      <w:r>
        <w:rPr>
          <w:rFonts w:hint="eastAsia" w:ascii="宋体" w:hAnsi="宋体" w:cs="宋体"/>
          <w:b/>
          <w:bCs/>
          <w:color w:val="auto"/>
          <w:sz w:val="24"/>
          <w:u w:val="single"/>
        </w:rPr>
        <w:t xml:space="preserve">按通用条款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12.3.4总价合同的计量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关于总价合同计量的约定：</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12.3.5总价合同采用支付分解表计量支付的，是否适用第</w:t>
      </w:r>
      <w:r>
        <w:rPr>
          <w:rFonts w:hint="eastAsia" w:ascii="宋体" w:hAnsi="宋体" w:cs="宋体"/>
          <w:color w:val="auto"/>
          <w:kern w:val="0"/>
          <w:sz w:val="24"/>
        </w:rPr>
        <w:t xml:space="preserve">12.3.4 </w:t>
      </w:r>
      <w:r>
        <w:rPr>
          <w:rFonts w:hint="eastAsia" w:ascii="宋体" w:hAnsi="宋体" w:cs="宋体"/>
          <w:color w:val="auto"/>
          <w:sz w:val="24"/>
        </w:rPr>
        <w:t>项</w:t>
      </w:r>
      <w:r>
        <w:rPr>
          <w:rFonts w:hint="eastAsia" w:ascii="宋体" w:hAnsi="宋体" w:cs="宋体"/>
          <w:color w:val="auto"/>
          <w:kern w:val="0"/>
          <w:sz w:val="24"/>
        </w:rPr>
        <w:t>〔总价合同的计量〕</w:t>
      </w:r>
      <w:r>
        <w:rPr>
          <w:rFonts w:hint="eastAsia" w:ascii="宋体" w:hAnsi="宋体" w:cs="宋体"/>
          <w:color w:val="auto"/>
          <w:sz w:val="24"/>
        </w:rPr>
        <w:t>约定进行计量：</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12.3.6其他价格形式合同的计量</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其他价格形式的计量方式和程序：</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12.4工程进度款支付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12.4.1付款周期</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关于付款周期的约定：</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1、合同价款内的工程款支付：</w:t>
      </w:r>
    </w:p>
    <w:p>
      <w:pPr>
        <w:tabs>
          <w:tab w:val="left" w:pos="-180"/>
          <w:tab w:val="left" w:pos="0"/>
          <w:tab w:val="left" w:pos="360"/>
          <w:tab w:val="left" w:pos="464"/>
        </w:tabs>
        <w:autoSpaceDE w:val="0"/>
        <w:autoSpaceDN w:val="0"/>
        <w:spacing w:line="360" w:lineRule="auto"/>
        <w:ind w:firstLine="482" w:firstLineChars="200"/>
        <w:jc w:val="left"/>
        <w:rPr>
          <w:rFonts w:hint="eastAsia" w:ascii="宋体" w:hAnsi="宋体"/>
          <w:b/>
          <w:color w:val="auto"/>
          <w:kern w:val="0"/>
          <w:sz w:val="24"/>
          <w:u w:val="single"/>
        </w:rPr>
      </w:pPr>
      <w:bookmarkStart w:id="401" w:name="ed_2020Y11M23D15H38M13"/>
      <w:r>
        <w:rPr>
          <w:rFonts w:ascii="宋体" w:hAnsi="宋体"/>
          <w:b/>
          <w:color w:val="auto"/>
          <w:kern w:val="0"/>
          <w:sz w:val="24"/>
          <w:u w:val="single"/>
        </w:rPr>
        <w:t>（1）</w:t>
      </w:r>
      <w:bookmarkEnd w:id="401"/>
      <w:r>
        <w:rPr>
          <w:rFonts w:ascii="宋体" w:hAnsi="宋体"/>
          <w:b/>
          <w:color w:val="auto"/>
          <w:kern w:val="0"/>
          <w:sz w:val="24"/>
          <w:u w:val="single"/>
          <w:lang w:val="zh-CN"/>
        </w:rPr>
        <w:t>合同签</w:t>
      </w:r>
      <w:r>
        <w:rPr>
          <w:rFonts w:hint="eastAsia" w:ascii="宋体" w:hAnsi="宋体"/>
          <w:b/>
          <w:color w:val="auto"/>
          <w:kern w:val="0"/>
          <w:sz w:val="24"/>
          <w:u w:val="single"/>
          <w:lang w:val="zh-CN"/>
        </w:rPr>
        <w:t>订后</w:t>
      </w:r>
      <w:r>
        <w:rPr>
          <w:rFonts w:ascii="宋体" w:hAnsi="宋体"/>
          <w:b/>
          <w:color w:val="auto"/>
          <w:kern w:val="0"/>
          <w:sz w:val="24"/>
          <w:u w:val="single"/>
          <w:lang w:val="zh-CN"/>
        </w:rPr>
        <w:t>支付合同总价的</w:t>
      </w:r>
      <w:r>
        <w:rPr>
          <w:rFonts w:hint="eastAsia" w:ascii="宋体" w:hAnsi="宋体"/>
          <w:b/>
          <w:color w:val="auto"/>
          <w:kern w:val="0"/>
          <w:sz w:val="24"/>
          <w:u w:val="single"/>
        </w:rPr>
        <w:t>5</w:t>
      </w:r>
      <w:r>
        <w:rPr>
          <w:rFonts w:ascii="宋体" w:hAnsi="宋体"/>
          <w:b/>
          <w:color w:val="auto"/>
          <w:kern w:val="0"/>
          <w:sz w:val="24"/>
          <w:u w:val="single"/>
          <w:lang w:val="zh-CN"/>
        </w:rPr>
        <w:t>0%的预付款</w:t>
      </w:r>
      <w:r>
        <w:rPr>
          <w:rFonts w:hint="eastAsia" w:ascii="宋体" w:hAnsi="宋体"/>
          <w:b/>
          <w:color w:val="auto"/>
          <w:kern w:val="0"/>
          <w:sz w:val="24"/>
          <w:u w:val="single"/>
          <w:lang w:val="zh-CN"/>
        </w:rPr>
        <w:t>；</w:t>
      </w:r>
    </w:p>
    <w:p>
      <w:pPr>
        <w:tabs>
          <w:tab w:val="left" w:pos="-180"/>
          <w:tab w:val="left" w:pos="0"/>
          <w:tab w:val="left" w:pos="360"/>
          <w:tab w:val="left" w:pos="464"/>
        </w:tabs>
        <w:autoSpaceDE w:val="0"/>
        <w:autoSpaceDN w:val="0"/>
        <w:spacing w:line="360" w:lineRule="auto"/>
        <w:ind w:firstLine="482" w:firstLineChars="200"/>
        <w:jc w:val="left"/>
        <w:rPr>
          <w:rFonts w:hint="eastAsia" w:ascii="宋体" w:hAnsi="宋体"/>
          <w:b/>
          <w:color w:val="auto"/>
          <w:kern w:val="0"/>
          <w:sz w:val="24"/>
          <w:u w:val="single"/>
          <w:lang w:val="zh-CN"/>
        </w:rPr>
      </w:pPr>
      <w:r>
        <w:rPr>
          <w:rFonts w:ascii="宋体" w:hAnsi="宋体"/>
          <w:b/>
          <w:color w:val="auto"/>
          <w:kern w:val="0"/>
          <w:sz w:val="24"/>
          <w:u w:val="single"/>
          <w:lang w:val="zh-CN"/>
        </w:rPr>
        <w:t>（</w:t>
      </w:r>
      <w:r>
        <w:rPr>
          <w:rFonts w:ascii="宋体" w:hAnsi="宋体"/>
          <w:b/>
          <w:color w:val="auto"/>
          <w:kern w:val="0"/>
          <w:sz w:val="24"/>
          <w:u w:val="single"/>
        </w:rPr>
        <w:t>2</w:t>
      </w:r>
      <w:r>
        <w:rPr>
          <w:rFonts w:ascii="宋体" w:hAnsi="宋体"/>
          <w:b/>
          <w:color w:val="auto"/>
          <w:kern w:val="0"/>
          <w:sz w:val="24"/>
          <w:u w:val="single"/>
          <w:lang w:val="zh-CN"/>
        </w:rPr>
        <w:t>）</w:t>
      </w:r>
      <w:r>
        <w:rPr>
          <w:rFonts w:hint="eastAsia" w:ascii="宋体" w:hAnsi="宋体"/>
          <w:b/>
          <w:color w:val="auto"/>
          <w:kern w:val="0"/>
          <w:sz w:val="24"/>
          <w:u w:val="single"/>
          <w:lang w:val="zh-CN"/>
        </w:rPr>
        <w:t>竣工验收合格后并提供完整的竣工结算书及相关资料支付至合同总价的85%（含预付款</w:t>
      </w:r>
      <w:r>
        <w:rPr>
          <w:rFonts w:ascii="宋体" w:hAnsi="宋体"/>
          <w:b/>
          <w:color w:val="auto"/>
          <w:kern w:val="0"/>
          <w:sz w:val="24"/>
          <w:u w:val="single"/>
          <w:lang w:val="zh-CN"/>
        </w:rPr>
        <w:t>5</w:t>
      </w:r>
      <w:r>
        <w:rPr>
          <w:rFonts w:hint="eastAsia" w:ascii="宋体" w:hAnsi="宋体"/>
          <w:b/>
          <w:color w:val="auto"/>
          <w:kern w:val="0"/>
          <w:sz w:val="24"/>
          <w:u w:val="single"/>
          <w:lang w:val="zh-CN"/>
        </w:rPr>
        <w:t>0%）</w:t>
      </w:r>
      <w:r>
        <w:rPr>
          <w:rFonts w:ascii="宋体" w:hAnsi="宋体"/>
          <w:b/>
          <w:color w:val="auto"/>
          <w:kern w:val="0"/>
          <w:sz w:val="24"/>
          <w:u w:val="single"/>
          <w:lang w:val="zh-CN"/>
        </w:rPr>
        <w:t>；</w:t>
      </w:r>
    </w:p>
    <w:p>
      <w:pPr>
        <w:tabs>
          <w:tab w:val="left" w:pos="-180"/>
          <w:tab w:val="left" w:pos="0"/>
          <w:tab w:val="left" w:pos="360"/>
          <w:tab w:val="left" w:pos="464"/>
        </w:tabs>
        <w:autoSpaceDE w:val="0"/>
        <w:autoSpaceDN w:val="0"/>
        <w:spacing w:line="360" w:lineRule="auto"/>
        <w:ind w:firstLine="482" w:firstLineChars="200"/>
        <w:jc w:val="left"/>
        <w:rPr>
          <w:rFonts w:hint="eastAsia" w:ascii="宋体" w:hAnsi="宋体"/>
          <w:b/>
          <w:color w:val="auto"/>
          <w:kern w:val="0"/>
          <w:sz w:val="24"/>
          <w:u w:val="single"/>
        </w:rPr>
      </w:pPr>
      <w:r>
        <w:rPr>
          <w:rFonts w:ascii="宋体" w:hAnsi="宋体"/>
          <w:b/>
          <w:color w:val="auto"/>
          <w:kern w:val="0"/>
          <w:sz w:val="24"/>
          <w:u w:val="single"/>
        </w:rPr>
        <w:t>（3）工程竣工结算审核完成后，付至结算总价的100%</w:t>
      </w:r>
      <w:r>
        <w:rPr>
          <w:rFonts w:hint="eastAsia" w:ascii="宋体" w:hAnsi="宋体"/>
          <w:b/>
          <w:color w:val="auto"/>
          <w:kern w:val="0"/>
          <w:sz w:val="24"/>
          <w:u w:val="single"/>
        </w:rPr>
        <w:t>。</w:t>
      </w:r>
    </w:p>
    <w:p>
      <w:pPr>
        <w:spacing w:line="360" w:lineRule="auto"/>
        <w:ind w:firstLine="520" w:firstLineChars="216"/>
        <w:rPr>
          <w:rFonts w:hint="eastAsia" w:ascii="宋体" w:hAnsi="宋体"/>
          <w:b/>
          <w:color w:val="auto"/>
          <w:sz w:val="24"/>
          <w:u w:val="single"/>
        </w:rPr>
      </w:pPr>
      <w:r>
        <w:rPr>
          <w:rFonts w:ascii="宋体" w:hAnsi="宋体"/>
          <w:b/>
          <w:color w:val="auto"/>
          <w:sz w:val="24"/>
          <w:u w:val="single"/>
        </w:rPr>
        <w:t>（4）乙方及时上报结算及相应计算依据和明细，现场具备交付条件，工程结算审定确认后并提供等额发票后，在30个工作日内支付至合同结算价的100%。</w:t>
      </w:r>
    </w:p>
    <w:p>
      <w:pPr>
        <w:tabs>
          <w:tab w:val="left" w:pos="-180"/>
          <w:tab w:val="left" w:pos="0"/>
          <w:tab w:val="left" w:pos="360"/>
          <w:tab w:val="left" w:pos="464"/>
        </w:tabs>
        <w:autoSpaceDE w:val="0"/>
        <w:autoSpaceDN w:val="0"/>
        <w:spacing w:line="360" w:lineRule="auto"/>
        <w:ind w:firstLine="482" w:firstLineChars="200"/>
        <w:jc w:val="left"/>
        <w:rPr>
          <w:rFonts w:hint="eastAsia" w:ascii="宋体" w:hAnsi="宋体"/>
          <w:b/>
          <w:color w:val="auto"/>
          <w:kern w:val="0"/>
          <w:sz w:val="24"/>
          <w:u w:val="single"/>
          <w:lang w:val="zh-CN"/>
        </w:rPr>
      </w:pPr>
      <w:r>
        <w:rPr>
          <w:rFonts w:ascii="宋体" w:hAnsi="宋体"/>
          <w:b/>
          <w:color w:val="auto"/>
          <w:kern w:val="0"/>
          <w:sz w:val="24"/>
          <w:u w:val="single"/>
          <w:lang w:val="zh-CN"/>
        </w:rPr>
        <w:t>（</w:t>
      </w:r>
      <w:r>
        <w:rPr>
          <w:rFonts w:ascii="宋体" w:hAnsi="宋体"/>
          <w:b/>
          <w:color w:val="auto"/>
          <w:kern w:val="0"/>
          <w:sz w:val="24"/>
          <w:u w:val="single"/>
        </w:rPr>
        <w:t>5</w:t>
      </w:r>
      <w:r>
        <w:rPr>
          <w:rFonts w:ascii="宋体" w:hAnsi="宋体"/>
          <w:b/>
          <w:color w:val="auto"/>
          <w:kern w:val="0"/>
          <w:sz w:val="24"/>
          <w:u w:val="single"/>
          <w:lang w:val="zh-CN"/>
        </w:rPr>
        <w:t>）发包人每次支付工程款前，承包人需取得监理、发包人对工程进度、质量、安全的认可，并向发包人开具等额的发票，否则发包人有权顺延支付工程进度款。发票的真实、合法、合规、有效性由承包人负责。因承包人开具的发票不规范、不合法或涉嫌虚开发票引起税务问题的，投标人需向发包人重新开具发票，并赔偿发包人损失，包括但不限于税款、滞纳金、罚款及相关损失等。</w:t>
      </w:r>
    </w:p>
    <w:p>
      <w:pPr>
        <w:widowControl/>
        <w:spacing w:line="360" w:lineRule="auto"/>
        <w:ind w:left="142" w:firstLine="482" w:firstLineChars="200"/>
        <w:rPr>
          <w:rFonts w:hint="eastAsia" w:ascii="宋体" w:hAnsi="宋体" w:cs="Arial"/>
          <w:b/>
          <w:snapToGrid w:val="0"/>
          <w:color w:val="auto"/>
          <w:kern w:val="0"/>
          <w:sz w:val="24"/>
          <w:u w:val="single"/>
        </w:rPr>
      </w:pPr>
      <w:r>
        <w:rPr>
          <w:rFonts w:ascii="宋体" w:hAnsi="宋体" w:cs="Arial"/>
          <w:b/>
          <w:snapToGrid w:val="0"/>
          <w:color w:val="auto"/>
          <w:kern w:val="0"/>
          <w:sz w:val="24"/>
          <w:u w:val="single"/>
        </w:rPr>
        <w:t>2、合同价款外的工程款支付：</w:t>
      </w:r>
    </w:p>
    <w:p>
      <w:pPr>
        <w:widowControl/>
        <w:spacing w:line="360" w:lineRule="auto"/>
        <w:ind w:left="142" w:firstLine="482" w:firstLineChars="200"/>
        <w:rPr>
          <w:rFonts w:hint="eastAsia" w:ascii="宋体" w:hAnsi="宋体" w:cs="Arial"/>
          <w:b/>
          <w:snapToGrid w:val="0"/>
          <w:color w:val="auto"/>
          <w:kern w:val="0"/>
          <w:sz w:val="24"/>
          <w:u w:val="single"/>
        </w:rPr>
      </w:pPr>
      <w:r>
        <w:rPr>
          <w:rFonts w:ascii="宋体" w:hAnsi="宋体" w:cs="Arial"/>
          <w:b/>
          <w:snapToGrid w:val="0"/>
          <w:color w:val="auto"/>
          <w:kern w:val="0"/>
          <w:sz w:val="24"/>
          <w:u w:val="single"/>
        </w:rPr>
        <w:t>在施工进度质量正常的前提下，因工程变更引起合同价款增加但增加部分累计不足原合同价款的10%时，工程款仍按原合同价款支付，增加部分待工程竣工并验收合格经结算审计完毕后一次性付清；因工程变更引起合同价款增减且增减部分累计达到或超过原合同价款的10%时，双方经协商一致后可签订补充协议。</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3、开票约定：</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（1）每次付款前，承包人应提供合法有效的增值税发票并在开票后送达发包人，否则发包人有权拒绝付款。如有质保金，需在结算完成时开具全额发票。</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2）承包人对其开具发票的合规性负责，如果因其开具的发票不合规（包括但不限于以下情形）而导致发包人无法税前扣除或遭受其他损失的，承包人应承担赔偿责任，且发包人有权要求重新开具合法有效的发票。同时发包人有权迟延支付应付款项，且不承担任何违约责任，承包人的各项合同义务仍按合同约定履行：</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•开具虚假、作废等无效发票或者违反国家法律法规开具、提供发票的；</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•开具发票种类错误；开具发票税率与合同约定不符；</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•发票上的信息错误；</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•因乙方迟延送达、开具错误等原因造成发票认证失败；</w:t>
      </w:r>
    </w:p>
    <w:p>
      <w:pPr>
        <w:spacing w:line="360" w:lineRule="auto"/>
        <w:ind w:firstLine="482" w:firstLineChars="200"/>
        <w:rPr>
          <w:rFonts w:hint="eastAsia" w:ascii="宋体" w:hAnsi="宋体"/>
          <w:b/>
          <w:color w:val="auto"/>
          <w:sz w:val="24"/>
          <w:u w:val="single"/>
        </w:rPr>
      </w:pPr>
      <w:r>
        <w:rPr>
          <w:rFonts w:ascii="宋体" w:hAnsi="宋体"/>
          <w:b/>
          <w:color w:val="auto"/>
          <w:sz w:val="24"/>
          <w:u w:val="single"/>
        </w:rPr>
        <w:t>•其他不符合开具发票、提供发票的情形。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12.4.2进度付款申请单的编制</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关于进度付款申请单编制的约定：</w:t>
      </w:r>
      <w:r>
        <w:rPr>
          <w:rFonts w:hint="eastAsia" w:ascii="宋体" w:hAnsi="宋体" w:cs="宋体"/>
          <w:b/>
          <w:bCs/>
          <w:color w:val="auto"/>
          <w:sz w:val="24"/>
          <w:u w:val="single"/>
        </w:rPr>
        <w:t>不考虑因变更、索赔、合同约定应增加的金额。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12.4.3进度付款申请单的提交</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（1）单价合同进度付款申请单提交的约定：</w:t>
      </w:r>
      <w:r>
        <w:rPr>
          <w:rFonts w:hint="eastAsia" w:ascii="宋体" w:hAnsi="宋体" w:cs="宋体"/>
          <w:b/>
          <w:bCs/>
          <w:color w:val="auto"/>
          <w:sz w:val="24"/>
          <w:u w:val="single"/>
        </w:rPr>
        <w:t>按通用条款。</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（2）总价合同进度付款申请单提交的约定：</w:t>
      </w:r>
      <w:r>
        <w:rPr>
          <w:rFonts w:hint="eastAsia" w:ascii="宋体" w:hAnsi="宋体" w:cs="宋体"/>
          <w:color w:val="auto"/>
          <w:sz w:val="24"/>
          <w:u w:val="single"/>
        </w:rPr>
        <w:t xml:space="preserve">      /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（3）其他价格形式合同进度付款申请单提交的约定：</w:t>
      </w:r>
      <w:r>
        <w:rPr>
          <w:rFonts w:hint="eastAsia" w:ascii="宋体" w:hAnsi="宋体" w:cs="宋体"/>
          <w:color w:val="auto"/>
          <w:sz w:val="24"/>
          <w:u w:val="single"/>
        </w:rPr>
        <w:t xml:space="preserve">   /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12.4.4进度款审核和支付</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（1）监理人审查并报送发包人的期限：</w:t>
      </w:r>
      <w:r>
        <w:rPr>
          <w:rFonts w:hint="eastAsia" w:ascii="宋体" w:hAnsi="宋体" w:cs="宋体"/>
          <w:b/>
          <w:bCs/>
          <w:color w:val="auto"/>
          <w:sz w:val="24"/>
          <w:u w:val="single"/>
        </w:rPr>
        <w:t xml:space="preserve">按通用条款。 </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发包人完成审批并签发进度款支付证书的期限：</w:t>
      </w:r>
      <w:r>
        <w:rPr>
          <w:rFonts w:hint="eastAsia" w:ascii="宋体" w:hAnsi="宋体" w:cs="宋体"/>
          <w:b/>
          <w:bCs/>
          <w:color w:val="auto"/>
          <w:sz w:val="24"/>
          <w:u w:val="single"/>
        </w:rPr>
        <w:t>按通用条款。</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（2）发包人支付进度款的期限：</w:t>
      </w:r>
      <w:r>
        <w:rPr>
          <w:rFonts w:hint="eastAsia" w:ascii="宋体" w:hAnsi="宋体" w:cs="宋体"/>
          <w:b/>
          <w:bCs/>
          <w:color w:val="auto"/>
          <w:sz w:val="24"/>
          <w:u w:val="single"/>
        </w:rPr>
        <w:t xml:space="preserve">按通用条款。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发包人逾期支付进度款的违约金的计算方式：</w:t>
      </w:r>
      <w:r>
        <w:rPr>
          <w:rFonts w:hint="eastAsia" w:ascii="宋体" w:hAnsi="宋体" w:cs="宋体"/>
          <w:color w:val="auto"/>
          <w:sz w:val="24"/>
          <w:u w:val="single"/>
        </w:rPr>
        <w:t xml:space="preserve">     /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12.4.6支付分解表的编制</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2、总价合同支付分解表的编制与审批：</w:t>
      </w:r>
      <w:r>
        <w:rPr>
          <w:rFonts w:hint="eastAsia" w:ascii="宋体" w:hAnsi="宋体" w:cs="宋体"/>
          <w:color w:val="auto"/>
          <w:sz w:val="24"/>
          <w:u w:val="single"/>
        </w:rPr>
        <w:t xml:space="preserve">        /          </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3、单价合同的总价项目支付分解表的编制与审批：</w:t>
      </w:r>
      <w:r>
        <w:rPr>
          <w:rFonts w:hint="eastAsia" w:ascii="宋体" w:hAnsi="宋体" w:cs="宋体"/>
          <w:color w:val="auto"/>
          <w:sz w:val="24"/>
          <w:u w:val="single"/>
        </w:rPr>
        <w:t xml:space="preserve">     /      </w:t>
      </w:r>
      <w:r>
        <w:rPr>
          <w:rFonts w:hint="eastAsia" w:ascii="宋体" w:hAnsi="宋体" w:cs="宋体"/>
          <w:color w:val="auto"/>
          <w:sz w:val="24"/>
        </w:rPr>
        <w:t xml:space="preserve"> </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13、验收和工程试车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13.1分部分项工程验收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13.1.2监理人不能按时进行验收时，应提前</w:t>
      </w:r>
      <w:r>
        <w:rPr>
          <w:rFonts w:hint="eastAsia" w:ascii="宋体" w:hAnsi="宋体" w:cs="宋体"/>
          <w:color w:val="auto"/>
          <w:sz w:val="24"/>
          <w:u w:val="single"/>
        </w:rPr>
        <w:t>24</w:t>
      </w:r>
      <w:r>
        <w:rPr>
          <w:rFonts w:hint="eastAsia" w:ascii="宋体" w:hAnsi="宋体" w:cs="宋体"/>
          <w:color w:val="auto"/>
          <w:sz w:val="24"/>
        </w:rPr>
        <w:t>小时提交书面延期要求。</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关于延期最长不得超过：</w:t>
      </w:r>
      <w:r>
        <w:rPr>
          <w:rFonts w:hint="eastAsia" w:ascii="宋体" w:hAnsi="宋体" w:cs="宋体"/>
          <w:color w:val="auto"/>
          <w:sz w:val="24"/>
          <w:u w:val="single"/>
        </w:rPr>
        <w:t xml:space="preserve">48 </w:t>
      </w:r>
      <w:r>
        <w:rPr>
          <w:rFonts w:hint="eastAsia" w:ascii="宋体" w:hAnsi="宋体" w:cs="宋体"/>
          <w:color w:val="auto"/>
          <w:sz w:val="24"/>
        </w:rPr>
        <w:t>小时。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13.2竣工验收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13.2.2竣工验收程序</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关于竣工验收程序的约定：</w:t>
      </w:r>
      <w:r>
        <w:rPr>
          <w:rFonts w:hint="eastAsia" w:ascii="宋体" w:hAnsi="宋体" w:cs="宋体"/>
          <w:b/>
          <w:bCs/>
          <w:color w:val="auto"/>
          <w:sz w:val="24"/>
          <w:u w:val="single"/>
        </w:rPr>
        <w:t xml:space="preserve">按通用条款执行。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发包人不按照本项约定组织竣工验收、颁发工程接收证书的违约金的计算方法：</w:t>
      </w:r>
      <w:r>
        <w:rPr>
          <w:rFonts w:hint="eastAsia" w:ascii="宋体" w:hAnsi="宋体" w:cs="宋体"/>
          <w:color w:val="auto"/>
          <w:kern w:val="0"/>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13.2.5移交、接收全部与部分工程</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承包人向发包人移交工程的期限：</w:t>
      </w:r>
      <w:r>
        <w:rPr>
          <w:rFonts w:hint="eastAsia" w:ascii="宋体" w:hAnsi="宋体" w:cs="宋体"/>
          <w:b/>
          <w:bCs/>
          <w:color w:val="auto"/>
          <w:sz w:val="24"/>
          <w:u w:val="single"/>
        </w:rPr>
        <w:t xml:space="preserve">按通用条款执行。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发包人未按本合同约定接收全部或部分工程的，违约金的计算方法为：</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承包人未按时移交工程的，违约金的计算方法为：</w:t>
      </w:r>
      <w:r>
        <w:rPr>
          <w:rFonts w:hint="eastAsia" w:ascii="宋体" w:hAnsi="宋体" w:cs="宋体"/>
          <w:b/>
          <w:bCs/>
          <w:color w:val="auto"/>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13.3工程试车</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13.3.1试车程序</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kern w:val="0"/>
          <w:sz w:val="24"/>
        </w:rPr>
        <w:t>工程试车内容：</w:t>
      </w:r>
      <w:r>
        <w:rPr>
          <w:rFonts w:hint="eastAsia" w:ascii="宋体" w:hAnsi="宋体" w:cs="宋体"/>
          <w:b/>
          <w:bCs/>
          <w:color w:val="auto"/>
          <w:sz w:val="24"/>
          <w:u w:val="single"/>
        </w:rPr>
        <w:t xml:space="preserve">所有试车费用承包人已在合同价中包干。 </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（1）单机无负荷试车费用由</w:t>
      </w:r>
      <w:r>
        <w:rPr>
          <w:rFonts w:hint="eastAsia" w:ascii="宋体" w:hAnsi="宋体" w:cs="宋体"/>
          <w:color w:val="auto"/>
          <w:sz w:val="24"/>
          <w:u w:val="single"/>
        </w:rPr>
        <w:t xml:space="preserve">   /   </w:t>
      </w:r>
      <w:r>
        <w:rPr>
          <w:rFonts w:hint="eastAsia" w:ascii="宋体" w:hAnsi="宋体" w:cs="宋体"/>
          <w:color w:val="auto"/>
          <w:kern w:val="0"/>
          <w:sz w:val="24"/>
        </w:rPr>
        <w:t>承担；</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（2）无负荷联动试车费用由</w:t>
      </w:r>
      <w:r>
        <w:rPr>
          <w:rFonts w:hint="eastAsia" w:ascii="宋体" w:hAnsi="宋体" w:cs="宋体"/>
          <w:color w:val="auto"/>
          <w:sz w:val="24"/>
          <w:u w:val="single"/>
        </w:rPr>
        <w:t xml:space="preserve">   /   </w:t>
      </w:r>
      <w:r>
        <w:rPr>
          <w:rFonts w:hint="eastAsia" w:ascii="宋体" w:hAnsi="宋体" w:cs="宋体"/>
          <w:color w:val="auto"/>
          <w:kern w:val="0"/>
          <w:sz w:val="24"/>
        </w:rPr>
        <w:t>承担。</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13.3.3投料试车</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关于投料试车相关事项的约定：</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13.6竣工退场</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13.6.1竣工退场</w:t>
      </w:r>
    </w:p>
    <w:p>
      <w:pPr>
        <w:spacing w:line="360" w:lineRule="auto"/>
        <w:ind w:firstLine="480" w:firstLineChars="200"/>
        <w:rPr>
          <w:rFonts w:hint="eastAsia" w:ascii="宋体" w:hAnsi="宋体" w:cs="宋体"/>
          <w:b/>
          <w:bCs/>
          <w:color w:val="auto"/>
          <w:sz w:val="24"/>
        </w:rPr>
      </w:pPr>
      <w:r>
        <w:rPr>
          <w:rFonts w:hint="eastAsia" w:ascii="宋体" w:hAnsi="宋体" w:cs="宋体"/>
          <w:color w:val="auto"/>
          <w:kern w:val="0"/>
          <w:sz w:val="24"/>
        </w:rPr>
        <w:t>承包人完成竣工退场的期限：</w:t>
      </w:r>
      <w:r>
        <w:rPr>
          <w:rFonts w:hint="eastAsia" w:ascii="宋体" w:hAnsi="宋体" w:cs="宋体"/>
          <w:b/>
          <w:bCs/>
          <w:color w:val="auto"/>
          <w:sz w:val="24"/>
          <w:u w:val="single"/>
        </w:rPr>
        <w:t xml:space="preserve">10天内。 </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14、竣工结算</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14.1竣工付款申请</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承包人提交竣工付款申请单的期限：</w:t>
      </w:r>
      <w:r>
        <w:rPr>
          <w:rFonts w:hint="eastAsia" w:ascii="宋体" w:hAnsi="宋体" w:cs="宋体"/>
          <w:b/>
          <w:bCs/>
          <w:color w:val="auto"/>
          <w:sz w:val="24"/>
          <w:u w:val="single"/>
        </w:rPr>
        <w:t>工程竣工验收报告经发包人认可后的28天内。</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竣工付款申请单应包括的内容：</w:t>
      </w:r>
      <w:r>
        <w:rPr>
          <w:rFonts w:hint="eastAsia" w:ascii="宋体" w:hAnsi="宋体" w:cs="宋体"/>
          <w:b/>
          <w:bCs/>
          <w:color w:val="auto"/>
          <w:sz w:val="24"/>
          <w:u w:val="single"/>
        </w:rPr>
        <w:t>完整的竣工结算书及相关资料。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14.2竣工结算审核</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rPr>
        <w:t>14.2.1发包人审批竣工付款申请单的期限：</w:t>
      </w:r>
      <w:r>
        <w:rPr>
          <w:rFonts w:hint="eastAsia" w:ascii="宋体" w:hAnsi="宋体" w:cs="宋体"/>
          <w:b/>
          <w:bCs/>
          <w:color w:val="auto"/>
          <w:sz w:val="24"/>
          <w:u w:val="single"/>
        </w:rPr>
        <w:t>竣工结算书文件核对期限是（承包人未按照前述14.1中约定的时限内递交完整的竣工结算书文件及相关资料的，以下关于核对期限的约定将不对发包人产生效力）：</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（1）工程造价500万元以下的单项工程，从收到完整的竣工结算书之日起（20）工作日；</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（2）工程造价500-2000万元的单项工程，从收到完整的竣工结算书之日起（30）工作日；</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（3）工程造价2000-5000万元的单项工程，从收到完整的竣工结算书之日起（45）工作日；</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（4）工程造价5000万元以上的单项工程，从收到完整的竣工结算书之日起（60）工作日。</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发包人完成竣工付款的期限：</w:t>
      </w:r>
      <w:r>
        <w:rPr>
          <w:rFonts w:hint="eastAsia" w:ascii="宋体" w:hAnsi="宋体" w:cs="宋体"/>
          <w:b/>
          <w:color w:val="auto"/>
          <w:sz w:val="24"/>
          <w:u w:val="single"/>
        </w:rPr>
        <w:t>发包人在收到第三方审计单位出具的竣工结算审计结果文件后1个月内办理工程款结算审批会签。</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关于竣工付款证书异议部分复核的方式和程序：</w:t>
      </w:r>
      <w:r>
        <w:rPr>
          <w:rFonts w:hint="eastAsia" w:ascii="宋体" w:hAnsi="宋体" w:cs="宋体"/>
          <w:b/>
          <w:bCs/>
          <w:color w:val="auto"/>
          <w:sz w:val="24"/>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3、发包人收到承包人再次提交的补充资料和修改的竣工结算文件后，在（20）日内予以复核，修正核对意见，并通知承包人。</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4、发、承包人均对修正核对意见无异议的，应于7日内在竣工结算核对意见上签字确认。</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pPr>
        <w:spacing w:line="360" w:lineRule="auto"/>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14.2.3 承包人必须保证施工过程所提出的签证内容是合法的、真实的，并不由于发包人和监理工程师的确认而免除承包人的责任。</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14.2.4承包人未按14.1约定时间提交完整的竣工结算书及相关资料的，违约金的计算方法为：</w:t>
      </w:r>
      <w:r>
        <w:rPr>
          <w:rFonts w:hint="eastAsia" w:ascii="宋体" w:hAnsi="宋体" w:cs="宋体"/>
          <w:b/>
          <w:bCs/>
          <w:color w:val="auto"/>
          <w:sz w:val="24"/>
          <w:u w:val="single"/>
        </w:rPr>
        <w:t>每延误一天扣罚合同总价千分之五，直至扣完合同总价剩余款项为止</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14.4最终结清</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14.4.1最终结清申请单</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承包人提交最终结清申请单的份数：</w:t>
      </w:r>
      <w:r>
        <w:rPr>
          <w:rFonts w:hint="eastAsia" w:ascii="宋体" w:hAnsi="宋体" w:cs="宋体"/>
          <w:b/>
          <w:bCs/>
          <w:color w:val="auto"/>
          <w:sz w:val="24"/>
          <w:u w:val="single"/>
        </w:rPr>
        <w:t xml:space="preserve">  两份 </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承包人提交最终结算申请单的期限：</w:t>
      </w:r>
      <w:r>
        <w:rPr>
          <w:rFonts w:hint="eastAsia" w:ascii="宋体" w:hAnsi="宋体" w:cs="宋体"/>
          <w:b/>
          <w:bCs/>
          <w:color w:val="auto"/>
          <w:sz w:val="24"/>
          <w:u w:val="single"/>
        </w:rPr>
        <w:t xml:space="preserve">保修期满后7天内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14.4.2 最终结清证书和支付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（1）发包人完成最终结清申请单的审批并颁发最终结清证书的期限：</w:t>
      </w:r>
      <w:r>
        <w:rPr>
          <w:rFonts w:hint="eastAsia" w:ascii="宋体" w:hAnsi="宋体" w:cs="宋体"/>
          <w:b/>
          <w:bCs/>
          <w:color w:val="auto"/>
          <w:sz w:val="24"/>
          <w:u w:val="single"/>
        </w:rPr>
        <w:t>收到最终结清申请单后30天内。</w:t>
      </w:r>
    </w:p>
    <w:p>
      <w:pPr>
        <w:spacing w:line="360" w:lineRule="auto"/>
        <w:ind w:firstLine="480" w:firstLineChars="200"/>
        <w:rPr>
          <w:rFonts w:hint="eastAsia" w:ascii="宋体" w:hAnsi="宋体" w:cs="宋体"/>
          <w:b/>
          <w:bCs/>
          <w:color w:val="auto"/>
          <w:sz w:val="24"/>
        </w:rPr>
      </w:pPr>
      <w:r>
        <w:rPr>
          <w:rFonts w:hint="eastAsia" w:ascii="宋体" w:hAnsi="宋体" w:cs="宋体"/>
          <w:color w:val="auto"/>
          <w:sz w:val="24"/>
        </w:rPr>
        <w:t>（2）发包人完成支付的期限：</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15、缺陷责任期与保修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15.2缺陷责任期</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15.3质量保证金</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sz w:val="24"/>
        </w:rPr>
        <w:t>关于是否扣留质量保证金的约定：</w:t>
      </w:r>
      <w:r>
        <w:rPr>
          <w:rFonts w:hint="eastAsia" w:ascii="宋体" w:hAnsi="宋体" w:cs="宋体"/>
          <w:b/>
          <w:bCs/>
          <w:color w:val="auto"/>
          <w:sz w:val="24"/>
          <w:u w:val="single"/>
        </w:rPr>
        <w:t>否</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u w:val="single"/>
        </w:rPr>
        <w:t xml:space="preserve">15.3.1 </w:t>
      </w:r>
      <w:r>
        <w:rPr>
          <w:rFonts w:hint="eastAsia" w:ascii="宋体" w:hAnsi="宋体" w:cs="宋体"/>
          <w:color w:val="auto"/>
          <w:sz w:val="24"/>
        </w:rPr>
        <w:t>质量保证金采用以下第</w:t>
      </w:r>
      <w:r>
        <w:rPr>
          <w:rFonts w:hint="eastAsia" w:ascii="宋体" w:hAnsi="宋体" w:cs="宋体"/>
          <w:b/>
          <w:bCs/>
          <w:color w:val="auto"/>
          <w:sz w:val="24"/>
          <w:u w:val="single"/>
        </w:rPr>
        <w:t xml:space="preserve"> </w:t>
      </w:r>
      <w:r>
        <w:rPr>
          <w:rFonts w:hint="eastAsia" w:ascii="宋体" w:hAnsi="宋体" w:cs="宋体"/>
          <w:b/>
          <w:bCs/>
          <w:color w:val="auto"/>
          <w:kern w:val="0"/>
          <w:sz w:val="24"/>
          <w:u w:val="single"/>
        </w:rPr>
        <w:t>/</w:t>
      </w:r>
      <w:r>
        <w:rPr>
          <w:rFonts w:hint="eastAsia" w:ascii="宋体" w:hAnsi="宋体" w:cs="宋体"/>
          <w:b/>
          <w:bCs/>
          <w:color w:val="auto"/>
          <w:sz w:val="24"/>
          <w:u w:val="single"/>
        </w:rPr>
        <w:t xml:space="preserve">  </w:t>
      </w:r>
      <w:r>
        <w:rPr>
          <w:rFonts w:hint="eastAsia" w:ascii="宋体" w:hAnsi="宋体" w:cs="宋体"/>
          <w:color w:val="auto"/>
          <w:sz w:val="24"/>
        </w:rPr>
        <w:t>种方式：</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（1）质量保证金保函，保证金额为：</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pPr>
        <w:autoSpaceDE w:val="0"/>
        <w:autoSpaceDN w:val="0"/>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rPr>
        <w:t>（2）</w:t>
      </w:r>
      <w:r>
        <w:rPr>
          <w:rFonts w:hint="eastAsia" w:ascii="宋体" w:hAnsi="宋体" w:cs="宋体"/>
          <w:b/>
          <w:bCs/>
          <w:color w:val="auto"/>
          <w:sz w:val="24"/>
          <w:u w:val="single"/>
        </w:rPr>
        <w:t>/</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（3）其他方式:</w:t>
      </w:r>
      <w:r>
        <w:rPr>
          <w:rFonts w:hint="eastAsia" w:ascii="宋体" w:hAnsi="宋体" w:cs="宋体"/>
          <w:color w:val="auto"/>
          <w:kern w:val="0"/>
          <w:sz w:val="24"/>
          <w:u w:val="single"/>
        </w:rPr>
        <w:t xml:space="preserve">  / </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15.3.2 质量保证金的扣留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质量保证金的扣留采取以下第</w:t>
      </w:r>
      <w:r>
        <w:rPr>
          <w:rFonts w:hint="eastAsia" w:ascii="宋体" w:hAnsi="宋体" w:cs="宋体"/>
          <w:color w:val="auto"/>
          <w:sz w:val="24"/>
          <w:u w:val="single"/>
        </w:rPr>
        <w:t>/</w:t>
      </w:r>
      <w:r>
        <w:rPr>
          <w:rFonts w:hint="eastAsia" w:ascii="宋体" w:hAnsi="宋体" w:cs="宋体"/>
          <w:color w:val="auto"/>
          <w:sz w:val="24"/>
        </w:rPr>
        <w:t>种方式：</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（1）在支付工程进度款时逐次扣留，在此情形下，质量保证金的计算基数不包括预付款的支付、扣回以及价格调整的金额；</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（2）工程竣工结算时一次性扣留质量保证金；</w:t>
      </w:r>
    </w:p>
    <w:p>
      <w:pPr>
        <w:autoSpaceDE w:val="0"/>
        <w:autoSpaceDN w:val="0"/>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（3）其他扣留方式：</w:t>
      </w:r>
      <w:r>
        <w:rPr>
          <w:rFonts w:hint="eastAsia" w:ascii="宋体" w:hAnsi="宋体" w:cs="宋体"/>
          <w:color w:val="auto"/>
          <w:kern w:val="0"/>
          <w:sz w:val="24"/>
          <w:u w:val="single"/>
        </w:rPr>
        <w:t>/。</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sz w:val="24"/>
        </w:rPr>
        <w:t>关于质量保证金的补充约定：</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15.4保修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15.4.1保修责任</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sz w:val="24"/>
        </w:rPr>
        <w:t>工程保修期为：</w:t>
      </w:r>
      <w:r>
        <w:rPr>
          <w:rFonts w:hint="eastAsia" w:ascii="宋体" w:hAnsi="宋体" w:cs="宋体"/>
          <w:b/>
          <w:bCs/>
          <w:color w:val="auto"/>
          <w:kern w:val="0"/>
          <w:sz w:val="24"/>
          <w:u w:val="single"/>
        </w:rPr>
        <w:t xml:space="preserve">  详见《工程质量保修书》</w:t>
      </w:r>
      <w:r>
        <w:rPr>
          <w:rFonts w:hint="eastAsia" w:ascii="宋体" w:hAnsi="宋体" w:cs="宋体"/>
          <w:color w:val="auto"/>
          <w:kern w:val="0"/>
          <w:sz w:val="24"/>
          <w:u w:val="single"/>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15.4.3修复通知</w:t>
      </w:r>
    </w:p>
    <w:p>
      <w:pPr>
        <w:spacing w:line="360" w:lineRule="auto"/>
        <w:ind w:firstLine="480" w:firstLineChars="200"/>
        <w:rPr>
          <w:rFonts w:hint="eastAsia" w:ascii="宋体" w:hAnsi="宋体" w:cs="宋体"/>
          <w:b/>
          <w:bCs/>
          <w:color w:val="auto"/>
          <w:sz w:val="24"/>
        </w:rPr>
      </w:pPr>
      <w:r>
        <w:rPr>
          <w:rFonts w:hint="eastAsia" w:ascii="宋体" w:hAnsi="宋体" w:cs="宋体"/>
          <w:color w:val="auto"/>
          <w:kern w:val="0"/>
          <w:sz w:val="24"/>
        </w:rPr>
        <w:t>承包人收到保修通知并到达工程现场的合理时间：</w:t>
      </w:r>
      <w:r>
        <w:rPr>
          <w:rFonts w:hint="eastAsia" w:ascii="宋体" w:hAnsi="宋体" w:cs="宋体"/>
          <w:b/>
          <w:bCs/>
          <w:color w:val="auto"/>
          <w:kern w:val="0"/>
          <w:sz w:val="24"/>
          <w:u w:val="single"/>
        </w:rPr>
        <w:t xml:space="preserve"> 24小时内</w:t>
      </w:r>
      <w:r>
        <w:rPr>
          <w:rFonts w:hint="eastAsia" w:ascii="宋体" w:hAnsi="宋体" w:cs="宋体"/>
          <w:color w:val="auto"/>
          <w:kern w:val="0"/>
          <w:sz w:val="24"/>
          <w:u w:val="single"/>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16、违约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16.1发包人违约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16.1.1发包人违约的情形</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发包人违约的其他情形：</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16.1.2 发包人违约的责任</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发包人违约责任的承担方式和计算方法：</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（1）因发包人原因未能在计划开工日期前7天内下达开工通知的违约责任：</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（2）因发包人原因未能按合同约定支付合同价款的违约责任：</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（3）发包人违反第10.1款〔变更的范围〕第（2）项约定，自行实施被取消的工作或转由他人实施的违约责任：</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（5）因发包人违反合同约定造成暂停施工的违约责任：</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（6）发包人无正当理由没有在约定期限内发出复工指示，导致承包人无法复工的违约责任：</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（7）其他：</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16.1.3 因发包人违约解除合同</w:t>
      </w:r>
    </w:p>
    <w:p>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承包人按16.1.1项〔发包人违约的情形〕约定暂停施工满</w:t>
      </w:r>
      <w:r>
        <w:rPr>
          <w:rFonts w:hint="eastAsia" w:ascii="宋体" w:hAnsi="宋体" w:cs="宋体"/>
          <w:color w:val="auto"/>
          <w:sz w:val="24"/>
          <w:u w:val="single"/>
        </w:rPr>
        <w:t xml:space="preserve">   /  </w:t>
      </w:r>
      <w:r>
        <w:rPr>
          <w:rFonts w:hint="eastAsia" w:ascii="宋体" w:hAnsi="宋体" w:cs="宋体"/>
          <w:color w:val="auto"/>
          <w:kern w:val="0"/>
          <w:sz w:val="24"/>
        </w:rPr>
        <w:t>天后发包人仍不纠正其违约行为并致使合同目的不能实现的，承包人有权解除合同。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16.2 承包人违约</w:t>
      </w:r>
    </w:p>
    <w:p>
      <w:pPr>
        <w:spacing w:line="360" w:lineRule="auto"/>
        <w:ind w:firstLine="480" w:firstLineChars="200"/>
        <w:rPr>
          <w:rFonts w:hint="eastAsia" w:ascii="宋体" w:hAnsi="宋体" w:cs="宋体"/>
          <w:strike/>
          <w:color w:val="auto"/>
          <w:kern w:val="0"/>
          <w:sz w:val="24"/>
        </w:rPr>
      </w:pPr>
      <w:r>
        <w:rPr>
          <w:rFonts w:hint="eastAsia" w:ascii="宋体" w:hAnsi="宋体" w:cs="宋体"/>
          <w:color w:val="auto"/>
          <w:kern w:val="0"/>
          <w:sz w:val="24"/>
        </w:rPr>
        <w:t xml:space="preserve">16.2.1 承包人违约的情形 </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承包人违约的其他情形：</w:t>
      </w:r>
      <w:r>
        <w:rPr>
          <w:rFonts w:hint="eastAsia" w:ascii="宋体" w:hAnsi="宋体" w:cs="宋体"/>
          <w:color w:val="auto"/>
          <w:kern w:val="0"/>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16.2.2承包人违约的责任</w:t>
      </w:r>
    </w:p>
    <w:p>
      <w:pPr>
        <w:spacing w:line="360" w:lineRule="auto"/>
        <w:ind w:firstLine="480" w:firstLineChars="200"/>
        <w:rPr>
          <w:rFonts w:hint="eastAsia" w:ascii="宋体" w:hAnsi="宋体" w:cs="宋体"/>
          <w:b/>
          <w:bCs/>
          <w:color w:val="auto"/>
          <w:sz w:val="24"/>
          <w:u w:val="single"/>
        </w:rPr>
      </w:pPr>
      <w:r>
        <w:rPr>
          <w:rFonts w:hint="eastAsia" w:ascii="宋体" w:hAnsi="宋体" w:cs="宋体"/>
          <w:color w:val="auto"/>
          <w:kern w:val="0"/>
          <w:sz w:val="24"/>
        </w:rPr>
        <w:t>承包人违约责任的承担方式和计算方法：</w:t>
      </w:r>
      <w:r>
        <w:rPr>
          <w:rFonts w:hint="eastAsia" w:ascii="宋体" w:hAnsi="宋体" w:cs="宋体"/>
          <w:b/>
          <w:bCs/>
          <w:color w:val="auto"/>
          <w:sz w:val="24"/>
          <w:u w:val="single"/>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16.2.3 因承包人违约解除合同</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关于承包人违约解除合同的特别约定：</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发包人继续使用承包人在施工现场的材料、设备、临时工程、承包人文件和由承包人或以其名义编制的其他文件的费用承担方式：</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 xml:space="preserve">17、不可抗力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17.1不可抗力的确认</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sz w:val="24"/>
        </w:rPr>
        <w:t>除通用合同条款约定的不可抗力事件之外，视为不可抗力的其他情形：</w:t>
      </w:r>
      <w:r>
        <w:rPr>
          <w:rFonts w:hint="eastAsia" w:ascii="宋体" w:hAnsi="宋体" w:cs="宋体"/>
          <w:b/>
          <w:bCs/>
          <w:color w:val="auto"/>
          <w:sz w:val="24"/>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cs="宋体"/>
          <w:b/>
          <w:bCs/>
          <w:color w:val="auto"/>
          <w:kern w:val="0"/>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17.4因不可抗力解除合同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合同解除后，发包人应在商定或确定发包人应支付款项后</w:t>
      </w:r>
      <w:r>
        <w:rPr>
          <w:rFonts w:hint="eastAsia" w:ascii="宋体" w:hAnsi="宋体" w:cs="宋体"/>
          <w:color w:val="auto"/>
          <w:sz w:val="24"/>
          <w:u w:val="single"/>
        </w:rPr>
        <w:t>28</w:t>
      </w:r>
      <w:r>
        <w:rPr>
          <w:rFonts w:hint="eastAsia" w:ascii="宋体" w:hAnsi="宋体" w:cs="宋体"/>
          <w:color w:val="auto"/>
          <w:sz w:val="24"/>
        </w:rPr>
        <w:t xml:space="preserve">天内完成款项的支付。 </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18、保险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18.1工程保险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关于工程保险的特别约定：</w:t>
      </w:r>
      <w:r>
        <w:rPr>
          <w:rFonts w:hint="eastAsia" w:ascii="宋体" w:hAnsi="宋体" w:cs="宋体"/>
          <w:b/>
          <w:bCs/>
          <w:color w:val="auto"/>
          <w:kern w:val="0"/>
          <w:sz w:val="24"/>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18.3其他保险</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关于其他保险的约定：</w:t>
      </w:r>
      <w:r>
        <w:rPr>
          <w:rFonts w:hint="eastAsia" w:ascii="宋体" w:hAnsi="宋体" w:cs="宋体"/>
          <w:color w:val="auto"/>
          <w:sz w:val="24"/>
          <w:u w:val="single"/>
        </w:rPr>
        <w:t xml:space="preserve">   /  </w:t>
      </w:r>
      <w:r>
        <w:rPr>
          <w:rFonts w:hint="eastAsia" w:ascii="宋体" w:hAnsi="宋体" w:cs="宋体"/>
          <w:color w:val="auto"/>
          <w:kern w:val="0"/>
          <w:sz w:val="24"/>
        </w:rPr>
        <w:t>。</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承包人是否应为其施工设备等办理财产保险：</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18.7通知义务</w:t>
      </w:r>
    </w:p>
    <w:p>
      <w:pPr>
        <w:spacing w:line="360" w:lineRule="auto"/>
        <w:ind w:firstLine="480" w:firstLineChars="200"/>
        <w:rPr>
          <w:rFonts w:hint="eastAsia" w:ascii="宋体" w:hAnsi="宋体" w:cs="宋体"/>
          <w:b/>
          <w:bCs/>
          <w:color w:val="auto"/>
          <w:sz w:val="24"/>
        </w:rPr>
      </w:pPr>
      <w:r>
        <w:rPr>
          <w:rFonts w:hint="eastAsia" w:ascii="宋体" w:hAnsi="宋体" w:cs="宋体"/>
          <w:color w:val="auto"/>
          <w:kern w:val="0"/>
          <w:sz w:val="24"/>
        </w:rPr>
        <w:t>关于变更保险合同时的通知义务的约定：</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20、争议解决</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20.3争议评审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合同当事人是否同意将工程争议提交争议评审小组决定：</w:t>
      </w:r>
      <w:r>
        <w:rPr>
          <w:rFonts w:hint="eastAsia" w:ascii="宋体" w:hAnsi="宋体" w:cs="宋体"/>
          <w:b/>
          <w:bCs/>
          <w:color w:val="auto"/>
          <w:sz w:val="24"/>
          <w:u w:val="single"/>
        </w:rPr>
        <w:t>不同意</w:t>
      </w:r>
      <w:r>
        <w:rPr>
          <w:rFonts w:hint="eastAsia" w:ascii="宋体" w:hAnsi="宋体" w:cs="宋体"/>
          <w:color w:val="auto"/>
          <w:sz w:val="24"/>
          <w:u w:val="single"/>
        </w:rPr>
        <w:t>。</w:t>
      </w: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20.3.1争议评审小组的确定</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争议评审小组成员的确定：</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选定争议评审员的期限：</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争议评审小组成员的报酬承担方式：</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其他事项的约定：</w:t>
      </w:r>
      <w:r>
        <w:rPr>
          <w:rFonts w:hint="eastAsia" w:ascii="宋体" w:hAnsi="宋体" w:cs="宋体"/>
          <w:color w:val="auto"/>
          <w:sz w:val="24"/>
          <w:u w:val="single"/>
        </w:rPr>
        <w:t xml:space="preserve">              /               </w:t>
      </w:r>
      <w:r>
        <w:rPr>
          <w:rFonts w:hint="eastAsia" w:ascii="宋体" w:hAnsi="宋体" w:cs="宋体"/>
          <w:color w:val="auto"/>
          <w:sz w:val="24"/>
        </w:rPr>
        <w:t>。</w:t>
      </w:r>
    </w:p>
    <w:p>
      <w:pPr>
        <w:autoSpaceDE w:val="0"/>
        <w:autoSpaceDN w:val="0"/>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20.3.2争议评审小组的决定</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合同当事人关于本项的约定：</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20.4仲裁或诉讼</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因合同及合同有关事项发生的争议，双方当事人一致同意按下列解决方式中第</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 （2） </w:t>
      </w:r>
      <w:r>
        <w:rPr>
          <w:rFonts w:hint="eastAsia" w:ascii="宋体" w:hAnsi="宋体" w:cs="宋体"/>
          <w:color w:val="auto"/>
          <w:sz w:val="24"/>
          <w:u w:val="single"/>
        </w:rPr>
        <w:t xml:space="preserve"> </w:t>
      </w:r>
      <w:r>
        <w:rPr>
          <w:rFonts w:hint="eastAsia" w:ascii="宋体" w:hAnsi="宋体" w:cs="宋体"/>
          <w:color w:val="auto"/>
          <w:sz w:val="24"/>
        </w:rPr>
        <w:t>种方式解决：</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提交 / 仲裁委员会申请仲裁</w:t>
      </w:r>
      <w:r>
        <w:rPr>
          <w:rFonts w:hint="eastAsia" w:ascii="宋体" w:hAnsi="宋体" w:cs="宋体"/>
          <w:color w:val="auto"/>
          <w:sz w:val="24"/>
        </w:rPr>
        <w:t>；</w:t>
      </w:r>
    </w:p>
    <w:p>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（2）</w:t>
      </w:r>
      <w:r>
        <w:rPr>
          <w:rFonts w:hint="eastAsia" w:ascii="宋体" w:hAnsi="宋体" w:cs="宋体"/>
          <w:b/>
          <w:bCs/>
          <w:color w:val="auto"/>
          <w:sz w:val="24"/>
          <w:u w:val="single"/>
        </w:rPr>
        <w:t>依法向 工程所在地 人民法院起诉</w:t>
      </w:r>
      <w:r>
        <w:rPr>
          <w:rFonts w:hint="eastAsia" w:ascii="宋体" w:hAnsi="宋体" w:cs="宋体"/>
          <w:color w:val="auto"/>
          <w:sz w:val="24"/>
        </w:rPr>
        <w:t>。</w:t>
      </w:r>
    </w:p>
    <w:p>
      <w:pPr>
        <w:spacing w:line="360" w:lineRule="auto"/>
        <w:ind w:firstLine="480" w:firstLineChars="200"/>
        <w:rPr>
          <w:rFonts w:hint="eastAsia" w:ascii="宋体" w:hAnsi="宋体" w:cs="宋体"/>
          <w:b/>
          <w:color w:val="auto"/>
          <w:sz w:val="24"/>
          <w:u w:val="single"/>
        </w:rPr>
      </w:pPr>
      <w:r>
        <w:rPr>
          <w:rFonts w:hint="eastAsia" w:ascii="宋体" w:hAnsi="宋体" w:cs="宋体"/>
          <w:color w:val="auto"/>
          <w:sz w:val="24"/>
        </w:rPr>
        <w:t>21、其他补充事项的约定：</w:t>
      </w:r>
      <w:r>
        <w:rPr>
          <w:rFonts w:hint="eastAsia" w:ascii="宋体" w:hAnsi="宋体" w:cs="宋体"/>
          <w:color w:val="auto"/>
          <w:sz w:val="24"/>
          <w:u w:val="single"/>
        </w:rPr>
        <w:t xml:space="preserve">  / </w:t>
      </w:r>
      <w:r>
        <w:rPr>
          <w:rFonts w:hint="eastAsia" w:ascii="宋体" w:hAnsi="宋体" w:cs="宋体"/>
          <w:color w:val="auto"/>
          <w:sz w:val="24"/>
        </w:rPr>
        <w:t xml:space="preserve"> 。</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附件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协议书附件：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附件1：承包人承揽工程项目一览表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专用合同条款附件：</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附件2：发包人供应材料设备一览表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附件3：工程质量保修书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附件4：主要建设工程文件目录</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附件5：承包人用于本工程施工的机械设备表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附件6：承包人主要施工管理人员表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附件7：分包人主要施工管理人员表</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附件8：履约担保格式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附件9：预付款担保格式</w:t>
      </w:r>
    </w:p>
    <w:p>
      <w:pPr>
        <w:spacing w:line="360" w:lineRule="auto"/>
        <w:ind w:firstLine="480" w:firstLineChars="200"/>
        <w:rPr>
          <w:rFonts w:hint="eastAsia" w:ascii="宋体" w:hAnsi="宋体" w:cs="宋体"/>
          <w:b/>
          <w:color w:val="auto"/>
          <w:sz w:val="24"/>
        </w:rPr>
      </w:pPr>
      <w:r>
        <w:rPr>
          <w:rFonts w:hint="eastAsia" w:ascii="宋体" w:hAnsi="宋体" w:cs="宋体"/>
          <w:color w:val="auto"/>
          <w:sz w:val="24"/>
        </w:rPr>
        <w:t>附件10：支付担保格式</w:t>
      </w:r>
      <w:r>
        <w:rPr>
          <w:rFonts w:hint="eastAsia" w:ascii="宋体" w:hAnsi="宋体" w:cs="宋体"/>
          <w:b/>
          <w:color w:val="auto"/>
          <w:sz w:val="24"/>
        </w:rPr>
        <w:t>（财政性投资项目按相关规定执行）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附件11：暂估价一览表</w:t>
      </w:r>
    </w:p>
    <w:p>
      <w:pPr>
        <w:spacing w:line="360" w:lineRule="auto"/>
        <w:jc w:val="left"/>
        <w:rPr>
          <w:rFonts w:hint="eastAsia" w:ascii="宋体" w:hAnsi="宋体" w:cs="宋体"/>
          <w:color w:val="auto"/>
          <w:sz w:val="24"/>
        </w:rPr>
        <w:sectPr>
          <w:headerReference r:id="rId9" w:type="first"/>
          <w:footerReference r:id="rId12" w:type="first"/>
          <w:headerReference r:id="rId7" w:type="default"/>
          <w:footerReference r:id="rId10" w:type="default"/>
          <w:headerReference r:id="rId8" w:type="even"/>
          <w:footerReference r:id="rId11" w:type="even"/>
          <w:pgSz w:w="11906" w:h="16838"/>
          <w:pgMar w:top="1418" w:right="1555" w:bottom="1418" w:left="1531" w:header="851" w:footer="992" w:gutter="0"/>
          <w:cols w:space="720" w:num="1"/>
          <w:titlePg/>
          <w:docGrid w:type="lines" w:linePitch="312" w:charSpace="0"/>
        </w:sectPr>
      </w:pPr>
    </w:p>
    <w:p>
      <w:pPr>
        <w:spacing w:before="156" w:beforeLines="50" w:after="156" w:afterLines="50" w:line="440" w:lineRule="exact"/>
        <w:jc w:val="left"/>
        <w:rPr>
          <w:rFonts w:hint="eastAsia" w:ascii="宋体" w:hAnsi="宋体" w:cs="宋体"/>
          <w:color w:val="auto"/>
          <w:sz w:val="24"/>
        </w:rPr>
      </w:pPr>
      <w:r>
        <w:rPr>
          <w:rFonts w:hint="eastAsia" w:ascii="宋体" w:hAnsi="宋体" w:cs="宋体"/>
          <w:color w:val="auto"/>
          <w:sz w:val="24"/>
        </w:rPr>
        <w:t>附件1：</w:t>
      </w:r>
    </w:p>
    <w:p>
      <w:pPr>
        <w:spacing w:before="156" w:beforeLines="50" w:after="156" w:afterLines="50" w:line="440" w:lineRule="exact"/>
        <w:jc w:val="center"/>
        <w:rPr>
          <w:rFonts w:hint="eastAsia" w:ascii="宋体" w:hAnsi="宋体" w:cs="宋体"/>
          <w:color w:val="auto"/>
          <w:sz w:val="24"/>
        </w:rPr>
      </w:pPr>
      <w:r>
        <w:rPr>
          <w:rFonts w:hint="eastAsia" w:ascii="宋体" w:hAnsi="宋体" w:cs="宋体"/>
          <w:color w:val="auto"/>
          <w:sz w:val="24"/>
        </w:rPr>
        <w:t>承包人承揽工程项目一览表</w:t>
      </w:r>
    </w:p>
    <w:tbl>
      <w:tblPr>
        <w:tblStyle w:val="63"/>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单位工程名称</w:t>
            </w:r>
          </w:p>
        </w:tc>
        <w:tc>
          <w:tcPr>
            <w:tcW w:w="1843"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建设规模</w:t>
            </w:r>
          </w:p>
        </w:tc>
        <w:tc>
          <w:tcPr>
            <w:tcW w:w="1417"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建筑面积(m2)</w:t>
            </w:r>
          </w:p>
        </w:tc>
        <w:tc>
          <w:tcPr>
            <w:tcW w:w="241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结构形式</w:t>
            </w:r>
          </w:p>
        </w:tc>
        <w:tc>
          <w:tcPr>
            <w:tcW w:w="85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层数</w:t>
            </w:r>
          </w:p>
        </w:tc>
        <w:tc>
          <w:tcPr>
            <w:tcW w:w="156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生产能力</w:t>
            </w:r>
          </w:p>
        </w:tc>
        <w:tc>
          <w:tcPr>
            <w:tcW w:w="2126"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设备安装内容</w:t>
            </w:r>
          </w:p>
        </w:tc>
        <w:tc>
          <w:tcPr>
            <w:tcW w:w="1417"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合同价格（元）</w:t>
            </w:r>
          </w:p>
        </w:tc>
        <w:tc>
          <w:tcPr>
            <w:tcW w:w="851"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开工日期</w:t>
            </w:r>
          </w:p>
        </w:tc>
        <w:tc>
          <w:tcPr>
            <w:tcW w:w="85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843"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241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56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2126"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84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41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56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12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84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41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56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12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440" w:lineRule="exact"/>
              <w:ind w:left="63" w:right="63"/>
              <w:rPr>
                <w:rFonts w:hint="eastAsia" w:hAnsi="宋体" w:cs="宋体"/>
                <w:color w:val="auto"/>
                <w:szCs w:val="24"/>
                <w:lang w:val="en-US"/>
              </w:rPr>
            </w:pPr>
          </w:p>
        </w:tc>
        <w:tc>
          <w:tcPr>
            <w:tcW w:w="1843"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2410"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560" w:type="dxa"/>
            <w:vAlign w:val="center"/>
          </w:tcPr>
          <w:p>
            <w:pPr>
              <w:pStyle w:val="24"/>
              <w:keepNext/>
              <w:spacing w:line="440" w:lineRule="exact"/>
              <w:ind w:left="63" w:right="63"/>
              <w:rPr>
                <w:rFonts w:hint="eastAsia" w:hAnsi="宋体" w:cs="宋体"/>
                <w:color w:val="auto"/>
                <w:szCs w:val="24"/>
                <w:lang w:val="en-US"/>
              </w:rPr>
            </w:pPr>
          </w:p>
        </w:tc>
        <w:tc>
          <w:tcPr>
            <w:tcW w:w="2126"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84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41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56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12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440" w:lineRule="exact"/>
              <w:ind w:left="63" w:right="63"/>
              <w:rPr>
                <w:rFonts w:hint="eastAsia" w:hAnsi="宋体" w:cs="宋体"/>
                <w:color w:val="auto"/>
                <w:szCs w:val="24"/>
                <w:lang w:val="en-US"/>
              </w:rPr>
            </w:pPr>
          </w:p>
        </w:tc>
        <w:tc>
          <w:tcPr>
            <w:tcW w:w="1843"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2410"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560" w:type="dxa"/>
            <w:vAlign w:val="center"/>
          </w:tcPr>
          <w:p>
            <w:pPr>
              <w:pStyle w:val="24"/>
              <w:keepNext/>
              <w:spacing w:line="440" w:lineRule="exact"/>
              <w:ind w:left="63" w:right="63"/>
              <w:rPr>
                <w:rFonts w:hint="eastAsia" w:hAnsi="宋体" w:cs="宋体"/>
                <w:color w:val="auto"/>
                <w:szCs w:val="24"/>
                <w:lang w:val="en-US"/>
              </w:rPr>
            </w:pPr>
          </w:p>
        </w:tc>
        <w:tc>
          <w:tcPr>
            <w:tcW w:w="2126"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84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41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56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12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84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41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56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12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440" w:lineRule="exact"/>
              <w:ind w:left="63" w:right="63"/>
              <w:rPr>
                <w:rFonts w:hint="eastAsia" w:hAnsi="宋体" w:cs="宋体"/>
                <w:color w:val="auto"/>
                <w:szCs w:val="24"/>
                <w:lang w:val="en-US"/>
              </w:rPr>
            </w:pPr>
          </w:p>
        </w:tc>
        <w:tc>
          <w:tcPr>
            <w:tcW w:w="1843"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2410"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560" w:type="dxa"/>
            <w:vAlign w:val="center"/>
          </w:tcPr>
          <w:p>
            <w:pPr>
              <w:pStyle w:val="24"/>
              <w:keepNext/>
              <w:spacing w:line="440" w:lineRule="exact"/>
              <w:ind w:left="63" w:right="63"/>
              <w:rPr>
                <w:rFonts w:hint="eastAsia" w:hAnsi="宋体" w:cs="宋体"/>
                <w:color w:val="auto"/>
                <w:szCs w:val="24"/>
                <w:lang w:val="en-US"/>
              </w:rPr>
            </w:pPr>
          </w:p>
        </w:tc>
        <w:tc>
          <w:tcPr>
            <w:tcW w:w="2126"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84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41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56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212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7"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440" w:lineRule="exact"/>
              <w:ind w:left="63" w:right="63"/>
              <w:rPr>
                <w:rFonts w:hint="eastAsia" w:hAnsi="宋体" w:cs="宋体"/>
                <w:color w:val="auto"/>
                <w:szCs w:val="24"/>
                <w:lang w:val="en-US"/>
              </w:rPr>
            </w:pPr>
          </w:p>
        </w:tc>
        <w:tc>
          <w:tcPr>
            <w:tcW w:w="1843"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2410"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560" w:type="dxa"/>
            <w:vAlign w:val="center"/>
          </w:tcPr>
          <w:p>
            <w:pPr>
              <w:pStyle w:val="24"/>
              <w:keepNext/>
              <w:spacing w:line="440" w:lineRule="exact"/>
              <w:ind w:left="63" w:right="63"/>
              <w:rPr>
                <w:rFonts w:hint="eastAsia" w:hAnsi="宋体" w:cs="宋体"/>
                <w:color w:val="auto"/>
                <w:szCs w:val="24"/>
                <w:lang w:val="en-US"/>
              </w:rPr>
            </w:pPr>
          </w:p>
        </w:tc>
        <w:tc>
          <w:tcPr>
            <w:tcW w:w="2126" w:type="dxa"/>
            <w:vAlign w:val="center"/>
          </w:tcPr>
          <w:p>
            <w:pPr>
              <w:pStyle w:val="24"/>
              <w:keepNext/>
              <w:spacing w:line="440" w:lineRule="exact"/>
              <w:ind w:left="63" w:right="63"/>
              <w:rPr>
                <w:rFonts w:hint="eastAsia" w:hAnsi="宋体" w:cs="宋体"/>
                <w:color w:val="auto"/>
                <w:szCs w:val="24"/>
                <w:lang w:val="en-US"/>
              </w:rPr>
            </w:pPr>
          </w:p>
        </w:tc>
        <w:tc>
          <w:tcPr>
            <w:tcW w:w="1417"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r>
    </w:tbl>
    <w:p>
      <w:pPr>
        <w:spacing w:line="440" w:lineRule="exact"/>
        <w:rPr>
          <w:rFonts w:hint="eastAsia" w:ascii="宋体" w:hAnsi="宋体" w:cs="宋体"/>
          <w:b/>
          <w:color w:val="auto"/>
          <w:sz w:val="24"/>
        </w:rPr>
        <w:sectPr>
          <w:pgSz w:w="16838" w:h="11906" w:orient="landscape"/>
          <w:pgMar w:top="1135" w:right="1418" w:bottom="1531" w:left="1418" w:header="851" w:footer="992" w:gutter="0"/>
          <w:cols w:space="720" w:num="1"/>
          <w:titlePg/>
          <w:docGrid w:type="linesAndChars" w:linePitch="312" w:charSpace="0"/>
        </w:sectPr>
      </w:pPr>
    </w:p>
    <w:p>
      <w:pPr>
        <w:spacing w:line="440" w:lineRule="exact"/>
        <w:rPr>
          <w:rFonts w:hint="eastAsia" w:ascii="宋体" w:hAnsi="宋体" w:cs="宋体"/>
          <w:color w:val="auto"/>
          <w:sz w:val="24"/>
        </w:rPr>
      </w:pPr>
      <w:r>
        <w:rPr>
          <w:rFonts w:hint="eastAsia" w:ascii="宋体" w:hAnsi="宋体" w:cs="宋体"/>
          <w:color w:val="auto"/>
          <w:sz w:val="24"/>
        </w:rPr>
        <w:t>附件2：</w:t>
      </w:r>
    </w:p>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发包人供应材料设备一览表</w:t>
      </w:r>
    </w:p>
    <w:tbl>
      <w:tblPr>
        <w:tblStyle w:val="63"/>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589"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序号</w:t>
            </w:r>
          </w:p>
        </w:tc>
        <w:tc>
          <w:tcPr>
            <w:tcW w:w="1276"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 xml:space="preserve">  材料、</w:t>
            </w:r>
          </w:p>
          <w:p>
            <w:pPr>
              <w:pStyle w:val="24"/>
              <w:keepNext/>
              <w:spacing w:line="440" w:lineRule="exact"/>
              <w:ind w:right="63"/>
              <w:rPr>
                <w:rFonts w:hint="eastAsia" w:hAnsi="宋体" w:cs="宋体"/>
                <w:color w:val="auto"/>
                <w:szCs w:val="24"/>
                <w:lang w:val="en-US"/>
              </w:rPr>
            </w:pPr>
            <w:r>
              <w:rPr>
                <w:rFonts w:hint="eastAsia" w:hAnsi="宋体" w:cs="宋体"/>
                <w:color w:val="auto"/>
                <w:szCs w:val="24"/>
                <w:lang w:val="en-US"/>
              </w:rPr>
              <w:t>设备品种</w:t>
            </w:r>
          </w:p>
        </w:tc>
        <w:tc>
          <w:tcPr>
            <w:tcW w:w="1162"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规格型号</w:t>
            </w:r>
          </w:p>
        </w:tc>
        <w:tc>
          <w:tcPr>
            <w:tcW w:w="94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单位</w:t>
            </w:r>
          </w:p>
        </w:tc>
        <w:tc>
          <w:tcPr>
            <w:tcW w:w="851"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数量</w:t>
            </w:r>
          </w:p>
        </w:tc>
        <w:tc>
          <w:tcPr>
            <w:tcW w:w="1044"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单价（元）</w:t>
            </w:r>
          </w:p>
        </w:tc>
        <w:tc>
          <w:tcPr>
            <w:tcW w:w="731"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质量等级</w:t>
            </w:r>
          </w:p>
        </w:tc>
        <w:tc>
          <w:tcPr>
            <w:tcW w:w="851"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供应时间</w:t>
            </w:r>
          </w:p>
        </w:tc>
        <w:tc>
          <w:tcPr>
            <w:tcW w:w="1314"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送达地点</w:t>
            </w:r>
          </w:p>
        </w:tc>
        <w:tc>
          <w:tcPr>
            <w:tcW w:w="73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276"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162"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94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044"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731"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314"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73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27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162"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94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044"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73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1"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314"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730"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162" w:type="dxa"/>
            <w:vAlign w:val="center"/>
          </w:tcPr>
          <w:p>
            <w:pPr>
              <w:pStyle w:val="24"/>
              <w:keepNext/>
              <w:spacing w:line="440" w:lineRule="exact"/>
              <w:ind w:left="63" w:right="63"/>
              <w:rPr>
                <w:rFonts w:hint="eastAsia" w:hAnsi="宋体" w:cs="宋体"/>
                <w:color w:val="auto"/>
                <w:szCs w:val="24"/>
                <w:lang w:val="en-US"/>
              </w:rPr>
            </w:pPr>
          </w:p>
        </w:tc>
        <w:tc>
          <w:tcPr>
            <w:tcW w:w="940"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044" w:type="dxa"/>
            <w:vAlign w:val="center"/>
          </w:tcPr>
          <w:p>
            <w:pPr>
              <w:pStyle w:val="24"/>
              <w:keepNext/>
              <w:spacing w:line="440" w:lineRule="exact"/>
              <w:ind w:left="63" w:right="63"/>
              <w:rPr>
                <w:rFonts w:hint="eastAsia" w:hAnsi="宋体" w:cs="宋体"/>
                <w:color w:val="auto"/>
                <w:szCs w:val="24"/>
                <w:lang w:val="en-US"/>
              </w:rPr>
            </w:pPr>
          </w:p>
        </w:tc>
        <w:tc>
          <w:tcPr>
            <w:tcW w:w="731"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314" w:type="dxa"/>
            <w:vAlign w:val="center"/>
          </w:tcPr>
          <w:p>
            <w:pPr>
              <w:pStyle w:val="24"/>
              <w:keepNext/>
              <w:spacing w:line="440" w:lineRule="exact"/>
              <w:ind w:left="63" w:right="63"/>
              <w:rPr>
                <w:rFonts w:hint="eastAsia" w:hAnsi="宋体" w:cs="宋体"/>
                <w:color w:val="auto"/>
                <w:szCs w:val="24"/>
                <w:lang w:val="en-US"/>
              </w:rPr>
            </w:pPr>
          </w:p>
        </w:tc>
        <w:tc>
          <w:tcPr>
            <w:tcW w:w="73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162" w:type="dxa"/>
            <w:vAlign w:val="center"/>
          </w:tcPr>
          <w:p>
            <w:pPr>
              <w:pStyle w:val="24"/>
              <w:keepNext/>
              <w:spacing w:line="440" w:lineRule="exact"/>
              <w:ind w:left="63" w:right="63"/>
              <w:rPr>
                <w:rFonts w:hint="eastAsia" w:hAnsi="宋体" w:cs="宋体"/>
                <w:color w:val="auto"/>
                <w:szCs w:val="24"/>
                <w:lang w:val="en-US"/>
              </w:rPr>
            </w:pPr>
          </w:p>
        </w:tc>
        <w:tc>
          <w:tcPr>
            <w:tcW w:w="940"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044" w:type="dxa"/>
            <w:vAlign w:val="center"/>
          </w:tcPr>
          <w:p>
            <w:pPr>
              <w:pStyle w:val="24"/>
              <w:keepNext/>
              <w:spacing w:line="440" w:lineRule="exact"/>
              <w:ind w:left="63" w:right="63"/>
              <w:rPr>
                <w:rFonts w:hint="eastAsia" w:hAnsi="宋体" w:cs="宋体"/>
                <w:color w:val="auto"/>
                <w:szCs w:val="24"/>
                <w:lang w:val="en-US"/>
              </w:rPr>
            </w:pPr>
          </w:p>
        </w:tc>
        <w:tc>
          <w:tcPr>
            <w:tcW w:w="731"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314" w:type="dxa"/>
            <w:vAlign w:val="center"/>
          </w:tcPr>
          <w:p>
            <w:pPr>
              <w:pStyle w:val="24"/>
              <w:keepNext/>
              <w:spacing w:line="440" w:lineRule="exact"/>
              <w:ind w:left="63" w:right="63"/>
              <w:rPr>
                <w:rFonts w:hint="eastAsia" w:hAnsi="宋体" w:cs="宋体"/>
                <w:color w:val="auto"/>
                <w:szCs w:val="24"/>
                <w:lang w:val="en-US"/>
              </w:rPr>
            </w:pPr>
          </w:p>
        </w:tc>
        <w:tc>
          <w:tcPr>
            <w:tcW w:w="73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162" w:type="dxa"/>
            <w:vAlign w:val="center"/>
          </w:tcPr>
          <w:p>
            <w:pPr>
              <w:pStyle w:val="24"/>
              <w:keepNext/>
              <w:spacing w:line="440" w:lineRule="exact"/>
              <w:ind w:left="63" w:right="63"/>
              <w:rPr>
                <w:rFonts w:hint="eastAsia" w:hAnsi="宋体" w:cs="宋体"/>
                <w:color w:val="auto"/>
                <w:szCs w:val="24"/>
                <w:lang w:val="en-US"/>
              </w:rPr>
            </w:pPr>
          </w:p>
        </w:tc>
        <w:tc>
          <w:tcPr>
            <w:tcW w:w="940"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044" w:type="dxa"/>
            <w:vAlign w:val="center"/>
          </w:tcPr>
          <w:p>
            <w:pPr>
              <w:pStyle w:val="24"/>
              <w:keepNext/>
              <w:spacing w:line="440" w:lineRule="exact"/>
              <w:ind w:left="63" w:right="63"/>
              <w:rPr>
                <w:rFonts w:hint="eastAsia" w:hAnsi="宋体" w:cs="宋体"/>
                <w:color w:val="auto"/>
                <w:szCs w:val="24"/>
                <w:lang w:val="en-US"/>
              </w:rPr>
            </w:pPr>
          </w:p>
        </w:tc>
        <w:tc>
          <w:tcPr>
            <w:tcW w:w="731"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314" w:type="dxa"/>
            <w:vAlign w:val="center"/>
          </w:tcPr>
          <w:p>
            <w:pPr>
              <w:pStyle w:val="24"/>
              <w:keepNext/>
              <w:spacing w:line="440" w:lineRule="exact"/>
              <w:ind w:left="63" w:right="63"/>
              <w:rPr>
                <w:rFonts w:hint="eastAsia" w:hAnsi="宋体" w:cs="宋体"/>
                <w:color w:val="auto"/>
                <w:szCs w:val="24"/>
                <w:lang w:val="en-US"/>
              </w:rPr>
            </w:pPr>
          </w:p>
        </w:tc>
        <w:tc>
          <w:tcPr>
            <w:tcW w:w="73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162" w:type="dxa"/>
            <w:vAlign w:val="center"/>
          </w:tcPr>
          <w:p>
            <w:pPr>
              <w:pStyle w:val="24"/>
              <w:keepNext/>
              <w:spacing w:line="440" w:lineRule="exact"/>
              <w:ind w:left="63" w:right="63"/>
              <w:rPr>
                <w:rFonts w:hint="eastAsia" w:hAnsi="宋体" w:cs="宋体"/>
                <w:color w:val="auto"/>
                <w:szCs w:val="24"/>
                <w:lang w:val="en-US"/>
              </w:rPr>
            </w:pPr>
          </w:p>
        </w:tc>
        <w:tc>
          <w:tcPr>
            <w:tcW w:w="940"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044" w:type="dxa"/>
            <w:vAlign w:val="center"/>
          </w:tcPr>
          <w:p>
            <w:pPr>
              <w:pStyle w:val="24"/>
              <w:keepNext/>
              <w:spacing w:line="440" w:lineRule="exact"/>
              <w:ind w:left="63" w:right="63"/>
              <w:rPr>
                <w:rFonts w:hint="eastAsia" w:hAnsi="宋体" w:cs="宋体"/>
                <w:color w:val="auto"/>
                <w:szCs w:val="24"/>
                <w:lang w:val="en-US"/>
              </w:rPr>
            </w:pPr>
          </w:p>
        </w:tc>
        <w:tc>
          <w:tcPr>
            <w:tcW w:w="731"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314" w:type="dxa"/>
            <w:vAlign w:val="center"/>
          </w:tcPr>
          <w:p>
            <w:pPr>
              <w:pStyle w:val="24"/>
              <w:keepNext/>
              <w:spacing w:line="440" w:lineRule="exact"/>
              <w:ind w:left="63" w:right="63"/>
              <w:rPr>
                <w:rFonts w:hint="eastAsia" w:hAnsi="宋体" w:cs="宋体"/>
                <w:color w:val="auto"/>
                <w:szCs w:val="24"/>
                <w:lang w:val="en-US"/>
              </w:rPr>
            </w:pPr>
          </w:p>
        </w:tc>
        <w:tc>
          <w:tcPr>
            <w:tcW w:w="73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162" w:type="dxa"/>
            <w:vAlign w:val="center"/>
          </w:tcPr>
          <w:p>
            <w:pPr>
              <w:pStyle w:val="24"/>
              <w:keepNext/>
              <w:spacing w:line="440" w:lineRule="exact"/>
              <w:ind w:left="63" w:right="63"/>
              <w:rPr>
                <w:rFonts w:hint="eastAsia" w:hAnsi="宋体" w:cs="宋体"/>
                <w:color w:val="auto"/>
                <w:szCs w:val="24"/>
                <w:lang w:val="en-US"/>
              </w:rPr>
            </w:pPr>
          </w:p>
        </w:tc>
        <w:tc>
          <w:tcPr>
            <w:tcW w:w="940"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044" w:type="dxa"/>
            <w:vAlign w:val="center"/>
          </w:tcPr>
          <w:p>
            <w:pPr>
              <w:pStyle w:val="24"/>
              <w:keepNext/>
              <w:spacing w:line="440" w:lineRule="exact"/>
              <w:ind w:left="63" w:right="63"/>
              <w:rPr>
                <w:rFonts w:hint="eastAsia" w:hAnsi="宋体" w:cs="宋体"/>
                <w:color w:val="auto"/>
                <w:szCs w:val="24"/>
                <w:lang w:val="en-US"/>
              </w:rPr>
            </w:pPr>
          </w:p>
        </w:tc>
        <w:tc>
          <w:tcPr>
            <w:tcW w:w="731"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314" w:type="dxa"/>
            <w:vAlign w:val="center"/>
          </w:tcPr>
          <w:p>
            <w:pPr>
              <w:pStyle w:val="24"/>
              <w:keepNext/>
              <w:spacing w:line="440" w:lineRule="exact"/>
              <w:ind w:left="63" w:right="63"/>
              <w:rPr>
                <w:rFonts w:hint="eastAsia" w:hAnsi="宋体" w:cs="宋体"/>
                <w:color w:val="auto"/>
                <w:szCs w:val="24"/>
                <w:lang w:val="en-US"/>
              </w:rPr>
            </w:pPr>
          </w:p>
        </w:tc>
        <w:tc>
          <w:tcPr>
            <w:tcW w:w="73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162" w:type="dxa"/>
            <w:vAlign w:val="center"/>
          </w:tcPr>
          <w:p>
            <w:pPr>
              <w:pStyle w:val="24"/>
              <w:keepNext/>
              <w:spacing w:line="440" w:lineRule="exact"/>
              <w:ind w:left="63" w:right="63"/>
              <w:rPr>
                <w:rFonts w:hint="eastAsia" w:hAnsi="宋体" w:cs="宋体"/>
                <w:color w:val="auto"/>
                <w:szCs w:val="24"/>
                <w:lang w:val="en-US"/>
              </w:rPr>
            </w:pPr>
          </w:p>
        </w:tc>
        <w:tc>
          <w:tcPr>
            <w:tcW w:w="940"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044" w:type="dxa"/>
            <w:vAlign w:val="center"/>
          </w:tcPr>
          <w:p>
            <w:pPr>
              <w:pStyle w:val="24"/>
              <w:keepNext/>
              <w:spacing w:line="440" w:lineRule="exact"/>
              <w:ind w:left="63" w:right="63"/>
              <w:rPr>
                <w:rFonts w:hint="eastAsia" w:hAnsi="宋体" w:cs="宋体"/>
                <w:color w:val="auto"/>
                <w:szCs w:val="24"/>
                <w:lang w:val="en-US"/>
              </w:rPr>
            </w:pPr>
          </w:p>
        </w:tc>
        <w:tc>
          <w:tcPr>
            <w:tcW w:w="731"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314" w:type="dxa"/>
            <w:vAlign w:val="center"/>
          </w:tcPr>
          <w:p>
            <w:pPr>
              <w:pStyle w:val="24"/>
              <w:keepNext/>
              <w:spacing w:line="440" w:lineRule="exact"/>
              <w:ind w:left="63" w:right="63"/>
              <w:rPr>
                <w:rFonts w:hint="eastAsia" w:hAnsi="宋体" w:cs="宋体"/>
                <w:color w:val="auto"/>
                <w:szCs w:val="24"/>
                <w:lang w:val="en-US"/>
              </w:rPr>
            </w:pPr>
          </w:p>
        </w:tc>
        <w:tc>
          <w:tcPr>
            <w:tcW w:w="73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162" w:type="dxa"/>
            <w:vAlign w:val="center"/>
          </w:tcPr>
          <w:p>
            <w:pPr>
              <w:pStyle w:val="24"/>
              <w:keepNext/>
              <w:spacing w:line="440" w:lineRule="exact"/>
              <w:ind w:left="63" w:right="63"/>
              <w:rPr>
                <w:rFonts w:hint="eastAsia" w:hAnsi="宋体" w:cs="宋体"/>
                <w:color w:val="auto"/>
                <w:szCs w:val="24"/>
                <w:lang w:val="en-US"/>
              </w:rPr>
            </w:pPr>
          </w:p>
        </w:tc>
        <w:tc>
          <w:tcPr>
            <w:tcW w:w="940"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044" w:type="dxa"/>
            <w:vAlign w:val="center"/>
          </w:tcPr>
          <w:p>
            <w:pPr>
              <w:pStyle w:val="24"/>
              <w:keepNext/>
              <w:spacing w:line="440" w:lineRule="exact"/>
              <w:ind w:left="63" w:right="63"/>
              <w:rPr>
                <w:rFonts w:hint="eastAsia" w:hAnsi="宋体" w:cs="宋体"/>
                <w:color w:val="auto"/>
                <w:szCs w:val="24"/>
                <w:lang w:val="en-US"/>
              </w:rPr>
            </w:pPr>
          </w:p>
        </w:tc>
        <w:tc>
          <w:tcPr>
            <w:tcW w:w="731" w:type="dxa"/>
            <w:vAlign w:val="center"/>
          </w:tcPr>
          <w:p>
            <w:pPr>
              <w:pStyle w:val="24"/>
              <w:keepNext/>
              <w:spacing w:line="440" w:lineRule="exact"/>
              <w:ind w:left="63" w:right="63"/>
              <w:rPr>
                <w:rFonts w:hint="eastAsia" w:hAnsi="宋体" w:cs="宋体"/>
                <w:color w:val="auto"/>
                <w:szCs w:val="24"/>
                <w:lang w:val="en-US"/>
              </w:rPr>
            </w:pPr>
          </w:p>
        </w:tc>
        <w:tc>
          <w:tcPr>
            <w:tcW w:w="851" w:type="dxa"/>
            <w:vAlign w:val="center"/>
          </w:tcPr>
          <w:p>
            <w:pPr>
              <w:pStyle w:val="24"/>
              <w:keepNext/>
              <w:spacing w:line="440" w:lineRule="exact"/>
              <w:ind w:left="63" w:right="63"/>
              <w:rPr>
                <w:rFonts w:hint="eastAsia" w:hAnsi="宋体" w:cs="宋体"/>
                <w:color w:val="auto"/>
                <w:szCs w:val="24"/>
                <w:lang w:val="en-US"/>
              </w:rPr>
            </w:pPr>
          </w:p>
        </w:tc>
        <w:tc>
          <w:tcPr>
            <w:tcW w:w="1314" w:type="dxa"/>
            <w:vAlign w:val="center"/>
          </w:tcPr>
          <w:p>
            <w:pPr>
              <w:pStyle w:val="24"/>
              <w:keepNext/>
              <w:spacing w:line="440" w:lineRule="exact"/>
              <w:ind w:left="63" w:right="63"/>
              <w:rPr>
                <w:rFonts w:hint="eastAsia" w:hAnsi="宋体" w:cs="宋体"/>
                <w:color w:val="auto"/>
                <w:szCs w:val="24"/>
                <w:lang w:val="en-US"/>
              </w:rPr>
            </w:pPr>
          </w:p>
        </w:tc>
        <w:tc>
          <w:tcPr>
            <w:tcW w:w="730"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pPr>
              <w:jc w:val="center"/>
              <w:rPr>
                <w:rFonts w:hint="eastAsia" w:ascii="宋体" w:hAnsi="宋体" w:cs="宋体"/>
                <w:color w:val="auto"/>
                <w:sz w:val="24"/>
              </w:rPr>
            </w:pPr>
          </w:p>
        </w:tc>
        <w:tc>
          <w:tcPr>
            <w:tcW w:w="1276" w:type="dxa"/>
            <w:vAlign w:val="center"/>
          </w:tcPr>
          <w:p>
            <w:pPr>
              <w:jc w:val="center"/>
              <w:rPr>
                <w:rFonts w:hint="eastAsia" w:ascii="宋体" w:hAnsi="宋体" w:cs="宋体"/>
                <w:color w:val="auto"/>
                <w:sz w:val="24"/>
              </w:rPr>
            </w:pPr>
          </w:p>
        </w:tc>
        <w:tc>
          <w:tcPr>
            <w:tcW w:w="1162" w:type="dxa"/>
            <w:vAlign w:val="center"/>
          </w:tcPr>
          <w:p>
            <w:pPr>
              <w:jc w:val="center"/>
              <w:rPr>
                <w:rFonts w:hint="eastAsia" w:ascii="宋体" w:hAnsi="宋体" w:cs="宋体"/>
                <w:color w:val="auto"/>
                <w:sz w:val="24"/>
              </w:rPr>
            </w:pPr>
          </w:p>
        </w:tc>
        <w:tc>
          <w:tcPr>
            <w:tcW w:w="940"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044" w:type="dxa"/>
            <w:vAlign w:val="center"/>
          </w:tcPr>
          <w:p>
            <w:pPr>
              <w:jc w:val="center"/>
              <w:rPr>
                <w:rFonts w:hint="eastAsia" w:ascii="宋体" w:hAnsi="宋体" w:cs="宋体"/>
                <w:color w:val="auto"/>
                <w:sz w:val="24"/>
              </w:rPr>
            </w:pPr>
          </w:p>
        </w:tc>
        <w:tc>
          <w:tcPr>
            <w:tcW w:w="731" w:type="dxa"/>
            <w:vAlign w:val="center"/>
          </w:tcPr>
          <w:p>
            <w:pPr>
              <w:jc w:val="center"/>
              <w:rPr>
                <w:rFonts w:hint="eastAsia" w:ascii="宋体" w:hAnsi="宋体" w:cs="宋体"/>
                <w:color w:val="auto"/>
                <w:sz w:val="24"/>
              </w:rPr>
            </w:pPr>
          </w:p>
        </w:tc>
        <w:tc>
          <w:tcPr>
            <w:tcW w:w="851" w:type="dxa"/>
            <w:vAlign w:val="center"/>
          </w:tcPr>
          <w:p>
            <w:pPr>
              <w:jc w:val="center"/>
              <w:rPr>
                <w:rFonts w:hint="eastAsia" w:ascii="宋体" w:hAnsi="宋体" w:cs="宋体"/>
                <w:color w:val="auto"/>
                <w:sz w:val="24"/>
              </w:rPr>
            </w:pPr>
          </w:p>
        </w:tc>
        <w:tc>
          <w:tcPr>
            <w:tcW w:w="1314" w:type="dxa"/>
            <w:vAlign w:val="center"/>
          </w:tcPr>
          <w:p>
            <w:pPr>
              <w:jc w:val="center"/>
              <w:rPr>
                <w:rFonts w:hint="eastAsia" w:ascii="宋体" w:hAnsi="宋体" w:cs="宋体"/>
                <w:color w:val="auto"/>
                <w:sz w:val="24"/>
              </w:rPr>
            </w:pPr>
          </w:p>
        </w:tc>
        <w:tc>
          <w:tcPr>
            <w:tcW w:w="730" w:type="dxa"/>
            <w:vAlign w:val="center"/>
          </w:tcPr>
          <w:p>
            <w:pPr>
              <w:jc w:val="center"/>
              <w:rPr>
                <w:rFonts w:hint="eastAsia" w:ascii="宋体" w:hAnsi="宋体" w:cs="宋体"/>
                <w:color w:val="auto"/>
                <w:sz w:val="24"/>
              </w:rPr>
            </w:pPr>
          </w:p>
        </w:tc>
      </w:tr>
    </w:tbl>
    <w:p>
      <w:pPr>
        <w:spacing w:line="440" w:lineRule="exact"/>
        <w:rPr>
          <w:rFonts w:hint="eastAsia" w:ascii="宋体" w:hAnsi="宋体" w:cs="宋体"/>
          <w:color w:val="auto"/>
          <w:sz w:val="24"/>
        </w:rPr>
      </w:pPr>
    </w:p>
    <w:p>
      <w:pPr>
        <w:spacing w:line="440" w:lineRule="exac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附件3：</w:t>
      </w:r>
    </w:p>
    <w:p>
      <w:pPr>
        <w:autoSpaceDE w:val="0"/>
        <w:autoSpaceDN w:val="0"/>
        <w:spacing w:line="360" w:lineRule="auto"/>
        <w:ind w:left="360" w:right="525" w:rightChars="250" w:firstLine="643"/>
        <w:jc w:val="center"/>
        <w:rPr>
          <w:rFonts w:hint="eastAsia" w:ascii="宋体" w:hAnsi="宋体" w:cs="宋体"/>
          <w:b/>
          <w:bCs/>
          <w:color w:val="auto"/>
          <w:kern w:val="0"/>
          <w:sz w:val="24"/>
        </w:rPr>
      </w:pPr>
      <w:r>
        <w:rPr>
          <w:rFonts w:hint="eastAsia" w:ascii="宋体" w:hAnsi="宋体" w:cs="宋体"/>
          <w:b/>
          <w:bCs/>
          <w:color w:val="auto"/>
          <w:kern w:val="0"/>
          <w:sz w:val="24"/>
        </w:rPr>
        <w:t>房屋建筑工程质量保修书</w:t>
      </w:r>
    </w:p>
    <w:p>
      <w:pPr>
        <w:autoSpaceDE w:val="0"/>
        <w:autoSpaceDN w:val="0"/>
        <w:spacing w:line="400" w:lineRule="exact"/>
        <w:ind w:right="525" w:rightChars="250"/>
        <w:jc w:val="left"/>
        <w:rPr>
          <w:rFonts w:hint="eastAsia" w:ascii="宋体" w:hAnsi="宋体" w:cs="宋体"/>
          <w:color w:val="auto"/>
          <w:kern w:val="0"/>
          <w:sz w:val="24"/>
        </w:rPr>
      </w:pPr>
      <w:r>
        <w:rPr>
          <w:rFonts w:hint="eastAsia" w:ascii="宋体" w:hAnsi="宋体" w:cs="宋体"/>
          <w:color w:val="auto"/>
          <w:kern w:val="0"/>
          <w:sz w:val="24"/>
        </w:rPr>
        <w:t>发</w:t>
      </w:r>
      <w:r>
        <w:rPr>
          <w:rFonts w:hint="eastAsia" w:ascii="宋体" w:hAnsi="宋体" w:cs="宋体"/>
          <w:color w:val="auto"/>
          <w:sz w:val="24"/>
        </w:rPr>
        <w:t>包人（全称）：</w:t>
      </w:r>
      <w:r>
        <w:rPr>
          <w:rFonts w:hint="eastAsia" w:ascii="宋体" w:hAnsi="宋体" w:cs="宋体"/>
          <w:color w:val="auto"/>
          <w:sz w:val="24"/>
          <w:u w:val="single"/>
        </w:rPr>
        <w:t xml:space="preserve">                    </w:t>
      </w:r>
    </w:p>
    <w:p>
      <w:pPr>
        <w:spacing w:line="400" w:lineRule="exact"/>
        <w:rPr>
          <w:rFonts w:hint="eastAsia" w:ascii="宋体" w:hAnsi="宋体" w:cs="宋体"/>
          <w:color w:val="auto"/>
          <w:sz w:val="24"/>
          <w:u w:val="single"/>
        </w:rPr>
      </w:pPr>
      <w:r>
        <w:rPr>
          <w:rFonts w:hint="eastAsia" w:ascii="宋体" w:hAnsi="宋体" w:cs="宋体"/>
          <w:color w:val="auto"/>
          <w:sz w:val="24"/>
        </w:rPr>
        <w:t>承包人（全称）：</w:t>
      </w:r>
      <w:r>
        <w:rPr>
          <w:rFonts w:hint="eastAsia" w:ascii="宋体" w:hAnsi="宋体" w:cs="宋体"/>
          <w:color w:val="auto"/>
          <w:sz w:val="24"/>
          <w:u w:val="single"/>
        </w:rPr>
        <w:t xml:space="preserve">                    </w:t>
      </w:r>
    </w:p>
    <w:p>
      <w:pPr>
        <w:autoSpaceDE w:val="0"/>
        <w:autoSpaceDN w:val="0"/>
        <w:spacing w:line="400" w:lineRule="exact"/>
        <w:ind w:right="360" w:firstLine="480" w:firstLineChars="200"/>
        <w:jc w:val="left"/>
        <w:rPr>
          <w:rFonts w:hint="eastAsia" w:ascii="宋体" w:hAnsi="宋体" w:cs="宋体"/>
          <w:color w:val="auto"/>
          <w:kern w:val="0"/>
          <w:sz w:val="24"/>
        </w:rPr>
      </w:pPr>
      <w:r>
        <w:rPr>
          <w:rFonts w:hint="eastAsia" w:ascii="宋体" w:hAnsi="宋体" w:cs="宋体"/>
          <w:color w:val="auto"/>
          <w:kern w:val="0"/>
          <w:sz w:val="24"/>
        </w:rPr>
        <w:t>发包人、承包人根据《中华人民共和国建筑法》、《建设工程质量管理条例》和《房屋建筑工程质量保修办法》，经协商一致，对签定工程质量保修书。</w:t>
      </w:r>
    </w:p>
    <w:p>
      <w:pPr>
        <w:autoSpaceDE w:val="0"/>
        <w:autoSpaceDN w:val="0"/>
        <w:spacing w:line="400" w:lineRule="exact"/>
        <w:ind w:right="525" w:rightChars="250"/>
        <w:jc w:val="left"/>
        <w:rPr>
          <w:rFonts w:hint="eastAsia" w:ascii="宋体" w:hAnsi="宋体" w:cs="宋体"/>
          <w:b/>
          <w:bCs/>
          <w:color w:val="auto"/>
          <w:kern w:val="0"/>
          <w:sz w:val="24"/>
        </w:rPr>
      </w:pPr>
      <w:r>
        <w:rPr>
          <w:rFonts w:hint="eastAsia" w:ascii="宋体" w:hAnsi="宋体" w:cs="宋体"/>
          <w:b/>
          <w:bCs/>
          <w:color w:val="auto"/>
          <w:kern w:val="0"/>
          <w:sz w:val="24"/>
        </w:rPr>
        <w:t>一、工程质量保修范围和内容</w:t>
      </w:r>
    </w:p>
    <w:p>
      <w:pPr>
        <w:autoSpaceDE w:val="0"/>
        <w:autoSpaceDN w:val="0"/>
        <w:spacing w:line="400" w:lineRule="exact"/>
        <w:ind w:right="360" w:firstLine="480" w:firstLineChars="200"/>
        <w:jc w:val="left"/>
        <w:rPr>
          <w:rFonts w:hint="eastAsia" w:ascii="宋体" w:hAnsi="宋体" w:cs="宋体"/>
          <w:color w:val="auto"/>
          <w:kern w:val="0"/>
          <w:sz w:val="24"/>
        </w:rPr>
      </w:pPr>
      <w:r>
        <w:rPr>
          <w:rFonts w:hint="eastAsia" w:ascii="宋体" w:hAnsi="宋体" w:cs="宋体"/>
          <w:color w:val="auto"/>
          <w:kern w:val="0"/>
          <w:sz w:val="24"/>
        </w:rPr>
        <w:t>承包人在质量保修期内，按照有关法律、法规、规章的管理规定和双方约定，承担本工程质量保修责任。</w:t>
      </w:r>
    </w:p>
    <w:p>
      <w:pPr>
        <w:autoSpaceDE w:val="0"/>
        <w:autoSpaceDN w:val="0"/>
        <w:spacing w:line="400" w:lineRule="exact"/>
        <w:ind w:right="360" w:firstLine="480" w:firstLineChars="200"/>
        <w:jc w:val="left"/>
        <w:rPr>
          <w:rFonts w:hint="eastAsia" w:ascii="宋体" w:hAnsi="宋体" w:cs="宋体"/>
          <w:color w:val="auto"/>
          <w:kern w:val="0"/>
          <w:sz w:val="24"/>
        </w:rPr>
      </w:pPr>
      <w:r>
        <w:rPr>
          <w:rFonts w:hint="eastAsia" w:ascii="宋体" w:hAnsi="宋体" w:cs="宋体"/>
          <w:color w:val="auto"/>
          <w:kern w:val="0"/>
          <w:sz w:val="24"/>
        </w:rPr>
        <w:t>质量保修范围包括地基基础工程、主体结构工程，屋面防水工程、外墙面防水工程的防渗漏，电气管线、给排水管道、设备安装和装修工程，以及双方约定的其他项目。具体保修的内容，双方约定如下：</w:t>
      </w:r>
      <w:r>
        <w:rPr>
          <w:rFonts w:hint="eastAsia" w:ascii="宋体" w:hAnsi="宋体" w:cs="宋体"/>
          <w:b/>
          <w:bCs/>
          <w:color w:val="auto"/>
          <w:kern w:val="0"/>
          <w:sz w:val="24"/>
          <w:u w:val="single"/>
        </w:rPr>
        <w:t xml:space="preserve"> 承包人承包范围内的所有内容 </w:t>
      </w:r>
      <w:r>
        <w:rPr>
          <w:rFonts w:hint="eastAsia" w:ascii="宋体" w:hAnsi="宋体" w:cs="宋体"/>
          <w:b/>
          <w:bCs/>
          <w:color w:val="auto"/>
          <w:kern w:val="0"/>
          <w:sz w:val="24"/>
        </w:rPr>
        <w:t>。</w:t>
      </w:r>
    </w:p>
    <w:p>
      <w:pPr>
        <w:autoSpaceDE w:val="0"/>
        <w:autoSpaceDN w:val="0"/>
        <w:spacing w:line="400" w:lineRule="exact"/>
        <w:ind w:right="525" w:rightChars="250"/>
        <w:jc w:val="left"/>
        <w:rPr>
          <w:rFonts w:hint="eastAsia" w:ascii="宋体" w:hAnsi="宋体" w:cs="宋体"/>
          <w:b/>
          <w:bCs/>
          <w:color w:val="auto"/>
          <w:kern w:val="0"/>
          <w:sz w:val="24"/>
        </w:rPr>
      </w:pPr>
      <w:r>
        <w:rPr>
          <w:rFonts w:hint="eastAsia" w:ascii="宋体" w:hAnsi="宋体" w:cs="宋体"/>
          <w:b/>
          <w:bCs/>
          <w:color w:val="auto"/>
          <w:kern w:val="0"/>
          <w:sz w:val="24"/>
        </w:rPr>
        <w:t>二、质量保修期</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双方根据《建设工程质量管理条例》及有关规定，约定本工程的质量保修期如下：</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1、地基基础工程和主体结构工程为设计文件规定的该工程合理使用年限；</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sz w:val="24"/>
        </w:rPr>
        <w:t xml:space="preserve">本工程屋面防水工程、外墙面防水工程的防渗漏 </w:t>
      </w:r>
      <w:r>
        <w:rPr>
          <w:rFonts w:hint="eastAsia" w:ascii="宋体" w:hAnsi="宋体" w:cs="宋体"/>
          <w:color w:val="auto"/>
          <w:kern w:val="0"/>
          <w:sz w:val="24"/>
        </w:rPr>
        <w:t>为</w:t>
      </w:r>
      <w:r>
        <w:rPr>
          <w:rFonts w:hint="eastAsia" w:ascii="宋体" w:hAnsi="宋体" w:cs="宋体"/>
          <w:color w:val="auto"/>
          <w:kern w:val="0"/>
          <w:sz w:val="24"/>
          <w:u w:val="single"/>
        </w:rPr>
        <w:t xml:space="preserve">  5  </w:t>
      </w:r>
      <w:r>
        <w:rPr>
          <w:rFonts w:hint="eastAsia" w:ascii="宋体" w:hAnsi="宋体" w:cs="宋体"/>
          <w:color w:val="auto"/>
          <w:kern w:val="0"/>
          <w:sz w:val="24"/>
        </w:rPr>
        <w:t>年；</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3、装修工程为</w:t>
      </w:r>
      <w:r>
        <w:rPr>
          <w:rFonts w:hint="eastAsia" w:ascii="宋体" w:hAnsi="宋体" w:cs="宋体"/>
          <w:color w:val="auto"/>
          <w:kern w:val="0"/>
          <w:sz w:val="24"/>
          <w:u w:val="single"/>
        </w:rPr>
        <w:t xml:space="preserve">  2  </w:t>
      </w:r>
      <w:r>
        <w:rPr>
          <w:rFonts w:hint="eastAsia" w:ascii="宋体" w:hAnsi="宋体" w:cs="宋体"/>
          <w:color w:val="auto"/>
          <w:kern w:val="0"/>
          <w:sz w:val="24"/>
        </w:rPr>
        <w:t>年；</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4、电气管线、给排水管道、设备安装工程为</w:t>
      </w:r>
      <w:r>
        <w:rPr>
          <w:rFonts w:hint="eastAsia" w:ascii="宋体" w:hAnsi="宋体" w:cs="宋体"/>
          <w:color w:val="auto"/>
          <w:kern w:val="0"/>
          <w:sz w:val="24"/>
          <w:u w:val="single"/>
        </w:rPr>
        <w:t xml:space="preserve">   2  </w:t>
      </w:r>
      <w:r>
        <w:rPr>
          <w:rFonts w:hint="eastAsia" w:ascii="宋体" w:hAnsi="宋体" w:cs="宋体"/>
          <w:color w:val="auto"/>
          <w:kern w:val="0"/>
          <w:sz w:val="24"/>
        </w:rPr>
        <w:t>年；</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5、供热与供冷系统为</w:t>
      </w:r>
      <w:r>
        <w:rPr>
          <w:rFonts w:hint="eastAsia" w:ascii="宋体" w:hAnsi="宋体" w:cs="宋体"/>
          <w:color w:val="auto"/>
          <w:kern w:val="0"/>
          <w:sz w:val="24"/>
          <w:u w:val="single"/>
        </w:rPr>
        <w:t xml:space="preserve">   2  </w:t>
      </w:r>
      <w:r>
        <w:rPr>
          <w:rFonts w:hint="eastAsia" w:ascii="宋体" w:hAnsi="宋体" w:cs="宋体"/>
          <w:color w:val="auto"/>
          <w:kern w:val="0"/>
          <w:sz w:val="24"/>
        </w:rPr>
        <w:t>个采暖期、供冷期；</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6、住宅小区内的给排水设施、道路等配套工程为</w:t>
      </w:r>
      <w:r>
        <w:rPr>
          <w:rFonts w:hint="eastAsia" w:ascii="宋体" w:hAnsi="宋体" w:cs="宋体"/>
          <w:color w:val="auto"/>
          <w:kern w:val="0"/>
          <w:sz w:val="24"/>
          <w:u w:val="single"/>
        </w:rPr>
        <w:t xml:space="preserve">   2   </w:t>
      </w:r>
      <w:r>
        <w:rPr>
          <w:rFonts w:hint="eastAsia" w:ascii="宋体" w:hAnsi="宋体" w:cs="宋体"/>
          <w:color w:val="auto"/>
          <w:kern w:val="0"/>
          <w:sz w:val="24"/>
        </w:rPr>
        <w:t>年；</w:t>
      </w:r>
    </w:p>
    <w:p>
      <w:pPr>
        <w:autoSpaceDE w:val="0"/>
        <w:autoSpaceDN w:val="0"/>
        <w:spacing w:line="400" w:lineRule="exact"/>
        <w:ind w:right="-6" w:firstLine="480" w:firstLineChars="200"/>
        <w:jc w:val="left"/>
        <w:rPr>
          <w:rFonts w:hint="eastAsia" w:ascii="宋体" w:hAnsi="宋体" w:cs="宋体"/>
          <w:color w:val="auto"/>
          <w:kern w:val="0"/>
          <w:sz w:val="24"/>
        </w:rPr>
      </w:pPr>
      <w:r>
        <w:rPr>
          <w:rFonts w:hint="eastAsia" w:ascii="宋体" w:hAnsi="宋体" w:cs="宋体"/>
          <w:color w:val="auto"/>
          <w:kern w:val="0"/>
          <w:sz w:val="24"/>
        </w:rPr>
        <w:t>7、其他项目保修期限：</w:t>
      </w:r>
      <w:r>
        <w:rPr>
          <w:rFonts w:hint="eastAsia" w:ascii="宋体" w:hAnsi="宋体" w:cs="宋体"/>
          <w:color w:val="auto"/>
          <w:kern w:val="0"/>
          <w:sz w:val="24"/>
          <w:u w:val="single"/>
        </w:rPr>
        <w:t xml:space="preserve">   2   </w:t>
      </w:r>
      <w:r>
        <w:rPr>
          <w:rFonts w:hint="eastAsia" w:ascii="宋体" w:hAnsi="宋体" w:cs="宋体"/>
          <w:color w:val="auto"/>
          <w:kern w:val="0"/>
          <w:sz w:val="24"/>
        </w:rPr>
        <w:t>年。</w:t>
      </w:r>
    </w:p>
    <w:p>
      <w:pPr>
        <w:autoSpaceDE w:val="0"/>
        <w:autoSpaceDN w:val="0"/>
        <w:spacing w:line="400" w:lineRule="exact"/>
        <w:ind w:right="-6" w:firstLine="480" w:firstLineChars="200"/>
        <w:jc w:val="left"/>
        <w:rPr>
          <w:rFonts w:hint="eastAsia" w:ascii="宋体" w:hAnsi="宋体" w:cs="宋体"/>
          <w:color w:val="auto"/>
          <w:kern w:val="0"/>
          <w:sz w:val="24"/>
          <w:u w:val="single"/>
        </w:rPr>
      </w:pPr>
      <w:r>
        <w:rPr>
          <w:rFonts w:hint="eastAsia" w:ascii="宋体" w:hAnsi="宋体" w:cs="宋体"/>
          <w:color w:val="auto"/>
          <w:kern w:val="0"/>
          <w:sz w:val="24"/>
          <w:u w:val="single"/>
        </w:rPr>
        <w:t xml:space="preserve">质量保修期自工程整体移交接收单位之日起计算。 </w:t>
      </w:r>
    </w:p>
    <w:p>
      <w:pPr>
        <w:numPr>
          <w:ilvl w:val="0"/>
          <w:numId w:val="2"/>
        </w:numPr>
        <w:autoSpaceDE w:val="0"/>
        <w:autoSpaceDN w:val="0"/>
        <w:spacing w:line="400" w:lineRule="exact"/>
        <w:ind w:right="525" w:rightChars="250"/>
        <w:jc w:val="left"/>
        <w:rPr>
          <w:rFonts w:hint="eastAsia" w:ascii="宋体" w:hAnsi="宋体" w:cs="宋体"/>
          <w:b/>
          <w:bCs/>
          <w:color w:val="auto"/>
          <w:kern w:val="0"/>
          <w:sz w:val="24"/>
        </w:rPr>
      </w:pPr>
      <w:r>
        <w:rPr>
          <w:rFonts w:hint="eastAsia" w:ascii="宋体" w:hAnsi="宋体" w:cs="宋体"/>
          <w:b/>
          <w:bCs/>
          <w:color w:val="auto"/>
          <w:kern w:val="0"/>
          <w:sz w:val="24"/>
        </w:rPr>
        <w:t>质量保修责任</w:t>
      </w:r>
    </w:p>
    <w:p>
      <w:pPr>
        <w:widowControl/>
        <w:spacing w:line="400" w:lineRule="exact"/>
        <w:ind w:firstLine="480" w:firstLineChars="200"/>
        <w:rPr>
          <w:rFonts w:hint="eastAsia" w:ascii="宋体" w:hAnsi="宋体" w:cs="宋体"/>
          <w:color w:val="auto"/>
          <w:sz w:val="24"/>
        </w:rPr>
      </w:pPr>
      <w:r>
        <w:rPr>
          <w:rFonts w:hint="eastAsia" w:ascii="宋体" w:hAnsi="宋体" w:cs="宋体"/>
          <w:color w:val="auto"/>
          <w:sz w:val="24"/>
        </w:rPr>
        <w:t>1、属于保修范围和内容的项目，承包人应在接到修理通知之日后24小时内派人修理。承包人不在约定期限内派人修理，发包人可委托其他人员修理，产生的费用由承包人加倍支付，同意由发包人在工程保修金中扣除。</w:t>
      </w:r>
    </w:p>
    <w:p>
      <w:pPr>
        <w:widowControl/>
        <w:spacing w:line="400" w:lineRule="exact"/>
        <w:ind w:firstLine="480" w:firstLineChars="200"/>
        <w:rPr>
          <w:rFonts w:hint="eastAsia" w:ascii="宋体" w:hAnsi="宋体" w:cs="宋体"/>
          <w:color w:val="auto"/>
          <w:sz w:val="24"/>
        </w:rPr>
      </w:pPr>
      <w:r>
        <w:rPr>
          <w:rFonts w:hint="eastAsia" w:ascii="宋体" w:hAnsi="宋体" w:cs="宋体"/>
          <w:color w:val="auto"/>
          <w:sz w:val="24"/>
        </w:rPr>
        <w:t>2、发生紧急抢修事故的，承包人接到事故通知后，应立即（2小时内）到达事故现场抢修。</w:t>
      </w:r>
    </w:p>
    <w:p>
      <w:pPr>
        <w:widowControl/>
        <w:spacing w:line="400" w:lineRule="exact"/>
        <w:ind w:firstLine="480" w:firstLineChars="200"/>
        <w:rPr>
          <w:rFonts w:hint="eastAsia" w:ascii="宋体" w:hAnsi="宋体" w:cs="宋体"/>
          <w:color w:val="auto"/>
          <w:sz w:val="24"/>
        </w:rPr>
      </w:pPr>
      <w:r>
        <w:rPr>
          <w:rFonts w:hint="eastAsia" w:ascii="宋体" w:hAnsi="宋体" w:cs="宋体"/>
          <w:color w:val="auto"/>
          <w:sz w:val="24"/>
        </w:rPr>
        <w:t>3、对涉及结构安全的质量问题，应当按照《房屋建筑工程质量保修办法》的规定，立即向当地建设行政主管部门报告，采取安全防范措施；由原设计单位或具有相当资质等级的设计单位提出保修方案，承包人组织验收。</w:t>
      </w:r>
    </w:p>
    <w:p>
      <w:pPr>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kern w:val="0"/>
          <w:sz w:val="24"/>
        </w:rPr>
        <w:t>4、</w:t>
      </w:r>
      <w:r>
        <w:rPr>
          <w:rFonts w:hint="eastAsia" w:ascii="宋体" w:hAnsi="宋体" w:cs="宋体"/>
          <w:color w:val="auto"/>
          <w:sz w:val="24"/>
        </w:rPr>
        <w:t>遇下列特殊情况时，在承包人到达之前，承包人同意发包人可以先行采取应急措施处理：</w:t>
      </w:r>
    </w:p>
    <w:p>
      <w:pPr>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4．1发生紧急抢修事故时，为避免损失进一步扩大；</w:t>
      </w:r>
    </w:p>
    <w:p>
      <w:pPr>
        <w:autoSpaceDE w:val="0"/>
        <w:autoSpaceDN w:val="0"/>
        <w:spacing w:line="400" w:lineRule="exact"/>
        <w:ind w:right="360" w:firstLine="480" w:firstLineChars="200"/>
        <w:jc w:val="left"/>
        <w:rPr>
          <w:rFonts w:hint="eastAsia" w:ascii="宋体" w:hAnsi="宋体" w:cs="宋体"/>
          <w:color w:val="auto"/>
          <w:kern w:val="0"/>
          <w:sz w:val="24"/>
        </w:rPr>
      </w:pPr>
      <w:r>
        <w:rPr>
          <w:rFonts w:hint="eastAsia" w:ascii="宋体" w:hAnsi="宋体" w:cs="宋体"/>
          <w:color w:val="auto"/>
          <w:kern w:val="0"/>
          <w:sz w:val="24"/>
        </w:rPr>
        <w:t>4．2直接影响到业主正常生活，威胁业主人身财产及公司财产安全时。</w:t>
      </w:r>
    </w:p>
    <w:p>
      <w:pPr>
        <w:autoSpaceDE w:val="0"/>
        <w:autoSpaceDN w:val="0"/>
        <w:spacing w:line="400" w:lineRule="exact"/>
        <w:ind w:right="525" w:rightChars="250"/>
        <w:jc w:val="left"/>
        <w:rPr>
          <w:rFonts w:hint="eastAsia" w:ascii="宋体" w:hAnsi="宋体" w:cs="宋体"/>
          <w:b/>
          <w:bCs/>
          <w:color w:val="auto"/>
          <w:kern w:val="0"/>
          <w:sz w:val="24"/>
        </w:rPr>
      </w:pPr>
      <w:r>
        <w:rPr>
          <w:rFonts w:hint="eastAsia" w:ascii="宋体" w:hAnsi="宋体" w:cs="宋体"/>
          <w:b/>
          <w:bCs/>
          <w:color w:val="auto"/>
          <w:kern w:val="0"/>
          <w:sz w:val="24"/>
        </w:rPr>
        <w:t>四、保修费用</w:t>
      </w:r>
    </w:p>
    <w:p>
      <w:pPr>
        <w:autoSpaceDE w:val="0"/>
        <w:autoSpaceDN w:val="0"/>
        <w:spacing w:line="400" w:lineRule="exact"/>
        <w:ind w:right="525" w:rightChars="250" w:firstLine="480" w:firstLineChars="200"/>
        <w:jc w:val="left"/>
        <w:rPr>
          <w:rFonts w:hint="eastAsia" w:ascii="宋体" w:hAnsi="宋体" w:cs="宋体"/>
          <w:color w:val="auto"/>
          <w:kern w:val="0"/>
          <w:sz w:val="24"/>
        </w:rPr>
      </w:pPr>
      <w:r>
        <w:rPr>
          <w:rFonts w:hint="eastAsia" w:ascii="宋体" w:hAnsi="宋体" w:cs="宋体"/>
          <w:color w:val="auto"/>
          <w:kern w:val="0"/>
          <w:sz w:val="24"/>
        </w:rPr>
        <w:t>保修费用由造成质量缺陷的责任方承担。</w:t>
      </w:r>
    </w:p>
    <w:p>
      <w:pPr>
        <w:autoSpaceDE w:val="0"/>
        <w:autoSpaceDN w:val="0"/>
        <w:spacing w:line="400" w:lineRule="exact"/>
        <w:ind w:right="525" w:rightChars="250"/>
        <w:jc w:val="left"/>
        <w:rPr>
          <w:rFonts w:hint="eastAsia" w:ascii="宋体" w:hAnsi="宋体" w:cs="宋体"/>
          <w:b/>
          <w:bCs/>
          <w:color w:val="auto"/>
          <w:kern w:val="0"/>
          <w:sz w:val="24"/>
        </w:rPr>
      </w:pPr>
      <w:r>
        <w:rPr>
          <w:rFonts w:hint="eastAsia" w:ascii="宋体" w:hAnsi="宋体" w:cs="宋体"/>
          <w:b/>
          <w:bCs/>
          <w:color w:val="auto"/>
          <w:kern w:val="0"/>
          <w:sz w:val="24"/>
        </w:rPr>
        <w:t>五、其他</w:t>
      </w:r>
    </w:p>
    <w:p>
      <w:pPr>
        <w:autoSpaceDE w:val="0"/>
        <w:autoSpaceDN w:val="0"/>
        <w:spacing w:line="400" w:lineRule="exact"/>
        <w:ind w:right="525" w:rightChars="250" w:firstLine="480" w:firstLineChars="200"/>
        <w:jc w:val="left"/>
        <w:rPr>
          <w:rFonts w:hint="eastAsia" w:ascii="宋体" w:hAnsi="宋体" w:cs="宋体"/>
          <w:color w:val="auto"/>
          <w:kern w:val="0"/>
          <w:sz w:val="24"/>
          <w:u w:val="single"/>
        </w:rPr>
      </w:pPr>
      <w:r>
        <w:rPr>
          <w:rFonts w:hint="eastAsia" w:ascii="宋体" w:hAnsi="宋体" w:cs="宋体"/>
          <w:color w:val="auto"/>
          <w:kern w:val="0"/>
          <w:sz w:val="24"/>
        </w:rPr>
        <w:t>双方约定的其他工程质量保修事宜：</w:t>
      </w:r>
    </w:p>
    <w:p>
      <w:pPr>
        <w:autoSpaceDE w:val="0"/>
        <w:autoSpaceDN w:val="0"/>
        <w:spacing w:line="400" w:lineRule="exact"/>
        <w:ind w:right="360" w:firstLine="480" w:firstLineChars="200"/>
        <w:jc w:val="left"/>
        <w:rPr>
          <w:rFonts w:hint="eastAsia" w:ascii="宋体" w:hAnsi="宋体" w:cs="宋体"/>
          <w:color w:val="auto"/>
          <w:kern w:val="0"/>
          <w:sz w:val="24"/>
        </w:rPr>
      </w:pPr>
      <w:r>
        <w:rPr>
          <w:rFonts w:hint="eastAsia" w:ascii="宋体" w:hAnsi="宋体" w:cs="宋体"/>
          <w:color w:val="auto"/>
          <w:kern w:val="0"/>
          <w:sz w:val="24"/>
        </w:rPr>
        <w:t>本工程质量保修书，由施工合同发包人、承包人双方在施工合同签订时共同签署，作为施工合同附件，其有效期限至保修期满。</w:t>
      </w:r>
    </w:p>
    <w:p>
      <w:pPr>
        <w:autoSpaceDE w:val="0"/>
        <w:autoSpaceDN w:val="0"/>
        <w:spacing w:line="400" w:lineRule="exact"/>
        <w:ind w:left="593" w:leftChars="225" w:right="525" w:rightChars="250" w:hanging="120" w:hangingChars="50"/>
        <w:jc w:val="left"/>
        <w:rPr>
          <w:rFonts w:hint="eastAsia" w:ascii="宋体" w:hAnsi="宋体" w:cs="宋体"/>
          <w:color w:val="auto"/>
          <w:kern w:val="0"/>
          <w:sz w:val="24"/>
        </w:rPr>
      </w:pPr>
      <w:r>
        <w:rPr>
          <w:rFonts w:hint="eastAsia" w:ascii="宋体" w:hAnsi="宋体" w:cs="宋体"/>
          <w:color w:val="auto"/>
          <w:kern w:val="0"/>
          <w:sz w:val="24"/>
        </w:rPr>
        <w:t xml:space="preserve">发包人（公章）：                           承包人（公章）：               </w:t>
      </w:r>
    </w:p>
    <w:p>
      <w:pPr>
        <w:autoSpaceDE w:val="0"/>
        <w:autoSpaceDN w:val="0"/>
        <w:spacing w:line="400" w:lineRule="exact"/>
        <w:ind w:left="593" w:leftChars="225" w:right="525" w:rightChars="250" w:hanging="120" w:hangingChars="50"/>
        <w:jc w:val="left"/>
        <w:rPr>
          <w:rFonts w:hint="eastAsia" w:ascii="宋体" w:hAnsi="宋体" w:cs="宋体"/>
          <w:color w:val="auto"/>
          <w:kern w:val="0"/>
          <w:sz w:val="24"/>
        </w:rPr>
      </w:pPr>
      <w:r>
        <w:rPr>
          <w:rFonts w:hint="eastAsia" w:ascii="宋体" w:hAnsi="宋体" w:cs="宋体"/>
          <w:color w:val="auto"/>
          <w:kern w:val="0"/>
          <w:sz w:val="24"/>
        </w:rPr>
        <w:t>法定代表人（签字或盖章）：                 法定代表人（签字或盖章）</w:t>
      </w:r>
    </w:p>
    <w:p>
      <w:pPr>
        <w:autoSpaceDE w:val="0"/>
        <w:autoSpaceDN w:val="0"/>
        <w:spacing w:line="400" w:lineRule="exact"/>
        <w:ind w:left="593" w:leftChars="225" w:right="525" w:rightChars="250" w:hanging="120" w:hangingChars="50"/>
        <w:jc w:val="left"/>
        <w:rPr>
          <w:rFonts w:hint="eastAsia" w:ascii="宋体" w:hAnsi="宋体" w:cs="宋体"/>
          <w:color w:val="auto"/>
          <w:kern w:val="0"/>
          <w:sz w:val="24"/>
        </w:rPr>
      </w:pPr>
    </w:p>
    <w:p>
      <w:pPr>
        <w:spacing w:line="400" w:lineRule="exact"/>
        <w:ind w:firstLine="480" w:firstLineChars="200"/>
        <w:rPr>
          <w:rFonts w:hint="eastAsia" w:ascii="宋体" w:hAnsi="宋体" w:cs="宋体"/>
          <w:color w:val="auto"/>
          <w:szCs w:val="21"/>
        </w:rPr>
      </w:pPr>
      <w:r>
        <w:rPr>
          <w:rFonts w:hint="eastAsia" w:ascii="宋体" w:hAnsi="宋体" w:cs="宋体"/>
          <w:color w:val="auto"/>
          <w:sz w:val="24"/>
          <w:u w:val="single"/>
        </w:rPr>
        <w:t>2025年</w:t>
      </w:r>
      <w:r>
        <w:rPr>
          <w:rFonts w:hint="eastAsia" w:ascii="宋体" w:hAnsi="宋体" w:cs="宋体"/>
          <w:color w:val="auto"/>
          <w:sz w:val="24"/>
        </w:rPr>
        <w:t xml:space="preserve">  月  日</w:t>
      </w:r>
      <w:r>
        <w:rPr>
          <w:rFonts w:hint="eastAsia" w:ascii="宋体" w:hAnsi="宋体" w:cs="宋体"/>
          <w:color w:val="auto"/>
          <w:szCs w:val="21"/>
        </w:rPr>
        <w:t xml:space="preserve">                            </w:t>
      </w:r>
      <w:r>
        <w:rPr>
          <w:rFonts w:hint="eastAsia" w:ascii="宋体" w:hAnsi="宋体" w:cs="宋体"/>
          <w:color w:val="auto"/>
          <w:szCs w:val="21"/>
          <w:u w:val="single"/>
        </w:rPr>
        <w:t xml:space="preserve"> 2025年</w:t>
      </w:r>
      <w:r>
        <w:rPr>
          <w:rFonts w:hint="eastAsia" w:ascii="宋体" w:hAnsi="宋体" w:cs="宋体"/>
          <w:color w:val="auto"/>
          <w:szCs w:val="21"/>
        </w:rPr>
        <w:t xml:space="preserve">  月  日</w:t>
      </w:r>
    </w:p>
    <w:p>
      <w:pPr>
        <w:spacing w:line="400" w:lineRule="exact"/>
        <w:rPr>
          <w:rFonts w:hint="eastAsia" w:ascii="宋体" w:hAnsi="宋体" w:cs="宋体"/>
          <w:color w:val="auto"/>
          <w:szCs w:val="21"/>
        </w:rPr>
        <w:sectPr>
          <w:headerReference r:id="rId14" w:type="first"/>
          <w:footerReference r:id="rId16" w:type="first"/>
          <w:headerReference r:id="rId13" w:type="default"/>
          <w:footerReference r:id="rId15" w:type="default"/>
          <w:pgSz w:w="11906" w:h="16838"/>
          <w:pgMar w:top="1440" w:right="1080" w:bottom="1440" w:left="1080" w:header="851" w:footer="992" w:gutter="0"/>
          <w:cols w:space="720" w:num="1"/>
          <w:titlePg/>
          <w:docGrid w:linePitch="312" w:charSpace="0"/>
        </w:sectPr>
      </w:pPr>
    </w:p>
    <w:p>
      <w:pPr>
        <w:spacing w:line="400" w:lineRule="exact"/>
        <w:rPr>
          <w:rFonts w:hint="eastAsia" w:ascii="宋体" w:hAnsi="宋体" w:cs="宋体"/>
          <w:color w:val="auto"/>
          <w:sz w:val="24"/>
        </w:rPr>
      </w:pPr>
      <w:r>
        <w:rPr>
          <w:rFonts w:hint="eastAsia" w:ascii="宋体" w:hAnsi="宋体" w:cs="宋体"/>
          <w:color w:val="auto"/>
          <w:sz w:val="24"/>
        </w:rPr>
        <w:t>附件4：</w:t>
      </w:r>
    </w:p>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主要建设工程文件目录</w:t>
      </w:r>
    </w:p>
    <w:tbl>
      <w:tblPr>
        <w:tblStyle w:val="6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文件名称</w:t>
            </w:r>
          </w:p>
        </w:tc>
        <w:tc>
          <w:tcPr>
            <w:tcW w:w="1276"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套数</w:t>
            </w:r>
          </w:p>
        </w:tc>
        <w:tc>
          <w:tcPr>
            <w:tcW w:w="145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费用（元）</w:t>
            </w:r>
          </w:p>
        </w:tc>
        <w:tc>
          <w:tcPr>
            <w:tcW w:w="1243"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质量</w:t>
            </w:r>
          </w:p>
        </w:tc>
        <w:tc>
          <w:tcPr>
            <w:tcW w:w="1450" w:type="dxa"/>
            <w:tcBorders>
              <w:top w:val="single" w:color="auto" w:sz="12" w:space="0"/>
              <w:bottom w:val="double" w:color="auto" w:sz="6" w:space="0"/>
            </w:tcBorders>
          </w:tcPr>
          <w:p>
            <w:pPr>
              <w:spacing w:line="440" w:lineRule="exact"/>
              <w:jc w:val="center"/>
              <w:rPr>
                <w:rFonts w:hint="eastAsia" w:ascii="宋体" w:hAnsi="宋体" w:cs="宋体"/>
                <w:color w:val="auto"/>
                <w:sz w:val="24"/>
              </w:rPr>
            </w:pPr>
            <w:r>
              <w:rPr>
                <w:rFonts w:hint="eastAsia" w:ascii="宋体" w:hAnsi="宋体" w:cs="宋体"/>
                <w:color w:val="auto"/>
                <w:sz w:val="24"/>
              </w:rPr>
              <w:t>移交时间</w:t>
            </w:r>
          </w:p>
        </w:tc>
        <w:tc>
          <w:tcPr>
            <w:tcW w:w="1667" w:type="dxa"/>
            <w:tcBorders>
              <w:top w:val="single" w:color="auto" w:sz="12" w:space="0"/>
              <w:bottom w:val="double" w:color="auto" w:sz="6" w:space="0"/>
            </w:tcBorders>
          </w:tcPr>
          <w:p>
            <w:pPr>
              <w:spacing w:line="440" w:lineRule="exact"/>
              <w:jc w:val="center"/>
              <w:rPr>
                <w:rFonts w:hint="eastAsia" w:ascii="宋体" w:hAnsi="宋体" w:cs="宋体"/>
                <w:color w:val="auto"/>
                <w:sz w:val="24"/>
              </w:rPr>
            </w:pPr>
            <w:r>
              <w:rPr>
                <w:rFonts w:hint="eastAsia" w:ascii="宋体" w:hAnsi="宋体" w:cs="宋体"/>
                <w:color w:val="auto"/>
                <w:sz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276"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45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243"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45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667"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276"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243"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667"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243"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667"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243"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667"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243"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667"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243"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667"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243"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667"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243"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667"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4"/>
              <w:keepNext/>
              <w:spacing w:line="440" w:lineRule="exact"/>
              <w:ind w:left="63" w:right="63"/>
              <w:rPr>
                <w:rFonts w:hint="eastAsia" w:hAnsi="宋体" w:cs="宋体"/>
                <w:color w:val="auto"/>
                <w:szCs w:val="24"/>
                <w:lang w:val="en-US"/>
              </w:rPr>
            </w:pPr>
          </w:p>
        </w:tc>
        <w:tc>
          <w:tcPr>
            <w:tcW w:w="1276"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243" w:type="dxa"/>
            <w:vAlign w:val="center"/>
          </w:tcPr>
          <w:p>
            <w:pPr>
              <w:pStyle w:val="24"/>
              <w:keepNext/>
              <w:spacing w:line="440" w:lineRule="exact"/>
              <w:ind w:left="63" w:right="63"/>
              <w:rPr>
                <w:rFonts w:hint="eastAsia" w:hAnsi="宋体" w:cs="宋体"/>
                <w:color w:val="auto"/>
                <w:szCs w:val="24"/>
                <w:lang w:val="en-US"/>
              </w:rPr>
            </w:pPr>
          </w:p>
        </w:tc>
        <w:tc>
          <w:tcPr>
            <w:tcW w:w="1450" w:type="dxa"/>
            <w:vAlign w:val="center"/>
          </w:tcPr>
          <w:p>
            <w:pPr>
              <w:pStyle w:val="24"/>
              <w:keepNext/>
              <w:spacing w:line="440" w:lineRule="exact"/>
              <w:ind w:left="63" w:right="63"/>
              <w:rPr>
                <w:rFonts w:hint="eastAsia" w:hAnsi="宋体" w:cs="宋体"/>
                <w:color w:val="auto"/>
                <w:szCs w:val="24"/>
                <w:lang w:val="en-US"/>
              </w:rPr>
            </w:pPr>
          </w:p>
        </w:tc>
        <w:tc>
          <w:tcPr>
            <w:tcW w:w="1667"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hint="eastAsia" w:ascii="宋体" w:hAnsi="宋体" w:cs="宋体"/>
                <w:color w:val="auto"/>
                <w:sz w:val="24"/>
              </w:rPr>
            </w:pPr>
          </w:p>
        </w:tc>
        <w:tc>
          <w:tcPr>
            <w:tcW w:w="1276"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243" w:type="dxa"/>
          </w:tcPr>
          <w:p>
            <w:pPr>
              <w:rPr>
                <w:rFonts w:hint="eastAsia" w:ascii="宋体" w:hAnsi="宋体" w:cs="宋体"/>
                <w:color w:val="auto"/>
                <w:sz w:val="24"/>
              </w:rPr>
            </w:pPr>
          </w:p>
        </w:tc>
        <w:tc>
          <w:tcPr>
            <w:tcW w:w="1450" w:type="dxa"/>
          </w:tcPr>
          <w:p>
            <w:pPr>
              <w:rPr>
                <w:rFonts w:hint="eastAsia" w:ascii="宋体" w:hAnsi="宋体" w:cs="宋体"/>
                <w:color w:val="auto"/>
                <w:sz w:val="24"/>
              </w:rPr>
            </w:pPr>
          </w:p>
        </w:tc>
        <w:tc>
          <w:tcPr>
            <w:tcW w:w="1667" w:type="dxa"/>
          </w:tcPr>
          <w:p>
            <w:pPr>
              <w:rPr>
                <w:rFonts w:hint="eastAsia" w:ascii="宋体" w:hAnsi="宋体" w:cs="宋体"/>
                <w:color w:val="auto"/>
                <w:sz w:val="24"/>
              </w:rPr>
            </w:pPr>
          </w:p>
        </w:tc>
      </w:tr>
    </w:tbl>
    <w:p>
      <w:pPr>
        <w:spacing w:line="440" w:lineRule="exact"/>
        <w:rPr>
          <w:rFonts w:hint="eastAsia" w:ascii="宋体" w:hAnsi="宋体" w:cs="宋体"/>
          <w:color w:val="auto"/>
          <w:sz w:val="24"/>
        </w:rPr>
      </w:pPr>
    </w:p>
    <w:p>
      <w:pPr>
        <w:spacing w:line="440" w:lineRule="exac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附</w:t>
      </w:r>
      <w:bookmarkStart w:id="402" w:name="_Toc296346728"/>
      <w:bookmarkStart w:id="403" w:name="_Toc296503227"/>
      <w:bookmarkStart w:id="404" w:name="_Toc296891267"/>
      <w:bookmarkStart w:id="405" w:name="_Toc296944566"/>
      <w:bookmarkStart w:id="406" w:name="_Toc296891055"/>
      <w:bookmarkStart w:id="407" w:name="_Toc267261698"/>
      <w:bookmarkStart w:id="408" w:name="_Toc296347226"/>
      <w:r>
        <w:rPr>
          <w:rFonts w:hint="eastAsia" w:ascii="宋体" w:hAnsi="宋体" w:cs="宋体"/>
          <w:color w:val="auto"/>
          <w:sz w:val="24"/>
        </w:rPr>
        <w:t>件5：</w:t>
      </w:r>
    </w:p>
    <w:bookmarkEnd w:id="402"/>
    <w:bookmarkEnd w:id="403"/>
    <w:bookmarkEnd w:id="404"/>
    <w:bookmarkEnd w:id="405"/>
    <w:bookmarkEnd w:id="406"/>
    <w:bookmarkEnd w:id="407"/>
    <w:bookmarkEnd w:id="408"/>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承包人用于本工程施工的机械设备表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序号</w:t>
            </w:r>
          </w:p>
        </w:tc>
        <w:tc>
          <w:tcPr>
            <w:tcW w:w="1418"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机械或设备名称</w:t>
            </w:r>
          </w:p>
        </w:tc>
        <w:tc>
          <w:tcPr>
            <w:tcW w:w="85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规格型号</w:t>
            </w:r>
          </w:p>
        </w:tc>
        <w:tc>
          <w:tcPr>
            <w:tcW w:w="1058"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数量</w:t>
            </w:r>
          </w:p>
        </w:tc>
        <w:tc>
          <w:tcPr>
            <w:tcW w:w="88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产地</w:t>
            </w:r>
          </w:p>
        </w:tc>
        <w:tc>
          <w:tcPr>
            <w:tcW w:w="102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制造年份</w:t>
            </w:r>
          </w:p>
        </w:tc>
        <w:tc>
          <w:tcPr>
            <w:tcW w:w="148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额定功率(kW)</w:t>
            </w:r>
          </w:p>
        </w:tc>
        <w:tc>
          <w:tcPr>
            <w:tcW w:w="1020"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生产能力</w:t>
            </w:r>
          </w:p>
        </w:tc>
        <w:tc>
          <w:tcPr>
            <w:tcW w:w="921"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418"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058"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88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02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48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1020"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c>
          <w:tcPr>
            <w:tcW w:w="921" w:type="dxa"/>
            <w:tcBorders>
              <w:top w:val="double" w:color="auto" w:sz="6" w:space="0"/>
              <w:bottom w:val="single" w:color="auto" w:sz="6" w:space="0"/>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18"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5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058"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88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02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48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020"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921"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058" w:type="dxa"/>
            <w:vAlign w:val="center"/>
          </w:tcPr>
          <w:p>
            <w:pPr>
              <w:pStyle w:val="24"/>
              <w:keepNext/>
              <w:spacing w:line="440" w:lineRule="exact"/>
              <w:ind w:left="63" w:right="63"/>
              <w:rPr>
                <w:rFonts w:hint="eastAsia" w:hAnsi="宋体" w:cs="宋体"/>
                <w:color w:val="auto"/>
                <w:szCs w:val="24"/>
                <w:lang w:val="en-US"/>
              </w:rPr>
            </w:pPr>
          </w:p>
        </w:tc>
        <w:tc>
          <w:tcPr>
            <w:tcW w:w="8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14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921"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058" w:type="dxa"/>
            <w:vAlign w:val="center"/>
          </w:tcPr>
          <w:p>
            <w:pPr>
              <w:pStyle w:val="24"/>
              <w:keepNext/>
              <w:spacing w:line="440" w:lineRule="exact"/>
              <w:ind w:left="63" w:right="63"/>
              <w:rPr>
                <w:rFonts w:hint="eastAsia" w:hAnsi="宋体" w:cs="宋体"/>
                <w:color w:val="auto"/>
                <w:szCs w:val="24"/>
                <w:lang w:val="en-US"/>
              </w:rPr>
            </w:pPr>
          </w:p>
        </w:tc>
        <w:tc>
          <w:tcPr>
            <w:tcW w:w="8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14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921"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058" w:type="dxa"/>
            <w:vAlign w:val="center"/>
          </w:tcPr>
          <w:p>
            <w:pPr>
              <w:pStyle w:val="24"/>
              <w:keepNext/>
              <w:spacing w:line="440" w:lineRule="exact"/>
              <w:ind w:left="63" w:right="63"/>
              <w:rPr>
                <w:rFonts w:hint="eastAsia" w:hAnsi="宋体" w:cs="宋体"/>
                <w:color w:val="auto"/>
                <w:szCs w:val="24"/>
                <w:lang w:val="en-US"/>
              </w:rPr>
            </w:pPr>
          </w:p>
        </w:tc>
        <w:tc>
          <w:tcPr>
            <w:tcW w:w="8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14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921"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058" w:type="dxa"/>
            <w:vAlign w:val="center"/>
          </w:tcPr>
          <w:p>
            <w:pPr>
              <w:pStyle w:val="24"/>
              <w:keepNext/>
              <w:spacing w:line="440" w:lineRule="exact"/>
              <w:ind w:left="63" w:right="63"/>
              <w:rPr>
                <w:rFonts w:hint="eastAsia" w:hAnsi="宋体" w:cs="宋体"/>
                <w:color w:val="auto"/>
                <w:szCs w:val="24"/>
                <w:lang w:val="en-US"/>
              </w:rPr>
            </w:pPr>
          </w:p>
        </w:tc>
        <w:tc>
          <w:tcPr>
            <w:tcW w:w="8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14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921"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058" w:type="dxa"/>
            <w:vAlign w:val="center"/>
          </w:tcPr>
          <w:p>
            <w:pPr>
              <w:pStyle w:val="24"/>
              <w:keepNext/>
              <w:spacing w:line="440" w:lineRule="exact"/>
              <w:ind w:left="63" w:right="63"/>
              <w:rPr>
                <w:rFonts w:hint="eastAsia" w:hAnsi="宋体" w:cs="宋体"/>
                <w:color w:val="auto"/>
                <w:szCs w:val="24"/>
                <w:lang w:val="en-US"/>
              </w:rPr>
            </w:pPr>
          </w:p>
        </w:tc>
        <w:tc>
          <w:tcPr>
            <w:tcW w:w="8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14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921"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058" w:type="dxa"/>
            <w:vAlign w:val="center"/>
          </w:tcPr>
          <w:p>
            <w:pPr>
              <w:pStyle w:val="24"/>
              <w:keepNext/>
              <w:spacing w:line="440" w:lineRule="exact"/>
              <w:ind w:left="63" w:right="63"/>
              <w:rPr>
                <w:rFonts w:hint="eastAsia" w:hAnsi="宋体" w:cs="宋体"/>
                <w:color w:val="auto"/>
                <w:szCs w:val="24"/>
                <w:lang w:val="en-US"/>
              </w:rPr>
            </w:pPr>
          </w:p>
        </w:tc>
        <w:tc>
          <w:tcPr>
            <w:tcW w:w="8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14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921"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850" w:type="dxa"/>
            <w:vAlign w:val="center"/>
          </w:tcPr>
          <w:p>
            <w:pPr>
              <w:pStyle w:val="24"/>
              <w:keepNext/>
              <w:spacing w:line="440" w:lineRule="exact"/>
              <w:ind w:left="63" w:right="63"/>
              <w:rPr>
                <w:rFonts w:hint="eastAsia" w:hAnsi="宋体" w:cs="宋体"/>
                <w:color w:val="auto"/>
                <w:szCs w:val="24"/>
                <w:lang w:val="en-US"/>
              </w:rPr>
            </w:pPr>
          </w:p>
        </w:tc>
        <w:tc>
          <w:tcPr>
            <w:tcW w:w="1058" w:type="dxa"/>
            <w:vAlign w:val="center"/>
          </w:tcPr>
          <w:p>
            <w:pPr>
              <w:pStyle w:val="24"/>
              <w:keepNext/>
              <w:spacing w:line="440" w:lineRule="exact"/>
              <w:ind w:left="63" w:right="63"/>
              <w:rPr>
                <w:rFonts w:hint="eastAsia" w:hAnsi="宋体" w:cs="宋体"/>
                <w:color w:val="auto"/>
                <w:szCs w:val="24"/>
                <w:lang w:val="en-US"/>
              </w:rPr>
            </w:pPr>
          </w:p>
        </w:tc>
        <w:tc>
          <w:tcPr>
            <w:tcW w:w="8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1480" w:type="dxa"/>
            <w:vAlign w:val="center"/>
          </w:tcPr>
          <w:p>
            <w:pPr>
              <w:pStyle w:val="24"/>
              <w:keepNext/>
              <w:spacing w:line="440" w:lineRule="exact"/>
              <w:ind w:left="63" w:right="63"/>
              <w:rPr>
                <w:rFonts w:hint="eastAsia" w:hAnsi="宋体" w:cs="宋体"/>
                <w:color w:val="auto"/>
                <w:szCs w:val="24"/>
                <w:lang w:val="en-US"/>
              </w:rPr>
            </w:pPr>
          </w:p>
        </w:tc>
        <w:tc>
          <w:tcPr>
            <w:tcW w:w="1020" w:type="dxa"/>
            <w:vAlign w:val="center"/>
          </w:tcPr>
          <w:p>
            <w:pPr>
              <w:pStyle w:val="24"/>
              <w:keepNext/>
              <w:spacing w:line="440" w:lineRule="exact"/>
              <w:ind w:left="63" w:right="63"/>
              <w:rPr>
                <w:rFonts w:hint="eastAsia" w:hAnsi="宋体" w:cs="宋体"/>
                <w:color w:val="auto"/>
                <w:szCs w:val="24"/>
                <w:lang w:val="en-US"/>
              </w:rPr>
            </w:pPr>
          </w:p>
        </w:tc>
        <w:tc>
          <w:tcPr>
            <w:tcW w:w="921"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cs="宋体"/>
                <w:color w:val="auto"/>
                <w:sz w:val="24"/>
              </w:rPr>
            </w:pPr>
          </w:p>
        </w:tc>
        <w:tc>
          <w:tcPr>
            <w:tcW w:w="1418" w:type="dxa"/>
          </w:tcPr>
          <w:p>
            <w:pPr>
              <w:rPr>
                <w:rFonts w:hint="eastAsia" w:ascii="宋体" w:hAnsi="宋体" w:cs="宋体"/>
                <w:color w:val="auto"/>
                <w:sz w:val="24"/>
              </w:rPr>
            </w:pPr>
          </w:p>
        </w:tc>
        <w:tc>
          <w:tcPr>
            <w:tcW w:w="850" w:type="dxa"/>
          </w:tcPr>
          <w:p>
            <w:pPr>
              <w:rPr>
                <w:rFonts w:hint="eastAsia" w:ascii="宋体" w:hAnsi="宋体" w:cs="宋体"/>
                <w:color w:val="auto"/>
                <w:sz w:val="24"/>
              </w:rPr>
            </w:pPr>
          </w:p>
        </w:tc>
        <w:tc>
          <w:tcPr>
            <w:tcW w:w="1058" w:type="dxa"/>
          </w:tcPr>
          <w:p>
            <w:pPr>
              <w:rPr>
                <w:rFonts w:hint="eastAsia" w:ascii="宋体" w:hAnsi="宋体" w:cs="宋体"/>
                <w:color w:val="auto"/>
                <w:sz w:val="24"/>
              </w:rPr>
            </w:pPr>
          </w:p>
        </w:tc>
        <w:tc>
          <w:tcPr>
            <w:tcW w:w="8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1480" w:type="dxa"/>
          </w:tcPr>
          <w:p>
            <w:pPr>
              <w:rPr>
                <w:rFonts w:hint="eastAsia" w:ascii="宋体" w:hAnsi="宋体" w:cs="宋体"/>
                <w:color w:val="auto"/>
                <w:sz w:val="24"/>
              </w:rPr>
            </w:pPr>
          </w:p>
        </w:tc>
        <w:tc>
          <w:tcPr>
            <w:tcW w:w="1020" w:type="dxa"/>
          </w:tcPr>
          <w:p>
            <w:pPr>
              <w:rPr>
                <w:rFonts w:hint="eastAsia" w:ascii="宋体" w:hAnsi="宋体" w:cs="宋体"/>
                <w:color w:val="auto"/>
                <w:sz w:val="24"/>
              </w:rPr>
            </w:pPr>
          </w:p>
        </w:tc>
        <w:tc>
          <w:tcPr>
            <w:tcW w:w="921" w:type="dxa"/>
          </w:tcPr>
          <w:p>
            <w:pPr>
              <w:rPr>
                <w:rFonts w:hint="eastAsia" w:ascii="宋体" w:hAnsi="宋体" w:cs="宋体"/>
                <w:color w:val="auto"/>
                <w:sz w:val="24"/>
              </w:rPr>
            </w:pPr>
          </w:p>
        </w:tc>
      </w:tr>
    </w:tbl>
    <w:p>
      <w:pPr>
        <w:spacing w:line="440" w:lineRule="exact"/>
        <w:rPr>
          <w:rFonts w:hint="eastAsia" w:ascii="宋体" w:hAnsi="宋体" w:cs="宋体"/>
          <w:color w:val="auto"/>
          <w:sz w:val="24"/>
        </w:rPr>
      </w:pPr>
    </w:p>
    <w:p>
      <w:pPr>
        <w:spacing w:line="440" w:lineRule="exac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附</w:t>
      </w:r>
      <w:bookmarkStart w:id="409" w:name="_Toc296891056"/>
      <w:bookmarkStart w:id="410" w:name="_Toc267261699"/>
      <w:bookmarkStart w:id="411" w:name="_Toc296503228"/>
      <w:bookmarkStart w:id="412" w:name="_Toc296347227"/>
      <w:bookmarkStart w:id="413" w:name="_Toc296944567"/>
      <w:bookmarkStart w:id="414" w:name="_Toc296891268"/>
      <w:bookmarkStart w:id="415" w:name="_Toc296346729"/>
      <w:r>
        <w:rPr>
          <w:rFonts w:hint="eastAsia" w:ascii="宋体" w:hAnsi="宋体" w:cs="宋体"/>
          <w:color w:val="auto"/>
          <w:sz w:val="24"/>
        </w:rPr>
        <w:t>件6：</w:t>
      </w:r>
    </w:p>
    <w:bookmarkEnd w:id="409"/>
    <w:bookmarkEnd w:id="410"/>
    <w:bookmarkEnd w:id="411"/>
    <w:bookmarkEnd w:id="412"/>
    <w:bookmarkEnd w:id="413"/>
    <w:bookmarkEnd w:id="414"/>
    <w:bookmarkEnd w:id="415"/>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承包人主要施工管理人员表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名    称</w:t>
            </w:r>
          </w:p>
        </w:tc>
        <w:tc>
          <w:tcPr>
            <w:tcW w:w="1418"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姓名</w:t>
            </w:r>
          </w:p>
        </w:tc>
        <w:tc>
          <w:tcPr>
            <w:tcW w:w="1134"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职务</w:t>
            </w:r>
          </w:p>
        </w:tc>
        <w:tc>
          <w:tcPr>
            <w:tcW w:w="1134"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职称</w:t>
            </w:r>
          </w:p>
        </w:tc>
        <w:tc>
          <w:tcPr>
            <w:tcW w:w="4252"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项目主管</w:t>
            </w:r>
          </w:p>
        </w:tc>
        <w:tc>
          <w:tcPr>
            <w:tcW w:w="1418"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134"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134"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4252"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其他人员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项目经理</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strike/>
                <w:color w:val="auto"/>
                <w:szCs w:val="24"/>
                <w:lang w:val="en-US"/>
              </w:rPr>
            </w:pPr>
            <w:r>
              <w:rPr>
                <w:rFonts w:hint="eastAsia" w:hAnsi="宋体" w:cs="宋体"/>
                <w:color w:val="auto"/>
                <w:szCs w:val="24"/>
                <w:lang w:val="en-US"/>
              </w:rPr>
              <w:t>技术负责人</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造价管理</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质量员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施工员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资料员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材料员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专职安全生产管理人员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其他人员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1418"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1134"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1134"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4252"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r>
    </w:tbl>
    <w:p>
      <w:pPr>
        <w:spacing w:line="440" w:lineRule="exact"/>
        <w:rPr>
          <w:rFonts w:hint="eastAsia" w:ascii="宋体" w:hAnsi="宋体" w:cs="宋体"/>
          <w:color w:val="auto"/>
          <w:sz w:val="24"/>
        </w:rPr>
      </w:pPr>
      <w:r>
        <w:rPr>
          <w:rFonts w:hint="eastAsia" w:ascii="宋体" w:hAnsi="宋体" w:cs="宋体"/>
          <w:color w:val="auto"/>
          <w:sz w:val="24"/>
        </w:rPr>
        <w:br w:type="page"/>
      </w:r>
      <w:bookmarkStart w:id="416" w:name="_Toc267261701"/>
      <w:r>
        <w:rPr>
          <w:rFonts w:hint="eastAsia" w:ascii="宋体" w:hAnsi="宋体" w:cs="宋体"/>
          <w:color w:val="auto"/>
          <w:sz w:val="24"/>
        </w:rPr>
        <w:t>附件7：</w:t>
      </w:r>
    </w:p>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分包人主要施工管理人员表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名    称</w:t>
            </w:r>
          </w:p>
        </w:tc>
        <w:tc>
          <w:tcPr>
            <w:tcW w:w="1418"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姓名</w:t>
            </w:r>
          </w:p>
        </w:tc>
        <w:tc>
          <w:tcPr>
            <w:tcW w:w="1134"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职务</w:t>
            </w:r>
          </w:p>
        </w:tc>
        <w:tc>
          <w:tcPr>
            <w:tcW w:w="1134"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职称</w:t>
            </w:r>
          </w:p>
        </w:tc>
        <w:tc>
          <w:tcPr>
            <w:tcW w:w="4252" w:type="dxa"/>
            <w:tcBorders>
              <w:top w:val="single" w:color="auto" w:sz="12" w:space="0"/>
              <w:bottom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项目主管</w:t>
            </w:r>
          </w:p>
        </w:tc>
        <w:tc>
          <w:tcPr>
            <w:tcW w:w="1418"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134"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1134" w:type="dxa"/>
            <w:tcBorders>
              <w:top w:val="nil"/>
            </w:tcBorders>
            <w:vAlign w:val="center"/>
          </w:tcPr>
          <w:p>
            <w:pPr>
              <w:pStyle w:val="24"/>
              <w:keepNext/>
              <w:spacing w:line="440" w:lineRule="exact"/>
              <w:ind w:left="63" w:right="63"/>
              <w:rPr>
                <w:rFonts w:hint="eastAsia" w:hAnsi="宋体" w:cs="宋体"/>
                <w:color w:val="auto"/>
                <w:szCs w:val="24"/>
                <w:lang w:val="en-US"/>
              </w:rPr>
            </w:pPr>
          </w:p>
        </w:tc>
        <w:tc>
          <w:tcPr>
            <w:tcW w:w="4252" w:type="dxa"/>
            <w:tcBorders>
              <w:top w:val="nil"/>
            </w:tcBorders>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其他人员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项目经理</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strike/>
                <w:color w:val="auto"/>
                <w:szCs w:val="24"/>
                <w:lang w:val="en-US"/>
              </w:rPr>
            </w:pPr>
            <w:r>
              <w:rPr>
                <w:rFonts w:hint="eastAsia" w:hAnsi="宋体" w:cs="宋体"/>
                <w:color w:val="auto"/>
                <w:szCs w:val="24"/>
                <w:lang w:val="en-US"/>
              </w:rPr>
              <w:t>技术负责人</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造价管理</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质量员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施工员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资料员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材料员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专职安全生产管理人员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其他人员</w:t>
            </w: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4"/>
              <w:keepNext/>
              <w:spacing w:line="440" w:lineRule="exact"/>
              <w:ind w:left="63" w:right="63"/>
              <w:rPr>
                <w:rFonts w:hint="eastAsia" w:hAnsi="宋体" w:cs="宋体"/>
                <w:color w:val="auto"/>
                <w:szCs w:val="24"/>
                <w:lang w:val="en-US"/>
              </w:rPr>
            </w:pPr>
          </w:p>
        </w:tc>
        <w:tc>
          <w:tcPr>
            <w:tcW w:w="1418"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1134" w:type="dxa"/>
            <w:vAlign w:val="center"/>
          </w:tcPr>
          <w:p>
            <w:pPr>
              <w:pStyle w:val="24"/>
              <w:keepNext/>
              <w:spacing w:line="440" w:lineRule="exact"/>
              <w:ind w:left="63" w:right="63"/>
              <w:rPr>
                <w:rFonts w:hint="eastAsia" w:hAnsi="宋体" w:cs="宋体"/>
                <w:color w:val="auto"/>
                <w:szCs w:val="24"/>
                <w:lang w:val="en-US"/>
              </w:rPr>
            </w:pPr>
          </w:p>
        </w:tc>
        <w:tc>
          <w:tcPr>
            <w:tcW w:w="4252" w:type="dxa"/>
            <w:vAlign w:val="center"/>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1418"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1134"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1134"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c>
          <w:tcPr>
            <w:tcW w:w="4252" w:type="dxa"/>
            <w:tcBorders>
              <w:bottom w:val="single" w:color="auto" w:sz="12" w:space="0"/>
            </w:tcBorders>
            <w:vAlign w:val="center"/>
          </w:tcPr>
          <w:p>
            <w:pPr>
              <w:pStyle w:val="24"/>
              <w:keepNext/>
              <w:spacing w:line="440" w:lineRule="exact"/>
              <w:ind w:left="63" w:right="63"/>
              <w:rPr>
                <w:rFonts w:hint="eastAsia" w:hAnsi="宋体" w:cs="宋体"/>
                <w:color w:val="auto"/>
                <w:szCs w:val="24"/>
                <w:lang w:val="en-US"/>
              </w:rPr>
            </w:pPr>
          </w:p>
        </w:tc>
      </w:tr>
    </w:tbl>
    <w:p>
      <w:pPr>
        <w:rPr>
          <w:rFonts w:hint="eastAsia" w:ascii="宋体" w:hAnsi="宋体" w:cs="宋体"/>
          <w:color w:val="auto"/>
          <w:sz w:val="24"/>
        </w:rPr>
      </w:pPr>
    </w:p>
    <w:p>
      <w:pPr>
        <w:spacing w:line="440" w:lineRule="exact"/>
        <w:rPr>
          <w:rFonts w:hint="eastAsia" w:ascii="宋体" w:hAnsi="宋体" w:cs="宋体"/>
          <w:color w:val="auto"/>
          <w:sz w:val="24"/>
        </w:rPr>
      </w:pPr>
    </w:p>
    <w:p>
      <w:pPr>
        <w:spacing w:line="440" w:lineRule="exac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附</w:t>
      </w:r>
      <w:bookmarkStart w:id="417" w:name="_Toc296891271"/>
      <w:bookmarkStart w:id="418" w:name="_Toc296346732"/>
      <w:bookmarkStart w:id="419" w:name="_Toc296503231"/>
      <w:bookmarkStart w:id="420" w:name="_Toc296347230"/>
      <w:bookmarkStart w:id="421" w:name="_Toc296891059"/>
      <w:bookmarkStart w:id="422" w:name="_Toc296944570"/>
      <w:r>
        <w:rPr>
          <w:rFonts w:hint="eastAsia" w:ascii="宋体" w:hAnsi="宋体" w:cs="宋体"/>
          <w:color w:val="auto"/>
          <w:sz w:val="24"/>
        </w:rPr>
        <w:t>件8：</w:t>
      </w:r>
    </w:p>
    <w:bookmarkEnd w:id="416"/>
    <w:bookmarkEnd w:id="417"/>
    <w:bookmarkEnd w:id="418"/>
    <w:bookmarkEnd w:id="419"/>
    <w:bookmarkEnd w:id="420"/>
    <w:bookmarkEnd w:id="421"/>
    <w:bookmarkEnd w:id="422"/>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履约担保</w:t>
      </w:r>
    </w:p>
    <w:p>
      <w:pPr>
        <w:spacing w:line="440" w:lineRule="exact"/>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（发包人名称）：</w:t>
      </w:r>
    </w:p>
    <w:p>
      <w:pPr>
        <w:spacing w:line="440" w:lineRule="exact"/>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鉴于</w:t>
      </w:r>
      <w:r>
        <w:rPr>
          <w:rFonts w:hint="eastAsia" w:ascii="宋体" w:hAnsi="宋体" w:cs="宋体"/>
          <w:color w:val="auto"/>
          <w:sz w:val="24"/>
          <w:u w:val="single"/>
        </w:rPr>
        <w:t xml:space="preserve">                </w:t>
      </w:r>
      <w:r>
        <w:rPr>
          <w:rFonts w:hint="eastAsia" w:ascii="宋体" w:hAnsi="宋体" w:cs="宋体"/>
          <w:color w:val="auto"/>
          <w:sz w:val="24"/>
        </w:rPr>
        <w:t>（发包人名称，以下简称“发包人”）与</w:t>
      </w:r>
      <w:r>
        <w:rPr>
          <w:rFonts w:hint="eastAsia" w:ascii="宋体" w:hAnsi="宋体" w:cs="宋体"/>
          <w:color w:val="auto"/>
          <w:sz w:val="24"/>
          <w:u w:val="single"/>
        </w:rPr>
        <w:t xml:space="preserve">              </w:t>
      </w:r>
      <w:r>
        <w:rPr>
          <w:rFonts w:hint="eastAsia" w:ascii="宋体" w:hAnsi="宋体" w:cs="宋体"/>
          <w:color w:val="auto"/>
          <w:sz w:val="24"/>
        </w:rPr>
        <w:t>（承包人名称）（以下称“承包人”）于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日就</w:t>
      </w:r>
      <w:r>
        <w:rPr>
          <w:rFonts w:hint="eastAsia" w:ascii="宋体" w:hAnsi="宋体" w:cs="宋体"/>
          <w:color w:val="auto"/>
          <w:sz w:val="24"/>
          <w:u w:val="single"/>
        </w:rPr>
        <w:t xml:space="preserve">                         </w:t>
      </w:r>
      <w:r>
        <w:rPr>
          <w:rFonts w:hint="eastAsia" w:ascii="宋体" w:hAnsi="宋体" w:cs="宋体"/>
          <w:color w:val="auto"/>
          <w:sz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1.担保金额人民币（大写）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2.担保有效期自你方与承包人签订的合同生效之日起至你方签发或应签发工程接收证书之日止。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4.你方和承包人按合同约定变更合同时，我方承担本担保规定的义务不变。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5.因本保函发生的纠纷，可由双方协商解决，协商不成的，任何一方均可向工程所在地人民法院起诉。</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6.本保函自我方法定代表人（或其授权代理人）签字并加盖公章之日起生效。</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担 保 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60" w:lineRule="auto"/>
        <w:rPr>
          <w:rFonts w:hint="eastAsia"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（签字）</w:t>
      </w:r>
    </w:p>
    <w:p>
      <w:pPr>
        <w:spacing w:line="360" w:lineRule="auto"/>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邮政编码：</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电    话：</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u w:val="single"/>
        </w:rPr>
        <w:t xml:space="preserve">                                      </w:t>
      </w:r>
    </w:p>
    <w:p>
      <w:pPr>
        <w:spacing w:line="360" w:lineRule="auto"/>
        <w:jc w:val="left"/>
        <w:rPr>
          <w:rFonts w:hint="eastAsia" w:ascii="宋体" w:hAnsi="宋体" w:cs="宋体"/>
          <w:color w:val="auto"/>
          <w:sz w:val="24"/>
          <w:u w:val="single"/>
        </w:rPr>
      </w:pPr>
    </w:p>
    <w:p>
      <w:pPr>
        <w:spacing w:line="360" w:lineRule="auto"/>
        <w:ind w:left="1519" w:hanging="1519" w:hangingChars="633"/>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ind w:left="1519" w:hanging="1519" w:hangingChars="633"/>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附</w:t>
      </w:r>
      <w:bookmarkStart w:id="423" w:name="_Toc296891272"/>
      <w:bookmarkStart w:id="424" w:name="_Toc296503232"/>
      <w:bookmarkStart w:id="425" w:name="_Toc296891060"/>
      <w:bookmarkStart w:id="426" w:name="_Toc267261702"/>
      <w:bookmarkStart w:id="427" w:name="_Toc296347231"/>
      <w:bookmarkStart w:id="428" w:name="_Toc296346733"/>
      <w:bookmarkStart w:id="429" w:name="_Toc296944571"/>
      <w:r>
        <w:rPr>
          <w:rFonts w:hint="eastAsia" w:ascii="宋体" w:hAnsi="宋体" w:cs="宋体"/>
          <w:color w:val="auto"/>
          <w:sz w:val="24"/>
        </w:rPr>
        <w:t>件9 ：</w:t>
      </w:r>
    </w:p>
    <w:bookmarkEnd w:id="423"/>
    <w:bookmarkEnd w:id="424"/>
    <w:bookmarkEnd w:id="425"/>
    <w:bookmarkEnd w:id="426"/>
    <w:bookmarkEnd w:id="427"/>
    <w:bookmarkEnd w:id="428"/>
    <w:bookmarkEnd w:id="429"/>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预付款担保</w:t>
      </w:r>
    </w:p>
    <w:p>
      <w:pPr>
        <w:spacing w:line="360" w:lineRule="auto"/>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rPr>
        <w:t xml:space="preserve"> （发包人名称）：</w:t>
      </w:r>
    </w:p>
    <w:p>
      <w:pPr>
        <w:spacing w:line="360" w:lineRule="auto"/>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w:t>
      </w:r>
      <w:r>
        <w:rPr>
          <w:rFonts w:hint="eastAsia" w:ascii="宋体" w:hAnsi="宋体" w:cs="宋体"/>
          <w:color w:val="auto"/>
          <w:sz w:val="24"/>
          <w:u w:val="single"/>
        </w:rPr>
        <w:t xml:space="preserve">              </w:t>
      </w:r>
      <w:r>
        <w:rPr>
          <w:rFonts w:hint="eastAsia" w:ascii="宋体" w:hAnsi="宋体" w:cs="宋体"/>
          <w:color w:val="auto"/>
          <w:sz w:val="24"/>
        </w:rPr>
        <w:t>（承包人名称）（以下称“承包人”）与</w:t>
      </w:r>
      <w:r>
        <w:rPr>
          <w:rFonts w:hint="eastAsia" w:ascii="宋体" w:hAnsi="宋体" w:cs="宋体"/>
          <w:color w:val="auto"/>
          <w:sz w:val="24"/>
          <w:u w:val="single"/>
        </w:rPr>
        <w:t xml:space="preserve">            </w:t>
      </w:r>
      <w:r>
        <w:rPr>
          <w:rFonts w:hint="eastAsia" w:ascii="宋体" w:hAnsi="宋体" w:cs="宋体"/>
          <w:color w:val="auto"/>
          <w:sz w:val="24"/>
        </w:rPr>
        <w:t>（发包人名称）（以下简称“发包人”）于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日签订的</w:t>
      </w:r>
      <w:r>
        <w:rPr>
          <w:rFonts w:hint="eastAsia" w:ascii="宋体" w:hAnsi="宋体" w:cs="宋体"/>
          <w:color w:val="auto"/>
          <w:sz w:val="24"/>
          <w:u w:val="single"/>
        </w:rPr>
        <w:t xml:space="preserve">                   </w:t>
      </w:r>
      <w:r>
        <w:rPr>
          <w:rFonts w:hint="eastAsia" w:ascii="宋体" w:hAnsi="宋体" w:cs="宋体"/>
          <w:color w:val="auto"/>
          <w:sz w:val="24"/>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1.担保金额人民币（大写）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2.担保有效期自预付款支付给承包人起生效，至你方签发的进度款支付证书说明已完全扣清止。</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4.你方和承包人按合同约定变更合同时，我方承担本保函规定的义务不变。</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5.因本保函发生的纠纷，可由双方协商解决，协商不成的，任何一方均可向工程所在地人民法院起诉。</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6.本保函自我方法定代表人（或其授权代理人）签字并加盖公章之日起生效。</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担保人：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60" w:lineRule="auto"/>
        <w:rPr>
          <w:rFonts w:hint="eastAsia"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（签字）</w:t>
      </w:r>
    </w:p>
    <w:p>
      <w:pPr>
        <w:spacing w:line="360" w:lineRule="auto"/>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rPr>
          <w:rFonts w:hint="eastAsia" w:ascii="宋体" w:hAnsi="宋体" w:cs="宋体"/>
          <w:color w:val="auto"/>
          <w:sz w:val="24"/>
          <w:u w:val="single"/>
        </w:rPr>
      </w:pPr>
      <w:r>
        <w:rPr>
          <w:rFonts w:hint="eastAsia" w:ascii="宋体" w:hAnsi="宋体" w:cs="宋体"/>
          <w:color w:val="auto"/>
          <w:sz w:val="24"/>
        </w:rPr>
        <w:t>邮政编码：</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rPr>
          <w:rFonts w:hint="eastAsia" w:ascii="宋体" w:hAnsi="宋体" w:cs="宋体"/>
          <w:color w:val="auto"/>
          <w:sz w:val="24"/>
          <w:u w:val="single"/>
        </w:rPr>
      </w:pPr>
      <w:r>
        <w:rPr>
          <w:rFonts w:hint="eastAsia" w:ascii="宋体" w:hAnsi="宋体" w:cs="宋体"/>
          <w:color w:val="auto"/>
          <w:sz w:val="24"/>
        </w:rPr>
        <w:t>电    话：</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rPr>
          <w:rFonts w:hint="eastAsia" w:ascii="宋体" w:hAnsi="宋体" w:cs="宋体"/>
          <w:color w:val="auto"/>
          <w:sz w:val="24"/>
          <w:u w:val="single"/>
        </w:rPr>
      </w:pPr>
      <w:r>
        <w:rPr>
          <w:rFonts w:hint="eastAsia" w:ascii="宋体" w:hAnsi="宋体" w:cs="宋体"/>
          <w:color w:val="auto"/>
          <w:sz w:val="24"/>
        </w:rPr>
        <w:t>传    真：</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440" w:lineRule="exact"/>
        <w:rPr>
          <w:rFonts w:hint="eastAsia" w:ascii="宋体" w:hAnsi="宋体" w:cs="宋体"/>
          <w:color w:val="auto"/>
          <w:sz w:val="24"/>
        </w:rPr>
      </w:pPr>
      <w:r>
        <w:rPr>
          <w:rFonts w:hint="eastAsia" w:ascii="宋体" w:hAnsi="宋体" w:cs="宋体"/>
          <w:b/>
          <w:color w:val="auto"/>
          <w:sz w:val="24"/>
        </w:rPr>
        <w:br w:type="page"/>
      </w:r>
      <w:r>
        <w:rPr>
          <w:rFonts w:hint="eastAsia" w:ascii="宋体" w:hAnsi="宋体" w:cs="宋体"/>
          <w:color w:val="auto"/>
          <w:sz w:val="24"/>
        </w:rPr>
        <w:t>附</w:t>
      </w:r>
      <w:bookmarkStart w:id="430" w:name="_Toc296944572"/>
      <w:bookmarkStart w:id="431" w:name="_Toc296346734"/>
      <w:bookmarkStart w:id="432" w:name="_Toc296503233"/>
      <w:bookmarkStart w:id="433" w:name="_Toc296347232"/>
      <w:bookmarkStart w:id="434" w:name="_Toc296891273"/>
      <w:bookmarkStart w:id="435" w:name="_Toc296891061"/>
      <w:r>
        <w:rPr>
          <w:rFonts w:hint="eastAsia" w:ascii="宋体" w:hAnsi="宋体" w:cs="宋体"/>
          <w:color w:val="auto"/>
          <w:sz w:val="24"/>
        </w:rPr>
        <w:t xml:space="preserve">件10:  </w:t>
      </w:r>
    </w:p>
    <w:bookmarkEnd w:id="430"/>
    <w:bookmarkEnd w:id="431"/>
    <w:bookmarkEnd w:id="432"/>
    <w:bookmarkEnd w:id="433"/>
    <w:bookmarkEnd w:id="434"/>
    <w:bookmarkEnd w:id="435"/>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支付担保</w:t>
      </w:r>
    </w:p>
    <w:p>
      <w:pPr>
        <w:spacing w:line="440" w:lineRule="exact"/>
        <w:jc w:val="left"/>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（承包人）：</w:t>
      </w:r>
    </w:p>
    <w:p>
      <w:pPr>
        <w:spacing w:line="440" w:lineRule="exact"/>
        <w:jc w:val="left"/>
        <w:rPr>
          <w:rFonts w:hint="eastAsia" w:ascii="宋体" w:hAnsi="宋体" w:cs="宋体"/>
          <w:color w:val="auto"/>
          <w:sz w:val="24"/>
        </w:rPr>
      </w:pP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鉴于你方作为承包人已经与</w:t>
      </w:r>
      <w:r>
        <w:rPr>
          <w:rFonts w:hint="eastAsia" w:ascii="宋体" w:hAnsi="宋体" w:cs="宋体"/>
          <w:color w:val="auto"/>
          <w:sz w:val="24"/>
          <w:u w:val="single"/>
        </w:rPr>
        <w:t xml:space="preserve">             </w:t>
      </w:r>
      <w:r>
        <w:rPr>
          <w:rFonts w:hint="eastAsia" w:ascii="宋体" w:hAnsi="宋体" w:cs="宋体"/>
          <w:color w:val="auto"/>
          <w:sz w:val="24"/>
        </w:rPr>
        <w:t>（发包人名称）（以下称“发包人”）于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日签订了</w:t>
      </w:r>
      <w:r>
        <w:rPr>
          <w:rFonts w:hint="eastAsia" w:ascii="宋体" w:hAnsi="宋体" w:cs="宋体"/>
          <w:color w:val="auto"/>
          <w:sz w:val="24"/>
          <w:u w:val="single"/>
        </w:rPr>
        <w:t xml:space="preserve">             </w:t>
      </w:r>
      <w:r>
        <w:rPr>
          <w:rFonts w:hint="eastAsia" w:ascii="宋体" w:hAnsi="宋体" w:cs="宋体"/>
          <w:color w:val="auto"/>
          <w:sz w:val="24"/>
        </w:rPr>
        <w:t>（工程名称）《建设工程施工合同》（以下称“主合同”），应发包人的申请，我方愿就发包人履行主合同约定的工程款支付义务以保证的方式向你方提供如下担保：</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一、保证的范围及保证金额</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1.我方的保证范围是主合同约定的工程款。</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2.本保函所称主合同约定的工程款是指主合同约定的除工程质量保证金以外的合同价款。</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3.我方保证的金额是主合同约定的工程款的</w:t>
      </w:r>
      <w:r>
        <w:rPr>
          <w:rFonts w:hint="eastAsia" w:ascii="宋体" w:hAnsi="宋体" w:cs="宋体"/>
          <w:color w:val="auto"/>
          <w:sz w:val="24"/>
          <w:u w:val="single"/>
        </w:rPr>
        <w:t xml:space="preserve">      </w:t>
      </w:r>
      <w:r>
        <w:rPr>
          <w:rFonts w:hint="eastAsia" w:ascii="宋体" w:hAnsi="宋体" w:cs="宋体"/>
          <w:color w:val="auto"/>
          <w:sz w:val="24"/>
        </w:rPr>
        <w:t>%，数额最高不超过人民币元（大写：</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二、保证的方式及保证期间</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1.我方保证的方式为：连带责任保证。</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2.我方保证的期间为：自本合同生效之日起至主合同约定的工程款支付完毕之日后</w:t>
      </w:r>
      <w:r>
        <w:rPr>
          <w:rFonts w:hint="eastAsia" w:ascii="宋体" w:hAnsi="宋体" w:cs="宋体"/>
          <w:color w:val="auto"/>
          <w:sz w:val="24"/>
          <w:u w:val="single"/>
        </w:rPr>
        <w:t xml:space="preserve">    </w:t>
      </w:r>
      <w:r>
        <w:rPr>
          <w:rFonts w:hint="eastAsia" w:ascii="宋体" w:hAnsi="宋体" w:cs="宋体"/>
          <w:color w:val="auto"/>
          <w:sz w:val="24"/>
        </w:rPr>
        <w:t>日内。</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3.你方与发包人协议变更工程款支付日期的，经我方书面同意后，保证期间按照变更后的支付日期做相应调整。</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三、承担保证责任的形式</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我方承担保证责任的形式是代为支付。发包人未按主合同约定向你方支付工程款的，由我方在保证金额内代为支付。</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四、代偿的安排</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1.你方要求我方承担保证责任的，应向我方发出书面索赔通知及发包人未支付主合同约定工程款的证明材料。索赔通知应写明要求索赔的金额，支付款项应到达的账号。</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2.在出现你方与发包人因工程质量发生争议，发包人拒绝向你方支付工程款的情形时，你方要求我方履行保证责任代为支付的，需提供符合相应条件要求的工程质量检测机构出具的质量说明材料。</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3.我方收到你方的书面索赔通知及相应的证明材料后７天内无条件支付。</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五、保证责任的解除</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1.在本保函承诺的保证期间内，你方未书面向我方主张保证责任的，自保证期间届满次日起，我方保证责任解除。</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2.发包人按主合同约定履行了工程款的全部支付义务的，自本保函承诺的保证期间届满次日起，我方保证责任解除。</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3.我方按照本保函向你方履行保证责任所支付金额达到本保函保证金额时，自我方向你方支付（支付款项从我方账户划出）之日起，保证责任即解除。</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4.按照法律法规的规定或出现应解除我方保证责任的其他情形的，我方在本保函项下的保证责任亦解除。</w:t>
      </w:r>
    </w:p>
    <w:p>
      <w:pPr>
        <w:spacing w:line="312" w:lineRule="auto"/>
        <w:jc w:val="left"/>
        <w:rPr>
          <w:rFonts w:hint="eastAsia" w:ascii="宋体" w:hAnsi="宋体" w:cs="宋体"/>
          <w:color w:val="auto"/>
          <w:sz w:val="24"/>
        </w:rPr>
      </w:pP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5.我方解除保证责任后，你方应自我方保证责任解除之日起</w:t>
      </w:r>
      <w:r>
        <w:rPr>
          <w:rFonts w:hint="eastAsia" w:ascii="宋体" w:hAnsi="宋体" w:cs="宋体"/>
          <w:color w:val="auto"/>
          <w:sz w:val="24"/>
          <w:u w:val="single"/>
        </w:rPr>
        <w:t xml:space="preserve">  </w:t>
      </w:r>
      <w:r>
        <w:rPr>
          <w:rFonts w:hint="eastAsia" w:ascii="宋体" w:hAnsi="宋体" w:cs="宋体"/>
          <w:color w:val="auto"/>
          <w:sz w:val="24"/>
        </w:rPr>
        <w:t>个工作日内，将本保函原件返还我方。</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六、免责条款</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1.因你方违约致使发包人不能履行义务的，我方不承担保证责任。</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2.依照法律法规的规定或你方与发包人的另行约定，免除发包人部分或全部义务的，我方亦免除其相应的保证责任。</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3.你方与发包人协议变更主合同的，如加重发包人责任致使我方保证责任加重的，需征得我方书面同意，否则我方不再承担因此而加重部分的保证责任，但主合同第10条〔变更〕约定的变更不受本款限制。</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4.因不可抗力造成发包人不能履行义务的，我方不承担保证责任。</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七、争议解决</w:t>
      </w:r>
    </w:p>
    <w:p>
      <w:pPr>
        <w:spacing w:line="312" w:lineRule="auto"/>
        <w:ind w:firstLine="480" w:firstLineChars="200"/>
        <w:rPr>
          <w:rFonts w:hint="eastAsia" w:ascii="宋体" w:hAnsi="宋体" w:cs="宋体"/>
          <w:color w:val="auto"/>
          <w:sz w:val="24"/>
        </w:rPr>
      </w:pPr>
      <w:r>
        <w:rPr>
          <w:rFonts w:hint="eastAsia" w:ascii="宋体" w:hAnsi="宋体" w:cs="宋体"/>
          <w:color w:val="auto"/>
          <w:sz w:val="24"/>
        </w:rPr>
        <w:t>因本保函或本保函相关事项发生的纠纷，可由双方协商解决，协商不成的，按下列第</w:t>
      </w:r>
      <w:r>
        <w:rPr>
          <w:rFonts w:hint="eastAsia" w:ascii="宋体" w:hAnsi="宋体" w:cs="宋体"/>
          <w:color w:val="auto"/>
          <w:sz w:val="24"/>
          <w:u w:val="single"/>
        </w:rPr>
        <w:t>（2）</w:t>
      </w:r>
      <w:r>
        <w:rPr>
          <w:rFonts w:hint="eastAsia" w:ascii="宋体" w:hAnsi="宋体" w:cs="宋体"/>
          <w:color w:val="auto"/>
          <w:sz w:val="24"/>
        </w:rPr>
        <w:t>种方式解决：</w:t>
      </w:r>
    </w:p>
    <w:p>
      <w:pPr>
        <w:spacing w:line="312" w:lineRule="auto"/>
        <w:ind w:firstLine="480" w:firstLineChars="200"/>
        <w:rPr>
          <w:rFonts w:hint="eastAsia" w:ascii="宋体" w:hAnsi="宋体" w:cs="宋体"/>
          <w:color w:val="auto"/>
          <w:sz w:val="24"/>
        </w:rPr>
      </w:pPr>
      <w:r>
        <w:rPr>
          <w:rFonts w:hint="eastAsia" w:ascii="宋体" w:hAnsi="宋体" w:cs="宋体"/>
          <w:color w:val="auto"/>
          <w:sz w:val="24"/>
        </w:rPr>
        <w:t>（1）向</w:t>
      </w:r>
      <w:r>
        <w:rPr>
          <w:rFonts w:hint="eastAsia" w:ascii="宋体" w:hAnsi="宋体" w:cs="宋体"/>
          <w:color w:val="auto"/>
          <w:sz w:val="24"/>
          <w:u w:val="single"/>
        </w:rPr>
        <w:t xml:space="preserve">              </w:t>
      </w:r>
      <w:r>
        <w:rPr>
          <w:rFonts w:hint="eastAsia" w:ascii="宋体" w:hAnsi="宋体" w:cs="宋体"/>
          <w:color w:val="auto"/>
          <w:sz w:val="24"/>
        </w:rPr>
        <w:t>仲裁委员会申请仲裁；</w:t>
      </w:r>
    </w:p>
    <w:p>
      <w:pPr>
        <w:spacing w:line="312" w:lineRule="auto"/>
        <w:ind w:firstLine="480" w:firstLineChars="200"/>
        <w:rPr>
          <w:rFonts w:hint="eastAsia" w:ascii="宋体" w:hAnsi="宋体" w:cs="宋体"/>
          <w:color w:val="auto"/>
          <w:sz w:val="24"/>
        </w:rPr>
      </w:pPr>
      <w:r>
        <w:rPr>
          <w:rFonts w:hint="eastAsia" w:ascii="宋体" w:hAnsi="宋体" w:cs="宋体"/>
          <w:color w:val="auto"/>
          <w:sz w:val="24"/>
        </w:rPr>
        <w:t>（2）向</w:t>
      </w:r>
      <w:r>
        <w:rPr>
          <w:rFonts w:hint="eastAsia" w:ascii="宋体" w:hAnsi="宋体" w:cs="宋体"/>
          <w:color w:val="auto"/>
          <w:sz w:val="24"/>
          <w:u w:val="single"/>
        </w:rPr>
        <w:t>工程所在地</w:t>
      </w:r>
      <w:r>
        <w:rPr>
          <w:rFonts w:hint="eastAsia" w:ascii="宋体" w:hAnsi="宋体" w:cs="宋体"/>
          <w:color w:val="auto"/>
          <w:sz w:val="24"/>
        </w:rPr>
        <w:t>人民法院起诉。</w:t>
      </w:r>
    </w:p>
    <w:p>
      <w:pPr>
        <w:spacing w:line="312" w:lineRule="auto"/>
        <w:ind w:firstLine="480" w:firstLineChars="200"/>
        <w:rPr>
          <w:rFonts w:hint="eastAsia" w:ascii="宋体" w:hAnsi="宋体" w:cs="宋体"/>
          <w:color w:val="auto"/>
          <w:sz w:val="24"/>
        </w:rPr>
      </w:pPr>
      <w:r>
        <w:rPr>
          <w:rFonts w:hint="eastAsia" w:ascii="宋体" w:hAnsi="宋体" w:cs="宋体"/>
          <w:color w:val="auto"/>
          <w:sz w:val="24"/>
        </w:rPr>
        <w:t>八、保函的生效</w:t>
      </w:r>
    </w:p>
    <w:p>
      <w:pPr>
        <w:spacing w:line="312" w:lineRule="auto"/>
        <w:ind w:firstLine="480" w:firstLineChars="200"/>
        <w:jc w:val="left"/>
        <w:rPr>
          <w:rFonts w:hint="eastAsia" w:ascii="宋体" w:hAnsi="宋体" w:cs="宋体"/>
          <w:color w:val="auto"/>
          <w:sz w:val="24"/>
        </w:rPr>
      </w:pPr>
      <w:r>
        <w:rPr>
          <w:rFonts w:hint="eastAsia" w:ascii="宋体" w:hAnsi="宋体" w:cs="宋体"/>
          <w:color w:val="auto"/>
          <w:sz w:val="24"/>
        </w:rPr>
        <w:t>本保函自我方法定代表人（或其授权代理人）签字并加盖公章之日起生效。</w:t>
      </w:r>
    </w:p>
    <w:p>
      <w:pPr>
        <w:spacing w:line="312" w:lineRule="auto"/>
        <w:ind w:firstLine="480" w:firstLineChars="200"/>
        <w:jc w:val="left"/>
        <w:rPr>
          <w:rFonts w:hint="eastAsia" w:ascii="宋体" w:hAnsi="宋体" w:cs="宋体"/>
          <w:color w:val="auto"/>
          <w:sz w:val="24"/>
        </w:rPr>
      </w:pPr>
    </w:p>
    <w:p>
      <w:pPr>
        <w:spacing w:line="312" w:lineRule="auto"/>
        <w:ind w:firstLine="480" w:firstLineChars="200"/>
        <w:jc w:val="left"/>
        <w:rPr>
          <w:rFonts w:hint="eastAsia" w:ascii="宋体" w:hAnsi="宋体" w:cs="宋体"/>
          <w:color w:val="auto"/>
          <w:sz w:val="24"/>
        </w:rPr>
      </w:pPr>
    </w:p>
    <w:p>
      <w:pPr>
        <w:spacing w:line="312" w:lineRule="auto"/>
        <w:ind w:right="600"/>
        <w:jc w:val="left"/>
        <w:rPr>
          <w:rFonts w:hint="eastAsia" w:ascii="宋体" w:hAnsi="宋体" w:cs="宋体"/>
          <w:color w:val="auto"/>
          <w:sz w:val="24"/>
        </w:rPr>
      </w:pPr>
      <w:r>
        <w:rPr>
          <w:rFonts w:hint="eastAsia" w:ascii="宋体" w:hAnsi="宋体" w:cs="宋体"/>
          <w:color w:val="auto"/>
          <w:sz w:val="24"/>
        </w:rPr>
        <w:t>担保人：</w:t>
      </w:r>
      <w:r>
        <w:rPr>
          <w:rFonts w:hint="eastAsia" w:ascii="宋体" w:hAnsi="宋体" w:cs="宋体"/>
          <w:color w:val="auto"/>
          <w:sz w:val="24"/>
          <w:u w:val="single"/>
        </w:rPr>
        <w:t xml:space="preserve">                                   </w:t>
      </w:r>
      <w:r>
        <w:rPr>
          <w:rFonts w:hint="eastAsia" w:ascii="宋体" w:hAnsi="宋体" w:cs="宋体"/>
          <w:color w:val="auto"/>
          <w:sz w:val="24"/>
        </w:rPr>
        <w:t>（盖章）</w:t>
      </w:r>
    </w:p>
    <w:p>
      <w:pPr>
        <w:spacing w:line="312" w:lineRule="auto"/>
        <w:ind w:right="1200"/>
        <w:rPr>
          <w:rFonts w:hint="eastAsia" w:ascii="宋体" w:hAnsi="宋体" w:cs="宋体"/>
          <w:color w:val="auto"/>
          <w:sz w:val="24"/>
        </w:rPr>
      </w:pPr>
      <w:r>
        <w:rPr>
          <w:rFonts w:hint="eastAsia" w:ascii="宋体" w:hAnsi="宋体" w:cs="宋体"/>
          <w:color w:val="auto"/>
          <w:sz w:val="24"/>
        </w:rPr>
        <w:t>法定代表人或委托代理人：</w:t>
      </w:r>
      <w:r>
        <w:rPr>
          <w:rFonts w:hint="eastAsia" w:ascii="宋体" w:hAnsi="宋体" w:cs="宋体"/>
          <w:color w:val="auto"/>
          <w:sz w:val="24"/>
          <w:u w:val="single"/>
        </w:rPr>
        <w:t xml:space="preserve">                   </w:t>
      </w:r>
      <w:r>
        <w:rPr>
          <w:rFonts w:hint="eastAsia" w:ascii="宋体" w:hAnsi="宋体" w:cs="宋体"/>
          <w:color w:val="auto"/>
          <w:sz w:val="24"/>
        </w:rPr>
        <w:t>（签字）</w:t>
      </w:r>
    </w:p>
    <w:p>
      <w:pPr>
        <w:spacing w:line="312" w:lineRule="auto"/>
        <w:jc w:val="left"/>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312" w:lineRule="auto"/>
        <w:jc w:val="left"/>
        <w:rPr>
          <w:rFonts w:hint="eastAsia" w:ascii="宋体" w:hAnsi="宋体" w:cs="宋体"/>
          <w:color w:val="auto"/>
          <w:sz w:val="24"/>
        </w:rPr>
      </w:pPr>
      <w:r>
        <w:rPr>
          <w:rFonts w:hint="eastAsia" w:ascii="宋体" w:hAnsi="宋体" w:cs="宋体"/>
          <w:color w:val="auto"/>
          <w:sz w:val="24"/>
        </w:rPr>
        <w:t>邮政编码：</w:t>
      </w:r>
      <w:r>
        <w:rPr>
          <w:rFonts w:hint="eastAsia" w:ascii="宋体" w:hAnsi="宋体" w:cs="宋体"/>
          <w:color w:val="auto"/>
          <w:sz w:val="24"/>
          <w:u w:val="single"/>
        </w:rPr>
        <w:t xml:space="preserve">                                        </w:t>
      </w:r>
    </w:p>
    <w:p>
      <w:pPr>
        <w:spacing w:line="312" w:lineRule="auto"/>
        <w:jc w:val="left"/>
        <w:rPr>
          <w:rFonts w:hint="eastAsia"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u w:val="single"/>
        </w:rPr>
        <w:t xml:space="preserve">                                        </w:t>
      </w:r>
    </w:p>
    <w:p>
      <w:pPr>
        <w:spacing w:line="312" w:lineRule="auto"/>
        <w:ind w:right="150" w:firstLine="480" w:firstLineChars="200"/>
        <w:jc w:val="left"/>
        <w:rPr>
          <w:rFonts w:hint="eastAsia" w:ascii="宋体" w:hAnsi="宋体" w:cs="宋体"/>
          <w:color w:val="auto"/>
          <w:sz w:val="24"/>
          <w:u w:val="single"/>
        </w:rPr>
      </w:pPr>
    </w:p>
    <w:p>
      <w:pPr>
        <w:spacing w:line="312" w:lineRule="auto"/>
        <w:ind w:right="150" w:firstLine="480" w:firstLineChars="200"/>
        <w:jc w:val="left"/>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440" w:lineRule="exac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附件11：</w:t>
      </w:r>
    </w:p>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t>11-1：材料暂估价表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序号</w:t>
            </w:r>
          </w:p>
        </w:tc>
        <w:tc>
          <w:tcPr>
            <w:tcW w:w="1984"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名称</w:t>
            </w:r>
          </w:p>
        </w:tc>
        <w:tc>
          <w:tcPr>
            <w:tcW w:w="851"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单位</w:t>
            </w:r>
          </w:p>
        </w:tc>
        <w:tc>
          <w:tcPr>
            <w:tcW w:w="774"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数量</w:t>
            </w:r>
          </w:p>
        </w:tc>
        <w:tc>
          <w:tcPr>
            <w:tcW w:w="1352"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单价（元）</w:t>
            </w:r>
          </w:p>
        </w:tc>
        <w:tc>
          <w:tcPr>
            <w:tcW w:w="1418"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合价（元）</w:t>
            </w:r>
          </w:p>
        </w:tc>
        <w:tc>
          <w:tcPr>
            <w:tcW w:w="1701"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984"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851"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774"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352"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418"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701"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4"/>
              <w:keepNext/>
              <w:spacing w:line="440" w:lineRule="exact"/>
              <w:ind w:left="63" w:right="63"/>
              <w:rPr>
                <w:rFonts w:hint="eastAsia" w:hAnsi="宋体" w:cs="宋体"/>
                <w:color w:val="auto"/>
                <w:szCs w:val="24"/>
                <w:lang w:val="en-US"/>
              </w:rPr>
            </w:pPr>
          </w:p>
        </w:tc>
        <w:tc>
          <w:tcPr>
            <w:tcW w:w="1984" w:type="dxa"/>
            <w:tcBorders>
              <w:top w:val="nil"/>
            </w:tcBorders>
          </w:tcPr>
          <w:p>
            <w:pPr>
              <w:pStyle w:val="24"/>
              <w:keepNext/>
              <w:spacing w:line="440" w:lineRule="exact"/>
              <w:ind w:left="63" w:right="63"/>
              <w:rPr>
                <w:rFonts w:hint="eastAsia" w:hAnsi="宋体" w:cs="宋体"/>
                <w:color w:val="auto"/>
                <w:szCs w:val="24"/>
                <w:lang w:val="en-US"/>
              </w:rPr>
            </w:pPr>
          </w:p>
        </w:tc>
        <w:tc>
          <w:tcPr>
            <w:tcW w:w="851" w:type="dxa"/>
            <w:tcBorders>
              <w:top w:val="nil"/>
            </w:tcBorders>
          </w:tcPr>
          <w:p>
            <w:pPr>
              <w:pStyle w:val="24"/>
              <w:keepNext/>
              <w:spacing w:line="440" w:lineRule="exact"/>
              <w:ind w:left="63" w:right="63"/>
              <w:rPr>
                <w:rFonts w:hint="eastAsia" w:hAnsi="宋体" w:cs="宋体"/>
                <w:color w:val="auto"/>
                <w:szCs w:val="24"/>
                <w:lang w:val="en-US"/>
              </w:rPr>
            </w:pPr>
          </w:p>
        </w:tc>
        <w:tc>
          <w:tcPr>
            <w:tcW w:w="774" w:type="dxa"/>
            <w:tcBorders>
              <w:top w:val="nil"/>
            </w:tcBorders>
          </w:tcPr>
          <w:p>
            <w:pPr>
              <w:pStyle w:val="24"/>
              <w:keepNext/>
              <w:spacing w:line="440" w:lineRule="exact"/>
              <w:ind w:left="63" w:right="63"/>
              <w:rPr>
                <w:rFonts w:hint="eastAsia" w:hAnsi="宋体" w:cs="宋体"/>
                <w:color w:val="auto"/>
                <w:szCs w:val="24"/>
                <w:lang w:val="en-US"/>
              </w:rPr>
            </w:pPr>
          </w:p>
        </w:tc>
        <w:tc>
          <w:tcPr>
            <w:tcW w:w="1352" w:type="dxa"/>
            <w:tcBorders>
              <w:top w:val="nil"/>
            </w:tcBorders>
          </w:tcPr>
          <w:p>
            <w:pPr>
              <w:pStyle w:val="24"/>
              <w:keepNext/>
              <w:spacing w:line="440" w:lineRule="exact"/>
              <w:ind w:left="63" w:right="63"/>
              <w:rPr>
                <w:rFonts w:hint="eastAsia" w:hAnsi="宋体" w:cs="宋体"/>
                <w:color w:val="auto"/>
                <w:szCs w:val="24"/>
                <w:lang w:val="en-US"/>
              </w:rPr>
            </w:pPr>
          </w:p>
        </w:tc>
        <w:tc>
          <w:tcPr>
            <w:tcW w:w="1418" w:type="dxa"/>
            <w:tcBorders>
              <w:top w:val="nil"/>
            </w:tcBorders>
          </w:tcPr>
          <w:p>
            <w:pPr>
              <w:pStyle w:val="24"/>
              <w:keepNext/>
              <w:spacing w:line="440" w:lineRule="exact"/>
              <w:ind w:left="63" w:right="63"/>
              <w:rPr>
                <w:rFonts w:hint="eastAsia" w:hAnsi="宋体" w:cs="宋体"/>
                <w:color w:val="auto"/>
                <w:szCs w:val="24"/>
                <w:lang w:val="en-US"/>
              </w:rPr>
            </w:pPr>
          </w:p>
        </w:tc>
        <w:tc>
          <w:tcPr>
            <w:tcW w:w="1701" w:type="dxa"/>
            <w:tcBorders>
              <w:top w:val="nil"/>
            </w:tcBorders>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bl>
    <w:p>
      <w:pPr>
        <w:spacing w:before="120" w:beforeLines="50" w:after="120" w:afterLines="50" w:line="440" w:lineRule="exact"/>
        <w:rPr>
          <w:rFonts w:hint="eastAsia" w:ascii="宋体" w:hAnsi="宋体" w:cs="宋体"/>
          <w:color w:val="auto"/>
          <w:sz w:val="24"/>
        </w:rPr>
      </w:pPr>
    </w:p>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11-2：工程设备暂估价表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序号</w:t>
            </w:r>
          </w:p>
        </w:tc>
        <w:tc>
          <w:tcPr>
            <w:tcW w:w="1984"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名称</w:t>
            </w:r>
          </w:p>
        </w:tc>
        <w:tc>
          <w:tcPr>
            <w:tcW w:w="851"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单位</w:t>
            </w:r>
          </w:p>
        </w:tc>
        <w:tc>
          <w:tcPr>
            <w:tcW w:w="774"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数量</w:t>
            </w:r>
          </w:p>
        </w:tc>
        <w:tc>
          <w:tcPr>
            <w:tcW w:w="1352"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单价（元）</w:t>
            </w:r>
          </w:p>
        </w:tc>
        <w:tc>
          <w:tcPr>
            <w:tcW w:w="1418"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合价（元）</w:t>
            </w:r>
          </w:p>
        </w:tc>
        <w:tc>
          <w:tcPr>
            <w:tcW w:w="1701"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984"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851"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774"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352"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418"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701"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4"/>
              <w:keepNext/>
              <w:spacing w:line="440" w:lineRule="exact"/>
              <w:ind w:left="63" w:right="63"/>
              <w:rPr>
                <w:rFonts w:hint="eastAsia" w:hAnsi="宋体" w:cs="宋体"/>
                <w:color w:val="auto"/>
                <w:szCs w:val="24"/>
                <w:lang w:val="en-US"/>
              </w:rPr>
            </w:pPr>
          </w:p>
        </w:tc>
        <w:tc>
          <w:tcPr>
            <w:tcW w:w="1984" w:type="dxa"/>
            <w:tcBorders>
              <w:top w:val="nil"/>
            </w:tcBorders>
          </w:tcPr>
          <w:p>
            <w:pPr>
              <w:pStyle w:val="24"/>
              <w:keepNext/>
              <w:spacing w:line="440" w:lineRule="exact"/>
              <w:ind w:left="63" w:right="63"/>
              <w:rPr>
                <w:rFonts w:hint="eastAsia" w:hAnsi="宋体" w:cs="宋体"/>
                <w:color w:val="auto"/>
                <w:szCs w:val="24"/>
                <w:lang w:val="en-US"/>
              </w:rPr>
            </w:pPr>
          </w:p>
        </w:tc>
        <w:tc>
          <w:tcPr>
            <w:tcW w:w="851" w:type="dxa"/>
            <w:tcBorders>
              <w:top w:val="nil"/>
            </w:tcBorders>
          </w:tcPr>
          <w:p>
            <w:pPr>
              <w:pStyle w:val="24"/>
              <w:keepNext/>
              <w:spacing w:line="440" w:lineRule="exact"/>
              <w:ind w:left="63" w:right="63"/>
              <w:rPr>
                <w:rFonts w:hint="eastAsia" w:hAnsi="宋体" w:cs="宋体"/>
                <w:color w:val="auto"/>
                <w:szCs w:val="24"/>
                <w:lang w:val="en-US"/>
              </w:rPr>
            </w:pPr>
          </w:p>
        </w:tc>
        <w:tc>
          <w:tcPr>
            <w:tcW w:w="774" w:type="dxa"/>
            <w:tcBorders>
              <w:top w:val="nil"/>
            </w:tcBorders>
          </w:tcPr>
          <w:p>
            <w:pPr>
              <w:pStyle w:val="24"/>
              <w:keepNext/>
              <w:spacing w:line="440" w:lineRule="exact"/>
              <w:ind w:left="63" w:right="63"/>
              <w:rPr>
                <w:rFonts w:hint="eastAsia" w:hAnsi="宋体" w:cs="宋体"/>
                <w:color w:val="auto"/>
                <w:szCs w:val="24"/>
                <w:lang w:val="en-US"/>
              </w:rPr>
            </w:pPr>
          </w:p>
        </w:tc>
        <w:tc>
          <w:tcPr>
            <w:tcW w:w="1352" w:type="dxa"/>
            <w:tcBorders>
              <w:top w:val="nil"/>
            </w:tcBorders>
          </w:tcPr>
          <w:p>
            <w:pPr>
              <w:pStyle w:val="24"/>
              <w:keepNext/>
              <w:spacing w:line="440" w:lineRule="exact"/>
              <w:ind w:left="63" w:right="63"/>
              <w:rPr>
                <w:rFonts w:hint="eastAsia" w:hAnsi="宋体" w:cs="宋体"/>
                <w:color w:val="auto"/>
                <w:szCs w:val="24"/>
                <w:lang w:val="en-US"/>
              </w:rPr>
            </w:pPr>
          </w:p>
        </w:tc>
        <w:tc>
          <w:tcPr>
            <w:tcW w:w="1418" w:type="dxa"/>
            <w:tcBorders>
              <w:top w:val="nil"/>
            </w:tcBorders>
          </w:tcPr>
          <w:p>
            <w:pPr>
              <w:pStyle w:val="24"/>
              <w:keepNext/>
              <w:spacing w:line="440" w:lineRule="exact"/>
              <w:ind w:left="63" w:right="63"/>
              <w:rPr>
                <w:rFonts w:hint="eastAsia" w:hAnsi="宋体" w:cs="宋体"/>
                <w:color w:val="auto"/>
                <w:szCs w:val="24"/>
                <w:lang w:val="en-US"/>
              </w:rPr>
            </w:pPr>
          </w:p>
        </w:tc>
        <w:tc>
          <w:tcPr>
            <w:tcW w:w="1701" w:type="dxa"/>
            <w:tcBorders>
              <w:top w:val="nil"/>
            </w:tcBorders>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bl>
    <w:p>
      <w:pPr>
        <w:spacing w:line="440" w:lineRule="exact"/>
        <w:rPr>
          <w:rFonts w:hint="eastAsia" w:ascii="宋体" w:hAnsi="宋体" w:cs="宋体"/>
          <w:color w:val="auto"/>
          <w:sz w:val="24"/>
        </w:rPr>
      </w:pPr>
    </w:p>
    <w:p>
      <w:pPr>
        <w:spacing w:before="120" w:beforeLines="50" w:after="120" w:afterLines="50" w:line="440" w:lineRule="exact"/>
        <w:jc w:val="center"/>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11-3：专业工程暂估价表</w:t>
      </w:r>
    </w:p>
    <w:tbl>
      <w:tblPr>
        <w:tblStyle w:val="63"/>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序号</w:t>
            </w:r>
          </w:p>
        </w:tc>
        <w:tc>
          <w:tcPr>
            <w:tcW w:w="1984"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名称</w:t>
            </w:r>
          </w:p>
        </w:tc>
        <w:tc>
          <w:tcPr>
            <w:tcW w:w="851"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单位</w:t>
            </w:r>
          </w:p>
        </w:tc>
        <w:tc>
          <w:tcPr>
            <w:tcW w:w="774"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数量</w:t>
            </w:r>
          </w:p>
        </w:tc>
        <w:tc>
          <w:tcPr>
            <w:tcW w:w="1352"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单价（元）</w:t>
            </w:r>
          </w:p>
        </w:tc>
        <w:tc>
          <w:tcPr>
            <w:tcW w:w="1418"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合价（元）</w:t>
            </w:r>
          </w:p>
        </w:tc>
        <w:tc>
          <w:tcPr>
            <w:tcW w:w="1701" w:type="dxa"/>
            <w:tcBorders>
              <w:top w:val="single" w:color="auto" w:sz="12" w:space="0"/>
              <w:bottom w:val="double" w:color="auto" w:sz="6" w:space="0"/>
            </w:tcBorders>
          </w:tcPr>
          <w:p>
            <w:pPr>
              <w:pStyle w:val="24"/>
              <w:keepNext/>
              <w:spacing w:line="440" w:lineRule="exact"/>
              <w:ind w:left="63" w:right="63"/>
              <w:rPr>
                <w:rFonts w:hint="eastAsia" w:hAnsi="宋体" w:cs="宋体"/>
                <w:color w:val="auto"/>
                <w:szCs w:val="24"/>
                <w:lang w:val="en-US"/>
              </w:rPr>
            </w:pPr>
            <w:r>
              <w:rPr>
                <w:rFonts w:hint="eastAsia" w:hAnsi="宋体" w:cs="宋体"/>
                <w:color w:val="auto"/>
                <w:szCs w:val="24"/>
                <w:lang w:val="en-US"/>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984"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851"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774"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352"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418"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c>
          <w:tcPr>
            <w:tcW w:w="1701" w:type="dxa"/>
            <w:tcBorders>
              <w:top w:val="double" w:color="auto" w:sz="6" w:space="0"/>
              <w:bottom w:val="single" w:color="auto" w:sz="6" w:space="0"/>
            </w:tcBorders>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4"/>
              <w:keepNext/>
              <w:spacing w:line="440" w:lineRule="exact"/>
              <w:ind w:left="63" w:right="63"/>
              <w:rPr>
                <w:rFonts w:hint="eastAsia" w:hAnsi="宋体" w:cs="宋体"/>
                <w:color w:val="auto"/>
                <w:szCs w:val="24"/>
                <w:lang w:val="en-US"/>
              </w:rPr>
            </w:pPr>
          </w:p>
        </w:tc>
        <w:tc>
          <w:tcPr>
            <w:tcW w:w="1984" w:type="dxa"/>
            <w:tcBorders>
              <w:top w:val="nil"/>
            </w:tcBorders>
          </w:tcPr>
          <w:p>
            <w:pPr>
              <w:pStyle w:val="24"/>
              <w:keepNext/>
              <w:spacing w:line="440" w:lineRule="exact"/>
              <w:ind w:left="63" w:right="63"/>
              <w:rPr>
                <w:rFonts w:hint="eastAsia" w:hAnsi="宋体" w:cs="宋体"/>
                <w:color w:val="auto"/>
                <w:szCs w:val="24"/>
                <w:lang w:val="en-US"/>
              </w:rPr>
            </w:pPr>
          </w:p>
        </w:tc>
        <w:tc>
          <w:tcPr>
            <w:tcW w:w="851" w:type="dxa"/>
            <w:tcBorders>
              <w:top w:val="nil"/>
            </w:tcBorders>
          </w:tcPr>
          <w:p>
            <w:pPr>
              <w:pStyle w:val="24"/>
              <w:keepNext/>
              <w:spacing w:line="440" w:lineRule="exact"/>
              <w:ind w:left="63" w:right="63"/>
              <w:rPr>
                <w:rFonts w:hint="eastAsia" w:hAnsi="宋体" w:cs="宋体"/>
                <w:color w:val="auto"/>
                <w:szCs w:val="24"/>
                <w:lang w:val="en-US"/>
              </w:rPr>
            </w:pPr>
          </w:p>
        </w:tc>
        <w:tc>
          <w:tcPr>
            <w:tcW w:w="774" w:type="dxa"/>
            <w:tcBorders>
              <w:top w:val="nil"/>
            </w:tcBorders>
          </w:tcPr>
          <w:p>
            <w:pPr>
              <w:pStyle w:val="24"/>
              <w:keepNext/>
              <w:spacing w:line="440" w:lineRule="exact"/>
              <w:ind w:left="63" w:right="63"/>
              <w:rPr>
                <w:rFonts w:hint="eastAsia" w:hAnsi="宋体" w:cs="宋体"/>
                <w:color w:val="auto"/>
                <w:szCs w:val="24"/>
                <w:lang w:val="en-US"/>
              </w:rPr>
            </w:pPr>
          </w:p>
        </w:tc>
        <w:tc>
          <w:tcPr>
            <w:tcW w:w="1352" w:type="dxa"/>
            <w:tcBorders>
              <w:top w:val="nil"/>
            </w:tcBorders>
          </w:tcPr>
          <w:p>
            <w:pPr>
              <w:pStyle w:val="24"/>
              <w:keepNext/>
              <w:spacing w:line="440" w:lineRule="exact"/>
              <w:ind w:left="63" w:right="63"/>
              <w:rPr>
                <w:rFonts w:hint="eastAsia" w:hAnsi="宋体" w:cs="宋体"/>
                <w:color w:val="auto"/>
                <w:szCs w:val="24"/>
                <w:lang w:val="en-US"/>
              </w:rPr>
            </w:pPr>
          </w:p>
        </w:tc>
        <w:tc>
          <w:tcPr>
            <w:tcW w:w="1418" w:type="dxa"/>
            <w:tcBorders>
              <w:top w:val="nil"/>
            </w:tcBorders>
          </w:tcPr>
          <w:p>
            <w:pPr>
              <w:pStyle w:val="24"/>
              <w:keepNext/>
              <w:spacing w:line="440" w:lineRule="exact"/>
              <w:ind w:left="63" w:right="63"/>
              <w:rPr>
                <w:rFonts w:hint="eastAsia" w:hAnsi="宋体" w:cs="宋体"/>
                <w:color w:val="auto"/>
                <w:szCs w:val="24"/>
                <w:lang w:val="en-US"/>
              </w:rPr>
            </w:pPr>
          </w:p>
        </w:tc>
        <w:tc>
          <w:tcPr>
            <w:tcW w:w="1701" w:type="dxa"/>
            <w:tcBorders>
              <w:top w:val="nil"/>
            </w:tcBorders>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4"/>
              <w:keepNext/>
              <w:spacing w:line="440" w:lineRule="exact"/>
              <w:ind w:left="63" w:right="63"/>
              <w:rPr>
                <w:rFonts w:hint="eastAsia" w:hAnsi="宋体" w:cs="宋体"/>
                <w:color w:val="auto"/>
                <w:szCs w:val="24"/>
                <w:lang w:val="en-US"/>
              </w:rPr>
            </w:pPr>
          </w:p>
        </w:tc>
        <w:tc>
          <w:tcPr>
            <w:tcW w:w="1984" w:type="dxa"/>
          </w:tcPr>
          <w:p>
            <w:pPr>
              <w:pStyle w:val="24"/>
              <w:keepNext/>
              <w:spacing w:line="440" w:lineRule="exact"/>
              <w:ind w:left="63" w:right="63"/>
              <w:rPr>
                <w:rFonts w:hint="eastAsia" w:hAnsi="宋体" w:cs="宋体"/>
                <w:color w:val="auto"/>
                <w:szCs w:val="24"/>
                <w:lang w:val="en-US"/>
              </w:rPr>
            </w:pPr>
          </w:p>
        </w:tc>
        <w:tc>
          <w:tcPr>
            <w:tcW w:w="851" w:type="dxa"/>
          </w:tcPr>
          <w:p>
            <w:pPr>
              <w:pStyle w:val="24"/>
              <w:keepNext/>
              <w:spacing w:line="440" w:lineRule="exact"/>
              <w:ind w:left="63" w:right="63"/>
              <w:rPr>
                <w:rFonts w:hint="eastAsia" w:hAnsi="宋体" w:cs="宋体"/>
                <w:color w:val="auto"/>
                <w:szCs w:val="24"/>
                <w:lang w:val="en-US"/>
              </w:rPr>
            </w:pPr>
          </w:p>
        </w:tc>
        <w:tc>
          <w:tcPr>
            <w:tcW w:w="774" w:type="dxa"/>
          </w:tcPr>
          <w:p>
            <w:pPr>
              <w:pStyle w:val="24"/>
              <w:keepNext/>
              <w:spacing w:line="440" w:lineRule="exact"/>
              <w:ind w:left="63" w:right="63"/>
              <w:rPr>
                <w:rFonts w:hint="eastAsia" w:hAnsi="宋体" w:cs="宋体"/>
                <w:color w:val="auto"/>
                <w:szCs w:val="24"/>
                <w:lang w:val="en-US"/>
              </w:rPr>
            </w:pPr>
          </w:p>
        </w:tc>
        <w:tc>
          <w:tcPr>
            <w:tcW w:w="1352" w:type="dxa"/>
          </w:tcPr>
          <w:p>
            <w:pPr>
              <w:pStyle w:val="24"/>
              <w:keepNext/>
              <w:spacing w:line="440" w:lineRule="exact"/>
              <w:ind w:left="63" w:right="63"/>
              <w:rPr>
                <w:rFonts w:hint="eastAsia" w:hAnsi="宋体" w:cs="宋体"/>
                <w:color w:val="auto"/>
                <w:szCs w:val="24"/>
                <w:lang w:val="en-US"/>
              </w:rPr>
            </w:pPr>
          </w:p>
        </w:tc>
        <w:tc>
          <w:tcPr>
            <w:tcW w:w="1418" w:type="dxa"/>
          </w:tcPr>
          <w:p>
            <w:pPr>
              <w:pStyle w:val="24"/>
              <w:keepNext/>
              <w:spacing w:line="440" w:lineRule="exact"/>
              <w:ind w:left="63" w:right="63"/>
              <w:rPr>
                <w:rFonts w:hint="eastAsia" w:hAnsi="宋体" w:cs="宋体"/>
                <w:color w:val="auto"/>
                <w:szCs w:val="24"/>
                <w:lang w:val="en-US"/>
              </w:rPr>
            </w:pPr>
          </w:p>
        </w:tc>
        <w:tc>
          <w:tcPr>
            <w:tcW w:w="1701" w:type="dxa"/>
          </w:tcPr>
          <w:p>
            <w:pPr>
              <w:pStyle w:val="24"/>
              <w:keepNext/>
              <w:spacing w:line="440" w:lineRule="exact"/>
              <w:ind w:left="63" w:right="63"/>
              <w:rPr>
                <w:rFonts w:hint="eastAsia" w:hAnsi="宋体" w:cs="宋体"/>
                <w:color w:val="auto"/>
                <w:szCs w:val="24"/>
                <w:lang w:val="en-US"/>
              </w:rPr>
            </w:pPr>
          </w:p>
        </w:tc>
      </w:tr>
      <w:bookmarkEnd w:id="399"/>
      <w:bookmarkEnd w:id="400"/>
    </w:tbl>
    <w:p>
      <w:pPr>
        <w:rPr>
          <w:rFonts w:hint="eastAsia" w:ascii="宋体" w:hAnsi="宋体" w:cs="宋体"/>
          <w:color w:val="auto"/>
          <w:szCs w:val="21"/>
        </w:rPr>
      </w:pPr>
    </w:p>
    <w:p>
      <w:pPr>
        <w:widowControl/>
        <w:adjustRightInd/>
        <w:jc w:val="left"/>
        <w:rPr>
          <w:rFonts w:hint="eastAsia" w:ascii="宋体" w:hAnsi="宋体" w:cs="宋体"/>
          <w:b/>
          <w:color w:val="auto"/>
          <w:sz w:val="36"/>
          <w:szCs w:val="20"/>
        </w:rPr>
      </w:pPr>
      <w:r>
        <w:rPr>
          <w:rFonts w:hint="eastAsia" w:ascii="宋体" w:hAnsi="宋体" w:cs="宋体"/>
          <w:b/>
          <w:color w:val="auto"/>
          <w:sz w:val="36"/>
          <w:szCs w:val="20"/>
        </w:rPr>
        <w:br w:type="page"/>
      </w:r>
    </w:p>
    <w:p>
      <w:pPr>
        <w:snapToGrid w:val="0"/>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第六部分</w:t>
      </w:r>
      <w:bookmarkEnd w:id="396"/>
      <w:r>
        <w:rPr>
          <w:rFonts w:hint="eastAsia" w:ascii="宋体" w:hAnsi="宋体" w:cs="宋体"/>
          <w:b/>
          <w:color w:val="auto"/>
          <w:sz w:val="36"/>
          <w:szCs w:val="20"/>
        </w:rPr>
        <w:t xml:space="preserve"> </w:t>
      </w:r>
      <w:bookmarkEnd w:id="397"/>
      <w:r>
        <w:rPr>
          <w:rFonts w:hint="eastAsia" w:ascii="宋体" w:hAnsi="宋体" w:cs="宋体"/>
          <w:b/>
          <w:color w:val="auto"/>
          <w:sz w:val="36"/>
          <w:szCs w:val="20"/>
        </w:rPr>
        <w:t>应提交的有关格式范例</w:t>
      </w:r>
    </w:p>
    <w:p>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资格文件部分</w:t>
      </w:r>
    </w:p>
    <w:p>
      <w:pPr>
        <w:pStyle w:val="97"/>
        <w:rPr>
          <w:rFonts w:hint="eastAsia"/>
          <w:color w:val="auto"/>
        </w:rPr>
      </w:pPr>
      <w:r>
        <w:rPr>
          <w:rFonts w:hint="eastAsia"/>
          <w:color w:val="auto"/>
        </w:rPr>
        <w:t>目录</w:t>
      </w:r>
    </w:p>
    <w:p>
      <w:pPr>
        <w:snapToGrid w:val="0"/>
        <w:spacing w:line="360" w:lineRule="auto"/>
        <w:rPr>
          <w:rFonts w:hint="eastAsia" w:ascii="宋体" w:hAnsi="宋体" w:cs="宋体"/>
          <w:color w:val="auto"/>
          <w:sz w:val="24"/>
        </w:rPr>
      </w:pPr>
      <w:r>
        <w:rPr>
          <w:rFonts w:hint="eastAsia" w:ascii="宋体" w:hAnsi="宋体" w:cs="宋体"/>
          <w:color w:val="auto"/>
          <w:sz w:val="24"/>
        </w:rPr>
        <w:t>（1）符合参加采购活动应当具备的一般条件的承诺函……………（页码）</w:t>
      </w:r>
    </w:p>
    <w:p>
      <w:pPr>
        <w:snapToGrid w:val="0"/>
        <w:spacing w:line="360" w:lineRule="auto"/>
        <w:rPr>
          <w:rFonts w:hint="eastAsia"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符合参加采购活动应当具备的一般条件的承诺函</w:t>
      </w:r>
    </w:p>
    <w:p>
      <w:pPr>
        <w:snapToGrid w:val="0"/>
        <w:spacing w:line="360" w:lineRule="auto"/>
        <w:rPr>
          <w:rFonts w:hint="eastAsia" w:ascii="宋体" w:hAnsi="宋体" w:cs="宋体"/>
          <w:color w:val="auto"/>
          <w:sz w:val="24"/>
        </w:rPr>
      </w:pPr>
      <w:r>
        <w:rPr>
          <w:rFonts w:hint="eastAsia" w:ascii="宋体" w:hAnsi="宋体" w:cs="宋体"/>
          <w:color w:val="auto"/>
          <w:sz w:val="24"/>
          <w:lang w:eastAsia="zh-CN"/>
        </w:rPr>
        <w:t>杭州市中策职业学校钱塘学校</w:t>
      </w:r>
      <w:r>
        <w:rPr>
          <w:rFonts w:hint="eastAsia" w:ascii="宋体" w:hAnsi="宋体" w:cs="宋体"/>
          <w:color w:val="auto"/>
          <w:sz w:val="24"/>
        </w:rPr>
        <w:t>、（采购代理机构）：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产教融合区域中高一体高技能人才实训中心（一期）工程项目</w:t>
      </w:r>
      <w:r>
        <w:rPr>
          <w:rFonts w:hint="eastAsia" w:ascii="宋体" w:hAnsi="宋体" w:cs="宋体"/>
          <w:color w:val="auto"/>
          <w:sz w:val="24"/>
        </w:rPr>
        <w:t>【项目编号：            】采购活动，郑重承诺：</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5、参加采购活动前三年内，在经营活动中没有重大违法记录；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color w:val="auto"/>
          <w:kern w:val="0"/>
          <w:sz w:val="24"/>
        </w:rPr>
      </w:pPr>
      <w:r>
        <w:rPr>
          <w:rFonts w:hint="eastAsia" w:ascii="宋体" w:hAnsi="宋体" w:cs="宋体"/>
          <w:color w:val="auto"/>
          <w:kern w:val="0"/>
          <w:sz w:val="24"/>
          <w:lang w:val="zh-CN"/>
        </w:rPr>
        <w:t>供应商名称(电子签名)：</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hint="eastAsia" w:ascii="宋体" w:hAnsi="宋体" w:cs="宋体"/>
          <w:b/>
          <w:color w:val="auto"/>
          <w:kern w:val="0"/>
          <w:sz w:val="32"/>
          <w:szCs w:val="32"/>
        </w:rPr>
        <w:sectPr>
          <w:headerReference r:id="rId18" w:type="first"/>
          <w:footerReference r:id="rId20" w:type="first"/>
          <w:headerReference r:id="rId17" w:type="default"/>
          <w:footerReference r:id="rId19" w:type="default"/>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hint="eastAsia"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[以联合体形式参与的，提供联合协议（附件2）；本项目不接受联合体或者供应商不以联合体形式投参与的，则不需要提供]</w:t>
      </w:r>
    </w:p>
    <w:p>
      <w:pPr>
        <w:snapToGrid w:val="0"/>
        <w:spacing w:line="360" w:lineRule="auto"/>
        <w:ind w:right="480"/>
        <w:jc w:val="center"/>
        <w:rPr>
          <w:rFonts w:hint="eastAsia"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hint="eastAsia" w:ascii="宋体" w:hAnsi="宋体" w:cs="宋体"/>
          <w:color w:val="auto"/>
          <w:sz w:val="24"/>
        </w:rPr>
      </w:pPr>
      <w:r>
        <w:rPr>
          <w:rFonts w:hint="eastAsia" w:ascii="宋体" w:hAnsi="宋体" w:cs="宋体"/>
          <w:color w:val="auto"/>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.专门面向中小企业，工程全部由符合政策要求的中小企业（或小微企业）承建的，提供相应的中小企业声明函（附件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hint="eastAsia" w:ascii="宋体" w:hAnsi="宋体" w:cs="宋体"/>
          <w:color w:val="auto"/>
          <w:sz w:val="24"/>
        </w:rPr>
      </w:pPr>
    </w:p>
    <w:p>
      <w:pPr>
        <w:widowControl/>
        <w:spacing w:line="360" w:lineRule="auto"/>
        <w:ind w:firstLine="472" w:firstLineChars="196"/>
        <w:jc w:val="left"/>
        <w:rPr>
          <w:rFonts w:hint="eastAsia"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hint="eastAsia" w:ascii="宋体" w:hAnsi="宋体" w:cs="宋体"/>
          <w:b/>
          <w:color w:val="auto"/>
          <w:kern w:val="0"/>
          <w:sz w:val="32"/>
          <w:szCs w:val="32"/>
        </w:rPr>
      </w:pPr>
    </w:p>
    <w:p>
      <w:pPr>
        <w:widowControl/>
        <w:spacing w:line="360" w:lineRule="auto"/>
        <w:ind w:left="150"/>
        <w:jc w:val="center"/>
        <w:rPr>
          <w:rFonts w:hint="eastAsia"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hint="eastAsia" w:ascii="宋体" w:hAnsi="宋体" w:cs="宋体"/>
          <w:color w:val="auto"/>
          <w:sz w:val="24"/>
        </w:rPr>
      </w:pPr>
      <w:r>
        <w:rPr>
          <w:rFonts w:hint="eastAsia" w:ascii="宋体" w:hAnsi="宋体" w:cs="宋体"/>
          <w:color w:val="auto"/>
          <w:sz w:val="24"/>
        </w:rPr>
        <w:t>（根据竞争性磋商公告本项目的特定资格要求提供相应的材料；未要求的，无需提供）</w:t>
      </w:r>
    </w:p>
    <w:p>
      <w:pPr>
        <w:rPr>
          <w:rFonts w:hint="eastAsia" w:ascii="宋体" w:hAnsi="宋体" w:cs="宋体"/>
          <w:color w:val="auto"/>
        </w:rPr>
      </w:pPr>
    </w:p>
    <w:p>
      <w:pPr>
        <w:snapToGrid w:val="0"/>
        <w:spacing w:line="360" w:lineRule="auto"/>
        <w:ind w:right="480"/>
        <w:jc w:val="center"/>
        <w:rPr>
          <w:rFonts w:hint="eastAsia"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商务技术文件部分</w:t>
      </w:r>
    </w:p>
    <w:p>
      <w:pPr>
        <w:pStyle w:val="97"/>
        <w:jc w:val="center"/>
        <w:rPr>
          <w:rFonts w:hint="eastAsia"/>
          <w:color w:val="auto"/>
        </w:rPr>
      </w:pPr>
      <w:r>
        <w:rPr>
          <w:rFonts w:hint="eastAsia"/>
          <w:color w:val="auto"/>
        </w:rPr>
        <w:t>目录</w:t>
      </w:r>
    </w:p>
    <w:p>
      <w:pPr>
        <w:numPr>
          <w:ilvl w:val="255"/>
          <w:numId w:val="0"/>
        </w:num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响应函……………………………………………………………………………（页码）</w:t>
      </w:r>
    </w:p>
    <w:p>
      <w:pPr>
        <w:numPr>
          <w:ilvl w:val="255"/>
          <w:numId w:val="0"/>
        </w:num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2）授权委托书或法定代表人（单位负责人、自然人本人）身份证明</w:t>
      </w:r>
      <w:r>
        <w:rPr>
          <w:rFonts w:hint="eastAsia" w:ascii="宋体" w:hAnsi="宋体" w:cs="宋体"/>
          <w:color w:val="auto"/>
          <w:sz w:val="24"/>
        </w:rPr>
        <w:t>……………（页码）</w:t>
      </w:r>
    </w:p>
    <w:p>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）分包意向协议………………………………………………………………………（页码）</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）符合性审查资料……………………………………………………………………（页码）</w:t>
      </w:r>
    </w:p>
    <w:p>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）评审标准相应的商务技术资料……………………………………………………（页码）（</w:t>
      </w:r>
      <w:r>
        <w:rPr>
          <w:rFonts w:ascii="宋体" w:hAnsi="宋体" w:cs="宋体"/>
          <w:color w:val="auto"/>
          <w:sz w:val="24"/>
        </w:rPr>
        <w:t>6</w:t>
      </w:r>
      <w:r>
        <w:rPr>
          <w:rFonts w:hint="eastAsia" w:ascii="宋体" w:hAnsi="宋体" w:cs="宋体"/>
          <w:color w:val="auto"/>
          <w:sz w:val="24"/>
        </w:rPr>
        <w:t>）商务技术偏离表……………………………………………………………………（页码）</w:t>
      </w:r>
    </w:p>
    <w:p>
      <w:pPr>
        <w:snapToGrid w:val="0"/>
        <w:spacing w:line="360" w:lineRule="auto"/>
        <w:ind w:left="479" w:leftChars="228"/>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）采购供应商廉洁自律承诺书</w:t>
      </w:r>
      <w:r>
        <w:rPr>
          <w:rFonts w:hint="eastAsia" w:ascii="宋体" w:hAnsi="宋体" w:cs="宋体"/>
          <w:color w:val="auto"/>
          <w:sz w:val="24"/>
        </w:rPr>
        <w:t>…………………………………………………（页码）</w:t>
      </w:r>
    </w:p>
    <w:p>
      <w:pPr>
        <w:snapToGrid w:val="0"/>
        <w:spacing w:line="360" w:lineRule="auto"/>
        <w:jc w:val="center"/>
        <w:rPr>
          <w:rFonts w:hint="eastAsia" w:ascii="宋体" w:hAnsi="宋体" w:cs="宋体"/>
          <w:b/>
          <w:color w:val="auto"/>
          <w:kern w:val="0"/>
          <w:sz w:val="24"/>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hint="eastAsia" w:ascii="宋体" w:hAnsi="宋体" w:cs="宋体"/>
          <w:b/>
          <w:bCs/>
          <w:color w:val="auto"/>
          <w:sz w:val="32"/>
          <w:szCs w:val="32"/>
          <w:lang w:val="zh-CN"/>
        </w:rPr>
      </w:pPr>
      <w:r>
        <w:rPr>
          <w:rFonts w:hint="eastAsia" w:ascii="宋体" w:hAnsi="宋体" w:cs="宋体"/>
          <w:b/>
          <w:bCs/>
          <w:color w:val="auto"/>
          <w:sz w:val="32"/>
          <w:szCs w:val="32"/>
          <w:lang w:val="zh-CN"/>
        </w:rPr>
        <w:t>一、响应函</w:t>
      </w:r>
    </w:p>
    <w:p>
      <w:pPr>
        <w:snapToGrid w:val="0"/>
        <w:spacing w:line="360" w:lineRule="auto"/>
        <w:rPr>
          <w:rFonts w:hint="eastAsia" w:ascii="宋体" w:hAnsi="宋体" w:cs="宋体"/>
          <w:color w:val="auto"/>
          <w:sz w:val="24"/>
        </w:rPr>
      </w:pPr>
      <w:r>
        <w:rPr>
          <w:rFonts w:hint="eastAsia" w:ascii="宋体" w:hAnsi="宋体" w:cs="宋体"/>
          <w:color w:val="auto"/>
          <w:sz w:val="24"/>
          <w:lang w:eastAsia="zh-CN"/>
        </w:rPr>
        <w:t>杭州市中策职业学校钱塘学校</w:t>
      </w:r>
      <w:r>
        <w:rPr>
          <w:rFonts w:hint="eastAsia" w:ascii="宋体" w:hAnsi="宋体" w:cs="宋体"/>
          <w:color w:val="auto"/>
          <w:sz w:val="24"/>
        </w:rPr>
        <w:t>、（采购代理机构）：</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产教融合区域中高一体高技能人才实训中心（一期）工程项目</w:t>
      </w:r>
      <w:r>
        <w:rPr>
          <w:rFonts w:hint="eastAsia" w:ascii="宋体" w:hAnsi="宋体" w:cs="宋体"/>
          <w:color w:val="auto"/>
          <w:sz w:val="24"/>
        </w:rPr>
        <w:t>【项目编号：</w:t>
      </w:r>
      <w:r>
        <w:rPr>
          <w:rFonts w:hint="eastAsia" w:ascii="宋体" w:hAnsi="宋体" w:cs="宋体"/>
          <w:color w:val="auto"/>
          <w:sz w:val="24"/>
          <w:lang w:eastAsia="zh-CN"/>
        </w:rPr>
        <w:t>浙房咨2025【D-076】701</w:t>
      </w:r>
      <w:r>
        <w:rPr>
          <w:rFonts w:hint="eastAsia" w:ascii="宋体" w:hAnsi="宋体" w:cs="宋体"/>
          <w:color w:val="auto"/>
          <w:sz w:val="24"/>
        </w:rPr>
        <w:t>】采购的有关活动，并对此项目提交响应文件及报价。为此：</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1、我方承诺响应文件有效期从提交响应文件的截止之日起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本响应文件在响应文件有效期满之前均具有约束力。</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2、我方的响应文件包括以下内容：</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2.2.1响应函；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评审标准相应的商务技术资料；</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2.2.6商务技术偏离表；</w:t>
      </w:r>
    </w:p>
    <w:p>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采购供应商廉洁自律承诺书；</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2.3.1报价单；</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2.3.2已标价工程量清单；</w:t>
      </w:r>
    </w:p>
    <w:p>
      <w:pPr>
        <w:pStyle w:val="92"/>
        <w:ind w:firstLine="960" w:firstLineChars="4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3、我方承诺除商务技术偏离表列出的偏离外，我方响应采购文件的全部要求。对响应文件中材料的真实性、合法性负责。</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4、如我方成交，我方承诺：</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4.1在收到成交通知书后，在成交通知书规定的期限内与你方签订合同； </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4.3按照采购文件要求提交履约保证金； </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hint="eastAsia" w:ascii="宋体" w:hAnsi="宋体" w:cs="宋体"/>
          <w:color w:val="auto"/>
          <w:sz w:val="24"/>
        </w:rPr>
      </w:pPr>
      <w:r>
        <w:rPr>
          <w:rFonts w:hint="eastAsia" w:ascii="宋体" w:hAnsi="宋体" w:cs="宋体"/>
          <w:color w:val="auto"/>
          <w:sz w:val="24"/>
        </w:rPr>
        <w:t xml:space="preserve">供应商名称（电子签名）：                          </w:t>
      </w:r>
    </w:p>
    <w:p>
      <w:pPr>
        <w:spacing w:line="360" w:lineRule="auto"/>
        <w:jc w:val="center"/>
        <w:rPr>
          <w:rFonts w:hint="eastAsia"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hint="eastAsia" w:ascii="宋体" w:hAnsi="宋体" w:cs="宋体"/>
          <w:color w:val="auto"/>
          <w:kern w:val="0"/>
          <w:sz w:val="24"/>
          <w:u w:val="single"/>
        </w:rPr>
      </w:pPr>
    </w:p>
    <w:p>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hint="eastAsia" w:ascii="宋体" w:hAnsi="宋体" w:cs="宋体"/>
          <w:b/>
          <w:color w:val="auto"/>
          <w:kern w:val="0"/>
          <w:sz w:val="32"/>
          <w:szCs w:val="32"/>
        </w:rPr>
      </w:pPr>
    </w:p>
    <w:p>
      <w:pPr>
        <w:snapToGrid w:val="0"/>
        <w:spacing w:line="360" w:lineRule="auto"/>
        <w:rPr>
          <w:rFonts w:hint="eastAsia" w:ascii="宋体" w:hAnsi="宋体" w:cs="宋体"/>
          <w:color w:val="auto"/>
          <w:sz w:val="24"/>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hint="eastAsia" w:ascii="宋体" w:hAnsi="宋体" w:cs="宋体"/>
          <w:b/>
          <w:bCs/>
          <w:color w:val="auto"/>
          <w:sz w:val="32"/>
          <w:szCs w:val="32"/>
          <w:lang w:val="zh-CN"/>
        </w:rPr>
      </w:pPr>
      <w:r>
        <w:rPr>
          <w:rFonts w:hint="eastAsia" w:ascii="宋体" w:hAnsi="宋体" w:cs="宋体"/>
          <w:b/>
          <w:bCs/>
          <w:color w:val="auto"/>
          <w:sz w:val="32"/>
          <w:szCs w:val="32"/>
          <w:lang w:val="zh-CN"/>
        </w:rPr>
        <w:t>二、授权委托书或法定代表人（单位负责人、自然人本人）身份证明</w:t>
      </w:r>
    </w:p>
    <w:p>
      <w:pPr>
        <w:snapToGrid w:val="0"/>
        <w:spacing w:line="360" w:lineRule="auto"/>
        <w:rPr>
          <w:rFonts w:hint="eastAsia" w:ascii="宋体" w:hAnsi="宋体" w:cs="宋体"/>
          <w:color w:val="auto"/>
          <w:sz w:val="24"/>
        </w:rPr>
      </w:pPr>
      <w:r>
        <w:rPr>
          <w:rFonts w:hint="eastAsia" w:ascii="宋体" w:hAnsi="宋体" w:cs="宋体"/>
          <w:color w:val="auto"/>
          <w:sz w:val="24"/>
        </w:rPr>
        <w:t xml:space="preserve">                                </w:t>
      </w:r>
    </w:p>
    <w:p>
      <w:pPr>
        <w:snapToGrid w:val="0"/>
        <w:jc w:val="center"/>
        <w:rPr>
          <w:rFonts w:hint="eastAsia"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pPr>
        <w:snapToGrid w:val="0"/>
        <w:spacing w:line="360" w:lineRule="auto"/>
        <w:rPr>
          <w:rFonts w:hint="eastAsia" w:ascii="宋体" w:hAnsi="宋体" w:cs="宋体"/>
          <w:color w:val="auto"/>
          <w:kern w:val="0"/>
          <w:sz w:val="24"/>
        </w:rPr>
      </w:pPr>
      <w:r>
        <w:rPr>
          <w:rFonts w:hint="eastAsia" w:ascii="宋体" w:hAnsi="宋体" w:cs="宋体"/>
          <w:color w:val="auto"/>
          <w:sz w:val="24"/>
          <w:lang w:eastAsia="zh-CN"/>
        </w:rPr>
        <w:t>杭州市中策职业学校钱塘学校</w:t>
      </w:r>
      <w:r>
        <w:rPr>
          <w:rFonts w:hint="eastAsia" w:ascii="宋体" w:hAnsi="宋体" w:cs="宋体"/>
          <w:color w:val="auto"/>
          <w:sz w:val="24"/>
        </w:rPr>
        <w:t>、（采购代理机构）</w:t>
      </w:r>
      <w:r>
        <w:rPr>
          <w:rFonts w:hint="eastAsia" w:ascii="宋体" w:hAnsi="宋体" w:cs="宋体"/>
          <w:color w:val="auto"/>
          <w:kern w:val="0"/>
          <w:sz w:val="24"/>
          <w:lang w:val="zh-CN"/>
        </w:rPr>
        <w:t>：</w:t>
      </w:r>
    </w:p>
    <w:p>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产教融合区域中高一体高技能人才实训中心（一期）工程项目</w:t>
      </w:r>
      <w:r>
        <w:rPr>
          <w:rFonts w:hint="eastAsia" w:ascii="宋体" w:hAnsi="宋体" w:cs="宋体"/>
          <w:color w:val="auto"/>
          <w:sz w:val="24"/>
        </w:rPr>
        <w:t>【项目编号：</w:t>
      </w:r>
      <w:r>
        <w:rPr>
          <w:rFonts w:hint="eastAsia" w:ascii="宋体" w:hAnsi="宋体" w:cs="宋体"/>
          <w:color w:val="auto"/>
          <w:sz w:val="24"/>
          <w:lang w:eastAsia="zh-CN"/>
        </w:rPr>
        <w:t>浙房咨2025【D-076】701</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供应商名称(电子签名)：</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hint="eastAsia" w:ascii="宋体" w:hAnsi="宋体" w:cs="宋体"/>
          <w:color w:val="auto"/>
          <w:sz w:val="24"/>
        </w:rPr>
      </w:pPr>
    </w:p>
    <w:p>
      <w:pPr>
        <w:snapToGrid w:val="0"/>
        <w:spacing w:line="360" w:lineRule="auto"/>
        <w:rPr>
          <w:rFonts w:hint="eastAsia" w:ascii="宋体" w:hAnsi="宋体" w:cs="宋体"/>
          <w:color w:val="auto"/>
          <w:sz w:val="24"/>
        </w:rPr>
      </w:pPr>
    </w:p>
    <w:p>
      <w:pPr>
        <w:snapToGrid w:val="0"/>
        <w:spacing w:line="360" w:lineRule="auto"/>
        <w:rPr>
          <w:rFonts w:hint="eastAsia" w:ascii="宋体" w:hAnsi="宋体" w:cs="宋体"/>
          <w:color w:val="auto"/>
          <w:sz w:val="24"/>
        </w:rPr>
      </w:pPr>
    </w:p>
    <w:p>
      <w:pPr>
        <w:snapToGrid w:val="0"/>
        <w:jc w:val="center"/>
        <w:rPr>
          <w:rFonts w:hint="eastAsia"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pPr>
        <w:snapToGrid w:val="0"/>
        <w:spacing w:line="360" w:lineRule="auto"/>
        <w:rPr>
          <w:rFonts w:hint="eastAsia" w:ascii="宋体" w:hAnsi="宋体" w:cs="宋体"/>
          <w:color w:val="auto"/>
          <w:kern w:val="0"/>
          <w:sz w:val="24"/>
        </w:rPr>
      </w:pPr>
      <w:r>
        <w:rPr>
          <w:rFonts w:hint="eastAsia" w:ascii="宋体" w:hAnsi="宋体" w:cs="宋体"/>
          <w:color w:val="auto"/>
          <w:sz w:val="24"/>
          <w:lang w:eastAsia="zh-CN"/>
        </w:rPr>
        <w:t>杭州市中策职业学校钱塘学校</w:t>
      </w:r>
      <w:r>
        <w:rPr>
          <w:rFonts w:hint="eastAsia" w:ascii="宋体" w:hAnsi="宋体" w:cs="宋体"/>
          <w:color w:val="auto"/>
          <w:sz w:val="24"/>
        </w:rPr>
        <w:t>、（采购代理机构）</w:t>
      </w:r>
      <w:r>
        <w:rPr>
          <w:rFonts w:hint="eastAsia" w:ascii="宋体" w:hAnsi="宋体" w:cs="宋体"/>
          <w:color w:val="auto"/>
          <w:kern w:val="0"/>
          <w:sz w:val="24"/>
          <w:lang w:val="zh-CN"/>
        </w:rPr>
        <w:t>：</w:t>
      </w:r>
    </w:p>
    <w:p>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产教融合区域中高一体高技能人才实训中心（一期）工程项目</w:t>
      </w:r>
      <w:r>
        <w:rPr>
          <w:rFonts w:hint="eastAsia" w:ascii="宋体" w:hAnsi="宋体" w:cs="宋体"/>
          <w:color w:val="auto"/>
          <w:sz w:val="24"/>
        </w:rPr>
        <w:t>【项目编号：</w:t>
      </w:r>
      <w:r>
        <w:rPr>
          <w:rFonts w:hint="eastAsia" w:ascii="宋体" w:hAnsi="宋体" w:cs="宋体"/>
          <w:color w:val="auto"/>
          <w:sz w:val="24"/>
          <w:lang w:eastAsia="zh-CN"/>
        </w:rPr>
        <w:t>浙房咨2025【D-076】701</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rPr>
          <w:rFonts w:hint="eastAsia" w:ascii="宋体" w:hAnsi="宋体" w:cs="宋体"/>
          <w:color w:val="auto"/>
        </w:rPr>
      </w:pPr>
    </w:p>
    <w:p>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widowControl/>
        <w:adjustRightInd/>
        <w:jc w:val="left"/>
        <w:rPr>
          <w:rFonts w:hint="eastAsia" w:ascii="宋体" w:hAnsi="宋体" w:cs="宋体"/>
          <w:b/>
          <w:bCs/>
          <w:color w:val="auto"/>
          <w:sz w:val="32"/>
          <w:szCs w:val="32"/>
          <w:lang w:val="zh-CN"/>
        </w:rPr>
      </w:pPr>
      <w:r>
        <w:rPr>
          <w:rFonts w:hint="eastAsia" w:ascii="宋体" w:hAnsi="宋体" w:cs="宋体"/>
          <w:b/>
          <w:bCs/>
          <w:color w:val="auto"/>
          <w:sz w:val="32"/>
          <w:szCs w:val="32"/>
          <w:lang w:val="zh-CN"/>
        </w:rPr>
        <w:br w:type="page"/>
      </w:r>
    </w:p>
    <w:p>
      <w:pPr>
        <w:snapToGrid w:val="0"/>
        <w:jc w:val="center"/>
        <w:rPr>
          <w:rFonts w:hint="eastAsia" w:ascii="宋体" w:hAnsi="宋体" w:cs="宋体"/>
          <w:b/>
          <w:bCs/>
          <w:color w:val="auto"/>
          <w:sz w:val="32"/>
          <w:szCs w:val="32"/>
        </w:rPr>
      </w:pPr>
      <w:r>
        <w:rPr>
          <w:rFonts w:hint="eastAsia" w:ascii="宋体" w:hAnsi="宋体" w:cs="宋体"/>
          <w:b/>
          <w:bCs/>
          <w:color w:val="auto"/>
          <w:sz w:val="32"/>
          <w:szCs w:val="32"/>
          <w:lang w:val="zh-CN"/>
        </w:rPr>
        <w:t>法定代表人、单位负责人或自然人本人</w:t>
      </w:r>
      <w:r>
        <w:rPr>
          <w:rFonts w:hint="eastAsia" w:ascii="宋体" w:hAnsi="宋体" w:cs="宋体"/>
          <w:b/>
          <w:bCs/>
          <w:color w:val="auto"/>
          <w:sz w:val="32"/>
          <w:szCs w:val="32"/>
        </w:rPr>
        <w:t>的身份证明（适用于法定代表人、单位负责人或者自然人本人代表供应商参加响应）</w:t>
      </w:r>
    </w:p>
    <w:p>
      <w:pPr>
        <w:pStyle w:val="159"/>
        <w:spacing w:line="360" w:lineRule="auto"/>
        <w:rPr>
          <w:rFonts w:hint="eastAsia"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9"/>
              <w:adjustRightInd w:val="0"/>
              <w:spacing w:line="360" w:lineRule="auto"/>
              <w:rPr>
                <w:rFonts w:hint="eastAsia" w:hAnsi="宋体" w:cs="宋体"/>
                <w:bCs/>
                <w:color w:val="auto"/>
                <w:sz w:val="24"/>
              </w:rPr>
            </w:pPr>
            <w:r>
              <w:rPr>
                <w:rFonts w:hint="eastAsia" w:hAnsi="宋体" w:cs="宋体"/>
                <w:bCs/>
                <w:color w:val="auto"/>
                <w:sz w:val="24"/>
              </w:rPr>
              <w:t>正面：                                 反面：</w:t>
            </w:r>
          </w:p>
          <w:p>
            <w:pPr>
              <w:pStyle w:val="159"/>
              <w:adjustRightInd w:val="0"/>
              <w:spacing w:line="360" w:lineRule="auto"/>
              <w:rPr>
                <w:rFonts w:hint="eastAsia" w:hAnsi="宋体" w:cs="宋体"/>
                <w:bCs/>
                <w:color w:val="auto"/>
                <w:sz w:val="24"/>
              </w:rPr>
            </w:pPr>
          </w:p>
        </w:tc>
      </w:tr>
    </w:tbl>
    <w:p>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snapToGrid w:val="0"/>
        <w:spacing w:line="360" w:lineRule="auto"/>
        <w:ind w:right="480"/>
        <w:rPr>
          <w:rFonts w:hint="eastAsia"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hint="eastAsia" w:ascii="宋体" w:hAnsi="宋体" w:cs="宋体"/>
          <w:b/>
          <w:bCs/>
          <w:color w:val="auto"/>
          <w:sz w:val="32"/>
          <w:szCs w:val="32"/>
        </w:rPr>
      </w:pPr>
      <w:r>
        <w:rPr>
          <w:rFonts w:hint="eastAsia" w:ascii="宋体" w:hAnsi="宋体" w:cs="宋体"/>
          <w:b/>
          <w:bCs/>
          <w:color w:val="auto"/>
          <w:sz w:val="32"/>
          <w:szCs w:val="32"/>
        </w:rPr>
        <w:t>三、分包意向协议</w:t>
      </w:r>
    </w:p>
    <w:p>
      <w:pPr>
        <w:widowControl/>
        <w:spacing w:line="360" w:lineRule="auto"/>
        <w:ind w:firstLine="120" w:firstLineChars="50"/>
        <w:jc w:val="left"/>
        <w:rPr>
          <w:rFonts w:hint="eastAsia" w:ascii="宋体" w:hAnsi="宋体" w:cs="宋体"/>
          <w:color w:val="auto"/>
          <w:sz w:val="24"/>
        </w:rPr>
      </w:pPr>
      <w:bookmarkStart w:id="436" w:name="_Hlk101169080"/>
      <w:r>
        <w:rPr>
          <w:rFonts w:hint="eastAsia" w:ascii="宋体" w:hAnsi="宋体" w:cs="宋体"/>
          <w:color w:val="auto"/>
          <w:sz w:val="24"/>
        </w:rPr>
        <w:t>[</w:t>
      </w:r>
      <w:r>
        <w:rPr>
          <w:rFonts w:hint="eastAsia" w:ascii="宋体" w:hAnsi="宋体" w:cs="宋体"/>
          <w:b/>
          <w:color w:val="auto"/>
          <w:sz w:val="24"/>
        </w:rPr>
        <w:t>成交后以分包方式履行合同的，提供分包意向协议(附件6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；采购人不同意分包或者供应商成交后不以分包方式履行合同的，则不需要提供。</w:t>
      </w:r>
      <w:r>
        <w:rPr>
          <w:rFonts w:hint="eastAsia" w:ascii="宋体" w:hAnsi="宋体" w:cs="宋体"/>
          <w:color w:val="auto"/>
          <w:sz w:val="24"/>
        </w:rPr>
        <w:t>]</w:t>
      </w:r>
    </w:p>
    <w:bookmarkEnd w:id="436"/>
    <w:p>
      <w:pPr>
        <w:snapToGrid w:val="0"/>
        <w:spacing w:line="360" w:lineRule="auto"/>
        <w:rPr>
          <w:rFonts w:hint="eastAsia" w:ascii="宋体" w:hAnsi="宋体" w:cs="宋体"/>
          <w:color w:val="auto"/>
          <w:kern w:val="0"/>
          <w:sz w:val="24"/>
        </w:rPr>
      </w:pPr>
    </w:p>
    <w:p>
      <w:pPr>
        <w:snapToGrid w:val="0"/>
        <w:jc w:val="center"/>
        <w:rPr>
          <w:rFonts w:hint="eastAsia" w:ascii="宋体" w:hAnsi="宋体" w:cs="宋体"/>
          <w:b/>
          <w:bCs/>
          <w:color w:val="auto"/>
          <w:sz w:val="32"/>
          <w:szCs w:val="32"/>
        </w:rPr>
      </w:pPr>
      <w:r>
        <w:rPr>
          <w:rFonts w:hint="eastAsia" w:ascii="宋体" w:hAnsi="宋体" w:cs="宋体"/>
          <w:b/>
          <w:bCs/>
          <w:color w:val="auto"/>
          <w:sz w:val="32"/>
          <w:szCs w:val="32"/>
        </w:rPr>
        <w:t>四、符合性审查资料</w:t>
      </w:r>
    </w:p>
    <w:p>
      <w:pPr>
        <w:jc w:val="center"/>
        <w:rPr>
          <w:rFonts w:hint="eastAsia"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响应文件中的</w:t>
            </w:r>
          </w:p>
          <w:p>
            <w:pPr>
              <w:snapToGrid w:val="0"/>
              <w:spacing w:line="240" w:lineRule="atLeast"/>
              <w:jc w:val="center"/>
              <w:rPr>
                <w:rFonts w:hint="eastAsia"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cs="宋体"/>
                <w:color w:val="auto"/>
                <w:sz w:val="24"/>
              </w:rPr>
            </w:pPr>
            <w:r>
              <w:rPr>
                <w:rFonts w:hint="eastAsia" w:ascii="宋体" w:hAnsi="宋体" w:cs="宋体"/>
                <w:color w:val="auto"/>
                <w:sz w:val="24"/>
              </w:rPr>
              <w:t>1</w:t>
            </w:r>
          </w:p>
        </w:tc>
        <w:tc>
          <w:tcPr>
            <w:tcW w:w="4991" w:type="dxa"/>
            <w:vAlign w:val="center"/>
          </w:tcPr>
          <w:p>
            <w:pPr>
              <w:spacing w:line="360" w:lineRule="auto"/>
              <w:rPr>
                <w:rFonts w:hint="eastAsia" w:ascii="宋体" w:hAnsi="宋体" w:cs="宋体"/>
                <w:color w:val="auto"/>
                <w:sz w:val="24"/>
              </w:rPr>
            </w:pPr>
            <w:r>
              <w:rPr>
                <w:rFonts w:hint="eastAsia" w:ascii="宋体" w:hAnsi="宋体" w:cs="宋体"/>
                <w:color w:val="auto"/>
                <w:sz w:val="24"/>
              </w:rPr>
              <w:t>响应文件按照采购文件要求签署、盖章。</w:t>
            </w:r>
          </w:p>
        </w:tc>
        <w:tc>
          <w:tcPr>
            <w:tcW w:w="2551" w:type="dxa"/>
            <w:vAlign w:val="center"/>
          </w:tcPr>
          <w:p>
            <w:pPr>
              <w:rPr>
                <w:rFonts w:hint="eastAsia" w:ascii="宋体" w:hAnsi="宋体" w:cs="宋体"/>
                <w:color w:val="auto"/>
                <w:sz w:val="24"/>
              </w:rPr>
            </w:pPr>
            <w:r>
              <w:rPr>
                <w:rFonts w:hint="eastAsia" w:ascii="宋体" w:hAnsi="宋体" w:cs="宋体"/>
                <w:color w:val="auto"/>
                <w:sz w:val="24"/>
              </w:rPr>
              <w:t>需要使用电子签名或者签字盖章的响应文件的组成部分</w:t>
            </w:r>
          </w:p>
        </w:tc>
        <w:tc>
          <w:tcPr>
            <w:tcW w:w="1418" w:type="dxa"/>
            <w:vAlign w:val="center"/>
          </w:tcPr>
          <w:p>
            <w:pPr>
              <w:rPr>
                <w:rFonts w:hint="eastAsia" w:ascii="宋体" w:hAnsi="宋体" w:cs="宋体"/>
                <w:color w:val="auto"/>
                <w:sz w:val="24"/>
              </w:rPr>
            </w:pPr>
            <w:r>
              <w:rPr>
                <w:rFonts w:hint="eastAsia" w:ascii="宋体" w:hAnsi="宋体" w:cs="宋体"/>
                <w:color w:val="auto"/>
                <w:sz w:val="24"/>
              </w:rPr>
              <w:t>见响应文件</w:t>
            </w:r>
          </w:p>
          <w:p>
            <w:pPr>
              <w:rPr>
                <w:rFonts w:hint="eastAsia"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rPr>
                <w:rFonts w:hint="eastAsia" w:ascii="宋体" w:hAnsi="宋体" w:cs="宋体"/>
                <w:color w:val="auto"/>
                <w:sz w:val="24"/>
              </w:rPr>
            </w:pPr>
            <w:r>
              <w:rPr>
                <w:rFonts w:hint="eastAsia" w:ascii="宋体" w:hAnsi="宋体" w:cs="宋体"/>
                <w:color w:val="auto"/>
                <w:sz w:val="24"/>
              </w:rPr>
              <w:t>2</w:t>
            </w:r>
          </w:p>
        </w:tc>
        <w:tc>
          <w:tcPr>
            <w:tcW w:w="4991" w:type="dxa"/>
            <w:vAlign w:val="center"/>
          </w:tcPr>
          <w:p>
            <w:pPr>
              <w:spacing w:line="360" w:lineRule="auto"/>
              <w:rPr>
                <w:rFonts w:hint="eastAsia" w:ascii="宋体" w:hAnsi="宋体" w:cs="宋体"/>
                <w:color w:val="auto"/>
                <w:sz w:val="24"/>
              </w:rPr>
            </w:pPr>
            <w:r>
              <w:rPr>
                <w:rFonts w:hint="eastAsia" w:ascii="宋体" w:hAnsi="宋体" w:cs="宋体"/>
                <w:color w:val="auto"/>
                <w:sz w:val="24"/>
              </w:rPr>
              <w:t>响应文件中承诺的响应文件有效期不少于采购文件中载明的响应文件有效期。</w:t>
            </w:r>
          </w:p>
        </w:tc>
        <w:tc>
          <w:tcPr>
            <w:tcW w:w="2551" w:type="dxa"/>
            <w:vAlign w:val="center"/>
          </w:tcPr>
          <w:p>
            <w:pPr>
              <w:rPr>
                <w:rFonts w:hint="eastAsia" w:ascii="宋体" w:hAnsi="宋体" w:cs="宋体"/>
                <w:color w:val="auto"/>
                <w:sz w:val="24"/>
              </w:rPr>
            </w:pPr>
            <w:r>
              <w:rPr>
                <w:rFonts w:hint="eastAsia" w:ascii="宋体" w:hAnsi="宋体" w:cs="宋体"/>
                <w:color w:val="auto"/>
                <w:sz w:val="24"/>
              </w:rPr>
              <w:t>响应函</w:t>
            </w:r>
          </w:p>
        </w:tc>
        <w:tc>
          <w:tcPr>
            <w:tcW w:w="1418" w:type="dxa"/>
            <w:vAlign w:val="center"/>
          </w:tcPr>
          <w:p>
            <w:pPr>
              <w:rPr>
                <w:rFonts w:hint="eastAsia"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cs="宋体"/>
                <w:color w:val="auto"/>
                <w:sz w:val="24"/>
              </w:rPr>
            </w:pPr>
            <w:r>
              <w:rPr>
                <w:rFonts w:hint="eastAsia" w:ascii="宋体" w:hAnsi="宋体" w:cs="宋体"/>
                <w:color w:val="auto"/>
                <w:sz w:val="24"/>
              </w:rPr>
              <w:t>3</w:t>
            </w:r>
          </w:p>
        </w:tc>
        <w:tc>
          <w:tcPr>
            <w:tcW w:w="4991" w:type="dxa"/>
            <w:vAlign w:val="center"/>
          </w:tcPr>
          <w:p>
            <w:pPr>
              <w:spacing w:line="360" w:lineRule="auto"/>
              <w:rPr>
                <w:rFonts w:hint="eastAsia" w:ascii="宋体" w:hAnsi="宋体" w:cs="宋体"/>
                <w:color w:val="auto"/>
                <w:sz w:val="24"/>
              </w:rPr>
            </w:pPr>
            <w:r>
              <w:rPr>
                <w:rFonts w:hint="eastAsia" w:ascii="宋体" w:hAnsi="宋体" w:cs="宋体"/>
                <w:color w:val="auto"/>
                <w:sz w:val="24"/>
              </w:rPr>
              <w:t>响应文件满足采购文件的其它实质性要求。</w:t>
            </w:r>
          </w:p>
        </w:tc>
        <w:tc>
          <w:tcPr>
            <w:tcW w:w="2551" w:type="dxa"/>
            <w:vAlign w:val="center"/>
          </w:tcPr>
          <w:p>
            <w:pPr>
              <w:rPr>
                <w:rFonts w:hint="eastAsia" w:ascii="宋体" w:hAnsi="宋体" w:cs="宋体"/>
                <w:color w:val="auto"/>
                <w:sz w:val="24"/>
              </w:rPr>
            </w:pPr>
            <w:r>
              <w:rPr>
                <w:rFonts w:hint="eastAsia" w:ascii="宋体" w:hAnsi="宋体" w:cs="宋体"/>
                <w:color w:val="auto"/>
                <w:kern w:val="0"/>
                <w:sz w:val="24"/>
              </w:rPr>
              <w:t>采购文件其它实质性要求相应的材料（“▲” 系指实质性要求条款，采购文件无其它实质性要求的，无需提供）</w:t>
            </w:r>
          </w:p>
        </w:tc>
        <w:tc>
          <w:tcPr>
            <w:tcW w:w="1418" w:type="dxa"/>
            <w:vAlign w:val="center"/>
          </w:tcPr>
          <w:p>
            <w:pPr>
              <w:rPr>
                <w:rFonts w:hint="eastAsia"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widowControl/>
        <w:adjustRightInd/>
        <w:jc w:val="left"/>
        <w:rPr>
          <w:rFonts w:hint="eastAsia" w:ascii="宋体" w:hAnsi="宋体" w:cs="宋体"/>
          <w:b/>
          <w:bCs/>
          <w:color w:val="auto"/>
          <w:sz w:val="32"/>
          <w:szCs w:val="32"/>
        </w:rPr>
      </w:pPr>
      <w:r>
        <w:rPr>
          <w:rFonts w:hint="eastAsia" w:ascii="宋体" w:hAnsi="宋体" w:cs="宋体"/>
          <w:b/>
          <w:bCs/>
          <w:color w:val="auto"/>
          <w:sz w:val="32"/>
          <w:szCs w:val="32"/>
        </w:rPr>
        <w:br w:type="page"/>
      </w:r>
    </w:p>
    <w:p>
      <w:pPr>
        <w:snapToGrid w:val="0"/>
        <w:jc w:val="center"/>
        <w:rPr>
          <w:rFonts w:hint="eastAsia" w:ascii="宋体" w:hAnsi="宋体" w:cs="宋体"/>
          <w:b/>
          <w:bCs/>
          <w:color w:val="auto"/>
          <w:sz w:val="32"/>
          <w:szCs w:val="32"/>
        </w:rPr>
      </w:pPr>
      <w:r>
        <w:rPr>
          <w:rFonts w:hint="eastAsia" w:ascii="宋体" w:hAnsi="宋体" w:cs="宋体"/>
          <w:b/>
          <w:bCs/>
          <w:color w:val="auto"/>
          <w:sz w:val="32"/>
          <w:szCs w:val="32"/>
        </w:rPr>
        <w:t>五、评审标准相应的商务技术资料</w:t>
      </w:r>
    </w:p>
    <w:p>
      <w:pPr>
        <w:snapToGrid w:val="0"/>
        <w:spacing w:line="360" w:lineRule="auto"/>
        <w:jc w:val="left"/>
        <w:rPr>
          <w:rFonts w:hint="eastAsia" w:ascii="宋体" w:hAnsi="宋体" w:cs="宋体"/>
          <w:b/>
          <w:color w:val="auto"/>
          <w:sz w:val="24"/>
        </w:rPr>
      </w:pPr>
      <w:r>
        <w:rPr>
          <w:rFonts w:hint="eastAsia" w:ascii="宋体" w:hAnsi="宋体" w:cs="宋体"/>
          <w:b/>
          <w:color w:val="auto"/>
          <w:sz w:val="24"/>
        </w:rPr>
        <w:t>（按采购文件第四部分评审办法前附表中“响应文件中评审标准相应的商务技术资料目录”提供资料。）</w:t>
      </w: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jc w:val="center"/>
        <w:rPr>
          <w:rFonts w:hint="eastAsia" w:ascii="宋体" w:hAnsi="宋体" w:cs="宋体"/>
          <w:b/>
          <w:color w:val="auto"/>
          <w:kern w:val="0"/>
          <w:sz w:val="32"/>
          <w:szCs w:val="32"/>
        </w:rPr>
      </w:pPr>
    </w:p>
    <w:p>
      <w:pPr>
        <w:snapToGrid w:val="0"/>
        <w:jc w:val="center"/>
        <w:rPr>
          <w:rFonts w:hint="eastAsia" w:ascii="宋体" w:hAnsi="宋体" w:cs="宋体"/>
          <w:b/>
          <w:bCs/>
          <w:color w:val="auto"/>
          <w:sz w:val="32"/>
          <w:szCs w:val="32"/>
        </w:rPr>
      </w:pPr>
      <w:r>
        <w:rPr>
          <w:rFonts w:hint="eastAsia" w:ascii="宋体" w:hAnsi="宋体" w:cs="宋体"/>
          <w:b/>
          <w:bCs/>
          <w:color w:val="auto"/>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hint="eastAsia" w:ascii="宋体" w:hAnsi="宋体" w:cs="宋体"/>
                <w:b/>
                <w:bCs/>
                <w:color w:val="auto"/>
                <w:sz w:val="24"/>
              </w:rPr>
            </w:pPr>
            <w:r>
              <w:rPr>
                <w:rFonts w:hint="eastAsia" w:ascii="宋体" w:hAnsi="宋体" w:cs="宋体"/>
                <w:b/>
                <w:bCs/>
                <w:color w:val="auto"/>
                <w:sz w:val="24"/>
              </w:rPr>
              <w:t>采购文件章节及具体内容</w:t>
            </w:r>
          </w:p>
        </w:tc>
        <w:tc>
          <w:tcPr>
            <w:tcW w:w="3546" w:type="dxa"/>
          </w:tcPr>
          <w:p>
            <w:pPr>
              <w:jc w:val="center"/>
              <w:rPr>
                <w:rFonts w:hint="eastAsia" w:ascii="宋体" w:hAnsi="宋体" w:cs="宋体"/>
                <w:b/>
                <w:bCs/>
                <w:color w:val="auto"/>
                <w:sz w:val="24"/>
              </w:rPr>
            </w:pPr>
            <w:r>
              <w:rPr>
                <w:rFonts w:hint="eastAsia" w:ascii="宋体" w:hAnsi="宋体" w:cs="宋体"/>
                <w:b/>
                <w:bCs/>
                <w:color w:val="auto"/>
                <w:sz w:val="24"/>
              </w:rPr>
              <w:t>响应文件章节及具体内容</w:t>
            </w:r>
          </w:p>
        </w:tc>
        <w:tc>
          <w:tcPr>
            <w:tcW w:w="1276" w:type="dxa"/>
          </w:tcPr>
          <w:p>
            <w:pPr>
              <w:jc w:val="center"/>
              <w:rPr>
                <w:rFonts w:hint="eastAsia"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hint="eastAsia" w:ascii="宋体" w:hAnsi="宋体" w:cs="宋体"/>
                <w:b/>
                <w:color w:val="auto"/>
                <w:kern w:val="0"/>
                <w:sz w:val="32"/>
                <w:szCs w:val="32"/>
              </w:rPr>
            </w:pPr>
          </w:p>
        </w:tc>
        <w:tc>
          <w:tcPr>
            <w:tcW w:w="3546" w:type="dxa"/>
          </w:tcPr>
          <w:p>
            <w:pPr>
              <w:jc w:val="center"/>
              <w:rPr>
                <w:rFonts w:hint="eastAsia" w:ascii="宋体" w:hAnsi="宋体" w:cs="宋体"/>
                <w:b/>
                <w:color w:val="auto"/>
                <w:kern w:val="0"/>
                <w:sz w:val="32"/>
                <w:szCs w:val="32"/>
              </w:rPr>
            </w:pPr>
          </w:p>
        </w:tc>
        <w:tc>
          <w:tcPr>
            <w:tcW w:w="1276" w:type="dxa"/>
          </w:tcPr>
          <w:p>
            <w:pPr>
              <w:jc w:val="center"/>
              <w:rPr>
                <w:rFonts w:hint="eastAsia"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hint="eastAsia" w:ascii="宋体" w:hAnsi="宋体" w:cs="宋体"/>
                <w:b/>
                <w:color w:val="auto"/>
                <w:kern w:val="0"/>
                <w:sz w:val="32"/>
                <w:szCs w:val="32"/>
              </w:rPr>
            </w:pPr>
          </w:p>
        </w:tc>
        <w:tc>
          <w:tcPr>
            <w:tcW w:w="3546" w:type="dxa"/>
          </w:tcPr>
          <w:p>
            <w:pPr>
              <w:jc w:val="center"/>
              <w:rPr>
                <w:rFonts w:hint="eastAsia" w:ascii="宋体" w:hAnsi="宋体" w:cs="宋体"/>
                <w:b/>
                <w:color w:val="auto"/>
                <w:kern w:val="0"/>
                <w:sz w:val="32"/>
                <w:szCs w:val="32"/>
              </w:rPr>
            </w:pPr>
          </w:p>
        </w:tc>
        <w:tc>
          <w:tcPr>
            <w:tcW w:w="1276" w:type="dxa"/>
          </w:tcPr>
          <w:p>
            <w:pPr>
              <w:jc w:val="center"/>
              <w:rPr>
                <w:rFonts w:hint="eastAsia"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hint="eastAsia" w:ascii="宋体" w:hAnsi="宋体" w:cs="宋体"/>
                <w:b/>
                <w:color w:val="auto"/>
                <w:kern w:val="0"/>
                <w:sz w:val="32"/>
                <w:szCs w:val="32"/>
              </w:rPr>
            </w:pPr>
          </w:p>
        </w:tc>
        <w:tc>
          <w:tcPr>
            <w:tcW w:w="3546" w:type="dxa"/>
          </w:tcPr>
          <w:p>
            <w:pPr>
              <w:jc w:val="center"/>
              <w:rPr>
                <w:rFonts w:hint="eastAsia" w:ascii="宋体" w:hAnsi="宋体" w:cs="宋体"/>
                <w:b/>
                <w:color w:val="auto"/>
                <w:kern w:val="0"/>
                <w:sz w:val="32"/>
                <w:szCs w:val="32"/>
              </w:rPr>
            </w:pPr>
          </w:p>
        </w:tc>
        <w:tc>
          <w:tcPr>
            <w:tcW w:w="1276" w:type="dxa"/>
          </w:tcPr>
          <w:p>
            <w:pPr>
              <w:jc w:val="center"/>
              <w:rPr>
                <w:rFonts w:hint="eastAsia" w:ascii="宋体" w:hAnsi="宋体" w:cs="宋体"/>
                <w:b/>
                <w:color w:val="auto"/>
                <w:kern w:val="0"/>
                <w:sz w:val="32"/>
                <w:szCs w:val="32"/>
              </w:rPr>
            </w:pPr>
          </w:p>
        </w:tc>
      </w:tr>
    </w:tbl>
    <w:p>
      <w:pPr>
        <w:jc w:val="left"/>
        <w:rPr>
          <w:rFonts w:hint="eastAsia" w:ascii="宋体" w:hAnsi="宋体" w:cs="宋体"/>
          <w:color w:val="auto"/>
          <w:kern w:val="0"/>
          <w:sz w:val="24"/>
        </w:rPr>
      </w:pPr>
      <w:r>
        <w:rPr>
          <w:rFonts w:hint="eastAsia" w:ascii="宋体" w:hAnsi="宋体" w:cs="宋体"/>
          <w:color w:val="auto"/>
          <w:kern w:val="0"/>
          <w:sz w:val="24"/>
        </w:rPr>
        <w:t>供应商保证：除商务技术偏离表列出的偏离外，供应商响应采购文件的全部要求</w:t>
      </w:r>
    </w:p>
    <w:p>
      <w:pPr>
        <w:jc w:val="center"/>
        <w:rPr>
          <w:rFonts w:hint="eastAsia" w:ascii="宋体" w:hAnsi="宋体" w:cs="宋体"/>
          <w:b/>
          <w:color w:val="auto"/>
          <w:kern w:val="0"/>
          <w:sz w:val="32"/>
          <w:szCs w:val="32"/>
        </w:rPr>
      </w:pPr>
    </w:p>
    <w:p>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pPr>
        <w:ind w:firstLine="1911" w:firstLineChars="595"/>
        <w:rPr>
          <w:rFonts w:hint="eastAsia" w:ascii="宋体" w:hAnsi="宋体" w:cs="宋体"/>
          <w:b/>
          <w:bCs/>
          <w:color w:val="auto"/>
          <w:sz w:val="32"/>
          <w:szCs w:val="32"/>
        </w:rPr>
      </w:pPr>
    </w:p>
    <w:p>
      <w:pPr>
        <w:jc w:val="left"/>
        <w:rPr>
          <w:rFonts w:hint="eastAsia" w:ascii="宋体" w:hAnsi="宋体" w:cs="宋体"/>
          <w:b/>
          <w:bCs/>
          <w:color w:val="auto"/>
          <w:sz w:val="32"/>
          <w:szCs w:val="32"/>
        </w:rPr>
      </w:pPr>
      <w:r>
        <w:rPr>
          <w:rFonts w:hint="eastAsia" w:ascii="宋体" w:hAnsi="宋体" w:cs="宋体"/>
          <w:b/>
          <w:bCs/>
          <w:color w:val="auto"/>
          <w:sz w:val="32"/>
          <w:szCs w:val="32"/>
        </w:rPr>
        <w:br w:type="page"/>
      </w:r>
    </w:p>
    <w:p>
      <w:pPr>
        <w:snapToGrid w:val="0"/>
        <w:jc w:val="center"/>
        <w:rPr>
          <w:rFonts w:hint="eastAsia"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采购供应商廉洁自律承诺书</w:t>
      </w:r>
    </w:p>
    <w:p>
      <w:pPr>
        <w:snapToGrid w:val="0"/>
        <w:spacing w:line="360" w:lineRule="auto"/>
        <w:rPr>
          <w:rFonts w:hint="eastAsia" w:ascii="宋体" w:hAnsi="宋体" w:cs="宋体"/>
          <w:color w:val="auto"/>
          <w:sz w:val="24"/>
        </w:rPr>
      </w:pPr>
    </w:p>
    <w:p>
      <w:pPr>
        <w:snapToGrid w:val="0"/>
        <w:spacing w:line="360" w:lineRule="auto"/>
        <w:rPr>
          <w:rFonts w:hint="eastAsia" w:ascii="宋体" w:hAnsi="宋体" w:cs="宋体"/>
          <w:color w:val="auto"/>
          <w:kern w:val="0"/>
          <w:sz w:val="24"/>
        </w:rPr>
      </w:pPr>
      <w:r>
        <w:rPr>
          <w:rFonts w:hint="eastAsia" w:ascii="宋体" w:hAnsi="宋体" w:cs="宋体"/>
          <w:color w:val="auto"/>
          <w:sz w:val="24"/>
          <w:lang w:eastAsia="zh-CN"/>
        </w:rPr>
        <w:t>杭州市中策职业学校钱塘学校</w:t>
      </w:r>
      <w:r>
        <w:rPr>
          <w:rFonts w:hint="eastAsia" w:ascii="宋体" w:hAnsi="宋体" w:cs="宋体"/>
          <w:color w:val="auto"/>
          <w:sz w:val="24"/>
        </w:rPr>
        <w:t>、（采购代理机构）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color w:val="auto"/>
          <w:kern w:val="0"/>
          <w:sz w:val="24"/>
          <w:lang w:val="zh-CN"/>
        </w:rPr>
      </w:pPr>
    </w:p>
    <w:p>
      <w:pPr>
        <w:autoSpaceDE w:val="0"/>
        <w:autoSpaceDN w:val="0"/>
        <w:spacing w:line="360" w:lineRule="auto"/>
        <w:ind w:left="2"/>
        <w:jc w:val="left"/>
        <w:rPr>
          <w:rFonts w:hint="eastAsia" w:ascii="宋体" w:hAnsi="宋体" w:cs="宋体"/>
          <w:color w:val="auto"/>
          <w:kern w:val="0"/>
          <w:sz w:val="24"/>
          <w:lang w:val="zh-CN"/>
        </w:rPr>
      </w:pPr>
    </w:p>
    <w:p>
      <w:pPr>
        <w:autoSpaceDE w:val="0"/>
        <w:autoSpaceDN w:val="0"/>
        <w:spacing w:line="360" w:lineRule="auto"/>
        <w:ind w:left="2"/>
        <w:jc w:val="left"/>
        <w:rPr>
          <w:rFonts w:hint="eastAsia" w:ascii="宋体" w:hAnsi="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hint="eastAsia"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hint="eastAsia" w:ascii="宋体" w:hAnsi="宋体" w:cs="宋体"/>
          <w:b/>
          <w:bCs/>
          <w:color w:val="auto"/>
          <w:sz w:val="24"/>
        </w:rPr>
      </w:pPr>
    </w:p>
    <w:p>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hint="eastAsia" w:ascii="宋体" w:hAnsi="宋体" w:cs="宋体"/>
          <w:b/>
          <w:bCs/>
          <w:color w:val="auto"/>
          <w:sz w:val="24"/>
        </w:rPr>
        <w:sectPr>
          <w:footerReference r:id="rId22" w:type="first"/>
          <w:footerReference r:id="rId21" w:type="default"/>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报价文件部分</w:t>
      </w:r>
    </w:p>
    <w:p>
      <w:pPr>
        <w:pStyle w:val="97"/>
        <w:rPr>
          <w:rFonts w:hint="eastAsia"/>
          <w:color w:val="auto"/>
        </w:rPr>
      </w:pPr>
      <w:r>
        <w:rPr>
          <w:rFonts w:hint="eastAsia"/>
          <w:color w:val="auto"/>
        </w:rPr>
        <w:t>目录</w:t>
      </w:r>
    </w:p>
    <w:p>
      <w:pPr>
        <w:numPr>
          <w:ilvl w:val="0"/>
          <w:numId w:val="3"/>
        </w:numPr>
        <w:snapToGrid w:val="0"/>
        <w:spacing w:line="360" w:lineRule="auto"/>
        <w:rPr>
          <w:rFonts w:hint="eastAsia" w:ascii="宋体" w:hAnsi="宋体" w:cs="宋体"/>
          <w:color w:val="auto"/>
          <w:sz w:val="24"/>
        </w:rPr>
      </w:pPr>
      <w:r>
        <w:rPr>
          <w:rFonts w:hint="eastAsia" w:ascii="宋体" w:hAnsi="宋体" w:cs="宋体"/>
          <w:color w:val="auto"/>
          <w:sz w:val="24"/>
        </w:rPr>
        <w:t>报价单…………………………………………………………………………（页码）</w:t>
      </w:r>
    </w:p>
    <w:p>
      <w:pPr>
        <w:snapToGrid w:val="0"/>
        <w:spacing w:line="360" w:lineRule="auto"/>
        <w:rPr>
          <w:rFonts w:hint="eastAsia" w:ascii="宋体" w:hAnsi="宋体" w:cs="宋体"/>
          <w:color w:val="auto"/>
          <w:sz w:val="24"/>
        </w:rPr>
      </w:pPr>
      <w:r>
        <w:rPr>
          <w:rFonts w:hint="eastAsia" w:ascii="宋体" w:hAnsi="宋体" w:cs="宋体"/>
          <w:color w:val="auto"/>
          <w:sz w:val="24"/>
        </w:rPr>
        <w:t>（2）已标价工程量清单……………………………………………………………（页码）</w:t>
      </w:r>
    </w:p>
    <w:p>
      <w:pPr>
        <w:pStyle w:val="92"/>
        <w:rPr>
          <w:rFonts w:hint="eastAsia"/>
          <w:color w:val="auto"/>
        </w:rPr>
      </w:pPr>
    </w:p>
    <w:p>
      <w:pPr>
        <w:snapToGrid w:val="0"/>
        <w:spacing w:line="360" w:lineRule="auto"/>
        <w:ind w:right="480"/>
        <w:jc w:val="center"/>
        <w:rPr>
          <w:rFonts w:hint="eastAsia" w:ascii="宋体" w:hAnsi="宋体" w:cs="宋体"/>
          <w:b/>
          <w:color w:val="auto"/>
          <w:kern w:val="0"/>
          <w:sz w:val="32"/>
          <w:szCs w:val="32"/>
        </w:rPr>
      </w:pPr>
    </w:p>
    <w:p>
      <w:pPr>
        <w:snapToGrid w:val="0"/>
        <w:spacing w:line="360" w:lineRule="auto"/>
        <w:ind w:right="480"/>
        <w:jc w:val="center"/>
        <w:rPr>
          <w:rFonts w:hint="eastAsia" w:ascii="宋体" w:hAnsi="宋体" w:cs="宋体"/>
          <w:b/>
          <w:color w:val="auto"/>
          <w:kern w:val="0"/>
          <w:sz w:val="32"/>
          <w:szCs w:val="32"/>
        </w:rPr>
      </w:pPr>
    </w:p>
    <w:p>
      <w:pPr>
        <w:snapToGrid w:val="0"/>
        <w:spacing w:line="360" w:lineRule="auto"/>
        <w:ind w:right="480"/>
        <w:jc w:val="center"/>
        <w:rPr>
          <w:rFonts w:hint="eastAsia" w:ascii="宋体" w:hAnsi="宋体" w:cs="宋体"/>
          <w:b/>
          <w:color w:val="auto"/>
          <w:kern w:val="0"/>
          <w:sz w:val="32"/>
          <w:szCs w:val="32"/>
        </w:rPr>
      </w:pPr>
    </w:p>
    <w:p>
      <w:pPr>
        <w:snapToGrid w:val="0"/>
        <w:spacing w:line="360" w:lineRule="auto"/>
        <w:ind w:right="480"/>
        <w:jc w:val="center"/>
        <w:rPr>
          <w:rFonts w:hint="eastAsia" w:ascii="宋体" w:hAnsi="宋体" w:cs="宋体"/>
          <w:b/>
          <w:color w:val="auto"/>
          <w:kern w:val="0"/>
          <w:sz w:val="32"/>
          <w:szCs w:val="32"/>
        </w:rPr>
      </w:pPr>
    </w:p>
    <w:p>
      <w:pPr>
        <w:snapToGrid w:val="0"/>
        <w:spacing w:line="360" w:lineRule="auto"/>
        <w:ind w:right="480"/>
        <w:jc w:val="center"/>
        <w:rPr>
          <w:rFonts w:hint="eastAsia" w:ascii="宋体" w:hAnsi="宋体" w:cs="宋体"/>
          <w:b/>
          <w:color w:val="auto"/>
          <w:kern w:val="0"/>
          <w:sz w:val="32"/>
          <w:szCs w:val="32"/>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footerReference r:id="rId25" w:type="first"/>
          <w:headerReference r:id="rId23" w:type="default"/>
          <w:footerReference r:id="rId24" w:type="default"/>
          <w:pgSz w:w="11906" w:h="16838"/>
          <w:pgMar w:top="1440" w:right="1080" w:bottom="1440" w:left="1080"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一、报价单</w:t>
      </w:r>
    </w:p>
    <w:p>
      <w:pPr>
        <w:snapToGrid w:val="0"/>
        <w:spacing w:line="360" w:lineRule="auto"/>
        <w:rPr>
          <w:rFonts w:hint="eastAsia" w:ascii="宋体" w:hAnsi="宋体" w:cs="宋体"/>
          <w:color w:val="auto"/>
          <w:kern w:val="0"/>
          <w:sz w:val="24"/>
        </w:rPr>
      </w:pPr>
      <w:r>
        <w:rPr>
          <w:rFonts w:hint="eastAsia" w:ascii="宋体" w:hAnsi="宋体" w:cs="宋体"/>
          <w:color w:val="auto"/>
          <w:sz w:val="24"/>
          <w:lang w:eastAsia="zh-CN"/>
        </w:rPr>
        <w:t>杭州市中策职业学校钱塘学校</w:t>
      </w:r>
      <w:r>
        <w:rPr>
          <w:rFonts w:hint="eastAsia" w:ascii="宋体" w:hAnsi="宋体" w:cs="宋体"/>
          <w:color w:val="auto"/>
          <w:sz w:val="24"/>
        </w:rPr>
        <w:t>、（采购代理机构）</w:t>
      </w:r>
      <w:r>
        <w:rPr>
          <w:rFonts w:hint="eastAsia" w:ascii="宋体" w:hAnsi="宋体" w:cs="宋体"/>
          <w:color w:val="auto"/>
          <w:kern w:val="0"/>
          <w:sz w:val="24"/>
          <w:lang w:val="zh-CN"/>
        </w:rPr>
        <w:t>：</w:t>
      </w:r>
    </w:p>
    <w:p>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lang w:eastAsia="zh-CN"/>
        </w:rPr>
        <w:t>产教融合区域中高一体高技能人才实训中心（一期）工程项目</w:t>
      </w:r>
      <w:r>
        <w:rPr>
          <w:rFonts w:hint="eastAsia" w:ascii="宋体" w:hAnsi="宋体" w:cs="宋体"/>
          <w:color w:val="auto"/>
          <w:kern w:val="0"/>
          <w:sz w:val="24"/>
          <w:lang w:val="zh-CN"/>
        </w:rPr>
        <w:t>【项目编号：</w:t>
      </w:r>
      <w:r>
        <w:rPr>
          <w:rFonts w:hint="eastAsia" w:ascii="宋体" w:hAnsi="宋体" w:cs="宋体"/>
          <w:color w:val="auto"/>
          <w:sz w:val="24"/>
        </w:rPr>
        <w:t xml:space="preserve">          】的实施</w:t>
      </w:r>
      <w:r>
        <w:rPr>
          <w:rFonts w:hint="eastAsia" w:ascii="宋体" w:hAnsi="宋体" w:cs="宋体"/>
          <w:color w:val="auto"/>
          <w:kern w:val="0"/>
          <w:sz w:val="24"/>
          <w:lang w:val="zh-CN"/>
        </w:rPr>
        <w:t>。</w:t>
      </w:r>
    </w:p>
    <w:p>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项目名称</w:t>
            </w:r>
          </w:p>
        </w:tc>
        <w:tc>
          <w:tcPr>
            <w:tcW w:w="1843" w:type="dxa"/>
          </w:tcPr>
          <w:p>
            <w:pPr>
              <w:spacing w:line="360" w:lineRule="auto"/>
              <w:jc w:val="center"/>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cs="宋体"/>
                <w:b/>
                <w:color w:val="auto"/>
                <w:sz w:val="24"/>
              </w:rPr>
              <w:t>施工范围</w:t>
            </w:r>
          </w:p>
        </w:tc>
        <w:tc>
          <w:tcPr>
            <w:tcW w:w="3118" w:type="dxa"/>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施工工期</w:t>
            </w:r>
          </w:p>
        </w:tc>
        <w:tc>
          <w:tcPr>
            <w:tcW w:w="2552" w:type="dxa"/>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项目经理</w:t>
            </w:r>
          </w:p>
        </w:tc>
        <w:tc>
          <w:tcPr>
            <w:tcW w:w="1984" w:type="dxa"/>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执业证书信息</w:t>
            </w:r>
          </w:p>
        </w:tc>
        <w:tc>
          <w:tcPr>
            <w:tcW w:w="3119" w:type="dxa"/>
            <w:vAlign w:val="center"/>
          </w:tcPr>
          <w:p>
            <w:pPr>
              <w:spacing w:line="360" w:lineRule="auto"/>
              <w:jc w:val="center"/>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cs="宋体"/>
                <w:b/>
                <w:color w:val="auto"/>
                <w:sz w:val="24"/>
              </w:rPr>
              <w:t>备注（如果有）</w:t>
            </w:r>
          </w:p>
          <w:p>
            <w:pPr>
              <w:spacing w:line="360" w:lineRule="auto"/>
              <w:jc w:val="center"/>
              <w:rPr>
                <w:rFonts w:hint="eastAsia"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hint="eastAsia" w:ascii="宋体" w:hAnsi="宋体" w:cs="宋体"/>
                <w:color w:val="auto"/>
                <w:sz w:val="24"/>
              </w:rPr>
            </w:pPr>
          </w:p>
        </w:tc>
        <w:tc>
          <w:tcPr>
            <w:tcW w:w="1843" w:type="dxa"/>
            <w:vAlign w:val="center"/>
          </w:tcPr>
          <w:p>
            <w:pPr>
              <w:snapToGrid w:val="0"/>
              <w:spacing w:line="360" w:lineRule="auto"/>
              <w:jc w:val="center"/>
              <w:rPr>
                <w:rFonts w:hint="eastAsia" w:ascii="宋体" w:hAnsi="宋体" w:cs="宋体"/>
                <w:color w:val="auto"/>
                <w:sz w:val="24"/>
              </w:rPr>
            </w:pPr>
          </w:p>
        </w:tc>
        <w:tc>
          <w:tcPr>
            <w:tcW w:w="3118" w:type="dxa"/>
            <w:vAlign w:val="center"/>
          </w:tcPr>
          <w:p>
            <w:pPr>
              <w:snapToGrid w:val="0"/>
              <w:spacing w:line="360" w:lineRule="auto"/>
              <w:jc w:val="center"/>
              <w:rPr>
                <w:rFonts w:hint="eastAsia" w:ascii="宋体" w:hAnsi="宋体" w:cs="宋体"/>
                <w:color w:val="auto"/>
                <w:sz w:val="24"/>
              </w:rPr>
            </w:pPr>
          </w:p>
        </w:tc>
        <w:tc>
          <w:tcPr>
            <w:tcW w:w="2552" w:type="dxa"/>
            <w:vAlign w:val="center"/>
          </w:tcPr>
          <w:p>
            <w:pPr>
              <w:spacing w:line="360" w:lineRule="auto"/>
              <w:jc w:val="center"/>
              <w:rPr>
                <w:rFonts w:hint="eastAsia" w:ascii="宋体" w:hAnsi="宋体" w:cs="宋体"/>
                <w:color w:val="auto"/>
                <w:sz w:val="24"/>
              </w:rPr>
            </w:pPr>
          </w:p>
        </w:tc>
        <w:tc>
          <w:tcPr>
            <w:tcW w:w="1984" w:type="dxa"/>
            <w:vAlign w:val="center"/>
          </w:tcPr>
          <w:p>
            <w:pPr>
              <w:spacing w:line="360" w:lineRule="auto"/>
              <w:jc w:val="center"/>
              <w:rPr>
                <w:rFonts w:hint="eastAsia" w:ascii="宋体" w:hAnsi="宋体" w:cs="宋体"/>
                <w:color w:val="auto"/>
                <w:sz w:val="24"/>
              </w:rPr>
            </w:pPr>
          </w:p>
        </w:tc>
        <w:tc>
          <w:tcPr>
            <w:tcW w:w="3119" w:type="dxa"/>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磋商报价（小写）</w:t>
            </w:r>
          </w:p>
        </w:tc>
        <w:tc>
          <w:tcPr>
            <w:tcW w:w="7655" w:type="dxa"/>
            <w:gridSpan w:val="3"/>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磋商报价（大写）</w:t>
            </w:r>
          </w:p>
        </w:tc>
        <w:tc>
          <w:tcPr>
            <w:tcW w:w="7655" w:type="dxa"/>
            <w:gridSpan w:val="3"/>
            <w:vAlign w:val="center"/>
          </w:tcPr>
          <w:p>
            <w:pPr>
              <w:spacing w:line="360" w:lineRule="auto"/>
              <w:jc w:val="center"/>
              <w:rPr>
                <w:rFonts w:hint="eastAsia" w:ascii="宋体" w:hAnsi="宋体" w:cs="宋体"/>
                <w:color w:val="auto"/>
                <w:sz w:val="24"/>
              </w:rPr>
            </w:pPr>
          </w:p>
        </w:tc>
      </w:tr>
    </w:tbl>
    <w:p>
      <w:pPr>
        <w:snapToGrid w:val="0"/>
        <w:spacing w:line="360" w:lineRule="auto"/>
        <w:ind w:left="480"/>
        <w:rPr>
          <w:rFonts w:hint="eastAsia"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2" w:firstLineChars="200"/>
        <w:rPr>
          <w:rFonts w:hint="eastAsia" w:ascii="宋体" w:hAnsi="宋体" w:cs="宋体"/>
          <w:b/>
          <w:color w:val="auto"/>
          <w:kern w:val="0"/>
          <w:sz w:val="24"/>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40" w:right="1080" w:bottom="1440" w:left="1080" w:header="851" w:footer="992" w:gutter="0"/>
          <w:cols w:space="720" w:num="1"/>
          <w:titlePg/>
          <w:docGrid w:linePitch="312" w:charSpace="0"/>
        </w:sectPr>
      </w:pPr>
    </w:p>
    <w:p>
      <w:pPr>
        <w:pStyle w:val="696"/>
        <w:keepNext w:val="0"/>
        <w:tabs>
          <w:tab w:val="clear" w:pos="720"/>
        </w:tabs>
        <w:snapToGrid w:val="0"/>
        <w:spacing w:before="120" w:after="120"/>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二、已标价工程量清单</w:t>
      </w:r>
    </w:p>
    <w:p>
      <w:pPr>
        <w:ind w:right="420"/>
        <w:jc w:val="center"/>
        <w:rPr>
          <w:rFonts w:hint="eastAsia" w:ascii="宋体" w:hAnsi="宋体" w:cs="宋体"/>
          <w:color w:val="auto"/>
          <w:sz w:val="24"/>
        </w:rPr>
      </w:pPr>
      <w:r>
        <w:rPr>
          <w:rFonts w:hint="eastAsia" w:ascii="宋体" w:hAnsi="宋体" w:cs="宋体"/>
          <w:color w:val="auto"/>
          <w:sz w:val="24"/>
        </w:rPr>
        <w:t>注：按采购文件工程量清单编制</w:t>
      </w:r>
    </w:p>
    <w:p>
      <w:pPr>
        <w:pStyle w:val="62"/>
        <w:ind w:firstLine="480"/>
        <w:rPr>
          <w:rFonts w:hint="eastAsia" w:cs="宋体"/>
          <w:color w:val="auto"/>
          <w:sz w:val="24"/>
        </w:rPr>
      </w:pPr>
    </w:p>
    <w:p>
      <w:pPr>
        <w:pStyle w:val="62"/>
        <w:ind w:firstLine="480"/>
        <w:rPr>
          <w:rFonts w:hint="eastAsia" w:cs="宋体"/>
          <w:color w:val="auto"/>
          <w:sz w:val="24"/>
        </w:rPr>
        <w:sectPr>
          <w:footerReference r:id="rId29" w:type="first"/>
          <w:headerReference r:id="rId26" w:type="default"/>
          <w:footerReference r:id="rId27" w:type="default"/>
          <w:footerReference r:id="rId28" w:type="even"/>
          <w:pgSz w:w="11906" w:h="16838"/>
          <w:pgMar w:top="1440" w:right="1080" w:bottom="1440" w:left="1080" w:header="851" w:footer="992" w:gutter="0"/>
          <w:cols w:space="720" w:num="1"/>
          <w:titlePg/>
          <w:docGrid w:linePitch="312" w:charSpace="0"/>
        </w:sectPr>
      </w:pP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rPr>
      </w:pPr>
      <w:bookmarkStart w:id="437" w:name="_Toc465665161"/>
      <w:r>
        <w:rPr>
          <w:rFonts w:hint="eastAsia" w:ascii="宋体" w:hAnsi="宋体" w:cs="宋体"/>
          <w:color w:val="auto"/>
        </w:rPr>
        <w:t>附件</w:t>
      </w:r>
      <w:bookmarkEnd w:id="437"/>
    </w:p>
    <w:p>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附件1</w:t>
      </w:r>
      <w:bookmarkStart w:id="438" w:name="OLE_LINK13"/>
      <w:bookmarkStart w:id="439" w:name="OLE_LINK14"/>
      <w:r>
        <w:rPr>
          <w:rFonts w:hint="eastAsia" w:ascii="宋体" w:hAnsi="宋体" w:cs="宋体"/>
          <w:b/>
          <w:color w:val="auto"/>
          <w:kern w:val="0"/>
          <w:sz w:val="28"/>
          <w:szCs w:val="28"/>
        </w:rPr>
        <w:t>残疾人福利性单位声明函</w:t>
      </w:r>
    </w:p>
    <w:bookmarkEnd w:id="438"/>
    <w:bookmarkEnd w:id="439"/>
    <w:p>
      <w:pPr>
        <w:spacing w:line="360" w:lineRule="auto"/>
        <w:rPr>
          <w:rFonts w:hint="eastAsia" w:ascii="宋体" w:hAnsi="宋体" w:cs="宋体"/>
          <w:b/>
          <w:color w:val="auto"/>
          <w:spacing w:val="6"/>
          <w:sz w:val="30"/>
          <w:szCs w:val="30"/>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p>
    <w:p>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hint="eastAsia" w:ascii="宋体" w:hAnsi="宋体" w:cs="宋体"/>
          <w:color w:val="auto"/>
          <w:sz w:val="24"/>
        </w:rPr>
      </w:pPr>
    </w:p>
    <w:p>
      <w:pPr>
        <w:spacing w:line="360" w:lineRule="auto"/>
        <w:ind w:firstLine="420" w:firstLineChars="200"/>
        <w:rPr>
          <w:rFonts w:hint="eastAsia" w:ascii="宋体" w:hAnsi="宋体" w:cs="宋体"/>
          <w:color w:val="auto"/>
        </w:rPr>
      </w:pPr>
    </w:p>
    <w:p>
      <w:pPr>
        <w:spacing w:line="360" w:lineRule="auto"/>
        <w:rPr>
          <w:rFonts w:hint="eastAsia" w:ascii="宋体" w:hAnsi="宋体" w:cs="宋体"/>
          <w:b/>
          <w:color w:val="auto"/>
          <w:sz w:val="24"/>
        </w:rPr>
      </w:pPr>
    </w:p>
    <w:p>
      <w:pPr>
        <w:autoSpaceDE w:val="0"/>
        <w:autoSpaceDN w:val="0"/>
        <w:rPr>
          <w:rFonts w:hint="eastAsia" w:ascii="宋体" w:hAnsi="宋体" w:cs="宋体"/>
          <w:b/>
          <w:color w:val="auto"/>
          <w:spacing w:val="6"/>
          <w:sz w:val="32"/>
          <w:szCs w:val="32"/>
        </w:rPr>
      </w:pPr>
    </w:p>
    <w:p>
      <w:pPr>
        <w:widowControl/>
        <w:adjustRightInd/>
        <w:jc w:val="left"/>
        <w:rPr>
          <w:rFonts w:hint="eastAsia" w:ascii="宋体" w:hAnsi="宋体" w:cs="宋体"/>
          <w:b/>
          <w:color w:val="auto"/>
          <w:kern w:val="0"/>
          <w:sz w:val="28"/>
          <w:szCs w:val="28"/>
        </w:rPr>
      </w:pPr>
      <w:r>
        <w:rPr>
          <w:rFonts w:hint="eastAsia" w:ascii="宋体" w:hAnsi="宋体" w:cs="宋体"/>
          <w:b/>
          <w:color w:val="auto"/>
          <w:kern w:val="0"/>
          <w:sz w:val="28"/>
          <w:szCs w:val="28"/>
        </w:rPr>
        <w:br w:type="page"/>
      </w:r>
    </w:p>
    <w:p>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附件2：联合协议</w:t>
      </w:r>
    </w:p>
    <w:p>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（以联合体形式参与的，提供联合协议；本项目不接受联合体或者供应商不以联合体形式参与的，则不需要提供）</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组成一个联合体，以一个供应商的身份</w:t>
      </w:r>
      <w:r>
        <w:rPr>
          <w:rFonts w:hint="eastAsia" w:ascii="宋体" w:hAnsi="宋体" w:cs="宋体"/>
          <w:color w:val="auto"/>
          <w:kern w:val="0"/>
          <w:sz w:val="24"/>
        </w:rPr>
        <w:t>参加</w:t>
      </w:r>
      <w:r>
        <w:rPr>
          <w:rFonts w:hint="eastAsia" w:ascii="宋体" w:hAnsi="宋体" w:cs="宋体"/>
          <w:color w:val="auto"/>
          <w:sz w:val="24"/>
          <w:lang w:eastAsia="zh-CN"/>
        </w:rPr>
        <w:t>产教融合区域中高一体高技能人才实训中心（一期）工程项目</w:t>
      </w:r>
      <w:r>
        <w:rPr>
          <w:rFonts w:hint="eastAsia" w:ascii="宋体" w:hAnsi="宋体" w:cs="宋体"/>
          <w:color w:val="auto"/>
          <w:sz w:val="24"/>
        </w:rPr>
        <w:t>【项目编号：</w:t>
      </w:r>
      <w:r>
        <w:rPr>
          <w:rFonts w:hint="eastAsia" w:ascii="宋体" w:hAnsi="宋体" w:cs="宋体"/>
          <w:color w:val="auto"/>
          <w:sz w:val="24"/>
          <w:lang w:eastAsia="zh-CN"/>
        </w:rPr>
        <w:t>浙房咨2025【D-076】701</w:t>
      </w:r>
      <w:r>
        <w:rPr>
          <w:rFonts w:hint="eastAsia" w:ascii="宋体" w:hAnsi="宋体" w:cs="宋体"/>
          <w:color w:val="auto"/>
          <w:sz w:val="24"/>
        </w:rPr>
        <w:t>】</w:t>
      </w:r>
      <w:r>
        <w:rPr>
          <w:rFonts w:hint="eastAsia" w:ascii="宋体" w:hAnsi="宋体" w:cs="宋体"/>
          <w:color w:val="auto"/>
          <w:kern w:val="0"/>
          <w:sz w:val="24"/>
        </w:rPr>
        <w:t>响应</w:t>
      </w:r>
      <w:r>
        <w:rPr>
          <w:rFonts w:hint="eastAsia" w:ascii="宋体" w:hAnsi="宋体" w:cs="宋体"/>
          <w:color w:val="auto"/>
          <w:kern w:val="0"/>
          <w:sz w:val="24"/>
          <w:lang w:val="zh-CN"/>
        </w:rPr>
        <w:t xml:space="preserve">。 </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授权代表根据采购文件规定及</w:t>
      </w:r>
      <w:r>
        <w:rPr>
          <w:rFonts w:hint="eastAsia" w:ascii="宋体" w:hAnsi="宋体" w:cs="宋体"/>
          <w:color w:val="auto"/>
          <w:kern w:val="0"/>
          <w:sz w:val="24"/>
        </w:rPr>
        <w:t>响应内容</w:t>
      </w:r>
      <w:r>
        <w:rPr>
          <w:rFonts w:hint="eastAsia" w:ascii="宋体" w:hAnsi="宋体" w:cs="宋体"/>
          <w:color w:val="auto"/>
          <w:kern w:val="0"/>
          <w:sz w:val="24"/>
          <w:lang w:val="zh-CN"/>
        </w:rPr>
        <w:t>而对采购人、采购代理机构所作的任何合法承诺，包括书面澄清及相应等均对联合投标各方产生约束力。</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三、本次联合</w:t>
      </w:r>
      <w:r>
        <w:rPr>
          <w:rFonts w:hint="eastAsia" w:ascii="宋体" w:hAnsi="宋体" w:cs="宋体"/>
          <w:color w:val="auto"/>
          <w:kern w:val="0"/>
          <w:sz w:val="24"/>
        </w:rPr>
        <w:t>响应</w:t>
      </w:r>
      <w:r>
        <w:rPr>
          <w:rFonts w:hint="eastAsia" w:ascii="宋体" w:hAnsi="宋体" w:cs="宋体"/>
          <w:color w:val="auto"/>
          <w:kern w:val="0"/>
          <w:sz w:val="24"/>
          <w:lang w:val="zh-CN"/>
        </w:rPr>
        <w:t>中，分工如下：</w:t>
      </w:r>
    </w:p>
    <w:p>
      <w:pPr>
        <w:snapToGrid w:val="0"/>
        <w:spacing w:line="360" w:lineRule="auto"/>
        <w:ind w:firstLine="576"/>
        <w:rPr>
          <w:rFonts w:hint="eastAsia" w:ascii="宋体" w:hAnsi="宋体" w:cs="宋体"/>
          <w:color w:val="auto"/>
          <w:kern w:val="0"/>
          <w:sz w:val="24"/>
          <w:lang w:val="zh-CN"/>
        </w:rPr>
      </w:pPr>
      <w:bookmarkStart w:id="440"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w:t>
      </w:r>
    </w:p>
    <w:bookmarkEnd w:id="440"/>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hint="eastAsia"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提供的全部工程由小微企业承建，其合同份额占到合同总金额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w:t>
      </w:r>
      <w:r>
        <w:rPr>
          <w:rFonts w:hint="eastAsia" w:ascii="宋体" w:hAnsi="宋体" w:cs="宋体"/>
          <w:b/>
          <w:color w:val="auto"/>
          <w:kern w:val="0"/>
          <w:sz w:val="24"/>
        </w:rPr>
        <w:t>磋商</w:t>
      </w:r>
      <w:r>
        <w:rPr>
          <w:rFonts w:hint="eastAsia" w:ascii="宋体" w:hAnsi="宋体" w:cs="宋体"/>
          <w:b/>
          <w:color w:val="auto"/>
          <w:kern w:val="0"/>
          <w:sz w:val="24"/>
          <w:lang w:val="zh-CN"/>
        </w:rPr>
        <w:t>的，联合协议约定小微企业的合同份额占到合同总金额30%以上的，对联合体报价给予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五、如果成交，</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六、有关本次联合</w:t>
      </w:r>
      <w:r>
        <w:rPr>
          <w:rFonts w:hint="eastAsia" w:ascii="宋体" w:hAnsi="宋体" w:cs="宋体"/>
          <w:color w:val="auto"/>
          <w:kern w:val="0"/>
          <w:sz w:val="24"/>
        </w:rPr>
        <w:t>响应</w:t>
      </w:r>
      <w:r>
        <w:rPr>
          <w:rFonts w:hint="eastAsia" w:ascii="宋体" w:hAnsi="宋体" w:cs="宋体"/>
          <w:color w:val="auto"/>
          <w:kern w:val="0"/>
          <w:sz w:val="24"/>
          <w:lang w:val="zh-CN"/>
        </w:rPr>
        <w:t>的其他事宜：</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hint="eastAsia" w:ascii="宋体" w:hAnsi="宋体" w:cs="宋体"/>
          <w:b/>
          <w:color w:val="auto"/>
          <w:spacing w:val="6"/>
          <w:sz w:val="32"/>
          <w:szCs w:val="32"/>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附件3：分包意向协议</w:t>
      </w:r>
    </w:p>
    <w:p>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成交后以分包方式履行合同的，提供分包意向协议；采购人不同意分包或者供应商成交后不以分包方式履行合同的，则不需要提供。</w:t>
      </w:r>
      <w:r>
        <w:rPr>
          <w:rFonts w:hint="eastAsia" w:ascii="宋体" w:hAnsi="宋体" w:cs="宋体"/>
          <w:color w:val="auto"/>
          <w:sz w:val="24"/>
        </w:rPr>
        <w:t>）</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若成为</w:t>
      </w:r>
      <w:r>
        <w:rPr>
          <w:rFonts w:hint="eastAsia" w:ascii="宋体" w:hAnsi="宋体" w:cs="宋体"/>
          <w:color w:val="auto"/>
          <w:sz w:val="24"/>
          <w:lang w:eastAsia="zh-CN"/>
        </w:rPr>
        <w:t>产教融合区域中高一体高技能人才实训中心（一期）工程项目</w:t>
      </w:r>
      <w:r>
        <w:rPr>
          <w:rFonts w:hint="eastAsia" w:ascii="宋体" w:hAnsi="宋体" w:cs="宋体"/>
          <w:color w:val="auto"/>
          <w:sz w:val="24"/>
        </w:rPr>
        <w:t>【项目编号：</w:t>
      </w:r>
      <w:r>
        <w:rPr>
          <w:rFonts w:hint="eastAsia" w:ascii="宋体" w:hAnsi="宋体" w:cs="宋体"/>
          <w:color w:val="auto"/>
          <w:sz w:val="24"/>
          <w:lang w:eastAsia="zh-CN"/>
        </w:rPr>
        <w:t>浙房咨2025【D-076】701</w:t>
      </w:r>
      <w:r>
        <w:rPr>
          <w:rFonts w:hint="eastAsia" w:ascii="宋体" w:hAnsi="宋体" w:cs="宋体"/>
          <w:color w:val="auto"/>
          <w:sz w:val="24"/>
        </w:rPr>
        <w:t>】</w:t>
      </w:r>
      <w:r>
        <w:rPr>
          <w:rFonts w:hint="eastAsia" w:ascii="宋体" w:hAnsi="宋体" w:cs="宋体"/>
          <w:color w:val="auto"/>
          <w:kern w:val="0"/>
          <w:sz w:val="24"/>
          <w:lang w:val="zh-CN"/>
        </w:rPr>
        <w:t>的成交供应商，将依法采取分包方式履行合同。</w:t>
      </w:r>
      <w:r>
        <w:rPr>
          <w:rFonts w:hint="eastAsia" w:ascii="宋体" w:hAnsi="宋体" w:cs="宋体"/>
          <w:color w:val="auto"/>
          <w:kern w:val="0"/>
          <w:sz w:val="24"/>
          <w:u w:val="single"/>
        </w:rPr>
        <w:t>（供应商名称）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97"/>
        <w:rPr>
          <w:rFonts w:hint="eastAsia"/>
          <w:color w:val="auto"/>
        </w:rPr>
      </w:pPr>
      <w:r>
        <w:rPr>
          <w:rFonts w:hint="eastAsia"/>
          <w:color w:val="auto"/>
        </w:rPr>
        <w:t>……</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hint="eastAsia"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……）提供的工程全部由小微企业承建，</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hint="eastAsia" w:ascii="宋体" w:hAnsi="宋体" w:cs="宋体"/>
          <w:b/>
          <w:bCs/>
          <w:color w:val="auto"/>
          <w:kern w:val="0"/>
          <w:sz w:val="24"/>
          <w:lang w:val="zh-CN"/>
        </w:rPr>
      </w:pPr>
      <w:r>
        <w:rPr>
          <w:rFonts w:hint="eastAsia" w:ascii="宋体" w:hAnsi="宋体" w:cs="宋体"/>
          <w:color w:val="auto"/>
          <w:sz w:val="24"/>
        </w:rPr>
        <w:t>2、</w:t>
      </w:r>
      <w:bookmarkStart w:id="441"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要求合同分包形式参加的项目或采购包，供应商按采购文件第一部分竞争性磋商公告申请人的资格要求中规定的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441"/>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hint="eastAsia"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58" w:leftChars="342" w:hanging="5040" w:hangingChars="2100"/>
        <w:rPr>
          <w:rFonts w:hint="eastAsia" w:ascii="宋体" w:hAnsi="宋体" w:cs="宋体"/>
          <w:color w:val="auto"/>
          <w:kern w:val="0"/>
          <w:sz w:val="24"/>
          <w:lang w:val="zh-CN"/>
        </w:rPr>
      </w:pPr>
      <w:r>
        <w:rPr>
          <w:rFonts w:hint="eastAsia" w:ascii="宋体" w:hAnsi="宋体" w:cs="宋体"/>
          <w:color w:val="auto"/>
          <w:kern w:val="0"/>
          <w:sz w:val="24"/>
          <w:lang w:val="zh-CN"/>
        </w:rPr>
        <w:t xml:space="preserve">                                          供应商名称(电子签名)：</w:t>
      </w:r>
    </w:p>
    <w:p>
      <w:pPr>
        <w:snapToGrid w:val="0"/>
        <w:spacing w:line="360" w:lineRule="auto"/>
        <w:ind w:firstLine="5640" w:firstLineChars="2350"/>
        <w:rPr>
          <w:rFonts w:hint="eastAsia" w:ascii="宋体" w:hAnsi="宋体" w:cs="宋体"/>
          <w:color w:val="auto"/>
          <w:kern w:val="0"/>
          <w:sz w:val="24"/>
          <w:lang w:val="zh-CN"/>
        </w:rPr>
      </w:pPr>
      <w:r>
        <w:rPr>
          <w:rFonts w:hint="eastAsia" w:ascii="宋体" w:hAnsi="宋体" w:cs="宋体"/>
          <w:color w:val="auto"/>
          <w:kern w:val="0"/>
          <w:sz w:val="24"/>
          <w:lang w:val="zh-CN"/>
        </w:rPr>
        <w:t>分包供应商名称：</w:t>
      </w:r>
    </w:p>
    <w:p>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jc w:val="center"/>
        <w:rPr>
          <w:rFonts w:hint="eastAsia" w:ascii="宋体" w:hAnsi="宋体" w:cs="宋体"/>
          <w:b/>
          <w:color w:val="auto"/>
          <w:spacing w:val="6"/>
          <w:sz w:val="32"/>
          <w:szCs w:val="32"/>
        </w:rPr>
      </w:pPr>
    </w:p>
    <w:p>
      <w:pPr>
        <w:autoSpaceDE w:val="0"/>
        <w:autoSpaceDN w:val="0"/>
        <w:jc w:val="center"/>
        <w:rPr>
          <w:rFonts w:hint="eastAsia" w:ascii="宋体" w:hAnsi="宋体" w:cs="宋体"/>
          <w:b/>
          <w:color w:val="auto"/>
          <w:spacing w:val="6"/>
          <w:sz w:val="32"/>
          <w:szCs w:val="32"/>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附件4：中小企业声明函</w:t>
      </w:r>
    </w:p>
    <w:p>
      <w:pPr>
        <w:spacing w:line="360" w:lineRule="auto"/>
        <w:jc w:val="center"/>
        <w:rPr>
          <w:rFonts w:hint="eastAsia" w:ascii="宋体" w:hAnsi="宋体" w:cs="宋体"/>
          <w:color w:val="auto"/>
          <w:sz w:val="24"/>
          <w:u w:val="single"/>
        </w:rPr>
      </w:pPr>
    </w:p>
    <w:p>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中小企业声明函（工程）</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bookmarkStart w:id="442" w:name="OLE_LINK2"/>
      <w:r>
        <w:rPr>
          <w:rFonts w:hint="eastAsia" w:ascii="宋体" w:hAnsi="宋体" w:cs="宋体"/>
          <w:color w:val="auto"/>
          <w:sz w:val="24"/>
          <w:u w:val="single"/>
          <w:lang w:eastAsia="zh-CN"/>
        </w:rPr>
        <w:t>杭州市中策职业学校钱塘学校</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bookmarkEnd w:id="442"/>
      <w:r>
        <w:rPr>
          <w:rFonts w:hint="eastAsia" w:ascii="宋体" w:hAnsi="宋体" w:cs="宋体"/>
          <w:color w:val="auto"/>
          <w:sz w:val="24"/>
          <w:u w:val="single"/>
          <w:lang w:eastAsia="zh-CN"/>
        </w:rPr>
        <w:t xml:space="preserve">产教融合区域中高一体高技能人才实训中心（一期）工程项目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杭州市中策职业学校钱塘学校</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产教融合区域中高一体高技能人才实训中心（一期）工程项目</w:t>
      </w:r>
      <w:r>
        <w:rPr>
          <w:rFonts w:hint="eastAsia" w:ascii="宋体" w:hAnsi="宋体" w:cs="宋体"/>
          <w:color w:val="auto"/>
          <w:kern w:val="0"/>
          <w:sz w:val="24"/>
          <w:u w:val="single"/>
        </w:rPr>
        <w:t xml:space="preserve"> </w:t>
      </w:r>
      <w:r>
        <w:rPr>
          <w:rFonts w:hint="eastAsia" w:ascii="宋体" w:hAnsi="宋体" w:cs="宋体"/>
          <w:color w:val="auto"/>
          <w:sz w:val="24"/>
        </w:rPr>
        <w:t xml:space="preserve">，属于 </w:t>
      </w:r>
      <w:r>
        <w:rPr>
          <w:rFonts w:hint="eastAsia" w:ascii="宋体" w:hAnsi="宋体" w:cs="宋体"/>
          <w:color w:val="auto"/>
          <w:kern w:val="0"/>
          <w:sz w:val="24"/>
          <w:u w:val="single"/>
        </w:rPr>
        <w:t>建筑业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（小型企业、微型企业） </w:t>
      </w:r>
      <w:r>
        <w:rPr>
          <w:rFonts w:hint="eastAsia" w:ascii="宋体" w:hAnsi="宋体" w:cs="宋体"/>
          <w:color w:val="auto"/>
          <w:sz w:val="24"/>
        </w:rPr>
        <w:t>；</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（小型企业、微型企业） </w:t>
      </w:r>
      <w:r>
        <w:rPr>
          <w:rFonts w:hint="eastAsia" w:ascii="宋体" w:hAnsi="宋体" w:cs="宋体"/>
          <w:color w:val="auto"/>
          <w:sz w:val="24"/>
        </w:rPr>
        <w:t>；</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firstLine="480" w:firstLineChars="200"/>
        <w:rPr>
          <w:rFonts w:hint="eastAsia" w:ascii="宋体" w:hAnsi="宋体" w:cs="宋体"/>
          <w:color w:val="auto"/>
          <w:sz w:val="24"/>
        </w:rPr>
      </w:pPr>
    </w:p>
    <w:p>
      <w:pPr>
        <w:snapToGrid w:val="0"/>
        <w:spacing w:line="360" w:lineRule="auto"/>
        <w:ind w:firstLine="5160" w:firstLineChars="2150"/>
        <w:rPr>
          <w:rFonts w:hint="eastAsia" w:ascii="宋体" w:hAnsi="宋体" w:cs="宋体"/>
          <w:color w:val="auto"/>
          <w:kern w:val="0"/>
          <w:sz w:val="24"/>
        </w:rPr>
      </w:pPr>
      <w:r>
        <w:rPr>
          <w:rFonts w:hint="eastAsia" w:ascii="宋体" w:hAnsi="宋体" w:cs="宋体"/>
          <w:color w:val="auto"/>
          <w:kern w:val="0"/>
          <w:sz w:val="24"/>
          <w:lang w:val="zh-CN"/>
        </w:rPr>
        <w:t>供应商名称(电子签名)：</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hint="eastAsia"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jc w:val="center"/>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p>
    <w:p>
      <w:pPr>
        <w:spacing w:line="360" w:lineRule="auto"/>
        <w:jc w:val="center"/>
        <w:rPr>
          <w:rFonts w:hint="eastAsia" w:ascii="宋体" w:hAnsi="宋体" w:cs="宋体"/>
          <w:b/>
          <w:color w:val="auto"/>
          <w:sz w:val="32"/>
          <w:szCs w:val="32"/>
        </w:rPr>
      </w:pPr>
    </w:p>
    <w:p>
      <w:pPr>
        <w:spacing w:line="360" w:lineRule="auto"/>
        <w:rPr>
          <w:rFonts w:hint="eastAsia" w:ascii="宋体" w:hAnsi="宋体" w:cs="宋体"/>
          <w:b/>
          <w:color w:val="auto"/>
          <w:sz w:val="32"/>
          <w:szCs w:val="32"/>
        </w:rPr>
      </w:pPr>
    </w:p>
    <w:p>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附件5：工程量清单（另附）</w:t>
      </w:r>
    </w:p>
    <w:p>
      <w:pPr>
        <w:spacing w:line="360" w:lineRule="auto"/>
        <w:rPr>
          <w:rFonts w:hint="eastAsia" w:ascii="宋体" w:hAnsi="宋体" w:cs="宋体"/>
          <w:b/>
          <w:color w:val="auto"/>
          <w:spacing w:val="6"/>
          <w:sz w:val="32"/>
          <w:szCs w:val="32"/>
        </w:rPr>
      </w:pPr>
    </w:p>
    <w:p>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附件6：图纸（另附）</w:t>
      </w:r>
    </w:p>
    <w:p>
      <w:pPr>
        <w:pStyle w:val="25"/>
        <w:rPr>
          <w:rFonts w:hint="eastAsia"/>
          <w:color w:val="auto"/>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443" w:name="_Toc91899912"/>
    <w:bookmarkStart w:id="444" w:name="_Toc131845147"/>
    <w:bookmarkStart w:id="445" w:name="_Toc164085800"/>
    <w:bookmarkStart w:id="446" w:name="_Toc36110187"/>
    <w:r>
      <w:rPr>
        <w:rFonts w:hint="eastAsia" w:ascii="仿宋_GB2312" w:eastAsia="仿宋_GB2312"/>
        <w:kern w:val="0"/>
        <w:szCs w:val="21"/>
      </w:rPr>
      <w:t xml:space="preserve"> 页</w:t>
    </w:r>
    <w:bookmarkEnd w:id="443"/>
    <w:bookmarkEnd w:id="444"/>
    <w:bookmarkEnd w:id="445"/>
    <w:bookmarkEnd w:id="4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page" w:x="8998" w:y="51"/>
      <w:rPr>
        <w:rStyle w:val="73"/>
        <w:rFonts w:hint="eastAsia" w:ascii="宋体" w:hAnsi="宋体"/>
        <w:sz w:val="28"/>
        <w:szCs w:val="28"/>
      </w:rPr>
    </w:pPr>
    <w:r>
      <w:rPr>
        <w:rStyle w:val="73"/>
        <w:rFonts w:ascii="宋体" w:hAnsi="宋体"/>
        <w:sz w:val="28"/>
        <w:szCs w:val="28"/>
      </w:rPr>
      <w:t xml:space="preserve">— </w:t>
    </w:r>
    <w:r>
      <w:rPr>
        <w:sz w:val="21"/>
        <w:szCs w:val="21"/>
      </w:rPr>
      <w:fldChar w:fldCharType="begin"/>
    </w:r>
    <w:r>
      <w:rPr>
        <w:rStyle w:val="73"/>
        <w:sz w:val="21"/>
      </w:rPr>
      <w:instrText xml:space="preserve"> PAGE </w:instrText>
    </w:r>
    <w:r>
      <w:rPr>
        <w:sz w:val="21"/>
        <w:szCs w:val="21"/>
      </w:rPr>
      <w:fldChar w:fldCharType="separate"/>
    </w:r>
    <w:r>
      <w:rPr>
        <w:rStyle w:val="73"/>
        <w:sz w:val="21"/>
      </w:rPr>
      <w:t>26</w:t>
    </w:r>
    <w:r>
      <w:rPr>
        <w:sz w:val="21"/>
        <w:szCs w:val="21"/>
      </w:rPr>
      <w:fldChar w:fldCharType="end"/>
    </w:r>
    <w:r>
      <w:rPr>
        <w:rStyle w:val="73"/>
        <w:rFonts w:ascii="宋体" w:hAnsi="宋体"/>
        <w:sz w:val="28"/>
        <w:szCs w:val="28"/>
      </w:rPr>
      <w:t xml:space="preserve"> —</w: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page" w:x="5731" w:y="34"/>
      <w:rPr>
        <w:rStyle w:val="73"/>
      </w:rPr>
    </w:pPr>
    <w:r>
      <w:fldChar w:fldCharType="begin"/>
    </w:r>
    <w:r>
      <w:rPr>
        <w:rStyle w:val="73"/>
      </w:rPr>
      <w:instrText xml:space="preserve">PAGE  </w:instrText>
    </w:r>
    <w:r>
      <w:fldChar w:fldCharType="separate"/>
    </w:r>
    <w:r>
      <w:rPr>
        <w:rStyle w:val="73"/>
      </w:rPr>
      <w:t>47</w:t>
    </w:r>
    <w:r>
      <w:fldChar w:fldCharType="end"/>
    </w:r>
  </w:p>
  <w:p>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Style w:val="73"/>
      </w:rPr>
    </w:pPr>
    <w:r>
      <w:fldChar w:fldCharType="begin"/>
    </w:r>
    <w:r>
      <w:rPr>
        <w:rStyle w:val="73"/>
      </w:rPr>
      <w:instrText xml:space="preserve"> PAGE  \* MERGEFORMAT </w:instrText>
    </w:r>
    <w:r>
      <w:fldChar w:fldCharType="separate"/>
    </w:r>
    <w:r>
      <w:rPr>
        <w:rStyle w:val="73"/>
      </w:rPr>
      <w:t>56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jc w:val="distribute"/>
      <w:rPr>
        <w:sz w:val="21"/>
        <w:szCs w:val="21"/>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0B74D77"/>
    <w:multiLevelType w:val="singleLevel"/>
    <w:tmpl w:val="A0B74D77"/>
    <w:lvl w:ilvl="0" w:tentative="0">
      <w:start w:val="5"/>
      <w:numFmt w:val="chineseCounting"/>
      <w:suff w:val="space"/>
      <w:lvlText w:val="第%1部分"/>
      <w:lvlJc w:val="left"/>
      <w:rPr>
        <w:rFonts w:hint="eastAsia"/>
      </w:rPr>
    </w:lvl>
  </w:abstractNum>
  <w:abstractNum w:abstractNumId="2">
    <w:nsid w:val="6461A2AA"/>
    <w:multiLevelType w:val="multilevel"/>
    <w:tmpl w:val="6461A2AA"/>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1Y2QxYzVjY2M3ZTlmZWMxY2UxOWY2ZDQzY2RlN2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790"/>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25A"/>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4E9"/>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F3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1DD0"/>
    <w:rsid w:val="0013202C"/>
    <w:rsid w:val="00132704"/>
    <w:rsid w:val="00132CBF"/>
    <w:rsid w:val="00133707"/>
    <w:rsid w:val="00133742"/>
    <w:rsid w:val="00133B70"/>
    <w:rsid w:val="00133E97"/>
    <w:rsid w:val="001350F7"/>
    <w:rsid w:val="00135769"/>
    <w:rsid w:val="00135BE9"/>
    <w:rsid w:val="00135E5C"/>
    <w:rsid w:val="00136762"/>
    <w:rsid w:val="00136E33"/>
    <w:rsid w:val="001375F6"/>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1BE"/>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E61"/>
    <w:rsid w:val="001E17E3"/>
    <w:rsid w:val="001E2052"/>
    <w:rsid w:val="001E2492"/>
    <w:rsid w:val="001E257C"/>
    <w:rsid w:val="001E286C"/>
    <w:rsid w:val="001E2F34"/>
    <w:rsid w:val="001E35EE"/>
    <w:rsid w:val="001E4B2C"/>
    <w:rsid w:val="001E507F"/>
    <w:rsid w:val="001E56C2"/>
    <w:rsid w:val="001E59FB"/>
    <w:rsid w:val="001E61DC"/>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08"/>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690"/>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5EB"/>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0F5"/>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F90"/>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A53"/>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8FB"/>
    <w:rsid w:val="00453507"/>
    <w:rsid w:val="00453592"/>
    <w:rsid w:val="004543AB"/>
    <w:rsid w:val="004545EC"/>
    <w:rsid w:val="00455967"/>
    <w:rsid w:val="00455F71"/>
    <w:rsid w:val="00456272"/>
    <w:rsid w:val="0045679C"/>
    <w:rsid w:val="004570EF"/>
    <w:rsid w:val="00457365"/>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219"/>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1AD"/>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3F9"/>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6B7"/>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6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1F9"/>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4FA9"/>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291"/>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6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6E7D"/>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5487"/>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2D"/>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226"/>
    <w:rsid w:val="00727351"/>
    <w:rsid w:val="00727AC5"/>
    <w:rsid w:val="00727C65"/>
    <w:rsid w:val="007300F0"/>
    <w:rsid w:val="00730904"/>
    <w:rsid w:val="00731EDE"/>
    <w:rsid w:val="0073245C"/>
    <w:rsid w:val="00732493"/>
    <w:rsid w:val="00732938"/>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521"/>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5AA"/>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BB6"/>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42F"/>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6D0"/>
    <w:rsid w:val="009A7E7C"/>
    <w:rsid w:val="009B05D2"/>
    <w:rsid w:val="009B152B"/>
    <w:rsid w:val="009B1960"/>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9F73A4"/>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89D"/>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364"/>
    <w:rsid w:val="00AF3557"/>
    <w:rsid w:val="00AF3F86"/>
    <w:rsid w:val="00AF4CEE"/>
    <w:rsid w:val="00AF4F4A"/>
    <w:rsid w:val="00AF5130"/>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00F"/>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6AF"/>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3DA"/>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69"/>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89B"/>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951"/>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C38"/>
    <w:rsid w:val="00E47DB1"/>
    <w:rsid w:val="00E50BDD"/>
    <w:rsid w:val="00E510CF"/>
    <w:rsid w:val="00E513D7"/>
    <w:rsid w:val="00E519FE"/>
    <w:rsid w:val="00E51AB2"/>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E8"/>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307"/>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EE0"/>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2CA"/>
    <w:rsid w:val="00FB7823"/>
    <w:rsid w:val="00FC05B2"/>
    <w:rsid w:val="00FC08B3"/>
    <w:rsid w:val="00FC09D7"/>
    <w:rsid w:val="00FC0ABE"/>
    <w:rsid w:val="00FC1269"/>
    <w:rsid w:val="00FC1ADF"/>
    <w:rsid w:val="00FC22D0"/>
    <w:rsid w:val="00FC38D4"/>
    <w:rsid w:val="00FC391E"/>
    <w:rsid w:val="00FC39B3"/>
    <w:rsid w:val="00FC3BB7"/>
    <w:rsid w:val="00FC4345"/>
    <w:rsid w:val="00FC444A"/>
    <w:rsid w:val="00FC453D"/>
    <w:rsid w:val="00FC4A01"/>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EC380B"/>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4A58C0"/>
    <w:rsid w:val="05921708"/>
    <w:rsid w:val="05A16594"/>
    <w:rsid w:val="05A7762D"/>
    <w:rsid w:val="060E5941"/>
    <w:rsid w:val="06110FAF"/>
    <w:rsid w:val="061E21DC"/>
    <w:rsid w:val="06493CA7"/>
    <w:rsid w:val="065A6178"/>
    <w:rsid w:val="066F1CF3"/>
    <w:rsid w:val="06930BB8"/>
    <w:rsid w:val="06DF1AF0"/>
    <w:rsid w:val="06F53C79"/>
    <w:rsid w:val="07245D42"/>
    <w:rsid w:val="07264C62"/>
    <w:rsid w:val="0779354C"/>
    <w:rsid w:val="077A1F3E"/>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ACD61E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772B7"/>
    <w:rsid w:val="0CC007F7"/>
    <w:rsid w:val="0CC617AC"/>
    <w:rsid w:val="0CD66F96"/>
    <w:rsid w:val="0CE618DF"/>
    <w:rsid w:val="0CFE707A"/>
    <w:rsid w:val="0D063BDA"/>
    <w:rsid w:val="0D08375F"/>
    <w:rsid w:val="0D184CFB"/>
    <w:rsid w:val="0D4A7419"/>
    <w:rsid w:val="0D751EA5"/>
    <w:rsid w:val="0D827401"/>
    <w:rsid w:val="0D84094E"/>
    <w:rsid w:val="0D8A00E9"/>
    <w:rsid w:val="0D8D589E"/>
    <w:rsid w:val="0DA01C73"/>
    <w:rsid w:val="0DD63300"/>
    <w:rsid w:val="0DF50604"/>
    <w:rsid w:val="0DF702FE"/>
    <w:rsid w:val="0E060E51"/>
    <w:rsid w:val="0E2030B8"/>
    <w:rsid w:val="0E5604B2"/>
    <w:rsid w:val="0E6D5D79"/>
    <w:rsid w:val="0E9D0089"/>
    <w:rsid w:val="0EB803EE"/>
    <w:rsid w:val="0EF94D4B"/>
    <w:rsid w:val="0F2F263F"/>
    <w:rsid w:val="0F4958DC"/>
    <w:rsid w:val="0F515DF7"/>
    <w:rsid w:val="0F596BA8"/>
    <w:rsid w:val="0F6248D2"/>
    <w:rsid w:val="0F693536"/>
    <w:rsid w:val="0F7B0511"/>
    <w:rsid w:val="0F7B76D9"/>
    <w:rsid w:val="0F816ACD"/>
    <w:rsid w:val="0F9832DB"/>
    <w:rsid w:val="0FBF3FD2"/>
    <w:rsid w:val="0FBF7FF3"/>
    <w:rsid w:val="10525806"/>
    <w:rsid w:val="10646583"/>
    <w:rsid w:val="107D4B15"/>
    <w:rsid w:val="108A3C80"/>
    <w:rsid w:val="10C26171"/>
    <w:rsid w:val="10F33360"/>
    <w:rsid w:val="10FC16EA"/>
    <w:rsid w:val="110F1D40"/>
    <w:rsid w:val="11266F33"/>
    <w:rsid w:val="116C0548"/>
    <w:rsid w:val="118963A1"/>
    <w:rsid w:val="11C6522A"/>
    <w:rsid w:val="11E104CC"/>
    <w:rsid w:val="11E20309"/>
    <w:rsid w:val="12255233"/>
    <w:rsid w:val="12437C74"/>
    <w:rsid w:val="12530213"/>
    <w:rsid w:val="127723A9"/>
    <w:rsid w:val="12862074"/>
    <w:rsid w:val="12883966"/>
    <w:rsid w:val="129E45B4"/>
    <w:rsid w:val="12D81596"/>
    <w:rsid w:val="13072A44"/>
    <w:rsid w:val="1311486C"/>
    <w:rsid w:val="135F4BE2"/>
    <w:rsid w:val="139B1A0A"/>
    <w:rsid w:val="139D25C7"/>
    <w:rsid w:val="13BF3CE4"/>
    <w:rsid w:val="13E72483"/>
    <w:rsid w:val="141008D8"/>
    <w:rsid w:val="14125FE6"/>
    <w:rsid w:val="146D271E"/>
    <w:rsid w:val="14982588"/>
    <w:rsid w:val="149A5AD9"/>
    <w:rsid w:val="14A7619D"/>
    <w:rsid w:val="150536C3"/>
    <w:rsid w:val="150C1963"/>
    <w:rsid w:val="151447A0"/>
    <w:rsid w:val="152B4878"/>
    <w:rsid w:val="154A6454"/>
    <w:rsid w:val="15762120"/>
    <w:rsid w:val="15AE5784"/>
    <w:rsid w:val="15DD3DC4"/>
    <w:rsid w:val="168F7E12"/>
    <w:rsid w:val="16A8729C"/>
    <w:rsid w:val="16B33777"/>
    <w:rsid w:val="16BC70A7"/>
    <w:rsid w:val="16C6339E"/>
    <w:rsid w:val="172F2D79"/>
    <w:rsid w:val="174006E6"/>
    <w:rsid w:val="17557BEF"/>
    <w:rsid w:val="17887D5F"/>
    <w:rsid w:val="17D349C1"/>
    <w:rsid w:val="1830729E"/>
    <w:rsid w:val="1870062C"/>
    <w:rsid w:val="18817102"/>
    <w:rsid w:val="18830A15"/>
    <w:rsid w:val="18852B28"/>
    <w:rsid w:val="188B5321"/>
    <w:rsid w:val="19704F75"/>
    <w:rsid w:val="19832ED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0A056C"/>
    <w:rsid w:val="1C1B3B4A"/>
    <w:rsid w:val="1C7725CD"/>
    <w:rsid w:val="1C88086E"/>
    <w:rsid w:val="1CA51364"/>
    <w:rsid w:val="1CBF39E4"/>
    <w:rsid w:val="1D266CE1"/>
    <w:rsid w:val="1D3963AF"/>
    <w:rsid w:val="1D3D0FE5"/>
    <w:rsid w:val="1D6A673C"/>
    <w:rsid w:val="1D9247AE"/>
    <w:rsid w:val="1DB567EC"/>
    <w:rsid w:val="1DEF31D0"/>
    <w:rsid w:val="1DF51A98"/>
    <w:rsid w:val="1E3D060F"/>
    <w:rsid w:val="1E3F7D2E"/>
    <w:rsid w:val="1E4134E4"/>
    <w:rsid w:val="1E5062B3"/>
    <w:rsid w:val="1E523514"/>
    <w:rsid w:val="1E714A66"/>
    <w:rsid w:val="1E802593"/>
    <w:rsid w:val="1E8B6156"/>
    <w:rsid w:val="1EA703CC"/>
    <w:rsid w:val="1EB7330C"/>
    <w:rsid w:val="1EEB1EAF"/>
    <w:rsid w:val="1F0827F2"/>
    <w:rsid w:val="1F0A0FF3"/>
    <w:rsid w:val="1F1F101A"/>
    <w:rsid w:val="1F5771FF"/>
    <w:rsid w:val="1F646BF6"/>
    <w:rsid w:val="1F904124"/>
    <w:rsid w:val="1FE868A9"/>
    <w:rsid w:val="1FF57F5C"/>
    <w:rsid w:val="20034907"/>
    <w:rsid w:val="20173E4B"/>
    <w:rsid w:val="204E48BC"/>
    <w:rsid w:val="208921B3"/>
    <w:rsid w:val="20973DEB"/>
    <w:rsid w:val="20B26522"/>
    <w:rsid w:val="20B44310"/>
    <w:rsid w:val="211116EB"/>
    <w:rsid w:val="21472A39"/>
    <w:rsid w:val="216133FC"/>
    <w:rsid w:val="21D56769"/>
    <w:rsid w:val="21E52EF3"/>
    <w:rsid w:val="21FB5D7B"/>
    <w:rsid w:val="22015E94"/>
    <w:rsid w:val="220B1C3D"/>
    <w:rsid w:val="221D1D20"/>
    <w:rsid w:val="222A4802"/>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67E6"/>
    <w:rsid w:val="258B00E2"/>
    <w:rsid w:val="25A917A6"/>
    <w:rsid w:val="25BE27CC"/>
    <w:rsid w:val="25F211C5"/>
    <w:rsid w:val="25F74A5C"/>
    <w:rsid w:val="25FD0AC2"/>
    <w:rsid w:val="2628662C"/>
    <w:rsid w:val="262D45DE"/>
    <w:rsid w:val="26871DC8"/>
    <w:rsid w:val="26A53EF9"/>
    <w:rsid w:val="26A94201"/>
    <w:rsid w:val="26AC274F"/>
    <w:rsid w:val="27044A29"/>
    <w:rsid w:val="271D34C8"/>
    <w:rsid w:val="276142BF"/>
    <w:rsid w:val="27783712"/>
    <w:rsid w:val="27907362"/>
    <w:rsid w:val="27932534"/>
    <w:rsid w:val="28333E1D"/>
    <w:rsid w:val="28454BD6"/>
    <w:rsid w:val="28455253"/>
    <w:rsid w:val="28551971"/>
    <w:rsid w:val="285B1C53"/>
    <w:rsid w:val="28930307"/>
    <w:rsid w:val="289F7086"/>
    <w:rsid w:val="28C32028"/>
    <w:rsid w:val="28CC490F"/>
    <w:rsid w:val="28DE40AA"/>
    <w:rsid w:val="29345E77"/>
    <w:rsid w:val="294C65AD"/>
    <w:rsid w:val="29806583"/>
    <w:rsid w:val="298B3C4C"/>
    <w:rsid w:val="29F26D24"/>
    <w:rsid w:val="2A15033F"/>
    <w:rsid w:val="2A1662C1"/>
    <w:rsid w:val="2A1C7367"/>
    <w:rsid w:val="2A2815FA"/>
    <w:rsid w:val="2A695CCB"/>
    <w:rsid w:val="2A6D6092"/>
    <w:rsid w:val="2A7D76B4"/>
    <w:rsid w:val="2A97061E"/>
    <w:rsid w:val="2AEF2CC6"/>
    <w:rsid w:val="2B437463"/>
    <w:rsid w:val="2B7807EE"/>
    <w:rsid w:val="2B906EFB"/>
    <w:rsid w:val="2BA50BF7"/>
    <w:rsid w:val="2BBF00EC"/>
    <w:rsid w:val="2BC37CFD"/>
    <w:rsid w:val="2BD5237F"/>
    <w:rsid w:val="2BE536CE"/>
    <w:rsid w:val="2BE758D9"/>
    <w:rsid w:val="2BF11F1F"/>
    <w:rsid w:val="2C09049E"/>
    <w:rsid w:val="2C0A653C"/>
    <w:rsid w:val="2C191F85"/>
    <w:rsid w:val="2CE82D6F"/>
    <w:rsid w:val="2D343236"/>
    <w:rsid w:val="2DD15014"/>
    <w:rsid w:val="2DEF2CD3"/>
    <w:rsid w:val="2DF72DE4"/>
    <w:rsid w:val="2E0220AF"/>
    <w:rsid w:val="2E4B082A"/>
    <w:rsid w:val="2E5D4E86"/>
    <w:rsid w:val="2E5D790B"/>
    <w:rsid w:val="2E8F7B31"/>
    <w:rsid w:val="2E9A3C18"/>
    <w:rsid w:val="2EA43358"/>
    <w:rsid w:val="2EBB0FEE"/>
    <w:rsid w:val="2EC63002"/>
    <w:rsid w:val="2F0A6B38"/>
    <w:rsid w:val="2F2D05FC"/>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B62234"/>
    <w:rsid w:val="32BE5C2C"/>
    <w:rsid w:val="32D63C1D"/>
    <w:rsid w:val="32FB6478"/>
    <w:rsid w:val="332410BB"/>
    <w:rsid w:val="33263B3F"/>
    <w:rsid w:val="335A6E23"/>
    <w:rsid w:val="336963EB"/>
    <w:rsid w:val="33816EEB"/>
    <w:rsid w:val="33B41F43"/>
    <w:rsid w:val="33B6537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15A8F"/>
    <w:rsid w:val="37EE7094"/>
    <w:rsid w:val="38296C89"/>
    <w:rsid w:val="383002EB"/>
    <w:rsid w:val="38586797"/>
    <w:rsid w:val="38BC0149"/>
    <w:rsid w:val="38D87D1C"/>
    <w:rsid w:val="391159AF"/>
    <w:rsid w:val="39636459"/>
    <w:rsid w:val="396B7F6C"/>
    <w:rsid w:val="39B417A9"/>
    <w:rsid w:val="39FC5695"/>
    <w:rsid w:val="3A006D8E"/>
    <w:rsid w:val="3A204F94"/>
    <w:rsid w:val="3A3651E5"/>
    <w:rsid w:val="3A744481"/>
    <w:rsid w:val="3A8C7BEF"/>
    <w:rsid w:val="3A906246"/>
    <w:rsid w:val="3B2349B7"/>
    <w:rsid w:val="3B616CFF"/>
    <w:rsid w:val="3B6259F6"/>
    <w:rsid w:val="3B7B18E0"/>
    <w:rsid w:val="3B976654"/>
    <w:rsid w:val="3BC01EFC"/>
    <w:rsid w:val="3BCA786A"/>
    <w:rsid w:val="3BD31E2F"/>
    <w:rsid w:val="3BF15831"/>
    <w:rsid w:val="3C105946"/>
    <w:rsid w:val="3C471448"/>
    <w:rsid w:val="3C5F759A"/>
    <w:rsid w:val="3C6C525A"/>
    <w:rsid w:val="3CC92038"/>
    <w:rsid w:val="3CCE23CB"/>
    <w:rsid w:val="3CD17D17"/>
    <w:rsid w:val="3D1A6963"/>
    <w:rsid w:val="3D3C7F39"/>
    <w:rsid w:val="3D440F09"/>
    <w:rsid w:val="3D4504A0"/>
    <w:rsid w:val="3D8734BB"/>
    <w:rsid w:val="3D9A11D4"/>
    <w:rsid w:val="3DA16D89"/>
    <w:rsid w:val="3DA364BE"/>
    <w:rsid w:val="3DE041CB"/>
    <w:rsid w:val="3E0D48F6"/>
    <w:rsid w:val="3E1868B4"/>
    <w:rsid w:val="3E377251"/>
    <w:rsid w:val="3E42664B"/>
    <w:rsid w:val="3E5A7334"/>
    <w:rsid w:val="3E6421CB"/>
    <w:rsid w:val="3E7B5D6B"/>
    <w:rsid w:val="3E843E66"/>
    <w:rsid w:val="3E8F51FE"/>
    <w:rsid w:val="3E926F87"/>
    <w:rsid w:val="3E9A59DE"/>
    <w:rsid w:val="3EAF4836"/>
    <w:rsid w:val="3EC33DFA"/>
    <w:rsid w:val="3ED50AF1"/>
    <w:rsid w:val="3EF23368"/>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14FB"/>
    <w:rsid w:val="441C37AA"/>
    <w:rsid w:val="44430A3C"/>
    <w:rsid w:val="449101DD"/>
    <w:rsid w:val="44DE1391"/>
    <w:rsid w:val="451B225C"/>
    <w:rsid w:val="452410C9"/>
    <w:rsid w:val="45317DFB"/>
    <w:rsid w:val="456D3CE4"/>
    <w:rsid w:val="4579042C"/>
    <w:rsid w:val="457D3E99"/>
    <w:rsid w:val="457F0571"/>
    <w:rsid w:val="45851176"/>
    <w:rsid w:val="458C3AEA"/>
    <w:rsid w:val="45C55BC2"/>
    <w:rsid w:val="45C63B94"/>
    <w:rsid w:val="45CE3628"/>
    <w:rsid w:val="45F168F2"/>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065A4"/>
    <w:rsid w:val="4B0567D1"/>
    <w:rsid w:val="4B236AAE"/>
    <w:rsid w:val="4B2F799D"/>
    <w:rsid w:val="4B707271"/>
    <w:rsid w:val="4B9739F7"/>
    <w:rsid w:val="4BEE2503"/>
    <w:rsid w:val="4BF727EA"/>
    <w:rsid w:val="4C245A30"/>
    <w:rsid w:val="4C3F154D"/>
    <w:rsid w:val="4C6B00A8"/>
    <w:rsid w:val="4CB6685F"/>
    <w:rsid w:val="4CC367FE"/>
    <w:rsid w:val="4D077F3C"/>
    <w:rsid w:val="4D123355"/>
    <w:rsid w:val="4D2A3B31"/>
    <w:rsid w:val="4D312C52"/>
    <w:rsid w:val="4D905305"/>
    <w:rsid w:val="4D964A72"/>
    <w:rsid w:val="4D9C1254"/>
    <w:rsid w:val="4D9D7ECE"/>
    <w:rsid w:val="4D9E5B15"/>
    <w:rsid w:val="4E745EC6"/>
    <w:rsid w:val="4E793892"/>
    <w:rsid w:val="4E800872"/>
    <w:rsid w:val="4EAB74D1"/>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32D09"/>
    <w:rsid w:val="522E4CC3"/>
    <w:rsid w:val="5244713B"/>
    <w:rsid w:val="52615633"/>
    <w:rsid w:val="526F4DE4"/>
    <w:rsid w:val="52977FD4"/>
    <w:rsid w:val="52A25790"/>
    <w:rsid w:val="52A96B6F"/>
    <w:rsid w:val="52B45975"/>
    <w:rsid w:val="52D94AA4"/>
    <w:rsid w:val="52E80913"/>
    <w:rsid w:val="52EA3A62"/>
    <w:rsid w:val="52F50BB8"/>
    <w:rsid w:val="53097272"/>
    <w:rsid w:val="534C1537"/>
    <w:rsid w:val="53544462"/>
    <w:rsid w:val="5397158E"/>
    <w:rsid w:val="53E325D5"/>
    <w:rsid w:val="54013861"/>
    <w:rsid w:val="54487265"/>
    <w:rsid w:val="544D6070"/>
    <w:rsid w:val="54605E1E"/>
    <w:rsid w:val="54AA6D09"/>
    <w:rsid w:val="54B3506A"/>
    <w:rsid w:val="54CA0D16"/>
    <w:rsid w:val="54DD4057"/>
    <w:rsid w:val="54E7490F"/>
    <w:rsid w:val="550764A4"/>
    <w:rsid w:val="550B2BF6"/>
    <w:rsid w:val="55144405"/>
    <w:rsid w:val="55214EB5"/>
    <w:rsid w:val="55364EFD"/>
    <w:rsid w:val="555D4828"/>
    <w:rsid w:val="55782390"/>
    <w:rsid w:val="557A4C8B"/>
    <w:rsid w:val="558931E1"/>
    <w:rsid w:val="559002B6"/>
    <w:rsid w:val="55923347"/>
    <w:rsid w:val="55925180"/>
    <w:rsid w:val="55983B1B"/>
    <w:rsid w:val="55A8376B"/>
    <w:rsid w:val="55DC29B6"/>
    <w:rsid w:val="55DD4241"/>
    <w:rsid w:val="566B6D1E"/>
    <w:rsid w:val="56BF1B96"/>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A621C"/>
    <w:rsid w:val="58713915"/>
    <w:rsid w:val="58917D2F"/>
    <w:rsid w:val="5894085C"/>
    <w:rsid w:val="5898534D"/>
    <w:rsid w:val="58AE4F0C"/>
    <w:rsid w:val="58B85899"/>
    <w:rsid w:val="58E363A9"/>
    <w:rsid w:val="58F06F37"/>
    <w:rsid w:val="591E264C"/>
    <w:rsid w:val="59446E70"/>
    <w:rsid w:val="595E1678"/>
    <w:rsid w:val="596D5BD4"/>
    <w:rsid w:val="597E3DD8"/>
    <w:rsid w:val="59DE104B"/>
    <w:rsid w:val="59F80043"/>
    <w:rsid w:val="5A09252F"/>
    <w:rsid w:val="5A0B2778"/>
    <w:rsid w:val="5A2A7C7B"/>
    <w:rsid w:val="5A3E2560"/>
    <w:rsid w:val="5A4A0DBF"/>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DDB35BF"/>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3531F"/>
    <w:rsid w:val="5F8D0B82"/>
    <w:rsid w:val="5FCC5339"/>
    <w:rsid w:val="5FE34A5B"/>
    <w:rsid w:val="5FFE1E36"/>
    <w:rsid w:val="60232584"/>
    <w:rsid w:val="607330CE"/>
    <w:rsid w:val="607C1252"/>
    <w:rsid w:val="60825176"/>
    <w:rsid w:val="609F2AC4"/>
    <w:rsid w:val="60FA2EE8"/>
    <w:rsid w:val="61054A27"/>
    <w:rsid w:val="610A52BC"/>
    <w:rsid w:val="610D059B"/>
    <w:rsid w:val="611D2366"/>
    <w:rsid w:val="61421856"/>
    <w:rsid w:val="615227C4"/>
    <w:rsid w:val="61654E3F"/>
    <w:rsid w:val="6182292A"/>
    <w:rsid w:val="61861C02"/>
    <w:rsid w:val="619F7F92"/>
    <w:rsid w:val="61F94C26"/>
    <w:rsid w:val="62000E56"/>
    <w:rsid w:val="624F3E49"/>
    <w:rsid w:val="62632286"/>
    <w:rsid w:val="62885958"/>
    <w:rsid w:val="62F40B65"/>
    <w:rsid w:val="62FC2CFE"/>
    <w:rsid w:val="63024505"/>
    <w:rsid w:val="633F75C8"/>
    <w:rsid w:val="634D7E8E"/>
    <w:rsid w:val="635600A5"/>
    <w:rsid w:val="635B1DB5"/>
    <w:rsid w:val="63711FED"/>
    <w:rsid w:val="63880DDC"/>
    <w:rsid w:val="638D750D"/>
    <w:rsid w:val="63AC6CC0"/>
    <w:rsid w:val="63F23480"/>
    <w:rsid w:val="64055776"/>
    <w:rsid w:val="641F5B67"/>
    <w:rsid w:val="64240056"/>
    <w:rsid w:val="643E143A"/>
    <w:rsid w:val="64491666"/>
    <w:rsid w:val="645D6D76"/>
    <w:rsid w:val="648B6EEF"/>
    <w:rsid w:val="64C158BF"/>
    <w:rsid w:val="64CE2EAA"/>
    <w:rsid w:val="64E17D0E"/>
    <w:rsid w:val="64E21E70"/>
    <w:rsid w:val="64F102BF"/>
    <w:rsid w:val="65366ABA"/>
    <w:rsid w:val="653C3090"/>
    <w:rsid w:val="65854376"/>
    <w:rsid w:val="658767BE"/>
    <w:rsid w:val="65892531"/>
    <w:rsid w:val="6611076D"/>
    <w:rsid w:val="66195831"/>
    <w:rsid w:val="662E75B1"/>
    <w:rsid w:val="66342C2E"/>
    <w:rsid w:val="663E784C"/>
    <w:rsid w:val="668B6A45"/>
    <w:rsid w:val="67112C4A"/>
    <w:rsid w:val="672F3F24"/>
    <w:rsid w:val="673E055F"/>
    <w:rsid w:val="67551CE3"/>
    <w:rsid w:val="676A5208"/>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C58E0"/>
    <w:rsid w:val="693E15D3"/>
    <w:rsid w:val="69627681"/>
    <w:rsid w:val="6977531D"/>
    <w:rsid w:val="69CC2BFF"/>
    <w:rsid w:val="69FD55B8"/>
    <w:rsid w:val="6A0B1C62"/>
    <w:rsid w:val="6A2406C8"/>
    <w:rsid w:val="6A3B7666"/>
    <w:rsid w:val="6A9417FF"/>
    <w:rsid w:val="6A9A1ADF"/>
    <w:rsid w:val="6ADE0BD1"/>
    <w:rsid w:val="6AE81378"/>
    <w:rsid w:val="6AE96859"/>
    <w:rsid w:val="6B147746"/>
    <w:rsid w:val="6B24787C"/>
    <w:rsid w:val="6B573233"/>
    <w:rsid w:val="6B5B6274"/>
    <w:rsid w:val="6B935D53"/>
    <w:rsid w:val="6C1316F7"/>
    <w:rsid w:val="6C196F71"/>
    <w:rsid w:val="6C226FCB"/>
    <w:rsid w:val="6C31226F"/>
    <w:rsid w:val="6C471414"/>
    <w:rsid w:val="6C517EC7"/>
    <w:rsid w:val="6C552F0B"/>
    <w:rsid w:val="6C803E37"/>
    <w:rsid w:val="6C8C67B7"/>
    <w:rsid w:val="6C9D744C"/>
    <w:rsid w:val="6D167928"/>
    <w:rsid w:val="6D26299B"/>
    <w:rsid w:val="6D4772EC"/>
    <w:rsid w:val="6D4D4500"/>
    <w:rsid w:val="6D9078AF"/>
    <w:rsid w:val="6DAA3FEF"/>
    <w:rsid w:val="6DC0172B"/>
    <w:rsid w:val="6DCB690C"/>
    <w:rsid w:val="6DD41A5B"/>
    <w:rsid w:val="6DF43C2E"/>
    <w:rsid w:val="6DF51CA3"/>
    <w:rsid w:val="6E3A4A84"/>
    <w:rsid w:val="6E8335BD"/>
    <w:rsid w:val="6E8E12EF"/>
    <w:rsid w:val="6E972936"/>
    <w:rsid w:val="6ED446C5"/>
    <w:rsid w:val="6F0A44BC"/>
    <w:rsid w:val="6F2A7D94"/>
    <w:rsid w:val="6F4242A3"/>
    <w:rsid w:val="6F8331F1"/>
    <w:rsid w:val="6FAE1A09"/>
    <w:rsid w:val="6FD75BF8"/>
    <w:rsid w:val="7003220D"/>
    <w:rsid w:val="70082367"/>
    <w:rsid w:val="707723D0"/>
    <w:rsid w:val="70F5661B"/>
    <w:rsid w:val="71180F56"/>
    <w:rsid w:val="71360107"/>
    <w:rsid w:val="713B688E"/>
    <w:rsid w:val="7148279F"/>
    <w:rsid w:val="71D43752"/>
    <w:rsid w:val="71D83356"/>
    <w:rsid w:val="71F1796A"/>
    <w:rsid w:val="71FB63D5"/>
    <w:rsid w:val="72154626"/>
    <w:rsid w:val="72262B5D"/>
    <w:rsid w:val="72283FF7"/>
    <w:rsid w:val="722E7212"/>
    <w:rsid w:val="723A0474"/>
    <w:rsid w:val="724C7B16"/>
    <w:rsid w:val="725923E4"/>
    <w:rsid w:val="72864BF7"/>
    <w:rsid w:val="729023FC"/>
    <w:rsid w:val="73085C46"/>
    <w:rsid w:val="73724CC1"/>
    <w:rsid w:val="73C0646E"/>
    <w:rsid w:val="742222F5"/>
    <w:rsid w:val="74476126"/>
    <w:rsid w:val="74706664"/>
    <w:rsid w:val="747F3682"/>
    <w:rsid w:val="74901C51"/>
    <w:rsid w:val="749C4185"/>
    <w:rsid w:val="74F14E44"/>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510D9E"/>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25FA8"/>
    <w:rsid w:val="7BEE0103"/>
    <w:rsid w:val="7C0A0FE4"/>
    <w:rsid w:val="7C254906"/>
    <w:rsid w:val="7C590818"/>
    <w:rsid w:val="7C7C10F6"/>
    <w:rsid w:val="7C853BEA"/>
    <w:rsid w:val="7C881368"/>
    <w:rsid w:val="7CD564F7"/>
    <w:rsid w:val="7CE27788"/>
    <w:rsid w:val="7CE95490"/>
    <w:rsid w:val="7D06022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0E4D6B"/>
    <w:rsid w:val="7F143BEC"/>
    <w:rsid w:val="7F362021"/>
    <w:rsid w:val="7F715AF2"/>
    <w:rsid w:val="7F7B47F9"/>
    <w:rsid w:val="7F886E69"/>
    <w:rsid w:val="7F910882"/>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0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12"/>
    <w:autoRedefine/>
    <w:qFormat/>
    <w:uiPriority w:val="0"/>
    <w:pPr>
      <w:shd w:val="clear" w:color="auto" w:fill="000080"/>
    </w:pPr>
  </w:style>
  <w:style w:type="paragraph" w:styleId="19">
    <w:name w:val="toa heading"/>
    <w:basedOn w:val="1"/>
    <w:next w:val="1"/>
    <w:autoRedefine/>
    <w:qFormat/>
    <w:uiPriority w:val="0"/>
    <w:pPr>
      <w:spacing w:before="120"/>
    </w:pPr>
    <w:rPr>
      <w:rFonts w:ascii="Arial"/>
      <w:kern w:val="0"/>
      <w:sz w:val="24"/>
      <w:szCs w:val="20"/>
    </w:rPr>
  </w:style>
  <w:style w:type="paragraph" w:styleId="20">
    <w:name w:val="annotation text"/>
    <w:basedOn w:val="1"/>
    <w:link w:val="350"/>
    <w:autoRedefine/>
    <w:qFormat/>
    <w:uiPriority w:val="99"/>
    <w:pPr>
      <w:jc w:val="left"/>
    </w:pPr>
  </w:style>
  <w:style w:type="paragraph" w:styleId="21">
    <w:name w:val="Salutation"/>
    <w:basedOn w:val="1"/>
    <w:next w:val="1"/>
    <w:link w:val="305"/>
    <w:autoRedefine/>
    <w:qFormat/>
    <w:uiPriority w:val="0"/>
    <w:rPr>
      <w:rFonts w:ascii="仿宋_GB2312" w:eastAsia="仿宋_GB2312"/>
      <w:sz w:val="28"/>
      <w:szCs w:val="20"/>
    </w:rPr>
  </w:style>
  <w:style w:type="paragraph" w:styleId="22">
    <w:name w:val="Body Text 3"/>
    <w:basedOn w:val="1"/>
    <w:link w:val="33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7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91"/>
    <w:autoRedefine/>
    <w:qFormat/>
    <w:uiPriority w:val="0"/>
    <w:pPr>
      <w:ind w:left="100" w:leftChars="2500"/>
    </w:pPr>
    <w:rPr>
      <w:rFonts w:ascii="宋体"/>
      <w:sz w:val="24"/>
      <w:szCs w:val="21"/>
      <w:lang w:val="zh-CN"/>
    </w:rPr>
  </w:style>
  <w:style w:type="paragraph" w:styleId="37">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5"/>
    <w:autoRedefine/>
    <w:qFormat/>
    <w:uiPriority w:val="0"/>
    <w:rPr>
      <w:lang w:val="zh-CN"/>
    </w:rPr>
  </w:style>
  <w:style w:type="paragraph" w:styleId="39">
    <w:name w:val="Balloon Text"/>
    <w:basedOn w:val="1"/>
    <w:link w:val="198"/>
    <w:autoRedefine/>
    <w:qFormat/>
    <w:uiPriority w:val="0"/>
    <w:rPr>
      <w:sz w:val="18"/>
      <w:szCs w:val="18"/>
    </w:rPr>
  </w:style>
  <w:style w:type="paragraph" w:styleId="40">
    <w:name w:val="footer"/>
    <w:basedOn w:val="1"/>
    <w:link w:val="389"/>
    <w:autoRedefine/>
    <w:qFormat/>
    <w:uiPriority w:val="99"/>
    <w:pPr>
      <w:tabs>
        <w:tab w:val="center" w:pos="4153"/>
        <w:tab w:val="right" w:pos="8306"/>
      </w:tabs>
      <w:snapToGrid w:val="0"/>
      <w:jc w:val="left"/>
    </w:pPr>
    <w:rPr>
      <w:sz w:val="18"/>
      <w:szCs w:val="18"/>
    </w:rPr>
  </w:style>
  <w:style w:type="paragraph" w:styleId="41">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4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81"/>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9"/>
    <w:autoRedefine/>
    <w:qFormat/>
    <w:uiPriority w:val="0"/>
    <w:pPr>
      <w:spacing w:after="120" w:line="480" w:lineRule="auto"/>
    </w:pPr>
  </w:style>
  <w:style w:type="paragraph" w:styleId="57">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7"/>
    <w:autoRedefine/>
    <w:qFormat/>
    <w:uiPriority w:val="0"/>
    <w:rPr>
      <w:b/>
      <w:bCs/>
    </w:rPr>
  </w:style>
  <w:style w:type="paragraph" w:styleId="61">
    <w:name w:val="Body Text First Indent"/>
    <w:basedOn w:val="24"/>
    <w:link w:val="328"/>
    <w:autoRedefine/>
    <w:qFormat/>
    <w:uiPriority w:val="0"/>
    <w:pPr>
      <w:ind w:firstLine="420"/>
    </w:pPr>
    <w:rPr>
      <w:rFonts w:hAnsi="Calibri" w:cs="Times New Roman"/>
      <w:snapToGrid/>
      <w:szCs w:val="20"/>
    </w:rPr>
  </w:style>
  <w:style w:type="paragraph" w:styleId="62">
    <w:name w:val="Body Text First Indent 2"/>
    <w:basedOn w:val="25"/>
    <w:link w:val="13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2">
    <w:name w:val="标题 2 Char"/>
    <w:autoRedefine/>
    <w:qFormat/>
    <w:uiPriority w:val="0"/>
    <w:rPr>
      <w:rFonts w:ascii="Arial" w:hAnsi="Arial" w:eastAsia="黑体"/>
      <w:b/>
      <w:kern w:val="2"/>
      <w:sz w:val="32"/>
      <w:lang w:val="en-US" w:eastAsia="zh-CN"/>
    </w:rPr>
  </w:style>
  <w:style w:type="character" w:customStyle="1" w:styleId="83">
    <w:name w:val="标题 4 Char"/>
    <w:autoRedefine/>
    <w:qFormat/>
    <w:uiPriority w:val="0"/>
    <w:rPr>
      <w:rFonts w:ascii="Arial" w:hAnsi="Arial" w:eastAsia="黑体"/>
      <w:b/>
      <w:kern w:val="2"/>
      <w:sz w:val="28"/>
    </w:rPr>
  </w:style>
  <w:style w:type="character" w:customStyle="1" w:styleId="84">
    <w:name w:val="标题 1 字符"/>
    <w:autoRedefine/>
    <w:qFormat/>
    <w:uiPriority w:val="9"/>
    <w:rPr>
      <w:rFonts w:ascii="Arial" w:hAnsi="Arial" w:eastAsia="黑体" w:cs="Arial"/>
      <w:b/>
      <w:bCs/>
      <w:snapToGrid w:val="0"/>
      <w:kern w:val="44"/>
      <w:sz w:val="44"/>
      <w:szCs w:val="44"/>
    </w:rPr>
  </w:style>
  <w:style w:type="character" w:customStyle="1" w:styleId="85">
    <w:name w:val="标题 5 字符"/>
    <w:link w:val="7"/>
    <w:autoRedefine/>
    <w:qFormat/>
    <w:uiPriority w:val="9"/>
    <w:rPr>
      <w:b/>
      <w:bCs/>
      <w:kern w:val="2"/>
      <w:sz w:val="28"/>
      <w:szCs w:val="28"/>
    </w:rPr>
  </w:style>
  <w:style w:type="character" w:customStyle="1" w:styleId="86">
    <w:name w:val="标题 Char"/>
    <w:autoRedefine/>
    <w:qFormat/>
    <w:uiPriority w:val="0"/>
    <w:rPr>
      <w:rFonts w:eastAsia="宋体"/>
      <w:b/>
      <w:sz w:val="24"/>
      <w:lang w:val="en-GB" w:eastAsia="zh-CN" w:bidi="ar-SA"/>
    </w:rPr>
  </w:style>
  <w:style w:type="paragraph" w:customStyle="1" w:styleId="87">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8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9">
    <w:name w:val="样式3"/>
    <w:basedOn w:val="88"/>
    <w:autoRedefine/>
    <w:qFormat/>
    <w:uiPriority w:val="0"/>
    <w:pPr>
      <w:spacing w:before="312" w:beforeLines="100"/>
      <w:jc w:val="left"/>
    </w:pPr>
  </w:style>
  <w:style w:type="paragraph" w:customStyle="1" w:styleId="90">
    <w:name w:val="Default"/>
    <w:next w:val="91"/>
    <w:link w:val="24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1">
    <w:name w:val="TOC 71"/>
    <w:basedOn w:val="1"/>
    <w:next w:val="1"/>
    <w:autoRedefine/>
    <w:qFormat/>
    <w:uiPriority w:val="0"/>
    <w:pPr>
      <w:widowControl/>
      <w:wordWrap w:val="0"/>
      <w:spacing w:before="100" w:beforeAutospacing="1" w:after="100" w:afterAutospacing="1"/>
      <w:ind w:left="2550"/>
    </w:pPr>
    <w:rPr>
      <w:rFonts w:ascii="Calibri" w:hAnsi="Calibri"/>
      <w:kern w:val="0"/>
      <w:szCs w:val="21"/>
    </w:rPr>
  </w:style>
  <w:style w:type="paragraph" w:customStyle="1" w:styleId="92">
    <w:name w:val="正文空2字"/>
    <w:basedOn w:val="9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3">
    <w:name w:val="左对齐正文"/>
    <w:autoRedefine/>
    <w:qFormat/>
    <w:uiPriority w:val="99"/>
    <w:rPr>
      <w:rFonts w:ascii="Calibri" w:hAnsi="Calibri" w:eastAsia="仿宋_GB2312" w:cs="Calibri"/>
      <w:kern w:val="2"/>
      <w:sz w:val="32"/>
      <w:szCs w:val="32"/>
      <w:lang w:val="en-US" w:eastAsia="zh-CN" w:bidi="ar-SA"/>
    </w:rPr>
  </w:style>
  <w:style w:type="character" w:customStyle="1" w:styleId="94">
    <w:name w:val="表格非标题文字 Char"/>
    <w:link w:val="95"/>
    <w:autoRedefine/>
    <w:qFormat/>
    <w:uiPriority w:val="0"/>
    <w:rPr>
      <w:rFonts w:ascii="Futura Bk" w:hAnsi="Futura Bk"/>
      <w:kern w:val="2"/>
      <w:sz w:val="18"/>
      <w:szCs w:val="21"/>
      <w:lang w:val="en-US" w:eastAsia="zh-CN" w:bidi="ar-SA"/>
    </w:rPr>
  </w:style>
  <w:style w:type="paragraph" w:customStyle="1" w:styleId="95">
    <w:name w:val="表格非标题文字"/>
    <w:link w:val="9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6">
    <w:name w:val="*正文 Char"/>
    <w:link w:val="97"/>
    <w:autoRedefine/>
    <w:qFormat/>
    <w:locked/>
    <w:uiPriority w:val="0"/>
    <w:rPr>
      <w:rFonts w:ascii="宋体" w:hAnsi="宋体"/>
      <w:sz w:val="24"/>
    </w:rPr>
  </w:style>
  <w:style w:type="paragraph" w:customStyle="1" w:styleId="97">
    <w:name w:val="*正文"/>
    <w:basedOn w:val="1"/>
    <w:link w:val="96"/>
    <w:autoRedefine/>
    <w:qFormat/>
    <w:uiPriority w:val="0"/>
    <w:pPr>
      <w:snapToGrid w:val="0"/>
      <w:spacing w:line="360" w:lineRule="auto"/>
      <w:ind w:firstLine="482"/>
      <w:jc w:val="left"/>
    </w:pPr>
    <w:rPr>
      <w:rFonts w:ascii="宋体" w:hAnsi="宋体"/>
      <w:kern w:val="0"/>
      <w:sz w:val="24"/>
      <w:szCs w:val="20"/>
    </w:rPr>
  </w:style>
  <w:style w:type="character" w:customStyle="1" w:styleId="98">
    <w:name w:val="Char Char71"/>
    <w:autoRedefine/>
    <w:semiHidden/>
    <w:qFormat/>
    <w:uiPriority w:val="0"/>
    <w:rPr>
      <w:rFonts w:eastAsia="宋体"/>
      <w:kern w:val="2"/>
      <w:sz w:val="21"/>
      <w:szCs w:val="24"/>
      <w:lang w:val="en-US" w:eastAsia="zh-CN" w:bidi="ar-SA"/>
    </w:rPr>
  </w:style>
  <w:style w:type="character" w:customStyle="1" w:styleId="99">
    <w:name w:val="Char Char6"/>
    <w:autoRedefine/>
    <w:qFormat/>
    <w:uiPriority w:val="0"/>
    <w:rPr>
      <w:rFonts w:eastAsia="宋体"/>
      <w:kern w:val="2"/>
      <w:sz w:val="21"/>
      <w:szCs w:val="24"/>
      <w:lang w:val="en-US" w:eastAsia="zh-CN" w:bidi="ar-SA"/>
    </w:rPr>
  </w:style>
  <w:style w:type="character" w:customStyle="1" w:styleId="100">
    <w:name w:val="正文缩进 Char"/>
    <w:autoRedefine/>
    <w:qFormat/>
    <w:uiPriority w:val="0"/>
    <w:rPr>
      <w:rFonts w:eastAsia="宋体"/>
      <w:kern w:val="2"/>
      <w:sz w:val="21"/>
      <w:lang w:val="en-US" w:eastAsia="zh-CN"/>
    </w:rPr>
  </w:style>
  <w:style w:type="character" w:customStyle="1" w:styleId="10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2">
    <w:name w:val="Char Char28"/>
    <w:autoRedefine/>
    <w:qFormat/>
    <w:uiPriority w:val="6"/>
    <w:rPr>
      <w:rFonts w:ascii="仿宋_GB2312" w:hAnsi="仿宋_GB2312" w:eastAsia="仿宋_GB2312"/>
      <w:kern w:val="1"/>
      <w:sz w:val="28"/>
    </w:rPr>
  </w:style>
  <w:style w:type="character" w:customStyle="1" w:styleId="103">
    <w:name w:val="Heading 1 Char"/>
    <w:autoRedefine/>
    <w:qFormat/>
    <w:uiPriority w:val="6"/>
    <w:rPr>
      <w:rFonts w:ascii="Times New Roman" w:hAnsi="Times New Roman" w:eastAsia="黑体" w:cs="Times New Roman"/>
      <w:b/>
      <w:kern w:val="0"/>
      <w:sz w:val="24"/>
      <w:szCs w:val="24"/>
    </w:rPr>
  </w:style>
  <w:style w:type="character" w:customStyle="1" w:styleId="104">
    <w:name w:val="U_正文 Char"/>
    <w:link w:val="105"/>
    <w:autoRedefine/>
    <w:qFormat/>
    <w:uiPriority w:val="0"/>
    <w:rPr>
      <w:sz w:val="24"/>
      <w:szCs w:val="24"/>
    </w:rPr>
  </w:style>
  <w:style w:type="paragraph" w:customStyle="1" w:styleId="105">
    <w:name w:val="U_正文"/>
    <w:basedOn w:val="1"/>
    <w:link w:val="104"/>
    <w:autoRedefine/>
    <w:qFormat/>
    <w:uiPriority w:val="0"/>
    <w:pPr>
      <w:adjustRightInd/>
      <w:spacing w:beforeLines="20" w:afterLines="20" w:line="300" w:lineRule="auto"/>
      <w:ind w:firstLine="200" w:firstLineChars="200"/>
    </w:pPr>
    <w:rPr>
      <w:kern w:val="0"/>
      <w:sz w:val="24"/>
    </w:rPr>
  </w:style>
  <w:style w:type="character" w:customStyle="1" w:styleId="106">
    <w:name w:val="HTML 地址 Char1"/>
    <w:autoRedefine/>
    <w:qFormat/>
    <w:uiPriority w:val="0"/>
    <w:rPr>
      <w:rFonts w:ascii="Times New Roman" w:hAnsi="Times New Roman" w:eastAsia="宋体" w:cs="Times New Roman"/>
      <w:i/>
      <w:iCs/>
      <w:szCs w:val="24"/>
    </w:rPr>
  </w:style>
  <w:style w:type="character" w:customStyle="1" w:styleId="107">
    <w:name w:val="批注主题 字符"/>
    <w:link w:val="60"/>
    <w:autoRedefine/>
    <w:qFormat/>
    <w:uiPriority w:val="0"/>
    <w:rPr>
      <w:b/>
      <w:bCs/>
      <w:kern w:val="2"/>
      <w:sz w:val="21"/>
      <w:szCs w:val="24"/>
    </w:rPr>
  </w:style>
  <w:style w:type="character" w:customStyle="1" w:styleId="108">
    <w:name w:val="Char Char51"/>
    <w:autoRedefine/>
    <w:qFormat/>
    <w:uiPriority w:val="0"/>
    <w:rPr>
      <w:rFonts w:ascii="宋体" w:hAnsi="Courier New" w:eastAsia="宋体"/>
      <w:kern w:val="2"/>
      <w:sz w:val="21"/>
      <w:lang w:val="en-US" w:eastAsia="zh-CN"/>
    </w:rPr>
  </w:style>
  <w:style w:type="character" w:customStyle="1" w:styleId="109">
    <w:name w:val="表正文 Char"/>
    <w:autoRedefine/>
    <w:qFormat/>
    <w:uiPriority w:val="0"/>
    <w:rPr>
      <w:rFonts w:ascii="宋体" w:eastAsia="宋体"/>
      <w:snapToGrid w:val="0"/>
      <w:color w:val="000000"/>
      <w:kern w:val="28"/>
      <w:sz w:val="28"/>
      <w:lang w:val="en-US" w:eastAsia="zh-CN" w:bidi="ar-SA"/>
    </w:rPr>
  </w:style>
  <w:style w:type="character" w:customStyle="1" w:styleId="110">
    <w:name w:val="Char Char34"/>
    <w:autoRedefine/>
    <w:qFormat/>
    <w:uiPriority w:val="6"/>
    <w:rPr>
      <w:b/>
      <w:kern w:val="1"/>
      <w:sz w:val="28"/>
      <w:szCs w:val="28"/>
    </w:rPr>
  </w:style>
  <w:style w:type="character" w:customStyle="1" w:styleId="11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autoRedefine/>
    <w:qFormat/>
    <w:uiPriority w:val="0"/>
    <w:rPr>
      <w:rFonts w:ascii="宋体" w:hAnsi="宋体" w:eastAsia="宋体"/>
      <w:kern w:val="2"/>
      <w:sz w:val="24"/>
      <w:lang w:bidi="ar-SA"/>
    </w:rPr>
  </w:style>
  <w:style w:type="paragraph" w:customStyle="1" w:styleId="113">
    <w:name w:val="哈哈正文"/>
    <w:basedOn w:val="1"/>
    <w:link w:val="112"/>
    <w:autoRedefine/>
    <w:qFormat/>
    <w:uiPriority w:val="0"/>
    <w:pPr>
      <w:adjustRightInd/>
      <w:spacing w:line="360" w:lineRule="auto"/>
      <w:ind w:firstLine="200" w:firstLineChars="200"/>
    </w:pPr>
    <w:rPr>
      <w:rFonts w:ascii="宋体" w:hAnsi="宋体"/>
      <w:sz w:val="24"/>
      <w:szCs w:val="20"/>
    </w:rPr>
  </w:style>
  <w:style w:type="character" w:customStyle="1" w:styleId="114">
    <w:name w:val="未处理的提及1"/>
    <w:autoRedefine/>
    <w:qFormat/>
    <w:uiPriority w:val="0"/>
    <w:rPr>
      <w:color w:val="808080"/>
      <w:shd w:val="clear" w:color="auto" w:fill="E6E6E6"/>
    </w:rPr>
  </w:style>
  <w:style w:type="character" w:customStyle="1" w:styleId="115">
    <w:name w:val="txt"/>
    <w:autoRedefine/>
    <w:qFormat/>
    <w:uiPriority w:val="0"/>
    <w:rPr>
      <w:rFonts w:ascii="仿宋_GB2312" w:eastAsia="微软雅黑"/>
      <w:b/>
      <w:kern w:val="2"/>
      <w:sz w:val="32"/>
      <w:szCs w:val="32"/>
      <w:lang w:val="en-US" w:eastAsia="zh-CN" w:bidi="ar-SA"/>
    </w:rPr>
  </w:style>
  <w:style w:type="character" w:customStyle="1" w:styleId="11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7">
    <w:name w:val="Char Char32"/>
    <w:autoRedefine/>
    <w:qFormat/>
    <w:uiPriority w:val="6"/>
    <w:rPr>
      <w:b/>
      <w:kern w:val="1"/>
      <w:sz w:val="24"/>
      <w:szCs w:val="24"/>
    </w:rPr>
  </w:style>
  <w:style w:type="character" w:customStyle="1" w:styleId="118">
    <w:name w:val="PI Char1"/>
    <w:autoRedefine/>
    <w:qFormat/>
    <w:uiPriority w:val="0"/>
    <w:rPr>
      <w:rFonts w:ascii="宋体" w:hAnsi="宋体"/>
      <w:kern w:val="2"/>
      <w:sz w:val="24"/>
      <w:szCs w:val="24"/>
    </w:rPr>
  </w:style>
  <w:style w:type="character" w:customStyle="1" w:styleId="119">
    <w:name w:val="tw4winTerm"/>
    <w:autoRedefine/>
    <w:qFormat/>
    <w:uiPriority w:val="0"/>
    <w:rPr>
      <w:color w:val="0000FF"/>
    </w:rPr>
  </w:style>
  <w:style w:type="character" w:customStyle="1" w:styleId="120">
    <w:name w:val="Footer Char"/>
    <w:autoRedefine/>
    <w:qFormat/>
    <w:locked/>
    <w:uiPriority w:val="0"/>
    <w:rPr>
      <w:rFonts w:eastAsia="宋体"/>
      <w:kern w:val="2"/>
      <w:sz w:val="18"/>
      <w:lang w:val="en-US" w:eastAsia="zh-CN" w:bidi="ar-SA"/>
    </w:rPr>
  </w:style>
  <w:style w:type="character" w:customStyle="1" w:styleId="121">
    <w:name w:val="普通文字 Char Char1"/>
    <w:autoRedefine/>
    <w:qFormat/>
    <w:uiPriority w:val="0"/>
    <w:rPr>
      <w:rFonts w:ascii="宋体" w:hAnsi="Courier New"/>
      <w:kern w:val="2"/>
      <w:sz w:val="21"/>
    </w:rPr>
  </w:style>
  <w:style w:type="character" w:customStyle="1" w:styleId="122">
    <w:name w:val="Char Char101"/>
    <w:autoRedefine/>
    <w:qFormat/>
    <w:uiPriority w:val="6"/>
    <w:rPr>
      <w:rFonts w:ascii="宋体" w:hAnsi="宋体"/>
      <w:kern w:val="2"/>
      <w:sz w:val="21"/>
      <w:szCs w:val="24"/>
      <w:lang w:val="en-US" w:eastAsia="zh-CN"/>
    </w:rPr>
  </w:style>
  <w:style w:type="character" w:customStyle="1" w:styleId="123">
    <w:name w:val="链接"/>
    <w:autoRedefine/>
    <w:qFormat/>
    <w:uiPriority w:val="0"/>
    <w:rPr>
      <w:color w:val="0000FF"/>
      <w:sz w:val="21"/>
      <w:szCs w:val="21"/>
      <w:u w:val="single"/>
    </w:rPr>
  </w:style>
  <w:style w:type="character" w:customStyle="1" w:styleId="124">
    <w:name w:val="h4 Char"/>
    <w:autoRedefine/>
    <w:qFormat/>
    <w:uiPriority w:val="0"/>
    <w:rPr>
      <w:rFonts w:ascii="Arial" w:hAnsi="Arial" w:eastAsia="黑体"/>
      <w:b/>
      <w:bCs/>
      <w:kern w:val="2"/>
      <w:sz w:val="28"/>
      <w:szCs w:val="28"/>
      <w:lang w:val="zh-CN" w:eastAsia="zh-CN" w:bidi="ar-SA"/>
    </w:rPr>
  </w:style>
  <w:style w:type="character" w:customStyle="1" w:styleId="125">
    <w:name w:val="5正文 Char"/>
    <w:link w:val="126"/>
    <w:autoRedefine/>
    <w:qFormat/>
    <w:uiPriority w:val="0"/>
    <w:rPr>
      <w:rFonts w:ascii="仿宋_GB2312" w:hAnsi="微软雅黑" w:eastAsia="仿宋_GB2312"/>
      <w:sz w:val="28"/>
      <w:szCs w:val="21"/>
    </w:rPr>
  </w:style>
  <w:style w:type="paragraph" w:customStyle="1" w:styleId="126">
    <w:name w:val="5正文"/>
    <w:basedOn w:val="1"/>
    <w:link w:val="12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字符"/>
    <w:autoRedefine/>
    <w:qFormat/>
    <w:uiPriority w:val="9"/>
    <w:rPr>
      <w:b/>
      <w:bCs/>
      <w:kern w:val="2"/>
      <w:sz w:val="32"/>
      <w:szCs w:val="32"/>
    </w:rPr>
  </w:style>
  <w:style w:type="character" w:customStyle="1" w:styleId="128">
    <w:name w:val="样式6 Char"/>
    <w:autoRedefine/>
    <w:qFormat/>
    <w:uiPriority w:val="0"/>
    <w:rPr>
      <w:rFonts w:ascii="仿宋_GB2312" w:hAnsi="宋体" w:eastAsia="仿宋_GB2312"/>
      <w:b/>
      <w:bCs/>
      <w:kern w:val="2"/>
      <w:sz w:val="24"/>
      <w:szCs w:val="24"/>
      <w:lang w:val="en-US" w:eastAsia="zh-CN" w:bidi="ar-SA"/>
    </w:rPr>
  </w:style>
  <w:style w:type="character" w:customStyle="1" w:styleId="129">
    <w:name w:val="Char Char14"/>
    <w:autoRedefine/>
    <w:qFormat/>
    <w:uiPriority w:val="6"/>
    <w:rPr>
      <w:rFonts w:ascii="黑体" w:hAnsi="黑体" w:eastAsia="黑体"/>
    </w:rPr>
  </w:style>
  <w:style w:type="character" w:customStyle="1" w:styleId="130">
    <w:name w:val="Heading 2 Hidden Char"/>
    <w:autoRedefine/>
    <w:qFormat/>
    <w:uiPriority w:val="0"/>
    <w:rPr>
      <w:rFonts w:ascii="仿宋_GB2312" w:eastAsia="仿宋_GB2312"/>
      <w:b/>
      <w:bCs/>
      <w:kern w:val="2"/>
      <w:sz w:val="24"/>
      <w:szCs w:val="24"/>
      <w:lang w:val="zh-CN" w:eastAsia="zh-CN" w:bidi="ar-SA"/>
    </w:rPr>
  </w:style>
  <w:style w:type="character" w:customStyle="1" w:styleId="131">
    <w:name w:val="正文文本首行缩进 2 字符"/>
    <w:link w:val="62"/>
    <w:autoRedefine/>
    <w:qFormat/>
    <w:uiPriority w:val="0"/>
    <w:rPr>
      <w:rFonts w:ascii="宋体" w:hAnsi="宋体"/>
      <w:kern w:val="2"/>
      <w:sz w:val="21"/>
      <w:szCs w:val="24"/>
    </w:rPr>
  </w:style>
  <w:style w:type="character" w:customStyle="1" w:styleId="132">
    <w:name w:val="font11"/>
    <w:autoRedefine/>
    <w:qFormat/>
    <w:uiPriority w:val="0"/>
    <w:rPr>
      <w:rFonts w:hint="default" w:ascii="Times New Roman" w:hAnsi="Times New Roman" w:cs="Times New Roman"/>
      <w:color w:val="000000"/>
      <w:sz w:val="22"/>
      <w:szCs w:val="22"/>
      <w:u w:val="none"/>
    </w:rPr>
  </w:style>
  <w:style w:type="character" w:customStyle="1" w:styleId="133">
    <w:name w:val="表正文 Char1"/>
    <w:autoRedefine/>
    <w:qFormat/>
    <w:uiPriority w:val="0"/>
    <w:rPr>
      <w:rFonts w:ascii="宋体" w:eastAsia="宋体"/>
      <w:snapToGrid w:val="0"/>
      <w:color w:val="000000"/>
      <w:kern w:val="28"/>
      <w:sz w:val="28"/>
    </w:rPr>
  </w:style>
  <w:style w:type="character" w:customStyle="1" w:styleId="134">
    <w:name w:val="blue1"/>
    <w:basedOn w:val="70"/>
    <w:autoRedefine/>
    <w:qFormat/>
    <w:uiPriority w:val="0"/>
    <w:rPr>
      <w:rFonts w:ascii="Arial" w:hAnsi="Arial" w:eastAsia="黑体" w:cs="Arial"/>
      <w:snapToGrid w:val="0"/>
      <w:kern w:val="0"/>
      <w:szCs w:val="21"/>
    </w:rPr>
  </w:style>
  <w:style w:type="character" w:customStyle="1" w:styleId="135">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6">
    <w:name w:val="标书1 Char"/>
    <w:autoRedefine/>
    <w:qFormat/>
    <w:uiPriority w:val="0"/>
    <w:rPr>
      <w:rFonts w:eastAsia="宋体"/>
      <w:b/>
      <w:bCs/>
      <w:kern w:val="44"/>
      <w:sz w:val="44"/>
      <w:szCs w:val="44"/>
      <w:lang w:val="en-US" w:eastAsia="zh-CN" w:bidi="ar-SA"/>
    </w:rPr>
  </w:style>
  <w:style w:type="character" w:customStyle="1" w:styleId="137">
    <w:name w:val="样式5 Char"/>
    <w:autoRedefine/>
    <w:qFormat/>
    <w:uiPriority w:val="0"/>
    <w:rPr>
      <w:rFonts w:ascii="仿宋_GB2312" w:hAnsi="仿宋" w:eastAsia="仿宋_GB2312"/>
      <w:kern w:val="2"/>
      <w:sz w:val="24"/>
      <w:szCs w:val="24"/>
    </w:rPr>
  </w:style>
  <w:style w:type="character" w:customStyle="1" w:styleId="138">
    <w:name w:val="样式4 Char"/>
    <w:autoRedefine/>
    <w:qFormat/>
    <w:uiPriority w:val="0"/>
    <w:rPr>
      <w:rFonts w:ascii="仿宋_GB2312" w:hAnsi="仿宋" w:eastAsia="仿宋_GB2312"/>
      <w:b/>
      <w:kern w:val="2"/>
      <w:sz w:val="32"/>
      <w:szCs w:val="32"/>
      <w:lang w:bidi="ar-SA"/>
    </w:rPr>
  </w:style>
  <w:style w:type="character" w:customStyle="1" w:styleId="139">
    <w:name w:val="插图说明 Char"/>
    <w:autoRedefine/>
    <w:qFormat/>
    <w:uiPriority w:val="0"/>
    <w:rPr>
      <w:rFonts w:eastAsia="黑体"/>
      <w:sz w:val="24"/>
      <w:lang w:val="en-US" w:eastAsia="zh-CN"/>
    </w:rPr>
  </w:style>
  <w:style w:type="character" w:customStyle="1" w:styleId="140">
    <w:name w:val="正文2 Char Char"/>
    <w:link w:val="141"/>
    <w:autoRedefine/>
    <w:qFormat/>
    <w:uiPriority w:val="0"/>
    <w:rPr>
      <w:rFonts w:eastAsia="宋体"/>
      <w:kern w:val="2"/>
      <w:sz w:val="24"/>
      <w:lang w:val="en-US" w:eastAsia="zh-CN" w:bidi="ar-SA"/>
    </w:rPr>
  </w:style>
  <w:style w:type="paragraph" w:customStyle="1" w:styleId="141">
    <w:name w:val="正文2"/>
    <w:basedOn w:val="1"/>
    <w:link w:val="140"/>
    <w:autoRedefine/>
    <w:qFormat/>
    <w:uiPriority w:val="0"/>
    <w:pPr>
      <w:spacing w:before="156" w:line="360" w:lineRule="auto"/>
      <w:ind w:firstLine="510" w:firstLineChars="200"/>
    </w:pPr>
    <w:rPr>
      <w:sz w:val="24"/>
      <w:szCs w:val="20"/>
    </w:rPr>
  </w:style>
  <w:style w:type="character" w:customStyle="1" w:styleId="142">
    <w:name w:val="Char Char24"/>
    <w:autoRedefine/>
    <w:qFormat/>
    <w:uiPriority w:val="6"/>
    <w:rPr>
      <w:kern w:val="1"/>
      <w:sz w:val="21"/>
    </w:rPr>
  </w:style>
  <w:style w:type="character" w:customStyle="1" w:styleId="143">
    <w:name w:val="副标题 字符"/>
    <w:link w:val="47"/>
    <w:autoRedefine/>
    <w:qFormat/>
    <w:uiPriority w:val="0"/>
    <w:rPr>
      <w:rFonts w:ascii="Arial" w:hAnsi="Arial" w:eastAsia="隶书"/>
      <w:b/>
      <w:bCs/>
      <w:kern w:val="28"/>
      <w:sz w:val="44"/>
      <w:szCs w:val="32"/>
      <w:lang w:val="en-US" w:eastAsia="zh-CN" w:bidi="ar-SA"/>
    </w:rPr>
  </w:style>
  <w:style w:type="character" w:customStyle="1" w:styleId="144">
    <w:name w:val="普通文字 Char1 Char"/>
    <w:autoRedefine/>
    <w:qFormat/>
    <w:uiPriority w:val="0"/>
    <w:rPr>
      <w:rFonts w:ascii="宋体" w:hAnsi="Courier New" w:eastAsia="宋体"/>
      <w:kern w:val="2"/>
      <w:sz w:val="21"/>
      <w:szCs w:val="24"/>
      <w:lang w:val="en-US" w:eastAsia="zh-CN" w:bidi="ar-SA"/>
    </w:rPr>
  </w:style>
  <w:style w:type="character" w:customStyle="1" w:styleId="145">
    <w:name w:val="h3 Char1"/>
    <w:autoRedefine/>
    <w:qFormat/>
    <w:uiPriority w:val="0"/>
    <w:rPr>
      <w:rFonts w:eastAsia="宋体"/>
      <w:b/>
      <w:bCs/>
      <w:kern w:val="2"/>
      <w:sz w:val="32"/>
      <w:szCs w:val="32"/>
      <w:lang w:bidi="ar-SA"/>
    </w:rPr>
  </w:style>
  <w:style w:type="character" w:customStyle="1" w:styleId="146">
    <w:name w:val="标题 Char1"/>
    <w:autoRedefine/>
    <w:qFormat/>
    <w:uiPriority w:val="0"/>
    <w:rPr>
      <w:rFonts w:ascii="Cambria" w:hAnsi="Cambria" w:eastAsia="宋体" w:cs="Times New Roman"/>
      <w:b/>
      <w:bCs/>
      <w:sz w:val="32"/>
      <w:szCs w:val="32"/>
      <w:lang w:bidi="ar-SA"/>
    </w:rPr>
  </w:style>
  <w:style w:type="character" w:customStyle="1" w:styleId="147">
    <w:name w:val="gf正文1 Char"/>
    <w:autoRedefine/>
    <w:qFormat/>
    <w:uiPriority w:val="0"/>
    <w:rPr>
      <w:rFonts w:ascii="宋体" w:hAnsi="宋体" w:eastAsia="宋体" w:cs="宋体"/>
      <w:kern w:val="2"/>
      <w:sz w:val="24"/>
      <w:szCs w:val="24"/>
      <w:lang w:val="en-US" w:eastAsia="zh-CN" w:bidi="ar-SA"/>
    </w:rPr>
  </w:style>
  <w:style w:type="character" w:customStyle="1" w:styleId="148">
    <w:name w:val="正文文本缩进 Char1"/>
    <w:autoRedefine/>
    <w:qFormat/>
    <w:uiPriority w:val="0"/>
    <w:rPr>
      <w:rFonts w:ascii="Calibri" w:hAnsi="Calibri"/>
      <w:sz w:val="28"/>
    </w:rPr>
  </w:style>
  <w:style w:type="character" w:customStyle="1" w:styleId="149">
    <w:name w:val="No Spacing Char"/>
    <w:link w:val="150"/>
    <w:autoRedefine/>
    <w:qFormat/>
    <w:uiPriority w:val="1"/>
    <w:rPr>
      <w:sz w:val="22"/>
      <w:szCs w:val="22"/>
      <w:lang w:val="en-US" w:eastAsia="zh-CN" w:bidi="ar-SA"/>
    </w:rPr>
  </w:style>
  <w:style w:type="paragraph" w:customStyle="1" w:styleId="150">
    <w:name w:val="无间隔1"/>
    <w:link w:val="149"/>
    <w:autoRedefine/>
    <w:qFormat/>
    <w:uiPriority w:val="1"/>
    <w:rPr>
      <w:rFonts w:ascii="Times New Roman" w:hAnsi="Times New Roman" w:eastAsia="宋体" w:cs="Times New Roman"/>
      <w:sz w:val="22"/>
      <w:szCs w:val="22"/>
      <w:lang w:val="en-US" w:eastAsia="zh-CN" w:bidi="ar-SA"/>
    </w:rPr>
  </w:style>
  <w:style w:type="character" w:customStyle="1" w:styleId="151">
    <w:name w:val="样式7 Char"/>
    <w:autoRedefine/>
    <w:qFormat/>
    <w:uiPriority w:val="0"/>
    <w:rPr>
      <w:rFonts w:ascii="仿宋_GB2312" w:hAnsi="仿宋" w:eastAsia="仿宋_GB2312"/>
      <w:b/>
      <w:kern w:val="2"/>
      <w:sz w:val="24"/>
      <w:szCs w:val="24"/>
    </w:rPr>
  </w:style>
  <w:style w:type="character" w:customStyle="1" w:styleId="152">
    <w:name w:val="font12gray1"/>
    <w:autoRedefine/>
    <w:qFormat/>
    <w:uiPriority w:val="0"/>
    <w:rPr>
      <w:rFonts w:ascii="仿宋_GB2312" w:eastAsia="微软雅黑"/>
      <w:b/>
      <w:spacing w:val="300"/>
      <w:kern w:val="2"/>
      <w:sz w:val="18"/>
      <w:szCs w:val="18"/>
      <w:lang w:val="en-US" w:eastAsia="zh-CN" w:bidi="ar-SA"/>
    </w:rPr>
  </w:style>
  <w:style w:type="character" w:customStyle="1" w:styleId="153">
    <w:name w:val="Char Char7"/>
    <w:autoRedefine/>
    <w:semiHidden/>
    <w:qFormat/>
    <w:uiPriority w:val="0"/>
    <w:rPr>
      <w:rFonts w:eastAsia="宋体"/>
      <w:kern w:val="2"/>
      <w:sz w:val="21"/>
      <w:szCs w:val="24"/>
      <w:lang w:val="en-US" w:eastAsia="zh-CN" w:bidi="ar-SA"/>
    </w:rPr>
  </w:style>
  <w:style w:type="character" w:customStyle="1" w:styleId="154">
    <w:name w:val="表名 Char"/>
    <w:autoRedefine/>
    <w:qFormat/>
    <w:uiPriority w:val="0"/>
    <w:rPr>
      <w:rFonts w:eastAsia="宋体"/>
      <w:b/>
      <w:bCs/>
      <w:kern w:val="2"/>
      <w:sz w:val="24"/>
      <w:szCs w:val="24"/>
      <w:lang w:val="en-US" w:eastAsia="zh-CN" w:bidi="ar-SA"/>
    </w:rPr>
  </w:style>
  <w:style w:type="character" w:customStyle="1" w:styleId="155">
    <w:name w:val="Document Map Char"/>
    <w:autoRedefine/>
    <w:qFormat/>
    <w:locked/>
    <w:uiPriority w:val="0"/>
    <w:rPr>
      <w:rFonts w:eastAsia="宋体"/>
      <w:kern w:val="2"/>
      <w:sz w:val="21"/>
      <w:szCs w:val="24"/>
      <w:lang w:val="en-US" w:eastAsia="zh-CN" w:bidi="ar-SA"/>
    </w:rPr>
  </w:style>
  <w:style w:type="character" w:customStyle="1" w:styleId="156">
    <w:name w:val="font41"/>
    <w:autoRedefine/>
    <w:qFormat/>
    <w:uiPriority w:val="0"/>
    <w:rPr>
      <w:rFonts w:hint="eastAsia" w:ascii="仿宋_GB2312" w:eastAsia="仿宋_GB2312" w:cs="仿宋_GB2312"/>
      <w:color w:val="000000"/>
      <w:sz w:val="22"/>
      <w:szCs w:val="22"/>
      <w:u w:val="none"/>
    </w:rPr>
  </w:style>
  <w:style w:type="character" w:customStyle="1" w:styleId="157">
    <w:name w:val="标题 6 字符"/>
    <w:link w:val="8"/>
    <w:autoRedefine/>
    <w:qFormat/>
    <w:uiPriority w:val="0"/>
    <w:rPr>
      <w:rFonts w:ascii="Arial" w:hAnsi="Arial" w:eastAsia="黑体"/>
      <w:b/>
      <w:bCs/>
      <w:kern w:val="2"/>
      <w:sz w:val="24"/>
      <w:szCs w:val="24"/>
    </w:rPr>
  </w:style>
  <w:style w:type="character" w:customStyle="1" w:styleId="158">
    <w:name w:val="纯文本 Char_0"/>
    <w:link w:val="159"/>
    <w:autoRedefine/>
    <w:qFormat/>
    <w:uiPriority w:val="0"/>
    <w:rPr>
      <w:rFonts w:ascii="宋体" w:hAnsi="Courier New"/>
      <w:kern w:val="2"/>
      <w:sz w:val="21"/>
      <w:szCs w:val="21"/>
      <w:lang w:val="en-US" w:eastAsia="zh-CN"/>
    </w:rPr>
  </w:style>
  <w:style w:type="paragraph" w:customStyle="1" w:styleId="159">
    <w:name w:val="纯文本_0_0"/>
    <w:basedOn w:val="160"/>
    <w:link w:val="158"/>
    <w:autoRedefine/>
    <w:qFormat/>
    <w:uiPriority w:val="0"/>
    <w:rPr>
      <w:rFonts w:ascii="宋体" w:hAnsi="Courier New"/>
      <w:szCs w:val="21"/>
    </w:rPr>
  </w:style>
  <w:style w:type="paragraph" w:customStyle="1" w:styleId="16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autoRedefine/>
    <w:qFormat/>
    <w:locked/>
    <w:uiPriority w:val="0"/>
    <w:rPr>
      <w:rFonts w:eastAsia="宋体"/>
      <w:kern w:val="2"/>
      <w:sz w:val="18"/>
      <w:szCs w:val="18"/>
      <w:lang w:val="en-US" w:eastAsia="zh-CN" w:bidi="ar-SA"/>
    </w:rPr>
  </w:style>
  <w:style w:type="character" w:customStyle="1" w:styleId="162">
    <w:name w:val="正文 项目2 Char"/>
    <w:basedOn w:val="163"/>
    <w:autoRedefine/>
    <w:qFormat/>
    <w:uiPriority w:val="0"/>
    <w:rPr>
      <w:rFonts w:ascii="仿宋_GB2312" w:hAnsi="仿宋_GB2312" w:eastAsia="仿宋_GB2312"/>
      <w:kern w:val="2"/>
      <w:sz w:val="24"/>
      <w:lang w:bidi="ar-SA"/>
    </w:rPr>
  </w:style>
  <w:style w:type="character" w:customStyle="1" w:styleId="163">
    <w:name w:val="正文 项目 Char"/>
    <w:autoRedefine/>
    <w:qFormat/>
    <w:uiPriority w:val="0"/>
    <w:rPr>
      <w:rFonts w:ascii="仿宋_GB2312" w:hAnsi="仿宋_GB2312" w:eastAsia="仿宋_GB2312"/>
      <w:kern w:val="2"/>
      <w:sz w:val="24"/>
      <w:lang w:bidi="ar-SA"/>
    </w:rPr>
  </w:style>
  <w:style w:type="character" w:customStyle="1" w:styleId="164">
    <w:name w:val="h Char Char1"/>
    <w:autoRedefine/>
    <w:qFormat/>
    <w:uiPriority w:val="0"/>
    <w:rPr>
      <w:rFonts w:eastAsia="宋体"/>
      <w:kern w:val="2"/>
      <w:sz w:val="18"/>
      <w:szCs w:val="18"/>
      <w:lang w:val="en-US" w:eastAsia="zh-CN" w:bidi="ar-SA"/>
    </w:rPr>
  </w:style>
  <w:style w:type="character" w:customStyle="1" w:styleId="165">
    <w:name w:val="Char Char27"/>
    <w:autoRedefine/>
    <w:qFormat/>
    <w:uiPriority w:val="6"/>
    <w:rPr>
      <w:rFonts w:ascii="宋体" w:hAnsi="宋体" w:eastAsia="宋体"/>
      <w:color w:val="000000"/>
      <w:kern w:val="1"/>
      <w:sz w:val="28"/>
      <w:lang w:val="en-US" w:eastAsia="zh-CN" w:bidi="ar-SA"/>
    </w:rPr>
  </w:style>
  <w:style w:type="character" w:customStyle="1" w:styleId="166">
    <w:name w:val="px14"/>
    <w:autoRedefine/>
    <w:qFormat/>
    <w:uiPriority w:val="0"/>
    <w:rPr>
      <w:rFonts w:ascii="仿宋_GB2312" w:eastAsia="微软雅黑" w:cs="Times New Roman"/>
      <w:b/>
      <w:kern w:val="2"/>
      <w:sz w:val="32"/>
      <w:szCs w:val="32"/>
      <w:lang w:val="en-US" w:eastAsia="zh-CN" w:bidi="ar-SA"/>
    </w:rPr>
  </w:style>
  <w:style w:type="character" w:customStyle="1" w:styleId="167">
    <w:name w:val="HTML 预设格式 Char1"/>
    <w:autoRedefine/>
    <w:qFormat/>
    <w:uiPriority w:val="0"/>
    <w:rPr>
      <w:rFonts w:ascii="Courier New" w:hAnsi="Courier New" w:eastAsia="宋体" w:cs="Courier New"/>
      <w:sz w:val="20"/>
      <w:szCs w:val="20"/>
    </w:rPr>
  </w:style>
  <w:style w:type="character" w:customStyle="1" w:styleId="168">
    <w:name w:val="普通文字 Char1"/>
    <w:autoRedefine/>
    <w:qFormat/>
    <w:uiPriority w:val="0"/>
    <w:rPr>
      <w:rFonts w:ascii="宋体" w:hAnsi="Courier New" w:eastAsia="宋体"/>
      <w:kern w:val="2"/>
      <w:sz w:val="21"/>
      <w:lang w:val="en-US" w:eastAsia="zh-CN"/>
    </w:rPr>
  </w:style>
  <w:style w:type="character" w:customStyle="1" w:styleId="169">
    <w:name w:val="hei16b1"/>
    <w:autoRedefine/>
    <w:qFormat/>
    <w:uiPriority w:val="0"/>
    <w:rPr>
      <w:rFonts w:hint="default" w:ascii="Arial" w:hAnsi="Arial" w:cs="Arial"/>
      <w:b/>
      <w:bCs/>
      <w:color w:val="000000"/>
      <w:sz w:val="24"/>
      <w:szCs w:val="24"/>
    </w:rPr>
  </w:style>
  <w:style w:type="character" w:customStyle="1" w:styleId="170">
    <w:name w:val="正文（绿盟科技） Char"/>
    <w:link w:val="171"/>
    <w:autoRedefine/>
    <w:qFormat/>
    <w:uiPriority w:val="0"/>
    <w:rPr>
      <w:rFonts w:ascii="Arial" w:hAnsi="Arial"/>
      <w:sz w:val="21"/>
      <w:szCs w:val="21"/>
    </w:rPr>
  </w:style>
  <w:style w:type="paragraph" w:customStyle="1" w:styleId="171">
    <w:name w:val="正文（绿盟科技）"/>
    <w:link w:val="170"/>
    <w:autoRedefine/>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autoRedefine/>
    <w:qFormat/>
    <w:uiPriority w:val="6"/>
    <w:rPr>
      <w:rFonts w:ascii="宋体" w:hAnsi="宋体"/>
      <w:i/>
      <w:sz w:val="24"/>
      <w:szCs w:val="24"/>
    </w:rPr>
  </w:style>
  <w:style w:type="character" w:customStyle="1" w:styleId="173">
    <w:name w:val="页脚 Char"/>
    <w:autoRedefine/>
    <w:qFormat/>
    <w:uiPriority w:val="0"/>
    <w:rPr>
      <w:rFonts w:eastAsia="仿宋_GB2312"/>
      <w:kern w:val="2"/>
      <w:sz w:val="18"/>
      <w:lang w:val="en-US" w:eastAsia="zh-CN"/>
    </w:rPr>
  </w:style>
  <w:style w:type="character" w:customStyle="1" w:styleId="174">
    <w:name w:val="批注主题 Char"/>
    <w:autoRedefine/>
    <w:qFormat/>
    <w:uiPriority w:val="0"/>
    <w:rPr>
      <w:rFonts w:eastAsia="宋体"/>
      <w:b/>
      <w:bCs/>
      <w:kern w:val="2"/>
      <w:sz w:val="21"/>
      <w:szCs w:val="24"/>
      <w:lang w:val="en-US" w:eastAsia="zh-CN" w:bidi="ar-SA"/>
    </w:rPr>
  </w:style>
  <w:style w:type="character" w:customStyle="1" w:styleId="175">
    <w:name w:val="Comment Text Char"/>
    <w:autoRedefine/>
    <w:qFormat/>
    <w:locked/>
    <w:uiPriority w:val="0"/>
    <w:rPr>
      <w:rFonts w:ascii="宋体" w:hAnsi="宋体" w:eastAsia="宋体"/>
      <w:kern w:val="2"/>
      <w:sz w:val="24"/>
      <w:lang w:val="en-US" w:eastAsia="zh-CN" w:bidi="ar-SA"/>
    </w:rPr>
  </w:style>
  <w:style w:type="character" w:customStyle="1" w:styleId="176">
    <w:name w:val="标题 2 字符"/>
    <w:autoRedefine/>
    <w:qFormat/>
    <w:uiPriority w:val="1"/>
    <w:rPr>
      <w:rFonts w:ascii="仿宋_GB2312" w:hAnsi="Times New Roman" w:eastAsia="仿宋_GB2312" w:cs="Times New Roman"/>
      <w:b/>
      <w:kern w:val="2"/>
      <w:sz w:val="24"/>
      <w:lang w:val="zh-CN"/>
    </w:rPr>
  </w:style>
  <w:style w:type="character" w:customStyle="1" w:styleId="177">
    <w:name w:val="Char Char72"/>
    <w:autoRedefine/>
    <w:qFormat/>
    <w:uiPriority w:val="0"/>
    <w:rPr>
      <w:rFonts w:eastAsia="宋体"/>
      <w:kern w:val="2"/>
      <w:sz w:val="21"/>
      <w:szCs w:val="24"/>
      <w:lang w:val="en-US" w:eastAsia="zh-CN" w:bidi="ar-SA"/>
    </w:rPr>
  </w:style>
  <w:style w:type="character" w:customStyle="1" w:styleId="178">
    <w:name w:val="正文文本缩进 Char2"/>
    <w:autoRedefine/>
    <w:qFormat/>
    <w:uiPriority w:val="0"/>
    <w:rPr>
      <w:rFonts w:ascii="Times New Roman" w:hAnsi="Times New Roman" w:eastAsia="宋体" w:cs="Times New Roman"/>
      <w:snapToGrid w:val="0"/>
      <w:kern w:val="0"/>
      <w:szCs w:val="24"/>
    </w:rPr>
  </w:style>
  <w:style w:type="character" w:customStyle="1" w:styleId="179">
    <w:name w:val="样式2 Char"/>
    <w:autoRedefine/>
    <w:qFormat/>
    <w:uiPriority w:val="0"/>
    <w:rPr>
      <w:rFonts w:ascii="仿宋_GB2312" w:hAnsi="仿宋" w:eastAsia="仿宋_GB2312" w:cs="仿宋_GB2312"/>
      <w:b/>
      <w:bCs/>
      <w:sz w:val="32"/>
      <w:szCs w:val="30"/>
      <w:lang w:val="zh-CN"/>
    </w:rPr>
  </w:style>
  <w:style w:type="character" w:customStyle="1" w:styleId="180">
    <w:name w:val="表格名称[858D7CFB-ED40-4347-BF05-701D383B685F]"/>
    <w:link w:val="181"/>
    <w:autoRedefine/>
    <w:qFormat/>
    <w:uiPriority w:val="0"/>
    <w:rPr>
      <w:sz w:val="32"/>
    </w:rPr>
  </w:style>
  <w:style w:type="paragraph" w:customStyle="1" w:styleId="181">
    <w:name w:val="表格名称"/>
    <w:basedOn w:val="3"/>
    <w:link w:val="18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2">
    <w:name w:val="Char Char4"/>
    <w:autoRedefine/>
    <w:qFormat/>
    <w:uiPriority w:val="0"/>
    <w:rPr>
      <w:rFonts w:eastAsia="宋体"/>
      <w:b/>
      <w:sz w:val="24"/>
      <w:lang w:val="en-GB" w:eastAsia="zh-CN" w:bidi="ar-SA"/>
    </w:rPr>
  </w:style>
  <w:style w:type="character" w:customStyle="1" w:styleId="183">
    <w:name w:val="c7 style3"/>
    <w:autoRedefine/>
    <w:qFormat/>
    <w:uiPriority w:val="0"/>
  </w:style>
  <w:style w:type="character" w:customStyle="1" w:styleId="184">
    <w:name w:val="正文文本 3 Char1"/>
    <w:autoRedefine/>
    <w:semiHidden/>
    <w:qFormat/>
    <w:uiPriority w:val="99"/>
    <w:rPr>
      <w:rFonts w:ascii="Times New Roman" w:hAnsi="Times New Roman" w:eastAsia="宋体" w:cs="Times New Roman"/>
      <w:sz w:val="16"/>
      <w:szCs w:val="16"/>
    </w:rPr>
  </w:style>
  <w:style w:type="character" w:customStyle="1" w:styleId="185">
    <w:name w:val="tw4winInternal"/>
    <w:autoRedefine/>
    <w:qFormat/>
    <w:uiPriority w:val="0"/>
    <w:rPr>
      <w:rFonts w:ascii="Courier New" w:hAnsi="Courier New" w:cs="Courier New"/>
      <w:color w:val="FF0000"/>
      <w:lang w:val="en-US" w:eastAsia="zh-CN"/>
    </w:rPr>
  </w:style>
  <w:style w:type="character" w:customStyle="1" w:styleId="186">
    <w:name w:val="Char Char10"/>
    <w:autoRedefine/>
    <w:semiHidden/>
    <w:qFormat/>
    <w:uiPriority w:val="0"/>
    <w:rPr>
      <w:rFonts w:ascii="宋体" w:hAnsi="宋体"/>
      <w:kern w:val="2"/>
      <w:sz w:val="21"/>
      <w:szCs w:val="24"/>
      <w:lang w:val="en-US" w:eastAsia="zh-CN"/>
    </w:rPr>
  </w:style>
  <w:style w:type="character" w:customStyle="1" w:styleId="187">
    <w:name w:val="shadow11"/>
    <w:autoRedefine/>
    <w:qFormat/>
    <w:uiPriority w:val="0"/>
    <w:rPr>
      <w:color w:val="000000"/>
      <w:sz w:val="21"/>
    </w:rPr>
  </w:style>
  <w:style w:type="character" w:customStyle="1" w:styleId="188">
    <w:name w:val="正文非缩进 Char3"/>
    <w:autoRedefine/>
    <w:qFormat/>
    <w:uiPriority w:val="0"/>
    <w:rPr>
      <w:rFonts w:ascii="宋体" w:eastAsia="宋体"/>
      <w:snapToGrid w:val="0"/>
      <w:color w:val="000000"/>
      <w:kern w:val="28"/>
      <w:sz w:val="28"/>
      <w:lang w:val="en-US" w:eastAsia="zh-CN" w:bidi="ar-SA"/>
    </w:rPr>
  </w:style>
  <w:style w:type="character" w:customStyle="1" w:styleId="189">
    <w:name w:val="Char Char"/>
    <w:autoRedefine/>
    <w:qFormat/>
    <w:uiPriority w:val="0"/>
    <w:rPr>
      <w:rFonts w:ascii="宋体" w:hAnsi="Courier New" w:eastAsia="宋体"/>
      <w:kern w:val="2"/>
      <w:sz w:val="21"/>
      <w:lang w:val="en-US" w:eastAsia="zh-CN" w:bidi="ar-SA"/>
    </w:rPr>
  </w:style>
  <w:style w:type="character" w:customStyle="1" w:styleId="190">
    <w:name w:val="签名 Char1"/>
    <w:autoRedefine/>
    <w:qFormat/>
    <w:uiPriority w:val="0"/>
    <w:rPr>
      <w:rFonts w:ascii="Times New Roman" w:hAnsi="Times New Roman" w:eastAsia="宋体" w:cs="Times New Roman"/>
      <w:szCs w:val="24"/>
    </w:rPr>
  </w:style>
  <w:style w:type="character" w:customStyle="1" w:styleId="191">
    <w:name w:val="日期 字符"/>
    <w:link w:val="36"/>
    <w:autoRedefine/>
    <w:qFormat/>
    <w:uiPriority w:val="0"/>
    <w:rPr>
      <w:rFonts w:ascii="宋体"/>
      <w:kern w:val="2"/>
      <w:sz w:val="24"/>
      <w:szCs w:val="21"/>
      <w:lang w:val="zh-CN"/>
    </w:rPr>
  </w:style>
  <w:style w:type="character" w:customStyle="1" w:styleId="192">
    <w:name w:val="标题 9 字符"/>
    <w:link w:val="11"/>
    <w:autoRedefine/>
    <w:qFormat/>
    <w:uiPriority w:val="0"/>
    <w:rPr>
      <w:rFonts w:ascii="Arial" w:hAnsi="Arial" w:eastAsia="黑体"/>
      <w:kern w:val="2"/>
      <w:sz w:val="21"/>
      <w:szCs w:val="21"/>
    </w:rPr>
  </w:style>
  <w:style w:type="character" w:customStyle="1" w:styleId="193">
    <w:name w:val="Char Char18"/>
    <w:autoRedefine/>
    <w:qFormat/>
    <w:uiPriority w:val="6"/>
    <w:rPr>
      <w:rFonts w:ascii="宋体" w:hAnsi="宋体"/>
      <w:sz w:val="28"/>
    </w:rPr>
  </w:style>
  <w:style w:type="character" w:customStyle="1" w:styleId="194">
    <w:name w:val="批注文字 Char"/>
    <w:autoRedefine/>
    <w:qFormat/>
    <w:uiPriority w:val="99"/>
    <w:rPr>
      <w:kern w:val="2"/>
      <w:sz w:val="21"/>
      <w:szCs w:val="24"/>
    </w:rPr>
  </w:style>
  <w:style w:type="character" w:customStyle="1" w:styleId="195">
    <w:name w:val="Char Char22"/>
    <w:autoRedefine/>
    <w:qFormat/>
    <w:uiPriority w:val="6"/>
    <w:rPr>
      <w:rFonts w:ascii="宋体" w:hAnsi="宋体"/>
      <w:kern w:val="1"/>
      <w:sz w:val="24"/>
      <w:szCs w:val="24"/>
    </w:rPr>
  </w:style>
  <w:style w:type="character" w:customStyle="1" w:styleId="196">
    <w:name w:val="pt141"/>
    <w:autoRedefine/>
    <w:qFormat/>
    <w:uiPriority w:val="0"/>
    <w:rPr>
      <w:color w:val="330066"/>
      <w:sz w:val="22"/>
      <w:szCs w:val="22"/>
    </w:rPr>
  </w:style>
  <w:style w:type="character" w:customStyle="1" w:styleId="197">
    <w:name w:val="正文文本缩进 2 Char1"/>
    <w:autoRedefine/>
    <w:semiHidden/>
    <w:qFormat/>
    <w:uiPriority w:val="99"/>
    <w:rPr>
      <w:rFonts w:ascii="Times New Roman" w:hAnsi="Times New Roman" w:eastAsia="宋体" w:cs="Times New Roman"/>
      <w:szCs w:val="24"/>
    </w:rPr>
  </w:style>
  <w:style w:type="character" w:customStyle="1" w:styleId="198">
    <w:name w:val="批注框文本 字符1"/>
    <w:link w:val="39"/>
    <w:autoRedefine/>
    <w:qFormat/>
    <w:uiPriority w:val="0"/>
    <w:rPr>
      <w:kern w:val="2"/>
      <w:sz w:val="18"/>
      <w:szCs w:val="18"/>
    </w:rPr>
  </w:style>
  <w:style w:type="character" w:customStyle="1" w:styleId="199">
    <w:name w:val="Char Char611"/>
    <w:autoRedefine/>
    <w:qFormat/>
    <w:uiPriority w:val="0"/>
    <w:rPr>
      <w:rFonts w:eastAsia="宋体"/>
      <w:kern w:val="2"/>
      <w:sz w:val="21"/>
      <w:szCs w:val="24"/>
      <w:lang w:val="en-US" w:eastAsia="zh-CN" w:bidi="ar-SA"/>
    </w:rPr>
  </w:style>
  <w:style w:type="character" w:customStyle="1" w:styleId="200">
    <w:name w:val="highlight1"/>
    <w:autoRedefine/>
    <w:qFormat/>
    <w:uiPriority w:val="0"/>
    <w:rPr>
      <w:rFonts w:ascii="仿宋_GB2312" w:eastAsia="微软雅黑"/>
      <w:b/>
      <w:kern w:val="2"/>
      <w:sz w:val="23"/>
      <w:szCs w:val="23"/>
      <w:lang w:val="en-US" w:eastAsia="zh-CN" w:bidi="ar-SA"/>
    </w:rPr>
  </w:style>
  <w:style w:type="character" w:customStyle="1" w:styleId="201">
    <w:name w:val="my正文 Char"/>
    <w:link w:val="202"/>
    <w:autoRedefine/>
    <w:qFormat/>
    <w:locked/>
    <w:uiPriority w:val="0"/>
    <w:rPr>
      <w:rFonts w:ascii="Tahoma" w:hAnsi="Tahoma"/>
      <w:sz w:val="24"/>
      <w:szCs w:val="24"/>
    </w:rPr>
  </w:style>
  <w:style w:type="paragraph" w:customStyle="1" w:styleId="202">
    <w:name w:val="my正文"/>
    <w:basedOn w:val="1"/>
    <w:link w:val="201"/>
    <w:autoRedefine/>
    <w:qFormat/>
    <w:uiPriority w:val="0"/>
    <w:pPr>
      <w:adjustRightInd/>
      <w:spacing w:line="360" w:lineRule="auto"/>
      <w:ind w:firstLine="480" w:firstLineChars="200"/>
    </w:pPr>
    <w:rPr>
      <w:rFonts w:ascii="Tahoma" w:hAnsi="Tahoma"/>
      <w:kern w:val="0"/>
      <w:sz w:val="24"/>
    </w:rPr>
  </w:style>
  <w:style w:type="character" w:customStyle="1" w:styleId="203">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204">
    <w:name w:val="Used by Word for text of Help footnotes Char Char1"/>
    <w:autoRedefine/>
    <w:qFormat/>
    <w:uiPriority w:val="0"/>
    <w:rPr>
      <w:color w:val="0000FF"/>
      <w:sz w:val="21"/>
    </w:rPr>
  </w:style>
  <w:style w:type="character" w:customStyle="1" w:styleId="205">
    <w:name w:val="页眉 Char"/>
    <w:autoRedefine/>
    <w:qFormat/>
    <w:uiPriority w:val="0"/>
    <w:rPr>
      <w:rFonts w:eastAsia="仿宋_GB2312"/>
      <w:kern w:val="2"/>
      <w:sz w:val="18"/>
      <w:lang w:val="en-US" w:eastAsia="zh-CN"/>
    </w:rPr>
  </w:style>
  <w:style w:type="character" w:customStyle="1" w:styleId="206">
    <w:name w:val="FA正文 Char Char"/>
    <w:autoRedefine/>
    <w:qFormat/>
    <w:uiPriority w:val="0"/>
    <w:rPr>
      <w:rFonts w:hAnsi="宋体"/>
      <w:kern w:val="2"/>
      <w:sz w:val="24"/>
      <w:lang w:bidi="ar-SA"/>
    </w:rPr>
  </w:style>
  <w:style w:type="character" w:customStyle="1" w:styleId="20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8">
    <w:name w:val="3级 Char"/>
    <w:link w:val="209"/>
    <w:autoRedefine/>
    <w:qFormat/>
    <w:uiPriority w:val="0"/>
    <w:rPr>
      <w:rFonts w:ascii="宋体" w:hAnsi="宋体"/>
      <w:b/>
      <w:bCs/>
      <w:snapToGrid/>
      <w:sz w:val="28"/>
    </w:rPr>
  </w:style>
  <w:style w:type="paragraph" w:customStyle="1" w:styleId="209">
    <w:name w:val="3级"/>
    <w:basedOn w:val="210"/>
    <w:link w:val="208"/>
    <w:autoRedefine/>
    <w:qFormat/>
    <w:uiPriority w:val="0"/>
    <w:pPr>
      <w:ind w:left="0" w:right="466" w:firstLine="288"/>
    </w:pPr>
    <w:rPr>
      <w:rFonts w:hAnsi="宋体"/>
      <w:snapToGrid/>
    </w:rPr>
  </w:style>
  <w:style w:type="paragraph" w:customStyle="1" w:styleId="21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1">
    <w:name w:val="myp11"/>
    <w:autoRedefine/>
    <w:qFormat/>
    <w:uiPriority w:val="0"/>
    <w:rPr>
      <w:rFonts w:ascii="仿宋_GB2312" w:eastAsia="微软雅黑"/>
      <w:b/>
      <w:kern w:val="2"/>
      <w:sz w:val="32"/>
      <w:szCs w:val="32"/>
      <w:lang w:val="en-US" w:eastAsia="zh-CN" w:bidi="ar-SA"/>
    </w:rPr>
  </w:style>
  <w:style w:type="character" w:customStyle="1" w:styleId="212">
    <w:name w:val="文档结构图 字符"/>
    <w:link w:val="18"/>
    <w:autoRedefine/>
    <w:qFormat/>
    <w:uiPriority w:val="0"/>
    <w:rPr>
      <w:kern w:val="2"/>
      <w:sz w:val="21"/>
      <w:szCs w:val="24"/>
      <w:shd w:val="clear" w:color="auto" w:fill="000080"/>
    </w:rPr>
  </w:style>
  <w:style w:type="character" w:customStyle="1" w:styleId="213">
    <w:name w:val="H6 Char"/>
    <w:autoRedefine/>
    <w:qFormat/>
    <w:uiPriority w:val="0"/>
    <w:rPr>
      <w:rFonts w:ascii="Arial" w:hAnsi="Arial" w:eastAsia="黑体"/>
      <w:b/>
      <w:bCs/>
      <w:kern w:val="2"/>
      <w:sz w:val="24"/>
      <w:szCs w:val="24"/>
    </w:rPr>
  </w:style>
  <w:style w:type="character" w:customStyle="1" w:styleId="214">
    <w:name w:val="Char Char91"/>
    <w:autoRedefine/>
    <w:qFormat/>
    <w:uiPriority w:val="0"/>
    <w:rPr>
      <w:rFonts w:eastAsia="宋体"/>
      <w:kern w:val="2"/>
      <w:sz w:val="18"/>
      <w:szCs w:val="18"/>
      <w:lang w:val="en-US" w:eastAsia="zh-CN" w:bidi="ar-SA"/>
    </w:rPr>
  </w:style>
  <w:style w:type="character" w:customStyle="1" w:styleId="215">
    <w:name w:val="副标题 Char1"/>
    <w:autoRedefine/>
    <w:qFormat/>
    <w:uiPriority w:val="0"/>
    <w:rPr>
      <w:rFonts w:ascii="Cambria" w:hAnsi="Cambria" w:eastAsia="宋体" w:cs="Times New Roman"/>
      <w:b/>
      <w:bCs/>
      <w:snapToGrid w:val="0"/>
      <w:kern w:val="28"/>
      <w:sz w:val="32"/>
      <w:szCs w:val="32"/>
    </w:rPr>
  </w:style>
  <w:style w:type="character" w:customStyle="1" w:styleId="216">
    <w:name w:val="font61"/>
    <w:autoRedefine/>
    <w:qFormat/>
    <w:uiPriority w:val="0"/>
    <w:rPr>
      <w:rFonts w:hint="eastAsia" w:ascii="仿宋" w:hAnsi="仿宋" w:eastAsia="仿宋" w:cs="仿宋"/>
      <w:color w:val="000000"/>
      <w:sz w:val="20"/>
      <w:szCs w:val="20"/>
      <w:u w:val="none"/>
    </w:rPr>
  </w:style>
  <w:style w:type="character" w:customStyle="1" w:styleId="21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8">
    <w:name w:val="Char Char211"/>
    <w:autoRedefine/>
    <w:qFormat/>
    <w:uiPriority w:val="0"/>
    <w:rPr>
      <w:rFonts w:eastAsia="宋体"/>
      <w:b/>
      <w:bCs/>
      <w:kern w:val="2"/>
      <w:sz w:val="21"/>
      <w:szCs w:val="24"/>
      <w:lang w:val="en-US" w:eastAsia="zh-CN" w:bidi="ar-SA"/>
    </w:rPr>
  </w:style>
  <w:style w:type="character" w:customStyle="1" w:styleId="219">
    <w:name w:val="maywed421"/>
    <w:autoRedefine/>
    <w:qFormat/>
    <w:uiPriority w:val="0"/>
    <w:rPr>
      <w:color w:val="366FB6"/>
      <w:u w:val="none"/>
    </w:rPr>
  </w:style>
  <w:style w:type="character" w:customStyle="1" w:styleId="220">
    <w:name w:val="正文文本缩进 Char"/>
    <w:autoRedefine/>
    <w:qFormat/>
    <w:uiPriority w:val="0"/>
    <w:rPr>
      <w:rFonts w:ascii="宋体" w:hAnsi="宋体"/>
      <w:kern w:val="2"/>
      <w:sz w:val="24"/>
      <w:szCs w:val="24"/>
    </w:rPr>
  </w:style>
  <w:style w:type="character" w:customStyle="1" w:styleId="221">
    <w:name w:val="Char Char102"/>
    <w:autoRedefine/>
    <w:semiHidden/>
    <w:qFormat/>
    <w:uiPriority w:val="0"/>
    <w:rPr>
      <w:rFonts w:ascii="宋体" w:hAnsi="宋体"/>
      <w:kern w:val="2"/>
      <w:sz w:val="21"/>
      <w:szCs w:val="24"/>
      <w:lang w:val="en-US" w:eastAsia="zh-CN"/>
    </w:rPr>
  </w:style>
  <w:style w:type="character" w:customStyle="1" w:styleId="222">
    <w:name w:val="页眉 Char1"/>
    <w:autoRedefine/>
    <w:qFormat/>
    <w:uiPriority w:val="0"/>
    <w:rPr>
      <w:rFonts w:eastAsia="宋体"/>
      <w:kern w:val="2"/>
      <w:sz w:val="18"/>
      <w:szCs w:val="18"/>
      <w:lang w:val="en-US" w:eastAsia="zh-CN" w:bidi="ar-SA"/>
    </w:rPr>
  </w:style>
  <w:style w:type="character" w:customStyle="1" w:styleId="223">
    <w:name w:val="md"/>
    <w:basedOn w:val="70"/>
    <w:autoRedefine/>
    <w:qFormat/>
    <w:uiPriority w:val="0"/>
    <w:rPr>
      <w:rFonts w:ascii="Arial" w:hAnsi="Arial" w:eastAsia="黑体" w:cs="Arial"/>
      <w:snapToGrid w:val="0"/>
      <w:kern w:val="0"/>
      <w:szCs w:val="21"/>
    </w:rPr>
  </w:style>
  <w:style w:type="character" w:customStyle="1" w:styleId="224">
    <w:name w:val="big1"/>
    <w:autoRedefine/>
    <w:qFormat/>
    <w:uiPriority w:val="0"/>
    <w:rPr>
      <w:rFonts w:hint="eastAsia" w:ascii="宋体" w:hAnsi="宋体" w:eastAsia="宋体"/>
      <w:color w:val="333333"/>
      <w:sz w:val="22"/>
      <w:szCs w:val="22"/>
    </w:rPr>
  </w:style>
  <w:style w:type="character" w:customStyle="1" w:styleId="225">
    <w:name w:val="Char Char311"/>
    <w:autoRedefine/>
    <w:qFormat/>
    <w:uiPriority w:val="0"/>
    <w:rPr>
      <w:rFonts w:eastAsia="宋体"/>
      <w:kern w:val="2"/>
      <w:sz w:val="21"/>
      <w:szCs w:val="24"/>
      <w:lang w:val="en-US" w:eastAsia="zh-CN" w:bidi="ar-SA"/>
    </w:rPr>
  </w:style>
  <w:style w:type="character" w:customStyle="1" w:styleId="226">
    <w:name w:val="Char Char81"/>
    <w:autoRedefine/>
    <w:qFormat/>
    <w:uiPriority w:val="6"/>
    <w:rPr>
      <w:rFonts w:eastAsia="宋体"/>
      <w:b/>
      <w:sz w:val="24"/>
      <w:lang w:val="en-GB" w:eastAsia="zh-CN"/>
    </w:rPr>
  </w:style>
  <w:style w:type="character" w:customStyle="1" w:styleId="227">
    <w:name w:val="样式3 Char"/>
    <w:basedOn w:val="179"/>
    <w:autoRedefine/>
    <w:qFormat/>
    <w:uiPriority w:val="0"/>
    <w:rPr>
      <w:rFonts w:ascii="仿宋_GB2312" w:hAnsi="仿宋" w:eastAsia="仿宋_GB2312" w:cs="仿宋_GB2312"/>
      <w:sz w:val="32"/>
      <w:szCs w:val="30"/>
      <w:lang w:val="zh-CN"/>
    </w:rPr>
  </w:style>
  <w:style w:type="character" w:customStyle="1" w:styleId="228">
    <w:name w:val="HTML 地址 字符"/>
    <w:link w:val="30"/>
    <w:autoRedefine/>
    <w:qFormat/>
    <w:uiPriority w:val="0"/>
    <w:rPr>
      <w:rFonts w:ascii="宋体" w:hAnsi="宋体"/>
      <w:i/>
      <w:iCs/>
      <w:sz w:val="24"/>
      <w:szCs w:val="24"/>
    </w:rPr>
  </w:style>
  <w:style w:type="character" w:customStyle="1" w:styleId="229">
    <w:name w:val="正文首行缩进 2 Char1"/>
    <w:autoRedefine/>
    <w:qFormat/>
    <w:uiPriority w:val="0"/>
    <w:rPr>
      <w:rFonts w:ascii="Times New Roman" w:hAnsi="Times New Roman" w:eastAsia="宋体" w:cs="Times New Roman"/>
      <w:kern w:val="2"/>
      <w:sz w:val="24"/>
      <w:szCs w:val="24"/>
    </w:rPr>
  </w:style>
  <w:style w:type="character" w:customStyle="1" w:styleId="230">
    <w:name w:val="副标题 Char2"/>
    <w:autoRedefine/>
    <w:qFormat/>
    <w:uiPriority w:val="0"/>
    <w:rPr>
      <w:rFonts w:ascii="Cambria" w:hAnsi="Cambria" w:eastAsia="宋体" w:cs="Times New Roman"/>
      <w:b/>
      <w:bCs/>
      <w:snapToGrid w:val="0"/>
      <w:kern w:val="28"/>
      <w:sz w:val="32"/>
      <w:szCs w:val="32"/>
    </w:rPr>
  </w:style>
  <w:style w:type="character" w:customStyle="1" w:styleId="231">
    <w:name w:val="标题4-dyf Char"/>
    <w:link w:val="232"/>
    <w:autoRedefine/>
    <w:qFormat/>
    <w:uiPriority w:val="0"/>
    <w:rPr>
      <w:rFonts w:ascii="Cambria" w:hAnsi="Cambria"/>
      <w:b/>
      <w:bCs/>
      <w:color w:val="000000"/>
      <w:kern w:val="2"/>
      <w:sz w:val="21"/>
      <w:szCs w:val="21"/>
    </w:rPr>
  </w:style>
  <w:style w:type="paragraph" w:customStyle="1" w:styleId="232">
    <w:name w:val="标题4-dyf"/>
    <w:basedOn w:val="6"/>
    <w:link w:val="23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autoRedefine/>
    <w:qFormat/>
    <w:uiPriority w:val="0"/>
    <w:rPr>
      <w:rFonts w:ascii="宋体" w:hAnsi="宋体" w:eastAsia="宋体"/>
      <w:color w:val="333333"/>
      <w:sz w:val="21"/>
      <w:szCs w:val="21"/>
      <w:u w:val="none"/>
    </w:rPr>
  </w:style>
  <w:style w:type="character" w:customStyle="1" w:styleId="234">
    <w:name w:val="冯 Char"/>
    <w:link w:val="235"/>
    <w:autoRedefine/>
    <w:qFormat/>
    <w:uiPriority w:val="0"/>
    <w:rPr>
      <w:rFonts w:ascii="宋体" w:hAnsi="宋体"/>
      <w:color w:val="000000"/>
      <w:sz w:val="24"/>
      <w:szCs w:val="24"/>
    </w:rPr>
  </w:style>
  <w:style w:type="paragraph" w:customStyle="1" w:styleId="235">
    <w:name w:val="冯"/>
    <w:basedOn w:val="1"/>
    <w:link w:val="23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autoRedefine/>
    <w:qFormat/>
    <w:locked/>
    <w:uiPriority w:val="0"/>
    <w:rPr>
      <w:rFonts w:eastAsia="宋体"/>
      <w:kern w:val="2"/>
      <w:sz w:val="18"/>
      <w:szCs w:val="18"/>
      <w:lang w:val="en-US" w:eastAsia="zh-CN" w:bidi="ar-SA"/>
    </w:rPr>
  </w:style>
  <w:style w:type="character" w:customStyle="1" w:styleId="237">
    <w:name w:val="Char Char12"/>
    <w:autoRedefine/>
    <w:qFormat/>
    <w:uiPriority w:val="0"/>
    <w:rPr>
      <w:rFonts w:ascii="仿宋_GB2312" w:eastAsia="仿宋_GB2312"/>
      <w:b/>
      <w:bCs/>
      <w:kern w:val="2"/>
      <w:sz w:val="24"/>
      <w:szCs w:val="24"/>
      <w:lang w:val="zh-CN" w:eastAsia="zh-CN" w:bidi="ar-SA"/>
    </w:rPr>
  </w:style>
  <w:style w:type="character" w:customStyle="1" w:styleId="238">
    <w:name w:val="题注 字符"/>
    <w:link w:val="16"/>
    <w:autoRedefine/>
    <w:qFormat/>
    <w:uiPriority w:val="0"/>
    <w:rPr>
      <w:b/>
      <w:kern w:val="2"/>
      <w:sz w:val="28"/>
    </w:rPr>
  </w:style>
  <w:style w:type="character" w:customStyle="1" w:styleId="239">
    <w:name w:val="普通文字 Char3"/>
    <w:autoRedefine/>
    <w:qFormat/>
    <w:uiPriority w:val="0"/>
    <w:rPr>
      <w:rFonts w:ascii="宋体" w:hAnsi="Courier New" w:eastAsia="宋体"/>
      <w:kern w:val="2"/>
      <w:sz w:val="21"/>
      <w:lang w:val="en-US" w:eastAsia="zh-CN" w:bidi="ar-SA"/>
    </w:rPr>
  </w:style>
  <w:style w:type="character" w:customStyle="1" w:styleId="240">
    <w:name w:val="公文正文 Char"/>
    <w:autoRedefine/>
    <w:qFormat/>
    <w:uiPriority w:val="0"/>
    <w:rPr>
      <w:rFonts w:ascii="仿宋_GB2312" w:eastAsia="仿宋_GB2312"/>
      <w:kern w:val="2"/>
      <w:sz w:val="24"/>
      <w:szCs w:val="24"/>
      <w:lang w:val="en-US" w:eastAsia="zh-CN" w:bidi="ar-SA"/>
    </w:rPr>
  </w:style>
  <w:style w:type="character" w:customStyle="1" w:styleId="241">
    <w:name w:val="正文首行缩进 Char Char Char Char Char"/>
    <w:autoRedefine/>
    <w:qFormat/>
    <w:uiPriority w:val="0"/>
    <w:rPr>
      <w:rFonts w:ascii="宋体"/>
      <w:kern w:val="2"/>
      <w:sz w:val="24"/>
      <w:lang w:val="zh-CN"/>
    </w:rPr>
  </w:style>
  <w:style w:type="character" w:customStyle="1" w:styleId="242">
    <w:name w:val="PI Char"/>
    <w:autoRedefine/>
    <w:qFormat/>
    <w:uiPriority w:val="0"/>
    <w:rPr>
      <w:rFonts w:ascii="宋体" w:hAnsi="宋体" w:eastAsia="宋体"/>
      <w:kern w:val="2"/>
      <w:sz w:val="24"/>
      <w:szCs w:val="24"/>
      <w:lang w:val="en-US" w:eastAsia="zh-CN" w:bidi="ar-SA"/>
    </w:rPr>
  </w:style>
  <w:style w:type="character" w:customStyle="1" w:styleId="243">
    <w:name w:val="Default Char"/>
    <w:link w:val="90"/>
    <w:autoRedefine/>
    <w:qFormat/>
    <w:uiPriority w:val="0"/>
    <w:rPr>
      <w:rFonts w:ascii="仿宋_GB2312" w:eastAsia="仿宋_GB2312" w:cs="仿宋_GB2312"/>
      <w:color w:val="000000"/>
      <w:sz w:val="24"/>
      <w:szCs w:val="24"/>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266"/>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6">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7">
    <w:name w:val="Char Char8"/>
    <w:autoRedefine/>
    <w:qFormat/>
    <w:uiPriority w:val="0"/>
    <w:rPr>
      <w:rFonts w:eastAsia="宋体"/>
      <w:b/>
      <w:sz w:val="24"/>
      <w:lang w:val="en-GB" w:eastAsia="zh-CN"/>
    </w:rPr>
  </w:style>
  <w:style w:type="character" w:customStyle="1" w:styleId="268">
    <w:name w:val="Normal Indent Char Char"/>
    <w:autoRedefine/>
    <w:qFormat/>
    <w:uiPriority w:val="0"/>
    <w:rPr>
      <w:rFonts w:eastAsia="宋体"/>
      <w:kern w:val="2"/>
      <w:sz w:val="21"/>
      <w:lang w:val="en-US" w:eastAsia="zh-CN" w:bidi="ar-SA"/>
    </w:rPr>
  </w:style>
  <w:style w:type="character" w:customStyle="1" w:styleId="269">
    <w:name w:val="列表段落 字符"/>
    <w:autoRedefine/>
    <w:qFormat/>
    <w:uiPriority w:val="99"/>
  </w:style>
  <w:style w:type="character" w:customStyle="1" w:styleId="270">
    <w:name w:val="Ò³Ã¼ Char Char1"/>
    <w:autoRedefine/>
    <w:qFormat/>
    <w:uiPriority w:val="0"/>
    <w:rPr>
      <w:rFonts w:eastAsia="宋体"/>
      <w:kern w:val="2"/>
      <w:sz w:val="18"/>
      <w:szCs w:val="18"/>
      <w:lang w:val="en-US" w:eastAsia="zh-CN" w:bidi="ar-SA"/>
    </w:rPr>
  </w:style>
  <w:style w:type="character" w:customStyle="1" w:styleId="271">
    <w:name w:val="方案正文 Char"/>
    <w:autoRedefine/>
    <w:qFormat/>
    <w:uiPriority w:val="0"/>
    <w:rPr>
      <w:rFonts w:ascii="仿宋_GB2312" w:eastAsia="仿宋_GB2312"/>
      <w:b/>
      <w:color w:val="000000"/>
      <w:kern w:val="2"/>
      <w:sz w:val="24"/>
      <w:lang w:val="en-US" w:eastAsia="zh-CN" w:bidi="ar-SA"/>
    </w:rPr>
  </w:style>
  <w:style w:type="character" w:customStyle="1" w:styleId="272">
    <w:name w:val="Char Char30"/>
    <w:autoRedefine/>
    <w:qFormat/>
    <w:uiPriority w:val="6"/>
    <w:rPr>
      <w:rFonts w:ascii="Arial" w:hAnsi="Arial" w:eastAsia="黑体"/>
      <w:kern w:val="1"/>
      <w:sz w:val="21"/>
      <w:szCs w:val="21"/>
    </w:rPr>
  </w:style>
  <w:style w:type="character" w:customStyle="1" w:styleId="273">
    <w:name w:val="正文文本缩进 字符1"/>
    <w:link w:val="25"/>
    <w:autoRedefine/>
    <w:qFormat/>
    <w:uiPriority w:val="0"/>
    <w:rPr>
      <w:rFonts w:ascii="宋体" w:hAnsi="宋体"/>
      <w:kern w:val="2"/>
      <w:sz w:val="24"/>
      <w:szCs w:val="24"/>
    </w:rPr>
  </w:style>
  <w:style w:type="character" w:customStyle="1" w:styleId="274">
    <w:name w:val="font01"/>
    <w:autoRedefine/>
    <w:qFormat/>
    <w:uiPriority w:val="0"/>
    <w:rPr>
      <w:rFonts w:hint="eastAsia" w:ascii="微软雅黑" w:hAnsi="微软雅黑" w:eastAsia="微软雅黑" w:cs="微软雅黑"/>
      <w:color w:val="000000"/>
      <w:sz w:val="20"/>
      <w:szCs w:val="20"/>
      <w:u w:val="none"/>
    </w:rPr>
  </w:style>
  <w:style w:type="character" w:customStyle="1" w:styleId="275">
    <w:name w:val="Char Char20"/>
    <w:autoRedefine/>
    <w:qFormat/>
    <w:uiPriority w:val="6"/>
    <w:rPr>
      <w:kern w:val="1"/>
      <w:sz w:val="24"/>
    </w:rPr>
  </w:style>
  <w:style w:type="character" w:customStyle="1" w:styleId="276">
    <w:name w:val="tw4winExternal"/>
    <w:autoRedefine/>
    <w:qFormat/>
    <w:uiPriority w:val="0"/>
    <w:rPr>
      <w:rFonts w:ascii="Courier New" w:hAnsi="Courier New" w:cs="Courier New"/>
      <w:color w:val="808080"/>
      <w:lang w:val="en-US" w:eastAsia="zh-CN"/>
    </w:rPr>
  </w:style>
  <w:style w:type="character" w:customStyle="1" w:styleId="277">
    <w:name w:val="标题 4 Char1"/>
    <w:autoRedefine/>
    <w:qFormat/>
    <w:uiPriority w:val="9"/>
    <w:rPr>
      <w:rFonts w:ascii="Cambria" w:hAnsi="Cambria" w:eastAsia="宋体" w:cs="Times New Roman"/>
      <w:b/>
      <w:bCs/>
      <w:kern w:val="2"/>
      <w:sz w:val="28"/>
      <w:szCs w:val="28"/>
    </w:rPr>
  </w:style>
  <w:style w:type="character" w:customStyle="1" w:styleId="278">
    <w:name w:val="批注文字 Char2"/>
    <w:autoRedefine/>
    <w:qFormat/>
    <w:uiPriority w:val="99"/>
    <w:rPr>
      <w:rFonts w:ascii="Times New Roman" w:hAnsi="Times New Roman" w:eastAsia="宋体" w:cs="Times New Roman"/>
      <w:snapToGrid w:val="0"/>
      <w:kern w:val="0"/>
      <w:szCs w:val="24"/>
    </w:rPr>
  </w:style>
  <w:style w:type="character" w:customStyle="1" w:styleId="279">
    <w:name w:val="正文文本 2 Char"/>
    <w:autoRedefine/>
    <w:qFormat/>
    <w:uiPriority w:val="0"/>
    <w:rPr>
      <w:rFonts w:eastAsia="宋体"/>
      <w:kern w:val="2"/>
      <w:sz w:val="21"/>
      <w:szCs w:val="24"/>
      <w:lang w:val="en-US" w:eastAsia="zh-CN" w:bidi="ar-SA"/>
    </w:rPr>
  </w:style>
  <w:style w:type="character" w:customStyle="1" w:styleId="280">
    <w:name w:val="Ò³Ã¼ Char Char"/>
    <w:autoRedefine/>
    <w:qFormat/>
    <w:uiPriority w:val="0"/>
    <w:rPr>
      <w:rFonts w:eastAsia="宋体"/>
      <w:kern w:val="2"/>
      <w:sz w:val="18"/>
      <w:lang w:val="en-US" w:eastAsia="zh-CN" w:bidi="ar-SA"/>
    </w:rPr>
  </w:style>
  <w:style w:type="character" w:customStyle="1" w:styleId="281">
    <w:name w:val="message1"/>
    <w:autoRedefine/>
    <w:qFormat/>
    <w:uiPriority w:val="0"/>
    <w:rPr>
      <w:rFonts w:hint="default" w:ascii="Tahoma" w:hAnsi="Tahoma" w:cs="Tahoma"/>
      <w:sz w:val="18"/>
      <w:szCs w:val="18"/>
    </w:rPr>
  </w:style>
  <w:style w:type="character" w:customStyle="1" w:styleId="282">
    <w:name w:val="Char Char23"/>
    <w:autoRedefine/>
    <w:qFormat/>
    <w:uiPriority w:val="6"/>
    <w:rPr>
      <w:color w:val="0000FF"/>
      <w:sz w:val="21"/>
    </w:rPr>
  </w:style>
  <w:style w:type="character" w:customStyle="1" w:styleId="283">
    <w:name w:val="批注框文本 字符"/>
    <w:autoRedefine/>
    <w:qFormat/>
    <w:uiPriority w:val="0"/>
    <w:rPr>
      <w:rFonts w:ascii="Arial" w:hAnsi="Arial" w:eastAsia="黑体" w:cs="Arial"/>
      <w:snapToGrid w:val="0"/>
      <w:kern w:val="0"/>
      <w:sz w:val="18"/>
      <w:szCs w:val="18"/>
    </w:rPr>
  </w:style>
  <w:style w:type="character" w:customStyle="1" w:styleId="284">
    <w:name w:val="纯文本 Char2"/>
    <w:autoRedefine/>
    <w:semiHidden/>
    <w:qFormat/>
    <w:uiPriority w:val="99"/>
    <w:rPr>
      <w:rFonts w:ascii="宋体" w:hAnsi="Courier New" w:eastAsia="宋体" w:cs="Courier New"/>
    </w:rPr>
  </w:style>
  <w:style w:type="character" w:customStyle="1" w:styleId="285">
    <w:name w:val="Char Char25"/>
    <w:autoRedefine/>
    <w:qFormat/>
    <w:uiPriority w:val="6"/>
    <w:rPr>
      <w:rFonts w:ascii="宋体" w:hAnsi="宋体"/>
      <w:kern w:val="1"/>
      <w:sz w:val="24"/>
      <w:lang w:val="zh-CN"/>
    </w:rPr>
  </w:style>
  <w:style w:type="character" w:customStyle="1" w:styleId="286">
    <w:name w:val="Char Char411"/>
    <w:autoRedefine/>
    <w:qFormat/>
    <w:uiPriority w:val="0"/>
    <w:rPr>
      <w:rFonts w:eastAsia="宋体"/>
      <w:b/>
      <w:sz w:val="24"/>
      <w:lang w:val="en-GB" w:eastAsia="zh-CN" w:bidi="ar-SA"/>
    </w:rPr>
  </w:style>
  <w:style w:type="character" w:customStyle="1" w:styleId="287">
    <w:name w:val="Heading 7 Char"/>
    <w:autoRedefine/>
    <w:qFormat/>
    <w:locked/>
    <w:uiPriority w:val="0"/>
    <w:rPr>
      <w:rFonts w:ascii="宋体" w:hAnsi="宋体" w:eastAsia="宋体"/>
      <w:b/>
      <w:bCs/>
      <w:kern w:val="2"/>
      <w:sz w:val="24"/>
      <w:szCs w:val="24"/>
      <w:lang w:val="en-US" w:eastAsia="zh-CN" w:bidi="ar-SA"/>
    </w:rPr>
  </w:style>
  <w:style w:type="character" w:customStyle="1" w:styleId="288">
    <w:name w:val="此正文 Char"/>
    <w:link w:val="289"/>
    <w:autoRedefine/>
    <w:qFormat/>
    <w:uiPriority w:val="0"/>
    <w:rPr>
      <w:kern w:val="2"/>
      <w:sz w:val="24"/>
      <w:szCs w:val="24"/>
    </w:rPr>
  </w:style>
  <w:style w:type="paragraph" w:customStyle="1" w:styleId="289">
    <w:name w:val="此正文"/>
    <w:basedOn w:val="1"/>
    <w:link w:val="288"/>
    <w:autoRedefine/>
    <w:qFormat/>
    <w:uiPriority w:val="0"/>
    <w:pPr>
      <w:adjustRightInd/>
      <w:spacing w:line="360" w:lineRule="auto"/>
      <w:ind w:firstLine="200" w:firstLineChars="200"/>
    </w:pPr>
    <w:rPr>
      <w:sz w:val="24"/>
    </w:rPr>
  </w:style>
  <w:style w:type="character" w:customStyle="1" w:styleId="290">
    <w:name w:val="Char Char2"/>
    <w:autoRedefine/>
    <w:qFormat/>
    <w:uiPriority w:val="0"/>
    <w:rPr>
      <w:rFonts w:eastAsia="宋体"/>
      <w:b/>
      <w:bCs/>
      <w:kern w:val="2"/>
      <w:sz w:val="21"/>
      <w:szCs w:val="24"/>
      <w:lang w:val="en-US" w:eastAsia="zh-CN" w:bidi="ar-SA"/>
    </w:rPr>
  </w:style>
  <w:style w:type="character" w:customStyle="1" w:styleId="291">
    <w:name w:val="标题 1 字符1"/>
    <w:link w:val="2"/>
    <w:autoRedefine/>
    <w:qFormat/>
    <w:uiPriority w:val="9"/>
    <w:rPr>
      <w:b/>
      <w:bCs/>
      <w:kern w:val="44"/>
      <w:sz w:val="44"/>
      <w:szCs w:val="44"/>
    </w:rPr>
  </w:style>
  <w:style w:type="character" w:customStyle="1" w:styleId="292">
    <w:name w:val="Footer-Even Char1"/>
    <w:autoRedefine/>
    <w:qFormat/>
    <w:uiPriority w:val="0"/>
    <w:rPr>
      <w:rFonts w:eastAsia="宋体"/>
      <w:kern w:val="2"/>
      <w:sz w:val="18"/>
      <w:szCs w:val="18"/>
      <w:lang w:val="en-US" w:eastAsia="zh-CN" w:bidi="ar-SA"/>
    </w:rPr>
  </w:style>
  <w:style w:type="character" w:customStyle="1" w:styleId="293">
    <w:name w:val="Char Char29"/>
    <w:autoRedefine/>
    <w:qFormat/>
    <w:uiPriority w:val="6"/>
    <w:rPr>
      <w:rFonts w:ascii="Arial" w:hAnsi="Arial" w:eastAsia="微软雅黑"/>
      <w:b/>
      <w:kern w:val="1"/>
      <w:sz w:val="44"/>
      <w:szCs w:val="32"/>
      <w:lang w:val="en-US" w:eastAsia="zh-CN" w:bidi="ar-SA"/>
    </w:rPr>
  </w:style>
  <w:style w:type="character" w:customStyle="1" w:styleId="294">
    <w:name w:val="标题 字符"/>
    <w:link w:val="59"/>
    <w:autoRedefine/>
    <w:qFormat/>
    <w:uiPriority w:val="10"/>
    <w:rPr>
      <w:b/>
      <w:sz w:val="24"/>
      <w:lang w:val="en-GB"/>
    </w:rPr>
  </w:style>
  <w:style w:type="character" w:customStyle="1" w:styleId="295">
    <w:name w:val="font81"/>
    <w:autoRedefine/>
    <w:qFormat/>
    <w:uiPriority w:val="0"/>
    <w:rPr>
      <w:rFonts w:ascii="微软雅黑" w:hAnsi="微软雅黑" w:eastAsia="微软雅黑" w:cs="微软雅黑"/>
      <w:color w:val="000000"/>
      <w:sz w:val="20"/>
      <w:szCs w:val="20"/>
      <w:u w:val="none"/>
    </w:rPr>
  </w:style>
  <w:style w:type="character" w:customStyle="1" w:styleId="29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7">
    <w:name w:val="t21"/>
    <w:autoRedefine/>
    <w:qFormat/>
    <w:uiPriority w:val="0"/>
    <w:rPr>
      <w:rFonts w:ascii="仿宋_GB2312" w:eastAsia="微软雅黑"/>
      <w:b/>
      <w:kern w:val="2"/>
      <w:sz w:val="23"/>
      <w:szCs w:val="23"/>
      <w:lang w:val="en-US" w:eastAsia="zh-CN" w:bidi="ar-SA"/>
    </w:rPr>
  </w:style>
  <w:style w:type="character" w:customStyle="1" w:styleId="298">
    <w:name w:val="样式8 Char"/>
    <w:autoRedefine/>
    <w:qFormat/>
    <w:uiPriority w:val="0"/>
    <w:rPr>
      <w:rFonts w:ascii="仿宋_GB2312" w:hAnsi="宋体" w:eastAsia="仿宋_GB2312"/>
      <w:b/>
      <w:bCs/>
      <w:kern w:val="2"/>
      <w:sz w:val="24"/>
      <w:szCs w:val="24"/>
    </w:rPr>
  </w:style>
  <w:style w:type="character" w:customStyle="1" w:styleId="299">
    <w:name w:val="表格 Char Char"/>
    <w:autoRedefine/>
    <w:qFormat/>
    <w:uiPriority w:val="0"/>
    <w:rPr>
      <w:rFonts w:ascii="宋体" w:hAnsi="宋体" w:eastAsia="宋体"/>
      <w:lang w:bidi="ar-SA"/>
    </w:rPr>
  </w:style>
  <w:style w:type="character" w:customStyle="1" w:styleId="300">
    <w:name w:val="正文文本 字符1"/>
    <w:autoRedefine/>
    <w:qFormat/>
    <w:uiPriority w:val="0"/>
    <w:rPr>
      <w:rFonts w:ascii="Calibri" w:hAnsi="Calibri" w:eastAsia="黑体" w:cs="Arial"/>
      <w:snapToGrid w:val="0"/>
      <w:kern w:val="2"/>
      <w:sz w:val="28"/>
      <w:szCs w:val="21"/>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字符"/>
    <w:link w:val="21"/>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字符"/>
    <w:link w:val="57"/>
    <w:autoRedefine/>
    <w:qFormat/>
    <w:uiPriority w:val="0"/>
    <w:rPr>
      <w:rFonts w:ascii="黑体" w:hAnsi="Courier New" w:eastAsia="黑体"/>
    </w:rPr>
  </w:style>
  <w:style w:type="character" w:customStyle="1" w:styleId="309">
    <w:name w:val="正文文本 2 字符1"/>
    <w:link w:val="56"/>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6"/>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9"/>
    <w:autoRedefine/>
    <w:qFormat/>
    <w:uiPriority w:val="0"/>
    <w:rPr>
      <w:b/>
      <w:bCs/>
      <w:kern w:val="2"/>
      <w:sz w:val="24"/>
      <w:szCs w:val="24"/>
    </w:rPr>
  </w:style>
  <w:style w:type="character" w:customStyle="1" w:styleId="315">
    <w:name w:val="正文文本缩进 2 字符"/>
    <w:link w:val="37"/>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0"/>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basedOn w:val="70"/>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文本首行缩进 字符"/>
    <w:link w:val="61"/>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6"/>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2"/>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0"/>
    <w:autoRedefine/>
    <w:qFormat/>
    <w:uiPriority w:val="99"/>
    <w:rPr>
      <w:kern w:val="2"/>
      <w:sz w:val="21"/>
      <w:szCs w:val="24"/>
    </w:rPr>
  </w:style>
  <w:style w:type="character" w:customStyle="1" w:styleId="351">
    <w:name w:val="签名 字符"/>
    <w:link w:val="42"/>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0"/>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3"/>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0"/>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1"/>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2"/>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0"/>
    <w:autoRedefine/>
    <w:qFormat/>
    <w:uiPriority w:val="0"/>
    <w:rPr>
      <w:rFonts w:ascii="Arial" w:hAnsi="Arial" w:eastAsia="黑体" w:cs="Arial"/>
      <w:snapToGrid w:val="0"/>
      <w:kern w:val="0"/>
      <w:szCs w:val="21"/>
    </w:rPr>
  </w:style>
  <w:style w:type="character" w:customStyle="1" w:styleId="437">
    <w:name w:val="hui"/>
    <w:basedOn w:val="70"/>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41"/>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90"/>
    <w:next w:val="90"/>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90"/>
    <w:next w:val="90"/>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8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8"/>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6"/>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8"/>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38"/>
    <w:autoRedefine/>
    <w:qFormat/>
    <w:uiPriority w:val="0"/>
    <w:rPr>
      <w:kern w:val="2"/>
      <w:sz w:val="21"/>
      <w:szCs w:val="24"/>
      <w:lang w:val="zh-CN"/>
    </w:rPr>
  </w:style>
  <w:style w:type="character" w:customStyle="1" w:styleId="936">
    <w:name w:val="无间隔 字符"/>
    <w:link w:val="486"/>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6"/>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8">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Normal (Web)1"/>
    <w:basedOn w:val="1"/>
    <w:autoRedefine/>
    <w:qFormat/>
    <w:uiPriority w:val="0"/>
    <w:pPr>
      <w:spacing w:before="100" w:beforeAutospacing="1" w:after="100" w:afterAutospacing="1"/>
      <w:jc w:val="left"/>
    </w:pPr>
    <w:rPr>
      <w:rFonts w:ascii="宋体" w:hAnsi="宋体" w:cs="宋体"/>
      <w:kern w:val="0"/>
      <w:sz w:val="24"/>
    </w:rPr>
  </w:style>
  <w:style w:type="paragraph" w:customStyle="1" w:styleId="971">
    <w:name w:val="招标文件－标准正文"/>
    <w:basedOn w:val="33"/>
    <w:autoRedefine/>
    <w:qFormat/>
    <w:uiPriority w:val="0"/>
    <w:rPr>
      <w:rFonts w:hAnsi="宋体" w:cs="Times New Roman"/>
      <w:color w:val="000000"/>
      <w:sz w:val="24"/>
    </w:rPr>
  </w:style>
  <w:style w:type="paragraph" w:customStyle="1" w:styleId="972">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73">
    <w:name w:val="表格正文 五号"/>
    <w:basedOn w:val="974"/>
    <w:autoRedefine/>
    <w:qFormat/>
    <w:uiPriority w:val="0"/>
  </w:style>
  <w:style w:type="paragraph" w:customStyle="1" w:styleId="974">
    <w:name w:val="表格正文小五"/>
    <w:basedOn w:val="1"/>
    <w:autoRedefine/>
    <w:qFormat/>
    <w:uiPriority w:val="0"/>
    <w:pPr>
      <w:snapToGrid w:val="0"/>
      <w:jc w:val="left"/>
    </w:pPr>
    <w:rPr>
      <w:rFonts w:ascii="宋体" w:hAnsi="宋体"/>
      <w:sz w:val="18"/>
      <w:szCs w:val="21"/>
    </w:rPr>
  </w:style>
  <w:style w:type="paragraph" w:customStyle="1" w:styleId="975">
    <w:name w:val="修订5"/>
    <w:hidden/>
    <w:unhideWhenUsed/>
    <w:qFormat/>
    <w:uiPriority w:val="99"/>
    <w:rPr>
      <w:rFonts w:ascii="Times New Roman" w:hAnsi="Times New Roman" w:eastAsia="宋体" w:cs="Times New Roman"/>
      <w:kern w:val="2"/>
      <w:sz w:val="21"/>
      <w:szCs w:val="24"/>
      <w:lang w:val="en-US" w:eastAsia="zh-CN" w:bidi="ar-SA"/>
    </w:rPr>
  </w:style>
  <w:style w:type="paragraph" w:styleId="976">
    <w:name w:val="List Paragraph"/>
    <w:basedOn w:val="1"/>
    <w:autoRedefine/>
    <w:qFormat/>
    <w:uiPriority w:val="0"/>
    <w:pPr>
      <w:adjustRightInd/>
      <w:ind w:firstLine="42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13406</Words>
  <Characters>14232</Characters>
  <Lines>2281</Lines>
  <Paragraphs>1670</Paragraphs>
  <TotalTime>251</TotalTime>
  <ScaleCrop>false</ScaleCrop>
  <LinksUpToDate>false</LinksUpToDate>
  <CharactersWithSpaces>14462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2025-05-23T01:35:00Z</dcterms:created>
  <dc:creator>玥</dc:creator>
  <cp:lastModifiedBy>品牌管理部周怡</cp:lastModifiedBy>
  <cp:lastPrinted>2021-12-27T11:06:00Z</cp:lastPrinted>
  <dcterms:modified xsi:type="dcterms:W3CDTF">2025-07-04T05:49:55Z</dcterms:modified>
  <dc:title>杭州市市民卡扩大发卡工程</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2B81B6FA41814677BAF61DE623751206_13</vt:lpwstr>
  </property>
  <property fmtid="{D5CDD505-2E9C-101B-9397-08002B2CF9AE}" pid="5" name="commondata">
    <vt:lpwstr>eyJoZGlkIjoiNGNlMmFkMDQ1NDY0ZmRiM2Q0NjY4NTFjN2IwMTllYjMifQ==</vt:lpwstr>
  </property>
  <property fmtid="{D5CDD505-2E9C-101B-9397-08002B2CF9AE}" pid="6" name="KSOTemplateDocerSaveRecord">
    <vt:lpwstr>eyJoZGlkIjoiNTIzMzkzZjhjOWNlMDk0MDhlZGE4ZTJjNDE0MDRiYWYiLCJ1c2VySWQiOiIyMTM5MDA1NDYifQ==</vt:lpwstr>
  </property>
</Properties>
</file>